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华文中宋" w:hAnsi="华文中宋" w:eastAsia="华文中宋" w:cs="华文中宋"/>
          <w:b/>
          <w:bCs/>
          <w:kern w:val="1"/>
          <w:sz w:val="36"/>
          <w:szCs w:val="36"/>
          <w:highlight w:val="none"/>
        </w:rPr>
      </w:pPr>
      <w:r>
        <w:rPr>
          <w:rFonts w:hint="eastAsia" w:ascii="华文中宋" w:hAnsi="华文中宋" w:eastAsia="华文中宋" w:cs="华文中宋"/>
          <w:b/>
          <w:bCs/>
          <w:kern w:val="1"/>
          <w:sz w:val="36"/>
          <w:szCs w:val="36"/>
          <w:highlight w:val="none"/>
        </w:rPr>
        <w:t>项目编号</w:t>
      </w:r>
      <w:r>
        <w:rPr>
          <w:rFonts w:hint="eastAsia" w:ascii="华文中宋" w:hAnsi="华文中宋" w:eastAsia="华文中宋" w:cs="华文中宋"/>
          <w:b/>
          <w:bCs/>
          <w:kern w:val="1"/>
          <w:sz w:val="36"/>
          <w:szCs w:val="36"/>
          <w:highlight w:val="none"/>
          <w:lang w:eastAsia="zh-CN"/>
        </w:rPr>
        <w:t>：</w:t>
      </w:r>
      <w:r>
        <w:rPr>
          <w:rFonts w:hint="eastAsia" w:ascii="华文中宋" w:hAnsi="华文中宋" w:eastAsia="华文中宋" w:cs="华文中宋"/>
          <w:b/>
          <w:bCs/>
          <w:kern w:val="1"/>
          <w:sz w:val="36"/>
          <w:szCs w:val="36"/>
          <w:highlight w:val="none"/>
        </w:rPr>
        <w:t>XPXM-HZ-2022-02</w:t>
      </w:r>
    </w:p>
    <w:p>
      <w:pPr>
        <w:spacing w:line="360" w:lineRule="auto"/>
        <w:jc w:val="center"/>
        <w:rPr>
          <w:rFonts w:hint="eastAsia" w:ascii="华文中宋" w:hAnsi="华文中宋" w:eastAsia="华文中宋" w:cs="华文中宋"/>
          <w:b/>
          <w:bCs/>
          <w:kern w:val="1"/>
          <w:sz w:val="40"/>
          <w:szCs w:val="40"/>
          <w:highlight w:val="none"/>
        </w:rPr>
      </w:pPr>
    </w:p>
    <w:p>
      <w:pPr>
        <w:spacing w:line="360" w:lineRule="auto"/>
        <w:jc w:val="center"/>
        <w:rPr>
          <w:rFonts w:hint="eastAsia" w:ascii="华文中宋" w:hAnsi="华文中宋" w:eastAsia="华文中宋" w:cs="华文中宋"/>
          <w:b/>
          <w:bCs/>
          <w:kern w:val="1"/>
          <w:sz w:val="44"/>
          <w:szCs w:val="44"/>
          <w:highlight w:val="none"/>
        </w:rPr>
      </w:pPr>
    </w:p>
    <w:p>
      <w:pPr>
        <w:spacing w:line="360" w:lineRule="auto"/>
        <w:jc w:val="center"/>
        <w:rPr>
          <w:rFonts w:hint="eastAsia" w:ascii="华文中宋" w:hAnsi="华文中宋" w:eastAsia="华文中宋" w:cs="华文中宋"/>
          <w:b/>
          <w:bCs/>
          <w:kern w:val="1"/>
          <w:sz w:val="44"/>
          <w:szCs w:val="44"/>
          <w:highlight w:val="none"/>
        </w:rPr>
      </w:pPr>
      <w:r>
        <w:rPr>
          <w:rFonts w:hint="eastAsia" w:ascii="华文中宋" w:hAnsi="华文中宋" w:eastAsia="华文中宋" w:cs="华文中宋"/>
          <w:b/>
          <w:bCs/>
          <w:kern w:val="1"/>
          <w:sz w:val="44"/>
          <w:szCs w:val="44"/>
          <w:highlight w:val="none"/>
        </w:rPr>
        <w:t>略阳县秦岭保护区矿业权退出评估项目</w:t>
      </w:r>
    </w:p>
    <w:p>
      <w:pPr>
        <w:spacing w:line="360" w:lineRule="auto"/>
        <w:ind w:firstLine="3524" w:firstLineChars="800"/>
        <w:rPr>
          <w:rFonts w:hint="eastAsia" w:ascii="华文中宋" w:hAnsi="华文中宋" w:eastAsia="华文中宋" w:cs="华文中宋"/>
          <w:b/>
          <w:bCs/>
          <w:kern w:val="1"/>
          <w:sz w:val="44"/>
          <w:szCs w:val="44"/>
        </w:rPr>
      </w:pPr>
    </w:p>
    <w:p>
      <w:pPr>
        <w:pStyle w:val="2"/>
        <w:rPr>
          <w:rFonts w:hint="eastAsia" w:ascii="华文中宋" w:hAnsi="华文中宋" w:eastAsia="华文中宋" w:cs="华文中宋"/>
          <w:b/>
          <w:bCs/>
          <w:kern w:val="1"/>
          <w:sz w:val="44"/>
          <w:szCs w:val="44"/>
        </w:rPr>
      </w:pPr>
    </w:p>
    <w:p>
      <w:pPr>
        <w:rPr>
          <w:rFonts w:hint="eastAsia" w:ascii="华文中宋" w:hAnsi="华文中宋" w:eastAsia="华文中宋" w:cs="华文中宋"/>
          <w:sz w:val="22"/>
          <w:szCs w:val="28"/>
        </w:rPr>
      </w:pPr>
    </w:p>
    <w:p>
      <w:pPr>
        <w:spacing w:line="360" w:lineRule="auto"/>
        <w:ind w:firstLine="3083" w:firstLineChars="700"/>
        <w:rPr>
          <w:rFonts w:hint="eastAsia" w:ascii="华文中宋" w:hAnsi="华文中宋" w:eastAsia="华文中宋" w:cs="华文中宋"/>
          <w:b/>
          <w:bCs/>
          <w:kern w:val="1"/>
          <w:sz w:val="44"/>
          <w:szCs w:val="44"/>
        </w:rPr>
      </w:pPr>
    </w:p>
    <w:p>
      <w:pPr>
        <w:spacing w:line="360" w:lineRule="auto"/>
        <w:ind w:firstLine="3083" w:firstLineChars="700"/>
        <w:rPr>
          <w:rFonts w:hint="eastAsia" w:ascii="华文中宋" w:hAnsi="华文中宋" w:eastAsia="华文中宋" w:cs="华文中宋"/>
          <w:b/>
          <w:bCs/>
          <w:kern w:val="1"/>
          <w:sz w:val="44"/>
          <w:szCs w:val="44"/>
        </w:rPr>
      </w:pPr>
    </w:p>
    <w:p>
      <w:pPr>
        <w:spacing w:line="360" w:lineRule="auto"/>
        <w:ind w:firstLine="3083" w:firstLineChars="700"/>
        <w:rPr>
          <w:rFonts w:hint="eastAsia" w:ascii="华文中宋" w:hAnsi="华文中宋" w:eastAsia="华文中宋" w:cs="华文中宋"/>
          <w:b/>
          <w:bCs/>
          <w:kern w:val="1"/>
          <w:sz w:val="40"/>
          <w:szCs w:val="40"/>
        </w:rPr>
      </w:pPr>
      <w:r>
        <w:rPr>
          <w:rFonts w:hint="eastAsia" w:ascii="华文中宋" w:hAnsi="华文中宋" w:eastAsia="华文中宋" w:cs="华文中宋"/>
          <w:b/>
          <w:bCs/>
          <w:kern w:val="1"/>
          <w:sz w:val="44"/>
          <w:szCs w:val="44"/>
        </w:rPr>
        <w:t>竞争性磋商文件</w:t>
      </w:r>
    </w:p>
    <w:p>
      <w:pPr>
        <w:pStyle w:val="14"/>
        <w:tabs>
          <w:tab w:val="left" w:pos="5451"/>
        </w:tabs>
        <w:rPr>
          <w:rFonts w:hint="eastAsia" w:ascii="华文中宋" w:hAnsi="华文中宋" w:eastAsia="华文中宋" w:cs="华文中宋"/>
          <w:sz w:val="22"/>
          <w:szCs w:val="28"/>
        </w:rPr>
      </w:pPr>
    </w:p>
    <w:p>
      <w:pPr>
        <w:rPr>
          <w:rFonts w:hint="eastAsia" w:ascii="华文中宋" w:hAnsi="华文中宋" w:eastAsia="华文中宋" w:cs="华文中宋"/>
        </w:rPr>
      </w:pPr>
    </w:p>
    <w:p>
      <w:pPr>
        <w:spacing w:line="720" w:lineRule="auto"/>
        <w:ind w:firstLine="721" w:firstLineChars="200"/>
        <w:rPr>
          <w:rFonts w:hint="eastAsia" w:ascii="华文中宋" w:hAnsi="华文中宋" w:eastAsia="华文中宋" w:cs="华文中宋"/>
          <w:b/>
          <w:bCs/>
          <w:kern w:val="1"/>
          <w:sz w:val="36"/>
          <w:szCs w:val="36"/>
          <w:lang w:val="en-US" w:eastAsia="zh-CN"/>
        </w:rPr>
      </w:pPr>
      <w:r>
        <w:rPr>
          <w:rFonts w:hint="eastAsia" w:ascii="华文中宋" w:hAnsi="华文中宋" w:eastAsia="华文中宋" w:cs="华文中宋"/>
          <w:b/>
          <w:bCs/>
          <w:kern w:val="1"/>
          <w:sz w:val="36"/>
          <w:szCs w:val="36"/>
        </w:rPr>
        <w:t>采   购   人：略阳县自然资源局</w:t>
      </w:r>
    </w:p>
    <w:p>
      <w:pPr>
        <w:spacing w:line="720" w:lineRule="auto"/>
        <w:ind w:firstLine="721" w:firstLineChars="200"/>
        <w:rPr>
          <w:rFonts w:hint="eastAsia" w:ascii="华文中宋" w:hAnsi="华文中宋" w:eastAsia="华文中宋" w:cs="华文中宋"/>
          <w:b/>
          <w:bCs/>
          <w:kern w:val="1"/>
          <w:sz w:val="36"/>
          <w:szCs w:val="36"/>
        </w:rPr>
      </w:pPr>
    </w:p>
    <w:p>
      <w:pPr>
        <w:spacing w:line="720" w:lineRule="auto"/>
        <w:ind w:firstLine="721" w:firstLineChars="200"/>
        <w:rPr>
          <w:rFonts w:hint="eastAsia" w:ascii="华文中宋" w:hAnsi="华文中宋" w:eastAsia="华文中宋" w:cs="华文中宋"/>
          <w:b/>
          <w:bCs/>
          <w:kern w:val="1"/>
          <w:sz w:val="36"/>
          <w:szCs w:val="36"/>
        </w:rPr>
      </w:pPr>
      <w:r>
        <w:rPr>
          <w:rFonts w:hint="eastAsia" w:ascii="华文中宋" w:hAnsi="华文中宋" w:eastAsia="华文中宋" w:cs="华文中宋"/>
          <w:b/>
          <w:bCs/>
          <w:kern w:val="1"/>
          <w:sz w:val="36"/>
          <w:szCs w:val="36"/>
        </w:rPr>
        <w:t>采购代理机构：陕西信鹏项目管理有限公司</w:t>
      </w:r>
    </w:p>
    <w:p>
      <w:pPr>
        <w:spacing w:line="720" w:lineRule="auto"/>
        <w:ind w:firstLine="2523" w:firstLineChars="700"/>
        <w:rPr>
          <w:rFonts w:hint="eastAsia" w:ascii="华文中宋" w:hAnsi="华文中宋" w:eastAsia="华文中宋" w:cs="华文中宋"/>
          <w:b/>
          <w:bCs/>
          <w:kern w:val="1"/>
          <w:sz w:val="36"/>
          <w:szCs w:val="36"/>
        </w:rPr>
        <w:sectPr>
          <w:headerReference r:id="rId3" w:type="default"/>
          <w:footerReference r:id="rId4" w:type="default"/>
          <w:pgSz w:w="11906" w:h="16838"/>
          <w:pgMar w:top="1440" w:right="1236" w:bottom="1440" w:left="1800" w:header="851" w:footer="992" w:gutter="0"/>
          <w:cols w:space="720" w:num="1"/>
          <w:docGrid w:type="lines" w:linePitch="312" w:charSpace="0"/>
        </w:sectPr>
      </w:pPr>
      <w:r>
        <w:rPr>
          <w:rFonts w:hint="eastAsia" w:ascii="华文中宋" w:hAnsi="华文中宋" w:eastAsia="华文中宋" w:cs="华文中宋"/>
          <w:b/>
          <w:bCs/>
          <w:kern w:val="1"/>
          <w:sz w:val="36"/>
          <w:szCs w:val="36"/>
        </w:rPr>
        <w:t xml:space="preserve">  二〇二二年</w:t>
      </w:r>
      <w:r>
        <w:rPr>
          <w:rFonts w:hint="eastAsia" w:ascii="华文中宋" w:hAnsi="华文中宋" w:eastAsia="华文中宋" w:cs="华文中宋"/>
          <w:b/>
          <w:bCs/>
          <w:kern w:val="1"/>
          <w:sz w:val="36"/>
          <w:szCs w:val="36"/>
          <w:lang w:val="en-US" w:eastAsia="zh-CN"/>
        </w:rPr>
        <w:t>五</w:t>
      </w:r>
      <w:r>
        <w:rPr>
          <w:rFonts w:hint="eastAsia" w:ascii="华文中宋" w:hAnsi="华文中宋" w:eastAsia="华文中宋" w:cs="华文中宋"/>
          <w:b/>
          <w:bCs/>
          <w:kern w:val="1"/>
          <w:sz w:val="36"/>
          <w:szCs w:val="36"/>
        </w:rPr>
        <w:t>月</w:t>
      </w:r>
    </w:p>
    <w:p>
      <w:pPr>
        <w:pStyle w:val="2"/>
        <w:spacing w:after="0" w:line="360" w:lineRule="auto"/>
        <w:ind w:firstLine="422"/>
        <w:rPr>
          <w:rFonts w:hint="eastAsia" w:ascii="华文中宋" w:hAnsi="华文中宋" w:eastAsia="华文中宋" w:cs="华文中宋"/>
          <w:b/>
          <w:sz w:val="22"/>
          <w:szCs w:val="28"/>
        </w:rPr>
      </w:pPr>
    </w:p>
    <w:p>
      <w:pPr>
        <w:pStyle w:val="2"/>
        <w:spacing w:after="0" w:line="360" w:lineRule="auto"/>
        <w:ind w:firstLine="2803" w:firstLineChars="700"/>
        <w:rPr>
          <w:rFonts w:hint="eastAsia" w:ascii="华文中宋" w:hAnsi="华文中宋" w:eastAsia="华文中宋" w:cs="华文中宋"/>
          <w:b/>
          <w:sz w:val="40"/>
          <w:szCs w:val="40"/>
        </w:rPr>
      </w:pPr>
      <w:r>
        <w:rPr>
          <w:rFonts w:hint="eastAsia" w:ascii="华文中宋" w:hAnsi="华文中宋" w:eastAsia="华文中宋" w:cs="华文中宋"/>
          <w:b/>
          <w:sz w:val="40"/>
          <w:szCs w:val="40"/>
        </w:rPr>
        <w:t xml:space="preserve">  目      录</w:t>
      </w:r>
    </w:p>
    <w:p>
      <w:pPr>
        <w:pStyle w:val="2"/>
        <w:ind w:firstLine="422"/>
        <w:rPr>
          <w:rFonts w:hint="eastAsia" w:ascii="华文中宋" w:hAnsi="华文中宋" w:eastAsia="华文中宋" w:cs="华文中宋"/>
          <w:b/>
          <w:sz w:val="22"/>
          <w:szCs w:val="28"/>
        </w:rPr>
      </w:pP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竞争性磋商公告</w:t>
      </w: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磋商供应商须知</w:t>
      </w: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评审办法</w:t>
      </w: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采购内容及具体要求</w:t>
      </w: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拟签订的合同文本</w:t>
      </w:r>
    </w:p>
    <w:p>
      <w:pPr>
        <w:pStyle w:val="2"/>
        <w:numPr>
          <w:ilvl w:val="0"/>
          <w:numId w:val="1"/>
        </w:numPr>
        <w:spacing w:after="0" w:line="480" w:lineRule="auto"/>
        <w:ind w:firstLine="56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 xml:space="preserve">  磋商响应文件格式及构成</w:t>
      </w:r>
    </w:p>
    <w:p>
      <w:pPr>
        <w:pStyle w:val="2"/>
        <w:tabs>
          <w:tab w:val="left" w:pos="5400"/>
        </w:tabs>
        <w:spacing w:after="0" w:line="480" w:lineRule="auto"/>
        <w:ind w:firstLine="422"/>
        <w:rPr>
          <w:rFonts w:hint="eastAsia" w:ascii="华文中宋" w:hAnsi="华文中宋" w:eastAsia="华文中宋" w:cs="华文中宋"/>
          <w:b/>
          <w:sz w:val="22"/>
          <w:szCs w:val="28"/>
        </w:rPr>
      </w:pPr>
      <w:r>
        <w:rPr>
          <w:rFonts w:hint="eastAsia" w:ascii="华文中宋" w:hAnsi="华文中宋" w:eastAsia="华文中宋" w:cs="华文中宋"/>
          <w:b/>
          <w:sz w:val="22"/>
          <w:szCs w:val="28"/>
        </w:rPr>
        <w:tab/>
      </w: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pStyle w:val="2"/>
        <w:ind w:firstLine="422"/>
        <w:rPr>
          <w:rFonts w:hint="eastAsia" w:ascii="华文中宋" w:hAnsi="华文中宋" w:eastAsia="华文中宋" w:cs="华文中宋"/>
          <w:b/>
          <w:sz w:val="22"/>
          <w:szCs w:val="28"/>
        </w:rPr>
      </w:pPr>
    </w:p>
    <w:p>
      <w:pPr>
        <w:kinsoku w:val="0"/>
        <w:spacing w:line="360" w:lineRule="auto"/>
        <w:rPr>
          <w:rFonts w:hint="eastAsia" w:ascii="华文中宋" w:hAnsi="华文中宋" w:eastAsia="华文中宋" w:cs="华文中宋"/>
          <w:b/>
          <w:sz w:val="36"/>
          <w:szCs w:val="36"/>
        </w:rPr>
        <w:sectPr>
          <w:headerReference r:id="rId5" w:type="default"/>
          <w:footerReference r:id="rId6" w:type="default"/>
          <w:pgSz w:w="11960" w:h="16880"/>
          <w:pgMar w:top="1440" w:right="1800" w:bottom="1440" w:left="1800" w:header="1043" w:footer="0" w:gutter="0"/>
          <w:pgNumType w:start="1"/>
          <w:cols w:space="720" w:num="1"/>
        </w:sectPr>
      </w:pPr>
      <w:bookmarkStart w:id="0" w:name="_Toc28216"/>
      <w:bookmarkStart w:id="1" w:name="_Toc23192_WPSOffice_Level1"/>
      <w:bookmarkStart w:id="2" w:name="_Toc9646"/>
      <w:bookmarkStart w:id="3" w:name="_Toc22020_WPSOffice_Level1"/>
    </w:p>
    <w:bookmarkEnd w:id="0"/>
    <w:bookmarkEnd w:id="1"/>
    <w:bookmarkEnd w:id="2"/>
    <w:bookmarkEnd w:id="3"/>
    <w:p>
      <w:pPr>
        <w:keepNext w:val="0"/>
        <w:keepLines w:val="0"/>
        <w:pageBreakBefore w:val="0"/>
        <w:kinsoku w:val="0"/>
        <w:overflowPunct/>
        <w:topLinePunct w:val="0"/>
        <w:autoSpaceDE/>
        <w:autoSpaceDN/>
        <w:bidi w:val="0"/>
        <w:spacing w:line="324" w:lineRule="auto"/>
        <w:ind w:firstLine="2883" w:firstLineChars="800"/>
        <w:textAlignment w:val="auto"/>
        <w:rPr>
          <w:rFonts w:hint="eastAsia" w:ascii="华文中宋" w:hAnsi="华文中宋" w:eastAsia="华文中宋" w:cs="华文中宋"/>
          <w:color w:val="000000"/>
          <w:sz w:val="36"/>
          <w:szCs w:val="36"/>
          <w:highlight w:val="none"/>
        </w:rPr>
      </w:pPr>
      <w:bookmarkStart w:id="4" w:name="_Toc7007"/>
      <w:bookmarkStart w:id="5" w:name="_Toc14361"/>
      <w:bookmarkStart w:id="6" w:name="_Toc32576_WPSOffice_Level1"/>
      <w:bookmarkStart w:id="7" w:name="_Toc14446_WPSOffice_Level1"/>
      <w:bookmarkStart w:id="8" w:name="_Toc24149"/>
      <w:bookmarkStart w:id="9" w:name="_Toc32318"/>
      <w:bookmarkStart w:id="10" w:name="_Toc9819"/>
      <w:bookmarkStart w:id="11" w:name="_Toc20171"/>
      <w:r>
        <w:rPr>
          <w:rFonts w:hint="eastAsia" w:ascii="华文中宋" w:hAnsi="华文中宋" w:eastAsia="华文中宋" w:cs="华文中宋"/>
          <w:b/>
          <w:color w:val="000000"/>
          <w:sz w:val="36"/>
          <w:szCs w:val="36"/>
          <w:highlight w:val="none"/>
        </w:rPr>
        <w:t xml:space="preserve">第一章  </w:t>
      </w:r>
      <w:bookmarkEnd w:id="4"/>
      <w:bookmarkEnd w:id="5"/>
      <w:r>
        <w:rPr>
          <w:rFonts w:hint="eastAsia" w:ascii="华文中宋" w:hAnsi="华文中宋" w:eastAsia="华文中宋" w:cs="华文中宋"/>
          <w:b/>
          <w:color w:val="000000"/>
          <w:sz w:val="36"/>
          <w:szCs w:val="36"/>
          <w:highlight w:val="none"/>
        </w:rPr>
        <w:t>竞争性磋商公告</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right="0"/>
        <w:jc w:val="both"/>
        <w:textAlignment w:val="auto"/>
        <w:rPr>
          <w:rFonts w:hint="eastAsia" w:ascii="华文中宋" w:hAnsi="华文中宋" w:eastAsia="华文中宋" w:cs="华文中宋"/>
          <w:b/>
          <w:bCs/>
          <w:i w:val="0"/>
          <w:iCs w:val="0"/>
          <w:caps w:val="0"/>
          <w:color w:val="000000"/>
          <w:spacing w:val="0"/>
          <w:sz w:val="24"/>
          <w:szCs w:val="24"/>
          <w:shd w:val="clear" w:color="auto" w:fill="FFFFFF"/>
        </w:rPr>
      </w:pPr>
      <w:r>
        <w:rPr>
          <w:rFonts w:hint="eastAsia" w:ascii="华文中宋" w:hAnsi="华文中宋" w:eastAsia="华文中宋" w:cs="华文中宋"/>
          <w:b/>
          <w:bCs/>
          <w:i w:val="0"/>
          <w:iCs w:val="0"/>
          <w:caps w:val="0"/>
          <w:color w:val="000000"/>
          <w:spacing w:val="0"/>
          <w:sz w:val="24"/>
          <w:szCs w:val="24"/>
          <w:shd w:val="clear" w:color="auto" w:fill="FFFFFF"/>
        </w:rPr>
        <w:t>项目概况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lang w:eastAsia="zh-CN"/>
        </w:rPr>
      </w:pPr>
      <w:r>
        <w:rPr>
          <w:rFonts w:hint="eastAsia" w:ascii="华文中宋" w:hAnsi="华文中宋" w:eastAsia="华文中宋" w:cs="华文中宋"/>
          <w:i w:val="0"/>
          <w:iCs w:val="0"/>
          <w:caps w:val="0"/>
          <w:color w:val="000000"/>
          <w:spacing w:val="0"/>
          <w:sz w:val="24"/>
          <w:szCs w:val="24"/>
          <w:shd w:val="clear" w:color="auto" w:fill="FFFFFF"/>
          <w:lang w:eastAsia="zh-CN"/>
        </w:rPr>
        <w:t>略阳县秦岭保护区矿业权退出评估项目采购项目</w:t>
      </w:r>
      <w:r>
        <w:rPr>
          <w:rFonts w:hint="eastAsia" w:ascii="华文中宋" w:hAnsi="华文中宋" w:eastAsia="华文中宋" w:cs="华文中宋"/>
          <w:i w:val="0"/>
          <w:iCs w:val="0"/>
          <w:caps w:val="0"/>
          <w:color w:val="000000"/>
          <w:spacing w:val="0"/>
          <w:sz w:val="24"/>
          <w:szCs w:val="24"/>
          <w:shd w:val="clear" w:color="auto" w:fill="FFFFFF"/>
        </w:rPr>
        <w:t>的潜在供应商应在汉中市南郑区汉山街道办高庄村机电工业集中区二楼获取采购文件</w:t>
      </w:r>
      <w:r>
        <w:rPr>
          <w:rFonts w:hint="eastAsia" w:ascii="华文中宋" w:hAnsi="华文中宋" w:eastAsia="华文中宋" w:cs="华文中宋"/>
          <w:i w:val="0"/>
          <w:iCs w:val="0"/>
          <w:caps w:val="0"/>
          <w:color w:val="000000"/>
          <w:spacing w:val="0"/>
          <w:sz w:val="24"/>
          <w:szCs w:val="24"/>
          <w:highlight w:val="none"/>
          <w:shd w:val="clear" w:color="auto" w:fill="FFFFFF"/>
        </w:rPr>
        <w:t>，并于 2022年06月</w:t>
      </w:r>
      <w:r>
        <w:rPr>
          <w:rFonts w:hint="eastAsia" w:ascii="华文中宋" w:hAnsi="华文中宋" w:eastAsia="华文中宋" w:cs="华文中宋"/>
          <w:i w:val="0"/>
          <w:iCs w:val="0"/>
          <w:caps w:val="0"/>
          <w:color w:val="000000"/>
          <w:spacing w:val="0"/>
          <w:sz w:val="24"/>
          <w:szCs w:val="24"/>
          <w:highlight w:val="none"/>
          <w:shd w:val="clear" w:color="auto" w:fill="FFFFFF"/>
          <w:lang w:val="en-US" w:eastAsia="zh-CN"/>
        </w:rPr>
        <w:t>10</w:t>
      </w:r>
      <w:r>
        <w:rPr>
          <w:rFonts w:hint="eastAsia" w:ascii="华文中宋" w:hAnsi="华文中宋" w:eastAsia="华文中宋" w:cs="华文中宋"/>
          <w:i w:val="0"/>
          <w:iCs w:val="0"/>
          <w:caps w:val="0"/>
          <w:color w:val="000000"/>
          <w:spacing w:val="0"/>
          <w:sz w:val="24"/>
          <w:szCs w:val="24"/>
          <w:highlight w:val="none"/>
          <w:shd w:val="clear" w:color="auto" w:fill="FFFFFF"/>
        </w:rPr>
        <w:t>日</w:t>
      </w:r>
      <w:r>
        <w:rPr>
          <w:rFonts w:hint="eastAsia" w:ascii="华文中宋" w:hAnsi="华文中宋" w:eastAsia="华文中宋" w:cs="华文中宋"/>
          <w:i w:val="0"/>
          <w:iCs w:val="0"/>
          <w:caps w:val="0"/>
          <w:color w:val="000000"/>
          <w:spacing w:val="0"/>
          <w:sz w:val="24"/>
          <w:szCs w:val="24"/>
          <w:shd w:val="clear" w:color="auto" w:fill="FFFFFF"/>
          <w:lang w:eastAsia="zh-CN"/>
        </w:rPr>
        <w:t xml:space="preserve"> </w:t>
      </w:r>
      <w:r>
        <w:rPr>
          <w:rFonts w:hint="eastAsia" w:ascii="华文中宋" w:hAnsi="华文中宋" w:eastAsia="华文中宋" w:cs="华文中宋"/>
          <w:i w:val="0"/>
          <w:iCs w:val="0"/>
          <w:caps w:val="0"/>
          <w:color w:val="000000"/>
          <w:spacing w:val="0"/>
          <w:sz w:val="24"/>
          <w:szCs w:val="24"/>
          <w:shd w:val="clear" w:color="auto" w:fill="FFFFFF"/>
          <w:lang w:val="en-US" w:eastAsia="zh-CN"/>
        </w:rPr>
        <w:t>15</w:t>
      </w:r>
      <w:r>
        <w:rPr>
          <w:rFonts w:hint="eastAsia" w:ascii="华文中宋" w:hAnsi="华文中宋" w:eastAsia="华文中宋" w:cs="华文中宋"/>
          <w:i w:val="0"/>
          <w:iCs w:val="0"/>
          <w:caps w:val="0"/>
          <w:color w:val="000000"/>
          <w:spacing w:val="0"/>
          <w:sz w:val="24"/>
          <w:szCs w:val="24"/>
          <w:shd w:val="clear" w:color="auto" w:fill="FFFFFF"/>
          <w:lang w:eastAsia="zh-CN"/>
        </w:rPr>
        <w:t>时</w:t>
      </w:r>
      <w:r>
        <w:rPr>
          <w:rFonts w:hint="eastAsia" w:ascii="华文中宋" w:hAnsi="华文中宋" w:eastAsia="华文中宋" w:cs="华文中宋"/>
          <w:i w:val="0"/>
          <w:iCs w:val="0"/>
          <w:caps w:val="0"/>
          <w:color w:val="000000"/>
          <w:spacing w:val="0"/>
          <w:sz w:val="24"/>
          <w:szCs w:val="24"/>
          <w:shd w:val="clear" w:color="auto" w:fill="FFFFFF"/>
          <w:lang w:val="en-US" w:eastAsia="zh-CN"/>
        </w:rPr>
        <w:t>0</w:t>
      </w:r>
      <w:r>
        <w:rPr>
          <w:rFonts w:hint="eastAsia" w:ascii="华文中宋" w:hAnsi="华文中宋" w:eastAsia="华文中宋" w:cs="华文中宋"/>
          <w:i w:val="0"/>
          <w:iCs w:val="0"/>
          <w:caps w:val="0"/>
          <w:color w:val="000000"/>
          <w:spacing w:val="0"/>
          <w:sz w:val="24"/>
          <w:szCs w:val="24"/>
          <w:shd w:val="clear" w:color="auto" w:fill="FFFFFF"/>
          <w:lang w:eastAsia="zh-CN"/>
        </w:rPr>
        <w:t>0分 （北京时间）前提交响应文件。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right="0"/>
        <w:jc w:val="both"/>
        <w:textAlignment w:val="auto"/>
        <w:rPr>
          <w:rFonts w:hint="eastAsia" w:ascii="华文中宋" w:hAnsi="华文中宋" w:eastAsia="华文中宋" w:cs="华文中宋"/>
          <w:b/>
          <w:bCs/>
          <w:i w:val="0"/>
          <w:iCs w:val="0"/>
          <w:caps w:val="0"/>
          <w:color w:val="000000"/>
          <w:spacing w:val="0"/>
          <w:sz w:val="24"/>
          <w:szCs w:val="24"/>
          <w:shd w:val="clear" w:color="auto" w:fill="FFFFFF"/>
          <w:lang w:eastAsia="zh-CN"/>
        </w:rPr>
      </w:pPr>
      <w:r>
        <w:rPr>
          <w:rFonts w:hint="eastAsia" w:ascii="华文中宋" w:hAnsi="华文中宋" w:eastAsia="华文中宋" w:cs="华文中宋"/>
          <w:b/>
          <w:bCs/>
          <w:i w:val="0"/>
          <w:iCs w:val="0"/>
          <w:caps w:val="0"/>
          <w:color w:val="000000"/>
          <w:spacing w:val="0"/>
          <w:sz w:val="24"/>
          <w:szCs w:val="24"/>
          <w:shd w:val="clear" w:color="auto" w:fill="FFFFFF"/>
          <w:lang w:eastAsia="zh-CN"/>
        </w:rPr>
        <w:t>一、项目基本情况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项目编号：</w:t>
      </w:r>
      <w:r>
        <w:rPr>
          <w:rFonts w:hint="eastAsia" w:ascii="华文中宋" w:hAnsi="华文中宋" w:eastAsia="华文中宋" w:cs="华文中宋"/>
          <w:i w:val="0"/>
          <w:iCs w:val="0"/>
          <w:caps w:val="0"/>
          <w:color w:val="000000"/>
          <w:spacing w:val="0"/>
          <w:sz w:val="24"/>
          <w:szCs w:val="24"/>
          <w:shd w:val="clear" w:color="auto" w:fill="FFFFFF"/>
          <w:lang w:eastAsia="zh-CN"/>
        </w:rPr>
        <w:t>XPXM-HZ-2022-02</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项目名称：略阳县秦岭保护区矿业权退出评估项目的采购项目</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采购方式：竞争性磋商</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rPr>
        <w:t>预算金额：</w:t>
      </w:r>
      <w:r>
        <w:rPr>
          <w:rFonts w:hint="eastAsia" w:ascii="华文中宋" w:hAnsi="华文中宋" w:eastAsia="华文中宋" w:cs="华文中宋"/>
          <w:i w:val="0"/>
          <w:iCs w:val="0"/>
          <w:caps w:val="0"/>
          <w:color w:val="000000"/>
          <w:spacing w:val="0"/>
          <w:sz w:val="24"/>
          <w:szCs w:val="24"/>
          <w:shd w:val="clear" w:color="auto" w:fill="FFFFFF"/>
          <w:lang w:val="en-US" w:eastAsia="zh-CN"/>
        </w:rPr>
        <w:t>930</w:t>
      </w:r>
      <w:r>
        <w:rPr>
          <w:rFonts w:hint="eastAsia" w:ascii="华文中宋" w:hAnsi="华文中宋" w:eastAsia="华文中宋" w:cs="华文中宋"/>
          <w:i w:val="0"/>
          <w:iCs w:val="0"/>
          <w:caps w:val="0"/>
          <w:color w:val="000000"/>
          <w:spacing w:val="0"/>
          <w:sz w:val="24"/>
          <w:szCs w:val="24"/>
          <w:shd w:val="clear" w:color="auto" w:fill="FFFFFF"/>
        </w:rPr>
        <w:t>,</w:t>
      </w:r>
      <w:r>
        <w:rPr>
          <w:rFonts w:hint="eastAsia" w:ascii="华文中宋" w:hAnsi="华文中宋" w:eastAsia="华文中宋" w:cs="华文中宋"/>
          <w:i w:val="0"/>
          <w:iCs w:val="0"/>
          <w:caps w:val="0"/>
          <w:color w:val="000000"/>
          <w:spacing w:val="0"/>
          <w:sz w:val="24"/>
          <w:szCs w:val="24"/>
          <w:shd w:val="clear" w:color="auto" w:fill="FFFFFF"/>
          <w:lang w:val="en-US" w:eastAsia="zh-CN"/>
        </w:rPr>
        <w:t>0</w:t>
      </w:r>
      <w:r>
        <w:rPr>
          <w:rFonts w:hint="eastAsia" w:ascii="华文中宋" w:hAnsi="华文中宋" w:eastAsia="华文中宋" w:cs="华文中宋"/>
          <w:i w:val="0"/>
          <w:iCs w:val="0"/>
          <w:caps w:val="0"/>
          <w:color w:val="000000"/>
          <w:spacing w:val="0"/>
          <w:sz w:val="24"/>
          <w:szCs w:val="24"/>
          <w:shd w:val="clear" w:color="auto" w:fill="FFFFFF"/>
        </w:rPr>
        <w:t>00.00元</w:t>
      </w:r>
      <w:r>
        <w:rPr>
          <w:rFonts w:hint="eastAsia" w:ascii="华文中宋" w:hAnsi="华文中宋" w:eastAsia="华文中宋" w:cs="华文中宋"/>
          <w:i w:val="0"/>
          <w:iCs w:val="0"/>
          <w:caps w:val="0"/>
          <w:color w:val="000000"/>
          <w:spacing w:val="0"/>
          <w:sz w:val="24"/>
          <w:szCs w:val="24"/>
          <w:shd w:val="clear" w:color="auto" w:fill="FFFFFF"/>
          <w:lang w:val="en-US" w:eastAsia="zh-CN"/>
        </w:rPr>
        <w:t xml:space="preserve">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采购需求：</w:t>
      </w:r>
    </w:p>
    <w:tbl>
      <w:tblPr>
        <w:tblStyle w:val="29"/>
        <w:tblW w:w="10137" w:type="dxa"/>
        <w:tblInd w:w="-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14"/>
        <w:gridCol w:w="1545"/>
        <w:gridCol w:w="1568"/>
        <w:gridCol w:w="1480"/>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jc w:val="center"/>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合同</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jc w:val="center"/>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包号</w:t>
            </w:r>
          </w:p>
        </w:tc>
        <w:tc>
          <w:tcPr>
            <w:tcW w:w="2114"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ind w:firstLine="480" w:firstLineChars="200"/>
              <w:jc w:val="center"/>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合同包名称</w:t>
            </w:r>
          </w:p>
        </w:tc>
        <w:tc>
          <w:tcPr>
            <w:tcW w:w="154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jc w:val="center"/>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技术规格、参数及要求</w:t>
            </w:r>
          </w:p>
        </w:tc>
        <w:tc>
          <w:tcPr>
            <w:tcW w:w="1568"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jc w:val="center"/>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预算金额（元）</w:t>
            </w:r>
          </w:p>
        </w:tc>
        <w:tc>
          <w:tcPr>
            <w:tcW w:w="1480"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jc w:val="center"/>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是否接受联合体</w:t>
            </w:r>
          </w:p>
        </w:tc>
        <w:tc>
          <w:tcPr>
            <w:tcW w:w="272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ind w:firstLine="480" w:firstLineChars="200"/>
              <w:jc w:val="center"/>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ind w:firstLine="240" w:firstLineChars="100"/>
              <w:jc w:val="both"/>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1</w:t>
            </w:r>
          </w:p>
        </w:tc>
        <w:tc>
          <w:tcPr>
            <w:tcW w:w="2114"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jc w:val="both"/>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略阳县秦岭保护区矿业权退出评估项目采购项目</w:t>
            </w:r>
          </w:p>
        </w:tc>
        <w:tc>
          <w:tcPr>
            <w:tcW w:w="154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jc w:val="center"/>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详见采购</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jc w:val="center"/>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文件</w:t>
            </w:r>
          </w:p>
        </w:tc>
        <w:tc>
          <w:tcPr>
            <w:tcW w:w="1568"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jc w:val="center"/>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930000.00</w:t>
            </w:r>
          </w:p>
        </w:tc>
        <w:tc>
          <w:tcPr>
            <w:tcW w:w="1480"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ind w:firstLine="480" w:firstLineChars="200"/>
              <w:jc w:val="both"/>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否</w:t>
            </w:r>
          </w:p>
        </w:tc>
        <w:tc>
          <w:tcPr>
            <w:tcW w:w="2725"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4" w:lineRule="auto"/>
              <w:ind w:firstLine="480" w:firstLineChars="200"/>
              <w:jc w:val="center"/>
              <w:textAlignment w:val="auto"/>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2022-06-15 08:00:00 至 2022-09-15 18:00:00（具体服务起止日期可随合同签订时间相应顺延）</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right="0"/>
        <w:jc w:val="both"/>
        <w:textAlignment w:val="auto"/>
        <w:rPr>
          <w:rFonts w:hint="eastAsia" w:ascii="华文中宋" w:hAnsi="华文中宋" w:eastAsia="华文中宋" w:cs="华文中宋"/>
          <w:b/>
          <w:bCs/>
          <w:i w:val="0"/>
          <w:iCs w:val="0"/>
          <w:caps w:val="0"/>
          <w:color w:val="000000"/>
          <w:spacing w:val="0"/>
          <w:sz w:val="24"/>
          <w:szCs w:val="24"/>
          <w:shd w:val="clear" w:color="auto" w:fill="FFFFFF"/>
        </w:rPr>
      </w:pPr>
      <w:r>
        <w:rPr>
          <w:rFonts w:hint="eastAsia" w:ascii="华文中宋" w:hAnsi="华文中宋" w:eastAsia="华文中宋" w:cs="华文中宋"/>
          <w:b/>
          <w:bCs/>
          <w:i w:val="0"/>
          <w:iCs w:val="0"/>
          <w:caps w:val="0"/>
          <w:color w:val="000000"/>
          <w:spacing w:val="0"/>
          <w:sz w:val="24"/>
          <w:szCs w:val="24"/>
          <w:shd w:val="clear" w:color="auto" w:fill="FFFFFF"/>
        </w:rPr>
        <w:t>二、申请人的资格要求：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1.满足《中华人民共和国政府采购法》第二十二条规定;</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2.落实政府采购政策需满足的资格要求：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合同包1(略阳县秦岭保护区矿业权退出评估项目)落实政府采购政策需满足的资格要求如下: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本项目专门面向中小企业采购,所提供服务的供应商须为中小微企业或监狱企业或残疾人福利性单位</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3.本项目的特定资格要求：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合同包1(略阳县秦岭保护区矿业权退出评估项目)特定资格要求如下: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（1）法定代表人参加磋商的，须提供本人身份证复印件并出示身份证原件；授权代表参加磋商的，须提供法定代表人授权委托书并出示授权代表的身份证原件；</w:t>
      </w:r>
      <w:r>
        <w:rPr>
          <w:rFonts w:hint="eastAsia" w:ascii="华文中宋" w:hAnsi="华文中宋" w:eastAsia="华文中宋" w:cs="华文中宋"/>
          <w:i w:val="0"/>
          <w:iCs w:val="0"/>
          <w:caps w:val="0"/>
          <w:color w:val="000000"/>
          <w:spacing w:val="0"/>
          <w:sz w:val="24"/>
          <w:szCs w:val="24"/>
          <w:shd w:val="clear" w:color="auto" w:fill="FFFFFF"/>
        </w:rPr>
        <w:br w:type="textWrapping"/>
      </w:r>
      <w:r>
        <w:rPr>
          <w:rFonts w:hint="eastAsia" w:ascii="华文中宋" w:hAnsi="华文中宋" w:eastAsia="华文中宋" w:cs="华文中宋"/>
          <w:i w:val="0"/>
          <w:iCs w:val="0"/>
          <w:caps w:val="0"/>
          <w:color w:val="000000"/>
          <w:spacing w:val="0"/>
          <w:sz w:val="24"/>
          <w:szCs w:val="24"/>
          <w:shd w:val="clear" w:color="auto"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华文中宋" w:hAnsi="华文中宋" w:eastAsia="华文中宋" w:cs="华文中宋"/>
          <w:i w:val="0"/>
          <w:iCs w:val="0"/>
          <w:caps w:val="0"/>
          <w:color w:val="000000"/>
          <w:spacing w:val="0"/>
          <w:sz w:val="24"/>
          <w:szCs w:val="24"/>
          <w:shd w:val="clear" w:color="auto" w:fill="FFFFFF"/>
        </w:rPr>
        <w:br w:type="textWrapping"/>
      </w:r>
      <w:r>
        <w:rPr>
          <w:rFonts w:hint="eastAsia" w:ascii="华文中宋" w:hAnsi="华文中宋" w:eastAsia="华文中宋" w:cs="华文中宋"/>
          <w:i w:val="0"/>
          <w:iCs w:val="0"/>
          <w:caps w:val="0"/>
          <w:color w:val="000000"/>
          <w:spacing w:val="0"/>
          <w:sz w:val="24"/>
          <w:szCs w:val="24"/>
          <w:shd w:val="clear" w:color="auto" w:fill="FFFFFF"/>
        </w:rPr>
        <w:t>（3）供应商须具备探矿权采矿权评估资格证及相关行政主管部门出具的有效资产评估资格备案证明； </w:t>
      </w:r>
      <w:r>
        <w:rPr>
          <w:rFonts w:hint="eastAsia" w:ascii="华文中宋" w:hAnsi="华文中宋" w:eastAsia="华文中宋" w:cs="华文中宋"/>
          <w:i w:val="0"/>
          <w:iCs w:val="0"/>
          <w:caps w:val="0"/>
          <w:color w:val="000000"/>
          <w:spacing w:val="0"/>
          <w:sz w:val="24"/>
          <w:szCs w:val="24"/>
          <w:shd w:val="clear" w:color="auto" w:fill="FFFFFF"/>
        </w:rPr>
        <w:br w:type="textWrapping"/>
      </w:r>
      <w:r>
        <w:rPr>
          <w:rFonts w:hint="eastAsia" w:ascii="华文中宋" w:hAnsi="华文中宋" w:eastAsia="华文中宋" w:cs="华文中宋"/>
          <w:i w:val="0"/>
          <w:iCs w:val="0"/>
          <w:caps w:val="0"/>
          <w:color w:val="000000"/>
          <w:spacing w:val="0"/>
          <w:sz w:val="24"/>
          <w:szCs w:val="24"/>
          <w:shd w:val="clear" w:color="auto" w:fill="FFFFFF"/>
        </w:rPr>
        <w:t>（4）项目负责人具有矿业权评估师或资产评估师职业资格证书；</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right="0"/>
        <w:jc w:val="both"/>
        <w:textAlignment w:val="auto"/>
        <w:rPr>
          <w:rFonts w:hint="eastAsia" w:ascii="华文中宋" w:hAnsi="华文中宋" w:eastAsia="华文中宋" w:cs="华文中宋"/>
          <w:b/>
          <w:bCs/>
          <w:i w:val="0"/>
          <w:iCs w:val="0"/>
          <w:caps w:val="0"/>
          <w:color w:val="000000"/>
          <w:spacing w:val="0"/>
          <w:sz w:val="24"/>
          <w:szCs w:val="24"/>
          <w:shd w:val="clear" w:color="auto" w:fill="FFFFFF"/>
        </w:rPr>
      </w:pPr>
      <w:r>
        <w:rPr>
          <w:rFonts w:hint="eastAsia" w:ascii="华文中宋" w:hAnsi="华文中宋" w:eastAsia="华文中宋" w:cs="华文中宋"/>
          <w:b/>
          <w:bCs/>
          <w:i w:val="0"/>
          <w:iCs w:val="0"/>
          <w:caps w:val="0"/>
          <w:color w:val="000000"/>
          <w:spacing w:val="0"/>
          <w:sz w:val="24"/>
          <w:szCs w:val="24"/>
          <w:shd w:val="clear" w:color="auto" w:fill="FFFFFF"/>
        </w:rPr>
        <w:t>三、获取采购文件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时间</w:t>
      </w:r>
      <w:r>
        <w:rPr>
          <w:rFonts w:hint="eastAsia" w:ascii="华文中宋" w:hAnsi="华文中宋" w:eastAsia="华文中宋" w:cs="华文中宋"/>
          <w:i w:val="0"/>
          <w:iCs w:val="0"/>
          <w:caps w:val="0"/>
          <w:color w:val="000000"/>
          <w:spacing w:val="0"/>
          <w:sz w:val="24"/>
          <w:szCs w:val="24"/>
          <w:shd w:val="clear" w:color="auto" w:fill="FFFFFF"/>
          <w:lang w:eastAsia="zh-CN"/>
        </w:rPr>
        <w:t>：</w:t>
      </w:r>
      <w:r>
        <w:rPr>
          <w:rFonts w:hint="eastAsia" w:ascii="华文中宋" w:hAnsi="华文中宋" w:eastAsia="华文中宋" w:cs="华文中宋"/>
          <w:i w:val="0"/>
          <w:iCs w:val="0"/>
          <w:caps w:val="0"/>
          <w:color w:val="000000"/>
          <w:spacing w:val="0"/>
          <w:sz w:val="24"/>
          <w:szCs w:val="24"/>
          <w:shd w:val="clear" w:color="auto" w:fill="FFFFFF"/>
        </w:rPr>
        <w:t>2022年05月</w:t>
      </w:r>
      <w:r>
        <w:rPr>
          <w:rFonts w:hint="eastAsia" w:ascii="华文中宋" w:hAnsi="华文中宋" w:eastAsia="华文中宋" w:cs="华文中宋"/>
          <w:i w:val="0"/>
          <w:iCs w:val="0"/>
          <w:caps w:val="0"/>
          <w:color w:val="000000"/>
          <w:spacing w:val="0"/>
          <w:sz w:val="24"/>
          <w:szCs w:val="24"/>
          <w:shd w:val="clear" w:color="auto" w:fill="FFFFFF"/>
          <w:lang w:val="en-US" w:eastAsia="zh-CN"/>
        </w:rPr>
        <w:t>30</w:t>
      </w:r>
      <w:r>
        <w:rPr>
          <w:rFonts w:hint="eastAsia" w:ascii="华文中宋" w:hAnsi="华文中宋" w:eastAsia="华文中宋" w:cs="华文中宋"/>
          <w:i w:val="0"/>
          <w:iCs w:val="0"/>
          <w:caps w:val="0"/>
          <w:color w:val="000000"/>
          <w:spacing w:val="0"/>
          <w:sz w:val="24"/>
          <w:szCs w:val="24"/>
          <w:shd w:val="clear" w:color="auto" w:fill="FFFFFF"/>
        </w:rPr>
        <w:t>日至2022年0</w:t>
      </w:r>
      <w:r>
        <w:rPr>
          <w:rFonts w:hint="eastAsia" w:ascii="华文中宋" w:hAnsi="华文中宋" w:eastAsia="华文中宋" w:cs="华文中宋"/>
          <w:i w:val="0"/>
          <w:iCs w:val="0"/>
          <w:caps w:val="0"/>
          <w:color w:val="000000"/>
          <w:spacing w:val="0"/>
          <w:sz w:val="24"/>
          <w:szCs w:val="24"/>
          <w:shd w:val="clear" w:color="auto" w:fill="FFFFFF"/>
          <w:lang w:val="en-US" w:eastAsia="zh-CN"/>
        </w:rPr>
        <w:t>6</w:t>
      </w:r>
      <w:r>
        <w:rPr>
          <w:rFonts w:hint="eastAsia" w:ascii="华文中宋" w:hAnsi="华文中宋" w:eastAsia="华文中宋" w:cs="华文中宋"/>
          <w:i w:val="0"/>
          <w:iCs w:val="0"/>
          <w:caps w:val="0"/>
          <w:color w:val="000000"/>
          <w:spacing w:val="0"/>
          <w:sz w:val="24"/>
          <w:szCs w:val="24"/>
          <w:shd w:val="clear" w:color="auto" w:fill="FFFFFF"/>
        </w:rPr>
        <w:t>月</w:t>
      </w:r>
      <w:r>
        <w:rPr>
          <w:rFonts w:hint="eastAsia" w:ascii="华文中宋" w:hAnsi="华文中宋" w:eastAsia="华文中宋" w:cs="华文中宋"/>
          <w:i w:val="0"/>
          <w:iCs w:val="0"/>
          <w:caps w:val="0"/>
          <w:color w:val="000000"/>
          <w:spacing w:val="0"/>
          <w:sz w:val="24"/>
          <w:szCs w:val="24"/>
          <w:shd w:val="clear" w:color="auto" w:fill="FFFFFF"/>
          <w:lang w:val="en-US" w:eastAsia="zh-CN"/>
        </w:rPr>
        <w:t>06</w:t>
      </w:r>
      <w:r>
        <w:rPr>
          <w:rFonts w:hint="eastAsia" w:ascii="华文中宋" w:hAnsi="华文中宋" w:eastAsia="华文中宋" w:cs="华文中宋"/>
          <w:i w:val="0"/>
          <w:iCs w:val="0"/>
          <w:caps w:val="0"/>
          <w:color w:val="000000"/>
          <w:spacing w:val="0"/>
          <w:sz w:val="24"/>
          <w:szCs w:val="24"/>
          <w:shd w:val="clear" w:color="auto" w:fill="FFFFFF"/>
        </w:rPr>
        <w:t>日，每天上午08:00:00至12:00:00 ，下午14:00:00至18:00:00（北京时间,法定节假日除外）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地点：汉中市南郑区汉山街道办高庄村机电工业集中区二楼</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方式：现场获取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售价： 500元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right="0"/>
        <w:jc w:val="both"/>
        <w:textAlignment w:val="auto"/>
        <w:rPr>
          <w:rFonts w:hint="eastAsia" w:ascii="华文中宋" w:hAnsi="华文中宋" w:eastAsia="华文中宋" w:cs="华文中宋"/>
          <w:b/>
          <w:bCs/>
          <w:i w:val="0"/>
          <w:iCs w:val="0"/>
          <w:caps w:val="0"/>
          <w:color w:val="000000"/>
          <w:spacing w:val="0"/>
          <w:sz w:val="24"/>
          <w:szCs w:val="24"/>
          <w:shd w:val="clear" w:color="auto" w:fill="FFFFFF"/>
        </w:rPr>
      </w:pPr>
      <w:r>
        <w:rPr>
          <w:rFonts w:hint="eastAsia" w:ascii="华文中宋" w:hAnsi="华文中宋" w:eastAsia="华文中宋" w:cs="华文中宋"/>
          <w:b/>
          <w:bCs/>
          <w:i w:val="0"/>
          <w:iCs w:val="0"/>
          <w:caps w:val="0"/>
          <w:color w:val="000000"/>
          <w:spacing w:val="0"/>
          <w:sz w:val="24"/>
          <w:szCs w:val="24"/>
          <w:shd w:val="clear" w:color="auto" w:fill="FFFFFF"/>
        </w:rPr>
        <w:t>四、响应文件提交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截止时间：2022年06月</w:t>
      </w:r>
      <w:r>
        <w:rPr>
          <w:rFonts w:hint="eastAsia" w:ascii="华文中宋" w:hAnsi="华文中宋" w:eastAsia="华文中宋" w:cs="华文中宋"/>
          <w:i w:val="0"/>
          <w:iCs w:val="0"/>
          <w:caps w:val="0"/>
          <w:color w:val="000000"/>
          <w:spacing w:val="0"/>
          <w:sz w:val="24"/>
          <w:szCs w:val="24"/>
          <w:shd w:val="clear" w:color="auto" w:fill="FFFFFF"/>
          <w:lang w:val="en-US" w:eastAsia="zh-CN"/>
        </w:rPr>
        <w:t>10</w:t>
      </w:r>
      <w:r>
        <w:rPr>
          <w:rFonts w:hint="eastAsia" w:ascii="华文中宋" w:hAnsi="华文中宋" w:eastAsia="华文中宋" w:cs="华文中宋"/>
          <w:i w:val="0"/>
          <w:iCs w:val="0"/>
          <w:caps w:val="0"/>
          <w:color w:val="000000"/>
          <w:spacing w:val="0"/>
          <w:sz w:val="24"/>
          <w:szCs w:val="24"/>
          <w:shd w:val="clear" w:color="auto" w:fill="FFFFFF"/>
        </w:rPr>
        <w:t xml:space="preserve">日 </w:t>
      </w:r>
      <w:r>
        <w:rPr>
          <w:rFonts w:hint="eastAsia" w:ascii="华文中宋" w:hAnsi="华文中宋" w:eastAsia="华文中宋" w:cs="华文中宋"/>
          <w:i w:val="0"/>
          <w:iCs w:val="0"/>
          <w:caps w:val="0"/>
          <w:color w:val="000000"/>
          <w:spacing w:val="0"/>
          <w:sz w:val="24"/>
          <w:szCs w:val="24"/>
          <w:shd w:val="clear" w:color="auto" w:fill="FFFFFF"/>
          <w:lang w:val="en-US" w:eastAsia="zh-CN"/>
        </w:rPr>
        <w:t>15</w:t>
      </w:r>
      <w:r>
        <w:rPr>
          <w:rFonts w:hint="eastAsia" w:ascii="华文中宋" w:hAnsi="华文中宋" w:eastAsia="华文中宋" w:cs="华文中宋"/>
          <w:i w:val="0"/>
          <w:iCs w:val="0"/>
          <w:caps w:val="0"/>
          <w:color w:val="000000"/>
          <w:spacing w:val="0"/>
          <w:sz w:val="24"/>
          <w:szCs w:val="24"/>
          <w:shd w:val="clear" w:color="auto" w:fill="FFFFFF"/>
        </w:rPr>
        <w:t>时</w:t>
      </w:r>
      <w:r>
        <w:rPr>
          <w:rFonts w:hint="eastAsia" w:ascii="华文中宋" w:hAnsi="华文中宋" w:eastAsia="华文中宋" w:cs="华文中宋"/>
          <w:i w:val="0"/>
          <w:iCs w:val="0"/>
          <w:caps w:val="0"/>
          <w:color w:val="000000"/>
          <w:spacing w:val="0"/>
          <w:sz w:val="24"/>
          <w:szCs w:val="24"/>
          <w:shd w:val="clear" w:color="auto" w:fill="FFFFFF"/>
          <w:lang w:val="en-US" w:eastAsia="zh-CN"/>
        </w:rPr>
        <w:t>0</w:t>
      </w:r>
      <w:r>
        <w:rPr>
          <w:rFonts w:hint="eastAsia" w:ascii="华文中宋" w:hAnsi="华文中宋" w:eastAsia="华文中宋" w:cs="华文中宋"/>
          <w:i w:val="0"/>
          <w:iCs w:val="0"/>
          <w:caps w:val="0"/>
          <w:color w:val="000000"/>
          <w:spacing w:val="0"/>
          <w:sz w:val="24"/>
          <w:szCs w:val="24"/>
          <w:shd w:val="clear" w:color="auto" w:fill="FFFFFF"/>
        </w:rPr>
        <w:t>0分00秒 （北京时间）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地点：汉中市南郑区汉山街道办高庄村机电工业集中区二楼会议室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right="0"/>
        <w:jc w:val="both"/>
        <w:textAlignment w:val="auto"/>
        <w:rPr>
          <w:rFonts w:hint="eastAsia" w:ascii="华文中宋" w:hAnsi="华文中宋" w:eastAsia="华文中宋" w:cs="华文中宋"/>
          <w:b/>
          <w:bCs/>
          <w:i w:val="0"/>
          <w:iCs w:val="0"/>
          <w:caps w:val="0"/>
          <w:color w:val="000000"/>
          <w:spacing w:val="0"/>
          <w:sz w:val="24"/>
          <w:szCs w:val="24"/>
          <w:shd w:val="clear" w:color="auto" w:fill="FFFFFF"/>
        </w:rPr>
      </w:pPr>
      <w:r>
        <w:rPr>
          <w:rFonts w:hint="eastAsia" w:ascii="华文中宋" w:hAnsi="华文中宋" w:eastAsia="华文中宋" w:cs="华文中宋"/>
          <w:b/>
          <w:bCs/>
          <w:i w:val="0"/>
          <w:iCs w:val="0"/>
          <w:caps w:val="0"/>
          <w:color w:val="000000"/>
          <w:spacing w:val="0"/>
          <w:sz w:val="24"/>
          <w:szCs w:val="24"/>
          <w:shd w:val="clear" w:color="auto" w:fill="FFFFFF"/>
        </w:rPr>
        <w:t>五、开启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时间：2022年06月</w:t>
      </w:r>
      <w:r>
        <w:rPr>
          <w:rFonts w:hint="eastAsia" w:ascii="华文中宋" w:hAnsi="华文中宋" w:eastAsia="华文中宋" w:cs="华文中宋"/>
          <w:i w:val="0"/>
          <w:iCs w:val="0"/>
          <w:caps w:val="0"/>
          <w:color w:val="000000"/>
          <w:spacing w:val="0"/>
          <w:sz w:val="24"/>
          <w:szCs w:val="24"/>
          <w:shd w:val="clear" w:color="auto" w:fill="FFFFFF"/>
          <w:lang w:val="en-US" w:eastAsia="zh-CN"/>
        </w:rPr>
        <w:t>10</w:t>
      </w:r>
      <w:r>
        <w:rPr>
          <w:rFonts w:hint="eastAsia" w:ascii="华文中宋" w:hAnsi="华文中宋" w:eastAsia="华文中宋" w:cs="华文中宋"/>
          <w:i w:val="0"/>
          <w:iCs w:val="0"/>
          <w:caps w:val="0"/>
          <w:color w:val="000000"/>
          <w:spacing w:val="0"/>
          <w:sz w:val="24"/>
          <w:szCs w:val="24"/>
          <w:shd w:val="clear" w:color="auto" w:fill="FFFFFF"/>
        </w:rPr>
        <w:t xml:space="preserve">日 </w:t>
      </w:r>
      <w:r>
        <w:rPr>
          <w:rFonts w:hint="eastAsia" w:ascii="华文中宋" w:hAnsi="华文中宋" w:eastAsia="华文中宋" w:cs="华文中宋"/>
          <w:i w:val="0"/>
          <w:iCs w:val="0"/>
          <w:caps w:val="0"/>
          <w:color w:val="000000"/>
          <w:spacing w:val="0"/>
          <w:sz w:val="24"/>
          <w:szCs w:val="24"/>
          <w:shd w:val="clear" w:color="auto" w:fill="FFFFFF"/>
          <w:lang w:val="en-US" w:eastAsia="zh-CN"/>
        </w:rPr>
        <w:t>15</w:t>
      </w:r>
      <w:r>
        <w:rPr>
          <w:rFonts w:hint="eastAsia" w:ascii="华文中宋" w:hAnsi="华文中宋" w:eastAsia="华文中宋" w:cs="华文中宋"/>
          <w:i w:val="0"/>
          <w:iCs w:val="0"/>
          <w:caps w:val="0"/>
          <w:color w:val="000000"/>
          <w:spacing w:val="0"/>
          <w:sz w:val="24"/>
          <w:szCs w:val="24"/>
          <w:shd w:val="clear" w:color="auto" w:fill="FFFFFF"/>
        </w:rPr>
        <w:t>时</w:t>
      </w:r>
      <w:r>
        <w:rPr>
          <w:rFonts w:hint="eastAsia" w:ascii="华文中宋" w:hAnsi="华文中宋" w:eastAsia="华文中宋" w:cs="华文中宋"/>
          <w:i w:val="0"/>
          <w:iCs w:val="0"/>
          <w:caps w:val="0"/>
          <w:color w:val="000000"/>
          <w:spacing w:val="0"/>
          <w:sz w:val="24"/>
          <w:szCs w:val="24"/>
          <w:shd w:val="clear" w:color="auto" w:fill="FFFFFF"/>
          <w:lang w:val="en-US" w:eastAsia="zh-CN"/>
        </w:rPr>
        <w:t>0</w:t>
      </w:r>
      <w:r>
        <w:rPr>
          <w:rFonts w:hint="eastAsia" w:ascii="华文中宋" w:hAnsi="华文中宋" w:eastAsia="华文中宋" w:cs="华文中宋"/>
          <w:i w:val="0"/>
          <w:iCs w:val="0"/>
          <w:caps w:val="0"/>
          <w:color w:val="000000"/>
          <w:spacing w:val="0"/>
          <w:sz w:val="24"/>
          <w:szCs w:val="24"/>
          <w:shd w:val="clear" w:color="auto" w:fill="FFFFFF"/>
        </w:rPr>
        <w:t>0分00秒 （北京时间）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left="0" w:right="0" w:firstLine="384"/>
        <w:jc w:val="both"/>
        <w:textAlignment w:val="auto"/>
        <w:rPr>
          <w:rFonts w:hint="eastAsia" w:ascii="华文中宋" w:hAnsi="华文中宋" w:eastAsia="华文中宋" w:cs="华文中宋"/>
          <w:i w:val="0"/>
          <w:iCs w:val="0"/>
          <w:caps w:val="0"/>
          <w:color w:val="000000"/>
          <w:spacing w:val="0"/>
          <w:sz w:val="24"/>
          <w:szCs w:val="24"/>
        </w:rPr>
      </w:pPr>
      <w:r>
        <w:rPr>
          <w:rFonts w:hint="eastAsia" w:ascii="华文中宋" w:hAnsi="华文中宋" w:eastAsia="华文中宋" w:cs="华文中宋"/>
          <w:i w:val="0"/>
          <w:iCs w:val="0"/>
          <w:caps w:val="0"/>
          <w:color w:val="000000"/>
          <w:spacing w:val="0"/>
          <w:sz w:val="24"/>
          <w:szCs w:val="24"/>
          <w:shd w:val="clear" w:color="auto" w:fill="FFFFFF"/>
        </w:rPr>
        <w:t>地点：汉中市南郑区汉山街道办高庄村机电工业集中区二楼会议室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right="0"/>
        <w:jc w:val="both"/>
        <w:textAlignment w:val="auto"/>
        <w:rPr>
          <w:rFonts w:hint="eastAsia" w:ascii="华文中宋" w:hAnsi="华文中宋" w:eastAsia="华文中宋" w:cs="华文中宋"/>
          <w:b/>
          <w:bCs/>
          <w:i w:val="0"/>
          <w:iCs w:val="0"/>
          <w:caps w:val="0"/>
          <w:color w:val="000000"/>
          <w:spacing w:val="0"/>
          <w:sz w:val="24"/>
          <w:szCs w:val="24"/>
          <w:shd w:val="clear" w:color="auto" w:fill="FFFFFF"/>
        </w:rPr>
      </w:pPr>
      <w:r>
        <w:rPr>
          <w:rFonts w:hint="eastAsia" w:ascii="华文中宋" w:hAnsi="华文中宋" w:eastAsia="华文中宋" w:cs="华文中宋"/>
          <w:b/>
          <w:bCs/>
          <w:i w:val="0"/>
          <w:iCs w:val="0"/>
          <w:caps w:val="0"/>
          <w:color w:val="000000"/>
          <w:spacing w:val="0"/>
          <w:sz w:val="24"/>
          <w:szCs w:val="24"/>
          <w:shd w:val="clear" w:color="auto" w:fill="FFFFFF"/>
        </w:rPr>
        <w:t>六、公告期限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i w:val="0"/>
          <w:iCs w:val="0"/>
          <w:caps w:val="0"/>
          <w:color w:val="000000"/>
          <w:spacing w:val="0"/>
          <w:sz w:val="24"/>
          <w:szCs w:val="24"/>
        </w:rPr>
      </w:pPr>
      <w:r>
        <w:rPr>
          <w:rFonts w:hint="eastAsia" w:ascii="华文中宋" w:hAnsi="华文中宋" w:eastAsia="华文中宋" w:cs="华文中宋"/>
          <w:i w:val="0"/>
          <w:iCs w:val="0"/>
          <w:caps w:val="0"/>
          <w:color w:val="000000"/>
          <w:spacing w:val="0"/>
          <w:sz w:val="24"/>
          <w:szCs w:val="24"/>
          <w:shd w:val="clear" w:color="auto" w:fill="FFFFFF"/>
        </w:rPr>
        <w:t>自本公告发布之日起3个工作日。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right="0"/>
        <w:jc w:val="both"/>
        <w:textAlignment w:val="auto"/>
        <w:rPr>
          <w:rFonts w:hint="eastAsia" w:ascii="华文中宋" w:hAnsi="华文中宋" w:eastAsia="华文中宋" w:cs="华文中宋"/>
          <w:b/>
          <w:bCs/>
          <w:i w:val="0"/>
          <w:iCs w:val="0"/>
          <w:caps w:val="0"/>
          <w:color w:val="000000"/>
          <w:spacing w:val="0"/>
          <w:sz w:val="24"/>
          <w:szCs w:val="24"/>
          <w:shd w:val="clear" w:color="auto" w:fill="FFFFFF"/>
        </w:rPr>
      </w:pPr>
      <w:r>
        <w:rPr>
          <w:rFonts w:hint="eastAsia" w:ascii="华文中宋" w:hAnsi="华文中宋" w:eastAsia="华文中宋" w:cs="华文中宋"/>
          <w:b/>
          <w:bCs/>
          <w:i w:val="0"/>
          <w:iCs w:val="0"/>
          <w:caps w:val="0"/>
          <w:color w:val="000000"/>
          <w:spacing w:val="0"/>
          <w:sz w:val="24"/>
          <w:szCs w:val="24"/>
          <w:shd w:val="clear" w:color="auto" w:fill="FFFFFF"/>
        </w:rPr>
        <w:t>七、其他补充事宜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color w:val="000000"/>
          <w:sz w:val="24"/>
          <w:szCs w:val="24"/>
        </w:rPr>
      </w:pPr>
      <w:r>
        <w:rPr>
          <w:rFonts w:hint="eastAsia" w:ascii="华文中宋" w:hAnsi="华文中宋" w:eastAsia="华文中宋" w:cs="华文中宋"/>
          <w:i w:val="0"/>
          <w:iCs w:val="0"/>
          <w:caps w:val="0"/>
          <w:color w:val="000000"/>
          <w:spacing w:val="0"/>
          <w:sz w:val="24"/>
          <w:szCs w:val="24"/>
          <w:shd w:val="clear" w:color="auto" w:fill="FFFFFF"/>
        </w:rPr>
        <w:t>  1、潜在供应商获取竞争性磋商文件时需出示获取人身份证原件，并提交供应商出具的对获取人的介绍信原件以及获取人身份证复印件（加盖公章），本项目竞争性磋商文件不提供邮寄，现场现金购买，售后不退。</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color w:val="000000"/>
          <w:sz w:val="24"/>
          <w:szCs w:val="24"/>
        </w:rPr>
      </w:pPr>
      <w:r>
        <w:rPr>
          <w:rFonts w:hint="eastAsia" w:ascii="华文中宋" w:hAnsi="华文中宋" w:eastAsia="华文中宋" w:cs="华文中宋"/>
          <w:i w:val="0"/>
          <w:iCs w:val="0"/>
          <w:caps w:val="0"/>
          <w:color w:val="000000"/>
          <w:spacing w:val="0"/>
          <w:sz w:val="24"/>
          <w:szCs w:val="24"/>
          <w:shd w:val="clear" w:color="auto" w:fill="FFFFFF"/>
        </w:rPr>
        <w:t>  2、注意事项：根据《陕西省财政厅关于政府采购供应商注册登记有关事项的通知》的规定，供应商在获取竞争性磋商文件后，应及时注册登记加入陕西省政府采购供应商库。因供应商自身原因未及时登记入库而导致的一切后果由供应商自行承担。</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i w:val="0"/>
          <w:iCs w:val="0"/>
          <w:caps w:val="0"/>
          <w:color w:val="000000"/>
          <w:spacing w:val="0"/>
          <w:sz w:val="24"/>
          <w:szCs w:val="24"/>
          <w:shd w:val="clear" w:color="auto" w:fill="FFFFFF"/>
        </w:rPr>
      </w:pPr>
      <w:r>
        <w:rPr>
          <w:rFonts w:hint="eastAsia" w:ascii="华文中宋" w:hAnsi="华文中宋" w:eastAsia="华文中宋" w:cs="华文中宋"/>
          <w:i w:val="0"/>
          <w:iCs w:val="0"/>
          <w:caps w:val="0"/>
          <w:color w:val="000000"/>
          <w:spacing w:val="0"/>
          <w:sz w:val="24"/>
          <w:szCs w:val="24"/>
          <w:shd w:val="clear" w:color="auto" w:fill="FFFFFF"/>
        </w:rPr>
        <w:t>  3、本次采购落实政府采购政策：（1）《财政部 国家发展改革委关于印发〈节能产品政府采购实施意见〉的通知》（财库〔2004〕185号）； （2）《国务院办公厅关于建立政府强制采购节能产品制度的通知》（国办发〔2007〕51号）； （3）《财政部环保总局关于环境标志产品政府采购实施的意见》（财库〔2006〕90号）； （4）《政府采购促进中小企业发展管理办法》(财库〔2020〕46号）； （5）《财政部 司法部关于政府采购支持监狱企业发展有关问题的通知》（财库〔2014〕68号）； （6）《三部门联合发布关于促进残疾人就业政府采购政策的通知》（财库〔2017〕141号）; （7）《财政部发展改革委生态环境部市场监管总局关于调整优化节能产品、环境标志产品政府采购执行机制的通知》（财库〔2019〕9号）；（8）其他需要落实的采购政策。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24" w:lineRule="auto"/>
        <w:ind w:right="0"/>
        <w:jc w:val="both"/>
        <w:textAlignment w:val="auto"/>
        <w:rPr>
          <w:rFonts w:hint="eastAsia" w:ascii="华文中宋" w:hAnsi="华文中宋" w:eastAsia="华文中宋" w:cs="华文中宋"/>
          <w:b/>
          <w:bCs/>
          <w:i w:val="0"/>
          <w:iCs w:val="0"/>
          <w:caps w:val="0"/>
          <w:color w:val="000000"/>
          <w:spacing w:val="0"/>
          <w:sz w:val="24"/>
          <w:szCs w:val="24"/>
          <w:shd w:val="clear" w:color="auto" w:fill="FFFFFF"/>
        </w:rPr>
      </w:pPr>
      <w:r>
        <w:rPr>
          <w:rFonts w:hint="eastAsia" w:ascii="华文中宋" w:hAnsi="华文中宋" w:eastAsia="华文中宋" w:cs="华文中宋"/>
          <w:b/>
          <w:bCs/>
          <w:i w:val="0"/>
          <w:iCs w:val="0"/>
          <w:caps w:val="0"/>
          <w:color w:val="000000"/>
          <w:spacing w:val="0"/>
          <w:sz w:val="24"/>
          <w:szCs w:val="24"/>
          <w:shd w:val="clear" w:color="auto" w:fill="FFFFFF"/>
        </w:rPr>
        <w:t>八、凡对本次采购提出询问，请按以下方式联系。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华文中宋" w:hAnsi="华文中宋" w:eastAsia="华文中宋" w:cs="华文中宋"/>
          <w:b w:val="0"/>
          <w:bCs w:val="0"/>
          <w:color w:val="000000"/>
          <w:sz w:val="24"/>
          <w:szCs w:val="24"/>
        </w:rPr>
      </w:pPr>
      <w:r>
        <w:rPr>
          <w:rFonts w:hint="eastAsia" w:ascii="华文中宋" w:hAnsi="华文中宋" w:eastAsia="华文中宋" w:cs="华文中宋"/>
          <w:b w:val="0"/>
          <w:bCs w:val="0"/>
          <w:i w:val="0"/>
          <w:iCs w:val="0"/>
          <w:caps w:val="0"/>
          <w:color w:val="000000"/>
          <w:spacing w:val="0"/>
          <w:sz w:val="24"/>
          <w:szCs w:val="24"/>
          <w:shd w:val="clear" w:color="auto" w:fill="FFFFFF"/>
        </w:rPr>
        <w:t>1.采购人信息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color w:val="000000"/>
          <w:sz w:val="24"/>
          <w:szCs w:val="24"/>
          <w:lang w:val="en-US" w:eastAsia="zh-CN"/>
        </w:rPr>
      </w:pPr>
      <w:r>
        <w:rPr>
          <w:rFonts w:hint="eastAsia" w:ascii="华文中宋" w:hAnsi="华文中宋" w:eastAsia="华文中宋" w:cs="华文中宋"/>
          <w:i w:val="0"/>
          <w:iCs w:val="0"/>
          <w:caps w:val="0"/>
          <w:color w:val="000000"/>
          <w:spacing w:val="0"/>
          <w:sz w:val="24"/>
          <w:szCs w:val="24"/>
          <w:shd w:val="clear" w:color="auto" w:fill="FFFFFF"/>
        </w:rPr>
        <w:t>名称：</w:t>
      </w:r>
      <w:r>
        <w:rPr>
          <w:rFonts w:hint="eastAsia" w:ascii="华文中宋" w:hAnsi="华文中宋" w:eastAsia="华文中宋" w:cs="华文中宋"/>
          <w:i w:val="0"/>
          <w:iCs w:val="0"/>
          <w:caps w:val="0"/>
          <w:color w:val="000000"/>
          <w:spacing w:val="0"/>
          <w:sz w:val="24"/>
          <w:szCs w:val="24"/>
          <w:shd w:val="clear" w:color="auto" w:fill="FFFFFF"/>
          <w:lang w:val="en-US" w:eastAsia="zh-CN"/>
        </w:rPr>
        <w:t>略阳县自然资源局</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color w:val="000000"/>
          <w:sz w:val="24"/>
          <w:szCs w:val="24"/>
        </w:rPr>
      </w:pPr>
      <w:r>
        <w:rPr>
          <w:rFonts w:hint="eastAsia" w:ascii="华文中宋" w:hAnsi="华文中宋" w:eastAsia="华文中宋" w:cs="华文中宋"/>
          <w:i w:val="0"/>
          <w:iCs w:val="0"/>
          <w:caps w:val="0"/>
          <w:color w:val="000000"/>
          <w:spacing w:val="0"/>
          <w:sz w:val="24"/>
          <w:szCs w:val="24"/>
          <w:shd w:val="clear" w:color="auto" w:fill="FFFFFF"/>
        </w:rPr>
        <w:t>地址：略阳县狮凤中路人力资源大厦8楼</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color w:val="000000"/>
          <w:sz w:val="24"/>
          <w:szCs w:val="24"/>
        </w:rPr>
      </w:pPr>
      <w:r>
        <w:rPr>
          <w:rFonts w:hint="eastAsia" w:ascii="华文中宋" w:hAnsi="华文中宋" w:eastAsia="华文中宋" w:cs="华文中宋"/>
          <w:i w:val="0"/>
          <w:iCs w:val="0"/>
          <w:caps w:val="0"/>
          <w:color w:val="000000"/>
          <w:spacing w:val="0"/>
          <w:sz w:val="24"/>
          <w:szCs w:val="24"/>
          <w:shd w:val="clear" w:color="auto" w:fill="FFFFFF"/>
        </w:rPr>
        <w:t>联系方式：13892650234</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华文中宋" w:hAnsi="华文中宋" w:eastAsia="华文中宋" w:cs="华文中宋"/>
          <w:b w:val="0"/>
          <w:bCs w:val="0"/>
          <w:color w:val="000000"/>
          <w:sz w:val="24"/>
          <w:szCs w:val="24"/>
        </w:rPr>
      </w:pPr>
      <w:r>
        <w:rPr>
          <w:rFonts w:hint="eastAsia" w:ascii="华文中宋" w:hAnsi="华文中宋" w:eastAsia="华文中宋" w:cs="华文中宋"/>
          <w:b w:val="0"/>
          <w:bCs w:val="0"/>
          <w:i w:val="0"/>
          <w:iCs w:val="0"/>
          <w:caps w:val="0"/>
          <w:color w:val="000000"/>
          <w:spacing w:val="0"/>
          <w:sz w:val="24"/>
          <w:szCs w:val="24"/>
          <w:shd w:val="clear" w:color="auto" w:fill="FFFFFF"/>
        </w:rPr>
        <w:t>2.采购代理机构信息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color w:val="000000"/>
          <w:sz w:val="24"/>
          <w:szCs w:val="24"/>
        </w:rPr>
      </w:pPr>
      <w:r>
        <w:rPr>
          <w:rFonts w:hint="eastAsia" w:ascii="华文中宋" w:hAnsi="华文中宋" w:eastAsia="华文中宋" w:cs="华文中宋"/>
          <w:i w:val="0"/>
          <w:iCs w:val="0"/>
          <w:caps w:val="0"/>
          <w:color w:val="000000"/>
          <w:spacing w:val="0"/>
          <w:sz w:val="24"/>
          <w:szCs w:val="24"/>
          <w:shd w:val="clear" w:color="auto" w:fill="FFFFFF"/>
        </w:rPr>
        <w:t>名称：</w:t>
      </w:r>
      <w:r>
        <w:rPr>
          <w:rFonts w:hint="eastAsia" w:ascii="华文中宋" w:hAnsi="华文中宋" w:eastAsia="华文中宋" w:cs="华文中宋"/>
          <w:i w:val="0"/>
          <w:iCs w:val="0"/>
          <w:caps w:val="0"/>
          <w:color w:val="000000"/>
          <w:spacing w:val="0"/>
          <w:sz w:val="24"/>
          <w:szCs w:val="24"/>
          <w:shd w:val="clear" w:color="auto" w:fill="FFFFFF"/>
          <w:lang w:val="en-US" w:eastAsia="zh-CN"/>
        </w:rPr>
        <w:t>陕西信鹏</w:t>
      </w:r>
      <w:r>
        <w:rPr>
          <w:rFonts w:hint="eastAsia" w:ascii="华文中宋" w:hAnsi="华文中宋" w:eastAsia="华文中宋" w:cs="华文中宋"/>
          <w:i w:val="0"/>
          <w:iCs w:val="0"/>
          <w:caps w:val="0"/>
          <w:color w:val="000000"/>
          <w:spacing w:val="0"/>
          <w:sz w:val="24"/>
          <w:szCs w:val="24"/>
          <w:shd w:val="clear" w:color="auto" w:fill="FFFFFF"/>
        </w:rPr>
        <w:t>项目管理有限公司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color w:val="000000"/>
          <w:sz w:val="24"/>
          <w:szCs w:val="24"/>
        </w:rPr>
      </w:pPr>
      <w:r>
        <w:rPr>
          <w:rFonts w:hint="eastAsia" w:ascii="华文中宋" w:hAnsi="华文中宋" w:eastAsia="华文中宋" w:cs="华文中宋"/>
          <w:i w:val="0"/>
          <w:iCs w:val="0"/>
          <w:caps w:val="0"/>
          <w:color w:val="000000"/>
          <w:spacing w:val="0"/>
          <w:sz w:val="24"/>
          <w:szCs w:val="24"/>
          <w:shd w:val="clear" w:color="auto" w:fill="FFFFFF"/>
        </w:rPr>
        <w:t>地址：汉中市南郑区汉山街道办高庄村机电工业集中区二楼</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color w:val="000000"/>
          <w:sz w:val="24"/>
          <w:szCs w:val="24"/>
          <w:lang w:val="en-US" w:eastAsia="zh-CN"/>
        </w:rPr>
      </w:pPr>
      <w:r>
        <w:rPr>
          <w:rFonts w:hint="eastAsia" w:ascii="华文中宋" w:hAnsi="华文中宋" w:eastAsia="华文中宋" w:cs="华文中宋"/>
          <w:i w:val="0"/>
          <w:iCs w:val="0"/>
          <w:caps w:val="0"/>
          <w:color w:val="000000"/>
          <w:spacing w:val="0"/>
          <w:sz w:val="24"/>
          <w:szCs w:val="24"/>
          <w:shd w:val="clear" w:color="auto" w:fill="FFFFFF"/>
        </w:rPr>
        <w:t>联系方式：</w:t>
      </w:r>
      <w:r>
        <w:rPr>
          <w:rFonts w:hint="eastAsia" w:ascii="华文中宋" w:hAnsi="华文中宋" w:eastAsia="华文中宋" w:cs="华文中宋"/>
          <w:i w:val="0"/>
          <w:iCs w:val="0"/>
          <w:caps w:val="0"/>
          <w:color w:val="000000"/>
          <w:spacing w:val="0"/>
          <w:sz w:val="24"/>
          <w:szCs w:val="24"/>
          <w:shd w:val="clear" w:color="auto" w:fill="FFFFFF"/>
          <w:lang w:val="en-US" w:eastAsia="zh-CN"/>
        </w:rPr>
        <w:t>18191601833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华文中宋" w:hAnsi="华文中宋" w:eastAsia="华文中宋" w:cs="华文中宋"/>
          <w:b w:val="0"/>
          <w:bCs w:val="0"/>
          <w:color w:val="000000"/>
          <w:sz w:val="24"/>
          <w:szCs w:val="24"/>
        </w:rPr>
      </w:pPr>
      <w:r>
        <w:rPr>
          <w:rFonts w:hint="eastAsia" w:ascii="华文中宋" w:hAnsi="华文中宋" w:eastAsia="华文中宋" w:cs="华文中宋"/>
          <w:b w:val="0"/>
          <w:bCs w:val="0"/>
          <w:i w:val="0"/>
          <w:iCs w:val="0"/>
          <w:caps w:val="0"/>
          <w:color w:val="000000"/>
          <w:spacing w:val="0"/>
          <w:sz w:val="24"/>
          <w:szCs w:val="24"/>
          <w:shd w:val="clear" w:color="auto" w:fill="FFFFFF"/>
        </w:rPr>
        <w:t>3.项目联系方式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color w:val="000000"/>
          <w:sz w:val="24"/>
          <w:szCs w:val="24"/>
          <w:lang w:val="en-US"/>
        </w:rPr>
      </w:pPr>
      <w:r>
        <w:rPr>
          <w:rFonts w:hint="eastAsia" w:ascii="华文中宋" w:hAnsi="华文中宋" w:eastAsia="华文中宋" w:cs="华文中宋"/>
          <w:i w:val="0"/>
          <w:iCs w:val="0"/>
          <w:caps w:val="0"/>
          <w:color w:val="000000"/>
          <w:spacing w:val="0"/>
          <w:sz w:val="24"/>
          <w:szCs w:val="24"/>
          <w:shd w:val="clear" w:color="auto" w:fill="FFFFFF"/>
        </w:rPr>
        <w:t>项目联系人：</w:t>
      </w:r>
      <w:r>
        <w:rPr>
          <w:rFonts w:hint="eastAsia" w:ascii="华文中宋" w:hAnsi="华文中宋" w:eastAsia="华文中宋" w:cs="华文中宋"/>
          <w:i w:val="0"/>
          <w:iCs w:val="0"/>
          <w:caps w:val="0"/>
          <w:color w:val="000000"/>
          <w:spacing w:val="0"/>
          <w:sz w:val="24"/>
          <w:szCs w:val="24"/>
          <w:shd w:val="clear" w:color="auto" w:fill="FFFFFF"/>
          <w:lang w:val="en-US" w:eastAsia="zh-CN"/>
        </w:rPr>
        <w:t>杨工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4" w:lineRule="auto"/>
        <w:ind w:left="0" w:right="0" w:firstLine="480"/>
        <w:jc w:val="both"/>
        <w:textAlignment w:val="auto"/>
        <w:rPr>
          <w:rFonts w:hint="eastAsia" w:ascii="华文中宋" w:hAnsi="华文中宋" w:eastAsia="华文中宋" w:cs="华文中宋"/>
          <w:color w:val="000000"/>
          <w:sz w:val="24"/>
          <w:szCs w:val="24"/>
          <w:lang w:val="en-US" w:eastAsia="zh-CN"/>
        </w:rPr>
      </w:pPr>
      <w:r>
        <w:rPr>
          <w:rFonts w:hint="eastAsia" w:ascii="华文中宋" w:hAnsi="华文中宋" w:eastAsia="华文中宋" w:cs="华文中宋"/>
          <w:i w:val="0"/>
          <w:iCs w:val="0"/>
          <w:caps w:val="0"/>
          <w:color w:val="000000"/>
          <w:spacing w:val="0"/>
          <w:sz w:val="24"/>
          <w:szCs w:val="24"/>
          <w:shd w:val="clear" w:color="auto" w:fill="FFFFFF"/>
        </w:rPr>
        <w:t>电话：</w:t>
      </w:r>
      <w:r>
        <w:rPr>
          <w:rFonts w:hint="eastAsia" w:ascii="华文中宋" w:hAnsi="华文中宋" w:eastAsia="华文中宋" w:cs="华文中宋"/>
          <w:i w:val="0"/>
          <w:iCs w:val="0"/>
          <w:caps w:val="0"/>
          <w:color w:val="000000"/>
          <w:spacing w:val="0"/>
          <w:sz w:val="24"/>
          <w:szCs w:val="24"/>
          <w:shd w:val="clear" w:color="auto" w:fill="FFFFFF"/>
          <w:lang w:val="en-US" w:eastAsia="zh-CN"/>
        </w:rPr>
        <w:t>18191601833</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autoSpaceDE/>
        <w:autoSpaceDN/>
        <w:bidi w:val="0"/>
        <w:spacing w:before="0" w:beforeAutospacing="0" w:after="0" w:afterAutospacing="0" w:line="336" w:lineRule="auto"/>
        <w:ind w:right="0"/>
        <w:jc w:val="right"/>
        <w:textAlignment w:val="auto"/>
        <w:rPr>
          <w:rFonts w:hint="eastAsia" w:ascii="华文中宋" w:hAnsi="华文中宋" w:eastAsia="华文中宋" w:cs="华文中宋"/>
          <w:color w:val="000000"/>
          <w:sz w:val="24"/>
          <w:szCs w:val="24"/>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陕西信鹏</w:t>
      </w:r>
      <w:r>
        <w:rPr>
          <w:rFonts w:hint="eastAsia" w:ascii="华文中宋" w:hAnsi="华文中宋" w:eastAsia="华文中宋" w:cs="华文中宋"/>
          <w:i w:val="0"/>
          <w:iCs w:val="0"/>
          <w:caps w:val="0"/>
          <w:color w:val="000000"/>
          <w:spacing w:val="0"/>
          <w:sz w:val="24"/>
          <w:szCs w:val="24"/>
          <w:shd w:val="clear" w:color="auto" w:fill="FFFFFF"/>
        </w:rPr>
        <w:t>项目管理有限公司</w:t>
      </w:r>
    </w:p>
    <w:p>
      <w:pPr>
        <w:pStyle w:val="11"/>
        <w:keepNext w:val="0"/>
        <w:keepLines w:val="0"/>
        <w:pageBreakBefore w:val="0"/>
        <w:overflowPunct/>
        <w:topLinePunct w:val="0"/>
        <w:autoSpaceDE/>
        <w:autoSpaceDN/>
        <w:bidi w:val="0"/>
        <w:spacing w:line="336" w:lineRule="auto"/>
        <w:textAlignment w:val="auto"/>
        <w:rPr>
          <w:rFonts w:hint="eastAsia" w:ascii="华文中宋" w:hAnsi="华文中宋" w:eastAsia="华文中宋" w:cs="华文中宋"/>
          <w:b/>
          <w:sz w:val="36"/>
          <w:szCs w:val="36"/>
        </w:rPr>
      </w:pPr>
      <w:r>
        <w:rPr>
          <w:rFonts w:hint="eastAsia" w:ascii="华文中宋" w:hAnsi="华文中宋" w:eastAsia="华文中宋" w:cs="华文中宋"/>
          <w:color w:val="000000"/>
          <w:sz w:val="24"/>
          <w:szCs w:val="24"/>
          <w:lang w:val="en-US" w:eastAsia="zh-CN"/>
        </w:rPr>
        <w:t xml:space="preserve">                                                 </w:t>
      </w:r>
      <w:r>
        <w:rPr>
          <w:rFonts w:hint="eastAsia" w:ascii="华文中宋" w:hAnsi="华文中宋" w:eastAsia="华文中宋" w:cs="华文中宋"/>
          <w:i w:val="0"/>
          <w:iCs w:val="0"/>
          <w:caps w:val="0"/>
          <w:color w:val="000000"/>
          <w:spacing w:val="0"/>
          <w:kern w:val="2"/>
          <w:sz w:val="24"/>
          <w:szCs w:val="24"/>
          <w:shd w:val="clear" w:color="auto" w:fill="FFFFFF"/>
          <w:lang w:val="en-US" w:eastAsia="zh-CN" w:bidi="ar-SA"/>
        </w:rPr>
        <w:t>2022年5月27</w:t>
      </w:r>
      <w:r>
        <w:rPr>
          <w:rFonts w:hint="eastAsia" w:ascii="华文中宋" w:hAnsi="华文中宋" w:eastAsia="华文中宋" w:cs="华文中宋"/>
          <w:i w:val="0"/>
          <w:iCs w:val="0"/>
          <w:caps w:val="0"/>
          <w:color w:val="000000"/>
          <w:spacing w:val="0"/>
          <w:kern w:val="2"/>
          <w:sz w:val="22"/>
          <w:szCs w:val="22"/>
          <w:shd w:val="clear" w:color="auto" w:fill="FFFFFF"/>
          <w:lang w:val="en-US" w:eastAsia="zh-CN" w:bidi="ar-SA"/>
        </w:rPr>
        <w:t>日</w:t>
      </w:r>
    </w:p>
    <w:p>
      <w:pPr>
        <w:kinsoku w:val="0"/>
        <w:spacing w:line="600" w:lineRule="exact"/>
        <w:jc w:val="center"/>
        <w:outlineLvl w:val="0"/>
        <w:rPr>
          <w:rFonts w:hint="eastAsia" w:ascii="华文中宋" w:hAnsi="华文中宋" w:eastAsia="华文中宋" w:cs="华文中宋"/>
          <w:b/>
          <w:sz w:val="36"/>
          <w:szCs w:val="36"/>
        </w:rPr>
      </w:pPr>
    </w:p>
    <w:p>
      <w:pPr>
        <w:kinsoku w:val="0"/>
        <w:spacing w:line="600" w:lineRule="exact"/>
        <w:jc w:val="center"/>
        <w:outlineLvl w:val="0"/>
        <w:rPr>
          <w:rFonts w:hint="eastAsia" w:ascii="华文中宋" w:hAnsi="华文中宋" w:eastAsia="华文中宋" w:cs="华文中宋"/>
          <w:b/>
          <w:sz w:val="36"/>
          <w:szCs w:val="36"/>
        </w:rPr>
      </w:pPr>
    </w:p>
    <w:p>
      <w:pPr>
        <w:kinsoku w:val="0"/>
        <w:spacing w:line="600" w:lineRule="exact"/>
        <w:jc w:val="center"/>
        <w:outlineLvl w:val="0"/>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第二章  磋商供应商须知</w:t>
      </w:r>
      <w:bookmarkEnd w:id="6"/>
      <w:bookmarkEnd w:id="7"/>
      <w:bookmarkEnd w:id="8"/>
      <w:bookmarkEnd w:id="9"/>
      <w:bookmarkEnd w:id="10"/>
      <w:bookmarkEnd w:id="11"/>
    </w:p>
    <w:p>
      <w:pPr>
        <w:pStyle w:val="24"/>
        <w:spacing w:line="360" w:lineRule="auto"/>
        <w:ind w:firstLine="0"/>
        <w:jc w:val="center"/>
        <w:rPr>
          <w:rFonts w:hint="eastAsia" w:ascii="华文中宋" w:hAnsi="华文中宋" w:eastAsia="华文中宋" w:cs="华文中宋"/>
          <w:b/>
          <w:bCs/>
          <w:sz w:val="30"/>
        </w:rPr>
      </w:pPr>
      <w:r>
        <w:rPr>
          <w:rFonts w:hint="eastAsia" w:ascii="华文中宋" w:hAnsi="华文中宋" w:eastAsia="华文中宋" w:cs="华文中宋"/>
          <w:b/>
          <w:bCs/>
          <w:sz w:val="30"/>
        </w:rPr>
        <w:t>磋商供应商须知前附表</w:t>
      </w:r>
    </w:p>
    <w:tbl>
      <w:tblPr>
        <w:tblStyle w:val="28"/>
        <w:tblW w:w="9943" w:type="dxa"/>
        <w:jc w:val="center"/>
        <w:tblInd w:w="0" w:type="dxa"/>
        <w:tblLayout w:type="fixed"/>
        <w:tblCellMar>
          <w:top w:w="0" w:type="dxa"/>
          <w:left w:w="108" w:type="dxa"/>
          <w:bottom w:w="0" w:type="dxa"/>
          <w:right w:w="108" w:type="dxa"/>
        </w:tblCellMar>
      </w:tblPr>
      <w:tblGrid>
        <w:gridCol w:w="728"/>
        <w:gridCol w:w="1851"/>
        <w:gridCol w:w="7364"/>
      </w:tblGrid>
      <w:tr>
        <w:tblPrEx>
          <w:tblLayout w:type="fixed"/>
          <w:tblCellMar>
            <w:top w:w="0" w:type="dxa"/>
            <w:left w:w="108" w:type="dxa"/>
            <w:bottom w:w="0" w:type="dxa"/>
            <w:right w:w="108" w:type="dxa"/>
          </w:tblCellMar>
        </w:tblPrEx>
        <w:trPr>
          <w:trHeight w:val="549"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b/>
                <w:bCs/>
                <w:szCs w:val="21"/>
              </w:rPr>
            </w:pPr>
            <w:r>
              <w:rPr>
                <w:rFonts w:hint="eastAsia" w:ascii="华文中宋" w:hAnsi="华文中宋" w:eastAsia="华文中宋" w:cs="华文中宋"/>
                <w:b/>
                <w:bCs/>
                <w:szCs w:val="21"/>
              </w:rPr>
              <w:t>序号</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b/>
                <w:bCs/>
                <w:szCs w:val="21"/>
              </w:rPr>
            </w:pPr>
            <w:r>
              <w:rPr>
                <w:rFonts w:hint="eastAsia" w:ascii="华文中宋" w:hAnsi="华文中宋" w:eastAsia="华文中宋" w:cs="华文中宋"/>
                <w:b/>
                <w:bCs/>
                <w:szCs w:val="21"/>
              </w:rPr>
              <w:t>内容</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b/>
                <w:bCs/>
                <w:szCs w:val="21"/>
              </w:rPr>
            </w:pPr>
            <w:r>
              <w:rPr>
                <w:rFonts w:hint="eastAsia" w:ascii="华文中宋" w:hAnsi="华文中宋" w:eastAsia="华文中宋" w:cs="华文中宋"/>
                <w:b/>
                <w:bCs/>
                <w:szCs w:val="21"/>
              </w:rPr>
              <w:t>要求与说明</w:t>
            </w:r>
          </w:p>
        </w:tc>
      </w:tr>
      <w:tr>
        <w:tblPrEx>
          <w:tblLayout w:type="fixed"/>
          <w:tblCellMar>
            <w:top w:w="0" w:type="dxa"/>
            <w:left w:w="108" w:type="dxa"/>
            <w:bottom w:w="0" w:type="dxa"/>
            <w:right w:w="108" w:type="dxa"/>
          </w:tblCellMar>
        </w:tblPrEx>
        <w:trPr>
          <w:trHeight w:val="701"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项目名称</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略阳县秦岭保护区矿业权退出评估项目</w:t>
            </w:r>
          </w:p>
        </w:tc>
      </w:tr>
      <w:tr>
        <w:tblPrEx>
          <w:tblLayout w:type="fixed"/>
          <w:tblCellMar>
            <w:top w:w="0" w:type="dxa"/>
            <w:left w:w="108" w:type="dxa"/>
            <w:bottom w:w="0" w:type="dxa"/>
            <w:right w:w="108" w:type="dxa"/>
          </w:tblCellMar>
        </w:tblPrEx>
        <w:trPr>
          <w:trHeight w:val="778"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2</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采购项目编号</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szCs w:val="21"/>
              </w:rPr>
              <w:t>XPXM-HZ-2022-02</w:t>
            </w:r>
          </w:p>
        </w:tc>
      </w:tr>
      <w:tr>
        <w:tblPrEx>
          <w:tblLayout w:type="fixed"/>
          <w:tblCellMar>
            <w:top w:w="0" w:type="dxa"/>
            <w:left w:w="108" w:type="dxa"/>
            <w:bottom w:w="0" w:type="dxa"/>
            <w:right w:w="108" w:type="dxa"/>
          </w:tblCellMar>
        </w:tblPrEx>
        <w:trPr>
          <w:trHeight w:val="117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3</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采购人信息</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名称：略阳县自然资源局</w:t>
            </w:r>
          </w:p>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地址：略阳县狮凤中路人力资源大厦8楼</w:t>
            </w:r>
          </w:p>
          <w:p>
            <w:pPr>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联系人：王先生</w:t>
            </w:r>
          </w:p>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联系方式：13892650234</w:t>
            </w:r>
          </w:p>
        </w:tc>
      </w:tr>
      <w:tr>
        <w:tblPrEx>
          <w:tblLayout w:type="fixed"/>
          <w:tblCellMar>
            <w:top w:w="0" w:type="dxa"/>
            <w:left w:w="108" w:type="dxa"/>
            <w:bottom w:w="0" w:type="dxa"/>
            <w:right w:w="108" w:type="dxa"/>
          </w:tblCellMar>
        </w:tblPrEx>
        <w:trPr>
          <w:trHeight w:val="1402"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4</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采购代理</w:t>
            </w:r>
          </w:p>
          <w:p>
            <w:pPr>
              <w:jc w:val="center"/>
              <w:rPr>
                <w:rFonts w:hint="eastAsia" w:ascii="华文中宋" w:hAnsi="华文中宋" w:eastAsia="华文中宋" w:cs="华文中宋"/>
                <w:szCs w:val="21"/>
              </w:rPr>
            </w:pPr>
            <w:r>
              <w:rPr>
                <w:rFonts w:hint="eastAsia" w:ascii="华文中宋" w:hAnsi="华文中宋" w:eastAsia="华文中宋" w:cs="华文中宋"/>
                <w:szCs w:val="21"/>
              </w:rPr>
              <w:t>机构信息</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szCs w:val="21"/>
              </w:rPr>
              <w:t>名称：陕西信鹏项目管理有限公司</w:t>
            </w:r>
          </w:p>
          <w:p>
            <w:pPr>
              <w:rPr>
                <w:rFonts w:hint="eastAsia" w:ascii="华文中宋" w:hAnsi="华文中宋" w:eastAsia="华文中宋" w:cs="华文中宋"/>
                <w:szCs w:val="21"/>
              </w:rPr>
            </w:pPr>
            <w:r>
              <w:rPr>
                <w:rFonts w:hint="eastAsia" w:ascii="华文中宋" w:hAnsi="华文中宋" w:eastAsia="华文中宋" w:cs="华文中宋"/>
                <w:szCs w:val="21"/>
              </w:rPr>
              <w:t>地址：汉中市南郑区汉山街道办高庄村机电工业集中区二楼</w:t>
            </w:r>
          </w:p>
          <w:p>
            <w:pPr>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联系人：杨工</w:t>
            </w:r>
          </w:p>
          <w:p>
            <w:pPr>
              <w:rPr>
                <w:rFonts w:hint="eastAsia" w:ascii="华文中宋" w:hAnsi="华文中宋" w:eastAsia="华文中宋" w:cs="华文中宋"/>
                <w:szCs w:val="21"/>
              </w:rPr>
            </w:pPr>
            <w:r>
              <w:rPr>
                <w:rFonts w:hint="eastAsia" w:ascii="华文中宋" w:hAnsi="华文中宋" w:eastAsia="华文中宋" w:cs="华文中宋"/>
                <w:szCs w:val="21"/>
              </w:rPr>
              <w:t>联系方式：18191601833</w:t>
            </w:r>
          </w:p>
        </w:tc>
      </w:tr>
      <w:tr>
        <w:tblPrEx>
          <w:tblLayout w:type="fixed"/>
          <w:tblCellMar>
            <w:top w:w="0" w:type="dxa"/>
            <w:left w:w="108" w:type="dxa"/>
            <w:bottom w:w="0" w:type="dxa"/>
            <w:right w:w="108" w:type="dxa"/>
          </w:tblCellMar>
        </w:tblPrEx>
        <w:trPr>
          <w:trHeight w:val="645"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5</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采购内容</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szCs w:val="21"/>
              </w:rPr>
              <w:t>主要采购内容见第四章《采购内容及具体要求》</w:t>
            </w:r>
          </w:p>
        </w:tc>
      </w:tr>
      <w:tr>
        <w:tblPrEx>
          <w:tblLayout w:type="fixed"/>
          <w:tblCellMar>
            <w:top w:w="0" w:type="dxa"/>
            <w:left w:w="108" w:type="dxa"/>
            <w:bottom w:w="0" w:type="dxa"/>
            <w:right w:w="108" w:type="dxa"/>
          </w:tblCellMar>
        </w:tblPrEx>
        <w:trPr>
          <w:trHeight w:val="63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6</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组织方式</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szCs w:val="21"/>
              </w:rPr>
              <w:t>部门集中采购</w:t>
            </w:r>
          </w:p>
        </w:tc>
      </w:tr>
      <w:tr>
        <w:tblPrEx>
          <w:tblLayout w:type="fixed"/>
          <w:tblCellMar>
            <w:top w:w="0" w:type="dxa"/>
            <w:left w:w="108" w:type="dxa"/>
            <w:bottom w:w="0" w:type="dxa"/>
            <w:right w:w="108" w:type="dxa"/>
          </w:tblCellMar>
        </w:tblPrEx>
        <w:trPr>
          <w:trHeight w:val="645"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7</w:t>
            </w:r>
          </w:p>
        </w:tc>
        <w:tc>
          <w:tcPr>
            <w:tcW w:w="1851"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采购预算</w:t>
            </w:r>
          </w:p>
        </w:tc>
        <w:tc>
          <w:tcPr>
            <w:tcW w:w="7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华文中宋" w:hAnsi="华文中宋" w:eastAsia="华文中宋" w:cs="华文中宋"/>
                <w:szCs w:val="21"/>
                <w:highlight w:val="none"/>
              </w:rPr>
            </w:pPr>
            <w:r>
              <w:rPr>
                <w:rFonts w:hint="eastAsia" w:ascii="华文中宋" w:hAnsi="华文中宋" w:eastAsia="华文中宋" w:cs="华文中宋"/>
                <w:sz w:val="22"/>
                <w:szCs w:val="22"/>
                <w:highlight w:val="none"/>
                <w:lang w:val="en-US" w:eastAsia="zh-CN"/>
              </w:rPr>
              <w:t>93</w:t>
            </w:r>
            <w:r>
              <w:rPr>
                <w:rFonts w:hint="eastAsia" w:ascii="华文中宋" w:hAnsi="华文中宋" w:eastAsia="华文中宋" w:cs="华文中宋"/>
                <w:sz w:val="22"/>
                <w:szCs w:val="22"/>
                <w:highlight w:val="none"/>
              </w:rPr>
              <w:t>0000.00元</w:t>
            </w:r>
            <w:r>
              <w:rPr>
                <w:rFonts w:hint="eastAsia" w:ascii="华文中宋" w:hAnsi="华文中宋" w:eastAsia="华文中宋" w:cs="华文中宋"/>
                <w:szCs w:val="21"/>
                <w:highlight w:val="none"/>
              </w:rPr>
              <w:t>（供应商报价不得高于此采购预算）</w:t>
            </w:r>
          </w:p>
        </w:tc>
      </w:tr>
      <w:tr>
        <w:tblPrEx>
          <w:tblLayout w:type="fixed"/>
          <w:tblCellMar>
            <w:top w:w="0" w:type="dxa"/>
            <w:left w:w="108" w:type="dxa"/>
            <w:bottom w:w="0" w:type="dxa"/>
            <w:right w:w="108" w:type="dxa"/>
          </w:tblCellMar>
        </w:tblPrEx>
        <w:trPr>
          <w:trHeight w:val="795" w:hRule="atLeast"/>
          <w:jc w:val="center"/>
        </w:trPr>
        <w:tc>
          <w:tcPr>
            <w:tcW w:w="728"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8</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磋商响应文件</w:t>
            </w:r>
          </w:p>
          <w:p>
            <w:pPr>
              <w:jc w:val="center"/>
              <w:rPr>
                <w:rFonts w:hint="eastAsia" w:ascii="华文中宋" w:hAnsi="华文中宋" w:eastAsia="华文中宋" w:cs="华文中宋"/>
                <w:szCs w:val="21"/>
              </w:rPr>
            </w:pPr>
            <w:r>
              <w:rPr>
                <w:rFonts w:hint="eastAsia" w:ascii="华文中宋" w:hAnsi="华文中宋" w:eastAsia="华文中宋" w:cs="华文中宋"/>
                <w:szCs w:val="21"/>
              </w:rPr>
              <w:t>有效期</w:t>
            </w:r>
          </w:p>
        </w:tc>
        <w:tc>
          <w:tcPr>
            <w:tcW w:w="7364" w:type="dxa"/>
            <w:tcBorders>
              <w:top w:val="single" w:color="auto" w:sz="4" w:space="0"/>
              <w:left w:val="single" w:color="000000" w:sz="4" w:space="0"/>
              <w:bottom w:val="single" w:color="auto"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szCs w:val="21"/>
              </w:rPr>
              <w:t>有效期为 90 天（法人授权书、响应函）</w:t>
            </w:r>
          </w:p>
        </w:tc>
      </w:tr>
      <w:tr>
        <w:tblPrEx>
          <w:tblLayout w:type="fixed"/>
          <w:tblCellMar>
            <w:top w:w="0" w:type="dxa"/>
            <w:left w:w="108" w:type="dxa"/>
            <w:bottom w:w="0" w:type="dxa"/>
            <w:right w:w="108" w:type="dxa"/>
          </w:tblCellMar>
        </w:tblPrEx>
        <w:trPr>
          <w:trHeight w:val="844"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9</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文件份数</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磋商响应文件正本1份、副本2份，磋商响应文件电子版U盘1份</w:t>
            </w:r>
            <w:r>
              <w:rPr>
                <w:rFonts w:hint="eastAsia" w:ascii="华文中宋" w:hAnsi="华文中宋" w:eastAsia="华文中宋" w:cs="华文中宋"/>
                <w:kern w:val="1"/>
                <w:szCs w:val="21"/>
                <w:highlight w:val="none"/>
              </w:rPr>
              <w:t>（随</w:t>
            </w:r>
            <w:r>
              <w:rPr>
                <w:rFonts w:hint="eastAsia" w:ascii="华文中宋" w:hAnsi="华文中宋" w:eastAsia="华文中宋" w:cs="华文中宋"/>
                <w:kern w:val="1"/>
                <w:szCs w:val="21"/>
                <w:highlight w:val="none"/>
                <w:lang w:val="en-US" w:eastAsia="zh-CN"/>
              </w:rPr>
              <w:t>响应</w:t>
            </w:r>
            <w:r>
              <w:rPr>
                <w:rFonts w:hint="eastAsia" w:ascii="华文中宋" w:hAnsi="华文中宋" w:eastAsia="华文中宋" w:cs="华文中宋"/>
                <w:kern w:val="1"/>
                <w:szCs w:val="21"/>
                <w:highlight w:val="none"/>
              </w:rPr>
              <w:t>文件正本封装）</w:t>
            </w:r>
          </w:p>
        </w:tc>
      </w:tr>
      <w:tr>
        <w:tblPrEx>
          <w:tblLayout w:type="fixed"/>
          <w:tblCellMar>
            <w:top w:w="0" w:type="dxa"/>
            <w:left w:w="108" w:type="dxa"/>
            <w:bottom w:w="0" w:type="dxa"/>
            <w:right w:w="108" w:type="dxa"/>
          </w:tblCellMar>
        </w:tblPrEx>
        <w:trPr>
          <w:trHeight w:val="741" w:hRule="atLeast"/>
          <w:jc w:val="center"/>
        </w:trPr>
        <w:tc>
          <w:tcPr>
            <w:tcW w:w="728" w:type="dxa"/>
            <w:tcBorders>
              <w:top w:val="single" w:color="000000" w:sz="4" w:space="0"/>
              <w:left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10</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评审方法</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szCs w:val="21"/>
              </w:rPr>
              <w:t>详见《第三章》评审方法（综合评分法）</w:t>
            </w:r>
          </w:p>
        </w:tc>
      </w:tr>
      <w:tr>
        <w:tblPrEx>
          <w:tblLayout w:type="fixed"/>
          <w:tblCellMar>
            <w:top w:w="0" w:type="dxa"/>
            <w:left w:w="108" w:type="dxa"/>
            <w:bottom w:w="0" w:type="dxa"/>
            <w:right w:w="108" w:type="dxa"/>
          </w:tblCellMar>
        </w:tblPrEx>
        <w:trPr>
          <w:trHeight w:val="892"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11</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磋商供应商</w:t>
            </w:r>
          </w:p>
          <w:p>
            <w:pPr>
              <w:jc w:val="center"/>
              <w:rPr>
                <w:rFonts w:hint="eastAsia" w:ascii="华文中宋" w:hAnsi="华文中宋" w:eastAsia="华文中宋" w:cs="华文中宋"/>
                <w:szCs w:val="21"/>
              </w:rPr>
            </w:pPr>
            <w:r>
              <w:rPr>
                <w:rFonts w:hint="eastAsia" w:ascii="华文中宋" w:hAnsi="华文中宋" w:eastAsia="华文中宋" w:cs="华文中宋"/>
                <w:szCs w:val="21"/>
              </w:rPr>
              <w:t>资格要求</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szCs w:val="21"/>
              </w:rPr>
            </w:pPr>
            <w:r>
              <w:rPr>
                <w:rFonts w:hint="eastAsia" w:ascii="华文中宋" w:hAnsi="华文中宋" w:eastAsia="华文中宋" w:cs="华文中宋"/>
              </w:rPr>
              <w:t>1</w:t>
            </w:r>
            <w:r>
              <w:rPr>
                <w:rFonts w:hint="eastAsia" w:ascii="华文中宋" w:hAnsi="华文中宋" w:eastAsia="华文中宋" w:cs="华文中宋"/>
                <w:szCs w:val="21"/>
              </w:rPr>
              <w:t>、满足《中华人民共和国政府采购法》第二十二条规定；</w:t>
            </w:r>
          </w:p>
          <w:p>
            <w:pPr>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2、落实政府采购政策需满足的资格要求：本项目专门面向中小企业采购,所提供服务的供应商须为中小微企业或监狱企业或残疾人福利性单位</w:t>
            </w:r>
          </w:p>
          <w:p>
            <w:pPr>
              <w:rPr>
                <w:rFonts w:hint="eastAsia" w:ascii="华文中宋" w:hAnsi="华文中宋" w:eastAsia="华文中宋" w:cs="华文中宋"/>
                <w:szCs w:val="21"/>
              </w:rPr>
            </w:pPr>
            <w:r>
              <w:rPr>
                <w:rFonts w:hint="eastAsia" w:ascii="华文中宋" w:hAnsi="华文中宋" w:eastAsia="华文中宋" w:cs="华文中宋"/>
                <w:szCs w:val="21"/>
              </w:rPr>
              <w:t>3、本项目的特定资格要求：</w:t>
            </w:r>
          </w:p>
          <w:p>
            <w:pP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3.1、</w:t>
            </w:r>
            <w:r>
              <w:rPr>
                <w:rFonts w:hint="eastAsia" w:ascii="华文中宋" w:hAnsi="华文中宋" w:eastAsia="华文中宋" w:cs="华文中宋"/>
                <w:szCs w:val="21"/>
              </w:rPr>
              <w:t>法定代表人直接参加磋商的，须出具法人身份证；法定代表人授权代表参加磋商的，须出具法定代表人授权书及授权代表身份证；</w:t>
            </w:r>
          </w:p>
          <w:p>
            <w:pP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3.2、</w:t>
            </w:r>
            <w:r>
              <w:rPr>
                <w:rFonts w:hint="eastAsia" w:ascii="华文中宋" w:hAnsi="华文中宋" w:eastAsia="华文中宋" w:cs="华文中宋"/>
                <w:szCs w:val="21"/>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rPr>
                <w:rFonts w:hint="eastAsia" w:ascii="华文中宋" w:hAnsi="华文中宋" w:eastAsia="华文中宋" w:cs="华文中宋"/>
                <w:szCs w:val="21"/>
              </w:rPr>
            </w:pPr>
            <w:r>
              <w:rPr>
                <w:rFonts w:hint="eastAsia" w:ascii="华文中宋" w:hAnsi="华文中宋" w:eastAsia="华文中宋" w:cs="华文中宋"/>
                <w:szCs w:val="21"/>
              </w:rPr>
              <w:t>3.3、供应商须具备探矿权采矿权评估资格证</w:t>
            </w:r>
            <w:r>
              <w:rPr>
                <w:rFonts w:hint="eastAsia" w:ascii="华文中宋" w:hAnsi="华文中宋" w:eastAsia="华文中宋" w:cs="华文中宋"/>
                <w:szCs w:val="21"/>
                <w:lang w:val="en-US" w:eastAsia="zh-CN"/>
              </w:rPr>
              <w:t>及</w:t>
            </w:r>
            <w:r>
              <w:rPr>
                <w:rFonts w:hint="eastAsia" w:ascii="华文中宋" w:hAnsi="华文中宋" w:eastAsia="华文中宋" w:cs="华文中宋"/>
                <w:szCs w:val="21"/>
              </w:rPr>
              <w:t xml:space="preserve">相关行政主管部门出具的有效资产评估资格备案证明； </w:t>
            </w:r>
          </w:p>
          <w:p>
            <w:pPr>
              <w:rPr>
                <w:rFonts w:hint="eastAsia" w:ascii="华文中宋" w:hAnsi="华文中宋" w:eastAsia="华文中宋" w:cs="华文中宋"/>
                <w:szCs w:val="21"/>
                <w:lang w:eastAsia="zh-CN"/>
              </w:rPr>
            </w:pPr>
            <w:r>
              <w:rPr>
                <w:rFonts w:hint="eastAsia" w:ascii="华文中宋" w:hAnsi="华文中宋" w:eastAsia="华文中宋" w:cs="华文中宋"/>
                <w:szCs w:val="21"/>
                <w:lang w:val="en-US" w:eastAsia="zh-CN"/>
              </w:rPr>
              <w:t>3.4、</w:t>
            </w:r>
            <w:r>
              <w:rPr>
                <w:rFonts w:hint="eastAsia" w:ascii="华文中宋" w:hAnsi="华文中宋" w:eastAsia="华文中宋" w:cs="华文中宋"/>
                <w:szCs w:val="21"/>
              </w:rPr>
              <w:t>项目负责人具有矿业权评估师</w:t>
            </w:r>
            <w:r>
              <w:rPr>
                <w:rFonts w:hint="eastAsia" w:ascii="华文中宋" w:hAnsi="华文中宋" w:eastAsia="华文中宋" w:cs="华文中宋"/>
                <w:szCs w:val="21"/>
                <w:lang w:val="en-US" w:eastAsia="zh-CN"/>
              </w:rPr>
              <w:t>或</w:t>
            </w:r>
            <w:r>
              <w:rPr>
                <w:rFonts w:hint="eastAsia" w:ascii="华文中宋" w:hAnsi="华文中宋" w:eastAsia="华文中宋" w:cs="华文中宋"/>
                <w:szCs w:val="21"/>
              </w:rPr>
              <w:t>资产评估师职业资格证书；</w:t>
            </w:r>
          </w:p>
          <w:p>
            <w:pPr>
              <w:rPr>
                <w:rFonts w:hint="eastAsia" w:ascii="华文中宋" w:hAnsi="华文中宋" w:eastAsia="华文中宋" w:cs="华文中宋"/>
                <w:lang w:val="en-US" w:eastAsia="zh-CN"/>
              </w:rPr>
            </w:pPr>
            <w:r>
              <w:rPr>
                <w:rFonts w:hint="eastAsia" w:ascii="华文中宋" w:hAnsi="华文中宋" w:eastAsia="华文中宋" w:cs="华文中宋"/>
                <w:szCs w:val="21"/>
                <w:lang w:val="en-US" w:eastAsia="zh-CN"/>
              </w:rPr>
              <w:t>4、需</w:t>
            </w:r>
            <w:r>
              <w:rPr>
                <w:rFonts w:hint="eastAsia" w:ascii="华文中宋" w:hAnsi="华文中宋" w:eastAsia="华文中宋" w:cs="华文中宋"/>
                <w:szCs w:val="21"/>
              </w:rPr>
              <w:t>落实政府采购政策要求：（1）《财政部 国家发展改革委关于印发〈节能产品政府采购实施意见〉的通知》（财库〔2004〕185号）； （2）《国务院办公厅关于建立政府强制采购节能产品制度的通知》（国办发〔2007〕51号）； （3）《财政部环保总局关于环境标志产品政府采购实施的意见》（财库〔2006〕90号）； （4）《政府采购促进中小企业发展管理办法》(财库〔2020〕46号）； （5）《财政部 司法部关于政府采购支持监狱企业发展有关问题的通知》（财库〔2014〕68号）； （6）《三部门联合发布关于促进残疾人就业政府采购政策的通知》（财库〔2017〕141号）; （7）《财政部发展改革委生态环境部市场监管总局关于调整优化节能产品、环境标志产品政府采购执行机制的通知》（财库〔2019〕9号）；（8）其他需要落实的采购政策。</w:t>
            </w:r>
          </w:p>
        </w:tc>
      </w:tr>
      <w:tr>
        <w:tblPrEx>
          <w:tblLayout w:type="fixed"/>
          <w:tblCellMar>
            <w:top w:w="0" w:type="dxa"/>
            <w:left w:w="108" w:type="dxa"/>
            <w:bottom w:w="0" w:type="dxa"/>
            <w:right w:w="108" w:type="dxa"/>
          </w:tblCellMar>
        </w:tblPrEx>
        <w:trPr>
          <w:trHeight w:val="282"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12</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供应商需提交的资格证明文件及相关要求</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numPr>
                <w:ilvl w:val="0"/>
                <w:numId w:val="2"/>
              </w:numPr>
              <w:rPr>
                <w:rFonts w:hint="eastAsia" w:ascii="华文中宋" w:hAnsi="华文中宋" w:eastAsia="华文中宋" w:cs="华文中宋"/>
                <w:color w:val="auto"/>
                <w:highlight w:val="none"/>
                <w:u w:val="double"/>
              </w:rPr>
            </w:pPr>
            <w:r>
              <w:rPr>
                <w:rFonts w:hint="eastAsia" w:ascii="华文中宋" w:hAnsi="华文中宋" w:eastAsia="华文中宋" w:cs="华文中宋"/>
                <w:color w:val="auto"/>
                <w:highlight w:val="none"/>
              </w:rPr>
              <w:t>具有独立承担民事责任能力的法人、其他组织或自然人，并出具合法有效的营业执照或事业单位法人证书等国家规定的相关证明，自然人参与的提供其身份证明。</w:t>
            </w:r>
            <w:r>
              <w:rPr>
                <w:rFonts w:hint="eastAsia" w:ascii="华文中宋" w:hAnsi="华文中宋" w:eastAsia="华文中宋" w:cs="华文中宋"/>
                <w:color w:val="auto"/>
                <w:highlight w:val="none"/>
                <w:u w:val="double"/>
                <w:lang w:eastAsia="zh-CN"/>
              </w:rPr>
              <w:t>（材料应清晰可辨认并加盖公章）</w:t>
            </w:r>
          </w:p>
          <w:p>
            <w:pPr>
              <w:numPr>
                <w:ilvl w:val="0"/>
                <w:numId w:val="2"/>
              </w:numPr>
              <w:rPr>
                <w:rFonts w:hint="eastAsia" w:ascii="华文中宋" w:hAnsi="华文中宋" w:eastAsia="华文中宋" w:cs="华文中宋"/>
                <w:color w:val="auto"/>
                <w:highlight w:val="none"/>
                <w:u w:val="double"/>
              </w:rPr>
            </w:pPr>
            <w:r>
              <w:rPr>
                <w:rFonts w:hint="eastAsia" w:ascii="华文中宋" w:hAnsi="华文中宋" w:eastAsia="华文中宋" w:cs="华文中宋"/>
                <w:color w:val="auto"/>
                <w:highlight w:val="none"/>
              </w:rPr>
              <w:t>财务状况：提供20</w:t>
            </w:r>
            <w:r>
              <w:rPr>
                <w:rFonts w:hint="eastAsia" w:ascii="华文中宋" w:hAnsi="华文中宋" w:eastAsia="华文中宋" w:cs="华文中宋"/>
                <w:color w:val="auto"/>
                <w:highlight w:val="none"/>
                <w:lang w:val="en-US" w:eastAsia="zh-CN"/>
              </w:rPr>
              <w:t>20</w:t>
            </w:r>
            <w:r>
              <w:rPr>
                <w:rFonts w:hint="eastAsia" w:ascii="华文中宋" w:hAnsi="华文中宋" w:eastAsia="华文中宋" w:cs="华文中宋"/>
                <w:color w:val="auto"/>
                <w:highlight w:val="none"/>
              </w:rPr>
              <w:t>或202</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年任意一年度的具有财务审计资质的单位出具的财务报告（成立时间至提交响应时间不足一年的可提供任意时段的资产负债表），或开标时间前三个月内其基本存款账户开户银行出具的资信证明，或政府采购信用担保机构出具的投标担保函。其他组织和自然人提供银行出具的资信证明；</w:t>
            </w:r>
            <w:r>
              <w:rPr>
                <w:rFonts w:hint="eastAsia" w:ascii="华文中宋" w:hAnsi="华文中宋" w:eastAsia="华文中宋" w:cs="华文中宋"/>
                <w:color w:val="auto"/>
                <w:highlight w:val="none"/>
                <w:u w:val="double"/>
                <w:lang w:eastAsia="zh-CN"/>
              </w:rPr>
              <w:t>（材料应清晰可辨认并加盖公章）</w:t>
            </w:r>
            <w:r>
              <w:rPr>
                <w:rFonts w:hint="eastAsia" w:ascii="华文中宋" w:hAnsi="华文中宋" w:eastAsia="华文中宋" w:cs="华文中宋"/>
                <w:color w:val="auto"/>
                <w:highlight w:val="none"/>
              </w:rPr>
              <w:t xml:space="preserve"> </w:t>
            </w:r>
          </w:p>
          <w:p>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3、税收缴纳证明：提供响应文件递交截止时间前6个月内任意1个月的缴费凭据；（依法免税的供应商应提供相关文件证明）；</w:t>
            </w:r>
            <w:r>
              <w:rPr>
                <w:rFonts w:hint="eastAsia" w:ascii="华文中宋" w:hAnsi="华文中宋" w:eastAsia="华文中宋" w:cs="华文中宋"/>
                <w:color w:val="auto"/>
                <w:highlight w:val="none"/>
                <w:u w:val="double"/>
                <w:lang w:eastAsia="zh-CN"/>
              </w:rPr>
              <w:t>（材料应清晰可辨认并加盖公章）</w:t>
            </w:r>
          </w:p>
          <w:p>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4、社会保障资金缴纳证明：提供响应文件递交截止时间前6个月内任意1个月的社会保障资金缴存证明或社保机构开具的社会保险参保缴费情况证明，依法不需要缴纳社会保障资金的单位应提供相关证明材料；</w:t>
            </w:r>
            <w:r>
              <w:rPr>
                <w:rFonts w:hint="eastAsia" w:ascii="华文中宋" w:hAnsi="华文中宋" w:eastAsia="华文中宋" w:cs="华文中宋"/>
                <w:color w:val="auto"/>
                <w:highlight w:val="none"/>
                <w:u w:val="double"/>
                <w:lang w:eastAsia="zh-CN"/>
              </w:rPr>
              <w:t>（材料应清晰可辨认并加盖公章）</w:t>
            </w:r>
            <w:r>
              <w:rPr>
                <w:rFonts w:hint="eastAsia" w:ascii="华文中宋" w:hAnsi="华文中宋" w:eastAsia="华文中宋" w:cs="华文中宋"/>
                <w:color w:val="auto"/>
                <w:highlight w:val="none"/>
              </w:rPr>
              <w:t xml:space="preserve"> </w:t>
            </w:r>
          </w:p>
          <w:p>
            <w:pPr>
              <w:rPr>
                <w:rFonts w:hint="eastAsia" w:ascii="华文中宋" w:hAnsi="华文中宋" w:eastAsia="华文中宋" w:cs="华文中宋"/>
                <w:color w:val="auto"/>
                <w:highlight w:val="none"/>
                <w:u w:val="double"/>
                <w:lang w:eastAsia="zh-CN"/>
              </w:rPr>
            </w:pPr>
            <w:r>
              <w:rPr>
                <w:rFonts w:hint="eastAsia" w:ascii="华文中宋" w:hAnsi="华文中宋" w:eastAsia="华文中宋" w:cs="华文中宋"/>
                <w:color w:val="auto"/>
                <w:highlight w:val="none"/>
              </w:rPr>
              <w:t>5、提供具有履行本合同所必需的设备和专业技术能力的说明及承诺；</w:t>
            </w:r>
            <w:r>
              <w:rPr>
                <w:rFonts w:hint="eastAsia" w:ascii="华文中宋" w:hAnsi="华文中宋" w:eastAsia="华文中宋" w:cs="华文中宋"/>
                <w:color w:val="auto"/>
                <w:highlight w:val="none"/>
                <w:u w:val="double"/>
                <w:lang w:eastAsia="zh-CN"/>
              </w:rPr>
              <w:t>（原件，格式内容自拟）</w:t>
            </w:r>
          </w:p>
          <w:p>
            <w:pPr>
              <w:rPr>
                <w:rFonts w:hint="eastAsia" w:ascii="华文中宋" w:hAnsi="华文中宋" w:eastAsia="华文中宋" w:cs="华文中宋"/>
                <w:b/>
                <w:bCs/>
                <w:color w:val="auto"/>
                <w:highlight w:val="none"/>
                <w:lang w:eastAsia="zh-CN"/>
              </w:rPr>
            </w:pPr>
            <w:r>
              <w:rPr>
                <w:rFonts w:hint="eastAsia" w:ascii="华文中宋" w:hAnsi="华文中宋" w:eastAsia="华文中宋" w:cs="华文中宋"/>
                <w:color w:val="auto"/>
                <w:highlight w:val="none"/>
              </w:rPr>
              <w:t>6、提供参加政府采购活动前三年内在经营活动中没有重大违法记录的书面声明</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u w:val="double"/>
                <w:lang w:eastAsia="zh-CN"/>
              </w:rPr>
              <w:t>（原件，格式内容自拟）</w:t>
            </w:r>
          </w:p>
          <w:p>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7、法定代表人直接参加磋商的，须出具法人身份证；法定代表人授权代表参加磋商的，须出具法定代表人授权书</w:t>
            </w:r>
            <w:r>
              <w:rPr>
                <w:rFonts w:hint="eastAsia" w:ascii="华文中宋" w:hAnsi="华文中宋" w:eastAsia="华文中宋" w:cs="华文中宋"/>
                <w:color w:val="auto"/>
                <w:highlight w:val="none"/>
                <w:lang w:val="en-US" w:eastAsia="zh-CN"/>
              </w:rPr>
              <w:t>原件</w:t>
            </w:r>
            <w:r>
              <w:rPr>
                <w:rFonts w:hint="eastAsia" w:ascii="华文中宋" w:hAnsi="华文中宋" w:eastAsia="华文中宋" w:cs="华文中宋"/>
                <w:color w:val="auto"/>
                <w:highlight w:val="none"/>
              </w:rPr>
              <w:t>及授权代表身份证</w:t>
            </w:r>
            <w:r>
              <w:rPr>
                <w:rFonts w:hint="eastAsia" w:ascii="华文中宋" w:hAnsi="华文中宋" w:eastAsia="华文中宋" w:cs="华文中宋"/>
                <w:color w:val="auto"/>
                <w:highlight w:val="none"/>
                <w:lang w:val="en-US" w:eastAsia="zh-CN"/>
              </w:rPr>
              <w:t>复印件</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u w:val="double"/>
                <w:lang w:eastAsia="zh-CN"/>
              </w:rPr>
              <w:t>（</w:t>
            </w:r>
            <w:r>
              <w:rPr>
                <w:rFonts w:hint="eastAsia" w:ascii="华文中宋" w:hAnsi="华文中宋" w:eastAsia="华文中宋" w:cs="华文中宋"/>
                <w:color w:val="auto"/>
                <w:highlight w:val="none"/>
                <w:u w:val="double"/>
                <w:lang w:val="en-US" w:eastAsia="zh-CN"/>
              </w:rPr>
              <w:t>原件</w:t>
            </w:r>
            <w:r>
              <w:rPr>
                <w:rFonts w:hint="eastAsia" w:ascii="华文中宋" w:hAnsi="华文中宋" w:eastAsia="华文中宋" w:cs="华文中宋"/>
                <w:color w:val="auto"/>
                <w:highlight w:val="none"/>
                <w:u w:val="double"/>
                <w:lang w:eastAsia="zh-CN"/>
              </w:rPr>
              <w:t>）</w:t>
            </w:r>
          </w:p>
          <w:p>
            <w:pPr>
              <w:rPr>
                <w:rFonts w:hint="eastAsia" w:ascii="华文中宋" w:hAnsi="华文中宋" w:eastAsia="华文中宋" w:cs="华文中宋"/>
                <w:szCs w:val="21"/>
              </w:rPr>
            </w:pPr>
            <w:r>
              <w:rPr>
                <w:rFonts w:hint="eastAsia" w:ascii="华文中宋" w:hAnsi="华文中宋" w:eastAsia="华文中宋" w:cs="华文中宋"/>
                <w:color w:val="auto"/>
                <w:highlight w:val="none"/>
                <w:lang w:val="en-US" w:eastAsia="zh-CN"/>
              </w:rPr>
              <w:t>8、</w:t>
            </w:r>
            <w:r>
              <w:rPr>
                <w:rFonts w:hint="eastAsia" w:ascii="华文中宋" w:hAnsi="华文中宋" w:eastAsia="华文中宋" w:cs="华文中宋"/>
                <w:szCs w:val="21"/>
              </w:rPr>
              <w:t>供应商须具备探矿权采矿权评估资格证</w:t>
            </w:r>
            <w:r>
              <w:rPr>
                <w:rFonts w:hint="eastAsia" w:ascii="华文中宋" w:hAnsi="华文中宋" w:eastAsia="华文中宋" w:cs="华文中宋"/>
                <w:szCs w:val="21"/>
                <w:lang w:val="en-US" w:eastAsia="zh-CN"/>
              </w:rPr>
              <w:t>及</w:t>
            </w:r>
            <w:r>
              <w:rPr>
                <w:rFonts w:hint="eastAsia" w:ascii="华文中宋" w:hAnsi="华文中宋" w:eastAsia="华文中宋" w:cs="华文中宋"/>
                <w:szCs w:val="21"/>
              </w:rPr>
              <w:t>相关行政主管部门出具的有效资产评估资格备案证明；</w:t>
            </w:r>
            <w:r>
              <w:rPr>
                <w:rFonts w:hint="eastAsia" w:ascii="华文中宋" w:hAnsi="华文中宋" w:eastAsia="华文中宋" w:cs="华文中宋"/>
                <w:color w:val="auto"/>
                <w:highlight w:val="none"/>
                <w:u w:val="double"/>
                <w:lang w:eastAsia="zh-CN"/>
              </w:rPr>
              <w:t>（材料应清晰可辨认并加盖公章）</w:t>
            </w:r>
            <w:r>
              <w:rPr>
                <w:rFonts w:hint="eastAsia" w:ascii="华文中宋" w:hAnsi="华文中宋" w:eastAsia="华文中宋" w:cs="华文中宋"/>
                <w:color w:val="auto"/>
                <w:highlight w:val="none"/>
              </w:rPr>
              <w:t xml:space="preserve"> </w:t>
            </w:r>
            <w:r>
              <w:rPr>
                <w:rFonts w:hint="eastAsia" w:ascii="华文中宋" w:hAnsi="华文中宋" w:eastAsia="华文中宋" w:cs="华文中宋"/>
                <w:szCs w:val="21"/>
              </w:rPr>
              <w:t xml:space="preserve"> </w:t>
            </w:r>
          </w:p>
          <w:p>
            <w:pPr>
              <w:rPr>
                <w:rFonts w:hint="eastAsia" w:ascii="华文中宋" w:hAnsi="华文中宋" w:eastAsia="华文中宋" w:cs="华文中宋"/>
                <w:szCs w:val="21"/>
                <w:lang w:eastAsia="zh-CN"/>
              </w:rPr>
            </w:pPr>
            <w:r>
              <w:rPr>
                <w:rFonts w:hint="eastAsia" w:ascii="华文中宋" w:hAnsi="华文中宋" w:eastAsia="华文中宋" w:cs="华文中宋"/>
                <w:szCs w:val="21"/>
                <w:lang w:val="en-US" w:eastAsia="zh-CN"/>
              </w:rPr>
              <w:t>9、</w:t>
            </w:r>
            <w:r>
              <w:rPr>
                <w:rFonts w:hint="eastAsia" w:ascii="华文中宋" w:hAnsi="华文中宋" w:eastAsia="华文中宋" w:cs="华文中宋"/>
                <w:szCs w:val="21"/>
              </w:rPr>
              <w:t>项目负责人具有矿业权评估师</w:t>
            </w:r>
            <w:r>
              <w:rPr>
                <w:rFonts w:hint="eastAsia" w:ascii="华文中宋" w:hAnsi="华文中宋" w:eastAsia="华文中宋" w:cs="华文中宋"/>
                <w:szCs w:val="21"/>
                <w:lang w:val="en-US" w:eastAsia="zh-CN"/>
              </w:rPr>
              <w:t>或</w:t>
            </w:r>
            <w:r>
              <w:rPr>
                <w:rFonts w:hint="eastAsia" w:ascii="华文中宋" w:hAnsi="华文中宋" w:eastAsia="华文中宋" w:cs="华文中宋"/>
                <w:szCs w:val="21"/>
              </w:rPr>
              <w:t>资产评估师职业资格证书；</w:t>
            </w:r>
            <w:r>
              <w:rPr>
                <w:rFonts w:hint="eastAsia" w:ascii="华文中宋" w:hAnsi="华文中宋" w:eastAsia="华文中宋" w:cs="华文中宋"/>
                <w:color w:val="auto"/>
                <w:highlight w:val="none"/>
                <w:u w:val="double"/>
                <w:lang w:eastAsia="zh-CN"/>
              </w:rPr>
              <w:t>（材料应清晰可辨认并加盖公章）</w:t>
            </w:r>
            <w:r>
              <w:rPr>
                <w:rFonts w:hint="eastAsia" w:ascii="华文中宋" w:hAnsi="华文中宋" w:eastAsia="华文中宋" w:cs="华文中宋"/>
                <w:color w:val="auto"/>
                <w:highlight w:val="none"/>
              </w:rPr>
              <w:t xml:space="preserve"> </w:t>
            </w:r>
          </w:p>
          <w:p>
            <w:pPr>
              <w:rPr>
                <w:rFonts w:hint="eastAsia" w:ascii="华文中宋" w:hAnsi="华文中宋" w:eastAsia="华文中宋" w:cs="华文中宋"/>
                <w:color w:val="auto"/>
                <w:highlight w:val="none"/>
                <w:u w:val="double"/>
                <w:lang w:val="en-US" w:eastAsia="zh-CN"/>
              </w:rPr>
            </w:pPr>
            <w:r>
              <w:rPr>
                <w:rFonts w:hint="eastAsia" w:ascii="华文中宋" w:hAnsi="华文中宋" w:eastAsia="华文中宋" w:cs="华文中宋"/>
                <w:color w:val="auto"/>
                <w:highlight w:val="none"/>
                <w:lang w:val="en-US" w:eastAsia="zh-CN"/>
              </w:rPr>
              <w:t>10</w:t>
            </w:r>
            <w:r>
              <w:rPr>
                <w:rFonts w:hint="eastAsia" w:ascii="华文中宋" w:hAnsi="华文中宋" w:eastAsia="华文中宋" w:cs="华文中宋"/>
                <w:color w:val="auto"/>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华文中宋" w:hAnsi="华文中宋" w:eastAsia="华文中宋" w:cs="华文中宋"/>
                <w:color w:val="auto"/>
                <w:highlight w:val="none"/>
                <w:u w:val="double"/>
                <w:lang w:val="en-US" w:eastAsia="zh-CN"/>
              </w:rPr>
              <w:t>如相关失信记录已失效，供应商需提供加盖公章的相关证明资料，若没有则无需提供。</w:t>
            </w:r>
          </w:p>
          <w:p>
            <w:pPr>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注：1、供应商按磋商文件第六章 格式要求将资格证明材料附进磋商响应文件正副本内（磋商代表身份证原件现场核验），由磋商小组进行资格审查，审查过程中若供应商资格证明文件无效或缺项的视为资格审查不通过，其磋商响应文件按无效响应文件处理。</w:t>
            </w:r>
          </w:p>
          <w:p>
            <w:pPr>
              <w:ind w:firstLine="420" w:firstLineChars="200"/>
              <w:rPr>
                <w:rFonts w:hint="eastAsia" w:ascii="华文中宋" w:hAnsi="华文中宋" w:eastAsia="华文中宋" w:cs="华文中宋"/>
                <w:b/>
                <w:bCs/>
                <w:color w:val="auto"/>
                <w:szCs w:val="22"/>
                <w:highlight w:val="none"/>
              </w:rPr>
            </w:pPr>
            <w:r>
              <w:rPr>
                <w:rFonts w:hint="eastAsia" w:ascii="华文中宋" w:hAnsi="华文中宋" w:eastAsia="华文中宋" w:cs="华文中宋"/>
                <w:b/>
                <w:bCs/>
                <w:color w:val="auto"/>
                <w:szCs w:val="22"/>
                <w:highlight w:val="none"/>
              </w:rPr>
              <w:t>2、限制性投标要求</w:t>
            </w:r>
          </w:p>
          <w:p>
            <w:pPr>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highlight w:val="none"/>
              </w:rPr>
              <w:t>供应商负责人为同一人或者存在直接控股、管理关系的不同供应商，不得参加同一项目或同一标段的政府采购活动。</w:t>
            </w:r>
          </w:p>
        </w:tc>
      </w:tr>
      <w:tr>
        <w:tblPrEx>
          <w:tblLayout w:type="fixed"/>
          <w:tblCellMar>
            <w:top w:w="0" w:type="dxa"/>
            <w:left w:w="108" w:type="dxa"/>
            <w:bottom w:w="0" w:type="dxa"/>
            <w:right w:w="108" w:type="dxa"/>
          </w:tblCellMar>
        </w:tblPrEx>
        <w:trPr>
          <w:trHeight w:val="549" w:hRule="atLeast"/>
          <w:jc w:val="center"/>
        </w:trPr>
        <w:tc>
          <w:tcPr>
            <w:tcW w:w="728" w:type="dxa"/>
            <w:vMerge w:val="restart"/>
            <w:tcBorders>
              <w:top w:val="single" w:color="000000" w:sz="4" w:space="0"/>
              <w:left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13</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bCs/>
                <w:color w:val="auto"/>
                <w:highlight w:val="none"/>
              </w:rPr>
            </w:pPr>
            <w:r>
              <w:rPr>
                <w:rFonts w:hint="eastAsia" w:ascii="华文中宋" w:hAnsi="华文中宋" w:eastAsia="华文中宋" w:cs="华文中宋"/>
                <w:bCs/>
                <w:color w:val="auto"/>
                <w:highlight w:val="none"/>
              </w:rPr>
              <w:t>服务期</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华文中宋" w:hAnsi="华文中宋" w:eastAsia="华文中宋" w:cs="华文中宋"/>
                <w:bCs/>
                <w:color w:val="auto"/>
                <w:highlight w:val="none"/>
              </w:rPr>
            </w:pPr>
            <w:r>
              <w:rPr>
                <w:rFonts w:hint="eastAsia" w:ascii="华文中宋" w:hAnsi="华文中宋" w:eastAsia="华文中宋" w:cs="华文中宋"/>
                <w:bCs/>
                <w:color w:val="auto"/>
                <w:highlight w:val="none"/>
              </w:rPr>
              <w:t>自合同签订之日起90日历天，提交成果报。</w:t>
            </w:r>
          </w:p>
        </w:tc>
      </w:tr>
      <w:tr>
        <w:tblPrEx>
          <w:tblLayout w:type="fixed"/>
          <w:tblCellMar>
            <w:top w:w="0" w:type="dxa"/>
            <w:left w:w="108" w:type="dxa"/>
            <w:bottom w:w="0" w:type="dxa"/>
            <w:right w:w="108" w:type="dxa"/>
          </w:tblCellMar>
        </w:tblPrEx>
        <w:trPr>
          <w:trHeight w:val="568" w:hRule="atLeast"/>
          <w:jc w:val="center"/>
        </w:trPr>
        <w:tc>
          <w:tcPr>
            <w:tcW w:w="728" w:type="dxa"/>
            <w:vMerge w:val="continue"/>
            <w:tcBorders>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bCs/>
                <w:color w:val="auto"/>
                <w:highlight w:val="none"/>
              </w:rPr>
            </w:pPr>
            <w:r>
              <w:rPr>
                <w:rFonts w:hint="eastAsia" w:ascii="华文中宋" w:hAnsi="华文中宋" w:eastAsia="华文中宋" w:cs="华文中宋"/>
                <w:bCs/>
                <w:color w:val="auto"/>
                <w:highlight w:val="none"/>
                <w:lang w:val="en-US" w:eastAsia="zh-CN"/>
              </w:rPr>
              <w:t>质量标准</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华文中宋" w:hAnsi="华文中宋" w:eastAsia="华文中宋" w:cs="华文中宋"/>
                <w:bCs/>
                <w:color w:val="auto"/>
                <w:highlight w:val="none"/>
              </w:rPr>
            </w:pPr>
            <w:r>
              <w:rPr>
                <w:rFonts w:hint="eastAsia" w:ascii="华文中宋" w:hAnsi="华文中宋" w:eastAsia="华文中宋" w:cs="华文中宋"/>
                <w:bCs/>
                <w:color w:val="auto"/>
                <w:highlight w:val="none"/>
                <w:lang w:val="en-US" w:eastAsia="zh-CN"/>
              </w:rPr>
              <w:t>符合国家标准、行业标准以及有关技术规范要求。</w:t>
            </w:r>
          </w:p>
        </w:tc>
      </w:tr>
      <w:tr>
        <w:tblPrEx>
          <w:tblLayout w:type="fixed"/>
          <w:tblCellMar>
            <w:top w:w="0" w:type="dxa"/>
            <w:left w:w="108" w:type="dxa"/>
            <w:bottom w:w="0" w:type="dxa"/>
            <w:right w:w="108" w:type="dxa"/>
          </w:tblCellMar>
        </w:tblPrEx>
        <w:trPr>
          <w:trHeight w:val="4043"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14</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相关费用及要求</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本项目由成交供应商向采购代理机构交纳代理服务费，代理服务费的收取依据原国家计委《招标代理服务收费管理暂行办法》（计价格[2002]1980号）、国家发展和改革委员会《国家发展改革委办公厅关于招标代理服务收费有关问题的通知》（发改办价格[2003]857号）和《国家发展改革委关于降低部分建设项目收费标准规范收费行为等有关问题的通知》（发改价格[2011]534号）文件的相关规定的标准收取，此服务费供应商可考虑在投标总报价中，采购人不再另行支付，服务费具体金额后续见本项目采购结果公告。</w:t>
            </w:r>
          </w:p>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2、招标代理服务费的交纳方式：在领取《成交通知书》时向采购代理机构一次性全额交纳招标代理服务费。</w:t>
            </w:r>
          </w:p>
          <w:p>
            <w:pPr>
              <w:rPr>
                <w:rFonts w:hint="default"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交纳账户户名：</w:t>
            </w:r>
            <w:r>
              <w:rPr>
                <w:rFonts w:hint="eastAsia" w:ascii="华文中宋" w:hAnsi="华文中宋" w:eastAsia="华文中宋" w:cs="华文中宋"/>
                <w:color w:val="auto"/>
                <w:szCs w:val="21"/>
                <w:lang w:val="en-US" w:eastAsia="zh-CN"/>
              </w:rPr>
              <w:t>陕西信鹏项目管理有限公司汉中分公司</w:t>
            </w:r>
          </w:p>
          <w:p>
            <w:pPr>
              <w:rPr>
                <w:rFonts w:hint="default"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开</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户</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行：</w:t>
            </w:r>
            <w:r>
              <w:rPr>
                <w:rFonts w:hint="eastAsia" w:ascii="华文中宋" w:hAnsi="华文中宋" w:eastAsia="华文中宋" w:cs="华文中宋"/>
                <w:color w:val="auto"/>
                <w:szCs w:val="21"/>
                <w:lang w:val="en-US" w:eastAsia="zh-CN"/>
              </w:rPr>
              <w:t>中国建设银行股份有限公司汉中劳动西路支行</w:t>
            </w:r>
          </w:p>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账</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号：</w:t>
            </w:r>
            <w:r>
              <w:rPr>
                <w:rFonts w:hint="eastAsia" w:ascii="华文中宋" w:hAnsi="华文中宋" w:eastAsia="华文中宋" w:cs="华文中宋"/>
                <w:color w:val="auto"/>
                <w:szCs w:val="21"/>
                <w:lang w:val="en-US" w:eastAsia="zh-CN"/>
              </w:rPr>
              <w:t>6105  0111 2657  0000  0253</w:t>
            </w:r>
          </w:p>
        </w:tc>
      </w:tr>
      <w:tr>
        <w:tblPrEx>
          <w:tblLayout w:type="fixed"/>
          <w:tblCellMar>
            <w:top w:w="0" w:type="dxa"/>
            <w:left w:w="108" w:type="dxa"/>
            <w:bottom w:w="0" w:type="dxa"/>
            <w:right w:w="108" w:type="dxa"/>
          </w:tblCellMar>
        </w:tblPrEx>
        <w:trPr>
          <w:trHeight w:val="813"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华文中宋" w:hAnsi="华文中宋" w:eastAsia="华文中宋" w:cs="华文中宋"/>
                <w:szCs w:val="21"/>
              </w:rPr>
            </w:pPr>
            <w:r>
              <w:rPr>
                <w:rFonts w:hint="eastAsia" w:ascii="华文中宋" w:hAnsi="华文中宋" w:eastAsia="华文中宋" w:cs="华文中宋"/>
                <w:szCs w:val="21"/>
              </w:rPr>
              <w:t>15</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其他</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1、为了保证采购活动顺利进行，要求各磋商供应商要认真仔细阅读采购文件，严格按采购文件中规定条款制作磋商响应文件。</w:t>
            </w:r>
          </w:p>
        </w:tc>
      </w:tr>
    </w:tbl>
    <w:p>
      <w:pPr>
        <w:pStyle w:val="24"/>
        <w:spacing w:line="360" w:lineRule="auto"/>
        <w:ind w:firstLine="2790" w:firstLineChars="871"/>
        <w:rPr>
          <w:rFonts w:hint="eastAsia" w:ascii="华文中宋" w:hAnsi="华文中宋" w:eastAsia="华文中宋" w:cs="华文中宋"/>
          <w:b/>
          <w:bCs/>
        </w:rPr>
      </w:pPr>
    </w:p>
    <w:tbl>
      <w:tblPr>
        <w:tblStyle w:val="28"/>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65"/>
        <w:gridCol w:w="7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696" w:type="dxa"/>
            <w:noWrap/>
          </w:tcPr>
          <w:p>
            <w:pPr>
              <w:pStyle w:val="11"/>
              <w:spacing w:beforeLines="50" w:line="276" w:lineRule="auto"/>
              <w:ind w:firstLine="0"/>
              <w:jc w:val="center"/>
              <w:rPr>
                <w:rFonts w:hint="eastAsia" w:ascii="华文中宋" w:hAnsi="华文中宋" w:eastAsia="华文中宋" w:cs="华文中宋"/>
                <w:b/>
                <w:szCs w:val="21"/>
              </w:rPr>
            </w:pPr>
            <w:r>
              <w:rPr>
                <w:rFonts w:hint="eastAsia" w:ascii="华文中宋" w:hAnsi="华文中宋" w:eastAsia="华文中宋" w:cs="华文中宋"/>
                <w:b/>
                <w:szCs w:val="21"/>
              </w:rPr>
              <w:t>序号</w:t>
            </w:r>
          </w:p>
        </w:tc>
        <w:tc>
          <w:tcPr>
            <w:tcW w:w="1665" w:type="dxa"/>
            <w:noWrap/>
          </w:tcPr>
          <w:p>
            <w:pPr>
              <w:pStyle w:val="11"/>
              <w:spacing w:beforeLines="50" w:line="276" w:lineRule="auto"/>
              <w:ind w:firstLine="0"/>
              <w:jc w:val="center"/>
              <w:rPr>
                <w:rFonts w:hint="eastAsia" w:ascii="华文中宋" w:hAnsi="华文中宋" w:eastAsia="华文中宋" w:cs="华文中宋"/>
                <w:b/>
                <w:szCs w:val="21"/>
              </w:rPr>
            </w:pPr>
            <w:r>
              <w:rPr>
                <w:rFonts w:hint="eastAsia" w:ascii="华文中宋" w:hAnsi="华文中宋" w:eastAsia="华文中宋" w:cs="华文中宋"/>
                <w:b/>
                <w:szCs w:val="21"/>
              </w:rPr>
              <w:t>工作内容</w:t>
            </w:r>
          </w:p>
        </w:tc>
        <w:tc>
          <w:tcPr>
            <w:tcW w:w="7521" w:type="dxa"/>
            <w:noWrap/>
            <w:vAlign w:val="center"/>
          </w:tcPr>
          <w:p>
            <w:pPr>
              <w:pStyle w:val="11"/>
              <w:spacing w:beforeLines="50" w:line="276" w:lineRule="auto"/>
              <w:ind w:firstLine="0"/>
              <w:jc w:val="center"/>
              <w:rPr>
                <w:rFonts w:hint="eastAsia" w:ascii="华文中宋" w:hAnsi="华文中宋" w:eastAsia="华文中宋" w:cs="华文中宋"/>
                <w:b/>
                <w:szCs w:val="21"/>
              </w:rPr>
            </w:pPr>
            <w:r>
              <w:rPr>
                <w:rFonts w:hint="eastAsia" w:ascii="华文中宋" w:hAnsi="华文中宋" w:eastAsia="华文中宋" w:cs="华文中宋"/>
                <w:b/>
                <w:szCs w:val="21"/>
              </w:rPr>
              <w:t>时间安排及注意事项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696" w:type="dxa"/>
            <w:noWrap/>
            <w:vAlign w:val="center"/>
          </w:tcPr>
          <w:p>
            <w:pPr>
              <w:ind w:firstLine="420" w:firstLineChars="200"/>
              <w:rPr>
                <w:rFonts w:hint="eastAsia" w:ascii="华文中宋" w:hAnsi="华文中宋" w:eastAsia="华文中宋" w:cs="华文中宋"/>
              </w:rPr>
            </w:pPr>
            <w:r>
              <w:rPr>
                <w:rFonts w:hint="eastAsia" w:ascii="华文中宋" w:hAnsi="华文中宋" w:eastAsia="华文中宋" w:cs="华文中宋"/>
              </w:rPr>
              <w:t>1</w:t>
            </w:r>
          </w:p>
        </w:tc>
        <w:tc>
          <w:tcPr>
            <w:tcW w:w="1665" w:type="dxa"/>
            <w:noWrap/>
            <w:vAlign w:val="center"/>
          </w:tcPr>
          <w:p>
            <w:pPr>
              <w:ind w:firstLine="420" w:firstLineChars="200"/>
              <w:rPr>
                <w:rFonts w:hint="eastAsia" w:ascii="华文中宋" w:hAnsi="华文中宋" w:eastAsia="华文中宋" w:cs="华文中宋"/>
              </w:rPr>
            </w:pPr>
            <w:r>
              <w:rPr>
                <w:rFonts w:hint="eastAsia" w:ascii="华文中宋" w:hAnsi="华文中宋" w:eastAsia="华文中宋" w:cs="华文中宋"/>
              </w:rPr>
              <w:t>发布公告</w:t>
            </w:r>
          </w:p>
        </w:tc>
        <w:tc>
          <w:tcPr>
            <w:tcW w:w="7521" w:type="dxa"/>
            <w:noWrap/>
            <w:vAlign w:val="center"/>
          </w:tcPr>
          <w:p>
            <w:pPr>
              <w:rPr>
                <w:rFonts w:hint="eastAsia" w:ascii="华文中宋" w:hAnsi="华文中宋" w:eastAsia="华文中宋" w:cs="华文中宋"/>
              </w:rPr>
            </w:pPr>
            <w:r>
              <w:rPr>
                <w:rFonts w:hint="eastAsia" w:ascii="华文中宋" w:hAnsi="华文中宋" w:eastAsia="华文中宋" w:cs="华文中宋"/>
              </w:rPr>
              <w:t>发布时间：2022年</w:t>
            </w:r>
            <w:r>
              <w:rPr>
                <w:rFonts w:hint="eastAsia" w:ascii="华文中宋" w:hAnsi="华文中宋" w:eastAsia="华文中宋" w:cs="华文中宋"/>
                <w:lang w:val="en-US" w:eastAsia="zh-CN"/>
              </w:rPr>
              <w:t>05</w:t>
            </w:r>
            <w:r>
              <w:rPr>
                <w:rFonts w:hint="eastAsia" w:ascii="华文中宋" w:hAnsi="华文中宋" w:eastAsia="华文中宋" w:cs="华文中宋"/>
              </w:rPr>
              <w:t>月</w:t>
            </w:r>
            <w:r>
              <w:rPr>
                <w:rFonts w:hint="eastAsia" w:ascii="华文中宋" w:hAnsi="华文中宋" w:eastAsia="华文中宋" w:cs="华文中宋"/>
                <w:lang w:val="en-US" w:eastAsia="zh-CN"/>
              </w:rPr>
              <w:t>27</w:t>
            </w:r>
            <w:r>
              <w:rPr>
                <w:rFonts w:hint="eastAsia" w:ascii="华文中宋" w:hAnsi="华文中宋" w:eastAsia="华文中宋" w:cs="华文中宋"/>
              </w:rPr>
              <w:t>日</w:t>
            </w:r>
          </w:p>
          <w:p>
            <w:pPr>
              <w:rPr>
                <w:rFonts w:hint="eastAsia" w:ascii="华文中宋" w:hAnsi="华文中宋" w:eastAsia="华文中宋" w:cs="华文中宋"/>
              </w:rPr>
            </w:pPr>
            <w:r>
              <w:rPr>
                <w:rFonts w:hint="eastAsia" w:ascii="华文中宋" w:hAnsi="华文中宋" w:eastAsia="华文中宋" w:cs="华文中宋"/>
              </w:rPr>
              <w:t>公告媒体：陕西省政府采购网</w:t>
            </w:r>
          </w:p>
          <w:p>
            <w:pPr>
              <w:rPr>
                <w:rFonts w:hint="eastAsia" w:ascii="华文中宋" w:hAnsi="华文中宋" w:eastAsia="华文中宋" w:cs="华文中宋"/>
              </w:rPr>
            </w:pPr>
            <w:r>
              <w:rPr>
                <w:rFonts w:hint="eastAsia" w:ascii="华文中宋" w:hAnsi="华文中宋" w:eastAsia="华文中宋" w:cs="华文中宋"/>
              </w:rPr>
              <w:t>公告期限：3个工作日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jc w:val="center"/>
        </w:trPr>
        <w:tc>
          <w:tcPr>
            <w:tcW w:w="696"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2</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竞争性磋商文件发售</w:t>
            </w:r>
          </w:p>
        </w:tc>
        <w:tc>
          <w:tcPr>
            <w:tcW w:w="7521" w:type="dxa"/>
            <w:noWrap/>
            <w:vAlign w:val="center"/>
          </w:tcPr>
          <w:p>
            <w:pPr>
              <w:jc w:val="left"/>
              <w:rPr>
                <w:rFonts w:hint="eastAsia" w:ascii="华文中宋" w:hAnsi="华文中宋" w:eastAsia="华文中宋" w:cs="华文中宋"/>
                <w:szCs w:val="21"/>
              </w:rPr>
            </w:pPr>
            <w:r>
              <w:rPr>
                <w:rFonts w:hint="eastAsia" w:ascii="华文中宋" w:hAnsi="华文中宋" w:eastAsia="华文中宋" w:cs="华文中宋"/>
                <w:szCs w:val="21"/>
              </w:rPr>
              <w:t>竞争性磋商文件发售：2022年</w:t>
            </w:r>
            <w:r>
              <w:rPr>
                <w:rFonts w:hint="eastAsia" w:ascii="华文中宋" w:hAnsi="华文中宋" w:eastAsia="华文中宋" w:cs="华文中宋"/>
                <w:szCs w:val="21"/>
                <w:lang w:val="en-US" w:eastAsia="zh-CN"/>
              </w:rPr>
              <w:t>05</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30</w:t>
            </w:r>
            <w:r>
              <w:rPr>
                <w:rFonts w:hint="eastAsia" w:ascii="华文中宋" w:hAnsi="华文中宋" w:eastAsia="华文中宋" w:cs="华文中宋"/>
                <w:szCs w:val="21"/>
              </w:rPr>
              <w:t>日—2022年</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rPr>
              <w:t>日（法定工作时间）</w:t>
            </w:r>
          </w:p>
          <w:p>
            <w:pPr>
              <w:jc w:val="left"/>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联系人：杨</w:t>
            </w:r>
            <w:r>
              <w:rPr>
                <w:rFonts w:hint="eastAsia" w:ascii="华文中宋" w:hAnsi="华文中宋" w:eastAsia="华文中宋" w:cs="华文中宋"/>
                <w:szCs w:val="21"/>
                <w:lang w:val="en-US" w:eastAsia="zh-CN"/>
              </w:rPr>
              <w:t>工</w:t>
            </w:r>
          </w:p>
          <w:p>
            <w:pPr>
              <w:jc w:val="left"/>
              <w:rPr>
                <w:rFonts w:hint="eastAsia" w:ascii="华文中宋" w:hAnsi="华文中宋" w:eastAsia="华文中宋" w:cs="华文中宋"/>
                <w:szCs w:val="21"/>
              </w:rPr>
            </w:pPr>
            <w:r>
              <w:rPr>
                <w:rFonts w:hint="eastAsia" w:ascii="华文中宋" w:hAnsi="华文中宋" w:eastAsia="华文中宋" w:cs="华文中宋"/>
                <w:szCs w:val="21"/>
              </w:rPr>
              <w:t>电  话：18191601833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696" w:type="dxa"/>
            <w:noWrap/>
            <w:vAlign w:val="center"/>
          </w:tcPr>
          <w:p>
            <w:pPr>
              <w:pStyle w:val="11"/>
              <w:spacing w:beforeLines="50" w:line="276" w:lineRule="auto"/>
              <w:ind w:firstLine="0"/>
              <w:jc w:val="center"/>
              <w:rPr>
                <w:rFonts w:hint="eastAsia" w:ascii="华文中宋" w:hAnsi="华文中宋" w:eastAsia="华文中宋" w:cs="华文中宋"/>
                <w:b/>
                <w:bCs/>
                <w:szCs w:val="21"/>
              </w:rPr>
            </w:pPr>
            <w:r>
              <w:rPr>
                <w:rFonts w:hint="eastAsia" w:ascii="华文中宋" w:hAnsi="华文中宋" w:eastAsia="华文中宋" w:cs="华文中宋"/>
                <w:szCs w:val="21"/>
              </w:rPr>
              <w:t>3</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踏勘现场</w:t>
            </w:r>
          </w:p>
        </w:tc>
        <w:tc>
          <w:tcPr>
            <w:tcW w:w="7521" w:type="dxa"/>
            <w:noWrap/>
            <w:vAlign w:val="center"/>
          </w:tcPr>
          <w:p>
            <w:pPr>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rPr>
              <w:t>采购代理机构不统一组织，各</w:t>
            </w:r>
            <w:r>
              <w:rPr>
                <w:rFonts w:hint="eastAsia" w:ascii="华文中宋" w:hAnsi="华文中宋" w:eastAsia="华文中宋" w:cs="华文中宋"/>
                <w:szCs w:val="21"/>
                <w:lang w:val="en-US" w:eastAsia="zh-CN"/>
              </w:rPr>
              <w:t>供应商</w:t>
            </w:r>
            <w:r>
              <w:rPr>
                <w:rFonts w:hint="eastAsia" w:ascii="华文中宋" w:hAnsi="华文中宋" w:eastAsia="华文中宋" w:cs="华文中宋"/>
                <w:szCs w:val="21"/>
              </w:rPr>
              <w:t>根据采购内容及要求结合自身情况自行选择是否进行踏勘活动，因现场勘查不准确造成的方案及报价偏差后果由</w:t>
            </w:r>
            <w:r>
              <w:rPr>
                <w:rFonts w:hint="eastAsia" w:ascii="华文中宋" w:hAnsi="华文中宋" w:eastAsia="华文中宋" w:cs="华文中宋"/>
                <w:szCs w:val="21"/>
                <w:lang w:val="en-US" w:eastAsia="zh-CN"/>
              </w:rPr>
              <w:t>供应商</w:t>
            </w:r>
            <w:r>
              <w:rPr>
                <w:rFonts w:hint="eastAsia" w:ascii="华文中宋" w:hAnsi="华文中宋" w:eastAsia="华文中宋" w:cs="华文中宋"/>
                <w:szCs w:val="21"/>
              </w:rPr>
              <w:t>自行承担</w:t>
            </w:r>
            <w:r>
              <w:rPr>
                <w:rFonts w:hint="eastAsia" w:ascii="华文中宋" w:hAnsi="华文中宋" w:eastAsia="华文中宋" w:cs="华文中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696"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4</w:t>
            </w:r>
          </w:p>
        </w:tc>
        <w:tc>
          <w:tcPr>
            <w:tcW w:w="1665" w:type="dxa"/>
            <w:noWrap/>
            <w:vAlign w:val="center"/>
          </w:tcPr>
          <w:p>
            <w:pPr>
              <w:jc w:val="left"/>
              <w:rPr>
                <w:rFonts w:hint="eastAsia" w:ascii="华文中宋" w:hAnsi="华文中宋" w:eastAsia="华文中宋" w:cs="华文中宋"/>
                <w:szCs w:val="21"/>
              </w:rPr>
            </w:pPr>
            <w:r>
              <w:rPr>
                <w:rFonts w:hint="eastAsia" w:ascii="华文中宋" w:hAnsi="华文中宋" w:eastAsia="华文中宋" w:cs="华文中宋"/>
                <w:szCs w:val="21"/>
              </w:rPr>
              <w:t>答疑时间</w:t>
            </w:r>
          </w:p>
        </w:tc>
        <w:tc>
          <w:tcPr>
            <w:tcW w:w="7521" w:type="dxa"/>
            <w:noWrap/>
            <w:vAlign w:val="center"/>
          </w:tcPr>
          <w:p>
            <w:pPr>
              <w:jc w:val="left"/>
              <w:rPr>
                <w:rFonts w:hint="eastAsia" w:ascii="华文中宋" w:hAnsi="华文中宋" w:eastAsia="华文中宋" w:cs="华文中宋"/>
                <w:szCs w:val="21"/>
              </w:rPr>
            </w:pPr>
            <w:r>
              <w:rPr>
                <w:rFonts w:hint="eastAsia" w:ascii="华文中宋" w:hAnsi="华文中宋" w:eastAsia="华文中宋" w:cs="华文中宋"/>
                <w:szCs w:val="21"/>
              </w:rPr>
              <w:t>答疑时间：2022年</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rPr>
              <w:t>日18时00分前（逾期者不再受理）；</w:t>
            </w:r>
          </w:p>
          <w:p>
            <w:pPr>
              <w:jc w:val="left"/>
              <w:rPr>
                <w:rFonts w:hint="eastAsia" w:ascii="华文中宋" w:hAnsi="华文中宋" w:eastAsia="华文中宋" w:cs="华文中宋"/>
                <w:szCs w:val="21"/>
              </w:rPr>
            </w:pPr>
            <w:r>
              <w:rPr>
                <w:rFonts w:hint="eastAsia" w:ascii="华文中宋" w:hAnsi="华文中宋" w:eastAsia="华文中宋" w:cs="华文中宋"/>
                <w:szCs w:val="21"/>
              </w:rPr>
              <w:t>答疑递交方式：</w:t>
            </w:r>
          </w:p>
          <w:p>
            <w:pPr>
              <w:jc w:val="left"/>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书面提交，送汉中市南郑区汉山街道办高庄村机电工业集中区二楼</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陕西信鹏项目管理有限公司</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5</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竞争性磋商文件澄清或修改时间</w:t>
            </w:r>
          </w:p>
        </w:tc>
        <w:tc>
          <w:tcPr>
            <w:tcW w:w="7521" w:type="dxa"/>
            <w:noWrap/>
            <w:vAlign w:val="center"/>
          </w:tcPr>
          <w:p>
            <w:pPr>
              <w:pStyle w:val="11"/>
              <w:spacing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澄清（修改）时间：磋商响应文件递交截至时间5日前；</w:t>
            </w:r>
          </w:p>
          <w:p>
            <w:pPr>
              <w:pStyle w:val="11"/>
              <w:spacing w:beforeLines="50"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获取方式：采购代理机构书面通知所有报名磋商供应商。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6</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lang w:val="zh-CN"/>
              </w:rPr>
              <w:t>磋商响应文件递交截止时间</w:t>
            </w:r>
          </w:p>
        </w:tc>
        <w:tc>
          <w:tcPr>
            <w:tcW w:w="7521" w:type="dxa"/>
            <w:noWrap/>
            <w:vAlign w:val="center"/>
          </w:tcPr>
          <w:p>
            <w:pPr>
              <w:tabs>
                <w:tab w:val="left" w:pos="1440"/>
              </w:tabs>
              <w:spacing w:line="276" w:lineRule="auto"/>
              <w:ind w:right="115" w:rightChars="55"/>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磋商响应文件递交截止时间：20</w:t>
            </w:r>
            <w:r>
              <w:rPr>
                <w:rFonts w:hint="eastAsia" w:ascii="华文中宋" w:hAnsi="华文中宋" w:eastAsia="华文中宋" w:cs="华文中宋"/>
                <w:szCs w:val="21"/>
              </w:rPr>
              <w:t>22</w:t>
            </w:r>
            <w:r>
              <w:rPr>
                <w:rFonts w:hint="eastAsia" w:ascii="华文中宋" w:hAnsi="华文中宋" w:eastAsia="华文中宋" w:cs="华文中宋"/>
                <w:szCs w:val="21"/>
                <w:lang w:val="zh-CN"/>
              </w:rPr>
              <w:t>年</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lang w:val="zh-CN"/>
              </w:rPr>
              <w:t>月</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lang w:val="zh-CN"/>
              </w:rPr>
              <w:t>日</w:t>
            </w:r>
            <w:r>
              <w:rPr>
                <w:rFonts w:hint="eastAsia" w:ascii="华文中宋" w:hAnsi="华文中宋" w:eastAsia="华文中宋" w:cs="华文中宋"/>
                <w:szCs w:val="21"/>
                <w:lang w:val="en-US" w:eastAsia="zh-CN"/>
              </w:rPr>
              <w:t>15</w:t>
            </w:r>
            <w:r>
              <w:rPr>
                <w:rFonts w:hint="eastAsia" w:ascii="华文中宋" w:hAnsi="华文中宋" w:eastAsia="华文中宋" w:cs="华文中宋"/>
                <w:szCs w:val="21"/>
                <w:lang w:val="zh-CN"/>
              </w:rPr>
              <w:t>时</w:t>
            </w:r>
            <w:r>
              <w:rPr>
                <w:rFonts w:hint="eastAsia" w:ascii="华文中宋" w:hAnsi="华文中宋" w:eastAsia="华文中宋" w:cs="华文中宋"/>
                <w:szCs w:val="21"/>
                <w:lang w:val="en-US" w:eastAsia="zh-CN"/>
              </w:rPr>
              <w:t>00</w:t>
            </w:r>
            <w:r>
              <w:rPr>
                <w:rFonts w:hint="eastAsia" w:ascii="华文中宋" w:hAnsi="华文中宋" w:eastAsia="华文中宋" w:cs="华文中宋"/>
                <w:szCs w:val="21"/>
                <w:lang w:val="zh-CN"/>
              </w:rPr>
              <w:t>分（北京时间），磋商截止时间后送达的磋商响应文件将被拒收。</w:t>
            </w:r>
          </w:p>
          <w:p>
            <w:pPr>
              <w:spacing w:line="350" w:lineRule="exact"/>
              <w:jc w:val="left"/>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磋商响应文件递交地点：</w:t>
            </w:r>
            <w:r>
              <w:rPr>
                <w:rFonts w:hint="eastAsia" w:ascii="华文中宋" w:hAnsi="华文中宋" w:eastAsia="华文中宋" w:cs="华文中宋"/>
                <w:szCs w:val="21"/>
              </w:rPr>
              <w:t>汉中市南郑区汉山街道办高庄村机电工业集中区二楼。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7</w:t>
            </w:r>
          </w:p>
        </w:tc>
        <w:tc>
          <w:tcPr>
            <w:tcW w:w="1665" w:type="dxa"/>
            <w:noWrap/>
            <w:vAlign w:val="center"/>
          </w:tcPr>
          <w:p>
            <w:pPr>
              <w:pStyle w:val="24"/>
              <w:spacing w:line="276" w:lineRule="auto"/>
              <w:ind w:firstLine="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磋商保证金交纳金额、账户及方式</w:t>
            </w:r>
          </w:p>
        </w:tc>
        <w:tc>
          <w:tcPr>
            <w:tcW w:w="7521" w:type="dxa"/>
            <w:noWrap/>
            <w:vAlign w:val="center"/>
          </w:tcPr>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 xml:space="preserve">1、磋商保证金金额：人民币伍仟元整（￥5000.00元）               </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2、采购代理机构账户信息：</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开户名称：陕西信鹏项目管理有限公司</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开户行：中国民生银行股份有限公司西安文景路支行</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账  号：171673847</w:t>
            </w:r>
          </w:p>
          <w:p>
            <w:pPr>
              <w:spacing w:line="350" w:lineRule="exact"/>
              <w:jc w:val="left"/>
              <w:rPr>
                <w:rFonts w:hint="eastAsia" w:ascii="华文中宋" w:hAnsi="华文中宋" w:eastAsia="华文中宋" w:cs="华文中宋"/>
                <w:szCs w:val="21"/>
                <w:u w:val="double"/>
              </w:rPr>
            </w:pPr>
            <w:r>
              <w:rPr>
                <w:rFonts w:hint="eastAsia" w:ascii="华文中宋" w:hAnsi="华文中宋" w:eastAsia="华文中宋" w:cs="华文中宋"/>
                <w:szCs w:val="21"/>
              </w:rPr>
              <w:t>3、磋商保证金应在磋商截止时间前，由供应商以银行转账、电汇、符合陕西省财政厅陕财办采资〔2013〕5号文件规定的投标担保函的形式足额缴纳，磋商保证金不接受现金形式，供应商不得以个人名义交纳保证金，否则按未交纳保证金处理，转账备注栏须注明：</w:t>
            </w:r>
            <w:r>
              <w:rPr>
                <w:rFonts w:hint="eastAsia" w:ascii="华文中宋" w:hAnsi="华文中宋" w:eastAsia="华文中宋" w:cs="华文中宋"/>
                <w:szCs w:val="21"/>
                <w:u w:val="double"/>
              </w:rPr>
              <w:t>略阳县秦岭保护区矿业权退出评估项目</w:t>
            </w:r>
            <w:r>
              <w:rPr>
                <w:rFonts w:hint="eastAsia" w:ascii="华文中宋" w:hAnsi="华文中宋" w:eastAsia="华文中宋" w:cs="华文中宋"/>
                <w:szCs w:val="21"/>
                <w:u w:val="double"/>
                <w:lang w:val="en-US" w:eastAsia="zh-CN"/>
              </w:rPr>
              <w:t>磋商保证金或</w:t>
            </w:r>
            <w:r>
              <w:rPr>
                <w:rFonts w:hint="eastAsia" w:ascii="华文中宋" w:hAnsi="华文中宋" w:eastAsia="华文中宋" w:cs="华文中宋"/>
                <w:szCs w:val="21"/>
                <w:u w:val="double"/>
                <w:lang w:eastAsia="zh-CN"/>
              </w:rPr>
              <w:t>XPXM-HZ-2022-02</w:t>
            </w:r>
            <w:r>
              <w:rPr>
                <w:rFonts w:hint="eastAsia" w:ascii="华文中宋" w:hAnsi="华文中宋" w:eastAsia="华文中宋" w:cs="华文中宋"/>
                <w:szCs w:val="21"/>
                <w:u w:val="double"/>
              </w:rPr>
              <w:t>磋商保证金字样；</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4、供应商应合理安排保证金缴纳时间，因异地转账、跨行转账、非工作日转账等原因导致保证金未能在规定时间内到达指定账户，视为未在规定时间内缴纳，供应商逾期未提交或逾期到账视为放弃磋商，以银行实际到账时间为准。</w:t>
            </w:r>
          </w:p>
          <w:p>
            <w:pPr>
              <w:spacing w:line="350" w:lineRule="exact"/>
              <w:jc w:val="left"/>
              <w:rPr>
                <w:rFonts w:hint="eastAsia" w:ascii="华文中宋" w:hAnsi="华文中宋" w:eastAsia="华文中宋" w:cs="华文中宋"/>
                <w:szCs w:val="21"/>
              </w:rPr>
            </w:pPr>
            <w:r>
              <w:rPr>
                <w:rFonts w:hint="eastAsia" w:ascii="华文中宋" w:hAnsi="华文中宋" w:eastAsia="华文中宋" w:cs="华文中宋"/>
                <w:szCs w:val="21"/>
              </w:rPr>
              <w:t>5、以保函形式提交的必须为陕西省财政厅认定的具有开具投标保函资格的单位开具的保函，保函原件须在磋商截止时间前送至</w:t>
            </w:r>
            <w:r>
              <w:rPr>
                <w:rFonts w:hint="eastAsia" w:ascii="华文中宋" w:hAnsi="华文中宋" w:eastAsia="华文中宋" w:cs="华文中宋"/>
                <w:szCs w:val="21"/>
                <w:lang w:eastAsia="zh-CN"/>
              </w:rPr>
              <w:t>陕西信鹏项目管理有限公司</w:t>
            </w:r>
            <w:r>
              <w:rPr>
                <w:rFonts w:hint="eastAsia" w:ascii="华文中宋" w:hAnsi="华文中宋" w:eastAsia="华文中宋" w:cs="华文中宋"/>
                <w:szCs w:val="21"/>
              </w:rPr>
              <w:t>换取收据，否则视为未提交保证金。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8</w:t>
            </w:r>
          </w:p>
        </w:tc>
        <w:tc>
          <w:tcPr>
            <w:tcW w:w="1665" w:type="dxa"/>
            <w:noWrap/>
            <w:vAlign w:val="center"/>
          </w:tcPr>
          <w:p>
            <w:pPr>
              <w:pStyle w:val="11"/>
              <w:spacing w:after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开标时间和地点</w:t>
            </w:r>
          </w:p>
        </w:tc>
        <w:tc>
          <w:tcPr>
            <w:tcW w:w="7521" w:type="dxa"/>
            <w:noWrap/>
            <w:vAlign w:val="center"/>
          </w:tcPr>
          <w:p>
            <w:pPr>
              <w:spacing w:line="350" w:lineRule="exact"/>
              <w:jc w:val="left"/>
              <w:rPr>
                <w:rFonts w:hint="eastAsia" w:ascii="华文中宋" w:hAnsi="华文中宋" w:eastAsia="华文中宋" w:cs="华文中宋"/>
                <w:szCs w:val="21"/>
                <w:lang w:val="zh-CN"/>
              </w:rPr>
            </w:pPr>
            <w:r>
              <w:rPr>
                <w:rFonts w:hint="eastAsia" w:ascii="华文中宋" w:hAnsi="华文中宋" w:eastAsia="华文中宋" w:cs="华文中宋"/>
                <w:szCs w:val="21"/>
              </w:rPr>
              <w:t>磋商时间：2022年</w:t>
            </w:r>
            <w:r>
              <w:rPr>
                <w:rFonts w:hint="eastAsia" w:ascii="华文中宋" w:hAnsi="华文中宋" w:eastAsia="华文中宋" w:cs="华文中宋"/>
                <w:szCs w:val="21"/>
                <w:lang w:val="en-US" w:eastAsia="zh-CN"/>
              </w:rPr>
              <w:t>06</w:t>
            </w:r>
            <w:r>
              <w:rPr>
                <w:rFonts w:hint="eastAsia" w:ascii="华文中宋" w:hAnsi="华文中宋" w:eastAsia="华文中宋" w:cs="华文中宋"/>
                <w:szCs w:val="21"/>
              </w:rPr>
              <w:t>月</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日</w:t>
            </w:r>
            <w:r>
              <w:rPr>
                <w:rFonts w:hint="eastAsia" w:ascii="华文中宋" w:hAnsi="华文中宋" w:eastAsia="华文中宋" w:cs="华文中宋"/>
                <w:szCs w:val="21"/>
                <w:lang w:val="en-US" w:eastAsia="zh-CN"/>
              </w:rPr>
              <w:t>15</w:t>
            </w:r>
            <w:r>
              <w:rPr>
                <w:rFonts w:hint="eastAsia" w:ascii="华文中宋" w:hAnsi="华文中宋" w:eastAsia="华文中宋" w:cs="华文中宋"/>
                <w:szCs w:val="21"/>
              </w:rPr>
              <w:t>时</w:t>
            </w:r>
            <w:r>
              <w:rPr>
                <w:rFonts w:hint="eastAsia" w:ascii="华文中宋" w:hAnsi="华文中宋" w:eastAsia="华文中宋" w:cs="华文中宋"/>
                <w:szCs w:val="21"/>
                <w:lang w:val="en-US" w:eastAsia="zh-CN"/>
              </w:rPr>
              <w:t>0</w:t>
            </w:r>
            <w:r>
              <w:rPr>
                <w:rFonts w:hint="eastAsia" w:ascii="华文中宋" w:hAnsi="华文中宋" w:eastAsia="华文中宋" w:cs="华文中宋"/>
                <w:szCs w:val="21"/>
              </w:rPr>
              <w:t>0分</w:t>
            </w:r>
          </w:p>
          <w:p>
            <w:pPr>
              <w:spacing w:line="350" w:lineRule="exact"/>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rPr>
              <w:t>磋商地点: 汉中市南郑区汉山街道办高庄村机电工业集中区二楼</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陕西信鹏</w:t>
            </w:r>
            <w:r>
              <w:rPr>
                <w:rFonts w:hint="eastAsia" w:ascii="华文中宋" w:hAnsi="华文中宋" w:eastAsia="华文中宋" w:cs="华文中宋"/>
                <w:szCs w:val="21"/>
              </w:rPr>
              <w:t>项目管理有限公司</w:t>
            </w:r>
            <w:r>
              <w:rPr>
                <w:rFonts w:hint="eastAsia" w:ascii="华文中宋" w:hAnsi="华文中宋" w:eastAsia="华文中宋" w:cs="华文中宋"/>
                <w:szCs w:val="21"/>
                <w:lang w:val="en-US" w:eastAsia="zh-CN"/>
              </w:rPr>
              <w:t>会议室</w:t>
            </w:r>
            <w:r>
              <w:rPr>
                <w:rFonts w:hint="eastAsia" w:ascii="华文中宋" w:hAnsi="华文中宋" w:eastAsia="华文中宋" w:cs="华文中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9</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采购结果公告</w:t>
            </w:r>
          </w:p>
        </w:tc>
        <w:tc>
          <w:tcPr>
            <w:tcW w:w="7521" w:type="dxa"/>
            <w:noWrap/>
            <w:vAlign w:val="center"/>
          </w:tcPr>
          <w:p>
            <w:pPr>
              <w:pStyle w:val="11"/>
              <w:spacing w:beforeLines="50"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成交公告发布时间：在确定成交供应商后2个工作日内</w:t>
            </w:r>
          </w:p>
          <w:p>
            <w:pPr>
              <w:pStyle w:val="11"/>
              <w:spacing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公告期限：1个工作日</w:t>
            </w:r>
          </w:p>
          <w:p>
            <w:pPr>
              <w:pStyle w:val="11"/>
              <w:spacing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公告媒体：陕西省政府采购网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10</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成交通知书</w:t>
            </w:r>
          </w:p>
        </w:tc>
        <w:tc>
          <w:tcPr>
            <w:tcW w:w="7521" w:type="dxa"/>
            <w:noWrap/>
            <w:vAlign w:val="center"/>
          </w:tcPr>
          <w:p>
            <w:pPr>
              <w:pStyle w:val="11"/>
              <w:spacing w:beforeLines="50"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发放时间：发布本项目采购结果公告同时向成交供应商发出成交通知书</w:t>
            </w:r>
          </w:p>
          <w:p>
            <w:pPr>
              <w:pStyle w:val="11"/>
              <w:spacing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发放方式：书面发放给成交供应商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11</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签订合同</w:t>
            </w:r>
          </w:p>
        </w:tc>
        <w:tc>
          <w:tcPr>
            <w:tcW w:w="7521" w:type="dxa"/>
            <w:noWrap/>
            <w:vAlign w:val="center"/>
          </w:tcPr>
          <w:p>
            <w:pPr>
              <w:pStyle w:val="11"/>
              <w:spacing w:beforeLines="50" w:line="276" w:lineRule="auto"/>
              <w:ind w:right="115" w:rightChars="55" w:firstLine="0"/>
              <w:rPr>
                <w:rFonts w:hint="eastAsia" w:ascii="华文中宋" w:hAnsi="华文中宋" w:eastAsia="华文中宋" w:cs="华文中宋"/>
                <w:szCs w:val="21"/>
              </w:rPr>
            </w:pPr>
            <w:r>
              <w:rPr>
                <w:rFonts w:hint="eastAsia" w:ascii="华文中宋" w:hAnsi="华文中宋" w:eastAsia="华文中宋" w:cs="华文中宋"/>
                <w:szCs w:val="21"/>
              </w:rPr>
              <w:t>签订时间：在成交通知书发出之日起30日内</w:t>
            </w:r>
          </w:p>
          <w:p>
            <w:pPr>
              <w:pStyle w:val="11"/>
              <w:spacing w:line="276" w:lineRule="auto"/>
              <w:ind w:right="115" w:rightChars="55" w:firstLine="0"/>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签订地点：略阳县自然资源局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12</w:t>
            </w:r>
          </w:p>
        </w:tc>
        <w:tc>
          <w:tcPr>
            <w:tcW w:w="1665" w:type="dxa"/>
            <w:noWrap/>
            <w:vAlign w:val="center"/>
          </w:tcPr>
          <w:p>
            <w:pPr>
              <w:pStyle w:val="11"/>
              <w:spacing w:beforeLines="50" w:line="276" w:lineRule="auto"/>
              <w:ind w:right="115" w:rightChars="55" w:firstLine="0"/>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磋商保证金的退还</w:t>
            </w:r>
          </w:p>
        </w:tc>
        <w:tc>
          <w:tcPr>
            <w:tcW w:w="7521" w:type="dxa"/>
            <w:noWrap/>
            <w:vAlign w:val="center"/>
          </w:tcPr>
          <w:p>
            <w:pPr>
              <w:pStyle w:val="11"/>
              <w:spacing w:beforeLines="50" w:line="240" w:lineRule="auto"/>
              <w:ind w:right="115" w:rightChars="55" w:firstLine="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未成交供应商：在成交通知书发出5个工作日内</w:t>
            </w:r>
          </w:p>
          <w:p>
            <w:pPr>
              <w:pStyle w:val="11"/>
              <w:spacing w:beforeLines="50" w:line="240" w:lineRule="auto"/>
              <w:ind w:right="115" w:rightChars="55" w:firstLine="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成交供应商：在与采购人合同签订后5个工作日内</w:t>
            </w:r>
          </w:p>
          <w:p>
            <w:pPr>
              <w:pStyle w:val="11"/>
              <w:spacing w:beforeLines="50" w:line="240" w:lineRule="auto"/>
              <w:ind w:right="115" w:rightChars="55" w:firstLine="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注：具体办法详见本章第三条磋商响应文件第</w:t>
            </w:r>
            <w:r>
              <w:rPr>
                <w:rFonts w:hint="eastAsia" w:ascii="华文中宋" w:hAnsi="华文中宋" w:eastAsia="华文中宋" w:cs="华文中宋"/>
                <w:color w:val="auto"/>
                <w:szCs w:val="21"/>
                <w:lang w:val="en-US" w:eastAsia="zh-CN"/>
              </w:rPr>
              <w:t>7</w:t>
            </w:r>
            <w:r>
              <w:rPr>
                <w:rFonts w:hint="eastAsia" w:ascii="华文中宋" w:hAnsi="华文中宋" w:eastAsia="华文中宋" w:cs="华文中宋"/>
                <w:color w:val="auto"/>
                <w:szCs w:val="21"/>
              </w:rPr>
              <w:t>项磋商保证金。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696" w:type="dxa"/>
            <w:noWrap/>
            <w:vAlign w:val="center"/>
          </w:tcPr>
          <w:p>
            <w:pPr>
              <w:pStyle w:val="11"/>
              <w:spacing w:line="276" w:lineRule="auto"/>
              <w:ind w:firstLine="0"/>
              <w:jc w:val="center"/>
              <w:rPr>
                <w:rFonts w:hint="eastAsia" w:ascii="华文中宋" w:hAnsi="华文中宋" w:eastAsia="华文中宋" w:cs="华文中宋"/>
                <w:szCs w:val="21"/>
              </w:rPr>
            </w:pPr>
            <w:r>
              <w:rPr>
                <w:rFonts w:hint="eastAsia" w:ascii="华文中宋" w:hAnsi="华文中宋" w:eastAsia="华文中宋" w:cs="华文中宋"/>
                <w:szCs w:val="21"/>
              </w:rPr>
              <w:t>13</w:t>
            </w:r>
          </w:p>
        </w:tc>
        <w:tc>
          <w:tcPr>
            <w:tcW w:w="1665" w:type="dxa"/>
            <w:noWrap/>
            <w:vAlign w:val="center"/>
          </w:tcPr>
          <w:p>
            <w:pPr>
              <w:pStyle w:val="11"/>
              <w:spacing w:beforeLines="50" w:line="276" w:lineRule="auto"/>
              <w:ind w:firstLine="0"/>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缴纳代理服务费时间</w:t>
            </w:r>
          </w:p>
        </w:tc>
        <w:tc>
          <w:tcPr>
            <w:tcW w:w="7521" w:type="dxa"/>
            <w:noWrap/>
            <w:vAlign w:val="center"/>
          </w:tcPr>
          <w:p>
            <w:pPr>
              <w:pStyle w:val="11"/>
              <w:spacing w:beforeLines="50" w:line="276" w:lineRule="auto"/>
              <w:ind w:right="115" w:rightChars="55" w:firstLine="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缴纳时间：在成交通知书发出5个工作日内</w:t>
            </w:r>
          </w:p>
          <w:p>
            <w:pPr>
              <w:pStyle w:val="11"/>
              <w:spacing w:beforeLines="50" w:line="276" w:lineRule="auto"/>
              <w:ind w:right="115" w:rightChars="55" w:firstLine="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缴纳方式：以现金或转账的方式，不得以磋商保证金冲抵；</w:t>
            </w:r>
          </w:p>
        </w:tc>
      </w:tr>
    </w:tbl>
    <w:p>
      <w:pPr>
        <w:keepNext w:val="0"/>
        <w:keepLines w:val="0"/>
        <w:pageBreakBefore w:val="0"/>
        <w:kinsoku w:val="0"/>
        <w:wordWrap/>
        <w:overflowPunct/>
        <w:topLinePunct w:val="0"/>
        <w:autoSpaceDE/>
        <w:autoSpaceDN/>
        <w:bidi w:val="0"/>
        <w:snapToGrid w:val="0"/>
        <w:spacing w:line="312" w:lineRule="auto"/>
        <w:textAlignment w:val="auto"/>
        <w:rPr>
          <w:rFonts w:hint="eastAsia" w:ascii="华文中宋" w:hAnsi="华文中宋" w:eastAsia="华文中宋" w:cs="华文中宋"/>
          <w:szCs w:val="21"/>
        </w:rPr>
      </w:pPr>
      <w:r>
        <w:rPr>
          <w:rFonts w:hint="eastAsia" w:ascii="华文中宋" w:hAnsi="华文中宋" w:eastAsia="华文中宋" w:cs="华文中宋"/>
          <w:szCs w:val="21"/>
        </w:rPr>
        <w:t>注：供应商须知前附表与磋商文件正文不一致的以供应商须知前附表为准。</w:t>
      </w:r>
    </w:p>
    <w:p>
      <w:pPr>
        <w:keepNext w:val="0"/>
        <w:keepLines w:val="0"/>
        <w:pageBreakBefore w:val="0"/>
        <w:kinsoku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 w:val="28"/>
          <w:szCs w:val="28"/>
        </w:rPr>
        <w:t>一、总则</w:t>
      </w:r>
    </w:p>
    <w:p>
      <w:pPr>
        <w:keepNext w:val="0"/>
        <w:keepLines w:val="0"/>
        <w:pageBreakBefore w:val="0"/>
        <w:kinsoku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1、释义</w:t>
      </w:r>
    </w:p>
    <w:p>
      <w:pPr>
        <w:keepNext w:val="0"/>
        <w:keepLines w:val="0"/>
        <w:pageBreakBefore w:val="0"/>
        <w:kinsoku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1.1、采   购   人：略阳县自然资源局</w:t>
      </w:r>
    </w:p>
    <w:p>
      <w:pPr>
        <w:keepNext w:val="0"/>
        <w:keepLines w:val="0"/>
        <w:pageBreakBefore w:val="0"/>
        <w:tabs>
          <w:tab w:val="left" w:pos="980"/>
        </w:tabs>
        <w:kinsoku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1.2、采购代理机构：</w:t>
      </w:r>
      <w:r>
        <w:rPr>
          <w:rFonts w:hint="eastAsia" w:ascii="华文中宋" w:hAnsi="华文中宋" w:eastAsia="华文中宋" w:cs="华文中宋"/>
          <w:szCs w:val="21"/>
          <w:lang w:val="en-US" w:eastAsia="zh-CN"/>
        </w:rPr>
        <w:t>陕西信鹏</w:t>
      </w:r>
      <w:r>
        <w:rPr>
          <w:rFonts w:hint="eastAsia" w:ascii="华文中宋" w:hAnsi="华文中宋" w:eastAsia="华文中宋" w:cs="华文中宋"/>
          <w:szCs w:val="21"/>
        </w:rPr>
        <w:t>项目管理有限公司</w:t>
      </w:r>
    </w:p>
    <w:p>
      <w:pPr>
        <w:keepNext w:val="0"/>
        <w:keepLines w:val="0"/>
        <w:pageBreakBefore w:val="0"/>
        <w:tabs>
          <w:tab w:val="left" w:pos="980"/>
        </w:tabs>
        <w:kinsoku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1.3、监督管理部门：</w:t>
      </w:r>
      <w:r>
        <w:rPr>
          <w:rFonts w:hint="eastAsia" w:ascii="华文中宋" w:hAnsi="华文中宋" w:eastAsia="华文中宋" w:cs="华文中宋"/>
          <w:szCs w:val="21"/>
          <w:lang w:val="en-US" w:eastAsia="zh-CN"/>
        </w:rPr>
        <w:t>略阳县</w:t>
      </w:r>
      <w:r>
        <w:rPr>
          <w:rFonts w:hint="eastAsia" w:ascii="华文中宋" w:hAnsi="华文中宋" w:eastAsia="华文中宋" w:cs="华文中宋"/>
          <w:szCs w:val="21"/>
        </w:rPr>
        <w:t>财政局</w:t>
      </w:r>
    </w:p>
    <w:p>
      <w:pPr>
        <w:pStyle w:val="25"/>
        <w:keepNext w:val="0"/>
        <w:keepLines w:val="0"/>
        <w:pageBreakBefore w:val="0"/>
        <w:wordWrap/>
        <w:overflowPunct/>
        <w:topLinePunct w:val="0"/>
        <w:autoSpaceDE/>
        <w:autoSpaceDN/>
        <w:bidi w:val="0"/>
        <w:snapToGrid w:val="0"/>
        <w:spacing w:before="0" w:beforeAutospacing="0" w:after="0" w:afterAutospacing="0" w:line="312" w:lineRule="auto"/>
        <w:ind w:firstLine="42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1.4、标        书：磋商文件与磋商响应文件的统称，竞争性磋商文件编制依据为《中华人民共和国政府采购法》、《中华人民共和国政府采购法实施条例》（第658号）、《政府采购竞争性磋商采购方式管理暂行办法》等相关的法律法规文件。</w:t>
      </w:r>
    </w:p>
    <w:p>
      <w:pPr>
        <w:keepNext w:val="0"/>
        <w:keepLines w:val="0"/>
        <w:pageBreakBefore w:val="0"/>
        <w:tabs>
          <w:tab w:val="left" w:pos="980"/>
        </w:tabs>
        <w:kinsoku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1.5、磋商供应商：符合《中华人民共和国政府采购法》第二十二条、《中华人民共和国国务院令（第658号）》第十七条规定的及本次磋商特定资格条件，且从采购代理机构购买竞争性磋商文件，并自愿参加磋商活动的磋商供应商。</w:t>
      </w:r>
    </w:p>
    <w:p>
      <w:pPr>
        <w:keepNext w:val="0"/>
        <w:keepLines w:val="0"/>
        <w:pageBreakBefore w:val="0"/>
        <w:tabs>
          <w:tab w:val="left" w:pos="980"/>
        </w:tabs>
        <w:kinsoku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2、磋商供应商</w:t>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2.1、合格的磋商供应商应具备以下条件：</w:t>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pacing w:val="-4"/>
          <w:szCs w:val="21"/>
        </w:rPr>
      </w:pPr>
      <w:r>
        <w:rPr>
          <w:rFonts w:hint="eastAsia" w:ascii="华文中宋" w:hAnsi="华文中宋" w:eastAsia="华文中宋" w:cs="华文中宋"/>
          <w:szCs w:val="21"/>
        </w:rPr>
        <w:t>2.1.1、具备且满足《竞争性磋商公告》要求的</w:t>
      </w:r>
      <w:r>
        <w:rPr>
          <w:rFonts w:hint="eastAsia" w:ascii="华文中宋" w:hAnsi="华文中宋" w:eastAsia="华文中宋" w:cs="华文中宋"/>
          <w:spacing w:val="-4"/>
          <w:szCs w:val="21"/>
        </w:rPr>
        <w:t>；</w:t>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2.1.2、向采购代理机构购买了竞争性磋商文件并登记备案的；</w:t>
      </w:r>
    </w:p>
    <w:p>
      <w:pPr>
        <w:keepNext w:val="0"/>
        <w:keepLines w:val="0"/>
        <w:pageBreakBefore w:val="0"/>
        <w:tabs>
          <w:tab w:val="left" w:pos="6787"/>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2.1.3、向采购代理机构缴纳了磋商保证金的；</w:t>
      </w:r>
      <w:r>
        <w:rPr>
          <w:rFonts w:hint="eastAsia" w:ascii="华文中宋" w:hAnsi="华文中宋" w:eastAsia="华文中宋" w:cs="华文中宋"/>
          <w:szCs w:val="21"/>
        </w:rPr>
        <w:tab/>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2.1.4、一个磋商供应商只能提交一个磋商响应文件，法定代表人为同一人的两个及两个以上法人，不得同时参加本项目投标；</w:t>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2.1.5、有隶属关系的两个公司或有控股关系的两个公司不能同时参加同一项目的投标；</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2.1.6、遵守国家、陕西省有关政府采购的法律、条例和法规；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2.1.7、竞争性磋商文件和法律、行政法规规定的其他条件。</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2.2、磋商供应商存在下列情形之一，属于不合格磋商供应商，其磋商响应文件或中标资格将被取消：</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2.2.1、与采购人、采购代理机构存在隶属关系或者其他利害关系；</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2.2.2、与其他磋商供应商的法定代表人（或者负责人）为同一人，或者与其他磋商供应商存在控股、管理关系；</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2.2.3、提供虚假材料谋取成交资格；</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2.2.4、采取不正当手段诋毁、排挤其他磋商供应商；</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2.2.5、与采购人、采购代理机构、其他磋商供应商恶意串通；</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 xml:space="preserve">2.2.6、向采购人、采购代理机构、磋商小组成员行贿或者提供其他不正当利益；  </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2.2.7、拒绝有关部门的监督检查或者向监督检查部门提供虚假情况；</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2.2.8、受到刑事处罚，或者受到</w:t>
      </w:r>
      <w:r>
        <w:rPr>
          <w:rFonts w:hint="eastAsia" w:ascii="华文中宋" w:hAnsi="华文中宋" w:eastAsia="华文中宋" w:cs="华文中宋"/>
          <w:szCs w:val="21"/>
          <w:lang w:val="en-US" w:eastAsia="zh-CN"/>
        </w:rPr>
        <w:t>较大数额</w:t>
      </w:r>
      <w:r>
        <w:rPr>
          <w:rFonts w:hint="eastAsia" w:ascii="华文中宋" w:hAnsi="华文中宋" w:eastAsia="华文中宋" w:cs="华文中宋"/>
          <w:szCs w:val="21"/>
        </w:rPr>
        <w:t>的罚款、责令停产停业、在一至三年内禁止参加政府采购活动、暂扣或者吊销许可证、暂扣或者吊销执照等情形之一的行政处罚，或者存在财政部门认定的其他重大违法记录。</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2.3、有下列情形之一的，视为磋商供应商相互恶意串通投标，其磋商响应文件或中标资格将被取消：</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2.3.1（一）供应商直接或者间接从采购人或者采购代理机构处获得其他供应商的相关情况并修改其响应文件；</w:t>
      </w:r>
    </w:p>
    <w:p>
      <w:pPr>
        <w:keepNext w:val="0"/>
        <w:keepLines w:val="0"/>
        <w:pageBreakBefore w:val="0"/>
        <w:numPr>
          <w:ilvl w:val="0"/>
          <w:numId w:val="3"/>
        </w:numPr>
        <w:wordWrap/>
        <w:overflowPunct/>
        <w:topLinePunct w:val="0"/>
        <w:autoSpaceDE/>
        <w:autoSpaceDN/>
        <w:bidi w:val="0"/>
        <w:snapToGrid w:val="0"/>
        <w:spacing w:line="312" w:lineRule="auto"/>
        <w:ind w:left="420" w:left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供应商按照采购人或者采购代理机构的授意撤换、修改响应文件；</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（三）供应商之间协商报价、技术方案等响应文件的实质性内容；</w:t>
      </w:r>
    </w:p>
    <w:p>
      <w:pPr>
        <w:keepNext w:val="0"/>
        <w:keepLines w:val="0"/>
        <w:pageBreakBefore w:val="0"/>
        <w:wordWrap/>
        <w:overflowPunct/>
        <w:topLinePunct w:val="0"/>
        <w:autoSpaceDE/>
        <w:autoSpaceDN/>
        <w:bidi w:val="0"/>
        <w:snapToGrid w:val="0"/>
        <w:spacing w:line="312" w:lineRule="auto"/>
        <w:ind w:left="420" w:left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（四）属于同一集团、协会、商会等组织成员的供应商按照该组织要求协同参加政府采购活动；</w:t>
      </w:r>
    </w:p>
    <w:p>
      <w:pPr>
        <w:keepNext w:val="0"/>
        <w:keepLines w:val="0"/>
        <w:pageBreakBefore w:val="0"/>
        <w:wordWrap/>
        <w:overflowPunct/>
        <w:topLinePunct w:val="0"/>
        <w:autoSpaceDE/>
        <w:autoSpaceDN/>
        <w:bidi w:val="0"/>
        <w:snapToGrid w:val="0"/>
        <w:spacing w:line="312" w:lineRule="auto"/>
        <w:ind w:left="420" w:left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（五）供应商之间事先约定由某一特定供应商中标、成交；</w:t>
      </w:r>
    </w:p>
    <w:p>
      <w:pPr>
        <w:keepNext w:val="0"/>
        <w:keepLines w:val="0"/>
        <w:pageBreakBefore w:val="0"/>
        <w:wordWrap/>
        <w:overflowPunct/>
        <w:topLinePunct w:val="0"/>
        <w:autoSpaceDE/>
        <w:autoSpaceDN/>
        <w:bidi w:val="0"/>
        <w:snapToGrid w:val="0"/>
        <w:spacing w:line="312" w:lineRule="auto"/>
        <w:ind w:left="420" w:left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（六）供应商之间商定部分供应商放弃参加政府采购活动或者放弃中标、成交；</w:t>
      </w:r>
    </w:p>
    <w:p>
      <w:pPr>
        <w:keepNext w:val="0"/>
        <w:keepLines w:val="0"/>
        <w:pageBreakBefore w:val="0"/>
        <w:wordWrap/>
        <w:overflowPunct/>
        <w:topLinePunct w:val="0"/>
        <w:autoSpaceDE/>
        <w:autoSpaceDN/>
        <w:bidi w:val="0"/>
        <w:snapToGrid w:val="0"/>
        <w:spacing w:line="312" w:lineRule="auto"/>
        <w:ind w:left="420" w:left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（七）供应商与采购人或者采购代理机构之间、供应商相互之间，为谋求特定供应商中标、成交或者排斥其他供应商的其他串通行为。</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color w:val="auto"/>
          <w:kern w:val="1"/>
          <w:szCs w:val="21"/>
        </w:rPr>
      </w:pPr>
      <w:r>
        <w:rPr>
          <w:rFonts w:hint="eastAsia" w:ascii="华文中宋" w:hAnsi="华文中宋" w:eastAsia="华文中宋" w:cs="华文中宋"/>
          <w:szCs w:val="21"/>
        </w:rPr>
        <w:t>2.3.2、本项目依据《中华人民共和国政府采购法》及相关法律法规，落实政府采购“优先购买节能环保产品、扶持小微企业、监狱企业、福利企业”等相关政策</w:t>
      </w:r>
      <w:r>
        <w:rPr>
          <w:rFonts w:hint="eastAsia" w:ascii="华文中宋" w:hAnsi="华文中宋" w:eastAsia="华文中宋" w:cs="华文中宋"/>
          <w:color w:val="auto"/>
          <w:kern w:val="1"/>
          <w:szCs w:val="21"/>
        </w:rPr>
        <w:t>。</w:t>
      </w:r>
    </w:p>
    <w:p>
      <w:pPr>
        <w:keepNext w:val="0"/>
        <w:keepLines w:val="0"/>
        <w:pageBreakBefore w:val="0"/>
        <w:tabs>
          <w:tab w:val="left" w:pos="980"/>
        </w:tabs>
        <w:kinsoku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2.3.2.</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、中小企业：依据</w:t>
      </w:r>
      <w:r>
        <w:rPr>
          <w:rFonts w:hint="eastAsia" w:ascii="华文中宋" w:hAnsi="华文中宋" w:eastAsia="华文中宋" w:cs="华文中宋"/>
          <w:szCs w:val="16"/>
        </w:rPr>
        <w:t>《政府采购促进中小企业发展管理办法》(财库〔2020〕46号）</w:t>
      </w:r>
      <w:r>
        <w:rPr>
          <w:rFonts w:hint="eastAsia" w:ascii="华文中宋" w:hAnsi="华文中宋" w:eastAsia="华文中宋" w:cs="华文中宋"/>
          <w:szCs w:val="21"/>
        </w:rPr>
        <w:t>之规定执行。参加政府采购活动的中小企业应当提供《中小企业声明函》（见第六章响应文件格式）。</w:t>
      </w:r>
    </w:p>
    <w:p>
      <w:pPr>
        <w:keepNext w:val="0"/>
        <w:keepLines w:val="0"/>
        <w:pageBreakBefore w:val="0"/>
        <w:wordWrap/>
        <w:overflowPunct/>
        <w:topLinePunct w:val="0"/>
        <w:autoSpaceDE/>
        <w:autoSpaceDN/>
        <w:bidi w:val="0"/>
        <w:adjustRightInd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2.3.2.</w:t>
      </w: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、监狱企业：依照&lt;财政部、司法部关于政府采购支持监狱企业发展有关问题的通知&gt;（财库〔2014〕68号文件）之规定执行。</w:t>
      </w:r>
    </w:p>
    <w:p>
      <w:pPr>
        <w:keepNext w:val="0"/>
        <w:keepLines w:val="0"/>
        <w:pageBreakBefore w:val="0"/>
        <w:wordWrap/>
        <w:overflowPunct/>
        <w:topLinePunct w:val="0"/>
        <w:autoSpaceDE/>
        <w:autoSpaceDN/>
        <w:bidi w:val="0"/>
        <w:adjustRightInd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2.3.2.</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、残疾人福利性单位：依据《三部门联合发布关于促进残疾人就业政府采购政策的通知》（财库【2017】141号）之规定执行。</w:t>
      </w:r>
    </w:p>
    <w:p>
      <w:pPr>
        <w:keepNext w:val="0"/>
        <w:keepLines w:val="0"/>
        <w:pageBreakBefore w:val="0"/>
        <w:wordWrap/>
        <w:overflowPunct/>
        <w:topLinePunct w:val="0"/>
        <w:autoSpaceDE/>
        <w:autoSpaceDN/>
        <w:bidi w:val="0"/>
        <w:adjustRightInd w:val="0"/>
        <w:snapToGrid w:val="0"/>
        <w:spacing w:line="312" w:lineRule="auto"/>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szCs w:val="21"/>
          <w:lang w:val="en-US" w:eastAsia="zh-CN"/>
        </w:rPr>
        <w:t>2.3.2.4、</w:t>
      </w:r>
      <w:r>
        <w:rPr>
          <w:rFonts w:hint="eastAsia" w:ascii="华文中宋" w:hAnsi="华文中宋" w:eastAsia="华文中宋" w:cs="华文中宋"/>
          <w:szCs w:val="21"/>
        </w:rPr>
        <w:t>联合体各方均中小企业的，参加政府采购活动时，视同中小企业。联合体各方均需提供《中小企业声明函》，有一方未提供或</w:t>
      </w:r>
      <w:r>
        <w:rPr>
          <w:rFonts w:hint="eastAsia" w:ascii="华文中宋" w:hAnsi="华文中宋" w:eastAsia="华文中宋" w:cs="华文中宋"/>
          <w:color w:val="auto"/>
          <w:szCs w:val="21"/>
          <w:highlight w:val="none"/>
        </w:rPr>
        <w:t>提供有瑕疵的，不视为中小企业。</w:t>
      </w:r>
    </w:p>
    <w:p>
      <w:pPr>
        <w:keepNext w:val="0"/>
        <w:keepLines w:val="0"/>
        <w:pageBreakBefore w:val="0"/>
        <w:wordWrap/>
        <w:overflowPunct/>
        <w:topLinePunct w:val="0"/>
        <w:autoSpaceDE/>
        <w:autoSpaceDN/>
        <w:bidi w:val="0"/>
        <w:adjustRightInd w:val="0"/>
        <w:snapToGrid w:val="0"/>
        <w:spacing w:line="312" w:lineRule="auto"/>
        <w:ind w:firstLine="367" w:firstLineChars="175"/>
        <w:textAlignment w:val="auto"/>
        <w:rPr>
          <w:rFonts w:hint="eastAsia" w:ascii="华文中宋" w:hAnsi="华文中宋" w:eastAsia="华文中宋" w:cs="华文中宋"/>
          <w:szCs w:val="21"/>
        </w:rPr>
      </w:pPr>
      <w:r>
        <w:rPr>
          <w:rFonts w:hint="eastAsia" w:ascii="华文中宋" w:hAnsi="华文中宋" w:eastAsia="华文中宋" w:cs="华文中宋"/>
          <w:szCs w:val="21"/>
        </w:rPr>
        <w:t>2.4、磋商供应商的风险：竞争性磋商文件各章内容已对磋商事宜提出明确要求，磋商供应商应认真阅读和充分理解竞争性磋商文件中所有的事项、格式条款和规范要求，任何对竞争性磋商文件的忽略或误解不能作为磋商响应文件存在缺陷或瑕疵的理由；磋商供应商没有按照竞争性磋商文件要求提供全部资料，或对竞争性磋商文件未全面做出实质性响应是磋商供应商的风险，而导致投标不利后果或其磋商响应文件被拒绝、被当做无效响应文件的，其责任由磋商供应商自负。</w:t>
      </w:r>
    </w:p>
    <w:p>
      <w:pPr>
        <w:keepNext w:val="0"/>
        <w:keepLines w:val="0"/>
        <w:pageBreakBefore w:val="0"/>
        <w:wordWrap/>
        <w:overflowPunct/>
        <w:topLinePunct w:val="0"/>
        <w:autoSpaceDE/>
        <w:autoSpaceDN/>
        <w:bidi w:val="0"/>
        <w:adjustRightInd w:val="0"/>
        <w:snapToGrid w:val="0"/>
        <w:spacing w:line="312" w:lineRule="auto"/>
        <w:textAlignment w:val="auto"/>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二、竞争性磋商文件</w:t>
      </w:r>
    </w:p>
    <w:p>
      <w:pPr>
        <w:keepNext w:val="0"/>
        <w:keepLines w:val="0"/>
        <w:pageBreakBefore w:val="0"/>
        <w:kinsoku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3、竞争性磋商文件的构成</w:t>
      </w:r>
    </w:p>
    <w:p>
      <w:pPr>
        <w:keepNext w:val="0"/>
        <w:keepLines w:val="0"/>
        <w:pageBreakBefore w:val="0"/>
        <w:tabs>
          <w:tab w:val="left" w:pos="766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竞争性磋商文件是磋商供应商准备磋商响应文件和参加磋商的依据，同时也是评审的重要依据。竞争性磋商文件用以阐明采购项目所需的技术、服务及报价等要求、采购程序、评审办法与标准、有关规定和注意事项以及合同主要条款等。</w:t>
      </w:r>
      <w:bookmarkStart w:id="12" w:name="_Toc183582211"/>
      <w:bookmarkStart w:id="13" w:name="_Toc183682348"/>
      <w:bookmarkStart w:id="14" w:name="_Toc217446040"/>
    </w:p>
    <w:p>
      <w:pPr>
        <w:keepNext w:val="0"/>
        <w:keepLines w:val="0"/>
        <w:pageBreakBefore w:val="0"/>
        <w:wordWrap/>
        <w:overflowPunct/>
        <w:topLinePunct w:val="0"/>
        <w:autoSpaceDE/>
        <w:autoSpaceDN/>
        <w:bidi w:val="0"/>
        <w:snapToGrid w:val="0"/>
        <w:spacing w:beforeLines="50"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4、踏勘现场</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4.1、本项目不组织统一踏勘时间，磋商供应商可自行进行踏勘，费用自理。</w:t>
      </w:r>
    </w:p>
    <w:p>
      <w:pPr>
        <w:keepNext w:val="0"/>
        <w:keepLines w:val="0"/>
        <w:pageBreakBefore w:val="0"/>
        <w:wordWrap/>
        <w:overflowPunct/>
        <w:topLinePunct w:val="0"/>
        <w:autoSpaceDE/>
        <w:autoSpaceDN/>
        <w:bidi w:val="0"/>
        <w:adjustRightInd w:val="0"/>
        <w:snapToGrid w:val="0"/>
        <w:spacing w:line="312" w:lineRule="auto"/>
        <w:ind w:firstLine="367" w:firstLineChars="175"/>
        <w:textAlignment w:val="auto"/>
        <w:rPr>
          <w:rFonts w:hint="eastAsia" w:ascii="华文中宋" w:hAnsi="华文中宋" w:eastAsia="华文中宋" w:cs="华文中宋"/>
          <w:szCs w:val="21"/>
        </w:rPr>
      </w:pPr>
      <w:r>
        <w:rPr>
          <w:rFonts w:hint="eastAsia" w:ascii="华文中宋" w:hAnsi="华文中宋" w:eastAsia="华文中宋" w:cs="华文中宋"/>
          <w:szCs w:val="21"/>
        </w:rPr>
        <w:t>4.2、经采购方允许，供应商可为踏勘目的进入采购</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rPr>
        <w:t>的项目现场，但供应商不得因此使采购</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rPr>
        <w:t>承担有关的责任和蒙受损失；供应商应承担踏勘现场的责任和风险；供应商在现场踏勘期间发生的费用由供应商自负。</w:t>
      </w:r>
    </w:p>
    <w:p>
      <w:pPr>
        <w:keepNext w:val="0"/>
        <w:keepLines w:val="0"/>
        <w:pageBreakBefore w:val="0"/>
        <w:wordWrap/>
        <w:overflowPunct/>
        <w:topLinePunct w:val="0"/>
        <w:autoSpaceDE/>
        <w:autoSpaceDN/>
        <w:bidi w:val="0"/>
        <w:adjustRightInd w:val="0"/>
        <w:snapToGrid w:val="0"/>
        <w:spacing w:line="312" w:lineRule="auto"/>
        <w:ind w:firstLine="367" w:firstLineChars="175"/>
        <w:textAlignment w:val="auto"/>
        <w:rPr>
          <w:rFonts w:hint="eastAsia" w:ascii="华文中宋" w:hAnsi="华文中宋" w:eastAsia="华文中宋" w:cs="华文中宋"/>
          <w:szCs w:val="21"/>
        </w:rPr>
      </w:pPr>
      <w:r>
        <w:rPr>
          <w:rFonts w:hint="eastAsia" w:ascii="华文中宋" w:hAnsi="华文中宋" w:eastAsia="华文中宋" w:cs="华文中宋"/>
          <w:szCs w:val="21"/>
        </w:rPr>
        <w:t>4.3、采购</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rPr>
        <w:t>不对磋商供应商因踏勘现场而做出的推论、理解和结论负责。一旦成交，成交供应商不得以任何借口，提出额外补偿或延长合同期限的要求。</w:t>
      </w:r>
    </w:p>
    <w:p>
      <w:pPr>
        <w:keepNext w:val="0"/>
        <w:keepLines w:val="0"/>
        <w:pageBreakBefore w:val="0"/>
        <w:tabs>
          <w:tab w:val="left" w:pos="7665"/>
        </w:tabs>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5、竞争性磋商文件的澄清</w:t>
      </w:r>
      <w:bookmarkEnd w:id="12"/>
      <w:bookmarkEnd w:id="13"/>
      <w:r>
        <w:rPr>
          <w:rFonts w:hint="eastAsia" w:ascii="华文中宋" w:hAnsi="华文中宋" w:eastAsia="华文中宋" w:cs="华文中宋"/>
          <w:b/>
          <w:szCs w:val="21"/>
        </w:rPr>
        <w:t>和修改</w:t>
      </w:r>
      <w:bookmarkEnd w:id="14"/>
    </w:p>
    <w:p>
      <w:pPr>
        <w:keepNext w:val="0"/>
        <w:keepLines w:val="0"/>
        <w:pageBreakBefore w:val="0"/>
        <w:tabs>
          <w:tab w:val="left" w:pos="7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5.1、在提交首次响应文件截止时间前，采购人、采购代理机构或者磋商小组可以对已发出的竞争性磋商文件进行必要的澄清或者修改。</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5.2、采购人、采购代理机构或者磋商小组对已发出的竞争性磋商文件进行澄清或者修改，将在竞争性磋商文件要求的提交磋商响应文件截止时间5日前进行，并以书面形式将澄清或者修改的内容通知所有购买了竞争性磋商文件的磋商供应商，同时在原信息发布媒体上发布更正公告。该澄清或者修改的内容为竞争性磋商文件的组成部分。磋商供应商在收到上述通知后，应立即以书面形式向采购代理机构确认。如果澄清或者修改发出的时间距规定的递交磋商响应文件截止时间不足5日，将相应顺延其截止时间。</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5</w:t>
      </w:r>
      <w:r>
        <w:rPr>
          <w:rFonts w:hint="eastAsia" w:ascii="华文中宋" w:hAnsi="华文中宋" w:eastAsia="华文中宋" w:cs="华文中宋"/>
          <w:b/>
          <w:bCs/>
          <w:szCs w:val="21"/>
        </w:rPr>
        <w:t>.</w:t>
      </w:r>
      <w:r>
        <w:rPr>
          <w:rFonts w:hint="eastAsia" w:ascii="华文中宋" w:hAnsi="华文中宋" w:eastAsia="华文中宋" w:cs="华文中宋"/>
          <w:szCs w:val="21"/>
        </w:rPr>
        <w:t>3、要求采购人或采购代理机构对竞争性磋商文件进行澄清的磋商供应商，或认为有必要与采购人、采购代理机构进行技术交流的，均应将需要澄清的内容，按照竞争性磋商文件供应商须知前附表中的要求方式递交采购人、采购代理机构，采购人、采购代理机构以书面形式予以答复（答复中不包括问题的来源），或认为有必要召开答疑会。各磋商供应商须按竞争性磋商文件供应商须知前附表中的要求时间，将需要澄清内容送达采购代理机构，超过该时间收到的需澄清的内容，采购代理机构有权不予答复。</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5.4、在递交磋商响应文件截止时间前，采购代理机构可以视采购具体情况，延长截止时间，并在竞争性磋商文件要求提交磋商响应文件的截止时间前，将变更时间以书面形式通知所有购买了竞争性磋商文件的磋商供应商，同时在原信息发布媒体上发布变更公告。</w:t>
      </w:r>
      <w:bookmarkStart w:id="15" w:name="_Toc183582213"/>
      <w:bookmarkEnd w:id="15"/>
      <w:bookmarkStart w:id="16" w:name="_Toc208848971"/>
      <w:bookmarkEnd w:id="16"/>
      <w:bookmarkStart w:id="17" w:name="_Toc183682350"/>
      <w:bookmarkEnd w:id="17"/>
      <w:bookmarkStart w:id="18" w:name="_Toc217446041"/>
      <w:bookmarkEnd w:id="18"/>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b/>
          <w:szCs w:val="21"/>
        </w:rPr>
        <w:t>6</w:t>
      </w:r>
      <w:r>
        <w:rPr>
          <w:rFonts w:hint="eastAsia" w:ascii="华文中宋" w:hAnsi="华文中宋" w:eastAsia="华文中宋" w:cs="华文中宋"/>
          <w:szCs w:val="21"/>
        </w:rPr>
        <w:t>、竞争性磋商文件的解释权：</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本项目竞争性磋商文件的解释权归采购代理机构所有，如发现竞争性磋商文件内容与现行法律法规不相符的情况，以现行法律法规为准。</w:t>
      </w:r>
    </w:p>
    <w:p>
      <w:pPr>
        <w:keepNext w:val="0"/>
        <w:keepLines w:val="0"/>
        <w:pageBreakBefore w:val="0"/>
        <w:wordWrap/>
        <w:overflowPunct/>
        <w:topLinePunct w:val="0"/>
        <w:autoSpaceDE/>
        <w:autoSpaceDN/>
        <w:bidi w:val="0"/>
        <w:snapToGrid w:val="0"/>
        <w:spacing w:line="312" w:lineRule="auto"/>
        <w:ind w:firstLine="561" w:firstLineChars="200"/>
        <w:textAlignment w:val="auto"/>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三、磋商响应文件</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7、磋商响应文件的组成</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7.1、磋商响应文件由下列部分组成：</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7.1.1、磋商报价部分：</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7.1.1.1、本项目报价采用固定总价承包，磋商供应商自行考虑并承担风险。即磋商供应商的报价是磋商供应商响应本项目要求的全部工作内容的价格体现，包括磋商供应商完成本项目所需的一切费用，即服务费、代理服务费、税金及其他所有费用的总和。</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7.1.1.2、磋商供应商不得以低于成本的报价参与磋商。磋商小组认为供应商的报价明显低于其他通过符合性审查供应商的报价，</w:t>
      </w:r>
      <w:r>
        <w:rPr>
          <w:rFonts w:hint="eastAsia" w:ascii="华文中宋" w:hAnsi="华文中宋" w:eastAsia="华文中宋" w:cs="华文中宋"/>
          <w:szCs w:val="21"/>
          <w:highlight w:val="none"/>
        </w:rPr>
        <w:t>不能诚信履约的，</w:t>
      </w:r>
      <w:r>
        <w:rPr>
          <w:rFonts w:hint="eastAsia" w:ascii="华文中宋" w:hAnsi="华文中宋" w:eastAsia="华文中宋" w:cs="华文中宋"/>
          <w:szCs w:val="21"/>
        </w:rPr>
        <w:t>应当要求其在</w:t>
      </w:r>
      <w:r>
        <w:rPr>
          <w:rFonts w:hint="eastAsia" w:ascii="华文中宋" w:hAnsi="华文中宋" w:eastAsia="华文中宋" w:cs="华文中宋"/>
          <w:szCs w:val="21"/>
          <w:lang w:val="en-US" w:eastAsia="zh-CN"/>
        </w:rPr>
        <w:t>磋商</w:t>
      </w:r>
      <w:r>
        <w:rPr>
          <w:rFonts w:hint="eastAsia" w:ascii="华文中宋" w:hAnsi="华文中宋" w:eastAsia="华文中宋" w:cs="华文中宋"/>
          <w:szCs w:val="21"/>
        </w:rPr>
        <w:t>现场合理的时间内提供书面说明，必要时提交相关证明材料；供应商不能证明其报价合理性的，磋商小组应当将其作为无效</w:t>
      </w:r>
      <w:r>
        <w:rPr>
          <w:rFonts w:hint="eastAsia" w:ascii="华文中宋" w:hAnsi="华文中宋" w:eastAsia="华文中宋" w:cs="华文中宋"/>
          <w:szCs w:val="21"/>
          <w:lang w:val="en-US" w:eastAsia="zh-CN"/>
        </w:rPr>
        <w:t>报价</w:t>
      </w:r>
      <w:r>
        <w:rPr>
          <w:rFonts w:hint="eastAsia" w:ascii="华文中宋" w:hAnsi="华文中宋" w:eastAsia="华文中宋" w:cs="华文中宋"/>
          <w:szCs w:val="21"/>
        </w:rPr>
        <w:t>处理。</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7.1.2、技术部分：磋商供应商按照竞争性磋商文件要求做出技术响应，主要是针对采购项目的技术指标、参数和技术要求做出的实质性响应和满足。</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7.1.3、商务部分：</w:t>
      </w:r>
      <w:r>
        <w:rPr>
          <w:rFonts w:hint="eastAsia" w:ascii="华文中宋" w:hAnsi="华文中宋" w:eastAsia="华文中宋" w:cs="华文中宋"/>
          <w:bCs/>
          <w:szCs w:val="21"/>
        </w:rPr>
        <w:t>磋商供应商</w:t>
      </w:r>
      <w:r>
        <w:rPr>
          <w:rFonts w:hint="eastAsia" w:ascii="华文中宋" w:hAnsi="华文中宋" w:eastAsia="华文中宋" w:cs="华文中宋"/>
          <w:szCs w:val="21"/>
        </w:rPr>
        <w:t>按照竞争性磋商文件要求做出完全响应。</w:t>
      </w:r>
    </w:p>
    <w:p>
      <w:pPr>
        <w:pStyle w:val="11"/>
        <w:keepNext w:val="0"/>
        <w:keepLines w:val="0"/>
        <w:pageBreakBefore w:val="0"/>
        <w:wordWrap/>
        <w:overflowPunct/>
        <w:topLinePunct w:val="0"/>
        <w:autoSpaceDE/>
        <w:autoSpaceDN/>
        <w:bidi w:val="0"/>
        <w:snapToGrid w:val="0"/>
        <w:spacing w:beforeLines="50" w:afterLines="50" w:line="312" w:lineRule="auto"/>
        <w:ind w:firstLine="0"/>
        <w:textAlignment w:val="auto"/>
        <w:rPr>
          <w:rFonts w:hint="eastAsia" w:ascii="华文中宋" w:hAnsi="华文中宋" w:eastAsia="华文中宋" w:cs="华文中宋"/>
          <w:b/>
          <w:szCs w:val="21"/>
        </w:rPr>
      </w:pPr>
      <w:r>
        <w:rPr>
          <w:rFonts w:hint="eastAsia" w:ascii="华文中宋" w:hAnsi="华文中宋" w:eastAsia="华文中宋" w:cs="华文中宋"/>
          <w:b/>
          <w:bCs/>
          <w:szCs w:val="21"/>
        </w:rPr>
        <w:t>8、磋商保证金</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8.1、磋商保证金数额见磋商供应商须知前列表。磋商供应商参加磋商时，应当以人民币提交足额的磋商保证金，并作为其磋商响应文件的一部分。</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8.2、磋商保证金是为了保护采购人和采购代理机构免遭磋商供应商的不良行为而蒙受损失。采购人和采购代理机构在因磋商供应商的不良行为受到损害时，可根据竞争性磋商文件的规定不予退还其磋商保证金。</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8.3、磋商保证金的提交</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8.3.1、磋商保证金逾期缴纳的磋商供应商磋商响应文件将被拒绝。</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8.3.2、磋商保证金应以银行转账或者金融机构、担保机构出具的保函等非现金形式提交。</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8.3.2.1、以银行转账缴纳磋商保证金的，可以采取支票、电汇、网银、汇票、本票等方式，应从其基本账户转出。</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8.3.2.2、以信用担保函形式交纳磋商保证金的，应按照竞争性磋商文件规定的格式提交，且是陕西省有关部门认定的具有开具保函资格的单位开具的保函。磋商供应商违约，开具保函单位承担连带责任。</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8.4、磋商保证金的退还：</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8.4.1、未成交供应商的磋商保证金，将在成交通知书发出之日起5个工作日内不计利息全额退还。成交供应商的磋商保证金，将在采购合同签订生效后5个工作日内不计利息全额退还。未及时办理退还者，由磋商供应商自行负责。</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8.4.2、下列任何情况发生时，采购代理机构将不予退还磋商供应商交纳的磋商保证金：</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8.4.2.1、磋商供应商在竞争性磋商文件规定的磋商有效期内撤回磋商响应文件的；</w:t>
      </w:r>
    </w:p>
    <w:p>
      <w:pPr>
        <w:keepNext w:val="0"/>
        <w:keepLines w:val="0"/>
        <w:pageBreakBefore w:val="0"/>
        <w:wordWrap/>
        <w:overflowPunct/>
        <w:topLinePunct w:val="0"/>
        <w:autoSpaceDE/>
        <w:autoSpaceDN/>
        <w:bidi w:val="0"/>
        <w:snapToGrid w:val="0"/>
        <w:spacing w:line="312" w:lineRule="auto"/>
        <w:ind w:firstLine="411" w:firstLineChars="196"/>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8.4.2.2、除因不可抗力或磋商文件仍可的情形外，成交供应商不与采购人签订合同的；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8.4.2.3、由于成交供应商的原因未能按竞争性磋商文件规定支付采购代理服务费的；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8.4.2.4、供应商与采购人、其他供应商或者采购人代理机构恶意串通的；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8.4.2.5、磋商供应商违反磋商响应文件中承诺函相关内容和条款的；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8.4.2.6、供应商在响应文件中提交虚假材料的；</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8.4.2.7、法律法规规定的其他情况。</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8.4.3、磋商保证金退还方式：代理机构通过银行转账将磋商保证金退还至磋商供应商基本账户。</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8.4.4、磋商保证金退还程序：</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退还磋商保证金手续。未成交供应商凭磋商保证金基本账户信息复印件、单位证明（或委托书）和办理人员身份证复印件办理；成交供应商须持磋商保证金基本账户信息复印件、收款收据原件（本项目保证金收款收据由代理机构统一保管，供应商无需换取）、采购合同和办理人员身份证复印件办理。</w:t>
      </w:r>
    </w:p>
    <w:p>
      <w:pPr>
        <w:keepNext w:val="0"/>
        <w:keepLines w:val="0"/>
        <w:pageBreakBefore w:val="0"/>
        <w:wordWrap/>
        <w:overflowPunct/>
        <w:topLinePunct w:val="0"/>
        <w:autoSpaceDE/>
        <w:autoSpaceDN/>
        <w:bidi w:val="0"/>
        <w:snapToGrid w:val="0"/>
        <w:spacing w:line="312" w:lineRule="auto"/>
        <w:textAlignment w:val="auto"/>
        <w:outlineLvl w:val="2"/>
        <w:rPr>
          <w:rFonts w:hint="eastAsia" w:ascii="华文中宋" w:hAnsi="华文中宋" w:eastAsia="华文中宋" w:cs="华文中宋"/>
          <w:b/>
          <w:bCs/>
          <w:szCs w:val="21"/>
        </w:rPr>
      </w:pPr>
      <w:r>
        <w:rPr>
          <w:rFonts w:hint="eastAsia" w:ascii="华文中宋" w:hAnsi="华文中宋" w:eastAsia="华文中宋" w:cs="华文中宋"/>
          <w:b/>
          <w:bCs/>
          <w:szCs w:val="21"/>
        </w:rPr>
        <w:t>9、磋商响应文件的编制</w:t>
      </w:r>
    </w:p>
    <w:p>
      <w:pPr>
        <w:keepNext w:val="0"/>
        <w:keepLines w:val="0"/>
        <w:pageBreakBefore w:val="0"/>
        <w:tabs>
          <w:tab w:val="left" w:pos="7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9.1、磋商供应商应仔细阅读竞争性磋商文件的所有内容，按竞争性磋商文件规定及要求编制磋商响应文件，应当对竞争性磋商文件提出的实质性要求做出响应，并提交完整的磋商响应文件。</w:t>
      </w:r>
    </w:p>
    <w:p>
      <w:pPr>
        <w:keepNext w:val="0"/>
        <w:keepLines w:val="0"/>
        <w:pageBreakBefore w:val="0"/>
        <w:tabs>
          <w:tab w:val="left" w:pos="7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szCs w:val="21"/>
        </w:rPr>
      </w:pPr>
      <w:r>
        <w:rPr>
          <w:rFonts w:hint="eastAsia" w:ascii="华文中宋" w:hAnsi="华文中宋" w:eastAsia="华文中宋" w:cs="华文中宋"/>
          <w:szCs w:val="21"/>
        </w:rPr>
        <w:t>9.2、</w:t>
      </w:r>
      <w:r>
        <w:rPr>
          <w:rFonts w:hint="eastAsia" w:ascii="华文中宋" w:hAnsi="华文中宋" w:eastAsia="华文中宋" w:cs="华文中宋"/>
          <w:bCs/>
          <w:kern w:val="1"/>
          <w:szCs w:val="21"/>
        </w:rPr>
        <w:t>磋商供应商必须保证其编制、递交的磋商响应文件所有内容真实、合法、有效，并承担相应的法律责任。</w:t>
      </w:r>
    </w:p>
    <w:p>
      <w:pPr>
        <w:keepNext w:val="0"/>
        <w:keepLines w:val="0"/>
        <w:pageBreakBefore w:val="0"/>
        <w:tabs>
          <w:tab w:val="left" w:pos="7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bCs/>
          <w:szCs w:val="21"/>
        </w:rPr>
        <w:t>9.3、磋商响应文件的语言：磋商供应商</w:t>
      </w:r>
      <w:r>
        <w:rPr>
          <w:rFonts w:hint="eastAsia" w:ascii="华文中宋" w:hAnsi="华文中宋" w:eastAsia="华文中宋" w:cs="华文中宋"/>
          <w:szCs w:val="21"/>
        </w:rPr>
        <w:t>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keepNext w:val="0"/>
        <w:keepLines w:val="0"/>
        <w:pageBreakBefore w:val="0"/>
        <w:tabs>
          <w:tab w:val="left" w:pos="7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szCs w:val="21"/>
        </w:rPr>
      </w:pPr>
      <w:r>
        <w:rPr>
          <w:rFonts w:hint="eastAsia" w:ascii="华文中宋" w:hAnsi="华文中宋" w:eastAsia="华文中宋" w:cs="华文中宋"/>
          <w:szCs w:val="21"/>
        </w:rPr>
        <w:t>9.4、磋商响应文件的计量单位：</w:t>
      </w:r>
      <w:r>
        <w:rPr>
          <w:rFonts w:hint="eastAsia" w:ascii="华文中宋" w:hAnsi="华文中宋" w:eastAsia="华文中宋" w:cs="华文中宋"/>
          <w:kern w:val="0"/>
          <w:szCs w:val="21"/>
        </w:rPr>
        <w:t>竞争性磋商文件已有明确规定的，使用竞争性磋商文件规定的计量单位；竞争性磋商文件没有规定的，应采用中华人民共和国法定计量单位</w:t>
      </w:r>
      <w:r>
        <w:rPr>
          <w:rFonts w:hint="eastAsia" w:ascii="华文中宋" w:hAnsi="华文中宋" w:eastAsia="华文中宋" w:cs="华文中宋"/>
          <w:szCs w:val="21"/>
        </w:rPr>
        <w:t>(国际单位制和国家选定的其他计量单位)</w:t>
      </w:r>
      <w:r>
        <w:rPr>
          <w:rFonts w:hint="eastAsia" w:ascii="华文中宋" w:hAnsi="华文中宋" w:eastAsia="华文中宋" w:cs="华文中宋"/>
          <w:kern w:val="0"/>
          <w:szCs w:val="21"/>
        </w:rPr>
        <w:t>。否则，视为对竞争性磋商文件未作出实质性响应。</w:t>
      </w:r>
    </w:p>
    <w:p>
      <w:pPr>
        <w:keepNext w:val="0"/>
        <w:keepLines w:val="0"/>
        <w:pageBreakBefore w:val="0"/>
        <w:tabs>
          <w:tab w:val="left" w:pos="7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szCs w:val="21"/>
        </w:rPr>
      </w:pPr>
      <w:r>
        <w:rPr>
          <w:rFonts w:hint="eastAsia" w:ascii="华文中宋" w:hAnsi="华文中宋" w:eastAsia="华文中宋" w:cs="华文中宋"/>
          <w:szCs w:val="21"/>
        </w:rPr>
        <w:t>9.5、报价使用货币：本次采购项目的报价均以人民币报价。</w:t>
      </w:r>
    </w:p>
    <w:p>
      <w:pPr>
        <w:pStyle w:val="15"/>
        <w:keepNext w:val="0"/>
        <w:keepLines w:val="0"/>
        <w:pageBreakBefore w:val="0"/>
        <w:wordWrap/>
        <w:overflowPunct/>
        <w:topLinePunct w:val="0"/>
        <w:autoSpaceDE/>
        <w:autoSpaceDN/>
        <w:bidi w:val="0"/>
        <w:adjustRightInd w:val="0"/>
        <w:snapToGrid w:val="0"/>
        <w:spacing w:line="312" w:lineRule="auto"/>
        <w:ind w:firstLine="420" w:firstLineChars="200"/>
        <w:textAlignment w:val="auto"/>
        <w:rPr>
          <w:rFonts w:hint="eastAsia" w:ascii="华文中宋" w:hAnsi="华文中宋" w:eastAsia="华文中宋" w:cs="华文中宋"/>
          <w:kern w:val="1"/>
        </w:rPr>
      </w:pPr>
      <w:r>
        <w:rPr>
          <w:rFonts w:hint="eastAsia" w:ascii="华文中宋" w:hAnsi="华文中宋" w:eastAsia="华文中宋" w:cs="华文中宋"/>
        </w:rPr>
        <w:t>9.6、磋商响应文件形式：本项目磋商响应文件应采用书面文件形式，电报、传真、</w:t>
      </w:r>
      <w:r>
        <w:rPr>
          <w:rFonts w:hint="eastAsia" w:ascii="华文中宋" w:hAnsi="华文中宋" w:eastAsia="华文中宋" w:cs="华文中宋"/>
          <w:kern w:val="1"/>
        </w:rPr>
        <w:t>电子邮件形式的磋商响应文件不予接受。</w:t>
      </w:r>
    </w:p>
    <w:p>
      <w:pPr>
        <w:keepNext w:val="0"/>
        <w:keepLines w:val="0"/>
        <w:pageBreakBefore w:val="0"/>
        <w:tabs>
          <w:tab w:val="left" w:pos="0"/>
          <w:tab w:val="left" w:pos="4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9.7、备选方案：本项目不接受备选响应方案，磋商响应文件的报价只允许有一个报价，不接受有任何选择或具有附加条件的报价，否则，在评审时将其视为无效报价。</w:t>
      </w:r>
    </w:p>
    <w:p>
      <w:pPr>
        <w:keepNext w:val="0"/>
        <w:keepLines w:val="0"/>
        <w:pageBreakBefore w:val="0"/>
        <w:tabs>
          <w:tab w:val="left" w:pos="0"/>
          <w:tab w:val="left" w:pos="4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9.8、磋商响应文件有效期：磋商响应文件有效期自磋商会议之日起计算不得少于90天。</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9.9、磋商响应文件格式：磋商供应商应按照竞争性磋商文件 第六章 《磋商响应文件格式及构成》填写相关内容。除明确允许磋商供应商可以自行编写的外，磋商供应商不得以规定之外的方式填写相关内容。</w:t>
      </w:r>
      <w:r>
        <w:rPr>
          <w:rFonts w:hint="eastAsia" w:ascii="华文中宋" w:hAnsi="华文中宋" w:eastAsia="华文中宋" w:cs="华文中宋"/>
          <w:kern w:val="0"/>
          <w:szCs w:val="21"/>
        </w:rPr>
        <w:t>否则，磋商供应商提供的磋商响应文件将作为无效响应文件处理。</w:t>
      </w:r>
    </w:p>
    <w:p>
      <w:pPr>
        <w:keepNext w:val="0"/>
        <w:keepLines w:val="0"/>
        <w:pageBreakBefore w:val="0"/>
        <w:tabs>
          <w:tab w:val="left" w:pos="0"/>
          <w:tab w:val="left" w:pos="42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9.10、磋商响应文件的签署、盖章</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kern w:val="1"/>
          <w:szCs w:val="21"/>
        </w:rPr>
      </w:pPr>
      <w:r>
        <w:rPr>
          <w:rFonts w:hint="eastAsia" w:ascii="华文中宋" w:hAnsi="华文中宋" w:eastAsia="华文中宋" w:cs="华文中宋"/>
          <w:bCs/>
          <w:kern w:val="1"/>
          <w:szCs w:val="21"/>
        </w:rPr>
        <w:t>9.10.1、</w:t>
      </w:r>
      <w:r>
        <w:rPr>
          <w:rFonts w:hint="eastAsia" w:ascii="华文中宋" w:hAnsi="华文中宋" w:eastAsia="华文中宋" w:cs="华文中宋"/>
          <w:kern w:val="1"/>
          <w:szCs w:val="21"/>
        </w:rPr>
        <w:t>磋商响应文件须由供应商的法定代表人或经法定代表人正式授权的代表签字（</w:t>
      </w:r>
      <w:r>
        <w:rPr>
          <w:rFonts w:hint="eastAsia" w:ascii="华文中宋" w:hAnsi="华文中宋" w:eastAsia="华文中宋" w:cs="华文中宋"/>
          <w:szCs w:val="21"/>
        </w:rPr>
        <w:t>磋商文件要求磋商响应文件中法定代表人签字处由法定代表人签署，要求授权代表签字处由授权代表签署），若由授权代表签署，须按磋商文件规定的格式出具“法定代表人授权书”</w:t>
      </w:r>
      <w:r>
        <w:rPr>
          <w:rFonts w:hint="eastAsia" w:ascii="华文中宋" w:hAnsi="华文中宋" w:eastAsia="华文中宋" w:cs="华文中宋"/>
          <w:szCs w:val="21"/>
          <w:highlight w:val="none"/>
        </w:rPr>
        <w:t>附在磋商响应文件中，所有要求签字（名）处，均须由签字（名）者用不褪色的蓝(黑)色墨水(汁)书写）；响应文件的任何行间插字、涂改和增删，改动处须由法定代表人签字并加盖公章方为有效；因字迹潦草或表达不清所引起的后果</w:t>
      </w:r>
      <w:r>
        <w:rPr>
          <w:rFonts w:hint="eastAsia" w:ascii="华文中宋" w:hAnsi="华文中宋" w:eastAsia="华文中宋" w:cs="华文中宋"/>
          <w:szCs w:val="21"/>
        </w:rPr>
        <w:t>由供应商自行负责。</w:t>
      </w:r>
    </w:p>
    <w:p>
      <w:pPr>
        <w:keepNext w:val="0"/>
        <w:keepLines w:val="0"/>
        <w:pageBreakBefore w:val="0"/>
        <w:tabs>
          <w:tab w:val="left" w:pos="0"/>
          <w:tab w:val="left" w:pos="420"/>
        </w:tabs>
        <w:wordWrap/>
        <w:overflowPunct/>
        <w:topLinePunct w:val="0"/>
        <w:autoSpaceDE/>
        <w:autoSpaceDN/>
        <w:bidi w:val="0"/>
        <w:snapToGrid w:val="0"/>
        <w:spacing w:line="312" w:lineRule="auto"/>
        <w:ind w:firstLine="481"/>
        <w:textAlignment w:val="auto"/>
        <w:rPr>
          <w:rFonts w:hint="eastAsia" w:ascii="华文中宋" w:hAnsi="华文中宋" w:eastAsia="华文中宋" w:cs="华文中宋"/>
          <w:kern w:val="1"/>
          <w:szCs w:val="21"/>
        </w:rPr>
      </w:pPr>
      <w:r>
        <w:rPr>
          <w:rFonts w:hint="eastAsia" w:ascii="华文中宋" w:hAnsi="华文中宋" w:eastAsia="华文中宋" w:cs="华文中宋"/>
          <w:bCs/>
          <w:kern w:val="1"/>
          <w:szCs w:val="21"/>
        </w:rPr>
        <w:t>9.10.2、</w:t>
      </w:r>
      <w:r>
        <w:rPr>
          <w:rFonts w:hint="eastAsia" w:ascii="华文中宋" w:hAnsi="华文中宋" w:eastAsia="华文中宋" w:cs="华文中宋"/>
          <w:kern w:val="1"/>
          <w:szCs w:val="21"/>
        </w:rPr>
        <w:t>磋商供应商须按竞争性磋商文件要求在指定页面落款处加盖供应商公章。</w:t>
      </w:r>
    </w:p>
    <w:p>
      <w:pPr>
        <w:keepNext w:val="0"/>
        <w:keepLines w:val="0"/>
        <w:pageBreakBefore w:val="0"/>
        <w:tabs>
          <w:tab w:val="left" w:pos="0"/>
          <w:tab w:val="left" w:pos="4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9.11、磋商响应文件的装订、密封及标识</w:t>
      </w:r>
    </w:p>
    <w:p>
      <w:pPr>
        <w:keepNext w:val="0"/>
        <w:keepLines w:val="0"/>
        <w:pageBreakBefore w:val="0"/>
        <w:tabs>
          <w:tab w:val="left" w:pos="0"/>
          <w:tab w:val="left" w:pos="420"/>
        </w:tabs>
        <w:wordWrap/>
        <w:overflowPunct/>
        <w:topLinePunct w:val="0"/>
        <w:autoSpaceDE/>
        <w:autoSpaceDN/>
        <w:bidi w:val="0"/>
        <w:snapToGrid w:val="0"/>
        <w:spacing w:line="312" w:lineRule="auto"/>
        <w:textAlignment w:val="auto"/>
        <w:rPr>
          <w:rFonts w:hint="eastAsia" w:ascii="华文中宋" w:hAnsi="华文中宋" w:eastAsia="华文中宋" w:cs="华文中宋"/>
          <w:kern w:val="1"/>
          <w:szCs w:val="21"/>
          <w:highlight w:val="none"/>
        </w:rPr>
      </w:pPr>
      <w:r>
        <w:rPr>
          <w:rFonts w:hint="eastAsia" w:ascii="华文中宋" w:hAnsi="华文中宋" w:eastAsia="华文中宋" w:cs="华文中宋"/>
          <w:kern w:val="1"/>
          <w:szCs w:val="21"/>
        </w:rPr>
        <w:t xml:space="preserve">    9.11.1、磋商响应文件包含正本1份、副本2份、磋商响应文件电子</w:t>
      </w:r>
      <w:r>
        <w:rPr>
          <w:rFonts w:hint="eastAsia" w:ascii="华文中宋" w:hAnsi="华文中宋" w:eastAsia="华文中宋" w:cs="华文中宋"/>
          <w:kern w:val="1"/>
          <w:szCs w:val="21"/>
          <w:highlight w:val="none"/>
        </w:rPr>
        <w:t>版U盘1份（提供磋商响应文件正本的word版本，随</w:t>
      </w:r>
      <w:r>
        <w:rPr>
          <w:rFonts w:hint="eastAsia" w:ascii="华文中宋" w:hAnsi="华文中宋" w:eastAsia="华文中宋" w:cs="华文中宋"/>
          <w:kern w:val="1"/>
          <w:szCs w:val="21"/>
          <w:highlight w:val="none"/>
          <w:lang w:val="en-US" w:eastAsia="zh-CN"/>
        </w:rPr>
        <w:t>响应</w:t>
      </w:r>
      <w:r>
        <w:rPr>
          <w:rFonts w:hint="eastAsia" w:ascii="华文中宋" w:hAnsi="华文中宋" w:eastAsia="华文中宋" w:cs="华文中宋"/>
          <w:kern w:val="1"/>
          <w:szCs w:val="21"/>
          <w:highlight w:val="none"/>
        </w:rPr>
        <w:t>文件正本一起封装），正本1份、副本2份各自装订成册并加盖骑缝章单独密封，磋商响应文件须在封面及封袋注明“正本”和“副本”字样。如果正本与副本不符，以正本磋商响应文件为准。</w:t>
      </w:r>
    </w:p>
    <w:p>
      <w:pPr>
        <w:keepNext w:val="0"/>
        <w:keepLines w:val="0"/>
        <w:pageBreakBefore w:val="0"/>
        <w:tabs>
          <w:tab w:val="left" w:pos="0"/>
          <w:tab w:val="left" w:pos="4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kern w:val="1"/>
          <w:szCs w:val="21"/>
          <w:highlight w:val="none"/>
        </w:rPr>
      </w:pPr>
      <w:r>
        <w:rPr>
          <w:rFonts w:hint="eastAsia" w:ascii="华文中宋" w:hAnsi="华文中宋" w:eastAsia="华文中宋" w:cs="华文中宋"/>
          <w:kern w:val="1"/>
          <w:szCs w:val="21"/>
          <w:highlight w:val="none"/>
        </w:rPr>
        <w:t>9.11.2、磋商响应文件的正本、副本要求各自分装密封，磋商响应文件电子版U盘1份随</w:t>
      </w:r>
      <w:r>
        <w:rPr>
          <w:rFonts w:hint="eastAsia" w:ascii="华文中宋" w:hAnsi="华文中宋" w:eastAsia="华文中宋" w:cs="华文中宋"/>
          <w:kern w:val="1"/>
          <w:szCs w:val="21"/>
          <w:highlight w:val="none"/>
          <w:lang w:val="en-US" w:eastAsia="zh-CN"/>
        </w:rPr>
        <w:t>响应</w:t>
      </w:r>
      <w:r>
        <w:rPr>
          <w:rFonts w:hint="eastAsia" w:ascii="华文中宋" w:hAnsi="华文中宋" w:eastAsia="华文中宋" w:cs="华文中宋"/>
          <w:kern w:val="1"/>
          <w:szCs w:val="21"/>
          <w:highlight w:val="none"/>
        </w:rPr>
        <w:t>文件正本封装（封袋不得有破损），同时在封口处加贴封条并在骑缝处加盖磋商供应商公章（若为联合体的，联合体</w:t>
      </w:r>
      <w:r>
        <w:rPr>
          <w:rFonts w:hint="eastAsia" w:ascii="华文中宋" w:hAnsi="华文中宋" w:eastAsia="华文中宋" w:cs="华文中宋"/>
          <w:kern w:val="1"/>
          <w:szCs w:val="21"/>
          <w:highlight w:val="none"/>
          <w:lang w:val="en-US" w:eastAsia="zh-Hans"/>
        </w:rPr>
        <w:t>牵头人</w:t>
      </w:r>
      <w:r>
        <w:rPr>
          <w:rFonts w:hint="eastAsia" w:ascii="华文中宋" w:hAnsi="华文中宋" w:eastAsia="华文中宋" w:cs="华文中宋"/>
          <w:kern w:val="1"/>
          <w:szCs w:val="21"/>
          <w:highlight w:val="none"/>
        </w:rPr>
        <w:t>加盖公章）。</w:t>
      </w:r>
    </w:p>
    <w:p>
      <w:pPr>
        <w:keepNext w:val="0"/>
        <w:keepLines w:val="0"/>
        <w:pageBreakBefore w:val="0"/>
        <w:tabs>
          <w:tab w:val="left" w:pos="0"/>
          <w:tab w:val="left" w:pos="4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9.11.3、正本、副本封袋标识式样详见格式A.B。不按要求进行标识的文件代理机构不予接收。</w:t>
      </w:r>
    </w:p>
    <w:p>
      <w:pPr>
        <w:keepNext w:val="0"/>
        <w:keepLines w:val="0"/>
        <w:pageBreakBefore w:val="0"/>
        <w:tabs>
          <w:tab w:val="left" w:pos="0"/>
          <w:tab w:val="left" w:pos="4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szCs w:val="21"/>
        </w:rPr>
      </w:pPr>
      <w:r>
        <w:rPr>
          <w:rFonts w:hint="eastAsia" w:ascii="华文中宋" w:hAnsi="华文中宋" w:eastAsia="华文中宋" w:cs="华文中宋"/>
          <w:kern w:val="1"/>
          <w:szCs w:val="21"/>
        </w:rPr>
        <w:t>9.11.4、</w:t>
      </w:r>
      <w:r>
        <w:rPr>
          <w:rFonts w:hint="eastAsia" w:ascii="华文中宋" w:hAnsi="华文中宋" w:eastAsia="华文中宋" w:cs="华文中宋"/>
          <w:szCs w:val="21"/>
        </w:rPr>
        <w:t>磋商响应文件正本和副本</w:t>
      </w:r>
      <w:r>
        <w:rPr>
          <w:rFonts w:hint="eastAsia" w:ascii="华文中宋" w:hAnsi="华文中宋" w:eastAsia="华文中宋" w:cs="华文中宋"/>
          <w:szCs w:val="21"/>
          <w:lang w:val="zh-CN"/>
        </w:rPr>
        <w:t>一律采用A4纸幅面加胶装分别装订成册，</w:t>
      </w:r>
      <w:r>
        <w:rPr>
          <w:rFonts w:hint="eastAsia" w:ascii="华文中宋" w:hAnsi="华文中宋" w:eastAsia="华文中宋" w:cs="华文中宋"/>
          <w:bCs/>
          <w:kern w:val="1"/>
          <w:szCs w:val="21"/>
        </w:rPr>
        <w:t>按序从目录开始编制页码。</w:t>
      </w:r>
      <w:r>
        <w:rPr>
          <w:rFonts w:hint="eastAsia" w:ascii="华文中宋" w:hAnsi="华文中宋" w:eastAsia="华文中宋" w:cs="华文中宋"/>
          <w:szCs w:val="21"/>
        </w:rPr>
        <w:t>文件胶装装订后，页面不可抽取，不得有活动页，无破损、不可拆分。</w:t>
      </w:r>
    </w:p>
    <w:p>
      <w:pPr>
        <w:keepNext w:val="0"/>
        <w:keepLines w:val="0"/>
        <w:pageBreakBefore w:val="0"/>
        <w:tabs>
          <w:tab w:val="left" w:pos="0"/>
          <w:tab w:val="left" w:pos="42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9.12、磋商响应文件的递交</w:t>
      </w:r>
    </w:p>
    <w:p>
      <w:pPr>
        <w:keepNext w:val="0"/>
        <w:keepLines w:val="0"/>
        <w:pageBreakBefore w:val="0"/>
        <w:tabs>
          <w:tab w:val="left" w:pos="0"/>
        </w:tabs>
        <w:wordWrap/>
        <w:overflowPunct/>
        <w:topLinePunct w:val="0"/>
        <w:autoSpaceDE/>
        <w:autoSpaceDN/>
        <w:bidi w:val="0"/>
        <w:snapToGrid w:val="0"/>
        <w:spacing w:line="312" w:lineRule="auto"/>
        <w:textAlignment w:val="auto"/>
        <w:rPr>
          <w:rFonts w:hint="eastAsia" w:ascii="华文中宋" w:hAnsi="华文中宋" w:eastAsia="华文中宋" w:cs="华文中宋"/>
          <w:b/>
          <w:kern w:val="1"/>
          <w:szCs w:val="21"/>
        </w:rPr>
      </w:pPr>
      <w:r>
        <w:rPr>
          <w:rFonts w:hint="eastAsia" w:ascii="华文中宋" w:hAnsi="华文中宋" w:eastAsia="华文中宋" w:cs="华文中宋"/>
          <w:kern w:val="1"/>
          <w:szCs w:val="21"/>
        </w:rPr>
        <w:t xml:space="preserve">   </w:t>
      </w:r>
      <w:r>
        <w:rPr>
          <w:rFonts w:hint="eastAsia" w:ascii="华文中宋" w:hAnsi="华文中宋" w:eastAsia="华文中宋" w:cs="华文中宋"/>
          <w:b/>
          <w:kern w:val="1"/>
          <w:szCs w:val="21"/>
        </w:rPr>
        <w:t xml:space="preserve"> 9.12.1、</w:t>
      </w:r>
      <w:r>
        <w:rPr>
          <w:rFonts w:hint="eastAsia" w:ascii="华文中宋" w:hAnsi="华文中宋" w:eastAsia="华文中宋" w:cs="华文中宋"/>
          <w:b/>
          <w:szCs w:val="21"/>
        </w:rPr>
        <w:t>磋商供应商应仔细阅读竞争性磋商文件中的所有事项、格式、条款和要求，对竞争性磋商文件的全部内容及要求作出实质性响应，提交相应资料。</w:t>
      </w:r>
    </w:p>
    <w:p>
      <w:pPr>
        <w:keepNext w:val="0"/>
        <w:keepLines w:val="0"/>
        <w:pageBreakBefore w:val="0"/>
        <w:tabs>
          <w:tab w:val="left" w:pos="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9.12.2、截止磋商响应文件递交时间前</w:t>
      </w:r>
      <w:r>
        <w:rPr>
          <w:rFonts w:hint="eastAsia" w:ascii="华文中宋" w:hAnsi="华文中宋" w:eastAsia="华文中宋" w:cs="华文中宋"/>
          <w:kern w:val="0"/>
          <w:szCs w:val="21"/>
        </w:rPr>
        <w:t>磋商供应商应将磋商响应文件所有正本、副本等相关资料按要求密封递交</w:t>
      </w:r>
      <w:r>
        <w:rPr>
          <w:rFonts w:hint="eastAsia" w:ascii="华文中宋" w:hAnsi="华文中宋" w:eastAsia="华文中宋" w:cs="华文中宋"/>
          <w:kern w:val="1"/>
          <w:szCs w:val="21"/>
        </w:rPr>
        <w:t>。</w:t>
      </w:r>
    </w:p>
    <w:p>
      <w:pPr>
        <w:keepNext w:val="0"/>
        <w:keepLines w:val="0"/>
        <w:pageBreakBefore w:val="0"/>
        <w:tabs>
          <w:tab w:val="left" w:pos="0"/>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Cs/>
          <w:kern w:val="1"/>
          <w:szCs w:val="21"/>
        </w:rPr>
      </w:pPr>
      <w:r>
        <w:rPr>
          <w:rFonts w:hint="eastAsia" w:ascii="华文中宋" w:hAnsi="华文中宋" w:eastAsia="华文中宋" w:cs="华文中宋"/>
          <w:bCs/>
          <w:kern w:val="1"/>
          <w:szCs w:val="21"/>
        </w:rPr>
        <w:t>9.12.3、</w:t>
      </w:r>
      <w:r>
        <w:rPr>
          <w:rFonts w:hint="eastAsia" w:ascii="华文中宋" w:hAnsi="华文中宋" w:eastAsia="华文中宋" w:cs="华文中宋"/>
          <w:kern w:val="1"/>
          <w:szCs w:val="21"/>
        </w:rPr>
        <w:t>采购代理机构仅负责对磋商保证金的核查、磋商响应文件的接收时间、份数和递交人等信息的确认。在宣布递交磋商响应文件时间截止之后，任何人送达、递交的磋商响应文件和文书资料，采购代理机构拒绝接收。</w:t>
      </w:r>
    </w:p>
    <w:p>
      <w:pPr>
        <w:keepNext w:val="0"/>
        <w:keepLines w:val="0"/>
        <w:pageBreakBefore w:val="0"/>
        <w:tabs>
          <w:tab w:val="left" w:pos="0"/>
        </w:tabs>
        <w:wordWrap/>
        <w:overflowPunct/>
        <w:topLinePunct w:val="0"/>
        <w:autoSpaceDE/>
        <w:autoSpaceDN/>
        <w:bidi w:val="0"/>
        <w:snapToGrid w:val="0"/>
        <w:spacing w:line="312" w:lineRule="auto"/>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 xml:space="preserve">    9.12.4、核查、信息确认完毕的磋商响应文件由采购代理机构妥善保管，任何人不得擅自拆封、调换和退回。</w:t>
      </w:r>
    </w:p>
    <w:p>
      <w:pPr>
        <w:keepNext w:val="0"/>
        <w:keepLines w:val="0"/>
        <w:pageBreakBefore w:val="0"/>
        <w:tabs>
          <w:tab w:val="left" w:pos="0"/>
        </w:tabs>
        <w:wordWrap/>
        <w:overflowPunct/>
        <w:topLinePunct w:val="0"/>
        <w:autoSpaceDE/>
        <w:autoSpaceDN/>
        <w:bidi w:val="0"/>
        <w:snapToGrid w:val="0"/>
        <w:spacing w:line="312" w:lineRule="auto"/>
        <w:textAlignment w:val="auto"/>
        <w:rPr>
          <w:rFonts w:hint="eastAsia" w:ascii="华文中宋" w:hAnsi="华文中宋" w:eastAsia="华文中宋" w:cs="华文中宋"/>
          <w:b/>
          <w:kern w:val="1"/>
          <w:szCs w:val="21"/>
        </w:rPr>
      </w:pPr>
      <w:r>
        <w:rPr>
          <w:rFonts w:hint="eastAsia" w:ascii="华文中宋" w:hAnsi="华文中宋" w:eastAsia="华文中宋" w:cs="华文中宋"/>
          <w:b/>
          <w:kern w:val="1"/>
          <w:szCs w:val="21"/>
        </w:rPr>
        <w:t>10、磋商响应文件的修改和撤回</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10.1、磋商供应商在递交了磋商响应文件后，可以修改或撤回其磋商响应文件，但必须在规定的磋商响应文件截止时间前，以书面形式通知采购代理机构。</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10.2、磋商供应商的修改书或撤回通知书，应由其法定代表人或其被授权委托人签署并盖单位公章，并在密封袋上标注“磋商响应文件修改”或“磋商响应文件撤回通知”字样，“修改文件”作为磋商响应文件的组成部分；采购代理机构不退还磋商供应商已撤回的磋商响应文件（包括纸质和电子版）。</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10.3、磋商供应商撤回磋商响应文件的，采购代理机构自收到磋商供应商书面撤回通知之日起5个工作日内退还已收取的磋商保证金。</w:t>
      </w:r>
    </w:p>
    <w:p>
      <w:pPr>
        <w:keepNext w:val="0"/>
        <w:keepLines w:val="0"/>
        <w:pageBreakBefore w:val="0"/>
        <w:tabs>
          <w:tab w:val="left" w:pos="0"/>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10.4、在磋商响应文件递交截止时间之后，磋商供应商不得对其递交的磋商响应文件做任何修改或撤回，否则，磋商保证金将不予退还；但磋商供应商在提交最后报价之前，可以根据情况退出磋商。</w:t>
      </w:r>
    </w:p>
    <w:p>
      <w:pPr>
        <w:keepNext w:val="0"/>
        <w:keepLines w:val="0"/>
        <w:pageBreakBefore w:val="0"/>
        <w:tabs>
          <w:tab w:val="left" w:pos="0"/>
          <w:tab w:val="left" w:pos="420"/>
        </w:tabs>
        <w:wordWrap/>
        <w:overflowPunct/>
        <w:topLinePunct w:val="0"/>
        <w:autoSpaceDE/>
        <w:autoSpaceDN/>
        <w:bidi w:val="0"/>
        <w:snapToGrid w:val="0"/>
        <w:spacing w:line="312" w:lineRule="auto"/>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 xml:space="preserve">    10.5、无论磋商供应商成交与否，其磋商响应文件不予退还。</w:t>
      </w:r>
    </w:p>
    <w:p>
      <w:pPr>
        <w:keepNext w:val="0"/>
        <w:keepLines w:val="0"/>
        <w:pageBreakBefore w:val="0"/>
        <w:wordWrap/>
        <w:overflowPunct/>
        <w:topLinePunct w:val="0"/>
        <w:autoSpaceDE/>
        <w:autoSpaceDN/>
        <w:bidi w:val="0"/>
        <w:adjustRightInd w:val="0"/>
        <w:snapToGrid w:val="0"/>
        <w:spacing w:line="312" w:lineRule="auto"/>
        <w:textAlignment w:val="auto"/>
        <w:rPr>
          <w:rFonts w:hint="eastAsia" w:ascii="华文中宋" w:hAnsi="华文中宋" w:eastAsia="华文中宋" w:cs="华文中宋"/>
          <w:b/>
          <w:bCs/>
          <w:szCs w:val="21"/>
        </w:rPr>
      </w:pPr>
      <w:r>
        <w:rPr>
          <w:rFonts w:hint="eastAsia" w:ascii="华文中宋" w:hAnsi="华文中宋" w:eastAsia="华文中宋" w:cs="华文中宋"/>
          <w:b/>
          <w:bCs/>
          <w:szCs w:val="21"/>
        </w:rPr>
        <w:t>11、关于开标现场转变采购方式问题。</w:t>
      </w:r>
    </w:p>
    <w:p>
      <w:pPr>
        <w:keepNext w:val="0"/>
        <w:keepLines w:val="0"/>
        <w:pageBreakBefore w:val="0"/>
        <w:wordWrap/>
        <w:overflowPunct/>
        <w:topLinePunct w:val="0"/>
        <w:autoSpaceDE/>
        <w:autoSpaceDN/>
        <w:bidi w:val="0"/>
        <w:adjustRightInd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依据《陕西省财政厅关于政府采购有关问题的通知（陕财办采资[2016]53号）》、《财政部关于政府采购竞争性磋商采购方式管理暂行办法有关问题的补充通知（财库〔2015〕124号）》执行。</w:t>
      </w:r>
    </w:p>
    <w:p>
      <w:pPr>
        <w:keepNext w:val="0"/>
        <w:keepLines w:val="0"/>
        <w:pageBreakBefore w:val="0"/>
        <w:wordWrap/>
        <w:overflowPunct/>
        <w:topLinePunct w:val="0"/>
        <w:autoSpaceDE/>
        <w:autoSpaceDN/>
        <w:bidi w:val="0"/>
        <w:adjustRightInd w:val="0"/>
        <w:snapToGrid w:val="0"/>
        <w:spacing w:beforeLines="50" w:afterLines="50" w:line="312" w:lineRule="auto"/>
        <w:textAlignment w:val="auto"/>
        <w:rPr>
          <w:rFonts w:hint="eastAsia" w:ascii="华文中宋" w:hAnsi="华文中宋" w:eastAsia="华文中宋" w:cs="华文中宋"/>
          <w:b/>
          <w:sz w:val="28"/>
          <w:szCs w:val="28"/>
        </w:rPr>
      </w:pPr>
      <w:r>
        <w:rPr>
          <w:rFonts w:hint="eastAsia" w:ascii="华文中宋" w:hAnsi="华文中宋" w:eastAsia="华文中宋" w:cs="华文中宋"/>
          <w:b/>
          <w:bCs/>
          <w:sz w:val="28"/>
          <w:szCs w:val="28"/>
        </w:rPr>
        <w:t>四、采购程序</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12、评审工作按下列工作程序进行：</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12.1、组建磋商小组；</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12.2、磋商会议；</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12.3、磋商响应文件初步评审；</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12.4、磋商响应文件的澄清（如有）；</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12.5、磋商响应文件详细评审；</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12.6、磋商及二次报价</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12.7、汇总评审结果；</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12.8、推荐成交供应商；</w:t>
      </w:r>
    </w:p>
    <w:p>
      <w:pPr>
        <w:keepNext w:val="0"/>
        <w:keepLines w:val="0"/>
        <w:pageBreakBefore w:val="0"/>
        <w:wordWrap/>
        <w:overflowPunct/>
        <w:topLinePunct w:val="0"/>
        <w:autoSpaceDE/>
        <w:autoSpaceDN/>
        <w:bidi w:val="0"/>
        <w:snapToGrid w:val="0"/>
        <w:spacing w:line="312" w:lineRule="auto"/>
        <w:ind w:firstLine="493"/>
        <w:textAlignment w:val="auto"/>
        <w:rPr>
          <w:rFonts w:hint="eastAsia" w:ascii="华文中宋" w:hAnsi="华文中宋" w:eastAsia="华文中宋" w:cs="华文中宋"/>
          <w:szCs w:val="21"/>
        </w:rPr>
      </w:pPr>
      <w:r>
        <w:rPr>
          <w:rFonts w:hint="eastAsia" w:ascii="华文中宋" w:hAnsi="华文中宋" w:eastAsia="华文中宋" w:cs="华文中宋"/>
          <w:szCs w:val="21"/>
        </w:rPr>
        <w:t>12.9、编写评审报告。</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13、磋商会议：</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13.1、磋商会议由采购代理机构主持。主持人按照竞争性磋商文件规定的磋商时间宣布会议开始，会议将按以下程序进行（但不限于）；</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13.1.1、宣布评审开始并致辞；</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13.1.2、宣布会场纪律和有关注意事项。</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13.1.3、宣布参加会议的现场监督人员和主持人、会议记录等会议工作人员，根据磋商响应文件递交签到表宣布参加会议的磋商供应商名单。</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13.1.4、宣布检查磋商响应文件的密封情况。由磋商供应商法定代表人或其被授权委托人确认其磋商响应文件密封情况并签字确认，后由采购代理机构及采购人、监督人进行复核，并现场签字记录。对检查出的不符合密封规定要求的磋商响应文件作为无效</w:t>
      </w:r>
      <w:r>
        <w:rPr>
          <w:rFonts w:hint="eastAsia" w:ascii="华文中宋" w:hAnsi="华文中宋" w:eastAsia="华文中宋" w:cs="华文中宋"/>
          <w:szCs w:val="21"/>
          <w:lang w:val="en-US" w:eastAsia="zh-CN"/>
        </w:rPr>
        <w:t>响应</w:t>
      </w:r>
      <w:r>
        <w:rPr>
          <w:rFonts w:hint="eastAsia" w:ascii="华文中宋" w:hAnsi="华文中宋" w:eastAsia="华文中宋" w:cs="华文中宋"/>
          <w:szCs w:val="21"/>
        </w:rPr>
        <w:t>文件处理不得启封。</w:t>
      </w:r>
    </w:p>
    <w:p>
      <w:pPr>
        <w:pStyle w:val="14"/>
        <w:keepNext w:val="0"/>
        <w:keepLines w:val="0"/>
        <w:pageBreakBefore w:val="0"/>
        <w:wordWrap/>
        <w:overflowPunct/>
        <w:topLinePunct w:val="0"/>
        <w:autoSpaceDE/>
        <w:autoSpaceDN/>
        <w:bidi w:val="0"/>
        <w:snapToGrid w:val="0"/>
        <w:spacing w:after="0" w:line="312" w:lineRule="auto"/>
        <w:textAlignment w:val="auto"/>
        <w:rPr>
          <w:rFonts w:hint="eastAsia" w:ascii="华文中宋" w:hAnsi="华文中宋" w:eastAsia="华文中宋" w:cs="华文中宋"/>
        </w:rPr>
      </w:pPr>
      <w:r>
        <w:rPr>
          <w:rFonts w:hint="eastAsia" w:ascii="华文中宋" w:hAnsi="华文中宋" w:eastAsia="华文中宋" w:cs="华文中宋"/>
          <w:szCs w:val="21"/>
        </w:rPr>
        <w:t xml:space="preserve">    13.1.5、由磋商小组审查磋商供应商资格，并公布资格审查结果。</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13.1.6、资格审查结束后，启封磋商响应文件。由工作人员按随机顺序对磋商供应商的磋商响应文件正本、副本当众进行拆封。</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13.1.7、磋商供应商等待磋商小组通知单一的与磋商小组进行磋商。</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13.2、采购代理机构对评审会议过程进行全程语音同步监控记录，并存档备查。</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14、磋商小组</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14.1、采购人或者采购代理机构应当从省级以上财政部门设立的政府采购评审专家库中，通过随机方式抽取评审专家。磋商小组由采购人代表和评审专家组成，成员人数应当为3人以上单数，其中评审专家不得少于成员总数的三分之二。</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14.2、磋商小组成员到位后，推荐一名</w:t>
      </w:r>
      <w:r>
        <w:rPr>
          <w:rFonts w:hint="eastAsia" w:ascii="华文中宋" w:hAnsi="华文中宋" w:eastAsia="华文中宋" w:cs="华文中宋"/>
          <w:szCs w:val="21"/>
          <w:lang w:val="en-US" w:eastAsia="zh-CN"/>
        </w:rPr>
        <w:t>磋商小组</w:t>
      </w:r>
      <w:r>
        <w:rPr>
          <w:rFonts w:hint="eastAsia" w:ascii="华文中宋" w:hAnsi="华文中宋" w:eastAsia="华文中宋" w:cs="华文中宋"/>
          <w:szCs w:val="21"/>
        </w:rPr>
        <w:t>成员担任磋商小组组长，并由磋商小组组长负责组织该项目评审工作。采购人授权的代表，不得担任磋商小组组长。</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14.3、磋商小组成员有下列情形之一的，应当回避：</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14.3.1、</w:t>
      </w:r>
      <w:r>
        <w:rPr>
          <w:rFonts w:hint="eastAsia" w:ascii="华文中宋" w:hAnsi="华文中宋" w:eastAsia="华文中宋" w:cs="华文中宋"/>
          <w:szCs w:val="21"/>
          <w:lang w:val="en-US" w:eastAsia="zh-CN"/>
        </w:rPr>
        <w:t>与</w:t>
      </w:r>
      <w:r>
        <w:rPr>
          <w:rFonts w:hint="eastAsia" w:ascii="华文中宋" w:hAnsi="华文中宋" w:eastAsia="华文中宋" w:cs="华文中宋"/>
          <w:szCs w:val="21"/>
        </w:rPr>
        <w:t>采购人或磋商供应商的主要负责人的近亲属；</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14.3.2、与磋商供应商有经济利益关系，可能影响对磋商响应文件公正评审的；</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14.3.3、曾因在招标、评审以及其他与招标投标有关活动中从事违法行为而受过行政处罚或刑事处罚的。</w:t>
      </w:r>
    </w:p>
    <w:p>
      <w:pPr>
        <w:keepNext w:val="0"/>
        <w:keepLines w:val="0"/>
        <w:pageBreakBefore w:val="0"/>
        <w:wordWrap/>
        <w:overflowPunct/>
        <w:topLinePunct w:val="0"/>
        <w:autoSpaceDE/>
        <w:autoSpaceDN/>
        <w:bidi w:val="0"/>
        <w:snapToGrid w:val="0"/>
        <w:spacing w:line="312" w:lineRule="auto"/>
        <w:ind w:firstLine="461"/>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14.4、本项目采用综合评分法，具体评审方法、评审工作程序等详见 第三章 《评审方法》章节的规定。</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kern w:val="1"/>
          <w:szCs w:val="21"/>
        </w:rPr>
      </w:pPr>
      <w:r>
        <w:rPr>
          <w:rFonts w:hint="eastAsia" w:ascii="华文中宋" w:hAnsi="华文中宋" w:eastAsia="华文中宋" w:cs="华文中宋"/>
          <w:b/>
          <w:kern w:val="1"/>
          <w:szCs w:val="21"/>
        </w:rPr>
        <w:t>15、定标</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15.1、采购代理机构应当在评审结束后2个工作日内将评标报告送采购人。采购人应当在收到评审报告后5个工作日内，在评审报告提出的成交候选供应商中。按照排序由高到低的原则确定成交供应商，也可以书面授权磋商小组直接确定成交供应商。采购人逾期未确定成交供应商且不提出异议的，视为确定评审报告推荐的排序第一的供应商为成交供应商。</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 xml:space="preserve"> 15.2、采购人或者采购代理机构应当自成交供应商确定后2个工作日内，在《陕西省政府采购网》发布采购结果公告，同时向成交供应商发出成交通知书，并将磋商文件随成交结果同时公告。成交结果公告应包括以下内容：</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（一）采购人和采购代理机构的名称、地址和联系方式；</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（二）项目名称和项目编号；</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（三）成交供应商名称、地址和成交金额；</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（四）主要成交标的的名称、数量、</w:t>
      </w:r>
      <w:r>
        <w:rPr>
          <w:rFonts w:hint="eastAsia" w:ascii="华文中宋" w:hAnsi="华文中宋" w:eastAsia="华文中宋" w:cs="华文中宋"/>
          <w:szCs w:val="21"/>
          <w:lang w:val="en-US" w:eastAsia="zh-CN"/>
        </w:rPr>
        <w:t>价格</w:t>
      </w:r>
      <w:r>
        <w:rPr>
          <w:rFonts w:hint="eastAsia" w:ascii="华文中宋" w:hAnsi="华文中宋" w:eastAsia="华文中宋" w:cs="华文中宋"/>
          <w:szCs w:val="21"/>
        </w:rPr>
        <w:t>、服务要求；</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（五）磋商小组成员名单。</w:t>
      </w:r>
    </w:p>
    <w:p>
      <w:pPr>
        <w:keepNext w:val="0"/>
        <w:keepLines w:val="0"/>
        <w:pageBreakBefore w:val="0"/>
        <w:wordWrap/>
        <w:overflowPunct/>
        <w:topLinePunct w:val="0"/>
        <w:autoSpaceDE/>
        <w:autoSpaceDN/>
        <w:bidi w:val="0"/>
        <w:snapToGrid w:val="0"/>
        <w:spacing w:line="312" w:lineRule="auto"/>
        <w:ind w:left="120" w:leftChars="57" w:firstLine="315" w:firstLineChars="150"/>
        <w:textAlignment w:val="auto"/>
        <w:rPr>
          <w:rFonts w:hint="eastAsia" w:ascii="华文中宋" w:hAnsi="华文中宋" w:eastAsia="华文中宋" w:cs="华文中宋"/>
          <w:szCs w:val="21"/>
        </w:rPr>
      </w:pPr>
      <w:r>
        <w:rPr>
          <w:rFonts w:hint="eastAsia" w:ascii="华文中宋" w:hAnsi="华文中宋" w:eastAsia="华文中宋" w:cs="华文中宋"/>
          <w:szCs w:val="21"/>
        </w:rPr>
        <w:t>采用书面推荐供应商参加采购活动的，还应当公告采购人和</w:t>
      </w:r>
      <w:r>
        <w:rPr>
          <w:rFonts w:hint="eastAsia" w:ascii="华文中宋" w:hAnsi="华文中宋" w:eastAsia="华文中宋" w:cs="华文中宋"/>
          <w:szCs w:val="21"/>
          <w:lang w:val="en-US" w:eastAsia="zh-CN"/>
        </w:rPr>
        <w:t>磋商小组</w:t>
      </w:r>
      <w:r>
        <w:rPr>
          <w:rFonts w:hint="eastAsia" w:ascii="华文中宋" w:hAnsi="华文中宋" w:eastAsia="华文中宋" w:cs="华文中宋"/>
          <w:szCs w:val="21"/>
        </w:rPr>
        <w:t>推荐意见。</w:t>
      </w:r>
    </w:p>
    <w:p>
      <w:pPr>
        <w:keepNext w:val="0"/>
        <w:keepLines w:val="0"/>
        <w:pageBreakBefore w:val="0"/>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15.3、成交通知书发出后，采购人不得违法改变成交结果，成交供应商无正当理由不得放弃。成交供应商因不可抗力或者自身原因不能履行政府采购合同的，采购人可以与排序在成交供应商之后第一位的成交候选人签订政府采购合同，以此类推至第二位。</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五、签订合同</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16、签订合同</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16.1、采购人与成交供应商应当在成交通知书发出之日起30日内，按照磋商文件和成交人响应文件的规定签订政府采购合同。采购人不得向成交供应商提出超过磋商文件以外的任何要求作为签订合同的条件，所签订的合同不得对磋商文件确定的事项和成交供应商响应文件作实质性修改。采购代理机构应当督促采购人、成交供应商签订书面合同。由于成交供应商的原因逾期未与采购人签订采购合同的，将视为放弃，取消其成交资格，其磋商保证金不予退还；给采购人造成的损失超过磋商保证金数额的，采购人将对其超过部分予以追偿。</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16.2、政府采购合同应当包括采购人与成交供应商的名称和住所、标的、数量、价款或者报酬、履行期限及地点和方式、验收要求、违约责任、解决争议的方法等内容。采购人与成交供应商应当根据合同的约定依法履行合同义务。政府采购合同的履行、违约责任和解决争议的方法等适用《中华人民共</w:t>
      </w:r>
      <w:r>
        <w:rPr>
          <w:rFonts w:hint="eastAsia" w:ascii="华文中宋" w:hAnsi="华文中宋" w:eastAsia="华文中宋" w:cs="华文中宋"/>
          <w:kern w:val="1"/>
          <w:szCs w:val="21"/>
          <w:highlight w:val="none"/>
        </w:rPr>
        <w:t>和国民</w:t>
      </w:r>
      <w:r>
        <w:rPr>
          <w:rFonts w:hint="eastAsia" w:ascii="华文中宋" w:hAnsi="华文中宋" w:eastAsia="华文中宋" w:cs="华文中宋"/>
          <w:kern w:val="1"/>
          <w:szCs w:val="21"/>
          <w:highlight w:val="none"/>
          <w:lang w:val="en-US" w:eastAsia="zh-Hans"/>
        </w:rPr>
        <w:t>法典</w:t>
      </w:r>
      <w:r>
        <w:rPr>
          <w:rFonts w:hint="eastAsia" w:ascii="华文中宋" w:hAnsi="华文中宋" w:eastAsia="华文中宋" w:cs="华文中宋"/>
          <w:kern w:val="1"/>
          <w:szCs w:val="21"/>
          <w:highlight w:val="none"/>
        </w:rPr>
        <w:t>》。</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16.3、政府采购项目的采购合同自签订之日起七个工作日内，采购人应当将合同副本报同级政府采购监管管理部门和有关部门备案。</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16.4、采购人应当及时对采购项目进行验收。采购人可以邀请参加本项目的其他供应商或者第三方机构参与验收。参与验收的供应商或者第三方机构的意见作为验收书的参考资料一并存档。</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16.5、成交供应商有下列情形之一的，责令限期改正，情节严重的，列入不良行为记录名单，在1至3年内禁止参加政府采购活动，并予以通报：</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16.5.1、成交后无正当理由不与采购人签订合同的；</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16.5.2、未按照采购文件确定的事项签订政府采购合同，或者与采购人另行订立背离合同实质性内容的协议的；</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16.5.3、拒绝履行合同义务的；</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16.5.4、违反法律、规章、规范性文件规定的。</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bCs/>
          <w:kern w:val="1"/>
          <w:szCs w:val="21"/>
        </w:rPr>
      </w:pPr>
      <w:r>
        <w:rPr>
          <w:rFonts w:hint="eastAsia" w:ascii="华文中宋" w:hAnsi="华文中宋" w:eastAsia="华文中宋" w:cs="华文中宋"/>
          <w:b/>
          <w:kern w:val="1"/>
          <w:szCs w:val="21"/>
        </w:rPr>
        <w:t>17、</w:t>
      </w:r>
      <w:r>
        <w:rPr>
          <w:rFonts w:hint="eastAsia" w:ascii="华文中宋" w:hAnsi="华文中宋" w:eastAsia="华文中宋" w:cs="华文中宋"/>
          <w:b/>
          <w:bCs/>
          <w:kern w:val="1"/>
          <w:szCs w:val="21"/>
        </w:rPr>
        <w:t>合同履行</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
          <w:bCs/>
          <w:kern w:val="1"/>
          <w:szCs w:val="21"/>
        </w:rPr>
      </w:pPr>
      <w:r>
        <w:rPr>
          <w:rFonts w:hint="eastAsia" w:ascii="华文中宋" w:hAnsi="华文中宋" w:eastAsia="华文中宋" w:cs="华文中宋"/>
          <w:kern w:val="1"/>
          <w:szCs w:val="21"/>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kern w:val="1"/>
          <w:szCs w:val="21"/>
        </w:rPr>
      </w:pPr>
      <w:r>
        <w:rPr>
          <w:rFonts w:hint="eastAsia" w:ascii="华文中宋" w:hAnsi="华文中宋" w:eastAsia="华文中宋" w:cs="华文中宋"/>
          <w:kern w:val="1"/>
          <w:szCs w:val="21"/>
        </w:rPr>
        <w:t>17.2、政府采购合同履行中，采购人需追加与合同标的相同的服务或货物的，在不改变合同其他条款的前提下，可以与磋商供应商签订补充合同。</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bCs/>
          <w:szCs w:val="21"/>
        </w:rPr>
      </w:pPr>
      <w:r>
        <w:rPr>
          <w:rFonts w:hint="eastAsia" w:ascii="华文中宋" w:hAnsi="华文中宋" w:eastAsia="华文中宋" w:cs="华文中宋"/>
          <w:b/>
          <w:kern w:val="1"/>
          <w:sz w:val="28"/>
          <w:szCs w:val="28"/>
        </w:rPr>
        <w:t>六、终止采购</w:t>
      </w:r>
    </w:p>
    <w:p>
      <w:pPr>
        <w:keepNext w:val="0"/>
        <w:keepLines w:val="0"/>
        <w:pageBreakBefore w:val="0"/>
        <w:widowControl/>
        <w:wordWrap/>
        <w:overflowPunct/>
        <w:topLinePunct w:val="0"/>
        <w:autoSpaceDE/>
        <w:autoSpaceDN/>
        <w:bidi w:val="0"/>
        <w:snapToGrid w:val="0"/>
        <w:spacing w:line="312" w:lineRule="auto"/>
        <w:ind w:firstLine="636"/>
        <w:textAlignment w:val="auto"/>
        <w:rPr>
          <w:rFonts w:hint="eastAsia" w:ascii="华文中宋" w:hAnsi="华文中宋" w:eastAsia="华文中宋" w:cs="华文中宋"/>
          <w:snapToGrid w:val="0"/>
          <w:kern w:val="0"/>
          <w:szCs w:val="21"/>
        </w:rPr>
      </w:pPr>
      <w:r>
        <w:rPr>
          <w:rFonts w:hint="eastAsia" w:ascii="华文中宋" w:hAnsi="华文中宋" w:eastAsia="华文中宋" w:cs="华文中宋"/>
          <w:bCs/>
          <w:szCs w:val="21"/>
        </w:rPr>
        <w:t>18、</w:t>
      </w:r>
      <w:r>
        <w:rPr>
          <w:rFonts w:hint="eastAsia" w:ascii="华文中宋" w:hAnsi="华文中宋" w:eastAsia="华文中宋" w:cs="华文中宋"/>
          <w:snapToGrid w:val="0"/>
          <w:kern w:val="0"/>
          <w:szCs w:val="21"/>
        </w:rPr>
        <w:t>出现下列情形之一的，采购人或者采购代理机构应当终止采购活动，发布项目终止公告并说明原因，重新开展采购活动：</w:t>
      </w:r>
    </w:p>
    <w:p>
      <w:pPr>
        <w:keepNext w:val="0"/>
        <w:keepLines w:val="0"/>
        <w:pageBreakBefore w:val="0"/>
        <w:widowControl/>
        <w:wordWrap/>
        <w:overflowPunct/>
        <w:topLinePunct w:val="0"/>
        <w:autoSpaceDE/>
        <w:autoSpaceDN/>
        <w:bidi w:val="0"/>
        <w:snapToGrid w:val="0"/>
        <w:spacing w:line="312" w:lineRule="auto"/>
        <w:ind w:firstLine="636"/>
        <w:textAlignment w:val="auto"/>
        <w:rPr>
          <w:rFonts w:hint="eastAsia"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18.1、因情况变化，不再符合规定的采购方式适用情形的；</w:t>
      </w:r>
    </w:p>
    <w:p>
      <w:pPr>
        <w:keepNext w:val="0"/>
        <w:keepLines w:val="0"/>
        <w:pageBreakBefore w:val="0"/>
        <w:widowControl/>
        <w:wordWrap/>
        <w:overflowPunct/>
        <w:topLinePunct w:val="0"/>
        <w:autoSpaceDE/>
        <w:autoSpaceDN/>
        <w:bidi w:val="0"/>
        <w:snapToGrid w:val="0"/>
        <w:spacing w:line="312" w:lineRule="auto"/>
        <w:ind w:firstLine="645"/>
        <w:textAlignment w:val="auto"/>
        <w:rPr>
          <w:rFonts w:hint="eastAsia"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18.2、出现影响采购公正的违法、违规行为的；</w:t>
      </w:r>
    </w:p>
    <w:p>
      <w:pPr>
        <w:keepNext w:val="0"/>
        <w:keepLines w:val="0"/>
        <w:pageBreakBefore w:val="0"/>
        <w:widowControl/>
        <w:wordWrap/>
        <w:overflowPunct/>
        <w:topLinePunct w:val="0"/>
        <w:autoSpaceDE/>
        <w:autoSpaceDN/>
        <w:bidi w:val="0"/>
        <w:snapToGrid w:val="0"/>
        <w:spacing w:line="312" w:lineRule="auto"/>
        <w:ind w:firstLine="636"/>
        <w:textAlignment w:val="auto"/>
        <w:rPr>
          <w:rFonts w:hint="eastAsia" w:ascii="华文中宋" w:hAnsi="华文中宋" w:eastAsia="华文中宋" w:cs="华文中宋"/>
          <w:snapToGrid w:val="0"/>
          <w:kern w:val="0"/>
          <w:szCs w:val="21"/>
        </w:rPr>
      </w:pPr>
      <w:r>
        <w:rPr>
          <w:rFonts w:hint="eastAsia" w:ascii="华文中宋" w:hAnsi="华文中宋" w:eastAsia="华文中宋" w:cs="华文中宋"/>
          <w:snapToGrid w:val="0"/>
          <w:kern w:val="0"/>
          <w:szCs w:val="21"/>
        </w:rPr>
        <w:t>18.3、采购过程中符合要求的供应商（社会资本）只有1家的，采购人（项目实施机构）或者采购代理机构应当终止竞争性磋商采购活动，发布项目终止公告并说明原因，重新开展采购活动。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val="0"/>
        <w:snapToGrid w:val="0"/>
        <w:spacing w:beforeLines="50" w:afterLines="50" w:line="312" w:lineRule="auto"/>
        <w:textAlignment w:val="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七、相关费用</w:t>
      </w:r>
    </w:p>
    <w:p>
      <w:pPr>
        <w:keepNext w:val="0"/>
        <w:keepLines w:val="0"/>
        <w:pageBreakBefore w:val="0"/>
        <w:widowControl w:val="0"/>
        <w:kinsoku/>
        <w:wordWrap/>
        <w:overflowPunct/>
        <w:topLinePunct w:val="0"/>
        <w:autoSpaceDE/>
        <w:autoSpaceDN/>
        <w:bidi w:val="0"/>
        <w:adjustRightInd w:val="0"/>
        <w:snapToGrid w:val="0"/>
        <w:spacing w:afterLines="50" w:line="312" w:lineRule="auto"/>
        <w:ind w:firstLine="420" w:firstLineChars="200"/>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19、采购代理服务费数额及缴纳方式</w:t>
      </w:r>
    </w:p>
    <w:p>
      <w:pPr>
        <w:keepNext w:val="0"/>
        <w:keepLines w:val="0"/>
        <w:pageBreakBefore w:val="0"/>
        <w:wordWrap/>
        <w:overflowPunct/>
        <w:topLinePunct w:val="0"/>
        <w:autoSpaceDE/>
        <w:autoSpaceDN/>
        <w:bidi w:val="0"/>
        <w:snapToGrid w:val="0"/>
        <w:spacing w:line="312" w:lineRule="auto"/>
        <w:ind w:firstLine="573"/>
        <w:textAlignment w:val="auto"/>
        <w:rPr>
          <w:rFonts w:hint="eastAsia" w:ascii="华文中宋" w:hAnsi="华文中宋" w:eastAsia="华文中宋" w:cs="华文中宋"/>
          <w:szCs w:val="21"/>
        </w:rPr>
      </w:pPr>
      <w:r>
        <w:rPr>
          <w:rFonts w:hint="eastAsia" w:ascii="华文中宋" w:hAnsi="华文中宋" w:eastAsia="华文中宋" w:cs="华文中宋"/>
          <w:szCs w:val="21"/>
        </w:rPr>
        <w:t>19.1、采购代理服务费数额：成交供应商在领取《成交通知书》的同时，应按国家收费标准向采购代理机构缴纳采购代理服务费，详见《招标代理服务收费标准（2011年）》及本项目采购结果公告。</w:t>
      </w:r>
    </w:p>
    <w:p>
      <w:pPr>
        <w:keepNext w:val="0"/>
        <w:keepLines w:val="0"/>
        <w:pageBreakBefore w:val="0"/>
        <w:tabs>
          <w:tab w:val="left" w:pos="0"/>
        </w:tabs>
        <w:wordWrap/>
        <w:overflowPunct/>
        <w:topLinePunct w:val="0"/>
        <w:autoSpaceDE/>
        <w:autoSpaceDN/>
        <w:bidi w:val="0"/>
        <w:snapToGrid w:val="0"/>
        <w:spacing w:line="312" w:lineRule="auto"/>
        <w:ind w:right="115" w:rightChars="55" w:firstLine="420" w:firstLineChars="200"/>
        <w:textAlignment w:val="auto"/>
        <w:rPr>
          <w:rFonts w:hint="eastAsia" w:ascii="华文中宋" w:hAnsi="华文中宋" w:eastAsia="华文中宋" w:cs="华文中宋"/>
          <w:szCs w:val="21"/>
          <w:u w:val="single"/>
        </w:rPr>
      </w:pPr>
      <w:r>
        <w:rPr>
          <w:rFonts w:hint="eastAsia" w:ascii="华文中宋" w:hAnsi="华文中宋" w:eastAsia="华文中宋" w:cs="华文中宋"/>
          <w:szCs w:val="21"/>
        </w:rPr>
        <w:t>19.2、采购代理服务费缴纳方式：以银行转账形式。均应从企业基本账户转出，并在“用途”一栏填写：</w:t>
      </w:r>
      <w:r>
        <w:rPr>
          <w:rFonts w:hint="eastAsia" w:ascii="华文中宋" w:hAnsi="华文中宋" w:eastAsia="华文中宋" w:cs="华文中宋"/>
          <w:szCs w:val="21"/>
          <w:u w:val="single"/>
        </w:rPr>
        <w:t>略阳县秦岭保护区矿业权退出评估项目代理服务费</w:t>
      </w:r>
      <w:r>
        <w:rPr>
          <w:rFonts w:hint="eastAsia" w:ascii="华文中宋" w:hAnsi="华文中宋" w:eastAsia="华文中宋" w:cs="华文中宋"/>
          <w:szCs w:val="21"/>
          <w:u w:val="single"/>
          <w:lang w:val="en-US" w:eastAsia="zh-CN"/>
        </w:rPr>
        <w:t>或XPXM-HZ-2022-02代理服务费</w:t>
      </w:r>
      <w:r>
        <w:rPr>
          <w:rFonts w:hint="eastAsia" w:ascii="华文中宋" w:hAnsi="华文中宋" w:eastAsia="华文中宋" w:cs="华文中宋"/>
          <w:szCs w:val="21"/>
          <w:u w:val="single"/>
        </w:rPr>
        <w:t>；</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szCs w:val="21"/>
        </w:rPr>
      </w:pPr>
      <w:bookmarkStart w:id="248" w:name="_GoBack"/>
      <w:bookmarkEnd w:id="248"/>
      <w:r>
        <w:rPr>
          <w:rFonts w:hint="eastAsia" w:ascii="华文中宋" w:hAnsi="华文中宋" w:eastAsia="华文中宋" w:cs="华文中宋"/>
          <w:szCs w:val="21"/>
        </w:rPr>
        <w:t>采购代理服务费缴纳账户：</w:t>
      </w:r>
    </w:p>
    <w:p>
      <w:pPr>
        <w:ind w:firstLine="630" w:firstLineChars="300"/>
        <w:rPr>
          <w:rFonts w:hint="default"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交纳账户户名：</w:t>
      </w:r>
      <w:r>
        <w:rPr>
          <w:rFonts w:hint="eastAsia" w:ascii="华文中宋" w:hAnsi="华文中宋" w:eastAsia="华文中宋" w:cs="华文中宋"/>
          <w:color w:val="auto"/>
          <w:szCs w:val="21"/>
          <w:lang w:val="en-US" w:eastAsia="zh-CN"/>
        </w:rPr>
        <w:t>陕西信鹏项目管理有限公司汉中分公司</w:t>
      </w:r>
    </w:p>
    <w:p>
      <w:pPr>
        <w:ind w:firstLine="630" w:firstLineChars="300"/>
        <w:rPr>
          <w:rFonts w:hint="default"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开</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户</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行：</w:t>
      </w:r>
      <w:r>
        <w:rPr>
          <w:rFonts w:hint="eastAsia" w:ascii="华文中宋" w:hAnsi="华文中宋" w:eastAsia="华文中宋" w:cs="华文中宋"/>
          <w:color w:val="auto"/>
          <w:szCs w:val="21"/>
          <w:lang w:val="en-US" w:eastAsia="zh-CN"/>
        </w:rPr>
        <w:t>中国建设银行股份有限公司汉中劳动西路支行</w:t>
      </w:r>
    </w:p>
    <w:p>
      <w:pPr>
        <w:keepNext w:val="0"/>
        <w:keepLines w:val="0"/>
        <w:pageBreakBefore w:val="0"/>
        <w:wordWrap/>
        <w:overflowPunct/>
        <w:topLinePunct w:val="0"/>
        <w:autoSpaceDE/>
        <w:autoSpaceDN/>
        <w:bidi w:val="0"/>
        <w:snapToGrid w:val="0"/>
        <w:spacing w:line="312" w:lineRule="auto"/>
        <w:ind w:firstLine="630" w:firstLineChars="300"/>
        <w:textAlignment w:val="auto"/>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账</w:t>
      </w:r>
      <w:r>
        <w:rPr>
          <w:rFonts w:hint="eastAsia" w:ascii="华文中宋" w:hAnsi="华文中宋" w:eastAsia="华文中宋" w:cs="华文中宋"/>
          <w:color w:val="auto"/>
          <w:szCs w:val="21"/>
          <w:lang w:val="en-US" w:eastAsia="zh-CN"/>
        </w:rPr>
        <w:t xml:space="preserve">        </w:t>
      </w:r>
      <w:r>
        <w:rPr>
          <w:rFonts w:hint="eastAsia" w:ascii="华文中宋" w:hAnsi="华文中宋" w:eastAsia="华文中宋" w:cs="华文中宋"/>
          <w:color w:val="auto"/>
          <w:szCs w:val="21"/>
        </w:rPr>
        <w:t>号：</w:t>
      </w:r>
      <w:r>
        <w:rPr>
          <w:rFonts w:hint="eastAsia" w:ascii="华文中宋" w:hAnsi="华文中宋" w:eastAsia="华文中宋" w:cs="华文中宋"/>
          <w:color w:val="auto"/>
          <w:szCs w:val="21"/>
          <w:lang w:val="en-US" w:eastAsia="zh-CN"/>
        </w:rPr>
        <w:t>6105  0111 2657  0000  0253</w:t>
      </w:r>
    </w:p>
    <w:p>
      <w:pPr>
        <w:keepNext w:val="0"/>
        <w:keepLines w:val="0"/>
        <w:pageBreakBefore w:val="0"/>
        <w:wordWrap/>
        <w:overflowPunct/>
        <w:topLinePunct w:val="0"/>
        <w:autoSpaceDE/>
        <w:autoSpaceDN/>
        <w:bidi w:val="0"/>
        <w:snapToGrid w:val="0"/>
        <w:spacing w:line="312" w:lineRule="auto"/>
        <w:textAlignment w:val="auto"/>
        <w:rPr>
          <w:rFonts w:hint="eastAsia" w:ascii="华文中宋" w:hAnsi="华文中宋" w:eastAsia="华文中宋" w:cs="华文中宋"/>
          <w:b/>
          <w:bCs/>
          <w:szCs w:val="21"/>
        </w:rPr>
      </w:pPr>
      <w:r>
        <w:rPr>
          <w:rFonts w:hint="eastAsia" w:ascii="华文中宋" w:hAnsi="华文中宋" w:eastAsia="华文中宋" w:cs="华文中宋"/>
          <w:b/>
          <w:kern w:val="1"/>
          <w:sz w:val="28"/>
          <w:szCs w:val="28"/>
        </w:rPr>
        <w:t>八、</w:t>
      </w:r>
      <w:r>
        <w:rPr>
          <w:rFonts w:hint="eastAsia" w:ascii="华文中宋" w:hAnsi="华文中宋" w:eastAsia="华文中宋" w:cs="华文中宋"/>
          <w:b/>
          <w:bCs/>
          <w:sz w:val="28"/>
          <w:szCs w:val="28"/>
        </w:rPr>
        <w:t>质疑与投诉</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bCs/>
          <w:szCs w:val="21"/>
        </w:rPr>
      </w:pPr>
      <w:r>
        <w:rPr>
          <w:rFonts w:hint="eastAsia" w:ascii="华文中宋" w:hAnsi="华文中宋" w:eastAsia="华文中宋" w:cs="华文中宋"/>
          <w:b/>
          <w:bCs/>
          <w:szCs w:val="21"/>
        </w:rPr>
        <w:t>20、关于质疑函的提出与答复：</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20.1、供应商质疑与投诉应当实名署名，其质疑与投诉应当有明确的请求和必要的证明材料。供应商可以委托代理人进行质疑与投诉。代理人应当提交授权委托书，授权委托书应当载明委托代理的具体权限、期限和相关事项。本项目接收质疑函法定信息：</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联系人：杨</w:t>
      </w:r>
      <w:r>
        <w:rPr>
          <w:rFonts w:hint="eastAsia" w:ascii="华文中宋" w:hAnsi="华文中宋" w:eastAsia="华文中宋" w:cs="华文中宋"/>
          <w:b/>
          <w:szCs w:val="21"/>
          <w:lang w:val="en-US" w:eastAsia="zh-CN"/>
        </w:rPr>
        <w:t>工</w:t>
      </w:r>
      <w:r>
        <w:rPr>
          <w:rFonts w:hint="eastAsia" w:ascii="华文中宋" w:hAnsi="华文中宋" w:eastAsia="华文中宋" w:cs="华文中宋"/>
          <w:b/>
          <w:szCs w:val="21"/>
        </w:rPr>
        <w:t xml:space="preserve">           联系电话：18191601833         </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szCs w:val="21"/>
        </w:rPr>
      </w:pPr>
      <w:r>
        <w:rPr>
          <w:rFonts w:hint="eastAsia" w:ascii="华文中宋" w:hAnsi="华文中宋" w:eastAsia="华文中宋" w:cs="华文中宋"/>
          <w:b/>
          <w:szCs w:val="21"/>
        </w:rPr>
        <w:t>通讯地址：汉中市南郑区汉山街道办高庄村机电工业集中区二楼（陕西信鹏项目管理有限公司）</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20.2、供应商提出质疑应当提交质疑函，请供应商自行在《陕西省政府采购网》主页面下载“政府采购供应商质疑函范本”。质疑函应当包括但不限于下列内容：供应商的名称、地址、邮编、联系人及联系电话，质疑项目的名称、编号，质疑事项，事实依据和证明材料，法律依据，提出质疑的日期。质疑函应当署名。供应商为自然人的，应当由本人签字；供应商为法人或者其他组织的，应当由法定代表人或者主要负责人签字盖章并加盖公章。</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 xml:space="preserve">    20.3、出现磋商供应商认为采购文件、采购过程和成交结果使自己的权益受到损害的，可以在知道或者应知其权益受到损害之日起七个工作日内，以书面形式向采购人提出质疑。磋商供应商应知其权益受到损害之日，是指：对可以质疑的采购文件提出质疑的，为收到采购文件之日或者采购文件公告期限届满之日</w:t>
      </w:r>
      <w:r>
        <w:rPr>
          <w:rFonts w:hint="eastAsia" w:ascii="华文中宋" w:hAnsi="华文中宋" w:eastAsia="华文中宋" w:cs="华文中宋"/>
          <w:bCs/>
          <w:szCs w:val="21"/>
          <w:lang w:eastAsia="zh-CN"/>
        </w:rPr>
        <w:t>（</w:t>
      </w:r>
      <w:r>
        <w:rPr>
          <w:rFonts w:hint="eastAsia" w:ascii="华文中宋" w:hAnsi="华文中宋" w:eastAsia="华文中宋" w:cs="华文中宋"/>
          <w:bCs/>
          <w:color w:val="auto"/>
          <w:szCs w:val="21"/>
          <w:highlight w:val="none"/>
          <w:lang w:eastAsia="zh-CN"/>
        </w:rPr>
        <w:t>本项</w:t>
      </w:r>
      <w:r>
        <w:rPr>
          <w:rFonts w:hint="eastAsia" w:ascii="华文中宋" w:hAnsi="华文中宋" w:eastAsia="华文中宋" w:cs="华文中宋"/>
          <w:bCs/>
          <w:color w:val="auto"/>
          <w:szCs w:val="21"/>
          <w:highlight w:val="none"/>
          <w:lang w:val="en-US" w:eastAsia="zh-CN"/>
        </w:rPr>
        <w:t>目供应商</w:t>
      </w:r>
      <w:r>
        <w:rPr>
          <w:rFonts w:hint="eastAsia" w:ascii="华文中宋" w:hAnsi="华文中宋" w:eastAsia="华文中宋" w:cs="华文中宋"/>
          <w:bCs/>
          <w:color w:val="auto"/>
          <w:szCs w:val="21"/>
          <w:highlight w:val="none"/>
          <w:lang w:eastAsia="zh-CN"/>
        </w:rPr>
        <w:t>通过至代理机构现场获取</w:t>
      </w:r>
      <w:r>
        <w:rPr>
          <w:rFonts w:hint="eastAsia" w:ascii="华文中宋" w:hAnsi="华文中宋" w:eastAsia="华文中宋" w:cs="华文中宋"/>
          <w:bCs/>
          <w:color w:val="auto"/>
          <w:szCs w:val="21"/>
          <w:highlight w:val="none"/>
          <w:lang w:val="en-US" w:eastAsia="zh-CN"/>
        </w:rPr>
        <w:t>磋商</w:t>
      </w:r>
      <w:r>
        <w:rPr>
          <w:rFonts w:hint="eastAsia" w:ascii="华文中宋" w:hAnsi="华文中宋" w:eastAsia="华文中宋" w:cs="华文中宋"/>
          <w:bCs/>
          <w:color w:val="auto"/>
          <w:szCs w:val="21"/>
          <w:highlight w:val="none"/>
          <w:lang w:eastAsia="zh-CN"/>
        </w:rPr>
        <w:t>文件，故采取以</w:t>
      </w:r>
      <w:r>
        <w:rPr>
          <w:rFonts w:hint="eastAsia" w:ascii="华文中宋" w:hAnsi="华文中宋" w:eastAsia="华文中宋" w:cs="华文中宋"/>
          <w:bCs/>
          <w:color w:val="auto"/>
          <w:szCs w:val="21"/>
          <w:highlight w:val="none"/>
          <w:lang w:val="en-US" w:eastAsia="zh-CN"/>
        </w:rPr>
        <w:t>供应商</w:t>
      </w:r>
      <w:r>
        <w:rPr>
          <w:rFonts w:hint="eastAsia" w:ascii="华文中宋" w:hAnsi="华文中宋" w:eastAsia="华文中宋" w:cs="华文中宋"/>
          <w:bCs/>
          <w:color w:val="auto"/>
          <w:szCs w:val="21"/>
          <w:highlight w:val="none"/>
          <w:lang w:eastAsia="zh-CN"/>
        </w:rPr>
        <w:t>收到</w:t>
      </w:r>
      <w:r>
        <w:rPr>
          <w:rFonts w:hint="eastAsia" w:ascii="华文中宋" w:hAnsi="华文中宋" w:eastAsia="华文中宋" w:cs="华文中宋"/>
          <w:bCs/>
          <w:color w:val="auto"/>
          <w:szCs w:val="21"/>
          <w:highlight w:val="none"/>
          <w:lang w:val="en-US" w:eastAsia="zh-CN"/>
        </w:rPr>
        <w:t>磋商</w:t>
      </w:r>
      <w:r>
        <w:rPr>
          <w:rFonts w:hint="eastAsia" w:ascii="华文中宋" w:hAnsi="华文中宋" w:eastAsia="华文中宋" w:cs="华文中宋"/>
          <w:bCs/>
          <w:color w:val="auto"/>
          <w:szCs w:val="21"/>
          <w:highlight w:val="none"/>
          <w:lang w:eastAsia="zh-CN"/>
        </w:rPr>
        <w:t>文件之日为起点计算法定质疑期</w:t>
      </w:r>
      <w:r>
        <w:rPr>
          <w:rFonts w:hint="eastAsia" w:ascii="华文中宋" w:hAnsi="华文中宋" w:eastAsia="华文中宋" w:cs="华文中宋"/>
          <w:bCs/>
          <w:szCs w:val="21"/>
          <w:lang w:eastAsia="zh-CN"/>
        </w:rPr>
        <w:t>）</w:t>
      </w:r>
      <w:r>
        <w:rPr>
          <w:rFonts w:hint="eastAsia" w:ascii="华文中宋" w:hAnsi="华文中宋" w:eastAsia="华文中宋" w:cs="华文中宋"/>
          <w:bCs/>
          <w:szCs w:val="21"/>
        </w:rPr>
        <w:t>；对采购过程提出质疑的，为各采购程序环节结束之日；对中标或者成交结果提出质疑的，为中标或者成交结果公告期限届满之日（针对同一采购程序环节的质疑原则上应当一次性提出）。</w:t>
      </w:r>
    </w:p>
    <w:p>
      <w:pPr>
        <w:keepNext w:val="0"/>
        <w:keepLines w:val="0"/>
        <w:pageBreakBefore w:val="0"/>
        <w:tabs>
          <w:tab w:val="left" w:pos="1155"/>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20.4、采购人、采购代理机构认为供应商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供应商仍不少于3家时，可以从合格的成交候选人中另行确定成交供应商的，应当依法另行确定成交供应商，否则应当重新开展采购活动。质疑答复导致成交结果改变的，采购人或者采购代理机构应当将有关情况书面报告本级财政部门。</w:t>
      </w:r>
    </w:p>
    <w:p>
      <w:pPr>
        <w:keepNext w:val="0"/>
        <w:keepLines w:val="0"/>
        <w:pageBreakBefore w:val="0"/>
        <w:tabs>
          <w:tab w:val="left" w:pos="1155"/>
        </w:tabs>
        <w:wordWrap/>
        <w:overflowPunct/>
        <w:topLinePunct w:val="0"/>
        <w:autoSpaceDE/>
        <w:autoSpaceDN/>
        <w:bidi w:val="0"/>
        <w:snapToGrid w:val="0"/>
        <w:spacing w:line="312" w:lineRule="auto"/>
        <w:ind w:firstLine="420" w:firstLineChars="200"/>
        <w:textAlignment w:val="auto"/>
        <w:rPr>
          <w:rFonts w:hint="eastAsia" w:ascii="华文中宋" w:hAnsi="华文中宋" w:eastAsia="华文中宋" w:cs="华文中宋"/>
          <w:bCs/>
          <w:szCs w:val="21"/>
          <w:highlight w:val="none"/>
        </w:rPr>
      </w:pPr>
      <w:r>
        <w:rPr>
          <w:rFonts w:hint="eastAsia" w:ascii="华文中宋" w:hAnsi="华文中宋" w:eastAsia="华文中宋" w:cs="华文中宋"/>
          <w:bCs/>
          <w:szCs w:val="21"/>
          <w:highlight w:val="none"/>
        </w:rPr>
        <w:t>20.5、出现磋商供应商认为采购文件、采购过程、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szCs w:val="21"/>
          <w:highlight w:val="none"/>
        </w:rPr>
      </w:pPr>
      <w:r>
        <w:rPr>
          <w:rFonts w:hint="eastAsia" w:ascii="华文中宋" w:hAnsi="华文中宋" w:eastAsia="华文中宋" w:cs="华文中宋"/>
          <w:b/>
          <w:szCs w:val="21"/>
          <w:highlight w:val="none"/>
        </w:rPr>
        <w:t>21、投诉提出</w:t>
      </w:r>
    </w:p>
    <w:p>
      <w:pPr>
        <w:keepNext w:val="0"/>
        <w:keepLines w:val="0"/>
        <w:pageBreakBefore w:val="0"/>
        <w:tabs>
          <w:tab w:val="left" w:pos="1155"/>
        </w:tabs>
        <w:wordWrap/>
        <w:overflowPunct/>
        <w:topLinePunct w:val="0"/>
        <w:autoSpaceDE/>
        <w:autoSpaceDN/>
        <w:bidi w:val="0"/>
        <w:snapToGrid w:val="0"/>
        <w:spacing w:line="312" w:lineRule="auto"/>
        <w:ind w:firstLine="481"/>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21.1、质疑供应商对采购人、采购代理机构的答复不满意，或者采购人、采购代理机构未在规定时间内作出答复的，可以在答复期满后15个工作日内向同级财政部门提起投诉。</w:t>
      </w:r>
    </w:p>
    <w:p>
      <w:pPr>
        <w:keepNext w:val="0"/>
        <w:keepLines w:val="0"/>
        <w:pageBreakBefore w:val="0"/>
        <w:tabs>
          <w:tab w:val="left" w:pos="1155"/>
        </w:tabs>
        <w:wordWrap/>
        <w:overflowPunct/>
        <w:topLinePunct w:val="0"/>
        <w:autoSpaceDE/>
        <w:autoSpaceDN/>
        <w:bidi w:val="0"/>
        <w:snapToGrid w:val="0"/>
        <w:spacing w:line="312" w:lineRule="auto"/>
        <w:ind w:firstLine="481"/>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21.2、投诉人投诉时,应当提交投诉书，并按照被投诉采购人、采购代理机构（以下简称被投诉人）和与投诉事项有关的供应商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22、法律责任</w:t>
      </w:r>
    </w:p>
    <w:p>
      <w:pPr>
        <w:keepNext w:val="0"/>
        <w:keepLines w:val="0"/>
        <w:pageBreakBefore w:val="0"/>
        <w:tabs>
          <w:tab w:val="left" w:pos="1155"/>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22.1、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szCs w:val="21"/>
        </w:rPr>
      </w:pPr>
      <w:r>
        <w:rPr>
          <w:rFonts w:hint="eastAsia" w:ascii="华文中宋" w:hAnsi="华文中宋" w:eastAsia="华文中宋" w:cs="华文中宋"/>
          <w:b/>
          <w:szCs w:val="21"/>
        </w:rPr>
        <w:t>23、其他说明</w:t>
      </w:r>
    </w:p>
    <w:p>
      <w:pPr>
        <w:keepNext w:val="0"/>
        <w:keepLines w:val="0"/>
        <w:pageBreakBefore w:val="0"/>
        <w:tabs>
          <w:tab w:val="left" w:pos="1155"/>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23.1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keepNext w:val="0"/>
        <w:keepLines w:val="0"/>
        <w:pageBreakBefore w:val="0"/>
        <w:tabs>
          <w:tab w:val="left" w:pos="1155"/>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Cs/>
          <w:szCs w:val="21"/>
        </w:rPr>
      </w:pPr>
      <w:r>
        <w:rPr>
          <w:rFonts w:hint="eastAsia" w:ascii="华文中宋" w:hAnsi="华文中宋" w:eastAsia="华文中宋" w:cs="华文中宋"/>
          <w:bCs/>
          <w:szCs w:val="21"/>
        </w:rPr>
        <w:t>23.2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pStyle w:val="4"/>
        <w:keepNext w:val="0"/>
        <w:keepLines w:val="0"/>
        <w:pageBreakBefore w:val="0"/>
        <w:widowControl/>
        <w:wordWrap/>
        <w:overflowPunct/>
        <w:topLinePunct w:val="0"/>
        <w:autoSpaceDE/>
        <w:autoSpaceDN/>
        <w:bidi w:val="0"/>
        <w:snapToGrid w:val="0"/>
        <w:spacing w:before="0" w:after="0" w:line="312" w:lineRule="auto"/>
        <w:ind w:firstLine="420" w:firstLineChars="200"/>
        <w:textAlignment w:val="auto"/>
        <w:rPr>
          <w:rFonts w:hint="eastAsia" w:ascii="华文中宋" w:hAnsi="华文中宋" w:eastAsia="华文中宋" w:cs="华文中宋"/>
          <w:b w:val="0"/>
          <w:bCs/>
          <w:sz w:val="21"/>
          <w:szCs w:val="21"/>
        </w:rPr>
      </w:pPr>
      <w:bookmarkStart w:id="19" w:name="_Toc4069"/>
      <w:bookmarkStart w:id="20" w:name="_Toc14206"/>
      <w:bookmarkStart w:id="21" w:name="_Toc21130"/>
      <w:bookmarkStart w:id="22" w:name="_Toc10232"/>
      <w:bookmarkStart w:id="23" w:name="_Toc15"/>
      <w:r>
        <w:rPr>
          <w:rFonts w:hint="eastAsia" w:ascii="华文中宋" w:hAnsi="华文中宋" w:eastAsia="华文中宋" w:cs="华文中宋"/>
          <w:b w:val="0"/>
          <w:bCs/>
          <w:sz w:val="21"/>
          <w:szCs w:val="21"/>
        </w:rPr>
        <w:t>23.3、质疑与投诉事宜依据《中华人民共和国政府采购法》、《政府采购法实施条例（国务院第658号令）》、《中华人民共和国财政部令第94号--政府采购质疑和投诉办法》及《陕财办采资（2016）53号》规定执行。</w:t>
      </w:r>
      <w:bookmarkEnd w:id="19"/>
      <w:bookmarkEnd w:id="20"/>
      <w:bookmarkEnd w:id="21"/>
      <w:bookmarkEnd w:id="22"/>
      <w:bookmarkEnd w:id="23"/>
    </w:p>
    <w:p>
      <w:pPr>
        <w:keepNext w:val="0"/>
        <w:keepLines w:val="0"/>
        <w:pageBreakBefore w:val="0"/>
        <w:tabs>
          <w:tab w:val="left" w:pos="1155"/>
        </w:tabs>
        <w:wordWrap/>
        <w:overflowPunct/>
        <w:topLinePunct w:val="0"/>
        <w:autoSpaceDE/>
        <w:autoSpaceDN/>
        <w:bidi w:val="0"/>
        <w:snapToGrid w:val="0"/>
        <w:spacing w:line="312" w:lineRule="auto"/>
        <w:textAlignment w:val="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九、关于供应商注册登记提醒</w:t>
      </w:r>
    </w:p>
    <w:p>
      <w:pPr>
        <w:keepNext w:val="0"/>
        <w:keepLines w:val="0"/>
        <w:pageBreakBefore w:val="0"/>
        <w:tabs>
          <w:tab w:val="left" w:pos="1155"/>
        </w:tabs>
        <w:wordWrap/>
        <w:overflowPunct/>
        <w:topLinePunct w:val="0"/>
        <w:autoSpaceDE/>
        <w:autoSpaceDN/>
        <w:bidi w:val="0"/>
        <w:snapToGrid w:val="0"/>
        <w:spacing w:line="312" w:lineRule="auto"/>
        <w:ind w:firstLine="480"/>
        <w:textAlignment w:val="auto"/>
        <w:rPr>
          <w:rFonts w:hint="eastAsia" w:ascii="华文中宋" w:hAnsi="华文中宋" w:eastAsia="华文中宋" w:cs="华文中宋"/>
          <w:b/>
          <w:sz w:val="32"/>
          <w:szCs w:val="32"/>
        </w:rPr>
      </w:pPr>
      <w:r>
        <w:rPr>
          <w:rFonts w:hint="eastAsia" w:ascii="华文中宋" w:hAnsi="华文中宋" w:eastAsia="华文中宋" w:cs="华文中宋"/>
          <w:bCs/>
          <w:szCs w:val="21"/>
        </w:rPr>
        <w:t>24.根据陕西省财政厅关于政府采购供应商注册登记有关事项的通知，如所投本项目的供应商未在陕西省政府采购网（http://www.ccgp-shaanxi.gov.cn/）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w:t>
      </w:r>
      <w:r>
        <w:rPr>
          <w:rFonts w:hint="eastAsia" w:ascii="华文中宋" w:hAnsi="华文中宋" w:eastAsia="华文中宋" w:cs="华文中宋"/>
          <w:bCs/>
          <w:szCs w:val="21"/>
          <w:lang w:eastAsia="zh-CN"/>
        </w:rPr>
        <w:t>，</w:t>
      </w:r>
      <w:r>
        <w:rPr>
          <w:rFonts w:hint="eastAsia" w:ascii="华文中宋" w:hAnsi="华文中宋" w:eastAsia="华文中宋" w:cs="华文中宋"/>
          <w:bCs/>
          <w:szCs w:val="21"/>
        </w:rPr>
        <w:t>各供应商自行在陕西省政府采购网主页面资料下载区下载《陕西省政府采购管理系统供应商用户手册》</w:t>
      </w:r>
      <w:bookmarkStart w:id="24" w:name="_Toc6006_WPSOffice_Level1"/>
      <w:bookmarkStart w:id="25" w:name="_Toc32525"/>
      <w:bookmarkStart w:id="26" w:name="_Toc22675"/>
      <w:bookmarkStart w:id="27" w:name="_Toc16729"/>
      <w:bookmarkStart w:id="28" w:name="_Toc5771_WPSOffice_Level1"/>
      <w:r>
        <w:rPr>
          <w:rFonts w:hint="eastAsia" w:ascii="华文中宋" w:hAnsi="华文中宋" w:eastAsia="华文中宋" w:cs="华文中宋"/>
          <w:bCs/>
          <w:szCs w:val="21"/>
        </w:rPr>
        <w:t>。</w:t>
      </w:r>
      <w:bookmarkStart w:id="29" w:name="_Toc1745"/>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both"/>
        <w:outlineLvl w:val="0"/>
        <w:rPr>
          <w:rFonts w:hint="eastAsia" w:ascii="华文中宋" w:hAnsi="华文中宋" w:eastAsia="华文中宋" w:cs="华文中宋"/>
          <w:b/>
          <w:sz w:val="32"/>
          <w:szCs w:val="32"/>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0"/>
        <w:rPr>
          <w:rFonts w:hint="eastAsia" w:ascii="华文中宋" w:hAnsi="华文中宋" w:eastAsia="华文中宋" w:cs="华文中宋"/>
          <w:b/>
          <w:sz w:val="20"/>
          <w:szCs w:val="20"/>
        </w:rPr>
      </w:pPr>
      <w:r>
        <w:rPr>
          <w:rFonts w:hint="eastAsia" w:ascii="华文中宋" w:hAnsi="华文中宋" w:eastAsia="华文中宋" w:cs="华文中宋"/>
          <w:b/>
          <w:sz w:val="32"/>
          <w:szCs w:val="32"/>
        </w:rPr>
        <w:t>第三章 评审办法</w:t>
      </w:r>
      <w:bookmarkEnd w:id="24"/>
      <w:bookmarkEnd w:id="25"/>
      <w:bookmarkEnd w:id="26"/>
      <w:bookmarkEnd w:id="27"/>
      <w:bookmarkEnd w:id="28"/>
      <w:bookmarkEnd w:id="29"/>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本项目是根据《中华人民共和国政府采购法》及《政府采购法实施条例》</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政府采购竞争性磋商采购方式管理暂行办法</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等法律法规的规定，结合采购项目特点制定的评审办法。</w:t>
      </w:r>
    </w:p>
    <w:p>
      <w:pPr>
        <w:keepNext w:val="0"/>
        <w:keepLines w:val="0"/>
        <w:pageBreakBefore w:val="0"/>
        <w:kinsoku/>
        <w:wordWrap/>
        <w:overflowPunct/>
        <w:topLinePunct w:val="0"/>
        <w:bidi w:val="0"/>
        <w:adjustRightInd w:val="0"/>
        <w:snapToGrid w:val="0"/>
        <w:spacing w:line="312" w:lineRule="auto"/>
        <w:ind w:left="0" w:leftChars="0" w:right="0" w:rightChars="0"/>
        <w:rPr>
          <w:rFonts w:hint="eastAsia" w:ascii="华文中宋" w:hAnsi="华文中宋" w:eastAsia="华文中宋" w:cs="华文中宋"/>
          <w:b/>
          <w:szCs w:val="21"/>
        </w:rPr>
      </w:pPr>
      <w:r>
        <w:rPr>
          <w:rFonts w:hint="eastAsia" w:ascii="华文中宋" w:hAnsi="华文中宋" w:eastAsia="华文中宋" w:cs="华文中宋"/>
          <w:sz w:val="28"/>
          <w:szCs w:val="28"/>
        </w:rPr>
        <w:t>一、</w:t>
      </w:r>
      <w:r>
        <w:rPr>
          <w:rFonts w:hint="eastAsia" w:ascii="华文中宋" w:hAnsi="华文中宋" w:eastAsia="华文中宋" w:cs="华文中宋"/>
          <w:b/>
          <w:sz w:val="28"/>
          <w:szCs w:val="28"/>
        </w:rPr>
        <w:t>总则</w:t>
      </w:r>
    </w:p>
    <w:p>
      <w:pPr>
        <w:keepNext w:val="0"/>
        <w:keepLines w:val="0"/>
        <w:pageBreakBefore w:val="0"/>
        <w:kinsoku/>
        <w:wordWrap/>
        <w:overflowPunct/>
        <w:topLinePunct w:val="0"/>
        <w:bidi w:val="0"/>
        <w:adjustRightInd w:val="0"/>
        <w:snapToGrid w:val="0"/>
        <w:spacing w:line="312" w:lineRule="auto"/>
        <w:ind w:left="0" w:leftChars="0" w:right="0" w:rightChars="0" w:firstLine="210" w:firstLineChars="100"/>
        <w:rPr>
          <w:rFonts w:hint="eastAsia" w:ascii="华文中宋" w:hAnsi="华文中宋" w:eastAsia="华文中宋" w:cs="华文中宋"/>
          <w:szCs w:val="21"/>
        </w:rPr>
      </w:pPr>
      <w:r>
        <w:rPr>
          <w:rFonts w:hint="eastAsia" w:ascii="华文中宋" w:hAnsi="华文中宋" w:eastAsia="华文中宋" w:cs="华文中宋"/>
          <w:b/>
          <w:szCs w:val="21"/>
        </w:rPr>
        <w:t>1、原则</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1.1、“公平、公正、择优、效益”为本次评审的基本原则，磋商小组按照这一原则的要求，公正、平等地对待各磋商供应商。同时，在评审中恪守以下原则：</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1.1.1、统一性原则：磋商小组将按照统一的原则和方法，用统一标准进行评审。</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1.1.2、独立性原则:评审工作在磋商小组内部独立进行，不受外界任何因素的干扰和影响。磋商小组成员对其出具的意见承担个人责任。</w:t>
      </w:r>
      <w:r>
        <w:rPr>
          <w:rFonts w:hint="eastAsia" w:ascii="华文中宋" w:hAnsi="华文中宋" w:eastAsia="华文中宋" w:cs="华文中宋"/>
          <w:kern w:val="0"/>
          <w:szCs w:val="21"/>
        </w:rPr>
        <w:t>磋商供应商试图影响或干预评审的任何行为，将导致其丧失磋商的资格，并承担相应的法律责任。</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1.1.3、客观性原则：磋商小组将严格按照竞争性磋商文件要求，对磋商供应商的磋商响应文件进行认真评审；磋商小组对磋商响应文件的评审仅依据磋商响应文件本身，而不依据磋商响应文件以外的任何因素。</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1.1.5、综合性原则:磋商小组将综合分析磋商供应商的各项指标，而不以单项指标的优劣评定出成交供应商。</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1.2、磋商小组有权对整个</w:t>
      </w:r>
      <w:r>
        <w:rPr>
          <w:rFonts w:hint="eastAsia" w:ascii="华文中宋" w:hAnsi="华文中宋" w:eastAsia="华文中宋" w:cs="华文中宋"/>
          <w:szCs w:val="21"/>
          <w:lang w:val="en-US" w:eastAsia="zh-CN"/>
        </w:rPr>
        <w:t>磋商</w:t>
      </w:r>
      <w:r>
        <w:rPr>
          <w:rFonts w:hint="eastAsia" w:ascii="华文中宋" w:hAnsi="华文中宋" w:eastAsia="华文中宋" w:cs="华文中宋"/>
          <w:szCs w:val="21"/>
        </w:rPr>
        <w:t>和评审过程中出现的所有问题，根据《中华人民共和国政府采购法》《中华人民共和国政府采购法实施条例》（第658号）《政府采购竞争性磋商采购方式管理暂行办法》等相关规定进行处理。</w:t>
      </w:r>
    </w:p>
    <w:p>
      <w:pPr>
        <w:keepNext w:val="0"/>
        <w:keepLines w:val="0"/>
        <w:pageBreakBefore w:val="0"/>
        <w:kinsoku/>
        <w:wordWrap/>
        <w:overflowPunct/>
        <w:topLinePunct w:val="0"/>
        <w:bidi w:val="0"/>
        <w:adjustRightInd w:val="0"/>
        <w:snapToGrid w:val="0"/>
        <w:spacing w:line="312" w:lineRule="auto"/>
        <w:ind w:left="0" w:leftChars="0" w:right="0" w:rightChars="0" w:firstLine="471" w:firstLineChars="224"/>
        <w:rPr>
          <w:rFonts w:hint="eastAsia" w:ascii="华文中宋" w:hAnsi="华文中宋" w:eastAsia="华文中宋" w:cs="华文中宋"/>
          <w:b/>
          <w:szCs w:val="21"/>
        </w:rPr>
      </w:pPr>
      <w:r>
        <w:rPr>
          <w:rFonts w:hint="eastAsia" w:ascii="华文中宋" w:hAnsi="华文中宋" w:eastAsia="华文中宋" w:cs="华文中宋"/>
          <w:b/>
          <w:szCs w:val="21"/>
        </w:rPr>
        <w:t>2、磋商小组职责</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2.1、磋商小组独立履行下列职责：</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2.1.1、审查、评价磋商响应文件是否符合竞争性磋商文件的资格、商务、技术、服务等实质性要求；</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2.1.2、要求磋商供应商对磋商响应文件有关事项作出解释或者澄清；</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2.1.3、与入围的磋商供应商进行技术和商务磋商；</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2.1.4、对磋商响应文件进行比较和评价；</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2.1.5、推荐成交候选磋商供应商名单；</w:t>
      </w:r>
    </w:p>
    <w:p>
      <w:pPr>
        <w:keepNext w:val="0"/>
        <w:keepLines w:val="0"/>
        <w:pageBreakBefore w:val="0"/>
        <w:kinsoku/>
        <w:wordWrap/>
        <w:overflowPunct/>
        <w:topLinePunct w:val="0"/>
        <w:bidi w:val="0"/>
        <w:adjustRightInd w:val="0"/>
        <w:snapToGrid w:val="0"/>
        <w:spacing w:line="312" w:lineRule="auto"/>
        <w:ind w:left="0" w:leftChars="0" w:right="0" w:rightChars="0"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2.1.6、向采购人、采购代理机构或者有关部门报告非法干预评审工作的行为。</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2.2、采购代理机构负责组织评审工作并履行下列职责：</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2.2.1、核对磋商小组成员身份和采购人代表授权函；</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2.2.2、宣布评审纪律；</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2.2.3、公布响应磋商供应商名单，告知磋商小组成员应当回避的情形；</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2.2.4、组织磋商小组成员推选评审小组组长，采购人代表不得担任组长；</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2.2.5、集中保管磋商小组成员及现场工作人员的通讯工具；</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2.2.6、根据磋商小组的要求介绍政府采购相关政策法规、竞争性磋商文件；</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2.2.7、维护评审秩序，监督磋商小组依照竞争性磋商文件规定的采购程序、评审方法和标准进行独立评审，对采购人代表、磋商小组成员的倾向性言论或违法违规行为及时制止和纠正；</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2.2.8、核对评审结果，采用竞争性磋商采购方式采购的政府购买服务项目（含政府和社会资本合作项目），在采购过程中符合要求的供应商（社会资本）只有2家的，竞争性磋商采购活动可以继续进行；采购过程中，提交磋商响应文件或者经评审实质性响应竞争性磋商文件要求的磋商供应商只有1家时，按废标处理，重新开展采购活动。采购人如需申请转为单一来源采购方式的，按单一来源采购程序进行。要求磋商小组复核或书面说明理由，磋商小组拒绝的，应予记录并向采购人本级财政部门报告；</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2.2.9、处理与评审有关的其他事项。</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2.3、采购人可以在评审前介绍项目背景和采购需求，介绍内容不得含有歧视性、倾向性意见，不得超出竞争性磋商文件所述范围。介绍应当提交书面介绍材料，并随采购文件一并存档。</w:t>
      </w:r>
    </w:p>
    <w:p>
      <w:pPr>
        <w:keepNext w:val="0"/>
        <w:keepLines w:val="0"/>
        <w:pageBreakBefore w:val="0"/>
        <w:widowControl/>
        <w:kinsoku/>
        <w:wordWrap/>
        <w:overflowPunct/>
        <w:topLinePunct w:val="0"/>
        <w:autoSpaceDE w:val="0"/>
        <w:autoSpaceDN w:val="0"/>
        <w:bidi w:val="0"/>
        <w:adjustRightInd w:val="0"/>
        <w:snapToGrid w:val="0"/>
        <w:spacing w:line="312" w:lineRule="auto"/>
        <w:ind w:left="0" w:leftChars="0" w:right="0" w:rightChars="0"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2.4、磋商小组及其成员，在评审中不得有下列行为：</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2.4.1、确定参与评审至评审结束前私自接触供应商；</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2.4.2、接受供应商提出的与磋商响应文件不一致的澄清或者说明，本章第4.1条规定的情形除外；</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2.4.3、违反评审纪律发表倾向性意见或者征询采购人的倾向性意见；</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2.4.4、对需要专业判断的主观评审因素协商评分；</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2.4.5、在评审过程中擅离职守，影响评审程序正常进行的；</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2.4.6、记录、复制或者带走任何评审资料；</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2.4.7、其他不遵守评审纪律的行为；</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left="0" w:leftChars="0" w:right="0" w:righ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2.4.8、磋商小组成员有前款第一至五项行为之一的，其评审意见无效，</w:t>
      </w:r>
    </w:p>
    <w:p>
      <w:pPr>
        <w:keepNext w:val="0"/>
        <w:keepLines w:val="0"/>
        <w:pageBreakBefore w:val="0"/>
        <w:kinsoku/>
        <w:wordWrap/>
        <w:overflowPunct/>
        <w:topLinePunct w:val="0"/>
        <w:bidi w:val="0"/>
        <w:adjustRightInd w:val="0"/>
        <w:snapToGrid w:val="0"/>
        <w:spacing w:line="312" w:lineRule="auto"/>
        <w:ind w:left="0" w:leftChars="0" w:right="0" w:rightChars="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二、评审步骤与评审方法</w:t>
      </w:r>
    </w:p>
    <w:p>
      <w:pPr>
        <w:keepNext w:val="0"/>
        <w:keepLines w:val="0"/>
        <w:pageBreakBefore w:val="0"/>
        <w:kinsoku/>
        <w:wordWrap/>
        <w:overflowPunct/>
        <w:topLinePunct w:val="0"/>
        <w:bidi w:val="0"/>
        <w:adjustRightInd w:val="0"/>
        <w:snapToGrid w:val="0"/>
        <w:spacing w:line="312" w:lineRule="auto"/>
        <w:ind w:left="0" w:leftChars="0" w:right="0" w:rightChars="0"/>
        <w:rPr>
          <w:rFonts w:hint="eastAsia" w:ascii="华文中宋" w:hAnsi="华文中宋" w:eastAsia="华文中宋" w:cs="华文中宋"/>
          <w:b/>
          <w:szCs w:val="21"/>
        </w:rPr>
      </w:pPr>
      <w:r>
        <w:rPr>
          <w:rFonts w:hint="eastAsia" w:ascii="华文中宋" w:hAnsi="华文中宋" w:eastAsia="华文中宋" w:cs="华文中宋"/>
          <w:b/>
          <w:szCs w:val="21"/>
        </w:rPr>
        <w:t>3、初步审查</w:t>
      </w:r>
    </w:p>
    <w:p>
      <w:pPr>
        <w:keepNext w:val="0"/>
        <w:keepLines w:val="0"/>
        <w:pageBreakBefore w:val="0"/>
        <w:tabs>
          <w:tab w:val="left" w:pos="0"/>
        </w:tabs>
        <w:kinsoku/>
        <w:wordWrap/>
        <w:overflowPunct/>
        <w:topLinePunct w:val="0"/>
        <w:bidi w:val="0"/>
        <w:adjustRightInd w:val="0"/>
        <w:snapToGrid w:val="0"/>
        <w:spacing w:line="312" w:lineRule="auto"/>
        <w:ind w:left="0" w:leftChars="0" w:right="0" w:rightChars="0"/>
        <w:rPr>
          <w:rFonts w:hint="eastAsia" w:ascii="华文中宋" w:hAnsi="华文中宋" w:eastAsia="华文中宋" w:cs="华文中宋"/>
          <w:kern w:val="0"/>
          <w:szCs w:val="21"/>
        </w:rPr>
      </w:pPr>
      <w:r>
        <w:rPr>
          <w:rFonts w:hint="eastAsia" w:ascii="华文中宋" w:hAnsi="华文中宋" w:eastAsia="华文中宋" w:cs="华文中宋"/>
          <w:szCs w:val="21"/>
        </w:rPr>
        <w:t>3.1、资格性审查。磋商小组将依据竞争性磋商文件的规定对磋商供应商进行资格审查，以确定其是否具备相应资格。</w:t>
      </w:r>
      <w:r>
        <w:rPr>
          <w:rFonts w:hint="eastAsia" w:ascii="华文中宋" w:hAnsi="华文中宋" w:eastAsia="华文中宋" w:cs="华文中宋"/>
          <w:kern w:val="0"/>
          <w:szCs w:val="21"/>
        </w:rPr>
        <w:t>如果磋商供应商不具备资格、不满足竞争性磋商文件所规定的资格标准或提供资格证明文件不全,按无效响应文件处理。 （资格审查标准见供应商须知前附表）</w:t>
      </w:r>
    </w:p>
    <w:p>
      <w:pPr>
        <w:keepNext w:val="0"/>
        <w:keepLines w:val="0"/>
        <w:pageBreakBefore w:val="0"/>
        <w:tabs>
          <w:tab w:val="left" w:pos="0"/>
        </w:tabs>
        <w:kinsoku/>
        <w:wordWrap/>
        <w:overflowPunct/>
        <w:topLinePunct w:val="0"/>
        <w:bidi w:val="0"/>
        <w:adjustRightInd w:val="0"/>
        <w:snapToGrid w:val="0"/>
        <w:spacing w:line="312" w:lineRule="auto"/>
        <w:ind w:right="0" w:rightChars="0"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3.2、符合性审查。磋商小组从磋商响应文件的有效性、完整性和对竞争性磋商文件的响应程度进行符合性审查，以确定其是否对竞争性磋商文件实质性内容作出响应</w:t>
      </w:r>
      <w:r>
        <w:rPr>
          <w:rFonts w:hint="eastAsia" w:ascii="华文中宋" w:hAnsi="华文中宋" w:eastAsia="华文中宋" w:cs="华文中宋"/>
          <w:kern w:val="0"/>
          <w:szCs w:val="21"/>
        </w:rPr>
        <w:t>（采购人可根据具体项目的情况对实质性要求作特别的具体规定）</w:t>
      </w:r>
      <w:r>
        <w:rPr>
          <w:rFonts w:hint="eastAsia" w:ascii="华文中宋" w:hAnsi="华文中宋" w:eastAsia="华文中宋" w:cs="华文中宋"/>
          <w:szCs w:val="21"/>
        </w:rPr>
        <w:t>。符合性审查标准如下：</w:t>
      </w:r>
    </w:p>
    <w:tbl>
      <w:tblPr>
        <w:tblStyle w:val="28"/>
        <w:tblpPr w:leftFromText="180" w:rightFromText="180" w:vertAnchor="text" w:horzAnchor="page" w:tblpX="1022" w:tblpY="120"/>
        <w:tblOverlap w:val="never"/>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45"/>
        <w:gridCol w:w="3045"/>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780"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序号</w:t>
            </w:r>
          </w:p>
        </w:tc>
        <w:tc>
          <w:tcPr>
            <w:tcW w:w="3990" w:type="dxa"/>
            <w:gridSpan w:val="2"/>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评审因素</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780"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1</w:t>
            </w:r>
          </w:p>
        </w:tc>
        <w:tc>
          <w:tcPr>
            <w:tcW w:w="945"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有效性审查</w:t>
            </w: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（1）响应文件的签署盖章</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780"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945"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3045" w:type="dxa"/>
            <w:vAlign w:val="center"/>
          </w:tcPr>
          <w:p>
            <w:pPr>
              <w:pStyle w:val="76"/>
              <w:keepNext w:val="0"/>
              <w:keepLines w:val="0"/>
              <w:pageBreakBefore w:val="0"/>
              <w:kinsoku/>
              <w:wordWrap/>
              <w:overflowPunct/>
              <w:topLinePunct w:val="0"/>
              <w:bidi w:val="0"/>
              <w:snapToGrid w:val="0"/>
              <w:spacing w:line="312" w:lineRule="auto"/>
              <w:ind w:left="630" w:hanging="630" w:hangingChars="300"/>
              <w:rPr>
                <w:rFonts w:hint="eastAsia" w:ascii="华文中宋" w:hAnsi="华文中宋" w:eastAsia="华文中宋" w:cs="华文中宋"/>
              </w:rPr>
            </w:pPr>
            <w:r>
              <w:rPr>
                <w:rFonts w:hint="eastAsia" w:ascii="华文中宋" w:hAnsi="华文中宋" w:eastAsia="华文中宋" w:cs="华文中宋"/>
              </w:rPr>
              <w:t>（2）响应文件语言、计量单位、报价货币</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780"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945"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3</w:t>
            </w:r>
            <w:r>
              <w:rPr>
                <w:rFonts w:hint="eastAsia" w:ascii="华文中宋" w:hAnsi="华文中宋" w:eastAsia="华文中宋" w:cs="华文中宋"/>
              </w:rPr>
              <w:t>）电子文件</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符合磋商文件中的规定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780"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2</w:t>
            </w:r>
          </w:p>
        </w:tc>
        <w:tc>
          <w:tcPr>
            <w:tcW w:w="945"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完整性审查</w:t>
            </w: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4</w:t>
            </w:r>
            <w:r>
              <w:rPr>
                <w:rFonts w:hint="eastAsia" w:ascii="华文中宋" w:hAnsi="华文中宋" w:eastAsia="华文中宋" w:cs="华文中宋"/>
              </w:rPr>
              <w:t>）响应文件份数</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应符合“</w:t>
            </w:r>
            <w:r>
              <w:rPr>
                <w:rFonts w:hint="eastAsia" w:ascii="华文中宋" w:hAnsi="华文中宋" w:eastAsia="华文中宋" w:cs="华文中宋"/>
                <w:lang w:val="en-US" w:eastAsia="zh-CN"/>
              </w:rPr>
              <w:t>供应商</w:t>
            </w:r>
            <w:r>
              <w:rPr>
                <w:rFonts w:hint="eastAsia" w:ascii="华文中宋" w:hAnsi="华文中宋" w:eastAsia="华文中宋" w:cs="华文中宋"/>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780"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945" w:type="dxa"/>
            <w:vMerge w:val="continue"/>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5</w:t>
            </w:r>
            <w:r>
              <w:rPr>
                <w:rFonts w:hint="eastAsia" w:ascii="华文中宋" w:hAnsi="华文中宋" w:eastAsia="华文中宋" w:cs="华文中宋"/>
              </w:rPr>
              <w:t>）响应文件内容</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780"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3</w:t>
            </w:r>
          </w:p>
        </w:tc>
        <w:tc>
          <w:tcPr>
            <w:tcW w:w="945" w:type="dxa"/>
            <w:vMerge w:val="restart"/>
            <w:vAlign w:val="center"/>
          </w:tcPr>
          <w:p>
            <w:pPr>
              <w:pStyle w:val="76"/>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rPr>
            </w:pPr>
            <w:r>
              <w:rPr>
                <w:rFonts w:hint="eastAsia" w:ascii="华文中宋" w:hAnsi="华文中宋" w:eastAsia="华文中宋" w:cs="华文中宋"/>
              </w:rPr>
              <w:t>响应性审查</w:t>
            </w: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6</w:t>
            </w:r>
            <w:r>
              <w:rPr>
                <w:rFonts w:hint="eastAsia" w:ascii="华文中宋" w:hAnsi="华文中宋" w:eastAsia="华文中宋" w:cs="华文中宋"/>
              </w:rPr>
              <w:t>）对磋商文件响应程度</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80" w:type="dxa"/>
            <w:vMerge w:val="continue"/>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p>
        </w:tc>
        <w:tc>
          <w:tcPr>
            <w:tcW w:w="945" w:type="dxa"/>
            <w:vMerge w:val="continue"/>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7</w:t>
            </w:r>
            <w:r>
              <w:rPr>
                <w:rFonts w:hint="eastAsia" w:ascii="华文中宋" w:hAnsi="华文中宋" w:eastAsia="华文中宋" w:cs="华文中宋"/>
              </w:rPr>
              <w:t>）服务期</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应满足磋商文件要求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780" w:type="dxa"/>
            <w:vMerge w:val="continue"/>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p>
        </w:tc>
        <w:tc>
          <w:tcPr>
            <w:tcW w:w="945" w:type="dxa"/>
            <w:vMerge w:val="continue"/>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p>
        </w:tc>
        <w:tc>
          <w:tcPr>
            <w:tcW w:w="304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w:t>
            </w:r>
            <w:r>
              <w:rPr>
                <w:rFonts w:hint="eastAsia" w:ascii="华文中宋" w:hAnsi="华文中宋" w:eastAsia="华文中宋" w:cs="华文中宋"/>
                <w:lang w:val="en-US" w:eastAsia="zh-CN"/>
              </w:rPr>
              <w:t>8</w:t>
            </w:r>
            <w:r>
              <w:rPr>
                <w:rFonts w:hint="eastAsia" w:ascii="华文中宋" w:hAnsi="华文中宋" w:eastAsia="华文中宋" w:cs="华文中宋"/>
              </w:rPr>
              <w:t>）</w:t>
            </w:r>
            <w:r>
              <w:rPr>
                <w:rFonts w:hint="eastAsia" w:ascii="华文中宋" w:hAnsi="华文中宋" w:eastAsia="华文中宋" w:cs="华文中宋"/>
                <w:lang w:val="en-US" w:eastAsia="zh-CN"/>
              </w:rPr>
              <w:t>磋商</w:t>
            </w:r>
            <w:r>
              <w:rPr>
                <w:rFonts w:hint="eastAsia" w:ascii="华文中宋" w:hAnsi="华文中宋" w:eastAsia="华文中宋" w:cs="华文中宋"/>
              </w:rPr>
              <w:t>有效期</w:t>
            </w:r>
          </w:p>
        </w:tc>
        <w:tc>
          <w:tcPr>
            <w:tcW w:w="5355" w:type="dxa"/>
            <w:vAlign w:val="center"/>
          </w:tcPr>
          <w:p>
            <w:pPr>
              <w:pStyle w:val="76"/>
              <w:keepNext w:val="0"/>
              <w:keepLines w:val="0"/>
              <w:pageBreakBefore w:val="0"/>
              <w:kinsoku/>
              <w:wordWrap/>
              <w:overflowPunct/>
              <w:topLinePunct w:val="0"/>
              <w:bidi w:val="0"/>
              <w:snapToGrid w:val="0"/>
              <w:spacing w:line="312" w:lineRule="auto"/>
              <w:rPr>
                <w:rFonts w:hint="eastAsia" w:ascii="华文中宋" w:hAnsi="华文中宋" w:eastAsia="华文中宋" w:cs="华文中宋"/>
              </w:rPr>
            </w:pPr>
            <w:r>
              <w:rPr>
                <w:rFonts w:hint="eastAsia" w:ascii="华文中宋" w:hAnsi="华文中宋" w:eastAsia="华文中宋" w:cs="华文中宋"/>
              </w:rPr>
              <w:t>应满足磋商文件中规定</w:t>
            </w:r>
          </w:p>
        </w:tc>
      </w:tr>
    </w:tbl>
    <w:p>
      <w:pPr>
        <w:keepNext w:val="0"/>
        <w:keepLines w:val="0"/>
        <w:pageBreakBefore w:val="0"/>
        <w:tabs>
          <w:tab w:val="left" w:pos="1080"/>
          <w:tab w:val="left" w:pos="1155"/>
        </w:tabs>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3.3、若前款3.1条或3.2条有1项不合格，评审不予通过，作为未实质性响应竞争性磋商文件，按无效标处理。</w:t>
      </w:r>
    </w:p>
    <w:p>
      <w:pPr>
        <w:keepNext w:val="0"/>
        <w:keepLines w:val="0"/>
        <w:pageBreakBefore w:val="0"/>
        <w:tabs>
          <w:tab w:val="left" w:pos="1080"/>
          <w:tab w:val="left" w:pos="1155"/>
        </w:tabs>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3.4、磋商小组通过上述评审，确定入围磋商供应商名单，只有入围的磋商供应商才能进入后续评审环节。</w:t>
      </w:r>
    </w:p>
    <w:p>
      <w:pPr>
        <w:keepNext w:val="0"/>
        <w:keepLines w:val="0"/>
        <w:pageBreakBefore w:val="0"/>
        <w:kinsoku/>
        <w:wordWrap/>
        <w:overflowPunct/>
        <w:topLinePunct w:val="0"/>
        <w:bidi w:val="0"/>
        <w:adjustRightInd w:val="0"/>
        <w:snapToGrid w:val="0"/>
        <w:spacing w:beforeLines="50" w:afterLines="50" w:line="312" w:lineRule="auto"/>
        <w:rPr>
          <w:rFonts w:hint="eastAsia" w:ascii="华文中宋" w:hAnsi="华文中宋" w:eastAsia="华文中宋" w:cs="华文中宋"/>
          <w:b/>
          <w:szCs w:val="21"/>
        </w:rPr>
      </w:pPr>
      <w:r>
        <w:rPr>
          <w:rFonts w:hint="eastAsia" w:ascii="华文中宋" w:hAnsi="华文中宋" w:eastAsia="华文中宋" w:cs="华文中宋"/>
          <w:b/>
          <w:szCs w:val="21"/>
        </w:rPr>
        <w:t>4、磋商响应文件的澄清</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4.1、磋商小组在对磋商响应文件的有效性、完整性和响应程度进行符合性审查时，可以要求磋商供应商对磋商响应文件中非实质性等有关问题作出必要的澄清、说明或者更正。非实质性偏离是指磋商供应商磋商响应文件在实质上响应竞争性磋商文件的要求，但在个别地方存在一些不规则、不一致、不完整的内容，并且澄清、说明或者补正这些内容不会改变磋商响应文件的实质性内容。以下情况属于非实质性偏离：</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4.1.1、文字表述的内容含义不明确；</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4.1.2、同类问题表述不一致；</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4.1.3、有明显文字和计算错误；</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4.1.4、提供的技术信息和数据资料不完整；</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4.1.5、磋商响应文件未按竞争性磋商文件要求进行编制目录；</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4.1.6、磋商小组认定的其他非实质性偏离。</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4.1.7、磋商响应文件有上述4.1.1-4.1.6情形之一的，磋商小组应当书面要求磋商供应商在规定的时间内予以澄清、说明或补正。磋商供应商有关澄清、说明或者更正不得超出磋商响应文件的范围或者改变磋商响应文件的实质性内容。磋商供应商必须按照磋商小组通知的内容和时间作出书面答复，有关澄清、说明或者更正应以书面形式提交，并由法定代表人或其被授权委托代理人签字；磋商供应商拒不按照要求或不在规定的时间内进行澄清、说明，磋商小组将根据其磋商响应文件按最大风险进行评审。磋商小组不接受磋商供应商主动提出的澄清、说明。</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4.2、有效的书面澄清材料，是磋商供应商磋商响应文件的补充材料，成为磋商供应商磋商响应文件的组成部分。</w:t>
      </w:r>
    </w:p>
    <w:p>
      <w:pPr>
        <w:keepNext w:val="0"/>
        <w:keepLines w:val="0"/>
        <w:pageBreakBefore w:val="0"/>
        <w:kinsoku/>
        <w:wordWrap/>
        <w:overflowPunct/>
        <w:topLinePunct w:val="0"/>
        <w:bidi w:val="0"/>
        <w:adjustRightInd w:val="0"/>
        <w:snapToGrid w:val="0"/>
        <w:spacing w:line="312" w:lineRule="auto"/>
        <w:rPr>
          <w:rFonts w:hint="eastAsia" w:ascii="华文中宋" w:hAnsi="华文中宋" w:eastAsia="华文中宋" w:cs="华文中宋"/>
          <w:b/>
          <w:szCs w:val="21"/>
        </w:rPr>
      </w:pPr>
      <w:r>
        <w:rPr>
          <w:rFonts w:hint="eastAsia" w:ascii="华文中宋" w:hAnsi="华文中宋" w:eastAsia="华文中宋" w:cs="华文中宋"/>
          <w:b/>
          <w:szCs w:val="21"/>
        </w:rPr>
        <w:t>5、磋商</w:t>
      </w:r>
    </w:p>
    <w:p>
      <w:pPr>
        <w:keepNext w:val="0"/>
        <w:keepLines w:val="0"/>
        <w:pageBreakBefore w:val="0"/>
        <w:kinsoku/>
        <w:wordWrap/>
        <w:overflowPunct/>
        <w:topLinePunct w:val="0"/>
        <w:bidi w:val="0"/>
        <w:adjustRightInd w:val="0"/>
        <w:snapToGrid w:val="0"/>
        <w:spacing w:line="312"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5.1、磋商方式：</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0"/>
          <w:szCs w:val="21"/>
        </w:rPr>
      </w:pPr>
      <w:r>
        <w:rPr>
          <w:rFonts w:hint="eastAsia" w:ascii="华文中宋" w:hAnsi="华文中宋" w:eastAsia="华文中宋" w:cs="华文中宋"/>
          <w:kern w:val="0"/>
          <w:szCs w:val="21"/>
        </w:rPr>
        <w:t>5.1.1、对资格性检查和符合性检查合格的供应商，即入围供应商，进入本次磋商程序。</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0"/>
          <w:szCs w:val="21"/>
        </w:rPr>
      </w:pPr>
      <w:r>
        <w:rPr>
          <w:rFonts w:hint="eastAsia" w:ascii="华文中宋" w:hAnsi="华文中宋" w:eastAsia="华文中宋" w:cs="华文中宋"/>
          <w:kern w:val="0"/>
          <w:szCs w:val="21"/>
        </w:rPr>
        <w:t>5.1.2、在磋商期间，供应商法定代表人或其授权委托人参加磋商。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0"/>
          <w:szCs w:val="21"/>
        </w:rPr>
      </w:pPr>
      <w:r>
        <w:rPr>
          <w:rFonts w:hint="eastAsia" w:ascii="华文中宋" w:hAnsi="华文中宋" w:eastAsia="华文中宋" w:cs="华文中宋"/>
          <w:kern w:val="0"/>
          <w:szCs w:val="21"/>
        </w:rPr>
        <w:t>5.1.3、磋商小组通过随机方式确定参加磋商供应商的磋商顺序，所有成员集中与单一供应商按照顺序分别进行磋商，并给予所有参加磋商的供应商平等的磋商机会。在磋商中，磋商的任何一方不得透露与磋商有关的其他供应商的技术资料、价格和其他信息。</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kern w:val="0"/>
          <w:szCs w:val="21"/>
        </w:rPr>
        <w:t>5.1.4、技术磋商。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w:t>
      </w:r>
      <w:r>
        <w:rPr>
          <w:rFonts w:hint="eastAsia" w:ascii="华文中宋" w:hAnsi="华文中宋" w:eastAsia="华文中宋" w:cs="华文中宋"/>
          <w:kern w:val="0"/>
          <w:szCs w:val="21"/>
          <w:highlight w:val="none"/>
        </w:rPr>
        <w:t>新提交的响应文件未通过符合性审查的，不得进入商务磋商，也不得要求提交最后报价。</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0"/>
          <w:szCs w:val="21"/>
          <w:highlight w:val="none"/>
        </w:rPr>
      </w:pPr>
      <w:r>
        <w:rPr>
          <w:rFonts w:hint="eastAsia" w:ascii="华文中宋" w:hAnsi="华文中宋" w:eastAsia="华文中宋" w:cs="华文中宋"/>
          <w:szCs w:val="21"/>
          <w:highlight w:val="none"/>
        </w:rPr>
        <w:t>5.1.5、商务磋商。技术磋商结束后，进行商务磋商</w:t>
      </w:r>
      <w:r>
        <w:rPr>
          <w:rFonts w:hint="eastAsia" w:ascii="华文中宋" w:hAnsi="华文中宋" w:eastAsia="华文中宋" w:cs="华文中宋"/>
          <w:kern w:val="0"/>
          <w:szCs w:val="21"/>
          <w:highlight w:val="none"/>
        </w:rPr>
        <w:t>。磋商文件能够详细列明采购标的的技术、服务要求的，磋商小组应当要求所有实质性响应的供应商在规定时间内提交最后报价，提交最后报价的供应商不得少于3家；磋商文件不能详细列明采购标的的技术、服务要求，需经磋商由供应商提供最终</w:t>
      </w:r>
      <w:r>
        <w:rPr>
          <w:rFonts w:hint="eastAsia" w:ascii="华文中宋" w:hAnsi="华文中宋" w:eastAsia="华文中宋" w:cs="华文中宋"/>
          <w:kern w:val="0"/>
          <w:szCs w:val="21"/>
          <w:highlight w:val="none"/>
          <w:lang w:val="en-US" w:eastAsia="zh-CN"/>
        </w:rPr>
        <w:t>设计</w:t>
      </w:r>
      <w:r>
        <w:rPr>
          <w:rFonts w:hint="eastAsia" w:ascii="华文中宋" w:hAnsi="华文中宋" w:eastAsia="华文中宋" w:cs="华文中宋"/>
          <w:kern w:val="0"/>
          <w:szCs w:val="21"/>
          <w:highlight w:val="none"/>
        </w:rPr>
        <w:t>方案或解决方案的，磋商小组应当按照少数服从多数的原则投票推荐3家以上供应商的设计方案或者解决方案，并要求其在规定时间内提交最后报价。最后报价是供应商响应文件的有效组成部分。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5.1.6、已提交响应文件的供应商，在提交最后报价之前，可以根据磋商情况退出磋商，采购代理机构应当退还其磋商保证金。</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5.2、磋商步骤：</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5.2.1、第一轮磋商。对进入第一轮磋商的供应商再次进行评审、质疑和澄清。在此阶段，磋商小组依据参加磋商的供应商递交的响应文件进行技术和商务磋商，磋商小组可根据实际需要提出方案和技术参数要求，与单一供应商分别进行磋商，并给予所有参加磋商的供应商平等的磋商机会。要求参加磋商的供应商重新承诺技术参数和第二次商务总报价，以满足采购人的最大需求。</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5.2.2、第二轮磋商。对第一轮磋商结果不满意，磋商小组可以再次要求参加磋商的供应商进行第二轮磋商，磋商内容及要求与第一轮磋商相同。</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5.2.3、每轮磋商结束后，磋商小组对磋商情况进行讨论，综合考虑供应商提供的技术参数和性价比，有权对技术参数最差供应商或性价比最低的供应商进行淘汰，并将淘汰理由写入评审报告。</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5.2.4、磋商小组应在最后一轮磋商前告知所有符合磋商的供应商是否是最后一次磋商环节。</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5.2.5、最后一轮结束后，磋商小组将对进入最后一轮的供应商进行综合评分。</w:t>
      </w:r>
    </w:p>
    <w:p>
      <w:pPr>
        <w:keepNext w:val="0"/>
        <w:keepLines w:val="0"/>
        <w:pageBreakBefore w:val="0"/>
        <w:kinsoku/>
        <w:wordWrap/>
        <w:overflowPunct/>
        <w:topLinePunct w:val="0"/>
        <w:bidi w:val="0"/>
        <w:adjustRightInd w:val="0"/>
        <w:snapToGrid w:val="0"/>
        <w:spacing w:beforeLines="50" w:afterLines="50" w:line="312" w:lineRule="auto"/>
        <w:rPr>
          <w:rFonts w:hint="eastAsia" w:ascii="华文中宋" w:hAnsi="华文中宋" w:eastAsia="华文中宋" w:cs="华文中宋"/>
          <w:b/>
          <w:szCs w:val="21"/>
        </w:rPr>
      </w:pPr>
      <w:r>
        <w:rPr>
          <w:rFonts w:hint="eastAsia" w:ascii="华文中宋" w:hAnsi="华文中宋" w:eastAsia="华文中宋" w:cs="华文中宋"/>
          <w:b/>
          <w:szCs w:val="21"/>
        </w:rPr>
        <w:t>6、磋商响应文件详细评审</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6.1、</w:t>
      </w:r>
      <w:r>
        <w:rPr>
          <w:rFonts w:hint="eastAsia" w:ascii="华文中宋" w:hAnsi="华文中宋" w:eastAsia="华文中宋" w:cs="华文中宋"/>
          <w:kern w:val="1"/>
          <w:szCs w:val="21"/>
        </w:rPr>
        <w:t>比较与评价。磋商小组应当按照磋商文件中规定的评审方法和标准，只对资格审查和符合性审查合格的响应文件进行商务和技术评估，综合比较与评价，不合格的不再参与评审。</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6.2、评审因素的设定与供应商所提供货物服务的质量相关，包括报价、技术或者服务水平、履约能力、售后服务等。资格条件不作为评审因素。综合评分法评审标准中的分值设置与评审因素的量化指标相对应。竞争性磋商文件中没有规定的评审标准不得作为评审依据。</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6.3、由磋商小组成员独立地根据各项因素的评分标准，结合各磋商供应商的实际情况，分别就报价以外的各项评审因素对各磋商供应商独立评审赋分。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6.4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6.5、磋商小组成员对需要共同认定的事项存在争议的，应当按照少数服从多数的原则作出结论。持不同意见的磋商小组成员应当在评审报告上签署不同意见及理由，否则视为同意评审报告。</w:t>
      </w:r>
    </w:p>
    <w:p>
      <w:pPr>
        <w:keepNext w:val="0"/>
        <w:keepLines w:val="0"/>
        <w:pageBreakBefore w:val="0"/>
        <w:kinsoku/>
        <w:wordWrap/>
        <w:overflowPunct/>
        <w:topLinePunct w:val="0"/>
        <w:bidi w:val="0"/>
        <w:adjustRightInd w:val="0"/>
        <w:snapToGrid w:val="0"/>
        <w:spacing w:beforeLines="50" w:afterLines="50" w:line="312" w:lineRule="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三、评审细则及标准</w:t>
      </w:r>
    </w:p>
    <w:p>
      <w:pPr>
        <w:keepNext w:val="0"/>
        <w:keepLines w:val="0"/>
        <w:pageBreakBefore w:val="0"/>
        <w:kinsoku/>
        <w:wordWrap/>
        <w:overflowPunct/>
        <w:topLinePunct w:val="0"/>
        <w:bidi w:val="0"/>
        <w:adjustRightInd w:val="0"/>
        <w:snapToGrid w:val="0"/>
        <w:spacing w:line="312" w:lineRule="auto"/>
        <w:rPr>
          <w:rFonts w:hint="eastAsia" w:ascii="华文中宋" w:hAnsi="华文中宋" w:eastAsia="华文中宋" w:cs="华文中宋"/>
          <w:b/>
          <w:kern w:val="1"/>
          <w:szCs w:val="21"/>
        </w:rPr>
      </w:pPr>
      <w:r>
        <w:rPr>
          <w:rFonts w:hint="eastAsia" w:ascii="华文中宋" w:hAnsi="华文中宋" w:eastAsia="华文中宋" w:cs="华文中宋"/>
          <w:b/>
          <w:kern w:val="1"/>
          <w:szCs w:val="21"/>
        </w:rPr>
        <w:t>7、综合评分法</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7.1、本采购项目评审方法采用综合评分法。即磋商响应文件能够最大限度的满足竞争性磋商文件规定的各项综合评分标准，且经评审得分最高的磋商供应商为中标候选人。</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7.2、综合评分法评审标准中的分值设置应当与评审因素的量化指标相对应。竞争性磋商文件中没有规定的评审标准不得作为评审依据。</w:t>
      </w:r>
    </w:p>
    <w:p>
      <w:pPr>
        <w:keepNext w:val="0"/>
        <w:keepLines w:val="0"/>
        <w:pageBreakBefore w:val="0"/>
        <w:widowControl/>
        <w:kinsoku/>
        <w:wordWrap/>
        <w:overflowPunct/>
        <w:topLinePunct w:val="0"/>
        <w:autoSpaceDE w:val="0"/>
        <w:autoSpaceDN w:val="0"/>
        <w:bidi w:val="0"/>
        <w:adjustRightInd w:val="0"/>
        <w:snapToGrid w:val="0"/>
        <w:spacing w:beforeLines="50" w:afterLines="50" w:line="312" w:lineRule="auto"/>
        <w:ind w:right="51"/>
        <w:textAlignment w:val="bottom"/>
        <w:rPr>
          <w:rFonts w:hint="eastAsia" w:ascii="华文中宋" w:hAnsi="华文中宋" w:eastAsia="华文中宋" w:cs="华文中宋"/>
          <w:b/>
          <w:szCs w:val="21"/>
        </w:rPr>
      </w:pPr>
      <w:r>
        <w:rPr>
          <w:rFonts w:hint="eastAsia" w:ascii="华文中宋" w:hAnsi="华文中宋" w:eastAsia="华文中宋" w:cs="华文中宋"/>
          <w:b/>
          <w:szCs w:val="21"/>
        </w:rPr>
        <w:t>8.评审细则及标准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8.1、磋商小组将综合分析磋商供应商的各项评审因素，而不以单项评审因素的优劣评选出成交供应商。对所有磋商供应商的响应评估，都采用相同的程序和标准，严格按照竞争性磋商文件的要求和条件进行。</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8.2、评审因素包括：报价、技术、商务及对竞争性磋商文件的响应程度。</w:t>
      </w:r>
    </w:p>
    <w:p>
      <w:pPr>
        <w:keepNext w:val="0"/>
        <w:keepLines w:val="0"/>
        <w:pageBreakBefore w:val="0"/>
        <w:tabs>
          <w:tab w:val="left" w:pos="1575"/>
        </w:tabs>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b/>
          <w:bCs/>
          <w:kern w:val="1"/>
          <w:szCs w:val="21"/>
        </w:rPr>
      </w:pPr>
      <w:r>
        <w:rPr>
          <w:rFonts w:hint="eastAsia" w:ascii="华文中宋" w:hAnsi="华文中宋" w:eastAsia="华文中宋" w:cs="华文中宋"/>
          <w:b/>
          <w:bCs/>
          <w:kern w:val="1"/>
          <w:szCs w:val="21"/>
        </w:rPr>
        <w:t>8.5、评审要素一览表如下：</w:t>
      </w:r>
    </w:p>
    <w:tbl>
      <w:tblPr>
        <w:tblStyle w:val="28"/>
        <w:tblW w:w="9802" w:type="dxa"/>
        <w:jc w:val="center"/>
        <w:tblInd w:w="-9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290"/>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113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12" w:lineRule="auto"/>
              <w:ind w:left="0" w:right="0" w:firstLine="420" w:firstLineChars="200"/>
              <w:rPr>
                <w:rFonts w:hint="eastAsia" w:ascii="华文中宋" w:hAnsi="华文中宋" w:eastAsia="华文中宋" w:cs="华文中宋"/>
                <w:snapToGrid w:val="0"/>
                <w:color w:val="auto"/>
                <w:kern w:val="0"/>
                <w:szCs w:val="21"/>
                <w:highlight w:val="none"/>
              </w:rPr>
            </w:pPr>
            <w:r>
              <w:rPr>
                <w:rFonts w:hint="eastAsia" w:ascii="华文中宋" w:hAnsi="华文中宋" w:eastAsia="华文中宋" w:cs="华文中宋"/>
                <w:snapToGrid w:val="0"/>
                <w:color w:val="auto"/>
                <w:kern w:val="0"/>
                <w:szCs w:val="21"/>
                <w:highlight w:val="none"/>
              </w:rPr>
              <w:t>磋商</w:t>
            </w:r>
          </w:p>
          <w:p>
            <w:pPr>
              <w:keepNext w:val="0"/>
              <w:keepLines w:val="0"/>
              <w:pageBreakBefore w:val="0"/>
              <w:suppressLineNumbers w:val="0"/>
              <w:kinsoku/>
              <w:wordWrap/>
              <w:overflowPunct/>
              <w:topLinePunct w:val="0"/>
              <w:bidi w:val="0"/>
              <w:adjustRightInd w:val="0"/>
              <w:snapToGrid w:val="0"/>
              <w:spacing w:before="0" w:beforeAutospacing="0" w:after="0" w:afterAutospacing="0" w:line="312" w:lineRule="auto"/>
              <w:ind w:left="0" w:right="0" w:firstLine="420" w:firstLineChars="200"/>
              <w:rPr>
                <w:rFonts w:hint="eastAsia" w:ascii="华文中宋" w:hAnsi="华文中宋" w:eastAsia="华文中宋" w:cs="华文中宋"/>
                <w:snapToGrid w:val="0"/>
                <w:color w:val="auto"/>
                <w:kern w:val="0"/>
                <w:szCs w:val="21"/>
                <w:highlight w:val="none"/>
              </w:rPr>
            </w:pPr>
            <w:r>
              <w:rPr>
                <w:rFonts w:hint="eastAsia" w:ascii="华文中宋" w:hAnsi="华文中宋" w:eastAsia="华文中宋" w:cs="华文中宋"/>
                <w:snapToGrid w:val="0"/>
                <w:color w:val="auto"/>
                <w:kern w:val="0"/>
                <w:szCs w:val="21"/>
                <w:highlight w:val="none"/>
              </w:rPr>
              <w:t>报价</w:t>
            </w:r>
          </w:p>
        </w:tc>
        <w:tc>
          <w:tcPr>
            <w:tcW w:w="129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12" w:lineRule="auto"/>
              <w:ind w:left="0" w:right="0"/>
              <w:jc w:val="center"/>
              <w:rPr>
                <w:rFonts w:hint="eastAsia" w:ascii="华文中宋" w:hAnsi="华文中宋" w:eastAsia="华文中宋" w:cs="华文中宋"/>
                <w:snapToGrid w:val="0"/>
                <w:color w:val="auto"/>
                <w:kern w:val="0"/>
                <w:szCs w:val="21"/>
                <w:highlight w:val="none"/>
              </w:rPr>
            </w:pPr>
            <w:r>
              <w:rPr>
                <w:rFonts w:hint="eastAsia" w:ascii="华文中宋" w:hAnsi="华文中宋" w:eastAsia="华文中宋" w:cs="华文中宋"/>
                <w:snapToGrid w:val="0"/>
                <w:color w:val="auto"/>
                <w:kern w:val="0"/>
                <w:szCs w:val="21"/>
                <w:highlight w:val="none"/>
              </w:rPr>
              <w:t>1</w:t>
            </w:r>
            <w:r>
              <w:rPr>
                <w:rFonts w:hint="eastAsia" w:ascii="华文中宋" w:hAnsi="华文中宋" w:eastAsia="华文中宋" w:cs="华文中宋"/>
                <w:snapToGrid w:val="0"/>
                <w:color w:val="auto"/>
                <w:kern w:val="0"/>
                <w:szCs w:val="21"/>
                <w:highlight w:val="none"/>
                <w:lang w:val="en-US" w:eastAsia="zh-CN"/>
              </w:rPr>
              <w:t>5</w:t>
            </w:r>
            <w:r>
              <w:rPr>
                <w:rFonts w:hint="eastAsia" w:ascii="华文中宋" w:hAnsi="华文中宋" w:eastAsia="华文中宋" w:cs="华文中宋"/>
                <w:snapToGrid w:val="0"/>
                <w:color w:val="auto"/>
                <w:kern w:val="0"/>
                <w:szCs w:val="21"/>
                <w:highlight w:val="none"/>
              </w:rPr>
              <w:t>分</w:t>
            </w:r>
          </w:p>
        </w:tc>
        <w:tc>
          <w:tcPr>
            <w:tcW w:w="7382" w:type="dxa"/>
            <w:vAlign w:val="center"/>
          </w:tcPr>
          <w:p>
            <w:pPr>
              <w:keepNext w:val="0"/>
              <w:keepLines w:val="0"/>
              <w:pageBreakBefore w:val="0"/>
              <w:numPr>
                <w:ilvl w:val="0"/>
                <w:numId w:val="0"/>
              </w:numPr>
              <w:kinsoku/>
              <w:wordWrap/>
              <w:overflowPunct/>
              <w:topLinePunct w:val="0"/>
              <w:bidi w:val="0"/>
              <w:snapToGrid w:val="0"/>
              <w:spacing w:line="312" w:lineRule="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1、以满足本次磋商文件要求的最低报价为评审基准价，其价格为满分；</w:t>
            </w:r>
          </w:p>
          <w:p>
            <w:pPr>
              <w:keepNext w:val="0"/>
              <w:keepLines w:val="0"/>
              <w:pageBreakBefore w:val="0"/>
              <w:numPr>
                <w:ilvl w:val="0"/>
                <w:numId w:val="0"/>
              </w:numPr>
              <w:kinsoku/>
              <w:wordWrap/>
              <w:overflowPunct/>
              <w:topLinePunct w:val="0"/>
              <w:bidi w:val="0"/>
              <w:snapToGrid w:val="0"/>
              <w:spacing w:line="312" w:lineRule="auto"/>
              <w:rPr>
                <w:rFonts w:hint="eastAsia" w:ascii="华文中宋" w:hAnsi="华文中宋" w:eastAsia="华文中宋" w:cs="华文中宋"/>
                <w:snapToGrid w:val="0"/>
                <w:color w:val="auto"/>
                <w:kern w:val="0"/>
                <w:szCs w:val="21"/>
                <w:highlight w:val="none"/>
              </w:rPr>
            </w:pPr>
            <w:r>
              <w:rPr>
                <w:rFonts w:hint="eastAsia" w:ascii="华文中宋" w:hAnsi="华文中宋" w:eastAsia="华文中宋" w:cs="华文中宋"/>
                <w:szCs w:val="21"/>
                <w:highlight w:val="none"/>
                <w:lang w:val="en-US" w:eastAsia="zh-CN"/>
              </w:rPr>
              <w:t>2、投标响应人报价得分=（磋商基准价/最后磋商报价）×15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130" w:type="dxa"/>
            <w:vMerge w:val="restar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12" w:lineRule="auto"/>
              <w:ind w:right="0"/>
              <w:rPr>
                <w:rFonts w:hint="eastAsia" w:ascii="华文中宋" w:hAnsi="华文中宋" w:eastAsia="华文中宋" w:cs="华文中宋"/>
                <w:snapToGrid w:val="0"/>
                <w:color w:val="auto"/>
                <w:kern w:val="0"/>
                <w:szCs w:val="21"/>
                <w:highlight w:val="none"/>
                <w:lang w:val="en-US" w:eastAsia="zh-CN"/>
              </w:rPr>
            </w:pPr>
            <w:r>
              <w:rPr>
                <w:rFonts w:hint="eastAsia" w:ascii="华文中宋" w:hAnsi="华文中宋" w:eastAsia="华文中宋" w:cs="华文中宋"/>
                <w:snapToGrid w:val="0"/>
                <w:color w:val="auto"/>
                <w:kern w:val="0"/>
                <w:szCs w:val="21"/>
                <w:highlight w:val="none"/>
                <w:lang w:val="en-US" w:eastAsia="zh-CN"/>
              </w:rPr>
              <w:t>技术方案</w:t>
            </w:r>
          </w:p>
          <w:p>
            <w:pPr>
              <w:keepNext w:val="0"/>
              <w:keepLines w:val="0"/>
              <w:pageBreakBefore w:val="0"/>
              <w:suppressLineNumbers w:val="0"/>
              <w:kinsoku/>
              <w:wordWrap/>
              <w:overflowPunct/>
              <w:topLinePunct w:val="0"/>
              <w:bidi w:val="0"/>
              <w:adjustRightInd w:val="0"/>
              <w:snapToGrid w:val="0"/>
              <w:spacing w:before="0" w:beforeAutospacing="0" w:after="0" w:afterAutospacing="0" w:line="312" w:lineRule="auto"/>
              <w:ind w:right="0"/>
              <w:rPr>
                <w:rFonts w:hint="eastAsia" w:ascii="华文中宋" w:hAnsi="华文中宋" w:eastAsia="华文中宋" w:cs="华文中宋"/>
                <w:snapToGrid w:val="0"/>
                <w:color w:val="FF0000"/>
                <w:kern w:val="0"/>
                <w:szCs w:val="21"/>
                <w:highlight w:val="none"/>
                <w:lang w:val="en-US" w:eastAsia="zh-CN"/>
              </w:rPr>
            </w:pPr>
            <w:r>
              <w:rPr>
                <w:rFonts w:hint="eastAsia" w:ascii="华文中宋" w:hAnsi="华文中宋" w:eastAsia="华文中宋" w:cs="华文中宋"/>
                <w:snapToGrid w:val="0"/>
                <w:color w:val="auto"/>
                <w:kern w:val="0"/>
                <w:szCs w:val="21"/>
                <w:highlight w:val="none"/>
                <w:lang w:val="en-US" w:eastAsia="zh-CN"/>
              </w:rPr>
              <w:t>（55分）</w:t>
            </w:r>
          </w:p>
        </w:tc>
        <w:tc>
          <w:tcPr>
            <w:tcW w:w="1290" w:type="dxa"/>
            <w:vAlign w:val="center"/>
          </w:tcPr>
          <w:p>
            <w:pPr>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10分</w:t>
            </w:r>
          </w:p>
        </w:tc>
        <w:tc>
          <w:tcPr>
            <w:tcW w:w="7382"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供应商对本项目的实施背景、评估范围、工作目的、目标及内容解读到位、理解全面、深入，根据响应程度计6-10分；对本项目的实施背景、工作目的、目标及内容有一定的理解，根据响应程度计1-5分。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130" w:type="dxa"/>
            <w:vMerge w:val="continue"/>
            <w:vAlign w:val="center"/>
          </w:tcPr>
          <w:p>
            <w:pPr>
              <w:keepNext w:val="0"/>
              <w:keepLines w:val="0"/>
              <w:pageBreakBefore w:val="0"/>
              <w:numPr>
                <w:ilvl w:val="0"/>
                <w:numId w:val="0"/>
              </w:numPr>
              <w:kinsoku/>
              <w:wordWrap/>
              <w:overflowPunct/>
              <w:topLinePunct w:val="0"/>
              <w:bidi w:val="0"/>
              <w:snapToGrid w:val="0"/>
              <w:spacing w:line="312" w:lineRule="auto"/>
              <w:rPr>
                <w:rFonts w:hint="eastAsia" w:ascii="华文中宋" w:hAnsi="华文中宋" w:eastAsia="华文中宋" w:cs="华文中宋"/>
                <w:color w:val="FF0000"/>
                <w:szCs w:val="21"/>
                <w:highlight w:val="none"/>
                <w:lang w:val="en-US" w:eastAsia="zh-CN"/>
              </w:rPr>
            </w:pPr>
          </w:p>
        </w:tc>
        <w:tc>
          <w:tcPr>
            <w:tcW w:w="1290" w:type="dxa"/>
            <w:vAlign w:val="center"/>
          </w:tcPr>
          <w:p>
            <w:pPr>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实施</w:t>
            </w:r>
          </w:p>
          <w:p>
            <w:pPr>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方案</w:t>
            </w:r>
          </w:p>
          <w:p>
            <w:pPr>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15分</w:t>
            </w:r>
          </w:p>
        </w:tc>
        <w:tc>
          <w:tcPr>
            <w:tcW w:w="7382"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 xml:space="preserve">针对采购人提出的服务内容提供具体详细可行的实施方案，方案总体思路清晰，涵盖内容全面，适合项目需求，对现状把握精准，开展项目评估的方法，流程思路可行、合理,根据响应程度计11-15分；实施方案总体思路较清晰，涵盖内容较全面，基本符合项目需求的，根据响应程度计6-10分,实施方案总体思路不清晰，涵盖内容不全面，不符合项目需求的，根据响应程度计1-5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130" w:type="dxa"/>
            <w:vMerge w:val="continue"/>
            <w:vAlign w:val="center"/>
          </w:tcPr>
          <w:p>
            <w:pPr>
              <w:keepNext w:val="0"/>
              <w:keepLines w:val="0"/>
              <w:pageBreakBefore w:val="0"/>
              <w:numPr>
                <w:ilvl w:val="0"/>
                <w:numId w:val="0"/>
              </w:numPr>
              <w:kinsoku/>
              <w:wordWrap/>
              <w:overflowPunct/>
              <w:topLinePunct w:val="0"/>
              <w:bidi w:val="0"/>
              <w:snapToGrid w:val="0"/>
              <w:spacing w:line="312" w:lineRule="auto"/>
              <w:rPr>
                <w:rFonts w:hint="eastAsia" w:ascii="华文中宋" w:hAnsi="华文中宋" w:eastAsia="华文中宋" w:cs="华文中宋"/>
                <w:color w:val="FF0000"/>
                <w:szCs w:val="21"/>
                <w:highlight w:val="none"/>
                <w:lang w:val="en-US" w:eastAsia="zh-CN"/>
              </w:rPr>
            </w:pPr>
          </w:p>
        </w:tc>
        <w:tc>
          <w:tcPr>
            <w:tcW w:w="1290"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质量保证</w:t>
            </w:r>
          </w:p>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措施10分</w:t>
            </w:r>
          </w:p>
        </w:tc>
        <w:tc>
          <w:tcPr>
            <w:tcW w:w="7382"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供应商的质量管理机构健全，措施得当，目标可控，满足评估质量需求，编制合理，根据响应程度进行评审0-10分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130" w:type="dxa"/>
            <w:vMerge w:val="continue"/>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FF0000"/>
                <w:szCs w:val="21"/>
                <w:highlight w:val="none"/>
                <w:lang w:val="en-US" w:eastAsia="zh-CN"/>
              </w:rPr>
            </w:pPr>
          </w:p>
        </w:tc>
        <w:tc>
          <w:tcPr>
            <w:tcW w:w="1290"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进度保证</w:t>
            </w:r>
          </w:p>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措施10分</w:t>
            </w:r>
          </w:p>
        </w:tc>
        <w:tc>
          <w:tcPr>
            <w:tcW w:w="7382"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供应商各项安排合理、规范，措施得当，目标可控，满足进度需求，根据响应程度进行评审0-10分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30" w:type="dxa"/>
            <w:vMerge w:val="continue"/>
            <w:vAlign w:val="center"/>
          </w:tcPr>
          <w:p>
            <w:pPr>
              <w:pStyle w:val="2"/>
              <w:keepNext w:val="0"/>
              <w:keepLines w:val="0"/>
              <w:pageBreakBefore w:val="0"/>
              <w:kinsoku/>
              <w:wordWrap/>
              <w:overflowPunct/>
              <w:topLinePunct w:val="0"/>
              <w:bidi w:val="0"/>
              <w:snapToGrid w:val="0"/>
              <w:spacing w:line="312" w:lineRule="auto"/>
              <w:ind w:left="0" w:leftChars="0" w:firstLine="0" w:firstLineChars="0"/>
              <w:rPr>
                <w:rFonts w:hint="eastAsia" w:ascii="华文中宋" w:hAnsi="华文中宋" w:eastAsia="华文中宋" w:cs="华文中宋"/>
                <w:lang w:val="en-US" w:eastAsia="zh-CN"/>
              </w:rPr>
            </w:pPr>
          </w:p>
        </w:tc>
        <w:tc>
          <w:tcPr>
            <w:tcW w:w="1290"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管理体系、制度10分</w:t>
            </w:r>
          </w:p>
        </w:tc>
        <w:tc>
          <w:tcPr>
            <w:tcW w:w="7382"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针对本项目有完善的管理体系，项目规划合理，制定有效的管理制度、实施流程，配备相应的辅助工具，根据响应程度进行评审0-10分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30" w:type="dxa"/>
            <w:vMerge w:val="restart"/>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商务方案</w:t>
            </w:r>
          </w:p>
          <w:p>
            <w:pPr>
              <w:pStyle w:val="2"/>
              <w:keepNext w:val="0"/>
              <w:keepLines w:val="0"/>
              <w:pageBreakBefore w:val="0"/>
              <w:kinsoku/>
              <w:wordWrap/>
              <w:overflowPunct/>
              <w:topLinePunct w:val="0"/>
              <w:bidi w:val="0"/>
              <w:snapToGrid w:val="0"/>
              <w:spacing w:line="312" w:lineRule="auto"/>
              <w:ind w:left="0" w:leftChars="0" w:firstLine="0" w:firstLineChars="0"/>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（30分）</w:t>
            </w:r>
          </w:p>
        </w:tc>
        <w:tc>
          <w:tcPr>
            <w:tcW w:w="1290"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项目团队</w:t>
            </w:r>
          </w:p>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人员10分</w:t>
            </w:r>
          </w:p>
        </w:tc>
        <w:tc>
          <w:tcPr>
            <w:tcW w:w="7382"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拟配备项目团队人员，专业知识构架全面，岗位职责明确，由磋商小组根据人员构成、数量、专业职称（职务）、从业经历、参与经验等按其响应程度0-10分。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130" w:type="dxa"/>
            <w:vMerge w:val="continue"/>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p>
        </w:tc>
        <w:tc>
          <w:tcPr>
            <w:tcW w:w="1290"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服务保证</w:t>
            </w:r>
          </w:p>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措施12分</w:t>
            </w:r>
          </w:p>
        </w:tc>
        <w:tc>
          <w:tcPr>
            <w:tcW w:w="7382" w:type="dxa"/>
            <w:vAlign w:val="center"/>
          </w:tcPr>
          <w:p>
            <w:pPr>
              <w:keepNext w:val="0"/>
              <w:keepLines w:val="0"/>
              <w:pageBreakBefore w:val="0"/>
              <w:numPr>
                <w:ilvl w:val="0"/>
                <w:numId w:val="4"/>
              </w:numPr>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对于项目实施过程中出现突发状况，有具体可行的应对措施，确保项目顺利实施、保证项目质量并按时提交项目成果，根据其响应程度进行评审0-4分。</w:t>
            </w:r>
          </w:p>
          <w:p>
            <w:pPr>
              <w:keepNext w:val="0"/>
              <w:keepLines w:val="0"/>
              <w:pageBreakBefore w:val="0"/>
              <w:numPr>
                <w:ilvl w:val="0"/>
                <w:numId w:val="4"/>
              </w:numPr>
              <w:kinsoku/>
              <w:wordWrap/>
              <w:overflowPunct/>
              <w:topLinePunct w:val="0"/>
              <w:bidi w:val="0"/>
              <w:snapToGrid w:val="0"/>
              <w:spacing w:line="312" w:lineRule="auto"/>
              <w:ind w:left="0" w:leftChars="0" w:firstLine="0" w:firstLineChars="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有针对本项目保密措施及合理化建议。根据其响应程度进行评审0-4分。</w:t>
            </w:r>
          </w:p>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3、有针对本项目的疫情防控措施根据其响应程度进行评审0-4分。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130" w:type="dxa"/>
            <w:vMerge w:val="continue"/>
            <w:vAlign w:val="center"/>
          </w:tcPr>
          <w:p>
            <w:pPr>
              <w:keepNext w:val="0"/>
              <w:keepLines w:val="0"/>
              <w:pageBreakBefore w:val="0"/>
              <w:kinsoku/>
              <w:wordWrap/>
              <w:overflowPunct/>
              <w:topLinePunct w:val="0"/>
              <w:bidi w:val="0"/>
              <w:snapToGrid w:val="0"/>
              <w:spacing w:line="312" w:lineRule="auto"/>
              <w:jc w:val="center"/>
              <w:rPr>
                <w:rFonts w:hint="eastAsia" w:ascii="华文中宋" w:hAnsi="华文中宋" w:eastAsia="华文中宋" w:cs="华文中宋"/>
                <w:color w:val="auto"/>
                <w:szCs w:val="21"/>
                <w:highlight w:val="none"/>
                <w:lang w:val="en-US" w:eastAsia="zh-CN"/>
              </w:rPr>
            </w:pPr>
          </w:p>
        </w:tc>
        <w:tc>
          <w:tcPr>
            <w:tcW w:w="1290"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业绩8分</w:t>
            </w:r>
          </w:p>
        </w:tc>
        <w:tc>
          <w:tcPr>
            <w:tcW w:w="7382" w:type="dxa"/>
            <w:vAlign w:val="center"/>
          </w:tcPr>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2019年以来完成的类似项目业绩：每有一个类似项目业绩得2分,最高8分。</w:t>
            </w:r>
          </w:p>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注：1.业绩证明材料以中标通知书或合同为准，磋商响应文件中附中标通知书或合同复印件并加盖企业鲜章。</w:t>
            </w:r>
          </w:p>
        </w:tc>
      </w:tr>
    </w:tbl>
    <w:p>
      <w:pPr>
        <w:keepNext w:val="0"/>
        <w:keepLines w:val="0"/>
        <w:pageBreakBefore w:val="0"/>
        <w:kinsoku/>
        <w:wordWrap/>
        <w:overflowPunct/>
        <w:topLinePunct w:val="0"/>
        <w:bidi w:val="0"/>
        <w:snapToGrid w:val="0"/>
        <w:spacing w:line="312" w:lineRule="auto"/>
        <w:rPr>
          <w:rFonts w:hint="eastAsia" w:ascii="华文中宋" w:hAnsi="华文中宋" w:eastAsia="华文中宋" w:cs="华文中宋"/>
          <w:b/>
          <w:szCs w:val="21"/>
        </w:rPr>
      </w:pPr>
      <w:r>
        <w:rPr>
          <w:rFonts w:hint="eastAsia" w:ascii="华文中宋" w:hAnsi="华文中宋" w:eastAsia="华文中宋" w:cs="华文中宋"/>
          <w:szCs w:val="21"/>
          <w:highlight w:val="none"/>
          <w:lang w:val="en-US" w:eastAsia="zh-CN"/>
        </w:rPr>
        <w:t>备注：</w:t>
      </w:r>
    </w:p>
    <w:p>
      <w:pPr>
        <w:keepNext w:val="0"/>
        <w:keepLines w:val="0"/>
        <w:pageBreakBefore w:val="0"/>
        <w:numPr>
          <w:ilvl w:val="0"/>
          <w:numId w:val="5"/>
        </w:numPr>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评审得分相同的，按照最后报价由低到高的顺序推荐。评审得分且最后报价相同的，按照技术指标优劣顺序推荐；</w:t>
      </w:r>
    </w:p>
    <w:p>
      <w:pPr>
        <w:keepNext w:val="0"/>
        <w:keepLines w:val="0"/>
        <w:pageBreakBefore w:val="0"/>
        <w:numPr>
          <w:ilvl w:val="0"/>
          <w:numId w:val="5"/>
        </w:numPr>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各种计算采用插入法，数字均保留两位小数，第三位“四舍五入”；</w:t>
      </w:r>
    </w:p>
    <w:p>
      <w:pPr>
        <w:keepNext w:val="0"/>
        <w:keepLines w:val="0"/>
        <w:pageBreakBefore w:val="0"/>
        <w:numPr>
          <w:ilvl w:val="0"/>
          <w:numId w:val="6"/>
        </w:numPr>
        <w:kinsoku/>
        <w:wordWrap/>
        <w:overflowPunct/>
        <w:topLinePunct w:val="0"/>
        <w:bidi w:val="0"/>
        <w:adjustRightInd w:val="0"/>
        <w:snapToGrid w:val="0"/>
        <w:spacing w:line="312" w:lineRule="auto"/>
        <w:ind w:left="412" w:leftChars="196"/>
        <w:rPr>
          <w:rFonts w:hint="eastAsia" w:ascii="华文中宋" w:hAnsi="华文中宋" w:eastAsia="华文中宋" w:cs="华文中宋"/>
          <w:szCs w:val="21"/>
        </w:rPr>
      </w:pPr>
      <w:r>
        <w:rPr>
          <w:rFonts w:hint="eastAsia" w:ascii="华文中宋" w:hAnsi="华文中宋" w:eastAsia="华文中宋" w:cs="华文中宋"/>
          <w:szCs w:val="21"/>
        </w:rPr>
        <w:t>磋商响应文件对评审标准内某一项无响应的，该项评分按照0分计算；</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rPr>
      </w:pPr>
      <w:r>
        <w:rPr>
          <w:rFonts w:hint="eastAsia" w:ascii="华文中宋" w:hAnsi="华文中宋" w:eastAsia="华文中宋" w:cs="华文中宋"/>
          <w:szCs w:val="21"/>
        </w:rPr>
        <w:t>4）本项目以人民币为计量币种进行评审。</w:t>
      </w:r>
    </w:p>
    <w:p>
      <w:pPr>
        <w:pStyle w:val="61"/>
        <w:keepNext w:val="0"/>
        <w:keepLines w:val="0"/>
        <w:pageBreakBefore w:val="0"/>
        <w:kinsoku/>
        <w:wordWrap/>
        <w:overflowPunct/>
        <w:topLinePunct w:val="0"/>
        <w:bidi w:val="0"/>
        <w:adjustRightInd w:val="0"/>
        <w:snapToGrid w:val="0"/>
        <w:spacing w:line="312" w:lineRule="auto"/>
        <w:rPr>
          <w:rFonts w:hint="eastAsia" w:ascii="华文中宋" w:hAnsi="华文中宋" w:eastAsia="华文中宋" w:cs="华文中宋"/>
          <w:sz w:val="21"/>
          <w:szCs w:val="21"/>
        </w:rPr>
      </w:pPr>
      <w:r>
        <w:rPr>
          <w:rFonts w:hint="eastAsia" w:ascii="华文中宋" w:hAnsi="华文中宋" w:eastAsia="华文中宋" w:cs="华文中宋"/>
          <w:sz w:val="21"/>
          <w:szCs w:val="21"/>
        </w:rPr>
        <w:t>9、无效磋商响应文件</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9.1、在评审过程中，出现下列情形之一的，应作为无效磋商响应文件：</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9.1.1、磋商供应商未经过正常渠道购买竞争性磋商文件的；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9.1.2、磋商供应商名称与登记领取竞争性磋商文件单位的名称不一致的；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9.1.3、未按照竞争性磋商文件规定交纳磋商保证金的；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9.1.4、未按照竞争性磋商文件规定和要求对磋商响应文件进行签署、盖章的；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9.1.5、不具备竞争性磋商文件中规定的资格条件和资格审查要求的；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9.1.6、未按竞争性磋商文件要求提交磋商响应文件；</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9.1.7、未按竞争性磋商文件要求提交原件的；未按要求提交磋商响应文件份数和内容的；电子标书内容与纸质磋商响应文件内容不一致的；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9.1.8、进口货物（产品）未办理正常进口手续的（如有）；</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9.1.9、提供响应内容出现漏项或数量与要求不符的；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9.1.10、响应的有效期、</w:t>
      </w:r>
      <w:r>
        <w:rPr>
          <w:rFonts w:hint="eastAsia" w:ascii="华文中宋" w:hAnsi="华文中宋" w:eastAsia="华文中宋" w:cs="华文中宋"/>
          <w:szCs w:val="21"/>
          <w:lang w:val="en-US" w:eastAsia="zh-CN"/>
        </w:rPr>
        <w:t>服务期</w:t>
      </w:r>
      <w:r>
        <w:rPr>
          <w:rFonts w:hint="eastAsia" w:ascii="华文中宋" w:hAnsi="华文中宋" w:eastAsia="华文中宋" w:cs="华文中宋"/>
          <w:szCs w:val="21"/>
        </w:rPr>
        <w:t>等商务条款不能满足磋商要求的；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9.1.11、磋商供应商的报价超过了采购人的预算价；</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9.1.12、磋商响应文件中附有采购人不能接受的条件；</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9.1.13、未载明或者载明的采购项目履约时间、方式、数量、技术参数、质量标准明及其他政府采购合同实质性内容与竞争性磋商文件要求不一致；</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9.1.14、提供货物（产品）不符合强制执行的国家标准；</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9.1.15、磋商响应文件的关键内容字迹模糊和无法辨认的；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szCs w:val="21"/>
        </w:rPr>
      </w:pPr>
      <w:r>
        <w:rPr>
          <w:rFonts w:hint="eastAsia" w:ascii="华文中宋" w:hAnsi="华文中宋" w:eastAsia="华文中宋" w:cs="华文中宋"/>
          <w:szCs w:val="21"/>
        </w:rPr>
        <w:t>9.1.16、磋商响应文件不符合竞争性磋商文件规定的其他情形的；</w:t>
      </w:r>
    </w:p>
    <w:p>
      <w:pPr>
        <w:keepNext w:val="0"/>
        <w:keepLines w:val="0"/>
        <w:pageBreakBefore w:val="0"/>
        <w:kinsoku/>
        <w:wordWrap/>
        <w:overflowPunct/>
        <w:topLinePunct w:val="0"/>
        <w:bidi w:val="0"/>
        <w:adjustRightInd w:val="0"/>
        <w:snapToGrid w:val="0"/>
        <w:spacing w:line="312" w:lineRule="auto"/>
        <w:ind w:firstLine="411" w:firstLineChars="196"/>
        <w:rPr>
          <w:rFonts w:hint="eastAsia" w:ascii="华文中宋" w:hAnsi="华文中宋" w:eastAsia="华文中宋" w:cs="华文中宋"/>
        </w:rPr>
      </w:pPr>
      <w:r>
        <w:rPr>
          <w:rFonts w:hint="eastAsia" w:ascii="华文中宋" w:hAnsi="华文中宋" w:eastAsia="华文中宋" w:cs="华文中宋"/>
          <w:szCs w:val="21"/>
        </w:rPr>
        <w:t>9.1.17、磋商响应文件不符合法律法规要求的。</w:t>
      </w:r>
    </w:p>
    <w:p>
      <w:pPr>
        <w:keepNext w:val="0"/>
        <w:keepLines w:val="0"/>
        <w:pageBreakBefore w:val="0"/>
        <w:kinsoku/>
        <w:wordWrap/>
        <w:overflowPunct/>
        <w:topLinePunct w:val="0"/>
        <w:bidi w:val="0"/>
        <w:adjustRightInd w:val="0"/>
        <w:snapToGrid w:val="0"/>
        <w:spacing w:line="312" w:lineRule="auto"/>
        <w:rPr>
          <w:rFonts w:hint="eastAsia" w:ascii="华文中宋" w:hAnsi="华文中宋" w:eastAsia="华文中宋" w:cs="华文中宋"/>
          <w:b/>
          <w:szCs w:val="21"/>
        </w:rPr>
      </w:pPr>
      <w:r>
        <w:rPr>
          <w:rFonts w:hint="eastAsia" w:ascii="华文中宋" w:hAnsi="华文中宋" w:eastAsia="华文中宋" w:cs="华文中宋"/>
          <w:b/>
          <w:szCs w:val="21"/>
        </w:rPr>
        <w:t>10、特殊情况的处理</w:t>
      </w:r>
    </w:p>
    <w:p>
      <w:pPr>
        <w:keepNext w:val="0"/>
        <w:keepLines w:val="0"/>
        <w:pageBreakBefore w:val="0"/>
        <w:widowControl/>
        <w:kinsoku/>
        <w:wordWrap/>
        <w:overflowPunct/>
        <w:topLinePunct w:val="0"/>
        <w:autoSpaceDE w:val="0"/>
        <w:autoSpaceDN w:val="0"/>
        <w:bidi w:val="0"/>
        <w:adjustRightInd w:val="0"/>
        <w:snapToGrid w:val="0"/>
        <w:spacing w:line="312" w:lineRule="auto"/>
        <w:ind w:right="53"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10.1、磋商响应文件中如果出现前后不一致的，按照下列规定修正：</w:t>
      </w:r>
    </w:p>
    <w:p>
      <w:pPr>
        <w:keepNext w:val="0"/>
        <w:keepLines w:val="0"/>
        <w:pageBreakBefore w:val="0"/>
        <w:widowControl/>
        <w:kinsoku/>
        <w:wordWrap/>
        <w:overflowPunct/>
        <w:topLinePunct w:val="0"/>
        <w:autoSpaceDE w:val="0"/>
        <w:autoSpaceDN w:val="0"/>
        <w:bidi w:val="0"/>
        <w:adjustRightInd w:val="0"/>
        <w:snapToGrid w:val="0"/>
        <w:spacing w:line="312" w:lineRule="auto"/>
        <w:ind w:right="53"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10.1.1、响应文件中投标报价表内容与响应文件中相应内容不一致的，以投标报价表为准；大写金额和小写金额不一致的，以大写金额为准；单价金额小数点或者百分比有明显错位的，以响应报价表的总价为准，并修改单价；总价金额与按单价汇总金额不一致的，以单价金额计算结果为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10.1.2、磋商响应文件中图表与文字表述不一致的，以文字表述为准；</w:t>
      </w:r>
    </w:p>
    <w:p>
      <w:pPr>
        <w:keepNext w:val="0"/>
        <w:keepLines w:val="0"/>
        <w:pageBreakBefore w:val="0"/>
        <w:widowControl/>
        <w:kinsoku/>
        <w:wordWrap/>
        <w:overflowPunct/>
        <w:topLinePunct w:val="0"/>
        <w:autoSpaceDE w:val="0"/>
        <w:autoSpaceDN w:val="0"/>
        <w:bidi w:val="0"/>
        <w:adjustRightInd w:val="0"/>
        <w:snapToGrid w:val="0"/>
        <w:spacing w:line="312" w:lineRule="auto"/>
        <w:ind w:right="53"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10.1.3、磋商响应文件正本与副本不一致的，以正本为准；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10.1.4、对不同文字文本磋商响应文件的解释发生异议的，以中文文本为准；</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bCs/>
          <w:szCs w:val="21"/>
        </w:rPr>
      </w:pPr>
      <w:r>
        <w:rPr>
          <w:rFonts w:hint="eastAsia" w:ascii="华文中宋" w:hAnsi="华文中宋" w:eastAsia="华文中宋" w:cs="华文中宋"/>
          <w:bCs/>
          <w:szCs w:val="21"/>
        </w:rPr>
        <w:t>10.1.5、同时出现两种以上不一致的，按照前款规定的顺序修正。修正后的报价按照本章第4.1条的规定经供应商确认后产生约束力，供应商不确认的，其磋商无效。</w:t>
      </w:r>
    </w:p>
    <w:p>
      <w:pPr>
        <w:keepNext w:val="0"/>
        <w:keepLines w:val="0"/>
        <w:pageBreakBefore w:val="0"/>
        <w:widowControl/>
        <w:kinsoku/>
        <w:wordWrap/>
        <w:overflowPunct/>
        <w:topLinePunct w:val="0"/>
        <w:autoSpaceDE w:val="0"/>
        <w:autoSpaceDN w:val="0"/>
        <w:bidi w:val="0"/>
        <w:adjustRightInd w:val="0"/>
        <w:snapToGrid w:val="0"/>
        <w:spacing w:line="312" w:lineRule="auto"/>
        <w:ind w:right="53"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10.2、磋商响应文件中，若某项内容为零报价、无报价，经磋商小组评审后，报价得分为零，不参与磋商报价分值的计算。</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10.3、评审过程中，若出现本评审办法以外的特殊情况时，将暂停评审，待磋商小组商榷后，再进行评定。</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10.4、评审结果汇总完成后，除下列情形外，任何人不得修改评审结果：</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10.4.1、分值汇总计算错误的；</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10.4.2、分项评分超出评分标准范围的；</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10.4.3、磋商小组成员对客观评审因素评分不一致的；</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10.4.4、经磋商小组认定评分畸高、畸低的。</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10.5、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供应商对评标报告提出质疑的，采购人或者采购代理机构可以组织原磋商小组进行重新评审，重新评审改变评标结果的，应当书面报告本级财政部门。</w:t>
      </w:r>
    </w:p>
    <w:p>
      <w:pPr>
        <w:pStyle w:val="25"/>
        <w:keepNext w:val="0"/>
        <w:keepLines w:val="0"/>
        <w:pageBreakBefore w:val="0"/>
        <w:shd w:val="clear" w:color="auto" w:fill="FFFFFF"/>
        <w:kinsoku/>
        <w:wordWrap/>
        <w:overflowPunct/>
        <w:topLinePunct w:val="0"/>
        <w:bidi w:val="0"/>
        <w:adjustRightInd w:val="0"/>
        <w:snapToGrid w:val="0"/>
        <w:spacing w:before="0" w:beforeAutospacing="0" w:after="0" w:afterAutospacing="0" w:line="312"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10.6、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keepNext w:val="0"/>
        <w:keepLines w:val="0"/>
        <w:pageBreakBefore w:val="0"/>
        <w:widowControl/>
        <w:kinsoku/>
        <w:wordWrap/>
        <w:overflowPunct/>
        <w:topLinePunct w:val="0"/>
        <w:autoSpaceDE w:val="0"/>
        <w:autoSpaceDN w:val="0"/>
        <w:bidi w:val="0"/>
        <w:adjustRightInd w:val="0"/>
        <w:snapToGrid w:val="0"/>
        <w:spacing w:line="312" w:lineRule="auto"/>
        <w:ind w:right="51" w:firstLine="420" w:firstLineChars="200"/>
        <w:textAlignment w:val="bottom"/>
        <w:rPr>
          <w:rFonts w:hint="eastAsia" w:ascii="华文中宋" w:hAnsi="华文中宋" w:eastAsia="华文中宋" w:cs="华文中宋"/>
          <w:szCs w:val="21"/>
        </w:rPr>
      </w:pPr>
      <w:r>
        <w:rPr>
          <w:rFonts w:hint="eastAsia" w:ascii="华文中宋" w:hAnsi="华文中宋" w:eastAsia="华文中宋" w:cs="华文中宋"/>
          <w:szCs w:val="21"/>
        </w:rPr>
        <w:t>10.7、排名第一的中标候选人，主动放弃成交或因不可抗力不能履行合同、或被查实存在影响成交结果的违法行为等情形，已不再符合成交条件的，采购人可以按照磋商小组提出的中标候选人名单排序依次确定第二中标候选人为成交供应商，也可以根据实际情况需要，依法重新组织采购活动。</w:t>
      </w:r>
    </w:p>
    <w:p>
      <w:pPr>
        <w:keepNext w:val="0"/>
        <w:keepLines w:val="0"/>
        <w:pageBreakBefore w:val="0"/>
        <w:widowControl/>
        <w:kinsoku/>
        <w:wordWrap/>
        <w:overflowPunct/>
        <w:topLinePunct w:val="0"/>
        <w:autoSpaceDE w:val="0"/>
        <w:autoSpaceDN w:val="0"/>
        <w:bidi w:val="0"/>
        <w:adjustRightInd w:val="0"/>
        <w:snapToGrid w:val="0"/>
        <w:spacing w:line="312" w:lineRule="auto"/>
        <w:ind w:right="53"/>
        <w:textAlignment w:val="bottom"/>
        <w:rPr>
          <w:rFonts w:hint="eastAsia" w:ascii="华文中宋" w:hAnsi="华文中宋" w:eastAsia="华文中宋" w:cs="华文中宋"/>
          <w:b/>
          <w:szCs w:val="21"/>
        </w:rPr>
      </w:pPr>
      <w:r>
        <w:rPr>
          <w:rFonts w:hint="eastAsia" w:ascii="华文中宋" w:hAnsi="华文中宋" w:eastAsia="华文中宋" w:cs="华文中宋"/>
          <w:b/>
          <w:szCs w:val="21"/>
        </w:rPr>
        <w:t>11、中标结果</w:t>
      </w:r>
    </w:p>
    <w:p>
      <w:pPr>
        <w:keepNext w:val="0"/>
        <w:keepLines w:val="0"/>
        <w:pageBreakBefore w:val="0"/>
        <w:widowControl/>
        <w:shd w:val="clear" w:color="auto" w:fill="FFFFFF"/>
        <w:kinsoku/>
        <w:wordWrap/>
        <w:overflowPunct/>
        <w:topLinePunct w:val="0"/>
        <w:bidi w:val="0"/>
        <w:adjustRightInd w:val="0"/>
        <w:snapToGrid w:val="0"/>
        <w:spacing w:beforeLines="50" w:line="312" w:lineRule="auto"/>
        <w:ind w:firstLine="411" w:firstLineChars="196"/>
        <w:jc w:val="left"/>
        <w:rPr>
          <w:rFonts w:hint="eastAsia" w:ascii="华文中宋" w:hAnsi="华文中宋" w:eastAsia="华文中宋" w:cs="华文中宋"/>
          <w:szCs w:val="21"/>
        </w:rPr>
      </w:pPr>
      <w:bookmarkStart w:id="30" w:name="_Toc217446063"/>
      <w:bookmarkStart w:id="31" w:name="_Toc183582238"/>
      <w:bookmarkStart w:id="32" w:name="_Toc183682375"/>
      <w:r>
        <w:rPr>
          <w:rFonts w:hint="eastAsia" w:ascii="华文中宋" w:hAnsi="华文中宋" w:eastAsia="华文中宋" w:cs="华文中宋"/>
          <w:szCs w:val="21"/>
        </w:rPr>
        <w:t>11.1、采购人从评审报告中推荐的中标候选磋商供应商中，按照排序由高到低的原则确定成交供应商。</w:t>
      </w:r>
    </w:p>
    <w:p>
      <w:pPr>
        <w:keepNext w:val="0"/>
        <w:keepLines w:val="0"/>
        <w:pageBreakBefore w:val="0"/>
        <w:widowControl/>
        <w:shd w:val="clear" w:color="auto" w:fill="FFFFFF"/>
        <w:kinsoku/>
        <w:wordWrap/>
        <w:overflowPunct/>
        <w:topLinePunct w:val="0"/>
        <w:bidi w:val="0"/>
        <w:adjustRightInd w:val="0"/>
        <w:snapToGrid w:val="0"/>
        <w:spacing w:beforeLines="50" w:line="312" w:lineRule="auto"/>
        <w:ind w:firstLine="411" w:firstLineChars="196"/>
        <w:jc w:val="left"/>
        <w:rPr>
          <w:rFonts w:hint="eastAsia" w:ascii="华文中宋" w:hAnsi="华文中宋" w:eastAsia="华文中宋" w:cs="华文中宋"/>
          <w:szCs w:val="21"/>
        </w:rPr>
      </w:pPr>
      <w:r>
        <w:rPr>
          <w:rFonts w:hint="eastAsia" w:ascii="华文中宋" w:hAnsi="华文中宋" w:eastAsia="华文中宋" w:cs="华文中宋"/>
          <w:szCs w:val="21"/>
        </w:rPr>
        <w:t>11.2、评标结果按评审后得分由高到低顺序排列。得分相同的，按最终报价由低到高顺序排列。得分且最终报价相同的并列。磋商响应文件满足磋商文件全部实质性要求，且按照评审因素的量化指标评审得分最高的供应商为排名第一的中标候选人。</w:t>
      </w:r>
    </w:p>
    <w:p>
      <w:pPr>
        <w:keepNext w:val="0"/>
        <w:keepLines w:val="0"/>
        <w:pageBreakBefore w:val="0"/>
        <w:widowControl/>
        <w:shd w:val="clear" w:color="auto" w:fill="FFFFFF"/>
        <w:kinsoku/>
        <w:wordWrap/>
        <w:overflowPunct/>
        <w:topLinePunct w:val="0"/>
        <w:bidi w:val="0"/>
        <w:adjustRightInd w:val="0"/>
        <w:snapToGrid w:val="0"/>
        <w:spacing w:beforeLines="50" w:line="312" w:lineRule="auto"/>
        <w:jc w:val="left"/>
        <w:rPr>
          <w:rFonts w:hint="eastAsia" w:ascii="华文中宋" w:hAnsi="华文中宋" w:eastAsia="华文中宋" w:cs="华文中宋"/>
          <w:b/>
          <w:szCs w:val="21"/>
        </w:rPr>
      </w:pPr>
      <w:r>
        <w:rPr>
          <w:rFonts w:hint="eastAsia" w:ascii="华文中宋" w:hAnsi="华文中宋" w:eastAsia="华文中宋" w:cs="华文中宋"/>
          <w:b/>
          <w:szCs w:val="21"/>
        </w:rPr>
        <w:t>12、确定中标候选人</w:t>
      </w:r>
    </w:p>
    <w:p>
      <w:pPr>
        <w:keepNext w:val="0"/>
        <w:keepLines w:val="0"/>
        <w:pageBreakBefore w:val="0"/>
        <w:widowControl/>
        <w:shd w:val="clear" w:color="auto" w:fill="FFFFFF"/>
        <w:kinsoku/>
        <w:wordWrap/>
        <w:overflowPunct/>
        <w:topLinePunct w:val="0"/>
        <w:bidi w:val="0"/>
        <w:adjustRightInd w:val="0"/>
        <w:snapToGrid w:val="0"/>
        <w:spacing w:beforeLines="50" w:line="312" w:lineRule="auto"/>
        <w:ind w:firstLine="420" w:firstLineChars="200"/>
        <w:jc w:val="left"/>
        <w:rPr>
          <w:rFonts w:hint="eastAsia" w:ascii="华文中宋" w:hAnsi="华文中宋" w:eastAsia="华文中宋" w:cs="华文中宋"/>
          <w:bCs/>
          <w:kern w:val="1"/>
          <w:szCs w:val="21"/>
        </w:rPr>
      </w:pPr>
      <w:r>
        <w:rPr>
          <w:rFonts w:hint="eastAsia" w:ascii="华文中宋" w:hAnsi="华文中宋" w:eastAsia="华文中宋" w:cs="华文中宋"/>
          <w:bCs/>
          <w:kern w:val="1"/>
          <w:szCs w:val="21"/>
        </w:rPr>
        <w:t>12.1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磋商文件规定的方式确定成交人。采购人在收到评标报告5个工作日内未按评标报告推荐的成交候选人顺序确定中标人，又不能说明合法理由的，视同按评标报告推荐的顺序确定排名第一的成交候选人为成交人。</w:t>
      </w:r>
    </w:p>
    <w:p>
      <w:pPr>
        <w:keepNext w:val="0"/>
        <w:keepLines w:val="0"/>
        <w:pageBreakBefore w:val="0"/>
        <w:tabs>
          <w:tab w:val="left" w:pos="0"/>
        </w:tabs>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12.2、采购人或者采购代理机构应当自成交人确定之日起2个工作日内，在省级以上财政部门指定的媒体（《陕西省政府采购网》）公告成交结果，磋商文件应当随成交结果同时公告。成交结果公告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keepNext w:val="0"/>
        <w:keepLines w:val="0"/>
        <w:pageBreakBefore w:val="0"/>
        <w:tabs>
          <w:tab w:val="left" w:pos="0"/>
        </w:tabs>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kern w:val="1"/>
          <w:szCs w:val="21"/>
        </w:rPr>
      </w:pPr>
      <w:r>
        <w:rPr>
          <w:rFonts w:hint="eastAsia" w:ascii="华文中宋" w:hAnsi="华文中宋" w:eastAsia="华文中宋" w:cs="华文中宋"/>
          <w:kern w:val="1"/>
          <w:szCs w:val="21"/>
        </w:rPr>
        <w:t>12.3、在公告成交结果的同时，采购人或者采购代理机构应当向成交人发出成交通知书。</w:t>
      </w:r>
    </w:p>
    <w:p>
      <w:pPr>
        <w:keepNext w:val="0"/>
        <w:keepLines w:val="0"/>
        <w:pageBreakBefore w:val="0"/>
        <w:kinsoku/>
        <w:wordWrap/>
        <w:overflowPunct/>
        <w:topLinePunct w:val="0"/>
        <w:bidi w:val="0"/>
        <w:adjustRightInd w:val="0"/>
        <w:snapToGrid w:val="0"/>
        <w:spacing w:line="312"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12.4、采购代理机构将评审过程与采购人情况书面报送有关监督机构备案。</w:t>
      </w:r>
    </w:p>
    <w:p>
      <w:pPr>
        <w:keepNext w:val="0"/>
        <w:keepLines w:val="0"/>
        <w:pageBreakBefore w:val="0"/>
        <w:kinsoku/>
        <w:wordWrap/>
        <w:overflowPunct/>
        <w:topLinePunct w:val="0"/>
        <w:bidi w:val="0"/>
        <w:adjustRightInd w:val="0"/>
        <w:snapToGrid w:val="0"/>
        <w:spacing w:line="312" w:lineRule="auto"/>
        <w:rPr>
          <w:rFonts w:hint="eastAsia" w:ascii="华文中宋" w:hAnsi="华文中宋" w:eastAsia="华文中宋" w:cs="华文中宋"/>
          <w:b/>
          <w:szCs w:val="21"/>
        </w:rPr>
      </w:pPr>
      <w:r>
        <w:rPr>
          <w:rFonts w:hint="eastAsia" w:ascii="华文中宋" w:hAnsi="华文中宋" w:eastAsia="华文中宋" w:cs="华文中宋"/>
          <w:b/>
          <w:bCs/>
          <w:szCs w:val="21"/>
        </w:rPr>
        <w:t>13、</w:t>
      </w:r>
      <w:bookmarkEnd w:id="30"/>
      <w:bookmarkEnd w:id="31"/>
      <w:bookmarkEnd w:id="32"/>
      <w:r>
        <w:rPr>
          <w:rFonts w:hint="eastAsia" w:ascii="华文中宋" w:hAnsi="华文中宋" w:eastAsia="华文中宋" w:cs="华文中宋"/>
          <w:b/>
          <w:bCs/>
          <w:szCs w:val="21"/>
        </w:rPr>
        <w:t>成交通知书</w:t>
      </w:r>
    </w:p>
    <w:p>
      <w:pPr>
        <w:keepNext w:val="0"/>
        <w:keepLines w:val="0"/>
        <w:pageBreakBefore w:val="0"/>
        <w:widowControl/>
        <w:shd w:val="clear" w:color="auto" w:fill="FFFFFF"/>
        <w:kinsoku/>
        <w:wordWrap/>
        <w:overflowPunct/>
        <w:topLinePunct w:val="0"/>
        <w:bidi w:val="0"/>
        <w:adjustRightInd w:val="0"/>
        <w:snapToGrid w:val="0"/>
        <w:spacing w:line="312" w:lineRule="auto"/>
        <w:ind w:firstLine="411" w:firstLineChars="196"/>
        <w:jc w:val="left"/>
        <w:rPr>
          <w:rFonts w:hint="eastAsia" w:ascii="华文中宋" w:hAnsi="华文中宋" w:eastAsia="华文中宋" w:cs="华文中宋"/>
          <w:kern w:val="0"/>
          <w:szCs w:val="21"/>
        </w:rPr>
      </w:pPr>
      <w:r>
        <w:rPr>
          <w:rFonts w:hint="eastAsia" w:ascii="华文中宋" w:hAnsi="华文中宋" w:eastAsia="华文中宋" w:cs="华文中宋"/>
          <w:szCs w:val="21"/>
        </w:rPr>
        <w:t>13.1、成交通知书是合同文件的组成部分，对采购人和成交供应商具有同等法律效力。</w:t>
      </w:r>
      <w:r>
        <w:rPr>
          <w:rFonts w:hint="eastAsia" w:ascii="华文中宋" w:hAnsi="华文中宋" w:eastAsia="华文中宋" w:cs="华文中宋"/>
          <w:kern w:val="0"/>
          <w:szCs w:val="21"/>
        </w:rPr>
        <w:t>成交通知书发出后，采购人改变中标结果或者成交供应商放弃成交，应按相关法律、规章、规范性文件的要求承担相应的法律责任。</w:t>
      </w:r>
    </w:p>
    <w:p>
      <w:pPr>
        <w:keepNext w:val="0"/>
        <w:keepLines w:val="0"/>
        <w:pageBreakBefore w:val="0"/>
        <w:tabs>
          <w:tab w:val="left" w:pos="7665"/>
        </w:tabs>
        <w:kinsoku/>
        <w:wordWrap/>
        <w:overflowPunct/>
        <w:topLinePunct w:val="0"/>
        <w:bidi w:val="0"/>
        <w:adjustRightInd w:val="0"/>
        <w:snapToGrid w:val="0"/>
        <w:spacing w:line="312" w:lineRule="auto"/>
        <w:ind w:firstLine="480"/>
        <w:rPr>
          <w:rFonts w:hint="eastAsia" w:ascii="华文中宋" w:hAnsi="华文中宋" w:eastAsia="华文中宋" w:cs="华文中宋"/>
          <w:szCs w:val="21"/>
        </w:rPr>
      </w:pPr>
      <w:r>
        <w:rPr>
          <w:rFonts w:hint="eastAsia" w:ascii="华文中宋" w:hAnsi="华文中宋" w:eastAsia="华文中宋" w:cs="华文中宋"/>
          <w:szCs w:val="21"/>
        </w:rPr>
        <w:t>13.2、成交供应商应当在接到采购代理机构通知之日起5个工作日内，领取《成交通知书》。</w:t>
      </w:r>
    </w:p>
    <w:p>
      <w:pPr>
        <w:keepNext w:val="0"/>
        <w:keepLines w:val="0"/>
        <w:pageBreakBefore w:val="0"/>
        <w:tabs>
          <w:tab w:val="left" w:pos="7665"/>
        </w:tabs>
        <w:kinsoku/>
        <w:wordWrap/>
        <w:overflowPunct/>
        <w:topLinePunct w:val="0"/>
        <w:bidi w:val="0"/>
        <w:adjustRightInd w:val="0"/>
        <w:snapToGrid w:val="0"/>
        <w:spacing w:line="312" w:lineRule="auto"/>
        <w:ind w:firstLine="480"/>
        <w:rPr>
          <w:rFonts w:hint="eastAsia" w:ascii="华文中宋" w:hAnsi="华文中宋" w:eastAsia="华文中宋" w:cs="华文中宋"/>
          <w:szCs w:val="21"/>
        </w:rPr>
      </w:pPr>
      <w:r>
        <w:rPr>
          <w:rFonts w:hint="eastAsia" w:ascii="华文中宋" w:hAnsi="华文中宋" w:eastAsia="华文中宋" w:cs="华文中宋"/>
          <w:szCs w:val="21"/>
        </w:rPr>
        <w:t>13.3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pPr>
        <w:keepNext w:val="0"/>
        <w:keepLines w:val="0"/>
        <w:pageBreakBefore w:val="0"/>
        <w:tabs>
          <w:tab w:val="left" w:pos="7665"/>
        </w:tabs>
        <w:kinsoku/>
        <w:wordWrap/>
        <w:overflowPunct/>
        <w:topLinePunct w:val="0"/>
        <w:bidi w:val="0"/>
        <w:adjustRightInd w:val="0"/>
        <w:snapToGrid w:val="0"/>
        <w:spacing w:line="312" w:lineRule="auto"/>
        <w:ind w:firstLine="482"/>
        <w:rPr>
          <w:rFonts w:hint="eastAsia" w:ascii="华文中宋" w:hAnsi="华文中宋" w:eastAsia="华文中宋" w:cs="华文中宋"/>
          <w:szCs w:val="21"/>
        </w:rPr>
      </w:pPr>
      <w:r>
        <w:rPr>
          <w:rFonts w:hint="eastAsia" w:ascii="华文中宋" w:hAnsi="华文中宋" w:eastAsia="华文中宋" w:cs="华文中宋"/>
          <w:szCs w:val="21"/>
        </w:rPr>
        <w:t>13.4、成交供应商在收到采购代理机构的成交通知书后5日内，应按照磋商供应商须知前列表的规定，向采购人提交履约磋商保证金或履约担保。</w:t>
      </w:r>
    </w:p>
    <w:p>
      <w:pPr>
        <w:keepNext w:val="0"/>
        <w:keepLines w:val="0"/>
        <w:pageBreakBefore w:val="0"/>
        <w:tabs>
          <w:tab w:val="left" w:pos="7665"/>
        </w:tabs>
        <w:kinsoku/>
        <w:wordWrap/>
        <w:overflowPunct/>
        <w:topLinePunct w:val="0"/>
        <w:bidi w:val="0"/>
        <w:adjustRightInd w:val="0"/>
        <w:snapToGrid w:val="0"/>
        <w:spacing w:line="312" w:lineRule="auto"/>
        <w:ind w:firstLine="482"/>
        <w:rPr>
          <w:rFonts w:hint="eastAsia" w:ascii="华文中宋" w:hAnsi="华文中宋" w:eastAsia="华文中宋" w:cs="华文中宋"/>
          <w:spacing w:val="2"/>
          <w:szCs w:val="21"/>
        </w:rPr>
      </w:pPr>
      <w:r>
        <w:rPr>
          <w:rFonts w:hint="eastAsia" w:ascii="华文中宋" w:hAnsi="华文中宋" w:eastAsia="华文中宋" w:cs="华文中宋"/>
          <w:szCs w:val="21"/>
        </w:rPr>
        <w:t>13.5、成交供应商</w:t>
      </w:r>
      <w:r>
        <w:rPr>
          <w:rFonts w:hint="eastAsia" w:ascii="华文中宋" w:hAnsi="华文中宋" w:eastAsia="华文中宋" w:cs="华文中宋"/>
          <w:spacing w:val="4"/>
          <w:szCs w:val="21"/>
        </w:rPr>
        <w:t>没有按照本章第13.4条</w:t>
      </w:r>
      <w:r>
        <w:rPr>
          <w:rFonts w:hint="eastAsia" w:ascii="华文中宋" w:hAnsi="华文中宋" w:eastAsia="华文中宋" w:cs="华文中宋"/>
          <w:kern w:val="0"/>
          <w:szCs w:val="21"/>
          <w:lang w:val="zh-CN"/>
        </w:rPr>
        <w:t>款</w:t>
      </w:r>
      <w:r>
        <w:rPr>
          <w:rFonts w:hint="eastAsia" w:ascii="华文中宋" w:hAnsi="华文中宋" w:eastAsia="华文中宋" w:cs="华文中宋"/>
          <w:spacing w:val="4"/>
          <w:szCs w:val="21"/>
        </w:rPr>
        <w:t>规定</w:t>
      </w:r>
      <w:r>
        <w:rPr>
          <w:rFonts w:hint="eastAsia" w:ascii="华文中宋" w:hAnsi="华文中宋" w:eastAsia="华文中宋" w:cs="华文中宋"/>
          <w:szCs w:val="21"/>
        </w:rPr>
        <w:t>提交履约磋商保证金或履约担保的</w:t>
      </w:r>
      <w:r>
        <w:rPr>
          <w:rFonts w:hint="eastAsia" w:ascii="华文中宋" w:hAnsi="华文中宋" w:eastAsia="华文中宋" w:cs="华文中宋"/>
          <w:spacing w:val="4"/>
          <w:szCs w:val="21"/>
        </w:rPr>
        <w:t>，视为放弃</w:t>
      </w:r>
      <w:r>
        <w:rPr>
          <w:rFonts w:hint="eastAsia" w:ascii="华文中宋" w:hAnsi="华文中宋" w:eastAsia="华文中宋" w:cs="华文中宋"/>
          <w:szCs w:val="21"/>
        </w:rPr>
        <w:t>中标资格</w:t>
      </w:r>
      <w:r>
        <w:rPr>
          <w:rFonts w:hint="eastAsia" w:ascii="华文中宋" w:hAnsi="华文中宋" w:eastAsia="华文中宋" w:cs="华文中宋"/>
          <w:spacing w:val="4"/>
          <w:szCs w:val="21"/>
        </w:rPr>
        <w:t>，</w:t>
      </w:r>
      <w:r>
        <w:rPr>
          <w:rFonts w:hint="eastAsia" w:ascii="华文中宋" w:hAnsi="华文中宋" w:eastAsia="华文中宋" w:cs="华文中宋"/>
          <w:spacing w:val="2"/>
          <w:szCs w:val="21"/>
        </w:rPr>
        <w:t>其磋商保证金不予退还。</w:t>
      </w:r>
    </w:p>
    <w:p>
      <w:pPr>
        <w:pStyle w:val="2"/>
        <w:rPr>
          <w:rFonts w:hint="eastAsia" w:ascii="华文中宋" w:hAnsi="华文中宋" w:eastAsia="华文中宋" w:cs="华文中宋"/>
          <w:spacing w:val="2"/>
          <w:szCs w:val="21"/>
        </w:rPr>
      </w:pPr>
    </w:p>
    <w:p>
      <w:pPr>
        <w:rPr>
          <w:rFonts w:hint="eastAsia" w:ascii="华文中宋" w:hAnsi="华文中宋" w:eastAsia="华文中宋" w:cs="华文中宋"/>
          <w:spacing w:val="2"/>
          <w:szCs w:val="21"/>
        </w:rPr>
      </w:pPr>
    </w:p>
    <w:p>
      <w:pPr>
        <w:pStyle w:val="2"/>
        <w:rPr>
          <w:rFonts w:hint="eastAsia" w:ascii="华文中宋" w:hAnsi="华文中宋" w:eastAsia="华文中宋" w:cs="华文中宋"/>
          <w:spacing w:val="2"/>
          <w:szCs w:val="21"/>
        </w:rPr>
      </w:pPr>
    </w:p>
    <w:p>
      <w:pPr>
        <w:rPr>
          <w:rFonts w:hint="eastAsia" w:ascii="华文中宋" w:hAnsi="华文中宋" w:eastAsia="华文中宋" w:cs="华文中宋"/>
          <w:spacing w:val="2"/>
          <w:szCs w:val="21"/>
        </w:rPr>
      </w:pPr>
    </w:p>
    <w:p>
      <w:pPr>
        <w:pStyle w:val="2"/>
        <w:rPr>
          <w:rFonts w:hint="eastAsia" w:ascii="华文中宋" w:hAnsi="华文中宋" w:eastAsia="华文中宋" w:cs="华文中宋"/>
          <w:spacing w:val="2"/>
          <w:szCs w:val="21"/>
        </w:rPr>
      </w:pPr>
    </w:p>
    <w:p>
      <w:pPr>
        <w:rPr>
          <w:rFonts w:hint="eastAsia" w:ascii="华文中宋" w:hAnsi="华文中宋" w:eastAsia="华文中宋" w:cs="华文中宋"/>
          <w:spacing w:val="2"/>
          <w:szCs w:val="21"/>
        </w:rPr>
      </w:pPr>
    </w:p>
    <w:p>
      <w:pPr>
        <w:pStyle w:val="2"/>
        <w:rPr>
          <w:rFonts w:hint="eastAsia" w:ascii="华文中宋" w:hAnsi="华文中宋" w:eastAsia="华文中宋" w:cs="华文中宋"/>
          <w:spacing w:val="2"/>
          <w:szCs w:val="21"/>
        </w:rPr>
      </w:pPr>
    </w:p>
    <w:p>
      <w:pPr>
        <w:rPr>
          <w:rFonts w:hint="eastAsia"/>
        </w:rPr>
      </w:pPr>
    </w:p>
    <w:p>
      <w:pPr>
        <w:pStyle w:val="2"/>
        <w:rPr>
          <w:rFonts w:hint="eastAsia" w:ascii="华文中宋" w:hAnsi="华文中宋" w:eastAsia="华文中宋" w:cs="华文中宋"/>
          <w:spacing w:val="2"/>
          <w:szCs w:val="21"/>
        </w:rPr>
      </w:pPr>
    </w:p>
    <w:p>
      <w:pPr>
        <w:rPr>
          <w:rFonts w:hint="eastAsia" w:ascii="华文中宋" w:hAnsi="华文中宋" w:eastAsia="华文中宋" w:cs="华文中宋"/>
          <w:spacing w:val="2"/>
          <w:szCs w:val="21"/>
        </w:rPr>
      </w:pPr>
    </w:p>
    <w:p>
      <w:pPr>
        <w:pStyle w:val="2"/>
        <w:rPr>
          <w:rFonts w:hint="eastAsia" w:ascii="华文中宋" w:hAnsi="华文中宋" w:eastAsia="华文中宋" w:cs="华文中宋"/>
          <w:spacing w:val="2"/>
          <w:szCs w:val="21"/>
        </w:rPr>
      </w:pPr>
    </w:p>
    <w:p>
      <w:pPr>
        <w:pStyle w:val="2"/>
        <w:ind w:left="0" w:leftChars="0" w:firstLine="0" w:firstLineChars="0"/>
        <w:rPr>
          <w:rFonts w:hint="eastAsia" w:ascii="华文中宋" w:hAnsi="华文中宋" w:eastAsia="华文中宋" w:cs="华文中宋"/>
        </w:rPr>
      </w:pPr>
    </w:p>
    <w:p>
      <w:pPr>
        <w:rPr>
          <w:rFonts w:hint="eastAsia" w:ascii="华文中宋" w:hAnsi="华文中宋" w:eastAsia="华文中宋" w:cs="华文中宋"/>
          <w:spacing w:val="2"/>
          <w:szCs w:val="21"/>
        </w:rPr>
      </w:pPr>
    </w:p>
    <w:p>
      <w:pPr>
        <w:pStyle w:val="2"/>
        <w:rPr>
          <w:rFonts w:hint="eastAsia" w:ascii="华文中宋" w:hAnsi="华文中宋" w:eastAsia="华文中宋" w:cs="华文中宋"/>
          <w:spacing w:val="2"/>
          <w:szCs w:val="21"/>
        </w:rPr>
      </w:pPr>
    </w:p>
    <w:p>
      <w:pPr>
        <w:rPr>
          <w:rFonts w:hint="eastAsia" w:ascii="华文中宋" w:hAnsi="华文中宋" w:eastAsia="华文中宋" w:cs="华文中宋"/>
          <w:spacing w:val="2"/>
          <w:szCs w:val="21"/>
        </w:rPr>
      </w:pPr>
    </w:p>
    <w:p>
      <w:pPr>
        <w:pStyle w:val="2"/>
        <w:rPr>
          <w:rFonts w:hint="eastAsia" w:ascii="华文中宋" w:hAnsi="华文中宋" w:eastAsia="华文中宋" w:cs="华文中宋"/>
          <w:spacing w:val="2"/>
          <w:szCs w:val="21"/>
        </w:rPr>
      </w:pPr>
    </w:p>
    <w:p>
      <w:pPr>
        <w:rPr>
          <w:rFonts w:hint="eastAsia" w:ascii="华文中宋" w:hAnsi="华文中宋" w:eastAsia="华文中宋" w:cs="华文中宋"/>
          <w:spacing w:val="2"/>
          <w:szCs w:val="21"/>
        </w:rPr>
      </w:pPr>
    </w:p>
    <w:p>
      <w:pPr>
        <w:numPr>
          <w:ilvl w:val="0"/>
          <w:numId w:val="0"/>
        </w:numPr>
        <w:bidi w:val="0"/>
        <w:rPr>
          <w:rFonts w:hint="eastAsia" w:ascii="华文中宋" w:hAnsi="华文中宋" w:eastAsia="华文中宋" w:cs="华文中宋"/>
        </w:rPr>
      </w:pPr>
      <w:bookmarkStart w:id="33" w:name="_Toc1447_WPSOffice_Level1"/>
      <w:bookmarkStart w:id="34" w:name="_Toc22070"/>
      <w:bookmarkStart w:id="35" w:name="_Toc14096"/>
      <w:bookmarkStart w:id="36" w:name="_Toc1222"/>
      <w:bookmarkStart w:id="37" w:name="_Toc794"/>
      <w:bookmarkStart w:id="38" w:name="_Toc27716_WPSOffice_Level1"/>
    </w:p>
    <w:p>
      <w:pPr>
        <w:numPr>
          <w:ilvl w:val="0"/>
          <w:numId w:val="7"/>
        </w:numPr>
        <w:bidi w:val="0"/>
        <w:jc w:val="center"/>
        <w:rPr>
          <w:rFonts w:hint="eastAsia" w:ascii="华文中宋" w:hAnsi="华文中宋" w:eastAsia="华文中宋" w:cs="华文中宋"/>
          <w:sz w:val="40"/>
          <w:szCs w:val="48"/>
        </w:rPr>
      </w:pPr>
      <w:r>
        <w:rPr>
          <w:rFonts w:hint="eastAsia" w:ascii="华文中宋" w:hAnsi="华文中宋" w:eastAsia="华文中宋" w:cs="华文中宋"/>
          <w:sz w:val="40"/>
          <w:szCs w:val="48"/>
        </w:rPr>
        <w:t>采购内容及具体要求</w:t>
      </w:r>
      <w:bookmarkEnd w:id="33"/>
      <w:bookmarkEnd w:id="34"/>
      <w:bookmarkEnd w:id="35"/>
      <w:bookmarkEnd w:id="36"/>
      <w:bookmarkEnd w:id="37"/>
      <w:bookmarkEnd w:id="38"/>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bCs/>
          <w:szCs w:val="21"/>
          <w:highlight w:val="none"/>
          <w:lang w:val="en-US" w:eastAsia="zh-CN"/>
        </w:rPr>
      </w:pPr>
      <w:bookmarkStart w:id="39" w:name="_Toc7648"/>
      <w:bookmarkStart w:id="40" w:name="_Toc8012_WPSOffice_Level1"/>
      <w:bookmarkStart w:id="41" w:name="_Toc4553_WPSOffice_Level1"/>
      <w:bookmarkStart w:id="42" w:name="_Toc16567_WPSOffice_Level1"/>
      <w:bookmarkStart w:id="43" w:name="_Toc14374"/>
      <w:bookmarkStart w:id="44" w:name="_Toc8778"/>
      <w:bookmarkStart w:id="45" w:name="_Toc32362_WPSOffice_Level1"/>
      <w:bookmarkStart w:id="46" w:name="_Toc14631"/>
      <w:bookmarkStart w:id="47" w:name="_Toc29953"/>
      <w:bookmarkStart w:id="48" w:name="_Toc16389_WPSOffice_Level1"/>
      <w:r>
        <w:rPr>
          <w:rFonts w:hint="eastAsia" w:ascii="华文中宋" w:hAnsi="华文中宋" w:eastAsia="华文中宋" w:cs="华文中宋"/>
          <w:b/>
          <w:bCs/>
          <w:szCs w:val="21"/>
          <w:highlight w:val="none"/>
        </w:rPr>
        <w:t>一、</w:t>
      </w:r>
      <w:r>
        <w:rPr>
          <w:rFonts w:hint="eastAsia" w:ascii="华文中宋" w:hAnsi="华文中宋" w:eastAsia="华文中宋" w:cs="华文中宋"/>
          <w:b/>
          <w:bCs/>
          <w:szCs w:val="21"/>
          <w:highlight w:val="none"/>
          <w:lang w:val="en-US" w:eastAsia="zh-CN"/>
        </w:rPr>
        <w:t>采购内容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结合实际情况制定退出补偿办法符合，“陕财办资环〔2021〕25号、汉市自然资发〔2021〕106号、略政发〔2021〕17号”等相关文件的精神及要求。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完成略阳县退出名单的矿业权9宗（其中：采矿权6宗、探矿权3宗）。</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bCs/>
          <w:szCs w:val="21"/>
          <w:highlight w:val="none"/>
        </w:rPr>
      </w:pPr>
      <w:r>
        <w:rPr>
          <w:rFonts w:hint="eastAsia" w:ascii="华文中宋" w:hAnsi="华文中宋" w:eastAsia="华文中宋" w:cs="华文中宋"/>
          <w:szCs w:val="21"/>
          <w:highlight w:val="none"/>
        </w:rPr>
        <w:t>服务范畴包括：矿业权评估、资产评估等具体专业，还包括大量的辅助咨询工作（资料收集分析整理、地质勘查咨询、地质测绘咨询、工程造价咨询、野外调查、调研咨询、参与辅助谈判等）</w:t>
      </w:r>
      <w:r>
        <w:rPr>
          <w:rFonts w:hint="eastAsia" w:ascii="华文中宋" w:hAnsi="华文中宋" w:eastAsia="华文中宋" w:cs="华文中宋"/>
          <w:b/>
          <w:bCs/>
          <w:szCs w:val="21"/>
          <w:highlight w:val="none"/>
        </w:rPr>
        <w:t>。</w:t>
      </w:r>
    </w:p>
    <w:bookmarkEnd w:id="39"/>
    <w:bookmarkEnd w:id="40"/>
    <w:bookmarkEnd w:id="41"/>
    <w:bookmarkEnd w:id="42"/>
    <w:bookmarkEnd w:id="43"/>
    <w:bookmarkEnd w:id="44"/>
    <w:p>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华文中宋" w:hAnsi="华文中宋" w:eastAsia="华文中宋" w:cs="华文中宋"/>
          <w:bCs/>
          <w:color w:val="auto"/>
          <w:sz w:val="22"/>
          <w:szCs w:val="22"/>
          <w:highlight w:val="none"/>
        </w:rPr>
      </w:pPr>
      <w:bookmarkStart w:id="49" w:name="_Toc371"/>
      <w:bookmarkStart w:id="50" w:name="_Toc8504"/>
      <w:bookmarkStart w:id="51" w:name="_Toc12850"/>
      <w:r>
        <w:rPr>
          <w:rFonts w:hint="eastAsia" w:ascii="华文中宋" w:hAnsi="华文中宋" w:eastAsia="华文中宋" w:cs="华文中宋"/>
          <w:b/>
          <w:color w:val="auto"/>
          <w:sz w:val="22"/>
          <w:szCs w:val="22"/>
          <w:highlight w:val="none"/>
          <w:lang w:val="en-US" w:eastAsia="zh-CN"/>
        </w:rPr>
        <w:t>二</w:t>
      </w:r>
      <w:r>
        <w:rPr>
          <w:rFonts w:hint="eastAsia" w:ascii="华文中宋" w:hAnsi="华文中宋" w:eastAsia="华文中宋" w:cs="华文中宋"/>
          <w:b/>
          <w:color w:val="auto"/>
          <w:sz w:val="22"/>
          <w:szCs w:val="22"/>
          <w:highlight w:val="none"/>
        </w:rPr>
        <w:t>、商务要求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rPr>
        <w:t>1、</w:t>
      </w:r>
      <w:r>
        <w:rPr>
          <w:rFonts w:hint="eastAsia" w:ascii="华文中宋" w:hAnsi="华文中宋" w:eastAsia="华文中宋" w:cs="华文中宋"/>
          <w:szCs w:val="21"/>
          <w:highlight w:val="none"/>
          <w:lang w:val="en-US" w:eastAsia="zh-CN"/>
        </w:rPr>
        <w:t>完成时间</w:t>
      </w:r>
      <w:r>
        <w:rPr>
          <w:rFonts w:hint="eastAsia" w:ascii="华文中宋" w:hAnsi="华文中宋" w:eastAsia="华文中宋" w:cs="华文中宋"/>
          <w:szCs w:val="21"/>
          <w:highlight w:val="none"/>
        </w:rPr>
        <w:t>：</w:t>
      </w:r>
      <w:r>
        <w:rPr>
          <w:rFonts w:hint="eastAsia" w:ascii="华文中宋" w:hAnsi="华文中宋" w:eastAsia="华文中宋" w:cs="华文中宋"/>
          <w:szCs w:val="21"/>
          <w:highlight w:val="none"/>
          <w:lang w:val="en-US" w:eastAsia="zh-CN"/>
        </w:rPr>
        <w:t>自合同签订之日起90日历天，提交成果报告；</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质量标准：符合国家标准、行业标准以及有关技术规范要求。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2、付款方式：合同签订时甲乙双方自行约定。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报价要求：供应商所报价格为全部完成本项目服务内容所涉及到的所有人工、设备投入、验收、税费、利润、评审、安全等一切费用。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3、成果文件的交付要求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提交经审核通过的可供采购方使用的评估报告纸质版及电子版（具体份数合同签订时甲乙双方约定），成果文件应包含对评估报告的修改完善记录。</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lang w:val="en-US" w:eastAsia="zh-CN"/>
        </w:rPr>
        <w:t>4</w:t>
      </w:r>
      <w:r>
        <w:rPr>
          <w:rFonts w:hint="eastAsia" w:ascii="华文中宋" w:hAnsi="华文中宋" w:eastAsia="华文中宋" w:cs="华文中宋"/>
          <w:szCs w:val="21"/>
          <w:highlight w:val="none"/>
        </w:rPr>
        <w:t>、违约责任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lang w:val="en-US" w:eastAsia="zh-CN"/>
        </w:rPr>
        <w:t>4</w:t>
      </w:r>
      <w:r>
        <w:rPr>
          <w:rFonts w:hint="eastAsia" w:ascii="华文中宋" w:hAnsi="华文中宋" w:eastAsia="华文中宋" w:cs="华文中宋"/>
          <w:szCs w:val="21"/>
          <w:highlight w:val="none"/>
        </w:rPr>
        <w:t>.1、依据《中华人民共和国民法典》、《中华人民共和国政府采购法》的相关条款和本合同约定的相关条款执行。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val="en-US" w:eastAsia="zh-CN"/>
        </w:rPr>
        <w:t>4</w:t>
      </w:r>
      <w:r>
        <w:rPr>
          <w:rFonts w:hint="eastAsia" w:ascii="华文中宋" w:hAnsi="华文中宋" w:eastAsia="华文中宋" w:cs="华文中宋"/>
          <w:szCs w:val="21"/>
          <w:highlight w:val="none"/>
        </w:rPr>
        <w:t>.2、中标人未按合同要求履行，不符合采购技术要求，中标人必须无条件更换人员或设备，提高技术，完善质量，否则，采购人有权终止合同，并对中标人的违约行为进行追究并依法向中标人进行经济索赔。</w:t>
      </w:r>
    </w:p>
    <w:p>
      <w:pPr>
        <w:widowControl/>
        <w:jc w:val="center"/>
        <w:outlineLvl w:val="0"/>
        <w:rPr>
          <w:rFonts w:hint="eastAsia" w:ascii="华文中宋" w:hAnsi="华文中宋" w:eastAsia="华文中宋" w:cs="华文中宋"/>
          <w:b/>
          <w:kern w:val="0"/>
          <w:sz w:val="44"/>
          <w:szCs w:val="44"/>
          <w:highlight w:val="yellow"/>
        </w:rPr>
      </w:pPr>
    </w:p>
    <w:p>
      <w:pPr>
        <w:widowControl/>
        <w:jc w:val="center"/>
        <w:outlineLvl w:val="0"/>
        <w:rPr>
          <w:rFonts w:hint="eastAsia" w:ascii="华文中宋" w:hAnsi="华文中宋" w:eastAsia="华文中宋" w:cs="华文中宋"/>
          <w:b/>
          <w:kern w:val="0"/>
          <w:sz w:val="44"/>
          <w:szCs w:val="44"/>
        </w:rPr>
      </w:pPr>
    </w:p>
    <w:p>
      <w:pPr>
        <w:widowControl/>
        <w:jc w:val="center"/>
        <w:outlineLvl w:val="0"/>
        <w:rPr>
          <w:rFonts w:hint="eastAsia" w:ascii="华文中宋" w:hAnsi="华文中宋" w:eastAsia="华文中宋" w:cs="华文中宋"/>
          <w:b/>
          <w:kern w:val="0"/>
          <w:sz w:val="44"/>
          <w:szCs w:val="44"/>
        </w:rPr>
      </w:pPr>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color w:val="000000" w:themeColor="text1"/>
          <w:sz w:val="36"/>
          <w:szCs w:val="36"/>
          <w14:textFill>
            <w14:solidFill>
              <w14:schemeClr w14:val="tx1"/>
            </w14:solidFill>
          </w14:textFill>
        </w:rPr>
      </w:pPr>
      <w:r>
        <w:rPr>
          <w:rFonts w:hint="eastAsia" w:ascii="华文中宋" w:hAnsi="华文中宋" w:eastAsia="华文中宋" w:cs="华文中宋"/>
          <w:b/>
          <w:color w:val="000000" w:themeColor="text1"/>
          <w:sz w:val="36"/>
          <w:szCs w:val="36"/>
          <w14:textFill>
            <w14:solidFill>
              <w14:schemeClr w14:val="tx1"/>
            </w14:solidFill>
          </w14:textFill>
        </w:rPr>
        <w:t>第五章 合同条款</w:t>
      </w:r>
      <w:bookmarkEnd w:id="49"/>
    </w:p>
    <w:p>
      <w:pPr>
        <w:keepNext w:val="0"/>
        <w:keepLines w:val="0"/>
        <w:pageBreakBefore w:val="0"/>
        <w:widowControl/>
        <w:kinsoku/>
        <w:wordWrap/>
        <w:overflowPunct/>
        <w:topLinePunct w:val="0"/>
        <w:autoSpaceDE/>
        <w:autoSpaceDN/>
        <w:bidi w:val="0"/>
        <w:snapToGrid w:val="0"/>
        <w:spacing w:line="312" w:lineRule="auto"/>
        <w:jc w:val="center"/>
        <w:textAlignment w:val="auto"/>
        <w:rPr>
          <w:rFonts w:hint="eastAsia" w:ascii="华文中宋" w:hAnsi="华文中宋" w:eastAsia="华文中宋" w:cs="华文中宋"/>
          <w:b/>
          <w:bCs/>
          <w:color w:val="000000" w:themeColor="text1"/>
          <w:sz w:val="28"/>
          <w:szCs w:val="28"/>
          <w:lang w:val="zh-CN"/>
          <w14:textFill>
            <w14:solidFill>
              <w14:schemeClr w14:val="tx1"/>
            </w14:solidFill>
          </w14:textFill>
        </w:rPr>
      </w:pPr>
      <w:r>
        <w:rPr>
          <w:rFonts w:hint="eastAsia" w:ascii="华文中宋" w:hAnsi="华文中宋" w:eastAsia="华文中宋" w:cs="华文中宋"/>
          <w:b/>
          <w:color w:val="000000" w:themeColor="text1"/>
          <w:kern w:val="0"/>
          <w:sz w:val="44"/>
          <w:szCs w:val="44"/>
          <w14:textFill>
            <w14:solidFill>
              <w14:schemeClr w14:val="tx1"/>
            </w14:solidFill>
          </w14:textFill>
        </w:rPr>
        <w:t>（</w:t>
      </w:r>
      <w:r>
        <w:rPr>
          <w:rFonts w:hint="eastAsia" w:ascii="华文中宋" w:hAnsi="华文中宋" w:eastAsia="华文中宋" w:cs="华文中宋"/>
          <w:b/>
          <w:color w:val="000000" w:themeColor="text1"/>
          <w:sz w:val="30"/>
          <w:szCs w:val="30"/>
          <w14:textFill>
            <w14:solidFill>
              <w14:schemeClr w14:val="tx1"/>
            </w14:solidFill>
          </w14:textFill>
        </w:rPr>
        <w:t>示范文本，以实际签订合同为准</w:t>
      </w:r>
      <w:r>
        <w:rPr>
          <w:rFonts w:hint="eastAsia" w:ascii="华文中宋" w:hAnsi="华文中宋" w:eastAsia="华文中宋" w:cs="华文中宋"/>
          <w:b/>
          <w:color w:val="000000" w:themeColor="text1"/>
          <w:kern w:val="0"/>
          <w:sz w:val="44"/>
          <w:szCs w:val="4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12" w:lineRule="auto"/>
        <w:ind w:firstLine="440" w:firstLineChars="200"/>
        <w:textAlignment w:val="auto"/>
        <w:rPr>
          <w:rFonts w:hint="eastAsia" w:ascii="华文中宋" w:hAnsi="华文中宋" w:eastAsia="华文中宋" w:cs="华文中宋"/>
          <w:bCs/>
          <w:color w:val="auto"/>
          <w:sz w:val="22"/>
          <w:szCs w:val="22"/>
          <w:highlight w:val="none"/>
        </w:rPr>
      </w:pPr>
      <w:r>
        <w:rPr>
          <w:rFonts w:hint="eastAsia" w:ascii="华文中宋" w:hAnsi="华文中宋" w:eastAsia="华文中宋" w:cs="华文中宋"/>
          <w:bCs/>
          <w:color w:val="auto"/>
          <w:sz w:val="22"/>
          <w:szCs w:val="22"/>
          <w:highlight w:val="none"/>
        </w:rPr>
        <w:t>（ 注：本合同样本仅供参考，具体条款内容由采购人和</w:t>
      </w:r>
      <w:r>
        <w:rPr>
          <w:rFonts w:hint="eastAsia" w:ascii="华文中宋" w:hAnsi="华文中宋" w:eastAsia="华文中宋" w:cs="华文中宋"/>
          <w:bCs/>
          <w:color w:val="auto"/>
          <w:sz w:val="22"/>
          <w:szCs w:val="22"/>
          <w:highlight w:val="none"/>
          <w:lang w:val="en-US" w:eastAsia="zh-CN"/>
        </w:rPr>
        <w:t>成交</w:t>
      </w:r>
      <w:r>
        <w:rPr>
          <w:rFonts w:hint="eastAsia" w:ascii="华文中宋" w:hAnsi="华文中宋" w:eastAsia="华文中宋" w:cs="华文中宋"/>
          <w:bCs/>
          <w:color w:val="auto"/>
          <w:sz w:val="22"/>
          <w:szCs w:val="22"/>
          <w:highlight w:val="none"/>
        </w:rPr>
        <w:t>单位协商确定，但不得改变磋商文件、</w:t>
      </w:r>
      <w:r>
        <w:rPr>
          <w:rFonts w:hint="eastAsia" w:ascii="华文中宋" w:hAnsi="华文中宋" w:eastAsia="华文中宋" w:cs="华文中宋"/>
          <w:bCs/>
          <w:color w:val="auto"/>
          <w:sz w:val="22"/>
          <w:szCs w:val="22"/>
          <w:highlight w:val="none"/>
          <w:lang w:val="en-US" w:eastAsia="zh-CN"/>
        </w:rPr>
        <w:t>响应</w:t>
      </w:r>
      <w:r>
        <w:rPr>
          <w:rFonts w:hint="eastAsia" w:ascii="华文中宋" w:hAnsi="华文中宋" w:eastAsia="华文中宋" w:cs="华文中宋"/>
          <w:bCs/>
          <w:color w:val="auto"/>
          <w:sz w:val="22"/>
          <w:szCs w:val="22"/>
          <w:highlight w:val="none"/>
        </w:rPr>
        <w:t>文件、</w:t>
      </w:r>
      <w:r>
        <w:rPr>
          <w:rFonts w:hint="eastAsia" w:ascii="华文中宋" w:hAnsi="华文中宋" w:eastAsia="华文中宋" w:cs="华文中宋"/>
          <w:bCs/>
          <w:color w:val="auto"/>
          <w:sz w:val="22"/>
          <w:szCs w:val="22"/>
          <w:highlight w:val="none"/>
          <w:lang w:val="en-US" w:eastAsia="zh-CN"/>
        </w:rPr>
        <w:t>成交</w:t>
      </w:r>
      <w:r>
        <w:rPr>
          <w:rFonts w:hint="eastAsia" w:ascii="华文中宋" w:hAnsi="华文中宋" w:eastAsia="华文中宋" w:cs="华文中宋"/>
          <w:bCs/>
          <w:color w:val="auto"/>
          <w:sz w:val="22"/>
          <w:szCs w:val="22"/>
          <w:highlight w:val="none"/>
        </w:rPr>
        <w:t>通知书等实质性内容。）</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第一条 定义</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除非另有特别解释或说明，在本合同及与本合同相关的，双方另行签署的其他文件（包括但不限于本合同的附件）中，下述词语均依如下定义进行解释：</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1．“合同”指甲乙双方签署的，与本项目相关的协议、附件、附录和其他一切文件，还包括</w:t>
      </w:r>
      <w:r>
        <w:rPr>
          <w:rFonts w:hint="eastAsia" w:ascii="华文中宋" w:hAnsi="华文中宋" w:eastAsia="华文中宋" w:cs="华文中宋"/>
          <w:color w:val="auto"/>
          <w:sz w:val="22"/>
          <w:szCs w:val="22"/>
          <w:highlight w:val="none"/>
          <w:lang w:eastAsia="zh-CN"/>
        </w:rPr>
        <w:t>竞争性磋商</w:t>
      </w:r>
      <w:r>
        <w:rPr>
          <w:rFonts w:hint="eastAsia" w:ascii="华文中宋" w:hAnsi="华文中宋" w:eastAsia="华文中宋" w:cs="华文中宋"/>
          <w:color w:val="auto"/>
          <w:sz w:val="22"/>
          <w:szCs w:val="22"/>
          <w:highlight w:val="none"/>
        </w:rPr>
        <w:t>文件、</w:t>
      </w:r>
      <w:r>
        <w:rPr>
          <w:rFonts w:hint="eastAsia" w:ascii="华文中宋" w:hAnsi="华文中宋" w:eastAsia="华文中宋" w:cs="华文中宋"/>
          <w:color w:val="auto"/>
          <w:sz w:val="22"/>
          <w:szCs w:val="22"/>
          <w:highlight w:val="none"/>
          <w:lang w:eastAsia="zh-CN"/>
        </w:rPr>
        <w:t>磋商响应</w:t>
      </w:r>
      <w:r>
        <w:rPr>
          <w:rFonts w:hint="eastAsia" w:ascii="华文中宋" w:hAnsi="华文中宋" w:eastAsia="华文中宋" w:cs="华文中宋"/>
          <w:color w:val="auto"/>
          <w:sz w:val="22"/>
          <w:szCs w:val="22"/>
          <w:highlight w:val="none"/>
        </w:rPr>
        <w:t>文件中的相关内容及其有效补充文件。</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2．“附件”是指与本合同的订立、履行有关的，经甲乙双方认可的，对本合同约定的内容进行细化、补充、修改、变更的文件、图纸、音像制品等资料。</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3．“第三人”是指本合同双方以外的任何中国境内、外的自然人、法人或其他经济组织。</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4．“法律、法规”是指由中国有关部门制定的法律、行政法规、地方性法规、规章及其他规范性文件以及经全国人民代表大会常务委员会批准的中国缔结、参加的国际条（公）约的有关规定。</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第二条 合同价格、支付和结算方式</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lang w:eastAsia="zh-CN"/>
        </w:rPr>
      </w:pPr>
      <w:r>
        <w:rPr>
          <w:rFonts w:hint="eastAsia" w:ascii="华文中宋" w:hAnsi="华文中宋" w:eastAsia="华文中宋" w:cs="华文中宋"/>
          <w:color w:val="auto"/>
          <w:sz w:val="22"/>
          <w:szCs w:val="22"/>
          <w:highlight w:val="none"/>
        </w:rPr>
        <w:t>1．本项目</w:t>
      </w:r>
      <w:r>
        <w:rPr>
          <w:rFonts w:hint="eastAsia" w:ascii="华文中宋" w:hAnsi="华文中宋" w:eastAsia="华文中宋" w:cs="华文中宋"/>
          <w:color w:val="auto"/>
          <w:sz w:val="22"/>
          <w:szCs w:val="22"/>
          <w:highlight w:val="none"/>
          <w:lang w:eastAsia="zh-CN"/>
        </w:rPr>
        <w:t>合同</w:t>
      </w:r>
      <w:r>
        <w:rPr>
          <w:rFonts w:hint="eastAsia" w:ascii="华文中宋" w:hAnsi="华文中宋" w:eastAsia="华文中宋" w:cs="华文中宋"/>
          <w:color w:val="auto"/>
          <w:sz w:val="22"/>
          <w:szCs w:val="22"/>
          <w:highlight w:val="none"/>
        </w:rPr>
        <w:t>总</w:t>
      </w:r>
      <w:r>
        <w:rPr>
          <w:rFonts w:hint="eastAsia" w:ascii="华文中宋" w:hAnsi="华文中宋" w:eastAsia="华文中宋" w:cs="华文中宋"/>
          <w:color w:val="auto"/>
          <w:sz w:val="22"/>
          <w:szCs w:val="22"/>
          <w:highlight w:val="none"/>
          <w:lang w:eastAsia="zh-CN"/>
        </w:rPr>
        <w:t>价</w:t>
      </w:r>
      <w:r>
        <w:rPr>
          <w:rFonts w:hint="eastAsia" w:ascii="华文中宋" w:hAnsi="华文中宋" w:eastAsia="华文中宋" w:cs="华文中宋"/>
          <w:color w:val="auto"/>
          <w:sz w:val="22"/>
          <w:szCs w:val="22"/>
          <w:highlight w:val="none"/>
        </w:rPr>
        <w:t>大写人民币：</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元整</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元</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lang w:val="en-US" w:eastAsia="zh-CN"/>
        </w:rPr>
        <w:t>。</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2．双方的帐户名称、开户银行及帐号以本合同提供的为准。</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lang w:val="en-US" w:eastAsia="zh-CN"/>
        </w:rPr>
      </w:pPr>
      <w:r>
        <w:rPr>
          <w:rFonts w:hint="eastAsia" w:ascii="华文中宋" w:hAnsi="华文中宋" w:eastAsia="华文中宋" w:cs="华文中宋"/>
          <w:color w:val="auto"/>
          <w:sz w:val="22"/>
          <w:szCs w:val="22"/>
          <w:highlight w:val="none"/>
        </w:rPr>
        <w:t>3．付款方式：</w:t>
      </w:r>
      <w:r>
        <w:rPr>
          <w:rFonts w:hint="eastAsia" w:ascii="华文中宋" w:hAnsi="华文中宋" w:eastAsia="华文中宋" w:cs="华文中宋"/>
          <w:color w:val="auto"/>
          <w:sz w:val="22"/>
          <w:szCs w:val="22"/>
          <w:highlight w:val="none"/>
          <w:lang w:val="en-US" w:eastAsia="zh-CN"/>
        </w:rPr>
        <w:t xml:space="preserve"> </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第三条 项目监管与验收方式</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w:t>
      </w:r>
      <w:r>
        <w:rPr>
          <w:rFonts w:hint="eastAsia" w:ascii="华文中宋" w:hAnsi="华文中宋" w:eastAsia="华文中宋" w:cs="华文中宋"/>
          <w:color w:val="auto"/>
          <w:sz w:val="22"/>
          <w:szCs w:val="22"/>
          <w:highlight w:val="none"/>
          <w:lang w:eastAsia="zh-CN"/>
        </w:rPr>
        <w:t>甲方</w:t>
      </w:r>
      <w:r>
        <w:rPr>
          <w:rFonts w:hint="eastAsia" w:ascii="华文中宋" w:hAnsi="华文中宋" w:eastAsia="华文中宋" w:cs="华文中宋"/>
          <w:color w:val="auto"/>
          <w:sz w:val="22"/>
          <w:szCs w:val="22"/>
          <w:highlight w:val="none"/>
        </w:rPr>
        <w:t>对合同的履行情况进行监督、检查，包括：人员资质、能力、数量，设备性能、数量，服务提供方式、数量、时间、质量、效果等方面。乙方应按照</w:t>
      </w:r>
      <w:r>
        <w:rPr>
          <w:rFonts w:hint="eastAsia" w:ascii="华文中宋" w:hAnsi="华文中宋" w:eastAsia="华文中宋" w:cs="华文中宋"/>
          <w:color w:val="auto"/>
          <w:sz w:val="22"/>
          <w:szCs w:val="22"/>
          <w:highlight w:val="none"/>
          <w:lang w:eastAsia="zh-CN"/>
        </w:rPr>
        <w:t>竞争性磋商</w:t>
      </w:r>
      <w:r>
        <w:rPr>
          <w:rFonts w:hint="eastAsia" w:ascii="华文中宋" w:hAnsi="华文中宋" w:eastAsia="华文中宋" w:cs="华文中宋"/>
          <w:color w:val="auto"/>
          <w:sz w:val="22"/>
          <w:szCs w:val="22"/>
          <w:highlight w:val="none"/>
        </w:rPr>
        <w:t>文件的要求、</w:t>
      </w:r>
      <w:r>
        <w:rPr>
          <w:rFonts w:hint="eastAsia" w:ascii="华文中宋" w:hAnsi="华文中宋" w:eastAsia="华文中宋" w:cs="华文中宋"/>
          <w:color w:val="auto"/>
          <w:sz w:val="22"/>
          <w:szCs w:val="22"/>
          <w:highlight w:val="none"/>
          <w:lang w:eastAsia="zh-CN"/>
        </w:rPr>
        <w:t>磋商响应文件</w:t>
      </w:r>
      <w:r>
        <w:rPr>
          <w:rFonts w:hint="eastAsia" w:ascii="华文中宋" w:hAnsi="华文中宋" w:eastAsia="华文中宋" w:cs="华文中宋"/>
          <w:color w:val="auto"/>
          <w:sz w:val="22"/>
          <w:szCs w:val="22"/>
          <w:highlight w:val="none"/>
        </w:rPr>
        <w:t>文件中《</w:t>
      </w:r>
      <w:r>
        <w:rPr>
          <w:rFonts w:hint="eastAsia" w:ascii="华文中宋" w:hAnsi="华文中宋" w:eastAsia="华文中宋" w:cs="华文中宋"/>
          <w:color w:val="auto"/>
          <w:sz w:val="22"/>
          <w:szCs w:val="22"/>
          <w:highlight w:val="none"/>
          <w:lang w:eastAsia="zh-CN"/>
        </w:rPr>
        <w:t>技术响应方案</w:t>
      </w:r>
      <w:r>
        <w:rPr>
          <w:rFonts w:hint="eastAsia" w:ascii="华文中宋" w:hAnsi="华文中宋" w:eastAsia="华文中宋" w:cs="华文中宋"/>
          <w:color w:val="auto"/>
          <w:sz w:val="22"/>
          <w:szCs w:val="22"/>
          <w:highlight w:val="none"/>
        </w:rPr>
        <w:t>》提供服务，并以</w:t>
      </w:r>
      <w:r>
        <w:rPr>
          <w:rFonts w:hint="eastAsia" w:ascii="华文中宋" w:hAnsi="华文中宋" w:eastAsia="华文中宋" w:cs="华文中宋"/>
          <w:color w:val="auto"/>
          <w:sz w:val="22"/>
          <w:szCs w:val="22"/>
          <w:highlight w:val="none"/>
          <w:lang w:eastAsia="zh-CN"/>
        </w:rPr>
        <w:t>竞争性磋商文件</w:t>
      </w:r>
      <w:r>
        <w:rPr>
          <w:rFonts w:hint="eastAsia" w:ascii="华文中宋" w:hAnsi="华文中宋" w:eastAsia="华文中宋" w:cs="华文中宋"/>
          <w:color w:val="auto"/>
          <w:sz w:val="22"/>
          <w:szCs w:val="22"/>
          <w:highlight w:val="none"/>
        </w:rPr>
        <w:t>中《竞争性磋商内容及</w:t>
      </w:r>
      <w:r>
        <w:rPr>
          <w:rFonts w:hint="eastAsia" w:ascii="华文中宋" w:hAnsi="华文中宋" w:eastAsia="华文中宋" w:cs="华文中宋"/>
          <w:color w:val="auto"/>
          <w:sz w:val="22"/>
          <w:szCs w:val="22"/>
          <w:highlight w:val="none"/>
          <w:lang w:eastAsia="zh-CN"/>
        </w:rPr>
        <w:t>服务</w:t>
      </w:r>
      <w:r>
        <w:rPr>
          <w:rFonts w:hint="eastAsia" w:ascii="华文中宋" w:hAnsi="华文中宋" w:eastAsia="华文中宋" w:cs="华文中宋"/>
          <w:color w:val="auto"/>
          <w:sz w:val="22"/>
          <w:szCs w:val="22"/>
          <w:highlight w:val="none"/>
        </w:rPr>
        <w:t>要求》和合同作为质量</w:t>
      </w:r>
      <w:r>
        <w:rPr>
          <w:rFonts w:hint="eastAsia" w:ascii="华文中宋" w:hAnsi="华文中宋" w:eastAsia="华文中宋" w:cs="华文中宋"/>
          <w:color w:val="auto"/>
          <w:sz w:val="22"/>
          <w:szCs w:val="22"/>
          <w:highlight w:val="none"/>
          <w:lang w:eastAsia="zh-CN"/>
        </w:rPr>
        <w:t>检测</w:t>
      </w:r>
      <w:r>
        <w:rPr>
          <w:rFonts w:hint="eastAsia" w:ascii="华文中宋" w:hAnsi="华文中宋" w:eastAsia="华文中宋" w:cs="华文中宋"/>
          <w:color w:val="auto"/>
          <w:sz w:val="22"/>
          <w:szCs w:val="22"/>
          <w:highlight w:val="none"/>
        </w:rPr>
        <w:t>是否合格的标准，对于</w:t>
      </w:r>
      <w:r>
        <w:rPr>
          <w:rFonts w:hint="eastAsia" w:ascii="华文中宋" w:hAnsi="华文中宋" w:eastAsia="华文中宋" w:cs="华文中宋"/>
          <w:color w:val="auto"/>
          <w:sz w:val="22"/>
          <w:szCs w:val="22"/>
          <w:highlight w:val="none"/>
          <w:lang w:eastAsia="zh-CN"/>
        </w:rPr>
        <w:t>竞争性磋商</w:t>
      </w:r>
      <w:r>
        <w:rPr>
          <w:rFonts w:hint="eastAsia" w:ascii="华文中宋" w:hAnsi="华文中宋" w:eastAsia="华文中宋" w:cs="华文中宋"/>
          <w:color w:val="auto"/>
          <w:sz w:val="22"/>
          <w:szCs w:val="22"/>
          <w:highlight w:val="none"/>
        </w:rPr>
        <w:t>文件及合同要求的解释权归甲方所有。</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3．未经甲方同意，乙方不得将本合同所列项目或部分工作任务转包给第三方。</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乙方应按照合同实施项目计划，并对项目经费实行单独核算、专款专用，保证项目经费的合理使用。项目经费使用必须满足完成本合同约定的任务。乙方有义务按照甲方的管理要求按期提供经费使用情况和有关财务资料，并于项目成果验收时提交项目决算报告。经费使用过程中，乙方应严格遵守财政部、交通运输部及甲方的有关经费管理规定。</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5．乙方按照《合同》及相关补充规定的要求提交全部成果资料，经甲方审查合格，并在甲乙双方完成项目经费最终结算后，合同终止。</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第四条 成果和资料的保密与归属</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乙方在项目实施过程中形成的中间及最终成果归甲方所有，乙方应严格按照有关法律法规加强管理、合法使用，未经甲方同意，乙方不得以任何方式、理由发表或向第三者提供，也不得用于其他目的，不得私自拷贝、备份或转作他用。</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乙方在项目实施过程中形成的中间及最终成果等为保密资料。乙方须严格按照《中华人民共和国保守国家秘密法》、《中华人民共和国保守国家秘密法实施办法》、《计算机信息系统保密管理暂行规定》、《国家秘密载体保密管理的规定》等相关法律法规及管理文件的要求，对保密资料进行有效管理，做好安全保密工作，不得泄密。</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乙方为保密资料的使用者和安全管理者。乙方不得将保密资料用于本项目以外的任务，不得擅自复制、转让或转借；不得以商业目的使用该数据或者开发和生产产品；乙方可根据需要对数据内容进行必要的修改和对数据格式进转换，但未经许可，不得将修改、转换后的数据对外发布和提供；乙方不得将原始数据或衍生成果在计算机互联网上传输、登载；乙方在项目结束之后须将原始数据以及基于原始数据所产生的相关成果销毁，不得留存。任何格式或者任何复制品视同原始数据。</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乙方存放保密资料的设施与条什应符合国家保密、消防及档案管理的有关规定和要求，并建立完善的数据资料保密内部管理制度；经批准复制的载体要进行编号与登记，按同等密级进行管理；涉密计算机系统应按相关规定办理批准使用手续，严防失泄密事件的发生。</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5．乙方有责任和义务进行经常性的保密教育和检查，落实各项保密措施，使所属人员知悉与其工作有关的保密范围和各项保密制度。一旦发生泄密涉密事件，乙方负全部责任。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6．本保密条款具有独立法律效力，不因合同其他条款无效或解除而失效。合同终止后，甲乙双方亦应持续履行本条所述各项保密责任。保密期限自任何一方获知该商业秘密和国家秘密之日起至本条规定的秘密成为公众信息之日止。</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第六条 违约责任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1．因甲方原因造成乙方停工、返工及合同停止，乙方不承担违约责任。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2．乙方未经甲方同意将项目中的部分工作任务分包给第三方，或将项目转包给第三方承担，甲方有权要求乙方予以纠正或解除合同。</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3．乙方向甲方提交的所有资料成果必须保证真实可靠，一经发现存在弄虚作假的行为，甲方有权追索项目款，解除合同，并追究赔偿责任和法律责任。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4</w:t>
      </w:r>
      <w:r>
        <w:rPr>
          <w:rFonts w:hint="eastAsia" w:ascii="华文中宋" w:hAnsi="华文中宋" w:eastAsia="华文中宋" w:cs="华文中宋"/>
          <w:color w:val="auto"/>
          <w:sz w:val="22"/>
          <w:szCs w:val="22"/>
          <w:highlight w:val="none"/>
        </w:rPr>
        <w:t>．若乙方未如期按照合同约定的任何／或全部款项内容之要求提供服务及／或乙方未能履行合同规定的任何其它义务时，甲方有权直接向乙方发出违约通知书，乙方应按照甲方选择的下列一种或多种方式承担赔偿责任及违约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1)在甲方同意延长的期限内提供服务并承担由此给甲方造成的直接损失及甲方因此产生的对第三方的责任。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2)在甲方规定的时间内，用符合合同规定的服务以达到合同规定的要求，乙方应承担由此发生的相关费用并承担由此给甲方造成的直接损失及甲方因此产生的对第三方的责任。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3)根据服务低劣程度、损坏程度以及使甲方所遭受的损失及甲方因此产生的对第三方的责任，经双方商定降低服务或赔偿甲方所遭受的损失及甲方因此产生的对第三方的责任。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4)按合同规定的同种货币将甲方已支付的合同款全部退还给甲方，并承担由此发生的直接损失和相关费用及甲方因此产生的对第三方的责任。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5)甲方有权部分或全部解除合同并要求乙方赔偿由此造成的损失及甲方因此产生的对第三方的责任。此时甲方可采取必要的补救措施，相关费用由乙方承担。</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6)此外，上述情形下甲方为采取必要的补救措施及／或因防止损失扩大而支出的合理费用应由乙方承担。</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5</w:t>
      </w:r>
      <w:r>
        <w:rPr>
          <w:rFonts w:hint="eastAsia" w:ascii="华文中宋" w:hAnsi="华文中宋" w:eastAsia="华文中宋" w:cs="华文中宋"/>
          <w:color w:val="auto"/>
          <w:sz w:val="22"/>
          <w:szCs w:val="22"/>
          <w:highlight w:val="none"/>
        </w:rPr>
        <w:t>．如果乙方在收到甲方的违约通知书后十日内未作答复也没有按照甲方选择的方式承担违约责任，则甲方有权从尚未支付的合同价款中扣回相当于甲方选择的方式计算的索赔金额。如果这些金额不足以补偿，甲方有权向乙方提出不足部分的赔偿要求。甲方逾期付款，乙方有权根据违约期按照同期银行活期利率计算索要违约金。</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6</w:t>
      </w:r>
      <w:r>
        <w:rPr>
          <w:rFonts w:hint="eastAsia" w:ascii="华文中宋" w:hAnsi="华文中宋" w:eastAsia="华文中宋" w:cs="华文中宋"/>
          <w:color w:val="auto"/>
          <w:sz w:val="22"/>
          <w:szCs w:val="22"/>
          <w:highlight w:val="none"/>
        </w:rPr>
        <w:t>．若发生上述情形之外的任何违约时，违约方在接到对方关于违约的通知时，均应当就每一项违约向对方支付相当于合同金额5%的违约金。当违约行为给对方造成损失时，若违约金不足以弥补全部损失，违约方还应当赔偿对方因此所受全部损失。当构成严重违约时，对方可以单方面决定解除或终止合同履行，违约方同时还应当承担违约或赔偿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7</w:t>
      </w:r>
      <w:r>
        <w:rPr>
          <w:rFonts w:hint="eastAsia" w:ascii="华文中宋" w:hAnsi="华文中宋" w:eastAsia="华文中宋" w:cs="华文中宋"/>
          <w:color w:val="auto"/>
          <w:sz w:val="22"/>
          <w:szCs w:val="22"/>
          <w:highlight w:val="none"/>
        </w:rPr>
        <w:t>．如果乙方延期提供服务（包括阶段性时</w:t>
      </w:r>
      <w:r>
        <w:rPr>
          <w:rFonts w:hint="eastAsia" w:ascii="华文中宋" w:hAnsi="华文中宋" w:eastAsia="华文中宋" w:cs="华文中宋"/>
          <w:color w:val="auto"/>
          <w:sz w:val="22"/>
          <w:szCs w:val="22"/>
          <w:highlight w:val="none"/>
          <w:lang w:eastAsia="zh-CN"/>
        </w:rPr>
        <w:t>限</w:t>
      </w:r>
      <w:r>
        <w:rPr>
          <w:rFonts w:hint="eastAsia" w:ascii="华文中宋" w:hAnsi="华文中宋" w:eastAsia="华文中宋" w:cs="华文中宋"/>
          <w:color w:val="auto"/>
          <w:sz w:val="22"/>
          <w:szCs w:val="22"/>
          <w:highlight w:val="none"/>
        </w:rPr>
        <w:t>），应按下列比例向甲方累计支付工期延误罚款：1周之内，每天罚款金额</w:t>
      </w:r>
      <w:r>
        <w:rPr>
          <w:rFonts w:hint="eastAsia" w:ascii="华文中宋" w:hAnsi="华文中宋" w:eastAsia="华文中宋" w:cs="华文中宋"/>
          <w:color w:val="auto"/>
          <w:sz w:val="22"/>
          <w:szCs w:val="22"/>
          <w:highlight w:val="none"/>
          <w:lang w:val="en-US" w:eastAsia="zh-CN"/>
        </w:rPr>
        <w:t>1</w:t>
      </w:r>
      <w:r>
        <w:rPr>
          <w:rFonts w:hint="eastAsia" w:ascii="华文中宋" w:hAnsi="华文中宋" w:eastAsia="华文中宋" w:cs="华文中宋"/>
          <w:color w:val="auto"/>
          <w:sz w:val="22"/>
          <w:szCs w:val="22"/>
          <w:highlight w:val="none"/>
        </w:rPr>
        <w:t>000元，2周至4周，从违约之日起至第4周每天罚款金额</w:t>
      </w:r>
      <w:r>
        <w:rPr>
          <w:rFonts w:hint="eastAsia" w:ascii="华文中宋" w:hAnsi="华文中宋" w:eastAsia="华文中宋" w:cs="华文中宋"/>
          <w:color w:val="auto"/>
          <w:sz w:val="22"/>
          <w:szCs w:val="22"/>
          <w:highlight w:val="none"/>
          <w:lang w:val="en-US" w:eastAsia="zh-CN"/>
        </w:rPr>
        <w:t>2</w:t>
      </w:r>
      <w:r>
        <w:rPr>
          <w:rFonts w:hint="eastAsia" w:ascii="华文中宋" w:hAnsi="华文中宋" w:eastAsia="华文中宋" w:cs="华文中宋"/>
          <w:color w:val="auto"/>
          <w:sz w:val="22"/>
          <w:szCs w:val="22"/>
          <w:highlight w:val="none"/>
        </w:rPr>
        <w:t>000元。累计罚款超过合同金额10%或延期服务超过4周，甲方有权终止合同，并有权要求乙方承担甲方因此所受的全部损失。</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8</w:t>
      </w:r>
      <w:r>
        <w:rPr>
          <w:rFonts w:hint="eastAsia" w:ascii="华文中宋" w:hAnsi="华文中宋" w:eastAsia="华文中宋" w:cs="华文中宋"/>
          <w:color w:val="auto"/>
          <w:sz w:val="22"/>
          <w:szCs w:val="22"/>
          <w:highlight w:val="none"/>
        </w:rPr>
        <w:t>．在本项目过程中，如果甲方要求，乙方应立即从现场撤出甲方认为不能恰当地履行其职责或有不当行为的人员，且应尽快替换以称职的人员。</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9</w:t>
      </w:r>
      <w:r>
        <w:rPr>
          <w:rFonts w:hint="eastAsia" w:ascii="华文中宋" w:hAnsi="华文中宋" w:eastAsia="华文中宋" w:cs="华文中宋"/>
          <w:color w:val="auto"/>
          <w:sz w:val="22"/>
          <w:szCs w:val="22"/>
          <w:highlight w:val="none"/>
        </w:rPr>
        <w:t>.以上各项交付的违约金并不影响违约方履行合同的各项义务。</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w:t>
      </w:r>
      <w:r>
        <w:rPr>
          <w:rFonts w:hint="eastAsia" w:ascii="华文中宋" w:hAnsi="华文中宋" w:eastAsia="华文中宋" w:cs="华文中宋"/>
          <w:color w:val="auto"/>
          <w:sz w:val="22"/>
          <w:szCs w:val="22"/>
          <w:highlight w:val="none"/>
          <w:lang w:val="en-US" w:eastAsia="zh-CN"/>
        </w:rPr>
        <w:t>0</w:t>
      </w:r>
      <w:r>
        <w:rPr>
          <w:rFonts w:hint="eastAsia" w:ascii="华文中宋" w:hAnsi="华文中宋" w:eastAsia="华文中宋" w:cs="华文中宋"/>
          <w:color w:val="auto"/>
          <w:sz w:val="22"/>
          <w:szCs w:val="22"/>
          <w:highlight w:val="none"/>
        </w:rPr>
        <w:t>.本次采购的合同项下的任何合同、文件等均应当符合有关环保、知识产权及其他法律法规的规定，包括童工禁用、劳动保护待遇等法律规定。乙方在合同的签订及履行过程中，其签署、履行合同均意味着其已承诺，任何情况下，均将严格遵守法律、法规，并且应当独立承担全部及任何法律责任，包括甲方、最终用户或任何第三方的民事侵权赔偿责任。上述该等责任同时亦均属严重违约责任。</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第七条 不可抗力</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1．不可抗力指下列事件：战争、动乱、瘟疫、严重火灾、洪水、地震、风暴或其他自然灾害，以及本合同各方不可预见、不可防止并不能避免或克服的一切其他因素及事件。</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作出的公证证明。</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4.合同各方应根据不可抗力对本合同履行的影响程度，协商确定是否终止本合同，或是继续履行本合同。</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第八条 保密条款</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1．任何一方对其获知的本合同及附件中其他各方的商业秘密和国家秘密负有保密义务。</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在下列情形下：当发布中标公告和其它公告时，当国家机关调查、审查、审计时，以及其他符合法律规定的情形下，无须事先征求投标人／中标人同意而可以披露关于采购过程、合同文本、签署情况的资料、投标人／中标人的名称及地址、采购内容的有关信息以及补充条款等，但应当在合理的必要范围内。对任何已经公布过的内容或与之内容相同的资料，以及投标人／中标人已经泄露或公开的，无须再承担保密责任。</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此外的其它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第九条 合同的解释和法律适用</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1．任何一方对本合同及其附件的解释均应遵循诚实信用原则，依照本合同签订时有效的中国法律、法规以及通常的理解进行。</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2．构成本合同的文件要认为是相互说明的。为了解释的目的，文件的优先次序如下：</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(1)合同书及附件（含澄清文件、合同</w:t>
      </w:r>
      <w:r>
        <w:rPr>
          <w:rFonts w:hint="eastAsia" w:ascii="华文中宋" w:hAnsi="华文中宋" w:eastAsia="华文中宋" w:cs="华文中宋"/>
          <w:color w:val="auto"/>
          <w:sz w:val="22"/>
          <w:szCs w:val="22"/>
          <w:highlight w:val="none"/>
          <w:lang w:eastAsia="zh-CN"/>
        </w:rPr>
        <w:t>磋商</w:t>
      </w:r>
      <w:r>
        <w:rPr>
          <w:rFonts w:hint="eastAsia" w:ascii="华文中宋" w:hAnsi="华文中宋" w:eastAsia="华文中宋" w:cs="华文中宋"/>
          <w:color w:val="auto"/>
          <w:sz w:val="22"/>
          <w:szCs w:val="22"/>
          <w:highlight w:val="none"/>
        </w:rPr>
        <w:t>文件，如需要）；</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（2）</w:t>
      </w:r>
      <w:r>
        <w:rPr>
          <w:rFonts w:hint="eastAsia" w:ascii="华文中宋" w:hAnsi="华文中宋" w:eastAsia="华文中宋" w:cs="华文中宋"/>
          <w:color w:val="auto"/>
          <w:sz w:val="22"/>
          <w:szCs w:val="22"/>
          <w:highlight w:val="none"/>
          <w:lang w:val="en-US" w:eastAsia="zh-CN"/>
        </w:rPr>
        <w:t>成交</w:t>
      </w:r>
      <w:r>
        <w:rPr>
          <w:rFonts w:hint="eastAsia" w:ascii="华文中宋" w:hAnsi="华文中宋" w:eastAsia="华文中宋" w:cs="华文中宋"/>
          <w:color w:val="auto"/>
          <w:sz w:val="22"/>
          <w:szCs w:val="22"/>
          <w:highlight w:val="none"/>
        </w:rPr>
        <w:t>通知书；</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（3）</w:t>
      </w:r>
      <w:r>
        <w:rPr>
          <w:rFonts w:hint="eastAsia" w:ascii="华文中宋" w:hAnsi="华文中宋" w:eastAsia="华文中宋" w:cs="华文中宋"/>
          <w:color w:val="auto"/>
          <w:sz w:val="22"/>
          <w:szCs w:val="22"/>
          <w:highlight w:val="none"/>
          <w:lang w:val="en-US" w:eastAsia="zh-CN"/>
        </w:rPr>
        <w:t>响应文件</w:t>
      </w:r>
      <w:r>
        <w:rPr>
          <w:rFonts w:hint="eastAsia" w:ascii="华文中宋" w:hAnsi="华文中宋" w:eastAsia="华文中宋" w:cs="华文中宋"/>
          <w:color w:val="auto"/>
          <w:sz w:val="22"/>
          <w:szCs w:val="22"/>
          <w:highlight w:val="none"/>
        </w:rPr>
        <w:t>；</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（4）合同专用条款；</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（5）合同通用条款；</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（6）技术标准与规范；</w:t>
      </w:r>
    </w:p>
    <w:p>
      <w:pPr>
        <w:keepNext w:val="0"/>
        <w:keepLines w:val="0"/>
        <w:pageBreakBefore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（7）构成本合同组成部分的其他文件。</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3．如文件中发现有歧义或不一致，以上述文件在前者为准。对于同一类合同文件，以双方最新确认的文本为准。</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4．本合同标题仅供查阅方便，并非对本合同的诠释或解释；本合同中以日表述的时间期限均指自然日。</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5．对本合同的任何解释均应以书面作出。</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6．本合同及附件的订立、效力、解释、履行、争议的解决等适用本合同签订时有效的中华人民共和国法律、法规的有关规定。</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第十条  合同的终止</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1．本合同因下列原因而终止：</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1)本合同正常履行完毕；</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2)合同双方协议终止本合同的履行；</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3)不可抗力事件导致本合同无法履行或履行不必要；</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4)任何一方行使解除权，解除本合同。</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2．对本合同终止有过错的一方应赔偿另一方因合同终止而受到的损失。对合同终止双方均无过错的，则各自承担所受到的损失。</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第十一条 法律适用</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1．本合同及附件的订立、效力、解释、履行、争议的解决等适用本合同签订时有效的中华人民共和国法律、法规的有关规定。</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2．在本合同履行期间，因中国法律、法规、政策的变化致使本合同的部分条款相冲突、无效或失去可强制执行效力时，双方同意将密切合作，尽快修改本合同中相冲突或无效或失去强制执行效力的有关条款。</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第十二条 权利的保留</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第十三条  争议的解决</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合同双方应通过友好协商解决因解释、执行本合同所发生的和本合同有关的一切争议。如果经协商不能达成协议，提请双方有关主管部门协调解决。仍不能达成一致的，应向甲方所在地有管辖权的人民法院诉讼解决。</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2．本合同甲、乙双方一致认为，本合同仅属于甲、乙双方之间的协议，任何争议均只应当按照本合同的约定方式处理。</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3．在争议解决期间，除了诉讼进行过程中正在解决的那部分问题外，合同其余部分应继续履行。</w:t>
      </w:r>
    </w:p>
    <w:p>
      <w:pPr>
        <w:keepNext w:val="0"/>
        <w:keepLines w:val="0"/>
        <w:pageBreakBefore w:val="0"/>
        <w:kinsoku/>
        <w:wordWrap/>
        <w:overflowPunct/>
        <w:topLinePunct w:val="0"/>
        <w:autoSpaceDE/>
        <w:autoSpaceDN/>
        <w:bidi w:val="0"/>
        <w:snapToGrid w:val="0"/>
        <w:spacing w:line="312" w:lineRule="auto"/>
        <w:textAlignment w:val="auto"/>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第十四条 合同的补充、修改和变更</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1．双方协商一致，在符合《中华人民共和国招标法》以及</w:t>
      </w:r>
      <w:r>
        <w:rPr>
          <w:rFonts w:hint="eastAsia" w:ascii="华文中宋" w:hAnsi="华文中宋" w:eastAsia="华文中宋" w:cs="华文中宋"/>
          <w:color w:val="auto"/>
          <w:sz w:val="22"/>
          <w:szCs w:val="22"/>
          <w:highlight w:val="none"/>
          <w:lang w:eastAsia="zh-CN"/>
        </w:rPr>
        <w:t>竞争性磋商</w:t>
      </w:r>
      <w:r>
        <w:rPr>
          <w:rFonts w:hint="eastAsia" w:ascii="华文中宋" w:hAnsi="华文中宋" w:eastAsia="华文中宋" w:cs="华文中宋"/>
          <w:color w:val="auto"/>
          <w:sz w:val="22"/>
          <w:szCs w:val="22"/>
          <w:highlight w:val="none"/>
        </w:rPr>
        <w:t>文件的前提下，可以对本合同进行补充、修改或变更。</w:t>
      </w:r>
    </w:p>
    <w:p>
      <w:pPr>
        <w:keepNext w:val="0"/>
        <w:keepLines w:val="0"/>
        <w:pageBreakBefore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 xml:space="preserve">    2．对本合同的补充、修改或变更必须以书面形式进行。补充、修改或变更的协议的签署及生效方式与本合同的签署及生效方式相同。</w:t>
      </w:r>
    </w:p>
    <w:p>
      <w:pPr>
        <w:keepNext w:val="0"/>
        <w:keepLines w:val="0"/>
        <w:pageBreakBefore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3．招投标文件及其全部条款、双方签订的补充协议以及修改或变更的条款与本合同具有同等法律效力。</w:t>
      </w:r>
    </w:p>
    <w:p>
      <w:pPr>
        <w:spacing w:line="300" w:lineRule="auto"/>
        <w:ind w:firstLine="220" w:firstLineChars="100"/>
        <w:rPr>
          <w:rFonts w:hint="eastAsia" w:ascii="华文中宋" w:hAnsi="华文中宋" w:eastAsia="华文中宋" w:cs="华文中宋"/>
          <w:color w:val="auto"/>
          <w:sz w:val="22"/>
          <w:szCs w:val="22"/>
          <w:highlight w:val="none"/>
        </w:rPr>
      </w:pPr>
    </w:p>
    <w:p>
      <w:pPr>
        <w:spacing w:line="300" w:lineRule="auto"/>
        <w:ind w:firstLine="220" w:firstLineChars="100"/>
        <w:rPr>
          <w:rFonts w:hint="eastAsia" w:ascii="华文中宋" w:hAnsi="华文中宋" w:eastAsia="华文中宋" w:cs="华文中宋"/>
          <w:color w:val="auto"/>
          <w:sz w:val="22"/>
          <w:szCs w:val="22"/>
          <w:highlight w:val="none"/>
        </w:rPr>
      </w:pPr>
    </w:p>
    <w:p>
      <w:pPr>
        <w:spacing w:line="300" w:lineRule="auto"/>
        <w:ind w:firstLine="220" w:firstLineChars="100"/>
        <w:rPr>
          <w:rFonts w:hint="eastAsia" w:ascii="华文中宋" w:hAnsi="华文中宋" w:eastAsia="华文中宋" w:cs="华文中宋"/>
          <w:color w:val="auto"/>
          <w:sz w:val="22"/>
          <w:szCs w:val="22"/>
          <w:highlight w:val="none"/>
        </w:rPr>
      </w:pPr>
    </w:p>
    <w:p>
      <w:pPr>
        <w:spacing w:line="300" w:lineRule="auto"/>
        <w:jc w:val="center"/>
        <w:rPr>
          <w:rFonts w:hint="eastAsia" w:ascii="华文中宋" w:hAnsi="华文中宋" w:eastAsia="华文中宋" w:cs="华文中宋"/>
          <w:b/>
          <w:color w:val="auto"/>
          <w:sz w:val="22"/>
          <w:szCs w:val="22"/>
          <w:highlight w:val="none"/>
        </w:rPr>
      </w:pPr>
    </w:p>
    <w:p>
      <w:pPr>
        <w:spacing w:line="300" w:lineRule="auto"/>
        <w:jc w:val="center"/>
        <w:rPr>
          <w:rFonts w:hint="eastAsia" w:ascii="华文中宋" w:hAnsi="华文中宋" w:eastAsia="华文中宋" w:cs="华文中宋"/>
          <w:b/>
          <w:color w:val="auto"/>
          <w:sz w:val="22"/>
          <w:szCs w:val="22"/>
          <w:highlight w:val="none"/>
        </w:rPr>
      </w:pPr>
    </w:p>
    <w:p>
      <w:pPr>
        <w:spacing w:line="300" w:lineRule="auto"/>
        <w:jc w:val="center"/>
        <w:rPr>
          <w:rFonts w:hint="eastAsia" w:ascii="华文中宋" w:hAnsi="华文中宋" w:eastAsia="华文中宋" w:cs="华文中宋"/>
          <w:b/>
          <w:color w:val="auto"/>
          <w:sz w:val="22"/>
          <w:szCs w:val="22"/>
          <w:highlight w:val="none"/>
        </w:rPr>
      </w:pPr>
    </w:p>
    <w:p>
      <w:pPr>
        <w:spacing w:line="300" w:lineRule="auto"/>
        <w:jc w:val="center"/>
        <w:rPr>
          <w:rFonts w:hint="eastAsia" w:ascii="华文中宋" w:hAnsi="华文中宋" w:eastAsia="华文中宋" w:cs="华文中宋"/>
          <w:b/>
          <w:color w:val="auto"/>
          <w:sz w:val="22"/>
          <w:szCs w:val="22"/>
          <w:highlight w:val="none"/>
        </w:rPr>
      </w:pPr>
    </w:p>
    <w:p>
      <w:pPr>
        <w:pStyle w:val="14"/>
        <w:rPr>
          <w:rFonts w:hint="eastAsia" w:ascii="华文中宋" w:hAnsi="华文中宋" w:eastAsia="华文中宋" w:cs="华文中宋"/>
          <w:b/>
          <w:color w:val="auto"/>
          <w:sz w:val="22"/>
          <w:szCs w:val="22"/>
          <w:highlight w:val="none"/>
        </w:rPr>
      </w:pPr>
    </w:p>
    <w:p>
      <w:pPr>
        <w:rPr>
          <w:rFonts w:hint="eastAsia" w:ascii="华文中宋" w:hAnsi="华文中宋" w:eastAsia="华文中宋" w:cs="华文中宋"/>
          <w:b/>
          <w:color w:val="auto"/>
          <w:sz w:val="22"/>
          <w:szCs w:val="22"/>
          <w:highlight w:val="none"/>
        </w:rPr>
      </w:pPr>
    </w:p>
    <w:p>
      <w:pPr>
        <w:pStyle w:val="14"/>
        <w:rPr>
          <w:rFonts w:hint="eastAsia" w:ascii="华文中宋" w:hAnsi="华文中宋" w:eastAsia="华文中宋" w:cs="华文中宋"/>
          <w:color w:val="auto"/>
          <w:sz w:val="22"/>
          <w:szCs w:val="22"/>
          <w:highlight w:val="none"/>
        </w:rPr>
      </w:pPr>
    </w:p>
    <w:p>
      <w:pPr>
        <w:rPr>
          <w:rFonts w:hint="eastAsia" w:ascii="华文中宋" w:hAnsi="华文中宋" w:eastAsia="华文中宋" w:cs="华文中宋"/>
          <w:color w:val="auto"/>
          <w:sz w:val="22"/>
          <w:szCs w:val="22"/>
          <w:highlight w:val="none"/>
        </w:rPr>
      </w:pPr>
    </w:p>
    <w:p>
      <w:pPr>
        <w:pStyle w:val="2"/>
        <w:rPr>
          <w:rFonts w:hint="eastAsia" w:ascii="华文中宋" w:hAnsi="华文中宋" w:eastAsia="华文中宋" w:cs="华文中宋"/>
          <w:color w:val="auto"/>
          <w:sz w:val="22"/>
          <w:szCs w:val="22"/>
          <w:highlight w:val="none"/>
        </w:rPr>
      </w:pPr>
    </w:p>
    <w:p>
      <w:pPr>
        <w:rPr>
          <w:rFonts w:hint="eastAsia" w:ascii="华文中宋" w:hAnsi="华文中宋" w:eastAsia="华文中宋" w:cs="华文中宋"/>
          <w:color w:val="auto"/>
          <w:sz w:val="22"/>
          <w:szCs w:val="22"/>
          <w:highlight w:val="none"/>
        </w:rPr>
      </w:pPr>
    </w:p>
    <w:p>
      <w:pPr>
        <w:pStyle w:val="2"/>
        <w:rPr>
          <w:rFonts w:hint="eastAsia" w:ascii="华文中宋" w:hAnsi="华文中宋" w:eastAsia="华文中宋" w:cs="华文中宋"/>
          <w:color w:val="auto"/>
          <w:sz w:val="22"/>
          <w:szCs w:val="22"/>
          <w:highlight w:val="none"/>
        </w:rPr>
      </w:pPr>
    </w:p>
    <w:p>
      <w:pPr>
        <w:rPr>
          <w:rFonts w:hint="eastAsia" w:ascii="华文中宋" w:hAnsi="华文中宋" w:eastAsia="华文中宋" w:cs="华文中宋"/>
          <w:color w:val="auto"/>
          <w:sz w:val="22"/>
          <w:szCs w:val="22"/>
          <w:highlight w:val="none"/>
        </w:rPr>
      </w:pPr>
    </w:p>
    <w:p>
      <w:pPr>
        <w:pStyle w:val="2"/>
        <w:rPr>
          <w:rFonts w:hint="eastAsia" w:ascii="华文中宋" w:hAnsi="华文中宋" w:eastAsia="华文中宋" w:cs="华文中宋"/>
          <w:color w:val="auto"/>
          <w:sz w:val="22"/>
          <w:szCs w:val="22"/>
          <w:highlight w:val="none"/>
        </w:rPr>
      </w:pPr>
    </w:p>
    <w:p>
      <w:pPr>
        <w:rPr>
          <w:rFonts w:hint="eastAsia" w:ascii="华文中宋" w:hAnsi="华文中宋" w:eastAsia="华文中宋" w:cs="华文中宋"/>
          <w:color w:val="auto"/>
          <w:sz w:val="22"/>
          <w:szCs w:val="22"/>
          <w:highlight w:val="none"/>
        </w:rPr>
      </w:pPr>
    </w:p>
    <w:p>
      <w:pPr>
        <w:pStyle w:val="2"/>
        <w:rPr>
          <w:rFonts w:hint="eastAsia" w:ascii="华文中宋" w:hAnsi="华文中宋" w:eastAsia="华文中宋" w:cs="华文中宋"/>
          <w:color w:val="auto"/>
          <w:sz w:val="22"/>
          <w:szCs w:val="22"/>
          <w:highlight w:val="none"/>
        </w:rPr>
      </w:pPr>
    </w:p>
    <w:p>
      <w:pPr>
        <w:rPr>
          <w:rFonts w:hint="eastAsia" w:ascii="华文中宋" w:hAnsi="华文中宋" w:eastAsia="华文中宋" w:cs="华文中宋"/>
          <w:color w:val="auto"/>
          <w:sz w:val="22"/>
          <w:szCs w:val="22"/>
          <w:highlight w:val="none"/>
        </w:rPr>
      </w:pPr>
    </w:p>
    <w:p>
      <w:pPr>
        <w:pStyle w:val="2"/>
        <w:rPr>
          <w:rFonts w:hint="eastAsia" w:ascii="华文中宋" w:hAnsi="华文中宋" w:eastAsia="华文中宋" w:cs="华文中宋"/>
          <w:color w:val="auto"/>
          <w:sz w:val="22"/>
          <w:szCs w:val="22"/>
          <w:highlight w:val="none"/>
        </w:rPr>
      </w:pPr>
    </w:p>
    <w:p>
      <w:pPr>
        <w:rPr>
          <w:rFonts w:hint="eastAsia" w:ascii="华文中宋" w:hAnsi="华文中宋" w:eastAsia="华文中宋" w:cs="华文中宋"/>
          <w:color w:val="auto"/>
          <w:sz w:val="22"/>
          <w:szCs w:val="22"/>
          <w:highlight w:val="none"/>
        </w:rPr>
      </w:pPr>
    </w:p>
    <w:p>
      <w:pPr>
        <w:pStyle w:val="2"/>
        <w:rPr>
          <w:rFonts w:hint="eastAsia" w:ascii="华文中宋" w:hAnsi="华文中宋" w:eastAsia="华文中宋" w:cs="华文中宋"/>
          <w:color w:val="auto"/>
          <w:sz w:val="22"/>
          <w:szCs w:val="22"/>
          <w:highlight w:val="none"/>
        </w:rPr>
      </w:pPr>
    </w:p>
    <w:p>
      <w:pPr>
        <w:rPr>
          <w:rFonts w:hint="eastAsia" w:ascii="华文中宋" w:hAnsi="华文中宋" w:eastAsia="华文中宋" w:cs="华文中宋"/>
          <w:color w:val="auto"/>
          <w:sz w:val="22"/>
          <w:szCs w:val="22"/>
          <w:highlight w:val="none"/>
        </w:rPr>
      </w:pPr>
    </w:p>
    <w:p>
      <w:pPr>
        <w:pStyle w:val="2"/>
        <w:rPr>
          <w:rFonts w:hint="eastAsia" w:ascii="华文中宋" w:hAnsi="华文中宋" w:eastAsia="华文中宋" w:cs="华文中宋"/>
          <w:color w:val="auto"/>
          <w:sz w:val="22"/>
          <w:szCs w:val="22"/>
          <w:highlight w:val="none"/>
        </w:rPr>
      </w:pPr>
    </w:p>
    <w:p>
      <w:pPr>
        <w:rPr>
          <w:rFonts w:hint="eastAsia" w:ascii="华文中宋" w:hAnsi="华文中宋" w:eastAsia="华文中宋" w:cs="华文中宋"/>
          <w:color w:val="auto"/>
          <w:sz w:val="22"/>
          <w:szCs w:val="22"/>
          <w:highlight w:val="none"/>
        </w:rPr>
      </w:pPr>
    </w:p>
    <w:p>
      <w:pPr>
        <w:pStyle w:val="2"/>
        <w:rPr>
          <w:rFonts w:hint="eastAsia" w:ascii="华文中宋" w:hAnsi="华文中宋" w:eastAsia="华文中宋" w:cs="华文中宋"/>
          <w:color w:val="auto"/>
          <w:highlight w:val="none"/>
        </w:rPr>
      </w:pPr>
    </w:p>
    <w:p>
      <w:pPr>
        <w:pStyle w:val="11"/>
        <w:ind w:left="0" w:leftChars="0" w:firstLine="0" w:firstLineChars="0"/>
        <w:rPr>
          <w:rFonts w:hint="eastAsia" w:ascii="华文中宋" w:hAnsi="华文中宋" w:eastAsia="华文中宋" w:cs="华文中宋"/>
          <w:b/>
          <w:color w:val="auto"/>
          <w:sz w:val="22"/>
          <w:szCs w:val="22"/>
          <w:highlight w:val="none"/>
        </w:rPr>
      </w:pPr>
    </w:p>
    <w:p>
      <w:pPr>
        <w:spacing w:line="300" w:lineRule="auto"/>
        <w:jc w:val="center"/>
        <w:rPr>
          <w:rFonts w:hint="eastAsia" w:ascii="华文中宋" w:hAnsi="华文中宋" w:eastAsia="华文中宋" w:cs="华文中宋"/>
          <w:b/>
          <w:color w:val="auto"/>
          <w:sz w:val="28"/>
          <w:szCs w:val="28"/>
          <w:highlight w:val="none"/>
        </w:rPr>
      </w:pPr>
    </w:p>
    <w:p>
      <w:pPr>
        <w:spacing w:line="300" w:lineRule="auto"/>
        <w:jc w:val="center"/>
        <w:rPr>
          <w:rFonts w:hint="eastAsia" w:ascii="华文中宋" w:hAnsi="华文中宋" w:eastAsia="华文中宋" w:cs="华文中宋"/>
          <w:b/>
          <w:color w:val="auto"/>
          <w:sz w:val="28"/>
          <w:szCs w:val="28"/>
          <w:highlight w:val="none"/>
        </w:rPr>
      </w:pPr>
    </w:p>
    <w:p>
      <w:pPr>
        <w:spacing w:line="300" w:lineRule="auto"/>
        <w:jc w:val="center"/>
        <w:rPr>
          <w:rFonts w:hint="eastAsia" w:ascii="华文中宋" w:hAnsi="华文中宋" w:eastAsia="华文中宋" w:cs="华文中宋"/>
          <w:b/>
          <w:color w:val="auto"/>
          <w:sz w:val="28"/>
          <w:szCs w:val="28"/>
          <w:highlight w:val="none"/>
        </w:rPr>
      </w:pPr>
    </w:p>
    <w:p>
      <w:pPr>
        <w:spacing w:line="300" w:lineRule="auto"/>
        <w:jc w:val="center"/>
        <w:rPr>
          <w:rFonts w:hint="eastAsia" w:ascii="华文中宋" w:hAnsi="华文中宋" w:eastAsia="华文中宋" w:cs="华文中宋"/>
          <w:b/>
          <w:color w:val="auto"/>
          <w:sz w:val="36"/>
          <w:szCs w:val="36"/>
          <w:highlight w:val="none"/>
        </w:rPr>
      </w:pPr>
    </w:p>
    <w:p>
      <w:pPr>
        <w:spacing w:line="300" w:lineRule="auto"/>
        <w:jc w:val="center"/>
        <w:rPr>
          <w:rFonts w:hint="eastAsia" w:ascii="华文中宋" w:hAnsi="华文中宋" w:eastAsia="华文中宋" w:cs="华文中宋"/>
          <w:b/>
          <w:color w:val="auto"/>
          <w:sz w:val="36"/>
          <w:szCs w:val="36"/>
          <w:highlight w:val="none"/>
        </w:rPr>
      </w:pPr>
    </w:p>
    <w:p>
      <w:pPr>
        <w:spacing w:line="300" w:lineRule="auto"/>
        <w:jc w:val="center"/>
        <w:rPr>
          <w:rFonts w:hint="eastAsia" w:ascii="华文中宋" w:hAnsi="华文中宋" w:eastAsia="华文中宋" w:cs="华文中宋"/>
          <w:b/>
          <w:color w:val="auto"/>
          <w:sz w:val="36"/>
          <w:szCs w:val="36"/>
          <w:highlight w:val="none"/>
          <w:lang w:eastAsia="zh-CN"/>
        </w:rPr>
      </w:pPr>
      <w:r>
        <w:rPr>
          <w:rFonts w:hint="eastAsia" w:ascii="华文中宋" w:hAnsi="华文中宋" w:eastAsia="华文中宋" w:cs="华文中宋"/>
          <w:b/>
          <w:color w:val="auto"/>
          <w:sz w:val="36"/>
          <w:szCs w:val="36"/>
          <w:highlight w:val="none"/>
        </w:rPr>
        <w:t>合同</w:t>
      </w:r>
      <w:r>
        <w:rPr>
          <w:rFonts w:hint="eastAsia" w:ascii="华文中宋" w:hAnsi="华文中宋" w:eastAsia="华文中宋" w:cs="华文中宋"/>
          <w:b/>
          <w:color w:val="auto"/>
          <w:sz w:val="36"/>
          <w:szCs w:val="36"/>
          <w:highlight w:val="none"/>
          <w:lang w:eastAsia="zh-CN"/>
        </w:rPr>
        <w:t>协议书（</w:t>
      </w:r>
      <w:r>
        <w:rPr>
          <w:rFonts w:hint="eastAsia" w:ascii="华文中宋" w:hAnsi="华文中宋" w:eastAsia="华文中宋" w:cs="华文中宋"/>
          <w:b/>
          <w:color w:val="auto"/>
          <w:sz w:val="36"/>
          <w:szCs w:val="36"/>
          <w:highlight w:val="none"/>
        </w:rPr>
        <w:t>格 式</w:t>
      </w:r>
      <w:r>
        <w:rPr>
          <w:rFonts w:hint="eastAsia" w:ascii="华文中宋" w:hAnsi="华文中宋" w:eastAsia="华文中宋" w:cs="华文中宋"/>
          <w:b/>
          <w:color w:val="auto"/>
          <w:sz w:val="36"/>
          <w:szCs w:val="36"/>
          <w:highlight w:val="none"/>
          <w:lang w:eastAsia="zh-CN"/>
        </w:rPr>
        <w:t>）</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（本格式编排在</w:t>
      </w:r>
      <w:r>
        <w:rPr>
          <w:rFonts w:hint="eastAsia" w:ascii="华文中宋" w:hAnsi="华文中宋" w:eastAsia="华文中宋" w:cs="华文中宋"/>
          <w:color w:val="auto"/>
          <w:sz w:val="22"/>
          <w:szCs w:val="22"/>
          <w:highlight w:val="none"/>
          <w:lang w:eastAsia="zh-CN"/>
        </w:rPr>
        <w:t>磋商</w:t>
      </w:r>
      <w:r>
        <w:rPr>
          <w:rFonts w:hint="eastAsia" w:ascii="华文中宋" w:hAnsi="华文中宋" w:eastAsia="华文中宋" w:cs="华文中宋"/>
          <w:color w:val="auto"/>
          <w:sz w:val="22"/>
          <w:szCs w:val="22"/>
          <w:highlight w:val="none"/>
        </w:rPr>
        <w:t>文件中，供</w:t>
      </w:r>
      <w:r>
        <w:rPr>
          <w:rFonts w:hint="eastAsia" w:ascii="华文中宋" w:hAnsi="华文中宋" w:eastAsia="华文中宋" w:cs="华文中宋"/>
          <w:color w:val="auto"/>
          <w:sz w:val="22"/>
          <w:szCs w:val="22"/>
          <w:highlight w:val="none"/>
          <w:lang w:eastAsia="zh-CN"/>
        </w:rPr>
        <w:t>各供应商</w:t>
      </w:r>
      <w:r>
        <w:rPr>
          <w:rFonts w:hint="eastAsia" w:ascii="华文中宋" w:hAnsi="华文中宋" w:eastAsia="华文中宋" w:cs="华文中宋"/>
          <w:color w:val="auto"/>
          <w:sz w:val="22"/>
          <w:szCs w:val="22"/>
          <w:highlight w:val="none"/>
        </w:rPr>
        <w:t>参考，</w:t>
      </w:r>
      <w:r>
        <w:rPr>
          <w:rFonts w:hint="eastAsia" w:ascii="华文中宋" w:hAnsi="华文中宋" w:eastAsia="华文中宋" w:cs="华文中宋"/>
          <w:color w:val="auto"/>
          <w:sz w:val="22"/>
          <w:szCs w:val="22"/>
          <w:highlight w:val="none"/>
          <w:lang w:eastAsia="zh-CN"/>
        </w:rPr>
        <w:t>磋商</w:t>
      </w:r>
      <w:r>
        <w:rPr>
          <w:rFonts w:hint="eastAsia" w:ascii="华文中宋" w:hAnsi="华文中宋" w:eastAsia="华文中宋" w:cs="华文中宋"/>
          <w:color w:val="auto"/>
          <w:sz w:val="22"/>
          <w:szCs w:val="22"/>
          <w:highlight w:val="none"/>
        </w:rPr>
        <w:t>时不需填写）</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lang w:val="en-US" w:eastAsia="zh-CN"/>
        </w:rPr>
      </w:pPr>
      <w:r>
        <w:rPr>
          <w:rFonts w:hint="eastAsia" w:ascii="华文中宋" w:hAnsi="华文中宋" w:eastAsia="华文中宋" w:cs="华文中宋"/>
          <w:color w:val="auto"/>
          <w:sz w:val="22"/>
          <w:szCs w:val="22"/>
          <w:highlight w:val="none"/>
        </w:rPr>
        <w:t>甲  方：</w:t>
      </w:r>
      <w:r>
        <w:rPr>
          <w:rFonts w:hint="eastAsia" w:ascii="华文中宋" w:hAnsi="华文中宋" w:eastAsia="华文中宋" w:cs="华文中宋"/>
          <w:color w:val="auto"/>
          <w:sz w:val="22"/>
          <w:szCs w:val="22"/>
          <w:highlight w:val="none"/>
          <w:lang w:val="en-US" w:eastAsia="zh-CN"/>
        </w:rPr>
        <w:t xml:space="preserve">  </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乙  方：</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鉴证方：（根据需要选写）</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lang w:eastAsia="zh-CN"/>
        </w:rPr>
      </w:pPr>
      <w:r>
        <w:rPr>
          <w:rFonts w:hint="eastAsia" w:ascii="华文中宋" w:hAnsi="华文中宋" w:eastAsia="华文中宋" w:cs="华文中宋"/>
          <w:color w:val="auto"/>
          <w:sz w:val="22"/>
          <w:szCs w:val="22"/>
          <w:highlight w:val="none"/>
        </w:rPr>
        <w:t>根据《中华人民共和国政府采购法》、《中华人民共和国招标投标法》、《中华人民共和国</w:t>
      </w:r>
      <w:r>
        <w:rPr>
          <w:rFonts w:hint="eastAsia" w:ascii="华文中宋" w:hAnsi="华文中宋" w:eastAsia="华文中宋" w:cs="华文中宋"/>
          <w:color w:val="auto"/>
          <w:sz w:val="22"/>
          <w:szCs w:val="22"/>
          <w:highlight w:val="none"/>
          <w:lang w:val="en-US" w:eastAsia="zh-CN"/>
        </w:rPr>
        <w:t>民典法</w:t>
      </w:r>
      <w:r>
        <w:rPr>
          <w:rFonts w:hint="eastAsia" w:ascii="华文中宋" w:hAnsi="华文中宋" w:eastAsia="华文中宋" w:cs="华文中宋"/>
          <w:color w:val="auto"/>
          <w:sz w:val="22"/>
          <w:szCs w:val="22"/>
          <w:highlight w:val="none"/>
        </w:rPr>
        <w:t>》以及</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项目</w:t>
      </w:r>
      <w:r>
        <w:rPr>
          <w:rFonts w:hint="eastAsia" w:ascii="华文中宋" w:hAnsi="华文中宋" w:eastAsia="华文中宋" w:cs="华文中宋"/>
          <w:color w:val="auto"/>
          <w:sz w:val="22"/>
          <w:szCs w:val="22"/>
          <w:highlight w:val="none"/>
          <w:lang w:eastAsia="zh-CN"/>
        </w:rPr>
        <w:t>竞争性磋商</w:t>
      </w:r>
      <w:r>
        <w:rPr>
          <w:rFonts w:hint="eastAsia" w:ascii="华文中宋" w:hAnsi="华文中宋" w:eastAsia="华文中宋" w:cs="华文中宋"/>
          <w:color w:val="auto"/>
          <w:sz w:val="22"/>
          <w:szCs w:val="22"/>
          <w:highlight w:val="none"/>
        </w:rPr>
        <w:t>文件，甲方选定乙方为甲方</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 xml:space="preserve"> 项目的成交单位。甲、乙双方经共同平等协商，自愿达成如下合同条款</w:t>
      </w:r>
      <w:r>
        <w:rPr>
          <w:rFonts w:hint="eastAsia" w:ascii="华文中宋" w:hAnsi="华文中宋" w:eastAsia="华文中宋" w:cs="华文中宋"/>
          <w:color w:val="auto"/>
          <w:sz w:val="22"/>
          <w:szCs w:val="22"/>
          <w:highlight w:val="none"/>
          <w:lang w:eastAsia="zh-CN"/>
        </w:rPr>
        <w:t>：</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一、下列文件应作为本合同的组成部分：</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（1）合同</w:t>
      </w:r>
      <w:r>
        <w:rPr>
          <w:rFonts w:hint="eastAsia" w:ascii="华文中宋" w:hAnsi="华文中宋" w:eastAsia="华文中宋" w:cs="华文中宋"/>
          <w:color w:val="auto"/>
          <w:sz w:val="22"/>
          <w:szCs w:val="22"/>
          <w:highlight w:val="none"/>
          <w:lang w:eastAsia="zh-CN"/>
        </w:rPr>
        <w:t>协议</w:t>
      </w:r>
      <w:r>
        <w:rPr>
          <w:rFonts w:hint="eastAsia" w:ascii="华文中宋" w:hAnsi="华文中宋" w:eastAsia="华文中宋" w:cs="华文中宋"/>
          <w:color w:val="auto"/>
          <w:sz w:val="22"/>
          <w:szCs w:val="22"/>
          <w:highlight w:val="none"/>
        </w:rPr>
        <w:t>书及附件（含澄清文件、合同</w:t>
      </w:r>
      <w:r>
        <w:rPr>
          <w:rFonts w:hint="eastAsia" w:ascii="华文中宋" w:hAnsi="华文中宋" w:eastAsia="华文中宋" w:cs="华文中宋"/>
          <w:color w:val="auto"/>
          <w:sz w:val="22"/>
          <w:szCs w:val="22"/>
          <w:highlight w:val="none"/>
          <w:lang w:eastAsia="zh-CN"/>
        </w:rPr>
        <w:t>磋商</w:t>
      </w:r>
      <w:r>
        <w:rPr>
          <w:rFonts w:hint="eastAsia" w:ascii="华文中宋" w:hAnsi="华文中宋" w:eastAsia="华文中宋" w:cs="华文中宋"/>
          <w:color w:val="auto"/>
          <w:sz w:val="22"/>
          <w:szCs w:val="22"/>
          <w:highlight w:val="none"/>
        </w:rPr>
        <w:t>文件，如需要）；</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（2）</w:t>
      </w:r>
      <w:r>
        <w:rPr>
          <w:rFonts w:hint="eastAsia" w:ascii="华文中宋" w:hAnsi="华文中宋" w:eastAsia="华文中宋" w:cs="华文中宋"/>
          <w:color w:val="auto"/>
          <w:sz w:val="22"/>
          <w:szCs w:val="22"/>
          <w:highlight w:val="none"/>
          <w:lang w:eastAsia="zh-CN"/>
        </w:rPr>
        <w:t>成交</w:t>
      </w:r>
      <w:r>
        <w:rPr>
          <w:rFonts w:hint="eastAsia" w:ascii="华文中宋" w:hAnsi="华文中宋" w:eastAsia="华文中宋" w:cs="华文中宋"/>
          <w:color w:val="auto"/>
          <w:sz w:val="22"/>
          <w:szCs w:val="22"/>
          <w:highlight w:val="none"/>
        </w:rPr>
        <w:t>通知书；</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（3）</w:t>
      </w:r>
      <w:r>
        <w:rPr>
          <w:rFonts w:hint="eastAsia" w:ascii="华文中宋" w:hAnsi="华文中宋" w:eastAsia="华文中宋" w:cs="华文中宋"/>
          <w:color w:val="auto"/>
          <w:sz w:val="22"/>
          <w:szCs w:val="22"/>
          <w:highlight w:val="none"/>
          <w:lang w:val="en-US" w:eastAsia="zh-CN"/>
        </w:rPr>
        <w:t>响应文件</w:t>
      </w:r>
      <w:r>
        <w:rPr>
          <w:rFonts w:hint="eastAsia" w:ascii="华文中宋" w:hAnsi="华文中宋" w:eastAsia="华文中宋" w:cs="华文中宋"/>
          <w:color w:val="auto"/>
          <w:sz w:val="22"/>
          <w:szCs w:val="22"/>
          <w:highlight w:val="none"/>
        </w:rPr>
        <w:t>；</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（4）合同专用条款；</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（5）合同通用条款；</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（6）技术标准与规范；</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（7）构成本合同</w:t>
      </w:r>
      <w:r>
        <w:rPr>
          <w:rFonts w:hint="eastAsia" w:ascii="华文中宋" w:hAnsi="华文中宋" w:eastAsia="华文中宋" w:cs="华文中宋"/>
          <w:color w:val="auto"/>
          <w:sz w:val="22"/>
          <w:szCs w:val="22"/>
          <w:highlight w:val="none"/>
          <w:lang w:eastAsia="zh-CN"/>
        </w:rPr>
        <w:t>协议</w:t>
      </w:r>
      <w:r>
        <w:rPr>
          <w:rFonts w:hint="eastAsia" w:ascii="华文中宋" w:hAnsi="华文中宋" w:eastAsia="华文中宋" w:cs="华文中宋"/>
          <w:color w:val="auto"/>
          <w:sz w:val="22"/>
          <w:szCs w:val="22"/>
          <w:highlight w:val="none"/>
        </w:rPr>
        <w:t>组成部分的其他文件。</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二、上述文件应认为是互为补充和理解的，但如有含义不清或互相矛盾处，以上面所列顺序在前的为准。</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三、根据</w:t>
      </w:r>
      <w:r>
        <w:rPr>
          <w:rFonts w:hint="eastAsia" w:ascii="华文中宋" w:hAnsi="华文中宋" w:eastAsia="华文中宋" w:cs="华文中宋"/>
          <w:color w:val="auto"/>
          <w:sz w:val="22"/>
          <w:szCs w:val="22"/>
          <w:highlight w:val="none"/>
          <w:lang w:eastAsia="zh-CN"/>
        </w:rPr>
        <w:t>采购内容</w:t>
      </w:r>
      <w:r>
        <w:rPr>
          <w:rFonts w:hint="eastAsia" w:ascii="华文中宋" w:hAnsi="华文中宋" w:eastAsia="华文中宋" w:cs="华文中宋"/>
          <w:color w:val="auto"/>
          <w:sz w:val="22"/>
          <w:szCs w:val="22"/>
          <w:highlight w:val="none"/>
        </w:rPr>
        <w:t>所列的</w:t>
      </w:r>
      <w:r>
        <w:rPr>
          <w:rFonts w:hint="eastAsia" w:ascii="华文中宋" w:hAnsi="华文中宋" w:eastAsia="华文中宋" w:cs="华文中宋"/>
          <w:color w:val="auto"/>
          <w:sz w:val="22"/>
          <w:szCs w:val="22"/>
          <w:highlight w:val="none"/>
          <w:lang w:eastAsia="zh-CN"/>
        </w:rPr>
        <w:t>验收内容</w:t>
      </w:r>
      <w:r>
        <w:rPr>
          <w:rFonts w:hint="eastAsia" w:ascii="华文中宋" w:hAnsi="华文中宋" w:eastAsia="华文中宋" w:cs="华文中宋"/>
          <w:color w:val="auto"/>
          <w:sz w:val="22"/>
          <w:szCs w:val="22"/>
          <w:highlight w:val="none"/>
        </w:rPr>
        <w:t>和</w:t>
      </w:r>
      <w:r>
        <w:rPr>
          <w:rFonts w:hint="eastAsia" w:ascii="华文中宋" w:hAnsi="华文中宋" w:eastAsia="华文中宋" w:cs="华文中宋"/>
          <w:color w:val="auto"/>
          <w:sz w:val="22"/>
          <w:szCs w:val="22"/>
          <w:highlight w:val="none"/>
          <w:lang w:eastAsia="zh-CN"/>
        </w:rPr>
        <w:t>乙方磋商响应文件中陈述的内容，</w:t>
      </w:r>
      <w:r>
        <w:rPr>
          <w:rFonts w:hint="eastAsia" w:ascii="华文中宋" w:hAnsi="华文中宋" w:eastAsia="华文中宋" w:cs="华文中宋"/>
          <w:color w:val="auto"/>
          <w:sz w:val="22"/>
          <w:szCs w:val="22"/>
          <w:highlight w:val="none"/>
        </w:rPr>
        <w:t>本合同总价为人民币大写（大写）</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元整（￥</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元）。</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四、</w:t>
      </w:r>
      <w:r>
        <w:rPr>
          <w:rFonts w:hint="eastAsia" w:ascii="华文中宋" w:hAnsi="华文中宋" w:eastAsia="华文中宋" w:cs="华文中宋"/>
          <w:color w:val="auto"/>
          <w:sz w:val="22"/>
          <w:szCs w:val="22"/>
          <w:highlight w:val="none"/>
          <w:lang w:eastAsia="zh-CN"/>
        </w:rPr>
        <w:t>甲方</w:t>
      </w:r>
      <w:r>
        <w:rPr>
          <w:rFonts w:hint="eastAsia" w:ascii="华文中宋" w:hAnsi="华文中宋" w:eastAsia="华文中宋" w:cs="华文中宋"/>
          <w:color w:val="auto"/>
          <w:sz w:val="22"/>
          <w:szCs w:val="22"/>
          <w:highlight w:val="none"/>
        </w:rPr>
        <w:t>和</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双方的责任和义务及违约条款</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rPr>
        <w:t>遵照合同条款的规定</w:t>
      </w:r>
      <w:r>
        <w:rPr>
          <w:rFonts w:hint="eastAsia" w:ascii="华文中宋" w:hAnsi="华文中宋" w:eastAsia="华文中宋" w:cs="华文中宋"/>
          <w:color w:val="auto"/>
          <w:sz w:val="22"/>
          <w:szCs w:val="22"/>
          <w:highlight w:val="none"/>
          <w:lang w:eastAsia="zh-CN"/>
        </w:rPr>
        <w:t>执行</w:t>
      </w:r>
      <w:r>
        <w:rPr>
          <w:rFonts w:hint="eastAsia" w:ascii="华文中宋" w:hAnsi="华文中宋" w:eastAsia="华文中宋" w:cs="华文中宋"/>
          <w:color w:val="auto"/>
          <w:sz w:val="22"/>
          <w:szCs w:val="22"/>
          <w:highlight w:val="none"/>
        </w:rPr>
        <w:t>。</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五、由于</w:t>
      </w:r>
      <w:r>
        <w:rPr>
          <w:rFonts w:hint="eastAsia" w:ascii="华文中宋" w:hAnsi="华文中宋" w:eastAsia="华文中宋" w:cs="华文中宋"/>
          <w:color w:val="auto"/>
          <w:sz w:val="22"/>
          <w:szCs w:val="22"/>
          <w:highlight w:val="none"/>
          <w:lang w:eastAsia="zh-CN"/>
        </w:rPr>
        <w:t>甲方</w:t>
      </w:r>
      <w:r>
        <w:rPr>
          <w:rFonts w:hint="eastAsia" w:ascii="华文中宋" w:hAnsi="华文中宋" w:eastAsia="华文中宋" w:cs="华文中宋"/>
          <w:color w:val="auto"/>
          <w:sz w:val="22"/>
          <w:szCs w:val="22"/>
          <w:highlight w:val="none"/>
        </w:rPr>
        <w:t>按本</w:t>
      </w:r>
      <w:r>
        <w:rPr>
          <w:rFonts w:hint="eastAsia" w:ascii="华文中宋" w:hAnsi="华文中宋" w:eastAsia="华文中宋" w:cs="华文中宋"/>
          <w:color w:val="auto"/>
          <w:sz w:val="22"/>
          <w:szCs w:val="22"/>
          <w:highlight w:val="none"/>
          <w:lang w:eastAsia="zh-CN"/>
        </w:rPr>
        <w:t>合同</w:t>
      </w:r>
      <w:r>
        <w:rPr>
          <w:rFonts w:hint="eastAsia" w:ascii="华文中宋" w:hAnsi="华文中宋" w:eastAsia="华文中宋" w:cs="华文中宋"/>
          <w:color w:val="auto"/>
          <w:sz w:val="22"/>
          <w:szCs w:val="22"/>
          <w:highlight w:val="none"/>
        </w:rPr>
        <w:t>给</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支付合同价款，</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在此立约：保证在各方面按合同文件的规定承担本合同项目的实施和完成</w:t>
      </w:r>
      <w:r>
        <w:rPr>
          <w:rFonts w:hint="eastAsia" w:ascii="华文中宋" w:hAnsi="华文中宋" w:eastAsia="华文中宋" w:cs="华文中宋"/>
          <w:color w:val="auto"/>
          <w:sz w:val="22"/>
          <w:szCs w:val="22"/>
          <w:highlight w:val="none"/>
          <w:lang w:eastAsia="zh-CN"/>
        </w:rPr>
        <w:t>，并承诺完成甲方需要的后续</w:t>
      </w:r>
      <w:r>
        <w:rPr>
          <w:rFonts w:hint="eastAsia" w:ascii="华文中宋" w:hAnsi="华文中宋" w:eastAsia="华文中宋" w:cs="华文中宋"/>
          <w:color w:val="auto"/>
          <w:sz w:val="22"/>
          <w:szCs w:val="22"/>
          <w:highlight w:val="none"/>
        </w:rPr>
        <w:t>工作，</w:t>
      </w:r>
      <w:r>
        <w:rPr>
          <w:rFonts w:hint="eastAsia" w:ascii="华文中宋" w:hAnsi="华文中宋" w:eastAsia="华文中宋" w:cs="华文中宋"/>
          <w:color w:val="auto"/>
          <w:sz w:val="22"/>
          <w:szCs w:val="22"/>
          <w:highlight w:val="none"/>
          <w:lang w:eastAsia="zh-CN"/>
        </w:rPr>
        <w:t>保证</w:t>
      </w:r>
      <w:r>
        <w:rPr>
          <w:rFonts w:hint="eastAsia" w:ascii="华文中宋" w:hAnsi="华文中宋" w:eastAsia="华文中宋" w:cs="华文中宋"/>
          <w:color w:val="auto"/>
          <w:sz w:val="22"/>
          <w:szCs w:val="22"/>
          <w:highlight w:val="none"/>
        </w:rPr>
        <w:t>及时支付各种劳务用工工资。</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六、</w:t>
      </w:r>
      <w:r>
        <w:rPr>
          <w:rFonts w:hint="eastAsia" w:ascii="华文中宋" w:hAnsi="华文中宋" w:eastAsia="华文中宋" w:cs="华文中宋"/>
          <w:color w:val="auto"/>
          <w:sz w:val="22"/>
          <w:szCs w:val="22"/>
          <w:highlight w:val="none"/>
          <w:lang w:eastAsia="zh-CN"/>
        </w:rPr>
        <w:t>对于</w:t>
      </w:r>
      <w:r>
        <w:rPr>
          <w:rFonts w:hint="eastAsia" w:ascii="华文中宋" w:hAnsi="华文中宋" w:eastAsia="华文中宋" w:cs="华文中宋"/>
          <w:color w:val="auto"/>
          <w:sz w:val="22"/>
          <w:szCs w:val="22"/>
          <w:highlight w:val="none"/>
        </w:rPr>
        <w:t>对本合同项目的实施和完成</w:t>
      </w:r>
      <w:r>
        <w:rPr>
          <w:rFonts w:hint="eastAsia" w:ascii="华文中宋" w:hAnsi="华文中宋" w:eastAsia="华文中宋" w:cs="华文中宋"/>
          <w:color w:val="auto"/>
          <w:sz w:val="22"/>
          <w:szCs w:val="22"/>
          <w:highlight w:val="none"/>
          <w:lang w:eastAsia="zh-CN"/>
        </w:rPr>
        <w:t>的合同价款</w:t>
      </w:r>
      <w:r>
        <w:rPr>
          <w:rFonts w:hint="eastAsia" w:ascii="华文中宋" w:hAnsi="华文中宋" w:eastAsia="华文中宋" w:cs="华文中宋"/>
          <w:color w:val="auto"/>
          <w:sz w:val="22"/>
          <w:szCs w:val="22"/>
          <w:highlight w:val="none"/>
        </w:rPr>
        <w:t>，</w:t>
      </w:r>
      <w:r>
        <w:rPr>
          <w:rFonts w:hint="eastAsia" w:ascii="华文中宋" w:hAnsi="华文中宋" w:eastAsia="华文中宋" w:cs="华文中宋"/>
          <w:color w:val="auto"/>
          <w:sz w:val="22"/>
          <w:szCs w:val="22"/>
          <w:highlight w:val="none"/>
          <w:lang w:eastAsia="zh-CN"/>
        </w:rPr>
        <w:t>甲方</w:t>
      </w:r>
      <w:r>
        <w:rPr>
          <w:rFonts w:hint="eastAsia" w:ascii="华文中宋" w:hAnsi="华文中宋" w:eastAsia="华文中宋" w:cs="华文中宋"/>
          <w:color w:val="auto"/>
          <w:sz w:val="22"/>
          <w:szCs w:val="22"/>
          <w:highlight w:val="none"/>
        </w:rPr>
        <w:t>在此立约：保证按照合同文件规定的时间和方式向</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支付合同价款。</w:t>
      </w:r>
    </w:p>
    <w:p>
      <w:pPr>
        <w:keepNext w:val="0"/>
        <w:keepLines w:val="0"/>
        <w:pageBreakBefore w:val="0"/>
        <w:widowControl w:val="0"/>
        <w:kinsoku/>
        <w:wordWrap/>
        <w:overflowPunct/>
        <w:topLinePunct w:val="0"/>
        <w:autoSpaceDE/>
        <w:autoSpaceDN/>
        <w:bidi w:val="0"/>
        <w:snapToGrid w:val="0"/>
        <w:spacing w:line="312" w:lineRule="auto"/>
        <w:ind w:firstLine="440" w:firstLineChars="2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七、</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在合同</w:t>
      </w:r>
      <w:r>
        <w:rPr>
          <w:rFonts w:hint="eastAsia" w:ascii="华文中宋" w:hAnsi="华文中宋" w:eastAsia="华文中宋" w:cs="华文中宋"/>
          <w:color w:val="auto"/>
          <w:sz w:val="22"/>
          <w:szCs w:val="22"/>
          <w:highlight w:val="none"/>
          <w:lang w:eastAsia="zh-CN"/>
        </w:rPr>
        <w:t>协议</w:t>
      </w:r>
      <w:r>
        <w:rPr>
          <w:rFonts w:hint="eastAsia" w:ascii="华文中宋" w:hAnsi="华文中宋" w:eastAsia="华文中宋" w:cs="华文中宋"/>
          <w:color w:val="auto"/>
          <w:sz w:val="22"/>
          <w:szCs w:val="22"/>
          <w:highlight w:val="none"/>
        </w:rPr>
        <w:t>签订后，在投标书附录中写明的</w:t>
      </w:r>
      <w:r>
        <w:rPr>
          <w:rFonts w:hint="eastAsia" w:ascii="华文中宋" w:hAnsi="华文中宋" w:eastAsia="华文中宋" w:cs="华文中宋"/>
          <w:color w:val="auto"/>
          <w:sz w:val="22"/>
          <w:szCs w:val="22"/>
          <w:highlight w:val="none"/>
          <w:lang w:eastAsia="zh-CN"/>
        </w:rPr>
        <w:t>服务</w:t>
      </w:r>
      <w:r>
        <w:rPr>
          <w:rFonts w:hint="eastAsia" w:ascii="华文中宋" w:hAnsi="华文中宋" w:eastAsia="华文中宋" w:cs="华文中宋"/>
          <w:color w:val="auto"/>
          <w:sz w:val="22"/>
          <w:szCs w:val="22"/>
          <w:highlight w:val="none"/>
        </w:rPr>
        <w:t>期限内</w:t>
      </w:r>
      <w:r>
        <w:rPr>
          <w:rFonts w:hint="eastAsia" w:ascii="华文中宋" w:hAnsi="华文中宋" w:eastAsia="华文中宋" w:cs="华文中宋"/>
          <w:color w:val="auto"/>
          <w:sz w:val="22"/>
          <w:szCs w:val="22"/>
          <w:highlight w:val="none"/>
          <w:lang w:eastAsia="zh-CN"/>
        </w:rPr>
        <w:t>完成检测</w:t>
      </w:r>
      <w:r>
        <w:rPr>
          <w:rFonts w:hint="eastAsia" w:ascii="华文中宋" w:hAnsi="华文中宋" w:eastAsia="华文中宋" w:cs="华文中宋"/>
          <w:color w:val="auto"/>
          <w:sz w:val="22"/>
          <w:szCs w:val="22"/>
          <w:highlight w:val="none"/>
        </w:rPr>
        <w:t>。本合同项目</w:t>
      </w:r>
      <w:r>
        <w:rPr>
          <w:rFonts w:hint="eastAsia" w:ascii="华文中宋" w:hAnsi="华文中宋" w:eastAsia="华文中宋" w:cs="华文中宋"/>
          <w:color w:val="auto"/>
          <w:sz w:val="22"/>
          <w:szCs w:val="22"/>
          <w:highlight w:val="none"/>
          <w:lang w:eastAsia="zh-CN"/>
        </w:rPr>
        <w:t>服务期</w:t>
      </w:r>
      <w:r>
        <w:rPr>
          <w:rFonts w:hint="eastAsia" w:ascii="华文中宋" w:hAnsi="华文中宋" w:eastAsia="华文中宋" w:cs="华文中宋"/>
          <w:color w:val="auto"/>
          <w:sz w:val="22"/>
          <w:szCs w:val="22"/>
          <w:highlight w:val="none"/>
        </w:rPr>
        <w:t>为</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个日历日，</w:t>
      </w:r>
      <w:r>
        <w:rPr>
          <w:rFonts w:hint="eastAsia" w:ascii="华文中宋" w:hAnsi="华文中宋" w:eastAsia="华文中宋" w:cs="华文中宋"/>
          <w:color w:val="auto"/>
          <w:sz w:val="22"/>
          <w:szCs w:val="22"/>
          <w:highlight w:val="none"/>
          <w:lang w:eastAsia="zh-CN"/>
        </w:rPr>
        <w:t>服务期</w:t>
      </w:r>
      <w:r>
        <w:rPr>
          <w:rFonts w:hint="eastAsia" w:ascii="华文中宋" w:hAnsi="华文中宋" w:eastAsia="华文中宋" w:cs="华文中宋"/>
          <w:color w:val="auto"/>
          <w:sz w:val="22"/>
          <w:szCs w:val="22"/>
          <w:highlight w:val="none"/>
        </w:rPr>
        <w:t>从合同签订之日算起。</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八、本</w:t>
      </w:r>
      <w:r>
        <w:rPr>
          <w:rFonts w:hint="eastAsia" w:ascii="华文中宋" w:hAnsi="华文中宋" w:eastAsia="华文中宋" w:cs="华文中宋"/>
          <w:color w:val="auto"/>
          <w:sz w:val="22"/>
          <w:szCs w:val="22"/>
          <w:highlight w:val="none"/>
          <w:lang w:eastAsia="zh-CN"/>
        </w:rPr>
        <w:t>合同</w:t>
      </w:r>
      <w:r>
        <w:rPr>
          <w:rFonts w:hint="eastAsia" w:ascii="华文中宋" w:hAnsi="华文中宋" w:eastAsia="华文中宋" w:cs="华文中宋"/>
          <w:color w:val="auto"/>
          <w:sz w:val="22"/>
          <w:szCs w:val="22"/>
          <w:highlight w:val="none"/>
        </w:rPr>
        <w:t>协议书在双方法定代表人或其授权的代理人签署与加盖公章后生效</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rPr>
        <w:t>全部</w:t>
      </w:r>
      <w:r>
        <w:rPr>
          <w:rFonts w:hint="eastAsia" w:ascii="华文中宋" w:hAnsi="华文中宋" w:eastAsia="华文中宋" w:cs="华文中宋"/>
          <w:color w:val="auto"/>
          <w:sz w:val="22"/>
          <w:szCs w:val="22"/>
          <w:highlight w:val="none"/>
          <w:lang w:eastAsia="zh-CN"/>
        </w:rPr>
        <w:t>验收完工后，出具法律效力的质量检测报告</w:t>
      </w:r>
      <w:r>
        <w:rPr>
          <w:rFonts w:hint="eastAsia" w:ascii="华文中宋" w:hAnsi="华文中宋" w:eastAsia="华文中宋" w:cs="华文中宋"/>
          <w:color w:val="auto"/>
          <w:sz w:val="22"/>
          <w:szCs w:val="22"/>
          <w:highlight w:val="none"/>
        </w:rPr>
        <w:t>，相关费用结清后失效。</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九、本</w:t>
      </w:r>
      <w:r>
        <w:rPr>
          <w:rFonts w:hint="eastAsia" w:ascii="华文中宋" w:hAnsi="华文中宋" w:eastAsia="华文中宋" w:cs="华文中宋"/>
          <w:color w:val="auto"/>
          <w:sz w:val="22"/>
          <w:szCs w:val="22"/>
          <w:highlight w:val="none"/>
          <w:lang w:eastAsia="zh-CN"/>
        </w:rPr>
        <w:t>合同</w:t>
      </w:r>
      <w:r>
        <w:rPr>
          <w:rFonts w:hint="eastAsia" w:ascii="华文中宋" w:hAnsi="华文中宋" w:eastAsia="华文中宋" w:cs="华文中宋"/>
          <w:color w:val="auto"/>
          <w:sz w:val="22"/>
          <w:szCs w:val="22"/>
          <w:highlight w:val="none"/>
        </w:rPr>
        <w:t>协议正本两份、副本四份，合同</w:t>
      </w:r>
      <w:r>
        <w:rPr>
          <w:rFonts w:hint="eastAsia" w:ascii="华文中宋" w:hAnsi="华文中宋" w:eastAsia="华文中宋" w:cs="华文中宋"/>
          <w:color w:val="auto"/>
          <w:sz w:val="22"/>
          <w:szCs w:val="22"/>
          <w:highlight w:val="none"/>
          <w:lang w:eastAsia="zh-CN"/>
        </w:rPr>
        <w:t>甲乙</w:t>
      </w:r>
      <w:r>
        <w:rPr>
          <w:rFonts w:hint="eastAsia" w:ascii="华文中宋" w:hAnsi="华文中宋" w:eastAsia="华文中宋" w:cs="华文中宋"/>
          <w:color w:val="auto"/>
          <w:sz w:val="22"/>
          <w:szCs w:val="22"/>
          <w:highlight w:val="none"/>
        </w:rPr>
        <w:t>双方各执正本一份、副本一份。当正本与副本的内容不一致时，以正本为准。</w:t>
      </w:r>
    </w:p>
    <w:p>
      <w:pPr>
        <w:keepNext w:val="0"/>
        <w:keepLines w:val="0"/>
        <w:pageBreakBefore w:val="0"/>
        <w:widowControl w:val="0"/>
        <w:kinsoku/>
        <w:wordWrap/>
        <w:overflowPunct/>
        <w:topLinePunct w:val="0"/>
        <w:autoSpaceDE/>
        <w:autoSpaceDN/>
        <w:bidi w:val="0"/>
        <w:snapToGrid w:val="0"/>
        <w:spacing w:line="312" w:lineRule="auto"/>
        <w:ind w:firstLine="660" w:firstLineChars="30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十、本合同</w:t>
      </w:r>
      <w:r>
        <w:rPr>
          <w:rFonts w:hint="eastAsia" w:ascii="华文中宋" w:hAnsi="华文中宋" w:eastAsia="华文中宋" w:cs="华文中宋"/>
          <w:color w:val="auto"/>
          <w:sz w:val="22"/>
          <w:szCs w:val="22"/>
          <w:highlight w:val="none"/>
          <w:lang w:eastAsia="zh-CN"/>
        </w:rPr>
        <w:t>协议</w:t>
      </w:r>
      <w:r>
        <w:rPr>
          <w:rFonts w:hint="eastAsia" w:ascii="华文中宋" w:hAnsi="华文中宋" w:eastAsia="华文中宋" w:cs="华文中宋"/>
          <w:color w:val="auto"/>
          <w:sz w:val="22"/>
          <w:szCs w:val="22"/>
          <w:highlight w:val="none"/>
        </w:rPr>
        <w:t>未尽事宜由双方协商解决。</w:t>
      </w:r>
      <w:r>
        <w:rPr>
          <w:rFonts w:hint="eastAsia" w:ascii="华文中宋" w:hAnsi="华文中宋" w:eastAsia="华文中宋" w:cs="华文中宋"/>
          <w:color w:val="auto"/>
          <w:sz w:val="22"/>
          <w:szCs w:val="22"/>
          <w:highlight w:val="none"/>
          <w:lang w:eastAsia="zh-CN"/>
        </w:rPr>
        <w:t>甲乙</w:t>
      </w:r>
      <w:r>
        <w:rPr>
          <w:rFonts w:hint="eastAsia" w:ascii="华文中宋" w:hAnsi="华文中宋" w:eastAsia="华文中宋" w:cs="华文中宋"/>
          <w:color w:val="auto"/>
          <w:sz w:val="22"/>
          <w:szCs w:val="22"/>
          <w:highlight w:val="none"/>
        </w:rPr>
        <w:t>双方在履行本合同过程中发生争端时，双方应通过友好协商解决一切争议。如果经协商不能达成协议，提请双方有关</w:t>
      </w:r>
      <w:r>
        <w:rPr>
          <w:rFonts w:hint="eastAsia" w:ascii="华文中宋" w:hAnsi="华文中宋" w:eastAsia="华文中宋" w:cs="华文中宋"/>
          <w:color w:val="auto"/>
          <w:sz w:val="22"/>
          <w:szCs w:val="22"/>
          <w:highlight w:val="none"/>
          <w:lang w:eastAsia="zh-CN"/>
        </w:rPr>
        <w:t>上级</w:t>
      </w:r>
      <w:r>
        <w:rPr>
          <w:rFonts w:hint="eastAsia" w:ascii="华文中宋" w:hAnsi="华文中宋" w:eastAsia="华文中宋" w:cs="华文中宋"/>
          <w:color w:val="auto"/>
          <w:sz w:val="22"/>
          <w:szCs w:val="22"/>
          <w:highlight w:val="none"/>
        </w:rPr>
        <w:t>部门协调解决。仍不能达成一致的，应向甲方所在地有管辖权的人民法院诉讼解决。因提起民事诉讼</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rPr>
        <w:t>违约方应赔偿守约方的损失</w:t>
      </w:r>
      <w:r>
        <w:rPr>
          <w:rFonts w:hint="eastAsia" w:ascii="华文中宋" w:hAnsi="华文中宋" w:eastAsia="华文中宋" w:cs="华文中宋"/>
          <w:color w:val="auto"/>
          <w:sz w:val="22"/>
          <w:szCs w:val="22"/>
          <w:highlight w:val="none"/>
          <w:lang w:eastAsia="zh-CN"/>
        </w:rPr>
        <w:t>，</w:t>
      </w:r>
      <w:r>
        <w:rPr>
          <w:rFonts w:hint="eastAsia" w:ascii="华文中宋" w:hAnsi="华文中宋" w:eastAsia="华文中宋" w:cs="华文中宋"/>
          <w:color w:val="auto"/>
          <w:sz w:val="22"/>
          <w:szCs w:val="22"/>
          <w:highlight w:val="none"/>
        </w:rPr>
        <w:t>包括但不限于律师费用、财产保全费用、财务费用、差旅费用等。</w:t>
      </w:r>
    </w:p>
    <w:p>
      <w:pPr>
        <w:keepNext w:val="0"/>
        <w:keepLines w:val="0"/>
        <w:pageBreakBefore w:val="0"/>
        <w:widowControl w:val="0"/>
        <w:kinsoku/>
        <w:wordWrap/>
        <w:overflowPunct/>
        <w:topLinePunct w:val="0"/>
        <w:autoSpaceDE/>
        <w:autoSpaceDN/>
        <w:bidi w:val="0"/>
        <w:snapToGrid w:val="0"/>
        <w:spacing w:line="312" w:lineRule="auto"/>
        <w:ind w:firstLine="220" w:firstLineChars="100"/>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u w:val="single"/>
        </w:rPr>
      </w:pPr>
      <w:r>
        <w:rPr>
          <w:rFonts w:hint="eastAsia" w:ascii="华文中宋" w:hAnsi="华文中宋" w:eastAsia="华文中宋" w:cs="华文中宋"/>
          <w:color w:val="auto"/>
          <w:sz w:val="22"/>
          <w:szCs w:val="22"/>
          <w:highlight w:val="none"/>
          <w:lang w:eastAsia="zh-CN"/>
        </w:rPr>
        <w:t>甲方</w:t>
      </w:r>
      <w:r>
        <w:rPr>
          <w:rFonts w:hint="eastAsia" w:ascii="华文中宋" w:hAnsi="华文中宋" w:eastAsia="华文中宋" w:cs="华文中宋"/>
          <w:color w:val="auto"/>
          <w:sz w:val="22"/>
          <w:szCs w:val="22"/>
          <w:highlight w:val="none"/>
        </w:rPr>
        <w:t>：</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u w:val="single"/>
          <w:lang w:eastAsia="zh-CN"/>
        </w:rPr>
        <w:t>（全称）</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u w:val="single"/>
        </w:rPr>
        <w:t xml:space="preserve">（盖章） </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lang w:eastAsia="zh-CN"/>
        </w:rPr>
        <w:t>乙方</w:t>
      </w:r>
      <w:r>
        <w:rPr>
          <w:rFonts w:hint="eastAsia" w:ascii="华文中宋" w:hAnsi="华文中宋" w:eastAsia="华文中宋" w:cs="华文中宋"/>
          <w:color w:val="auto"/>
          <w:sz w:val="22"/>
          <w:szCs w:val="22"/>
          <w:highlight w:val="none"/>
        </w:rPr>
        <w:t>：</w:t>
      </w:r>
      <w:r>
        <w:rPr>
          <w:rFonts w:hint="eastAsia" w:ascii="华文中宋" w:hAnsi="华文中宋" w:eastAsia="华文中宋" w:cs="华文中宋"/>
          <w:color w:val="auto"/>
          <w:sz w:val="22"/>
          <w:szCs w:val="22"/>
          <w:highlight w:val="none"/>
          <w:u w:val="single"/>
        </w:rPr>
        <w:t xml:space="preserve">       （全称）     （盖章）</w:t>
      </w: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法定代表人或                        法定代表人或</w:t>
      </w: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其授权的代理人：</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 xml:space="preserve">    其授权的代理人：</w:t>
      </w:r>
      <w:r>
        <w:rPr>
          <w:rFonts w:hint="eastAsia" w:ascii="华文中宋" w:hAnsi="华文中宋" w:eastAsia="华文中宋" w:cs="华文中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snapToGrid w:val="0"/>
        <w:spacing w:line="312" w:lineRule="auto"/>
        <w:ind w:firstLine="110" w:firstLineChars="5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（姓名）                             （姓名）</w:t>
      </w:r>
    </w:p>
    <w:p>
      <w:pPr>
        <w:keepNext w:val="0"/>
        <w:keepLines w:val="0"/>
        <w:pageBreakBefore w:val="0"/>
        <w:widowControl w:val="0"/>
        <w:kinsoku/>
        <w:wordWrap/>
        <w:overflowPunct/>
        <w:topLinePunct w:val="0"/>
        <w:autoSpaceDE/>
        <w:autoSpaceDN/>
        <w:bidi w:val="0"/>
        <w:snapToGrid w:val="0"/>
        <w:spacing w:line="312" w:lineRule="auto"/>
        <w:ind w:firstLine="110" w:firstLineChars="50"/>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（签字）                             （签字）</w:t>
      </w: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snapToGrid w:val="0"/>
        <w:spacing w:line="312" w:lineRule="auto"/>
        <w:textAlignment w:val="auto"/>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日期：</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rPr>
        <w:t>日期：</w:t>
      </w:r>
      <w:r>
        <w:rPr>
          <w:rFonts w:hint="eastAsia" w:ascii="华文中宋" w:hAnsi="华文中宋" w:eastAsia="华文中宋" w:cs="华文中宋"/>
          <w:color w:val="auto"/>
          <w:sz w:val="22"/>
          <w:szCs w:val="22"/>
          <w:highlight w:val="none"/>
          <w:u w:val="single"/>
          <w:lang w:val="en-US" w:eastAsia="zh-CN"/>
        </w:rPr>
        <w:t xml:space="preserve">              </w:t>
      </w:r>
    </w:p>
    <w:p>
      <w:pPr>
        <w:pStyle w:val="14"/>
        <w:ind w:firstLine="1802" w:firstLineChars="500"/>
        <w:outlineLvl w:val="0"/>
        <w:rPr>
          <w:rFonts w:hint="eastAsia" w:ascii="华文中宋" w:hAnsi="华文中宋" w:eastAsia="华文中宋" w:cs="华文中宋"/>
          <w:b/>
          <w:bCs/>
          <w:sz w:val="36"/>
          <w:szCs w:val="36"/>
        </w:rPr>
      </w:pPr>
    </w:p>
    <w:p>
      <w:pPr>
        <w:pStyle w:val="14"/>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ind w:firstLine="1802" w:firstLineChars="500"/>
        <w:outlineLvl w:val="0"/>
        <w:rPr>
          <w:rFonts w:hint="eastAsia" w:ascii="华文中宋" w:hAnsi="华文中宋" w:eastAsia="华文中宋" w:cs="华文中宋"/>
          <w:b/>
          <w:bCs/>
          <w:sz w:val="36"/>
          <w:szCs w:val="36"/>
        </w:rPr>
      </w:pPr>
    </w:p>
    <w:p>
      <w:pPr>
        <w:pStyle w:val="14"/>
        <w:jc w:val="center"/>
        <w:outlineLvl w:val="0"/>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第六章 磋商响应文件格式及构成</w:t>
      </w:r>
      <w:bookmarkEnd w:id="45"/>
      <w:bookmarkEnd w:id="46"/>
      <w:bookmarkEnd w:id="47"/>
      <w:bookmarkEnd w:id="48"/>
      <w:bookmarkEnd w:id="50"/>
      <w:bookmarkEnd w:id="51"/>
    </w:p>
    <w:p>
      <w:pPr>
        <w:spacing w:line="360" w:lineRule="auto"/>
        <w:ind w:firstLine="440" w:firstLineChars="200"/>
        <w:rPr>
          <w:rFonts w:hint="eastAsia" w:ascii="华文中宋" w:hAnsi="华文中宋" w:eastAsia="华文中宋" w:cs="华文中宋"/>
          <w:sz w:val="22"/>
          <w:szCs w:val="22"/>
        </w:rPr>
      </w:pPr>
    </w:p>
    <w:p>
      <w:pPr>
        <w:spacing w:line="360" w:lineRule="auto"/>
        <w:ind w:firstLine="440" w:firstLineChars="200"/>
        <w:rPr>
          <w:rFonts w:hint="eastAsia" w:ascii="华文中宋" w:hAnsi="华文中宋" w:eastAsia="华文中宋" w:cs="华文中宋"/>
          <w:sz w:val="22"/>
          <w:szCs w:val="22"/>
        </w:rPr>
      </w:pPr>
      <w:r>
        <w:rPr>
          <w:rFonts w:hint="eastAsia" w:ascii="华文中宋" w:hAnsi="华文中宋" w:eastAsia="华文中宋" w:cs="华文中宋"/>
          <w:sz w:val="22"/>
          <w:szCs w:val="22"/>
        </w:rPr>
        <w:t>1、磋商响应文件格式由本章目录所列第1部分至第8部分构成。</w:t>
      </w:r>
    </w:p>
    <w:p>
      <w:pPr>
        <w:spacing w:line="360" w:lineRule="auto"/>
        <w:ind w:firstLine="440" w:firstLineChars="200"/>
        <w:rPr>
          <w:rFonts w:hint="eastAsia" w:ascii="华文中宋" w:hAnsi="华文中宋" w:eastAsia="华文中宋" w:cs="华文中宋"/>
          <w:sz w:val="22"/>
          <w:szCs w:val="22"/>
        </w:rPr>
      </w:pPr>
      <w:r>
        <w:rPr>
          <w:rFonts w:hint="eastAsia" w:ascii="华文中宋" w:hAnsi="华文中宋" w:eastAsia="华文中宋" w:cs="华文中宋"/>
          <w:sz w:val="22"/>
          <w:szCs w:val="22"/>
        </w:rPr>
        <w:t>2、磋商</w:t>
      </w:r>
      <w:r>
        <w:rPr>
          <w:rFonts w:hint="eastAsia" w:ascii="华文中宋" w:hAnsi="华文中宋" w:eastAsia="华文中宋" w:cs="华文中宋"/>
          <w:sz w:val="22"/>
          <w:szCs w:val="22"/>
          <w:lang w:val="en-US" w:eastAsia="zh-CN"/>
        </w:rPr>
        <w:t>响应人</w:t>
      </w:r>
      <w:r>
        <w:rPr>
          <w:rFonts w:hint="eastAsia" w:ascii="华文中宋" w:hAnsi="华文中宋" w:eastAsia="华文中宋" w:cs="华文中宋"/>
          <w:sz w:val="22"/>
          <w:szCs w:val="22"/>
        </w:rPr>
        <w:t>应认真审阅本章内容，并参照格式要求编制磋商响应文件。凡未按格式要求编制磋商响应文件而造成的不利后果，由磋商</w:t>
      </w:r>
      <w:r>
        <w:rPr>
          <w:rFonts w:hint="eastAsia" w:ascii="华文中宋" w:hAnsi="华文中宋" w:eastAsia="华文中宋" w:cs="华文中宋"/>
          <w:sz w:val="22"/>
          <w:szCs w:val="22"/>
          <w:lang w:val="en-US" w:eastAsia="zh-CN"/>
        </w:rPr>
        <w:t>响应人</w:t>
      </w:r>
      <w:r>
        <w:rPr>
          <w:rFonts w:hint="eastAsia" w:ascii="华文中宋" w:hAnsi="华文中宋" w:eastAsia="华文中宋" w:cs="华文中宋"/>
          <w:sz w:val="22"/>
          <w:szCs w:val="22"/>
        </w:rPr>
        <w:t>自行承担。</w:t>
      </w:r>
    </w:p>
    <w:p>
      <w:pPr>
        <w:spacing w:line="360" w:lineRule="auto"/>
        <w:ind w:firstLine="440" w:firstLineChars="200"/>
        <w:rPr>
          <w:rFonts w:hint="eastAsia" w:ascii="华文中宋" w:hAnsi="华文中宋" w:eastAsia="华文中宋" w:cs="华文中宋"/>
          <w:sz w:val="22"/>
          <w:szCs w:val="22"/>
        </w:rPr>
      </w:pPr>
      <w:r>
        <w:rPr>
          <w:rFonts w:hint="eastAsia" w:ascii="华文中宋" w:hAnsi="华文中宋" w:eastAsia="华文中宋" w:cs="华文中宋"/>
          <w:sz w:val="22"/>
          <w:szCs w:val="22"/>
        </w:rPr>
        <w:t>3、磋商响应文件的正、副本不相符的，以正本为准。</w:t>
      </w:r>
    </w:p>
    <w:p>
      <w:pPr>
        <w:spacing w:line="360" w:lineRule="auto"/>
        <w:ind w:firstLine="440" w:firstLineChars="200"/>
        <w:rPr>
          <w:rFonts w:hint="eastAsia" w:ascii="华文中宋" w:hAnsi="华文中宋" w:eastAsia="华文中宋" w:cs="华文中宋"/>
          <w:sz w:val="22"/>
          <w:szCs w:val="22"/>
          <w:lang w:eastAsia="zh-CN"/>
        </w:rPr>
      </w:pPr>
      <w:r>
        <w:rPr>
          <w:rFonts w:hint="eastAsia" w:ascii="华文中宋" w:hAnsi="华文中宋" w:eastAsia="华文中宋" w:cs="华文中宋"/>
          <w:sz w:val="22"/>
          <w:szCs w:val="22"/>
        </w:rPr>
        <w:t>4、提倡双面打印</w:t>
      </w:r>
      <w:r>
        <w:rPr>
          <w:rFonts w:hint="eastAsia" w:ascii="华文中宋" w:hAnsi="华文中宋" w:eastAsia="华文中宋" w:cs="华文中宋"/>
          <w:sz w:val="22"/>
          <w:szCs w:val="22"/>
          <w:lang w:eastAsia="zh-CN"/>
        </w:rPr>
        <w:t>。</w:t>
      </w:r>
    </w:p>
    <w:p>
      <w:pPr>
        <w:pStyle w:val="14"/>
        <w:rPr>
          <w:rFonts w:hint="eastAsia" w:ascii="华文中宋" w:hAnsi="华文中宋" w:eastAsia="华文中宋" w:cs="华文中宋"/>
          <w:sz w:val="48"/>
          <w:szCs w:val="44"/>
        </w:rPr>
      </w:pPr>
    </w:p>
    <w:p>
      <w:pPr>
        <w:pStyle w:val="14"/>
        <w:rPr>
          <w:rFonts w:hint="eastAsia" w:ascii="华文中宋" w:hAnsi="华文中宋" w:eastAsia="华文中宋" w:cs="华文中宋"/>
          <w:sz w:val="48"/>
          <w:szCs w:val="44"/>
        </w:rPr>
      </w:pPr>
    </w:p>
    <w:p>
      <w:pPr>
        <w:pStyle w:val="4"/>
        <w:widowControl/>
        <w:spacing w:line="525" w:lineRule="atLeast"/>
        <w:jc w:val="both"/>
        <w:rPr>
          <w:rFonts w:hint="eastAsia" w:ascii="华文中宋" w:hAnsi="华文中宋" w:eastAsia="华文中宋" w:cs="华文中宋"/>
          <w:bCs/>
          <w:kern w:val="1"/>
          <w:sz w:val="44"/>
          <w:szCs w:val="44"/>
        </w:rPr>
      </w:pPr>
    </w:p>
    <w:p>
      <w:pPr>
        <w:pStyle w:val="4"/>
        <w:widowControl/>
        <w:spacing w:line="525" w:lineRule="atLeast"/>
        <w:jc w:val="center"/>
        <w:rPr>
          <w:rFonts w:hint="eastAsia" w:ascii="华文中宋" w:hAnsi="华文中宋" w:eastAsia="华文中宋" w:cs="华文中宋"/>
          <w:bCs/>
          <w:kern w:val="1"/>
          <w:sz w:val="44"/>
          <w:szCs w:val="44"/>
        </w:rPr>
      </w:pPr>
    </w:p>
    <w:p>
      <w:pPr>
        <w:pStyle w:val="4"/>
        <w:widowControl/>
        <w:spacing w:line="525" w:lineRule="atLeast"/>
        <w:jc w:val="center"/>
        <w:rPr>
          <w:rFonts w:hint="eastAsia" w:ascii="华文中宋" w:hAnsi="华文中宋" w:eastAsia="华文中宋" w:cs="华文中宋"/>
          <w:bCs/>
          <w:kern w:val="1"/>
          <w:sz w:val="44"/>
          <w:szCs w:val="44"/>
        </w:rPr>
      </w:pPr>
    </w:p>
    <w:p>
      <w:pPr>
        <w:pStyle w:val="4"/>
        <w:widowControl/>
        <w:spacing w:line="525" w:lineRule="atLeast"/>
        <w:jc w:val="center"/>
        <w:rPr>
          <w:rFonts w:hint="eastAsia" w:ascii="华文中宋" w:hAnsi="华文中宋" w:eastAsia="华文中宋" w:cs="华文中宋"/>
          <w:bCs/>
          <w:kern w:val="1"/>
          <w:sz w:val="44"/>
          <w:szCs w:val="44"/>
        </w:rPr>
      </w:pPr>
    </w:p>
    <w:p>
      <w:pPr>
        <w:spacing w:line="360" w:lineRule="auto"/>
        <w:jc w:val="both"/>
        <w:outlineLvl w:val="0"/>
        <w:rPr>
          <w:rFonts w:hint="eastAsia" w:ascii="华文中宋" w:hAnsi="华文中宋" w:eastAsia="华文中宋" w:cs="华文中宋"/>
          <w:b/>
          <w:sz w:val="36"/>
          <w:szCs w:val="28"/>
        </w:rPr>
      </w:pPr>
    </w:p>
    <w:p>
      <w:pPr>
        <w:spacing w:line="360" w:lineRule="auto"/>
        <w:jc w:val="center"/>
        <w:rPr>
          <w:rFonts w:hint="eastAsia" w:ascii="华文中宋" w:hAnsi="华文中宋" w:eastAsia="华文中宋" w:cs="华文中宋"/>
          <w:b/>
          <w:bCs/>
          <w:color w:val="auto"/>
          <w:kern w:val="1"/>
          <w:sz w:val="40"/>
          <w:szCs w:val="40"/>
          <w:highlight w:val="none"/>
          <w:lang w:val="en-US" w:eastAsia="zh-Hans"/>
        </w:rPr>
      </w:pPr>
    </w:p>
    <w:p>
      <w:pPr>
        <w:spacing w:line="360" w:lineRule="auto"/>
        <w:jc w:val="both"/>
        <w:rPr>
          <w:rFonts w:hint="eastAsia" w:ascii="华文中宋" w:hAnsi="华文中宋" w:eastAsia="华文中宋" w:cs="华文中宋"/>
          <w:b/>
          <w:bCs/>
          <w:color w:val="auto"/>
          <w:kern w:val="1"/>
          <w:sz w:val="40"/>
          <w:szCs w:val="40"/>
          <w:highlight w:val="none"/>
          <w:lang w:val="en-US" w:eastAsia="zh-Hans"/>
        </w:rPr>
      </w:pPr>
    </w:p>
    <w:p>
      <w:pPr>
        <w:pStyle w:val="14"/>
        <w:jc w:val="center"/>
        <w:rPr>
          <w:rFonts w:hint="eastAsia" w:ascii="华文中宋" w:hAnsi="华文中宋" w:eastAsia="华文中宋" w:cs="华文中宋"/>
          <w:color w:val="auto"/>
          <w:highlight w:val="none"/>
        </w:rPr>
      </w:pPr>
      <w:r>
        <w:rPr>
          <w:rFonts w:hint="eastAsia" w:ascii="华文中宋" w:hAnsi="华文中宋" w:eastAsia="华文中宋" w:cs="华文中宋"/>
          <w:b/>
          <w:bCs/>
          <w:color w:val="auto"/>
          <w:kern w:val="1"/>
          <w:sz w:val="40"/>
          <w:szCs w:val="40"/>
          <w:highlight w:val="none"/>
        </w:rPr>
        <w:t>略阳县秦岭保护区矿业权退出评估项目</w:t>
      </w:r>
    </w:p>
    <w:p>
      <w:pPr>
        <w:rPr>
          <w:rFonts w:hint="eastAsia" w:ascii="华文中宋" w:hAnsi="华文中宋" w:eastAsia="华文中宋" w:cs="华文中宋"/>
          <w:color w:val="auto"/>
          <w:highlight w:val="none"/>
        </w:rPr>
      </w:pPr>
    </w:p>
    <w:p>
      <w:pPr>
        <w:pStyle w:val="14"/>
        <w:rPr>
          <w:rFonts w:hint="eastAsia" w:ascii="华文中宋" w:hAnsi="华文中宋" w:eastAsia="华文中宋" w:cs="华文中宋"/>
          <w:color w:val="auto"/>
          <w:highlight w:val="none"/>
        </w:rPr>
      </w:pPr>
    </w:p>
    <w:p>
      <w:pPr>
        <w:rPr>
          <w:rFonts w:hint="eastAsia" w:ascii="华文中宋" w:hAnsi="华文中宋" w:eastAsia="华文中宋" w:cs="华文中宋"/>
          <w:color w:val="auto"/>
          <w:highlight w:val="none"/>
        </w:rPr>
      </w:pPr>
    </w:p>
    <w:p>
      <w:pPr>
        <w:pStyle w:val="14"/>
        <w:rPr>
          <w:rFonts w:hint="eastAsia" w:ascii="华文中宋" w:hAnsi="华文中宋" w:eastAsia="华文中宋" w:cs="华文中宋"/>
          <w:color w:val="auto"/>
          <w:highlight w:val="none"/>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华文中宋" w:hAnsi="华文中宋" w:eastAsia="华文中宋" w:cs="华文中宋"/>
          <w:b/>
          <w:sz w:val="40"/>
          <w:szCs w:val="32"/>
        </w:rPr>
      </w:pPr>
      <w:bookmarkStart w:id="52" w:name="_Toc932_WPSOffice_Level1"/>
      <w:bookmarkStart w:id="53" w:name="_Toc22374"/>
      <w:bookmarkStart w:id="54" w:name="_Toc9534_WPSOffice_Level1"/>
      <w:bookmarkStart w:id="55" w:name="_Toc2870"/>
      <w:bookmarkStart w:id="56" w:name="_Toc24846"/>
      <w:bookmarkStart w:id="57" w:name="_Toc31582_WPSOffice_Level1"/>
      <w:bookmarkStart w:id="58" w:name="_Toc2737_WPSOffice_Level1"/>
      <w:bookmarkStart w:id="59" w:name="_Toc24903"/>
      <w:bookmarkStart w:id="60" w:name="_Toc2888"/>
      <w:r>
        <w:rPr>
          <w:rFonts w:hint="eastAsia" w:ascii="华文中宋" w:hAnsi="华文中宋" w:eastAsia="华文中宋" w:cs="华文中宋"/>
          <w:b/>
          <w:sz w:val="36"/>
          <w:szCs w:val="28"/>
        </w:rPr>
        <w:t>磋商响应文件</w:t>
      </w:r>
      <w:bookmarkEnd w:id="52"/>
      <w:bookmarkEnd w:id="53"/>
      <w:bookmarkEnd w:id="54"/>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华文中宋" w:hAnsi="华文中宋" w:eastAsia="华文中宋" w:cs="华文中宋"/>
          <w:b/>
          <w:bCs/>
          <w:sz w:val="36"/>
          <w:szCs w:val="28"/>
        </w:rPr>
      </w:pPr>
      <w:bookmarkStart w:id="61" w:name="_Toc7991_WPSOffice_Level1"/>
      <w:bookmarkStart w:id="62" w:name="_Toc15907_WPSOffice_Level1"/>
      <w:bookmarkStart w:id="63" w:name="_Toc17069"/>
      <w:bookmarkStart w:id="64" w:name="_Toc2597"/>
      <w:bookmarkStart w:id="65" w:name="_Toc14277"/>
      <w:bookmarkStart w:id="66" w:name="_Toc14219"/>
      <w:bookmarkStart w:id="67" w:name="_Toc22164_WPSOffice_Level1"/>
      <w:bookmarkStart w:id="68" w:name="_Toc5626_WPSOffice_Level1"/>
      <w:bookmarkStart w:id="69" w:name="_Toc29066"/>
      <w:r>
        <w:rPr>
          <w:rFonts w:hint="eastAsia" w:ascii="华文中宋" w:hAnsi="华文中宋" w:eastAsia="华文中宋" w:cs="华文中宋"/>
          <w:b/>
          <w:bCs/>
          <w:sz w:val="36"/>
          <w:szCs w:val="28"/>
        </w:rPr>
        <w:t>（正本或副本）</w:t>
      </w:r>
      <w:bookmarkEnd w:id="61"/>
      <w:bookmarkEnd w:id="62"/>
      <w:bookmarkEnd w:id="63"/>
      <w:bookmarkEnd w:id="64"/>
      <w:bookmarkEnd w:id="65"/>
      <w:bookmarkEnd w:id="66"/>
      <w:bookmarkEnd w:id="67"/>
      <w:bookmarkEnd w:id="68"/>
      <w:bookmarkEnd w:id="69"/>
    </w:p>
    <w:p>
      <w:pPr>
        <w:spacing w:line="720" w:lineRule="exact"/>
        <w:rPr>
          <w:rFonts w:hint="eastAsia" w:ascii="华文中宋" w:hAnsi="华文中宋" w:eastAsia="华文中宋" w:cs="华文中宋"/>
          <w:sz w:val="32"/>
        </w:rPr>
      </w:pPr>
    </w:p>
    <w:p>
      <w:pPr>
        <w:pStyle w:val="14"/>
        <w:rPr>
          <w:rFonts w:hint="eastAsia" w:ascii="华文中宋" w:hAnsi="华文中宋" w:eastAsia="华文中宋" w:cs="华文中宋"/>
          <w:sz w:val="32"/>
        </w:rPr>
      </w:pPr>
    </w:p>
    <w:p>
      <w:pPr>
        <w:rPr>
          <w:rFonts w:hint="eastAsia" w:ascii="华文中宋" w:hAnsi="华文中宋" w:eastAsia="华文中宋" w:cs="华文中宋"/>
        </w:rPr>
      </w:pPr>
    </w:p>
    <w:p>
      <w:pPr>
        <w:rPr>
          <w:rFonts w:hint="eastAsia" w:ascii="华文中宋" w:hAnsi="华文中宋" w:eastAsia="华文中宋" w:cs="华文中宋"/>
          <w:sz w:val="32"/>
        </w:rPr>
      </w:pPr>
    </w:p>
    <w:p>
      <w:pPr>
        <w:pStyle w:val="17"/>
        <w:rPr>
          <w:rFonts w:hint="eastAsia" w:ascii="华文中宋" w:hAnsi="华文中宋" w:eastAsia="华文中宋" w:cs="华文中宋"/>
        </w:rPr>
      </w:pPr>
    </w:p>
    <w:p>
      <w:pPr>
        <w:rPr>
          <w:rFonts w:hint="eastAsia" w:ascii="华文中宋" w:hAnsi="华文中宋" w:eastAsia="华文中宋" w:cs="华文中宋"/>
          <w:sz w:val="32"/>
        </w:rPr>
      </w:pPr>
    </w:p>
    <w:p>
      <w:pPr>
        <w:rPr>
          <w:rFonts w:hint="eastAsia" w:ascii="华文中宋" w:hAnsi="华文中宋" w:eastAsia="华文中宋" w:cs="华文中宋"/>
          <w:sz w:val="32"/>
        </w:rPr>
      </w:pPr>
    </w:p>
    <w:p>
      <w:pPr>
        <w:keepNext w:val="0"/>
        <w:keepLines w:val="0"/>
        <w:pageBreakBefore w:val="0"/>
        <w:widowControl w:val="0"/>
        <w:kinsoku/>
        <w:wordWrap/>
        <w:overflowPunct/>
        <w:topLinePunct w:val="0"/>
        <w:autoSpaceDE/>
        <w:autoSpaceDN/>
        <w:bidi w:val="0"/>
        <w:adjustRightInd/>
        <w:snapToGrid/>
        <w:spacing w:line="480" w:lineRule="auto"/>
        <w:ind w:firstLine="901" w:firstLineChars="375"/>
        <w:textAlignment w:val="auto"/>
        <w:outlineLvl w:val="0"/>
        <w:rPr>
          <w:rFonts w:hint="eastAsia" w:ascii="华文中宋" w:hAnsi="华文中宋" w:eastAsia="华文中宋" w:cs="华文中宋"/>
          <w:b/>
          <w:bCs/>
          <w:sz w:val="24"/>
          <w:szCs w:val="22"/>
          <w:u w:val="single"/>
          <w:lang w:val="en-US" w:eastAsia="zh-CN"/>
        </w:rPr>
      </w:pPr>
      <w:bookmarkStart w:id="70" w:name="_Toc841_WPSOffice_Level1"/>
      <w:bookmarkStart w:id="71" w:name="_Toc14280"/>
      <w:bookmarkStart w:id="72" w:name="_Toc26902_WPSOffice_Level1"/>
      <w:bookmarkStart w:id="73" w:name="_Toc23944"/>
      <w:bookmarkStart w:id="74" w:name="_Toc27880_WPSOffice_Level1"/>
      <w:bookmarkStart w:id="75" w:name="_Toc24770"/>
      <w:bookmarkStart w:id="76" w:name="_Toc2131_WPSOffice_Level1"/>
      <w:bookmarkStart w:id="77" w:name="_Toc15839"/>
      <w:bookmarkStart w:id="78" w:name="_Toc31718"/>
      <w:r>
        <w:rPr>
          <w:rFonts w:hint="eastAsia" w:ascii="华文中宋" w:hAnsi="华文中宋" w:eastAsia="华文中宋" w:cs="华文中宋"/>
          <w:b/>
          <w:bCs/>
          <w:sz w:val="24"/>
          <w:szCs w:val="22"/>
        </w:rPr>
        <w:t>项</w:t>
      </w:r>
      <w:r>
        <w:rPr>
          <w:rFonts w:hint="eastAsia" w:ascii="华文中宋" w:hAnsi="华文中宋" w:eastAsia="华文中宋" w:cs="华文中宋"/>
          <w:b/>
          <w:bCs/>
          <w:sz w:val="24"/>
          <w:szCs w:val="22"/>
          <w:lang w:val="en-US" w:eastAsia="zh-CN"/>
        </w:rPr>
        <w:t xml:space="preserve"> </w:t>
      </w:r>
      <w:r>
        <w:rPr>
          <w:rFonts w:hint="eastAsia" w:ascii="华文中宋" w:hAnsi="华文中宋" w:eastAsia="华文中宋" w:cs="华文中宋"/>
          <w:b/>
          <w:bCs/>
          <w:sz w:val="24"/>
          <w:szCs w:val="22"/>
        </w:rPr>
        <w:t>目</w:t>
      </w:r>
      <w:r>
        <w:rPr>
          <w:rFonts w:hint="eastAsia" w:ascii="华文中宋" w:hAnsi="华文中宋" w:eastAsia="华文中宋" w:cs="华文中宋"/>
          <w:b/>
          <w:bCs/>
          <w:sz w:val="24"/>
          <w:szCs w:val="22"/>
          <w:lang w:val="en-US" w:eastAsia="zh-CN"/>
        </w:rPr>
        <w:t xml:space="preserve"> </w:t>
      </w:r>
      <w:r>
        <w:rPr>
          <w:rFonts w:hint="eastAsia" w:ascii="华文中宋" w:hAnsi="华文中宋" w:eastAsia="华文中宋" w:cs="华文中宋"/>
          <w:b/>
          <w:bCs/>
          <w:sz w:val="24"/>
          <w:szCs w:val="22"/>
        </w:rPr>
        <w:t>编</w:t>
      </w:r>
      <w:r>
        <w:rPr>
          <w:rFonts w:hint="eastAsia" w:ascii="华文中宋" w:hAnsi="华文中宋" w:eastAsia="华文中宋" w:cs="华文中宋"/>
          <w:b/>
          <w:bCs/>
          <w:sz w:val="24"/>
          <w:szCs w:val="22"/>
          <w:lang w:val="en-US" w:eastAsia="zh-CN"/>
        </w:rPr>
        <w:t xml:space="preserve"> </w:t>
      </w:r>
      <w:r>
        <w:rPr>
          <w:rFonts w:hint="eastAsia" w:ascii="华文中宋" w:hAnsi="华文中宋" w:eastAsia="华文中宋" w:cs="华文中宋"/>
          <w:b/>
          <w:bCs/>
          <w:sz w:val="24"/>
          <w:szCs w:val="22"/>
        </w:rPr>
        <w:t>号：</w:t>
      </w:r>
      <w:bookmarkEnd w:id="70"/>
      <w:bookmarkEnd w:id="71"/>
      <w:bookmarkEnd w:id="72"/>
      <w:bookmarkEnd w:id="73"/>
      <w:bookmarkEnd w:id="74"/>
      <w:bookmarkEnd w:id="75"/>
      <w:bookmarkEnd w:id="76"/>
      <w:bookmarkEnd w:id="77"/>
      <w:bookmarkEnd w:id="78"/>
      <w:r>
        <w:rPr>
          <w:rFonts w:hint="eastAsia" w:ascii="华文中宋" w:hAnsi="华文中宋" w:eastAsia="华文中宋" w:cs="华文中宋"/>
          <w:b/>
          <w:bCs/>
          <w:sz w:val="24"/>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01" w:firstLineChars="375"/>
        <w:textAlignment w:val="auto"/>
        <w:outlineLvl w:val="0"/>
        <w:rPr>
          <w:rFonts w:hint="eastAsia" w:ascii="华文中宋" w:hAnsi="华文中宋" w:eastAsia="华文中宋" w:cs="华文中宋"/>
          <w:b/>
          <w:bCs/>
          <w:sz w:val="24"/>
          <w:szCs w:val="28"/>
          <w:lang w:val="en-US" w:eastAsia="zh-CN"/>
        </w:rPr>
      </w:pPr>
      <w:bookmarkStart w:id="79" w:name="_Toc9996"/>
      <w:bookmarkStart w:id="80" w:name="_Toc2788_WPSOffice_Level1"/>
      <w:bookmarkStart w:id="81" w:name="_Toc1094_WPSOffice_Level1"/>
      <w:bookmarkStart w:id="82" w:name="_Toc24793_WPSOffice_Level1"/>
      <w:bookmarkStart w:id="83" w:name="_Toc1270_WPSOffice_Level1"/>
      <w:bookmarkStart w:id="84" w:name="_Toc16704"/>
      <w:bookmarkStart w:id="85" w:name="_Toc29453"/>
      <w:bookmarkStart w:id="86" w:name="_Toc24685"/>
      <w:bookmarkStart w:id="87" w:name="_Toc30156"/>
      <w:r>
        <w:rPr>
          <w:rFonts w:hint="eastAsia" w:ascii="华文中宋" w:hAnsi="华文中宋" w:eastAsia="华文中宋" w:cs="华文中宋"/>
          <w:b/>
          <w:bCs/>
          <w:sz w:val="24"/>
          <w:szCs w:val="28"/>
        </w:rPr>
        <w:t xml:space="preserve">供 </w:t>
      </w:r>
      <w:r>
        <w:rPr>
          <w:rFonts w:hint="eastAsia" w:ascii="华文中宋" w:hAnsi="华文中宋" w:eastAsia="华文中宋" w:cs="华文中宋"/>
          <w:b/>
          <w:bCs/>
          <w:sz w:val="24"/>
          <w:szCs w:val="28"/>
          <w:lang w:val="en-US" w:eastAsia="zh-CN"/>
        </w:rPr>
        <w:t xml:space="preserve">  </w:t>
      </w:r>
      <w:r>
        <w:rPr>
          <w:rFonts w:hint="eastAsia" w:ascii="华文中宋" w:hAnsi="华文中宋" w:eastAsia="华文中宋" w:cs="华文中宋"/>
          <w:b/>
          <w:bCs/>
          <w:sz w:val="24"/>
          <w:szCs w:val="28"/>
        </w:rPr>
        <w:t>应</w:t>
      </w:r>
      <w:r>
        <w:rPr>
          <w:rFonts w:hint="eastAsia" w:ascii="华文中宋" w:hAnsi="华文中宋" w:eastAsia="华文中宋" w:cs="华文中宋"/>
          <w:b/>
          <w:bCs/>
          <w:sz w:val="24"/>
          <w:szCs w:val="28"/>
          <w:lang w:val="en-US" w:eastAsia="zh-CN"/>
        </w:rPr>
        <w:t xml:space="preserve"> </w:t>
      </w:r>
      <w:r>
        <w:rPr>
          <w:rFonts w:hint="eastAsia" w:ascii="华文中宋" w:hAnsi="华文中宋" w:eastAsia="华文中宋" w:cs="华文中宋"/>
          <w:b/>
          <w:bCs/>
          <w:sz w:val="24"/>
          <w:szCs w:val="28"/>
        </w:rPr>
        <w:t xml:space="preserve"> 商：</w:t>
      </w:r>
      <w:bookmarkEnd w:id="79"/>
      <w:bookmarkEnd w:id="80"/>
      <w:bookmarkEnd w:id="81"/>
      <w:bookmarkEnd w:id="82"/>
      <w:bookmarkEnd w:id="83"/>
      <w:bookmarkEnd w:id="84"/>
      <w:r>
        <w:rPr>
          <w:rFonts w:hint="eastAsia" w:ascii="华文中宋" w:hAnsi="华文中宋" w:eastAsia="华文中宋" w:cs="华文中宋"/>
          <w:b/>
          <w:bCs/>
          <w:sz w:val="24"/>
          <w:szCs w:val="28"/>
          <w:u w:val="single"/>
        </w:rPr>
        <w:t xml:space="preserve">          （填写全称并加盖公章）</w:t>
      </w:r>
      <w:bookmarkEnd w:id="85"/>
      <w:bookmarkEnd w:id="86"/>
      <w:bookmarkEnd w:id="87"/>
      <w:r>
        <w:rPr>
          <w:rFonts w:hint="eastAsia" w:ascii="华文中宋" w:hAnsi="华文中宋" w:eastAsia="华文中宋" w:cs="华文中宋"/>
          <w:b/>
          <w:bCs/>
          <w:sz w:val="24"/>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01" w:firstLineChars="375"/>
        <w:textAlignment w:val="auto"/>
        <w:outlineLvl w:val="0"/>
        <w:rPr>
          <w:rFonts w:hint="eastAsia" w:ascii="华文中宋" w:hAnsi="华文中宋" w:eastAsia="华文中宋" w:cs="华文中宋"/>
          <w:b/>
          <w:bCs/>
          <w:sz w:val="24"/>
          <w:szCs w:val="22"/>
          <w:u w:val="single"/>
          <w:lang w:val="en-US" w:eastAsia="zh-CN"/>
        </w:rPr>
      </w:pPr>
      <w:bookmarkStart w:id="88" w:name="_Toc9319_WPSOffice_Level1"/>
      <w:bookmarkStart w:id="89" w:name="_Toc32451_WPSOffice_Level1"/>
      <w:bookmarkStart w:id="90" w:name="_Toc16462_WPSOffice_Level1"/>
      <w:bookmarkStart w:id="91" w:name="_Toc21036"/>
      <w:bookmarkStart w:id="92" w:name="_Toc31676"/>
      <w:bookmarkStart w:id="93" w:name="_Toc11747"/>
      <w:bookmarkStart w:id="94" w:name="_Toc24198"/>
      <w:bookmarkStart w:id="95" w:name="_Toc27536"/>
      <w:bookmarkStart w:id="96" w:name="_Toc25454_WPSOffice_Level1"/>
      <w:r>
        <w:rPr>
          <w:rFonts w:hint="eastAsia" w:ascii="华文中宋" w:hAnsi="华文中宋" w:eastAsia="华文中宋" w:cs="华文中宋"/>
          <w:b/>
          <w:bCs/>
          <w:sz w:val="24"/>
          <w:szCs w:val="22"/>
        </w:rPr>
        <w:t>法定代表人或其被授权委托代理人 ：</w:t>
      </w:r>
      <w:r>
        <w:rPr>
          <w:rFonts w:hint="eastAsia" w:ascii="华文中宋" w:hAnsi="华文中宋" w:eastAsia="华文中宋" w:cs="华文中宋"/>
          <w:b/>
          <w:bCs/>
          <w:sz w:val="24"/>
          <w:szCs w:val="22"/>
          <w:u w:val="single"/>
        </w:rPr>
        <w:t xml:space="preserve">     （签字）</w:t>
      </w:r>
      <w:bookmarkEnd w:id="88"/>
      <w:bookmarkEnd w:id="89"/>
      <w:bookmarkEnd w:id="90"/>
      <w:bookmarkEnd w:id="91"/>
      <w:bookmarkEnd w:id="92"/>
      <w:bookmarkEnd w:id="93"/>
      <w:bookmarkEnd w:id="94"/>
      <w:bookmarkEnd w:id="95"/>
      <w:bookmarkEnd w:id="96"/>
      <w:r>
        <w:rPr>
          <w:rFonts w:hint="eastAsia" w:ascii="华文中宋" w:hAnsi="华文中宋" w:eastAsia="华文中宋" w:cs="华文中宋"/>
          <w:b/>
          <w:bCs/>
          <w:sz w:val="24"/>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61" w:firstLineChars="400"/>
        <w:textAlignment w:val="auto"/>
        <w:outlineLvl w:val="0"/>
        <w:rPr>
          <w:rFonts w:hint="eastAsia" w:ascii="华文中宋" w:hAnsi="华文中宋" w:eastAsia="华文中宋" w:cs="华文中宋"/>
          <w:b/>
          <w:bCs/>
          <w:sz w:val="24"/>
          <w:szCs w:val="22"/>
        </w:rPr>
      </w:pPr>
      <w:bookmarkStart w:id="97" w:name="_Toc21192_WPSOffice_Level1"/>
      <w:bookmarkStart w:id="98" w:name="_Toc11183"/>
      <w:bookmarkStart w:id="99" w:name="_Toc32478"/>
      <w:bookmarkStart w:id="100" w:name="_Toc6125_WPSOffice_Level1"/>
      <w:bookmarkStart w:id="101" w:name="_Toc28358"/>
      <w:bookmarkStart w:id="102" w:name="_Toc29630_WPSOffice_Level1"/>
      <w:bookmarkStart w:id="103" w:name="_Toc5549"/>
      <w:bookmarkStart w:id="104" w:name="_Toc5474"/>
      <w:bookmarkStart w:id="105" w:name="_Toc6982_WPSOffice_Level1"/>
      <w:r>
        <w:rPr>
          <w:rFonts w:hint="eastAsia" w:ascii="华文中宋" w:hAnsi="华文中宋" w:eastAsia="华文中宋" w:cs="华文中宋"/>
          <w:b/>
          <w:bCs/>
          <w:sz w:val="24"/>
          <w:szCs w:val="22"/>
        </w:rPr>
        <w:t xml:space="preserve">日  </w:t>
      </w:r>
      <w:r>
        <w:rPr>
          <w:rFonts w:hint="eastAsia" w:ascii="华文中宋" w:hAnsi="华文中宋" w:eastAsia="华文中宋" w:cs="华文中宋"/>
          <w:b/>
          <w:bCs/>
          <w:sz w:val="24"/>
          <w:szCs w:val="22"/>
          <w:lang w:val="en-US" w:eastAsia="zh-CN"/>
        </w:rPr>
        <w:t xml:space="preserve">  </w:t>
      </w:r>
      <w:r>
        <w:rPr>
          <w:rFonts w:hint="eastAsia" w:ascii="华文中宋" w:hAnsi="华文中宋" w:eastAsia="华文中宋" w:cs="华文中宋"/>
          <w:b/>
          <w:bCs/>
          <w:sz w:val="24"/>
          <w:szCs w:val="22"/>
        </w:rPr>
        <w:t xml:space="preserve">  期：</w:t>
      </w:r>
      <w:bookmarkEnd w:id="97"/>
      <w:bookmarkEnd w:id="98"/>
      <w:bookmarkEnd w:id="99"/>
      <w:bookmarkEnd w:id="100"/>
      <w:bookmarkEnd w:id="101"/>
      <w:bookmarkEnd w:id="102"/>
      <w:bookmarkEnd w:id="103"/>
      <w:bookmarkEnd w:id="104"/>
      <w:bookmarkEnd w:id="105"/>
    </w:p>
    <w:p>
      <w:pPr>
        <w:pStyle w:val="14"/>
        <w:rPr>
          <w:rFonts w:hint="eastAsia" w:ascii="华文中宋" w:hAnsi="华文中宋" w:eastAsia="华文中宋" w:cs="华文中宋"/>
        </w:rPr>
      </w:pPr>
      <w:bookmarkStart w:id="106" w:name="_Toc27104"/>
      <w:bookmarkStart w:id="107" w:name="_Toc25620"/>
      <w:bookmarkStart w:id="108" w:name="_Toc25133"/>
      <w:bookmarkStart w:id="109" w:name="_Toc6310_WPSOffice_Level1"/>
      <w:bookmarkStart w:id="110" w:name="_Toc25538"/>
      <w:bookmarkStart w:id="111" w:name="_Toc32102_WPSOffice_Level1"/>
      <w:bookmarkStart w:id="112" w:name="_Toc10984"/>
      <w:bookmarkStart w:id="113" w:name="_Toc6405_WPSOffice_Level1"/>
    </w:p>
    <w:p>
      <w:pPr>
        <w:pStyle w:val="20"/>
        <w:rPr>
          <w:rFonts w:hint="eastAsia" w:ascii="华文中宋" w:hAnsi="华文中宋" w:eastAsia="华文中宋" w:cs="华文中宋"/>
          <w:b/>
          <w:bCs/>
          <w:sz w:val="44"/>
          <w:szCs w:val="44"/>
        </w:rPr>
      </w:pPr>
    </w:p>
    <w:p>
      <w:pPr>
        <w:pStyle w:val="20"/>
        <w:rPr>
          <w:rFonts w:hint="eastAsia" w:ascii="华文中宋" w:hAnsi="华文中宋" w:eastAsia="华文中宋" w:cs="华文中宋"/>
          <w:b/>
          <w:bCs/>
          <w:sz w:val="44"/>
          <w:szCs w:val="44"/>
        </w:rPr>
      </w:pPr>
    </w:p>
    <w:p>
      <w:pPr>
        <w:jc w:val="center"/>
        <w:outlineLvl w:val="0"/>
        <w:rPr>
          <w:rFonts w:hint="eastAsia" w:ascii="华文中宋" w:hAnsi="华文中宋" w:eastAsia="华文中宋" w:cs="华文中宋"/>
          <w:b/>
          <w:bCs/>
          <w:sz w:val="48"/>
          <w:szCs w:val="48"/>
        </w:rPr>
      </w:pPr>
      <w:r>
        <w:rPr>
          <w:rFonts w:hint="eastAsia" w:ascii="华文中宋" w:hAnsi="华文中宋" w:eastAsia="华文中宋" w:cs="华文中宋"/>
          <w:b/>
          <w:bCs/>
          <w:sz w:val="44"/>
          <w:szCs w:val="44"/>
        </w:rPr>
        <w:t>目    录</w:t>
      </w:r>
      <w:bookmarkEnd w:id="106"/>
      <w:bookmarkEnd w:id="107"/>
      <w:bookmarkEnd w:id="108"/>
      <w:bookmarkEnd w:id="109"/>
      <w:bookmarkEnd w:id="110"/>
      <w:bookmarkEnd w:id="111"/>
      <w:bookmarkEnd w:id="112"/>
      <w:bookmarkEnd w:id="113"/>
    </w:p>
    <w:p>
      <w:pPr>
        <w:spacing w:line="480" w:lineRule="exact"/>
        <w:ind w:firstLine="440" w:firstLineChars="200"/>
        <w:rPr>
          <w:rFonts w:hint="eastAsia" w:ascii="华文中宋" w:hAnsi="华文中宋" w:eastAsia="华文中宋" w:cs="华文中宋"/>
          <w:sz w:val="22"/>
          <w:szCs w:val="28"/>
        </w:rPr>
      </w:pPr>
    </w:p>
    <w:p>
      <w:pPr>
        <w:spacing w:line="360" w:lineRule="exact"/>
        <w:ind w:firstLine="480" w:firstLineChars="200"/>
        <w:outlineLvl w:val="0"/>
        <w:rPr>
          <w:rFonts w:hint="eastAsia" w:ascii="华文中宋" w:hAnsi="华文中宋" w:eastAsia="华文中宋" w:cs="华文中宋"/>
          <w:sz w:val="24"/>
          <w:szCs w:val="32"/>
        </w:rPr>
      </w:pPr>
      <w:bookmarkStart w:id="114" w:name="_Toc3396"/>
      <w:bookmarkStart w:id="115" w:name="_Toc8377_WPSOffice_Level1"/>
      <w:bookmarkStart w:id="116" w:name="_Toc31800"/>
      <w:bookmarkStart w:id="117" w:name="_Toc18390_WPSOffice_Level1"/>
      <w:bookmarkStart w:id="118" w:name="_Toc11959_WPSOffice_Level1"/>
      <w:bookmarkStart w:id="119" w:name="_Toc9865_WPSOffice_Level1"/>
      <w:bookmarkStart w:id="120" w:name="_Toc22840"/>
      <w:bookmarkStart w:id="121" w:name="_Toc5503"/>
      <w:bookmarkStart w:id="122" w:name="_Toc15629"/>
      <w:r>
        <w:rPr>
          <w:rFonts w:hint="eastAsia" w:ascii="华文中宋" w:hAnsi="华文中宋" w:eastAsia="华文中宋" w:cs="华文中宋"/>
          <w:sz w:val="24"/>
          <w:szCs w:val="32"/>
        </w:rPr>
        <w:t xml:space="preserve">第1部分   </w:t>
      </w:r>
      <w:bookmarkEnd w:id="114"/>
      <w:bookmarkEnd w:id="115"/>
      <w:bookmarkEnd w:id="116"/>
      <w:bookmarkEnd w:id="117"/>
      <w:bookmarkEnd w:id="118"/>
      <w:bookmarkEnd w:id="119"/>
      <w:bookmarkEnd w:id="120"/>
      <w:bookmarkEnd w:id="121"/>
      <w:bookmarkEnd w:id="122"/>
      <w:r>
        <w:rPr>
          <w:rFonts w:hint="eastAsia" w:ascii="华文中宋" w:hAnsi="华文中宋" w:eastAsia="华文中宋" w:cs="华文中宋"/>
          <w:sz w:val="24"/>
          <w:szCs w:val="32"/>
        </w:rPr>
        <w:t>响应函</w:t>
      </w:r>
    </w:p>
    <w:p>
      <w:pPr>
        <w:spacing w:line="360" w:lineRule="exact"/>
        <w:ind w:firstLine="480" w:firstLineChars="200"/>
        <w:rPr>
          <w:rFonts w:hint="eastAsia" w:ascii="华文中宋" w:hAnsi="华文中宋" w:eastAsia="华文中宋" w:cs="华文中宋"/>
          <w:sz w:val="24"/>
          <w:szCs w:val="32"/>
        </w:rPr>
      </w:pPr>
    </w:p>
    <w:p>
      <w:pPr>
        <w:spacing w:line="360" w:lineRule="exact"/>
        <w:ind w:firstLine="480" w:firstLineChars="200"/>
        <w:outlineLvl w:val="0"/>
        <w:rPr>
          <w:rFonts w:hint="eastAsia" w:ascii="华文中宋" w:hAnsi="华文中宋" w:eastAsia="华文中宋" w:cs="华文中宋"/>
          <w:sz w:val="24"/>
          <w:szCs w:val="32"/>
        </w:rPr>
      </w:pPr>
      <w:bookmarkStart w:id="123" w:name="_Toc19308"/>
      <w:bookmarkStart w:id="124" w:name="_Toc1826_WPSOffice_Level1"/>
      <w:bookmarkStart w:id="125" w:name="_Toc15120"/>
      <w:bookmarkStart w:id="126" w:name="_Toc27957_WPSOffice_Level1"/>
      <w:bookmarkStart w:id="127" w:name="_Toc7372_WPSOffice_Level1"/>
      <w:bookmarkStart w:id="128" w:name="_Toc13643"/>
      <w:bookmarkStart w:id="129" w:name="_Toc26011_WPSOffice_Level1"/>
      <w:bookmarkStart w:id="130" w:name="_Toc26433"/>
      <w:bookmarkStart w:id="131" w:name="_Toc26492"/>
      <w:r>
        <w:rPr>
          <w:rFonts w:hint="eastAsia" w:ascii="华文中宋" w:hAnsi="华文中宋" w:eastAsia="华文中宋" w:cs="华文中宋"/>
          <w:sz w:val="24"/>
          <w:szCs w:val="32"/>
        </w:rPr>
        <w:t xml:space="preserve">第2部分   </w:t>
      </w:r>
      <w:bookmarkEnd w:id="123"/>
      <w:bookmarkEnd w:id="124"/>
      <w:bookmarkEnd w:id="125"/>
      <w:bookmarkEnd w:id="126"/>
      <w:bookmarkEnd w:id="127"/>
      <w:bookmarkEnd w:id="128"/>
      <w:bookmarkEnd w:id="129"/>
      <w:bookmarkEnd w:id="130"/>
      <w:bookmarkEnd w:id="131"/>
      <w:r>
        <w:rPr>
          <w:rFonts w:hint="eastAsia" w:ascii="华文中宋" w:hAnsi="华文中宋" w:eastAsia="华文中宋" w:cs="华文中宋"/>
          <w:sz w:val="24"/>
          <w:szCs w:val="32"/>
        </w:rPr>
        <w:t>开标一览表</w:t>
      </w:r>
    </w:p>
    <w:p>
      <w:pPr>
        <w:spacing w:line="360" w:lineRule="exact"/>
        <w:ind w:firstLine="480" w:firstLineChars="200"/>
        <w:rPr>
          <w:rFonts w:hint="eastAsia" w:ascii="华文中宋" w:hAnsi="华文中宋" w:eastAsia="华文中宋" w:cs="华文中宋"/>
          <w:sz w:val="24"/>
          <w:szCs w:val="32"/>
        </w:rPr>
      </w:pPr>
    </w:p>
    <w:p>
      <w:pPr>
        <w:spacing w:line="360" w:lineRule="exact"/>
        <w:ind w:firstLine="480" w:firstLineChars="200"/>
        <w:outlineLvl w:val="0"/>
        <w:rPr>
          <w:rFonts w:hint="eastAsia" w:ascii="华文中宋" w:hAnsi="华文中宋" w:eastAsia="华文中宋" w:cs="华文中宋"/>
          <w:sz w:val="24"/>
          <w:szCs w:val="32"/>
        </w:rPr>
      </w:pPr>
      <w:bookmarkStart w:id="132" w:name="_Toc12021_WPSOffice_Level1"/>
      <w:bookmarkStart w:id="133" w:name="_Toc16884"/>
      <w:bookmarkStart w:id="134" w:name="_Toc25517"/>
      <w:bookmarkStart w:id="135" w:name="_Toc10747_WPSOffice_Level1"/>
      <w:bookmarkStart w:id="136" w:name="_Toc18583"/>
      <w:bookmarkStart w:id="137" w:name="_Toc9881_WPSOffice_Level1"/>
      <w:bookmarkStart w:id="138" w:name="_Toc340"/>
      <w:bookmarkStart w:id="139" w:name="_Toc18583_WPSOffice_Level1"/>
      <w:bookmarkStart w:id="140" w:name="_Toc29746"/>
      <w:r>
        <w:rPr>
          <w:rFonts w:hint="eastAsia" w:ascii="华文中宋" w:hAnsi="华文中宋" w:eastAsia="华文中宋" w:cs="华文中宋"/>
          <w:sz w:val="24"/>
          <w:szCs w:val="32"/>
        </w:rPr>
        <w:t xml:space="preserve">第3部分   </w:t>
      </w:r>
      <w:bookmarkEnd w:id="132"/>
      <w:bookmarkEnd w:id="133"/>
      <w:bookmarkEnd w:id="134"/>
      <w:bookmarkEnd w:id="135"/>
      <w:bookmarkEnd w:id="136"/>
      <w:bookmarkEnd w:id="137"/>
      <w:bookmarkEnd w:id="138"/>
      <w:bookmarkEnd w:id="139"/>
      <w:bookmarkEnd w:id="140"/>
      <w:r>
        <w:rPr>
          <w:rFonts w:hint="eastAsia" w:ascii="华文中宋" w:hAnsi="华文中宋" w:eastAsia="华文中宋" w:cs="华文中宋"/>
          <w:sz w:val="24"/>
          <w:szCs w:val="32"/>
        </w:rPr>
        <w:t>技术响应方案</w:t>
      </w:r>
    </w:p>
    <w:p>
      <w:pPr>
        <w:spacing w:line="360" w:lineRule="exact"/>
        <w:ind w:firstLine="480" w:firstLineChars="200"/>
        <w:rPr>
          <w:rFonts w:hint="eastAsia" w:ascii="华文中宋" w:hAnsi="华文中宋" w:eastAsia="华文中宋" w:cs="华文中宋"/>
          <w:sz w:val="24"/>
          <w:szCs w:val="32"/>
        </w:rPr>
      </w:pPr>
    </w:p>
    <w:p>
      <w:pPr>
        <w:spacing w:line="360" w:lineRule="exact"/>
        <w:ind w:firstLine="480" w:firstLineChars="200"/>
        <w:outlineLvl w:val="0"/>
        <w:rPr>
          <w:rFonts w:hint="eastAsia" w:ascii="华文中宋" w:hAnsi="华文中宋" w:eastAsia="华文中宋" w:cs="华文中宋"/>
          <w:sz w:val="24"/>
          <w:szCs w:val="32"/>
        </w:rPr>
      </w:pPr>
      <w:bookmarkStart w:id="141" w:name="_Toc19845"/>
      <w:bookmarkStart w:id="142" w:name="_Toc4728_WPSOffice_Level1"/>
      <w:bookmarkStart w:id="143" w:name="_Toc8226_WPSOffice_Level1"/>
      <w:bookmarkStart w:id="144" w:name="_Toc24912"/>
      <w:bookmarkStart w:id="145" w:name="_Toc13283"/>
      <w:bookmarkStart w:id="146" w:name="_Toc27976"/>
      <w:bookmarkStart w:id="147" w:name="_Toc13364"/>
      <w:bookmarkStart w:id="148" w:name="_Toc26384_WPSOffice_Level1"/>
      <w:bookmarkStart w:id="149" w:name="_Toc25195_WPSOffice_Level1"/>
      <w:r>
        <w:rPr>
          <w:rFonts w:hint="eastAsia" w:ascii="华文中宋" w:hAnsi="华文中宋" w:eastAsia="华文中宋" w:cs="华文中宋"/>
          <w:sz w:val="24"/>
          <w:szCs w:val="32"/>
        </w:rPr>
        <w:t xml:space="preserve">第4部分   </w:t>
      </w:r>
      <w:bookmarkEnd w:id="141"/>
      <w:bookmarkEnd w:id="142"/>
      <w:bookmarkEnd w:id="143"/>
      <w:bookmarkEnd w:id="144"/>
      <w:bookmarkEnd w:id="145"/>
      <w:bookmarkEnd w:id="146"/>
      <w:bookmarkEnd w:id="147"/>
      <w:bookmarkEnd w:id="148"/>
      <w:bookmarkEnd w:id="149"/>
      <w:r>
        <w:rPr>
          <w:rFonts w:hint="eastAsia" w:ascii="华文中宋" w:hAnsi="华文中宋" w:eastAsia="华文中宋" w:cs="华文中宋"/>
          <w:sz w:val="24"/>
          <w:szCs w:val="32"/>
        </w:rPr>
        <w:t>商务响应方案</w:t>
      </w:r>
    </w:p>
    <w:p>
      <w:pPr>
        <w:spacing w:line="360" w:lineRule="exact"/>
        <w:ind w:firstLine="480" w:firstLineChars="200"/>
        <w:rPr>
          <w:rFonts w:hint="eastAsia" w:ascii="华文中宋" w:hAnsi="华文中宋" w:eastAsia="华文中宋" w:cs="华文中宋"/>
          <w:sz w:val="24"/>
          <w:szCs w:val="32"/>
        </w:rPr>
      </w:pPr>
    </w:p>
    <w:p>
      <w:pPr>
        <w:spacing w:line="360" w:lineRule="exact"/>
        <w:ind w:firstLine="480" w:firstLineChars="200"/>
        <w:outlineLvl w:val="0"/>
        <w:rPr>
          <w:rFonts w:hint="eastAsia" w:ascii="华文中宋" w:hAnsi="华文中宋" w:eastAsia="华文中宋" w:cs="华文中宋"/>
          <w:sz w:val="24"/>
          <w:szCs w:val="32"/>
        </w:rPr>
      </w:pPr>
      <w:bookmarkStart w:id="150" w:name="_Toc19758"/>
      <w:bookmarkStart w:id="151" w:name="_Toc23101_WPSOffice_Level1"/>
      <w:bookmarkStart w:id="152" w:name="_Toc31659_WPSOffice_Level1"/>
      <w:bookmarkStart w:id="153" w:name="_Toc25588"/>
      <w:bookmarkStart w:id="154" w:name="_Toc18706_WPSOffice_Level1"/>
      <w:bookmarkStart w:id="155" w:name="_Toc9446"/>
      <w:bookmarkStart w:id="156" w:name="_Toc23870_WPSOffice_Level1"/>
      <w:bookmarkStart w:id="157" w:name="_Toc28311"/>
      <w:bookmarkStart w:id="158" w:name="_Toc29748"/>
      <w:r>
        <w:rPr>
          <w:rFonts w:hint="eastAsia" w:ascii="华文中宋" w:hAnsi="华文中宋" w:eastAsia="华文中宋" w:cs="华文中宋"/>
          <w:sz w:val="24"/>
          <w:szCs w:val="32"/>
        </w:rPr>
        <w:t xml:space="preserve">第5部分   </w:t>
      </w:r>
      <w:bookmarkEnd w:id="150"/>
      <w:bookmarkEnd w:id="151"/>
      <w:bookmarkEnd w:id="152"/>
      <w:bookmarkEnd w:id="153"/>
      <w:bookmarkEnd w:id="154"/>
      <w:bookmarkEnd w:id="155"/>
      <w:bookmarkEnd w:id="156"/>
      <w:bookmarkEnd w:id="157"/>
      <w:bookmarkEnd w:id="158"/>
      <w:r>
        <w:rPr>
          <w:rFonts w:hint="eastAsia" w:ascii="华文中宋" w:hAnsi="华文中宋" w:eastAsia="华文中宋" w:cs="华文中宋"/>
          <w:sz w:val="24"/>
          <w:szCs w:val="32"/>
        </w:rPr>
        <w:t>供应商认为有必要补充说明的事项</w:t>
      </w:r>
    </w:p>
    <w:p>
      <w:pPr>
        <w:spacing w:line="360" w:lineRule="exact"/>
        <w:ind w:firstLine="480" w:firstLineChars="200"/>
        <w:rPr>
          <w:rFonts w:hint="eastAsia" w:ascii="华文中宋" w:hAnsi="华文中宋" w:eastAsia="华文中宋" w:cs="华文中宋"/>
          <w:sz w:val="24"/>
          <w:szCs w:val="32"/>
        </w:rPr>
      </w:pPr>
    </w:p>
    <w:p>
      <w:pPr>
        <w:spacing w:line="360" w:lineRule="exact"/>
        <w:ind w:firstLine="480" w:firstLineChars="200"/>
        <w:outlineLvl w:val="0"/>
        <w:rPr>
          <w:rFonts w:hint="eastAsia" w:ascii="华文中宋" w:hAnsi="华文中宋" w:eastAsia="华文中宋" w:cs="华文中宋"/>
          <w:sz w:val="24"/>
          <w:szCs w:val="32"/>
        </w:rPr>
      </w:pPr>
      <w:bookmarkStart w:id="159" w:name="_Toc13214_WPSOffice_Level1"/>
      <w:bookmarkStart w:id="160" w:name="_Toc13585"/>
      <w:bookmarkStart w:id="161" w:name="_Toc22418_WPSOffice_Level1"/>
      <w:bookmarkStart w:id="162" w:name="_Toc13442_WPSOffice_Level1"/>
      <w:bookmarkStart w:id="163" w:name="_Toc19012_WPSOffice_Level1"/>
      <w:bookmarkStart w:id="164" w:name="_Toc26862"/>
      <w:bookmarkStart w:id="165" w:name="_Toc26395"/>
      <w:bookmarkStart w:id="166" w:name="_Toc15145"/>
      <w:bookmarkStart w:id="167" w:name="_Toc2389"/>
      <w:r>
        <w:rPr>
          <w:rFonts w:hint="eastAsia" w:ascii="华文中宋" w:hAnsi="华文中宋" w:eastAsia="华文中宋" w:cs="华文中宋"/>
          <w:sz w:val="24"/>
          <w:szCs w:val="32"/>
        </w:rPr>
        <w:t xml:space="preserve">第6部分   </w:t>
      </w:r>
      <w:bookmarkEnd w:id="159"/>
      <w:bookmarkEnd w:id="160"/>
      <w:bookmarkEnd w:id="161"/>
      <w:bookmarkEnd w:id="162"/>
      <w:bookmarkEnd w:id="163"/>
      <w:bookmarkEnd w:id="164"/>
      <w:bookmarkEnd w:id="165"/>
      <w:bookmarkEnd w:id="166"/>
      <w:bookmarkEnd w:id="167"/>
      <w:r>
        <w:rPr>
          <w:rFonts w:hint="eastAsia" w:ascii="华文中宋" w:hAnsi="华文中宋" w:eastAsia="华文中宋" w:cs="华文中宋"/>
          <w:sz w:val="24"/>
          <w:szCs w:val="32"/>
        </w:rPr>
        <w:t>资格证明文件</w:t>
      </w:r>
    </w:p>
    <w:p>
      <w:pPr>
        <w:spacing w:line="360" w:lineRule="exact"/>
        <w:ind w:firstLine="480" w:firstLineChars="200"/>
        <w:rPr>
          <w:rFonts w:hint="eastAsia" w:ascii="华文中宋" w:hAnsi="华文中宋" w:eastAsia="华文中宋" w:cs="华文中宋"/>
          <w:sz w:val="24"/>
          <w:szCs w:val="32"/>
        </w:rPr>
      </w:pPr>
    </w:p>
    <w:p>
      <w:pPr>
        <w:numPr>
          <w:ilvl w:val="0"/>
          <w:numId w:val="8"/>
        </w:numPr>
        <w:spacing w:line="360" w:lineRule="exact"/>
        <w:ind w:firstLine="480" w:firstLineChars="200"/>
        <w:outlineLvl w:val="0"/>
        <w:rPr>
          <w:rFonts w:hint="eastAsia" w:ascii="华文中宋" w:hAnsi="华文中宋" w:eastAsia="华文中宋" w:cs="华文中宋"/>
          <w:sz w:val="24"/>
          <w:szCs w:val="32"/>
        </w:rPr>
      </w:pPr>
      <w:bookmarkStart w:id="168" w:name="_Toc26155_WPSOffice_Level1"/>
      <w:bookmarkStart w:id="169" w:name="_Toc3731"/>
      <w:bookmarkStart w:id="170" w:name="_Toc24929"/>
      <w:bookmarkStart w:id="171" w:name="_Toc21285_WPSOffice_Level1"/>
      <w:bookmarkStart w:id="172" w:name="_Toc29360_WPSOffice_Level1"/>
      <w:bookmarkStart w:id="173" w:name="_Toc1275"/>
      <w:bookmarkStart w:id="174" w:name="_Toc25482_WPSOffice_Level1"/>
      <w:bookmarkStart w:id="175" w:name="_Toc864"/>
      <w:bookmarkStart w:id="176" w:name="_Toc259"/>
      <w:r>
        <w:rPr>
          <w:rFonts w:hint="eastAsia" w:ascii="华文中宋" w:hAnsi="华文中宋" w:eastAsia="华文中宋" w:cs="华文中宋"/>
          <w:sz w:val="24"/>
          <w:szCs w:val="32"/>
          <w:lang w:val="en-US" w:eastAsia="zh-CN"/>
        </w:rPr>
        <w:t xml:space="preserve">  </w:t>
      </w:r>
      <w:bookmarkEnd w:id="168"/>
      <w:bookmarkEnd w:id="169"/>
      <w:bookmarkEnd w:id="170"/>
      <w:bookmarkEnd w:id="171"/>
      <w:bookmarkEnd w:id="172"/>
      <w:bookmarkEnd w:id="173"/>
      <w:bookmarkEnd w:id="174"/>
      <w:bookmarkEnd w:id="175"/>
      <w:bookmarkEnd w:id="176"/>
      <w:r>
        <w:rPr>
          <w:rFonts w:hint="eastAsia" w:ascii="华文中宋" w:hAnsi="华文中宋" w:eastAsia="华文中宋" w:cs="华文中宋"/>
          <w:sz w:val="24"/>
          <w:szCs w:val="32"/>
        </w:rPr>
        <w:t>磋商保证金退还</w:t>
      </w:r>
      <w:r>
        <w:rPr>
          <w:rFonts w:hint="eastAsia" w:ascii="华文中宋" w:hAnsi="华文中宋" w:eastAsia="华文中宋" w:cs="华文中宋"/>
          <w:sz w:val="24"/>
          <w:szCs w:val="32"/>
          <w:lang w:val="en-US" w:eastAsia="zh-CN"/>
        </w:rPr>
        <w:t>信息</w:t>
      </w:r>
    </w:p>
    <w:p>
      <w:pPr>
        <w:spacing w:line="360" w:lineRule="exact"/>
        <w:rPr>
          <w:rFonts w:hint="eastAsia" w:ascii="华文中宋" w:hAnsi="华文中宋" w:eastAsia="华文中宋" w:cs="华文中宋"/>
          <w:sz w:val="24"/>
          <w:szCs w:val="32"/>
        </w:rPr>
      </w:pPr>
    </w:p>
    <w:p>
      <w:pPr>
        <w:spacing w:line="480" w:lineRule="exact"/>
        <w:ind w:firstLine="420" w:firstLineChars="200"/>
        <w:rPr>
          <w:rFonts w:hint="eastAsia" w:ascii="华文中宋" w:hAnsi="华文中宋" w:eastAsia="华文中宋" w:cs="华文中宋"/>
          <w:szCs w:val="28"/>
        </w:rPr>
      </w:pPr>
    </w:p>
    <w:p>
      <w:pPr>
        <w:spacing w:line="480" w:lineRule="exact"/>
        <w:ind w:firstLine="480" w:firstLineChars="200"/>
        <w:rPr>
          <w:rFonts w:hint="eastAsia" w:ascii="华文中宋" w:hAnsi="华文中宋" w:eastAsia="华文中宋" w:cs="华文中宋"/>
          <w:sz w:val="24"/>
        </w:rPr>
      </w:pPr>
    </w:p>
    <w:p>
      <w:pPr>
        <w:spacing w:line="480" w:lineRule="exact"/>
        <w:ind w:firstLine="640" w:firstLineChars="200"/>
        <w:rPr>
          <w:rFonts w:hint="eastAsia" w:ascii="华文中宋" w:hAnsi="华文中宋" w:eastAsia="华文中宋" w:cs="华文中宋"/>
          <w:sz w:val="32"/>
          <w:szCs w:val="32"/>
        </w:rPr>
      </w:pPr>
    </w:p>
    <w:p>
      <w:pPr>
        <w:spacing w:line="480" w:lineRule="exact"/>
        <w:ind w:firstLine="640" w:firstLineChars="200"/>
        <w:rPr>
          <w:rFonts w:hint="eastAsia" w:ascii="华文中宋" w:hAnsi="华文中宋" w:eastAsia="华文中宋" w:cs="华文中宋"/>
          <w:sz w:val="32"/>
          <w:szCs w:val="32"/>
        </w:rPr>
      </w:pPr>
    </w:p>
    <w:p>
      <w:pPr>
        <w:spacing w:line="480" w:lineRule="exact"/>
        <w:ind w:firstLine="640" w:firstLineChars="200"/>
        <w:rPr>
          <w:rFonts w:hint="eastAsia" w:ascii="华文中宋" w:hAnsi="华文中宋" w:eastAsia="华文中宋" w:cs="华文中宋"/>
          <w:sz w:val="32"/>
          <w:szCs w:val="32"/>
        </w:rPr>
      </w:pPr>
    </w:p>
    <w:p>
      <w:pPr>
        <w:spacing w:line="480" w:lineRule="exact"/>
        <w:ind w:firstLine="640" w:firstLineChars="200"/>
        <w:rPr>
          <w:rFonts w:hint="eastAsia" w:ascii="华文中宋" w:hAnsi="华文中宋" w:eastAsia="华文中宋" w:cs="华文中宋"/>
          <w:sz w:val="32"/>
          <w:szCs w:val="32"/>
        </w:rPr>
      </w:pPr>
    </w:p>
    <w:p>
      <w:pPr>
        <w:pStyle w:val="14"/>
        <w:rPr>
          <w:rFonts w:hint="eastAsia" w:ascii="华文中宋" w:hAnsi="华文中宋" w:eastAsia="华文中宋" w:cs="华文中宋"/>
          <w:sz w:val="32"/>
          <w:szCs w:val="32"/>
        </w:rPr>
      </w:pPr>
    </w:p>
    <w:p>
      <w:pPr>
        <w:rPr>
          <w:rFonts w:hint="eastAsia" w:ascii="华文中宋" w:hAnsi="华文中宋" w:eastAsia="华文中宋" w:cs="华文中宋"/>
        </w:rPr>
      </w:pPr>
    </w:p>
    <w:p>
      <w:pPr>
        <w:pStyle w:val="14"/>
        <w:rPr>
          <w:rFonts w:hint="eastAsia" w:ascii="华文中宋" w:hAnsi="华文中宋" w:eastAsia="华文中宋" w:cs="华文中宋"/>
        </w:rPr>
      </w:pPr>
    </w:p>
    <w:p>
      <w:pPr>
        <w:rPr>
          <w:rFonts w:hint="eastAsia" w:ascii="华文中宋" w:hAnsi="华文中宋" w:eastAsia="华文中宋" w:cs="华文中宋"/>
        </w:rPr>
      </w:pPr>
    </w:p>
    <w:p>
      <w:pPr>
        <w:pStyle w:val="14"/>
        <w:rPr>
          <w:rFonts w:hint="eastAsia" w:ascii="华文中宋" w:hAnsi="华文中宋" w:eastAsia="华文中宋" w:cs="华文中宋"/>
          <w:sz w:val="32"/>
          <w:szCs w:val="32"/>
        </w:rPr>
      </w:pPr>
    </w:p>
    <w:p>
      <w:pPr>
        <w:pStyle w:val="20"/>
        <w:rPr>
          <w:rFonts w:hint="eastAsia" w:ascii="华文中宋" w:hAnsi="华文中宋" w:eastAsia="华文中宋" w:cs="华文中宋"/>
          <w:sz w:val="32"/>
          <w:szCs w:val="32"/>
        </w:rPr>
      </w:pPr>
    </w:p>
    <w:p>
      <w:pPr>
        <w:tabs>
          <w:tab w:val="left" w:pos="1260"/>
        </w:tabs>
        <w:spacing w:line="440" w:lineRule="exact"/>
        <w:outlineLvl w:val="0"/>
        <w:rPr>
          <w:rFonts w:hint="eastAsia" w:ascii="华文中宋" w:hAnsi="华文中宋" w:eastAsia="华文中宋" w:cs="华文中宋"/>
          <w:b/>
          <w:bCs/>
          <w:sz w:val="28"/>
          <w:szCs w:val="36"/>
        </w:rPr>
      </w:pPr>
      <w:bookmarkStart w:id="177" w:name="_Toc16920_WPSOffice_Level1"/>
      <w:bookmarkStart w:id="178" w:name="_Toc31784"/>
      <w:bookmarkStart w:id="179" w:name="_Toc4118"/>
      <w:bookmarkStart w:id="180" w:name="_Toc21243_WPSOffice_Level1"/>
      <w:bookmarkStart w:id="181" w:name="_Toc27741"/>
      <w:bookmarkStart w:id="182" w:name="_Toc10840"/>
      <w:bookmarkStart w:id="183" w:name="_Toc16819"/>
      <w:bookmarkStart w:id="184" w:name="_Toc29655_WPSOffice_Level1"/>
    </w:p>
    <w:p>
      <w:pPr>
        <w:tabs>
          <w:tab w:val="left" w:pos="1260"/>
        </w:tabs>
        <w:spacing w:line="440" w:lineRule="exact"/>
        <w:ind w:firstLine="2803" w:firstLineChars="1000"/>
        <w:outlineLvl w:val="0"/>
        <w:rPr>
          <w:rFonts w:hint="eastAsia" w:ascii="华文中宋" w:hAnsi="华文中宋" w:eastAsia="华文中宋" w:cs="华文中宋"/>
          <w:b/>
          <w:bCs/>
          <w:sz w:val="28"/>
          <w:szCs w:val="36"/>
        </w:rPr>
      </w:pPr>
    </w:p>
    <w:p>
      <w:pPr>
        <w:tabs>
          <w:tab w:val="left" w:pos="1260"/>
        </w:tabs>
        <w:spacing w:line="440" w:lineRule="exact"/>
        <w:outlineLvl w:val="0"/>
        <w:rPr>
          <w:rFonts w:hint="eastAsia" w:ascii="华文中宋" w:hAnsi="华文中宋" w:eastAsia="华文中宋" w:cs="华文中宋"/>
          <w:b/>
          <w:bCs/>
          <w:sz w:val="28"/>
          <w:szCs w:val="36"/>
        </w:rPr>
      </w:pPr>
    </w:p>
    <w:p>
      <w:pPr>
        <w:tabs>
          <w:tab w:val="left" w:pos="1260"/>
        </w:tabs>
        <w:spacing w:line="440" w:lineRule="exact"/>
        <w:ind w:firstLine="3203" w:firstLineChars="1000"/>
        <w:outlineLvl w:val="0"/>
        <w:rPr>
          <w:rFonts w:hint="eastAsia" w:ascii="华文中宋" w:hAnsi="华文中宋" w:eastAsia="华文中宋" w:cs="华文中宋"/>
          <w:b/>
          <w:bCs/>
          <w:sz w:val="32"/>
          <w:szCs w:val="40"/>
        </w:rPr>
      </w:pPr>
      <w:r>
        <w:rPr>
          <w:rFonts w:hint="eastAsia" w:ascii="华文中宋" w:hAnsi="华文中宋" w:eastAsia="华文中宋" w:cs="华文中宋"/>
          <w:b/>
          <w:bCs/>
          <w:sz w:val="32"/>
          <w:szCs w:val="40"/>
        </w:rPr>
        <w:t>第</w:t>
      </w:r>
      <w:r>
        <w:rPr>
          <w:rFonts w:hint="eastAsia" w:ascii="华文中宋" w:hAnsi="华文中宋" w:eastAsia="华文中宋" w:cs="华文中宋"/>
          <w:b/>
          <w:bCs/>
          <w:sz w:val="32"/>
          <w:szCs w:val="40"/>
          <w:lang w:val="en-US" w:eastAsia="zh-CN"/>
        </w:rPr>
        <w:t>1</w:t>
      </w:r>
      <w:r>
        <w:rPr>
          <w:rFonts w:hint="eastAsia" w:ascii="华文中宋" w:hAnsi="华文中宋" w:eastAsia="华文中宋" w:cs="华文中宋"/>
          <w:b/>
          <w:bCs/>
          <w:sz w:val="32"/>
          <w:szCs w:val="40"/>
        </w:rPr>
        <w:t xml:space="preserve">部分  </w:t>
      </w:r>
      <w:bookmarkEnd w:id="177"/>
      <w:bookmarkEnd w:id="178"/>
      <w:bookmarkEnd w:id="179"/>
      <w:bookmarkEnd w:id="180"/>
      <w:bookmarkEnd w:id="181"/>
      <w:bookmarkEnd w:id="182"/>
      <w:bookmarkEnd w:id="183"/>
      <w:bookmarkEnd w:id="184"/>
      <w:bookmarkStart w:id="185" w:name="_Toc17055_WPSOffice_Level1"/>
      <w:bookmarkStart w:id="186" w:name="_Toc13760_WPSOffice_Level1"/>
      <w:bookmarkStart w:id="187" w:name="_Toc16504"/>
      <w:bookmarkStart w:id="188" w:name="_Toc19706"/>
      <w:bookmarkStart w:id="189" w:name="_Toc26784"/>
      <w:bookmarkStart w:id="190" w:name="_Toc12188"/>
      <w:bookmarkStart w:id="191" w:name="_Toc8180"/>
      <w:bookmarkStart w:id="192" w:name="_Toc28655_WPSOffice_Level1"/>
      <w:r>
        <w:rPr>
          <w:rFonts w:hint="eastAsia" w:ascii="华文中宋" w:hAnsi="华文中宋" w:eastAsia="华文中宋" w:cs="华文中宋"/>
          <w:b/>
          <w:bCs/>
          <w:sz w:val="32"/>
          <w:szCs w:val="40"/>
        </w:rPr>
        <w:t xml:space="preserve"> 响应函</w:t>
      </w:r>
      <w:bookmarkEnd w:id="185"/>
      <w:bookmarkEnd w:id="186"/>
      <w:bookmarkEnd w:id="187"/>
      <w:bookmarkEnd w:id="188"/>
      <w:bookmarkEnd w:id="189"/>
      <w:bookmarkEnd w:id="190"/>
      <w:bookmarkEnd w:id="191"/>
      <w:bookmarkEnd w:id="192"/>
    </w:p>
    <w:p>
      <w:pPr>
        <w:pStyle w:val="17"/>
        <w:spacing w:before="240" w:afterLines="100" w:line="360" w:lineRule="auto"/>
        <w:rPr>
          <w:rFonts w:hint="eastAsia" w:ascii="华文中宋" w:hAnsi="华文中宋" w:eastAsia="华文中宋" w:cs="华文中宋"/>
          <w:b/>
          <w:bCs/>
          <w:sz w:val="22"/>
          <w:szCs w:val="22"/>
          <w:lang w:eastAsia="zh-CN"/>
        </w:rPr>
      </w:pPr>
      <w:r>
        <w:rPr>
          <w:rFonts w:hint="eastAsia" w:ascii="华文中宋" w:hAnsi="华文中宋" w:eastAsia="华文中宋" w:cs="华文中宋"/>
          <w:b/>
          <w:bCs/>
          <w:sz w:val="22"/>
          <w:szCs w:val="22"/>
        </w:rPr>
        <w:t>致：</w:t>
      </w:r>
      <w:r>
        <w:rPr>
          <w:rFonts w:hint="eastAsia" w:ascii="华文中宋" w:hAnsi="华文中宋" w:eastAsia="华文中宋" w:cs="华文中宋"/>
          <w:b/>
          <w:bCs/>
          <w:sz w:val="22"/>
          <w:szCs w:val="22"/>
          <w:lang w:eastAsia="zh-CN"/>
        </w:rPr>
        <w:t>陕西信鹏项目管理有限公司</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660" w:firstLineChars="3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我方已仔细研究了</w:t>
      </w:r>
      <w:r>
        <w:rPr>
          <w:rFonts w:hint="eastAsia" w:ascii="华文中宋" w:hAnsi="华文中宋" w:eastAsia="华文中宋" w:cs="华文中宋"/>
          <w:sz w:val="22"/>
          <w:szCs w:val="22"/>
          <w:u w:val="single"/>
        </w:rPr>
        <w:t xml:space="preserve">     (项目名称)  </w:t>
      </w:r>
      <w:r>
        <w:rPr>
          <w:rFonts w:hint="eastAsia" w:ascii="华文中宋" w:hAnsi="华文中宋" w:eastAsia="华文中宋" w:cs="华文中宋"/>
          <w:sz w:val="22"/>
          <w:szCs w:val="22"/>
        </w:rPr>
        <w:t>的竞争性磋商文件（项目编号：</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）的全部内容，知悉参加磋商的风险，我方承诺接受竞争性磋商文件的全部条款且无任何异议，决定参加贵单位组织的本项目磋商。我方正式授权</w:t>
      </w:r>
      <w:r>
        <w:rPr>
          <w:rFonts w:hint="eastAsia" w:ascii="华文中宋" w:hAnsi="华文中宋" w:eastAsia="华文中宋" w:cs="华文中宋"/>
          <w:sz w:val="22"/>
          <w:szCs w:val="22"/>
          <w:u w:val="single"/>
        </w:rPr>
        <w:t>（姓名、职务）</w:t>
      </w:r>
      <w:r>
        <w:rPr>
          <w:rFonts w:hint="eastAsia" w:ascii="华文中宋" w:hAnsi="华文中宋" w:eastAsia="华文中宋" w:cs="华文中宋"/>
          <w:sz w:val="22"/>
          <w:szCs w:val="22"/>
        </w:rPr>
        <w:t>代表我方</w:t>
      </w:r>
      <w:r>
        <w:rPr>
          <w:rFonts w:hint="eastAsia" w:ascii="华文中宋" w:hAnsi="华文中宋" w:eastAsia="华文中宋" w:cs="华文中宋"/>
          <w:sz w:val="22"/>
          <w:szCs w:val="22"/>
          <w:u w:val="single"/>
        </w:rPr>
        <w:t xml:space="preserve">    （磋商供应商的名称）</w:t>
      </w:r>
      <w:r>
        <w:rPr>
          <w:rFonts w:hint="eastAsia" w:ascii="华文中宋" w:hAnsi="华文中宋" w:eastAsia="华文中宋" w:cs="华文中宋"/>
          <w:sz w:val="22"/>
          <w:szCs w:val="22"/>
        </w:rPr>
        <w:t>全权处理本项目磋商的有关事宜。</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一、我方提交响应文件正本</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份（内含磋商响应文件电子版U盘</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份）、副本</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份，并保证磋商响应文件提供的数据和材料真实、准确。否则，愿承担《中华人民共和国政府采购法》第七十七条规定的法律责任。</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二、我方按竞争性磋商文件规定，首次磋商报价为人民币大写</w:t>
      </w:r>
      <w:r>
        <w:rPr>
          <w:rFonts w:hint="eastAsia" w:ascii="华文中宋" w:hAnsi="华文中宋" w:eastAsia="华文中宋" w:cs="华文中宋"/>
          <w:sz w:val="22"/>
          <w:szCs w:val="22"/>
          <w:u w:val="single"/>
        </w:rPr>
        <w:t xml:space="preserve">：   </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u w:val="single"/>
        </w:rPr>
        <w:t xml:space="preserve">  </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 xml:space="preserve"> （￥：）。</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三</w:t>
      </w:r>
      <w:r>
        <w:rPr>
          <w:rFonts w:hint="eastAsia" w:ascii="华文中宋" w:hAnsi="华文中宋" w:eastAsia="华文中宋" w:cs="华文中宋"/>
          <w:sz w:val="22"/>
          <w:szCs w:val="22"/>
        </w:rPr>
        <w:t>、我方愿意向贵方提供任何与本项采购有关的数据、情况和技术资料。若贵方需要，我方愿意提供我方作出的一切承诺的证明材料。</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四</w:t>
      </w:r>
      <w:r>
        <w:rPr>
          <w:rFonts w:hint="eastAsia" w:ascii="华文中宋" w:hAnsi="华文中宋" w:eastAsia="华文中宋" w:cs="华文中宋"/>
          <w:sz w:val="22"/>
          <w:szCs w:val="22"/>
        </w:rPr>
        <w:t>、我方已仔细阅读了竞争性磋商文件的全部内容，并同意和放弃对竞争性磋商文件不明或误解而询问、质疑和投诉的权利。</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五</w:t>
      </w:r>
      <w:r>
        <w:rPr>
          <w:rFonts w:hint="eastAsia" w:ascii="华文中宋" w:hAnsi="华文中宋" w:eastAsia="华文中宋" w:cs="华文中宋"/>
          <w:sz w:val="22"/>
          <w:szCs w:val="22"/>
        </w:rPr>
        <w:t>、我方承诺遵守《中华人民共和国政府采购法》及其实施条例的有关规定，保证在获得成交资格后：</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（1）按照竞争性磋商文件确定的事项签订政府采购合同，履行双方所签订的合同，并承担合同规定的责任和义务；保证合同签订生效后</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rPr>
        <w:t>内完成项目的实施，并交付采购人验收、使用；</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（2）我方保证按规定和标准向贵方缴纳采购代理服务费；</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六</w:t>
      </w:r>
      <w:r>
        <w:rPr>
          <w:rFonts w:hint="eastAsia" w:ascii="华文中宋" w:hAnsi="华文中宋" w:eastAsia="华文中宋" w:cs="华文中宋"/>
          <w:sz w:val="22"/>
          <w:szCs w:val="22"/>
        </w:rPr>
        <w:t>、我方愿意提供采购人可能另外要求的，与投标有关的任何文件资料，并保证我方已提供和将要提供的文件资料是真实、准确的，若提供虚假材料我方愿意按照国家相关法律法规接受处罚。</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七</w:t>
      </w:r>
      <w:r>
        <w:rPr>
          <w:rFonts w:hint="eastAsia" w:ascii="华文中宋" w:hAnsi="华文中宋" w:eastAsia="华文中宋" w:cs="华文中宋"/>
          <w:sz w:val="22"/>
          <w:szCs w:val="22"/>
        </w:rPr>
        <w:t>、我方完全理解并同意竞争性磋商文件中有关不退还磋商保证金条款所规定的情形。</w:t>
      </w:r>
    </w:p>
    <w:p>
      <w:pPr>
        <w:pStyle w:val="17"/>
        <w:keepNext w:val="0"/>
        <w:keepLines w:val="0"/>
        <w:pageBreakBefore w:val="0"/>
        <w:widowControl w:val="0"/>
        <w:kinsoku/>
        <w:wordWrap/>
        <w:overflowPunct/>
        <w:topLinePunct w:val="0"/>
        <w:autoSpaceDE/>
        <w:autoSpaceDN/>
        <w:bidi w:val="0"/>
        <w:adjustRightInd/>
        <w:snapToGrid/>
        <w:spacing w:after="0" w:line="384" w:lineRule="auto"/>
        <w:ind w:firstLine="440" w:firstLineChars="200"/>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八</w:t>
      </w:r>
      <w:r>
        <w:rPr>
          <w:rFonts w:hint="eastAsia" w:ascii="华文中宋" w:hAnsi="华文中宋" w:eastAsia="华文中宋" w:cs="华文中宋"/>
          <w:sz w:val="22"/>
          <w:szCs w:val="22"/>
        </w:rPr>
        <w:t>、我方完全理解最低报价不是成交的唯一条件，并尊重磋商小组的评审结论和评审结果。</w:t>
      </w:r>
    </w:p>
    <w:p>
      <w:pPr>
        <w:pStyle w:val="17"/>
        <w:spacing w:after="0" w:line="360" w:lineRule="auto"/>
        <w:ind w:firstLine="440" w:firstLineChars="200"/>
        <w:rPr>
          <w:rFonts w:hint="eastAsia" w:ascii="华文中宋" w:hAnsi="华文中宋" w:eastAsia="华文中宋" w:cs="华文中宋"/>
          <w:sz w:val="22"/>
          <w:szCs w:val="22"/>
        </w:rPr>
      </w:pPr>
      <w:r>
        <w:rPr>
          <w:rFonts w:hint="eastAsia" w:ascii="华文中宋" w:hAnsi="华文中宋" w:eastAsia="华文中宋" w:cs="华文中宋"/>
          <w:sz w:val="22"/>
          <w:szCs w:val="22"/>
          <w:lang w:val="en-US" w:eastAsia="zh-CN"/>
        </w:rPr>
        <w:t>九</w:t>
      </w:r>
      <w:r>
        <w:rPr>
          <w:rFonts w:hint="eastAsia" w:ascii="华文中宋" w:hAnsi="华文中宋" w:eastAsia="华文中宋" w:cs="华文中宋"/>
          <w:sz w:val="22"/>
          <w:szCs w:val="22"/>
        </w:rPr>
        <w:t>、有关本项目的所有函电，请按下列地址联系：</w:t>
      </w:r>
    </w:p>
    <w:p>
      <w:pPr>
        <w:pStyle w:val="17"/>
        <w:spacing w:line="360" w:lineRule="auto"/>
        <w:rPr>
          <w:rFonts w:hint="eastAsia" w:ascii="华文中宋" w:hAnsi="华文中宋" w:eastAsia="华文中宋" w:cs="华文中宋"/>
          <w:bCs/>
          <w:sz w:val="22"/>
          <w:szCs w:val="22"/>
        </w:rPr>
      </w:pPr>
    </w:p>
    <w:p>
      <w:pPr>
        <w:pStyle w:val="17"/>
        <w:spacing w:line="360" w:lineRule="auto"/>
        <w:ind w:firstLine="440" w:firstLineChars="200"/>
        <w:jc w:val="center"/>
        <w:rPr>
          <w:rFonts w:hint="eastAsia" w:ascii="华文中宋" w:hAnsi="华文中宋" w:eastAsia="华文中宋" w:cs="华文中宋"/>
          <w:bCs/>
          <w:sz w:val="22"/>
          <w:szCs w:val="22"/>
        </w:rPr>
      </w:pPr>
      <w:r>
        <w:rPr>
          <w:rFonts w:hint="eastAsia" w:ascii="华文中宋" w:hAnsi="华文中宋" w:eastAsia="华文中宋" w:cs="华文中宋"/>
          <w:bCs/>
          <w:sz w:val="22"/>
          <w:szCs w:val="22"/>
        </w:rPr>
        <w:t xml:space="preserve">                   磋商</w:t>
      </w:r>
      <w:r>
        <w:rPr>
          <w:rFonts w:hint="eastAsia" w:ascii="华文中宋" w:hAnsi="华文中宋" w:eastAsia="华文中宋" w:cs="华文中宋"/>
          <w:bCs/>
          <w:sz w:val="22"/>
          <w:szCs w:val="22"/>
          <w:lang w:val="en-US" w:eastAsia="zh-CN"/>
        </w:rPr>
        <w:t>响应人</w:t>
      </w:r>
      <w:r>
        <w:rPr>
          <w:rFonts w:hint="eastAsia" w:ascii="华文中宋" w:hAnsi="华文中宋" w:eastAsia="华文中宋" w:cs="华文中宋"/>
          <w:bCs/>
          <w:sz w:val="22"/>
          <w:szCs w:val="22"/>
        </w:rPr>
        <w:t>名称：（填写全称并加盖公章）</w:t>
      </w:r>
    </w:p>
    <w:p>
      <w:pPr>
        <w:pStyle w:val="17"/>
        <w:spacing w:line="360" w:lineRule="auto"/>
        <w:ind w:firstLine="440" w:firstLineChars="200"/>
        <w:jc w:val="center"/>
        <w:rPr>
          <w:rFonts w:hint="eastAsia" w:ascii="华文中宋" w:hAnsi="华文中宋" w:eastAsia="华文中宋" w:cs="华文中宋"/>
          <w:bCs/>
          <w:sz w:val="22"/>
          <w:szCs w:val="22"/>
        </w:rPr>
      </w:pPr>
      <w:r>
        <w:rPr>
          <w:rFonts w:hint="eastAsia" w:ascii="华文中宋" w:hAnsi="华文中宋" w:eastAsia="华文中宋" w:cs="华文中宋"/>
          <w:bCs/>
          <w:sz w:val="22"/>
          <w:szCs w:val="22"/>
          <w:lang w:val="en-US" w:eastAsia="zh-CN"/>
        </w:rPr>
        <w:t xml:space="preserve">                     </w:t>
      </w:r>
      <w:r>
        <w:rPr>
          <w:rFonts w:hint="eastAsia" w:ascii="华文中宋" w:hAnsi="华文中宋" w:eastAsia="华文中宋" w:cs="华文中宋"/>
          <w:bCs/>
          <w:sz w:val="22"/>
          <w:szCs w:val="22"/>
        </w:rPr>
        <w:t>法定代表人或其被授权委托代理人：（签字）</w:t>
      </w:r>
    </w:p>
    <w:p>
      <w:pPr>
        <w:pStyle w:val="17"/>
        <w:spacing w:line="360" w:lineRule="auto"/>
        <w:ind w:firstLine="3080" w:firstLineChars="1400"/>
        <w:rPr>
          <w:rFonts w:hint="eastAsia" w:ascii="华文中宋" w:hAnsi="华文中宋" w:eastAsia="华文中宋" w:cs="华文中宋"/>
          <w:bCs/>
          <w:sz w:val="22"/>
          <w:szCs w:val="22"/>
        </w:rPr>
      </w:pPr>
      <w:r>
        <w:rPr>
          <w:rFonts w:hint="eastAsia" w:ascii="华文中宋" w:hAnsi="华文中宋" w:eastAsia="华文中宋" w:cs="华文中宋"/>
          <w:bCs/>
          <w:sz w:val="22"/>
          <w:szCs w:val="22"/>
        </w:rPr>
        <w:t>通讯地址：</w:t>
      </w:r>
    </w:p>
    <w:p>
      <w:pPr>
        <w:pStyle w:val="17"/>
        <w:spacing w:line="360" w:lineRule="auto"/>
        <w:ind w:firstLine="3080" w:firstLineChars="1400"/>
        <w:rPr>
          <w:rFonts w:hint="eastAsia" w:ascii="华文中宋" w:hAnsi="华文中宋" w:eastAsia="华文中宋" w:cs="华文中宋"/>
          <w:bCs/>
          <w:sz w:val="22"/>
          <w:szCs w:val="22"/>
        </w:rPr>
      </w:pPr>
      <w:r>
        <w:rPr>
          <w:rFonts w:hint="eastAsia" w:ascii="华文中宋" w:hAnsi="华文中宋" w:eastAsia="华文中宋" w:cs="华文中宋"/>
          <w:bCs/>
          <w:sz w:val="22"/>
          <w:szCs w:val="22"/>
        </w:rPr>
        <w:t>联系电话：</w:t>
      </w:r>
    </w:p>
    <w:p>
      <w:pPr>
        <w:tabs>
          <w:tab w:val="left" w:pos="1155"/>
        </w:tabs>
        <w:spacing w:line="180" w:lineRule="exact"/>
        <w:rPr>
          <w:rFonts w:hint="eastAsia" w:ascii="华文中宋" w:hAnsi="华文中宋" w:eastAsia="华文中宋" w:cs="华文中宋"/>
          <w:b/>
          <w:bCs/>
          <w:sz w:val="36"/>
          <w:szCs w:val="44"/>
        </w:rPr>
      </w:pPr>
    </w:p>
    <w:p>
      <w:pPr>
        <w:pStyle w:val="14"/>
        <w:rPr>
          <w:rFonts w:hint="eastAsia" w:ascii="华文中宋" w:hAnsi="华文中宋" w:eastAsia="华文中宋" w:cs="华文中宋"/>
          <w:b/>
          <w:bCs/>
          <w:sz w:val="36"/>
          <w:szCs w:val="44"/>
        </w:rPr>
      </w:pPr>
    </w:p>
    <w:p>
      <w:pPr>
        <w:rPr>
          <w:rFonts w:hint="eastAsia" w:ascii="华文中宋" w:hAnsi="华文中宋" w:eastAsia="华文中宋" w:cs="华文中宋"/>
          <w:b/>
          <w:bCs/>
          <w:sz w:val="36"/>
          <w:szCs w:val="44"/>
        </w:rPr>
      </w:pPr>
    </w:p>
    <w:p>
      <w:pPr>
        <w:pStyle w:val="14"/>
        <w:rPr>
          <w:rFonts w:hint="eastAsia" w:ascii="华文中宋" w:hAnsi="华文中宋" w:eastAsia="华文中宋" w:cs="华文中宋"/>
          <w:b/>
          <w:bCs/>
          <w:sz w:val="36"/>
          <w:szCs w:val="44"/>
        </w:rPr>
      </w:pPr>
    </w:p>
    <w:p>
      <w:pPr>
        <w:rPr>
          <w:rFonts w:hint="eastAsia" w:ascii="华文中宋" w:hAnsi="华文中宋" w:eastAsia="华文中宋" w:cs="华文中宋"/>
          <w:b/>
          <w:bCs/>
          <w:sz w:val="36"/>
          <w:szCs w:val="44"/>
        </w:rPr>
      </w:pPr>
    </w:p>
    <w:p>
      <w:pPr>
        <w:pStyle w:val="14"/>
        <w:rPr>
          <w:rFonts w:hint="eastAsia" w:ascii="华文中宋" w:hAnsi="华文中宋" w:eastAsia="华文中宋" w:cs="华文中宋"/>
          <w:b/>
          <w:bCs/>
          <w:sz w:val="36"/>
          <w:szCs w:val="44"/>
        </w:rPr>
      </w:pPr>
    </w:p>
    <w:p>
      <w:pPr>
        <w:pStyle w:val="14"/>
        <w:rPr>
          <w:rFonts w:hint="eastAsia" w:ascii="华文中宋" w:hAnsi="华文中宋" w:eastAsia="华文中宋" w:cs="华文中宋"/>
          <w:b/>
          <w:bCs/>
          <w:sz w:val="36"/>
          <w:szCs w:val="44"/>
        </w:rPr>
      </w:pPr>
    </w:p>
    <w:p>
      <w:pPr>
        <w:rPr>
          <w:rFonts w:hint="eastAsia" w:ascii="华文中宋" w:hAnsi="华文中宋" w:eastAsia="华文中宋" w:cs="华文中宋"/>
        </w:rPr>
      </w:pPr>
    </w:p>
    <w:p>
      <w:pPr>
        <w:pStyle w:val="2"/>
        <w:rPr>
          <w:rFonts w:hint="eastAsia" w:ascii="华文中宋" w:hAnsi="华文中宋" w:eastAsia="华文中宋" w:cs="华文中宋"/>
        </w:rPr>
      </w:pPr>
    </w:p>
    <w:p>
      <w:pPr>
        <w:rPr>
          <w:rFonts w:hint="eastAsia" w:ascii="华文中宋" w:hAnsi="华文中宋" w:eastAsia="华文中宋" w:cs="华文中宋"/>
        </w:rPr>
      </w:pPr>
    </w:p>
    <w:p>
      <w:pPr>
        <w:snapToGrid w:val="0"/>
        <w:spacing w:line="360" w:lineRule="auto"/>
        <w:outlineLvl w:val="0"/>
        <w:rPr>
          <w:rFonts w:hint="eastAsia" w:ascii="华文中宋" w:hAnsi="华文中宋" w:eastAsia="华文中宋" w:cs="华文中宋"/>
          <w:b/>
          <w:sz w:val="32"/>
          <w:szCs w:val="32"/>
        </w:rPr>
      </w:pPr>
      <w:bookmarkStart w:id="193" w:name="_Toc13450"/>
      <w:bookmarkStart w:id="194" w:name="_Toc15332_WPSOffice_Level1"/>
      <w:bookmarkStart w:id="195" w:name="_Toc9246"/>
      <w:bookmarkStart w:id="196" w:name="_Toc24966"/>
      <w:bookmarkStart w:id="197" w:name="_Toc11802"/>
      <w:bookmarkStart w:id="198" w:name="_Toc25249"/>
      <w:bookmarkStart w:id="199" w:name="_Toc24502_WPSOffice_Level1"/>
      <w:bookmarkStart w:id="200" w:name="_Toc7813_WPSOffice_Level1"/>
      <w:bookmarkStart w:id="201" w:name="_Toc523311247"/>
    </w:p>
    <w:p>
      <w:pPr>
        <w:snapToGrid w:val="0"/>
        <w:spacing w:line="360" w:lineRule="auto"/>
        <w:ind w:firstLine="2563" w:firstLineChars="800"/>
        <w:outlineLvl w:val="0"/>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第</w:t>
      </w:r>
      <w:r>
        <w:rPr>
          <w:rFonts w:hint="eastAsia" w:ascii="华文中宋" w:hAnsi="华文中宋" w:eastAsia="华文中宋" w:cs="华文中宋"/>
          <w:b/>
          <w:sz w:val="32"/>
          <w:szCs w:val="32"/>
          <w:lang w:val="en-US" w:eastAsia="zh-CN"/>
        </w:rPr>
        <w:t>2</w:t>
      </w:r>
      <w:r>
        <w:rPr>
          <w:rFonts w:hint="eastAsia" w:ascii="华文中宋" w:hAnsi="华文中宋" w:eastAsia="华文中宋" w:cs="华文中宋"/>
          <w:b/>
          <w:sz w:val="32"/>
          <w:szCs w:val="32"/>
        </w:rPr>
        <w:t>部分 投标报价表</w:t>
      </w:r>
      <w:bookmarkEnd w:id="193"/>
      <w:bookmarkEnd w:id="194"/>
      <w:bookmarkEnd w:id="195"/>
      <w:bookmarkEnd w:id="196"/>
      <w:bookmarkEnd w:id="197"/>
      <w:bookmarkEnd w:id="198"/>
      <w:bookmarkEnd w:id="199"/>
      <w:bookmarkEnd w:id="200"/>
      <w:bookmarkEnd w:id="201"/>
    </w:p>
    <w:p>
      <w:pPr>
        <w:tabs>
          <w:tab w:val="left" w:pos="7920"/>
        </w:tabs>
        <w:spacing w:line="240" w:lineRule="exact"/>
        <w:rPr>
          <w:rFonts w:hint="eastAsia" w:ascii="华文中宋" w:hAnsi="华文中宋" w:eastAsia="华文中宋" w:cs="华文中宋"/>
          <w:sz w:val="32"/>
          <w:szCs w:val="44"/>
        </w:rPr>
      </w:pPr>
    </w:p>
    <w:p>
      <w:pPr>
        <w:spacing w:line="480" w:lineRule="exact"/>
        <w:jc w:val="center"/>
        <w:outlineLvl w:val="0"/>
        <w:rPr>
          <w:rFonts w:hint="eastAsia" w:ascii="华文中宋" w:hAnsi="华文中宋" w:eastAsia="华文中宋" w:cs="华文中宋"/>
          <w:b/>
          <w:bCs/>
          <w:sz w:val="30"/>
          <w:szCs w:val="30"/>
        </w:rPr>
      </w:pPr>
      <w:bookmarkStart w:id="202" w:name="_Toc9918"/>
      <w:bookmarkStart w:id="203" w:name="_Toc4645"/>
      <w:bookmarkStart w:id="204" w:name="_Toc25228"/>
      <w:bookmarkStart w:id="205" w:name="_Toc21541"/>
      <w:r>
        <w:rPr>
          <w:rFonts w:hint="eastAsia" w:ascii="华文中宋" w:hAnsi="华文中宋" w:eastAsia="华文中宋" w:cs="华文中宋"/>
          <w:b/>
          <w:bCs/>
          <w:sz w:val="30"/>
          <w:szCs w:val="30"/>
          <w:lang w:val="en-US" w:eastAsia="zh-CN"/>
        </w:rPr>
        <w:t>2</w:t>
      </w:r>
      <w:r>
        <w:rPr>
          <w:rFonts w:hint="eastAsia" w:ascii="华文中宋" w:hAnsi="华文中宋" w:eastAsia="华文中宋" w:cs="华文中宋"/>
          <w:b/>
          <w:bCs/>
          <w:sz w:val="30"/>
          <w:szCs w:val="30"/>
        </w:rPr>
        <w:t>.1、投标报价表（首次）</w:t>
      </w:r>
      <w:bookmarkEnd w:id="202"/>
      <w:bookmarkEnd w:id="203"/>
      <w:bookmarkEnd w:id="204"/>
      <w:bookmarkEnd w:id="205"/>
    </w:p>
    <w:p>
      <w:pPr>
        <w:tabs>
          <w:tab w:val="right" w:leader="dot" w:pos="9022"/>
        </w:tabs>
        <w:autoSpaceDE w:val="0"/>
        <w:autoSpaceDN w:val="0"/>
        <w:adjustRightInd w:val="0"/>
        <w:spacing w:line="400" w:lineRule="exact"/>
        <w:ind w:firstLine="110" w:firstLineChars="50"/>
        <w:jc w:val="left"/>
        <w:rPr>
          <w:rFonts w:hint="eastAsia" w:ascii="华文中宋" w:hAnsi="华文中宋" w:eastAsia="华文中宋" w:cs="华文中宋"/>
          <w:bCs/>
          <w:caps/>
          <w:sz w:val="24"/>
        </w:rPr>
      </w:pPr>
      <w:r>
        <w:rPr>
          <w:rFonts w:hint="eastAsia" w:ascii="华文中宋" w:hAnsi="华文中宋" w:eastAsia="华文中宋" w:cs="华文中宋"/>
          <w:bCs/>
          <w:caps/>
          <w:sz w:val="22"/>
          <w:szCs w:val="22"/>
        </w:rPr>
        <w:t>响应人名称：                                                     人民币：元</w:t>
      </w:r>
    </w:p>
    <w:tbl>
      <w:tblPr>
        <w:tblStyle w:val="28"/>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项目名称</w:t>
            </w:r>
          </w:p>
        </w:tc>
        <w:tc>
          <w:tcPr>
            <w:tcW w:w="7116" w:type="dxa"/>
            <w:gridSpan w:val="2"/>
            <w:noWrap/>
            <w:vAlign w:val="center"/>
          </w:tcPr>
          <w:p>
            <w:pPr>
              <w:tabs>
                <w:tab w:val="right" w:leader="dot" w:pos="9022"/>
              </w:tabs>
              <w:spacing w:line="400" w:lineRule="exact"/>
              <w:jc w:val="left"/>
              <w:rPr>
                <w:rFonts w:hint="eastAsia" w:ascii="华文中宋" w:hAnsi="华文中宋" w:eastAsia="华文中宋" w:cs="华文中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983" w:type="dxa"/>
            <w:noWrap/>
            <w:vAlign w:val="center"/>
          </w:tcPr>
          <w:p>
            <w:pPr>
              <w:tabs>
                <w:tab w:val="right" w:leader="dot" w:pos="9022"/>
              </w:tabs>
              <w:spacing w:line="400" w:lineRule="exact"/>
              <w:ind w:left="440" w:hanging="440" w:hangingChars="200"/>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总报价小写：</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983" w:type="dxa"/>
            <w:noWrap/>
            <w:vAlign w:val="center"/>
          </w:tcPr>
          <w:p>
            <w:pPr>
              <w:tabs>
                <w:tab w:val="right" w:leader="dot" w:pos="9022"/>
              </w:tabs>
              <w:spacing w:line="400" w:lineRule="exact"/>
              <w:ind w:left="440" w:hanging="440" w:hangingChars="200"/>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总报价大写：</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lang w:val="en-US" w:eastAsia="zh-CN"/>
              </w:rPr>
              <w:t>完成时间</w:t>
            </w:r>
            <w:r>
              <w:rPr>
                <w:rFonts w:hint="eastAsia" w:ascii="华文中宋" w:hAnsi="华文中宋" w:eastAsia="华文中宋" w:cs="华文中宋"/>
                <w:bCs/>
                <w:caps/>
                <w:sz w:val="22"/>
                <w:szCs w:val="22"/>
              </w:rPr>
              <w:t>：</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
                <w:bCs/>
                <w:caps/>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983" w:type="dxa"/>
            <w:noWrap/>
            <w:vAlign w:val="center"/>
          </w:tcPr>
          <w:p>
            <w:pPr>
              <w:tabs>
                <w:tab w:val="right" w:leader="dot" w:pos="9022"/>
              </w:tabs>
              <w:spacing w:line="400" w:lineRule="exact"/>
              <w:jc w:val="center"/>
              <w:rPr>
                <w:rFonts w:hint="default" w:ascii="华文中宋" w:hAnsi="华文中宋" w:eastAsia="华文中宋" w:cs="华文中宋"/>
                <w:bCs/>
                <w:caps/>
                <w:sz w:val="22"/>
                <w:szCs w:val="22"/>
                <w:lang w:val="en-US" w:eastAsia="zh-CN"/>
              </w:rPr>
            </w:pPr>
            <w:r>
              <w:rPr>
                <w:rFonts w:hint="eastAsia" w:ascii="华文中宋" w:hAnsi="华文中宋" w:eastAsia="华文中宋" w:cs="华文中宋"/>
                <w:bCs/>
                <w:caps/>
                <w:sz w:val="22"/>
                <w:szCs w:val="22"/>
                <w:lang w:val="en-US" w:eastAsia="zh-CN"/>
              </w:rPr>
              <w:t>质量标准：</w:t>
            </w:r>
          </w:p>
        </w:tc>
        <w:tc>
          <w:tcPr>
            <w:tcW w:w="7116" w:type="dxa"/>
            <w:gridSpan w:val="2"/>
            <w:noWrap/>
            <w:vAlign w:val="center"/>
          </w:tcPr>
          <w:p>
            <w:pPr>
              <w:tabs>
                <w:tab w:val="right" w:leader="dot" w:pos="9022"/>
              </w:tabs>
              <w:spacing w:line="400" w:lineRule="exact"/>
              <w:ind w:firstLine="550" w:firstLineChars="250"/>
              <w:jc w:val="center"/>
              <w:rPr>
                <w:rFonts w:hint="eastAsia" w:ascii="华文中宋" w:hAnsi="华文中宋" w:eastAsia="华文中宋" w:cs="华文中宋"/>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响应人</w:t>
            </w:r>
          </w:p>
        </w:tc>
        <w:tc>
          <w:tcPr>
            <w:tcW w:w="4175"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法定代表人或被授权人</w:t>
            </w:r>
          </w:p>
        </w:tc>
        <w:tc>
          <w:tcPr>
            <w:tcW w:w="2941" w:type="dxa"/>
            <w:noWrap/>
            <w:vAlign w:val="center"/>
          </w:tcPr>
          <w:p>
            <w:pPr>
              <w:tabs>
                <w:tab w:val="right" w:leader="dot" w:pos="9022"/>
              </w:tabs>
              <w:spacing w:line="400" w:lineRule="exact"/>
              <w:ind w:firstLine="550" w:firstLineChars="250"/>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（公章）</w:t>
            </w:r>
          </w:p>
        </w:tc>
        <w:tc>
          <w:tcPr>
            <w:tcW w:w="4175"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（签字）</w:t>
            </w:r>
          </w:p>
        </w:tc>
        <w:tc>
          <w:tcPr>
            <w:tcW w:w="2941"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9099" w:type="dxa"/>
            <w:gridSpan w:val="3"/>
            <w:noWrap/>
            <w:vAlign w:val="center"/>
          </w:tcPr>
          <w:p>
            <w:pPr>
              <w:tabs>
                <w:tab w:val="right" w:leader="dot" w:pos="9022"/>
              </w:tabs>
              <w:spacing w:line="400" w:lineRule="exact"/>
              <w:rPr>
                <w:rFonts w:hint="eastAsia" w:ascii="华文中宋" w:hAnsi="华文中宋" w:eastAsia="华文中宋" w:cs="华文中宋"/>
                <w:bCs/>
                <w:caps/>
                <w:sz w:val="22"/>
                <w:szCs w:val="22"/>
              </w:rPr>
            </w:pPr>
            <w:r>
              <w:rPr>
                <w:rFonts w:hint="eastAsia" w:ascii="华文中宋" w:hAnsi="华文中宋" w:eastAsia="华文中宋" w:cs="华文中宋"/>
                <w:sz w:val="22"/>
                <w:szCs w:val="22"/>
              </w:rPr>
              <w:t>报价声明：总报价中已包含完成本项目所需的一切费用，包括</w:t>
            </w:r>
            <w:r>
              <w:rPr>
                <w:rFonts w:hint="eastAsia" w:ascii="华文中宋" w:hAnsi="华文中宋" w:eastAsia="华文中宋" w:cs="华文中宋"/>
                <w:sz w:val="22"/>
                <w:szCs w:val="22"/>
                <w:lang w:val="en-US" w:eastAsia="zh-CN"/>
              </w:rPr>
              <w:t>响应人</w:t>
            </w:r>
            <w:r>
              <w:rPr>
                <w:rFonts w:hint="eastAsia" w:ascii="华文中宋" w:hAnsi="华文中宋" w:eastAsia="华文中宋" w:cs="华文中宋"/>
                <w:sz w:val="22"/>
                <w:szCs w:val="22"/>
              </w:rPr>
              <w:t>完成本项目所需的一切费用，即实施本项目所需的人工费、后期服务费、税费、利润、市场服务费、采购代理服务费等其他所有费用的总和。在工作中出现任何遗漏，均由成交供应商免费提供，采购人将不再支付任何费用。</w:t>
            </w:r>
          </w:p>
        </w:tc>
      </w:tr>
    </w:tbl>
    <w:p>
      <w:pPr>
        <w:spacing w:line="440" w:lineRule="exact"/>
        <w:rPr>
          <w:rFonts w:hint="eastAsia" w:ascii="华文中宋" w:hAnsi="华文中宋" w:eastAsia="华文中宋" w:cs="华文中宋"/>
          <w:b/>
          <w:sz w:val="24"/>
        </w:rPr>
      </w:pPr>
      <w:r>
        <w:rPr>
          <w:rFonts w:hint="eastAsia" w:ascii="华文中宋" w:hAnsi="华文中宋" w:eastAsia="华文中宋" w:cs="华文中宋"/>
          <w:b/>
          <w:sz w:val="24"/>
        </w:rPr>
        <w:t>特别提示：</w:t>
      </w:r>
    </w:p>
    <w:p>
      <w:pPr>
        <w:spacing w:line="440" w:lineRule="exact"/>
        <w:ind w:firstLine="440" w:firstLineChars="200"/>
        <w:rPr>
          <w:rFonts w:hint="eastAsia" w:ascii="华文中宋" w:hAnsi="华文中宋" w:eastAsia="华文中宋" w:cs="华文中宋"/>
          <w:sz w:val="22"/>
          <w:szCs w:val="22"/>
        </w:rPr>
      </w:pPr>
      <w:r>
        <w:rPr>
          <w:rFonts w:hint="eastAsia" w:ascii="华文中宋" w:hAnsi="华文中宋" w:eastAsia="华文中宋" w:cs="华文中宋"/>
          <w:sz w:val="22"/>
          <w:szCs w:val="22"/>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rPr>
          <w:rFonts w:hint="eastAsia" w:ascii="华文中宋" w:hAnsi="华文中宋" w:eastAsia="华文中宋" w:cs="华文中宋"/>
        </w:rPr>
      </w:pPr>
    </w:p>
    <w:p>
      <w:pPr>
        <w:spacing w:line="480" w:lineRule="exact"/>
        <w:jc w:val="center"/>
        <w:outlineLvl w:val="0"/>
        <w:rPr>
          <w:rFonts w:hint="eastAsia" w:ascii="华文中宋" w:hAnsi="华文中宋" w:eastAsia="华文中宋" w:cs="华文中宋"/>
          <w:b/>
          <w:bCs/>
          <w:sz w:val="30"/>
          <w:szCs w:val="30"/>
        </w:rPr>
      </w:pPr>
      <w:bookmarkStart w:id="206" w:name="_Toc25534"/>
      <w:bookmarkStart w:id="207" w:name="_Toc30010"/>
      <w:bookmarkStart w:id="208" w:name="_Toc1657"/>
      <w:bookmarkStart w:id="209" w:name="_Toc25743"/>
    </w:p>
    <w:p>
      <w:pPr>
        <w:spacing w:line="480" w:lineRule="exact"/>
        <w:jc w:val="center"/>
        <w:outlineLvl w:val="0"/>
        <w:rPr>
          <w:rFonts w:hint="eastAsia" w:ascii="华文中宋" w:hAnsi="华文中宋" w:eastAsia="华文中宋" w:cs="华文中宋"/>
          <w:b/>
          <w:bCs/>
          <w:sz w:val="30"/>
          <w:szCs w:val="30"/>
        </w:rPr>
      </w:pPr>
    </w:p>
    <w:p>
      <w:pPr>
        <w:pStyle w:val="42"/>
        <w:ind w:firstLine="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pStyle w:val="17"/>
        <w:rPr>
          <w:rFonts w:hint="eastAsia" w:ascii="华文中宋" w:hAnsi="华文中宋" w:eastAsia="华文中宋" w:cs="华文中宋"/>
        </w:rPr>
      </w:pPr>
    </w:p>
    <w:p>
      <w:pPr>
        <w:pStyle w:val="14"/>
        <w:rPr>
          <w:rFonts w:hint="eastAsia" w:ascii="华文中宋" w:hAnsi="华文中宋" w:eastAsia="华文中宋" w:cs="华文中宋"/>
        </w:rPr>
      </w:pPr>
    </w:p>
    <w:p>
      <w:pPr>
        <w:spacing w:line="480" w:lineRule="exact"/>
        <w:jc w:val="center"/>
        <w:outlineLvl w:val="0"/>
        <w:rPr>
          <w:rFonts w:hint="eastAsia" w:ascii="华文中宋" w:hAnsi="华文中宋" w:eastAsia="华文中宋" w:cs="华文中宋"/>
        </w:rPr>
      </w:pPr>
      <w:r>
        <w:rPr>
          <w:rFonts w:hint="eastAsia" w:ascii="华文中宋" w:hAnsi="华文中宋" w:eastAsia="华文中宋" w:cs="华文中宋"/>
          <w:b/>
          <w:bCs/>
          <w:sz w:val="30"/>
          <w:szCs w:val="30"/>
          <w:lang w:val="en-US" w:eastAsia="zh-CN"/>
        </w:rPr>
        <w:t>2</w:t>
      </w:r>
      <w:r>
        <w:rPr>
          <w:rFonts w:hint="eastAsia" w:ascii="华文中宋" w:hAnsi="华文中宋" w:eastAsia="华文中宋" w:cs="华文中宋"/>
          <w:b/>
          <w:bCs/>
          <w:sz w:val="30"/>
          <w:szCs w:val="30"/>
        </w:rPr>
        <w:t>.2、分项报价表</w:t>
      </w:r>
      <w:bookmarkEnd w:id="206"/>
      <w:bookmarkEnd w:id="207"/>
      <w:bookmarkEnd w:id="208"/>
      <w:bookmarkEnd w:id="209"/>
    </w:p>
    <w:p>
      <w:pPr>
        <w:rPr>
          <w:rFonts w:hint="eastAsia" w:ascii="华文中宋" w:hAnsi="华文中宋" w:eastAsia="华文中宋" w:cs="华文中宋"/>
        </w:rPr>
      </w:pPr>
    </w:p>
    <w:p>
      <w:pPr>
        <w:spacing w:line="300" w:lineRule="auto"/>
        <w:ind w:firstLine="440" w:firstLineChars="200"/>
        <w:jc w:val="left"/>
        <w:rPr>
          <w:rFonts w:hint="eastAsia" w:ascii="华文中宋" w:hAnsi="华文中宋" w:eastAsia="华文中宋" w:cs="华文中宋"/>
          <w:bCs/>
          <w:caps/>
          <w:sz w:val="22"/>
          <w:szCs w:val="22"/>
        </w:rPr>
      </w:pPr>
    </w:p>
    <w:p>
      <w:pPr>
        <w:spacing w:line="360" w:lineRule="auto"/>
        <w:ind w:firstLine="440" w:firstLineChars="200"/>
        <w:jc w:val="left"/>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说明：本节无格式要求</w:t>
      </w:r>
    </w:p>
    <w:p>
      <w:pPr>
        <w:numPr>
          <w:ilvl w:val="0"/>
          <w:numId w:val="9"/>
        </w:numPr>
        <w:spacing w:line="360" w:lineRule="auto"/>
        <w:ind w:firstLine="440" w:firstLineChars="200"/>
        <w:jc w:val="left"/>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格式自拟，根据采购人提出的各项服务内容进行报价，对磋商报价组成进行详细说明。</w:t>
      </w:r>
    </w:p>
    <w:p>
      <w:pPr>
        <w:numPr>
          <w:ilvl w:val="0"/>
          <w:numId w:val="9"/>
        </w:numPr>
        <w:spacing w:line="360" w:lineRule="auto"/>
        <w:ind w:firstLine="440" w:firstLineChars="200"/>
        <w:jc w:val="left"/>
        <w:rPr>
          <w:rFonts w:hint="eastAsia" w:ascii="华文中宋" w:hAnsi="华文中宋" w:eastAsia="华文中宋" w:cs="华文中宋"/>
          <w:b/>
          <w:bCs/>
          <w:caps/>
          <w:sz w:val="22"/>
          <w:szCs w:val="22"/>
          <w:u w:val="single"/>
        </w:rPr>
      </w:pPr>
      <w:r>
        <w:rPr>
          <w:rFonts w:hint="eastAsia" w:ascii="华文中宋" w:hAnsi="华文中宋" w:eastAsia="华文中宋" w:cs="华文中宋"/>
          <w:bCs/>
          <w:caps/>
          <w:sz w:val="22"/>
          <w:szCs w:val="22"/>
        </w:rPr>
        <w:t>最终磋商报价后，各</w:t>
      </w:r>
      <w:r>
        <w:rPr>
          <w:rFonts w:hint="eastAsia" w:ascii="华文中宋" w:hAnsi="华文中宋" w:eastAsia="华文中宋" w:cs="华文中宋"/>
          <w:bCs/>
          <w:caps/>
          <w:sz w:val="22"/>
          <w:szCs w:val="22"/>
          <w:lang w:val="en-US" w:eastAsia="zh-CN"/>
        </w:rPr>
        <w:t>响人</w:t>
      </w:r>
      <w:r>
        <w:rPr>
          <w:rFonts w:hint="eastAsia" w:ascii="华文中宋" w:hAnsi="华文中宋" w:eastAsia="华文中宋" w:cs="华文中宋"/>
          <w:bCs/>
          <w:caps/>
          <w:sz w:val="22"/>
          <w:szCs w:val="22"/>
        </w:rPr>
        <w:t>提供的分项报价表中各项报价执行同比例下浮原则。</w:t>
      </w:r>
    </w:p>
    <w:p>
      <w:pPr>
        <w:spacing w:line="360" w:lineRule="auto"/>
        <w:jc w:val="left"/>
        <w:rPr>
          <w:rFonts w:hint="eastAsia" w:ascii="华文中宋" w:hAnsi="华文中宋" w:eastAsia="华文中宋" w:cs="华文中宋"/>
          <w:b/>
          <w:bCs/>
          <w:sz w:val="22"/>
          <w:szCs w:val="22"/>
          <w:u w:val="single"/>
        </w:rPr>
      </w:pPr>
    </w:p>
    <w:p>
      <w:pPr>
        <w:spacing w:line="360" w:lineRule="auto"/>
        <w:rPr>
          <w:rFonts w:hint="eastAsia" w:ascii="华文中宋" w:hAnsi="华文中宋" w:eastAsia="华文中宋" w:cs="华文中宋"/>
          <w:b/>
          <w:bCs/>
          <w:sz w:val="24"/>
          <w:u w:val="single"/>
        </w:rPr>
      </w:pPr>
    </w:p>
    <w:p>
      <w:pPr>
        <w:tabs>
          <w:tab w:val="right" w:leader="dot" w:pos="9022"/>
        </w:tabs>
        <w:autoSpaceDE w:val="0"/>
        <w:autoSpaceDN w:val="0"/>
        <w:adjustRightInd w:val="0"/>
        <w:spacing w:line="400" w:lineRule="exact"/>
        <w:ind w:firstLine="3604" w:firstLineChars="1200"/>
        <w:jc w:val="left"/>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pStyle w:val="42"/>
        <w:pBdr>
          <w:top w:val="none" w:color="auto" w:sz="0" w:space="0"/>
          <w:left w:val="none" w:color="auto" w:sz="0" w:space="0"/>
          <w:bottom w:val="none" w:color="auto" w:sz="0" w:space="0"/>
          <w:right w:val="none" w:color="auto" w:sz="0" w:space="0"/>
          <w:between w:val="none" w:color="auto" w:sz="0" w:space="0"/>
        </w:pBdr>
        <w:rPr>
          <w:rFonts w:hint="eastAsia" w:ascii="华文中宋" w:hAnsi="华文中宋" w:eastAsia="华文中宋" w:cs="华文中宋"/>
          <w:b/>
          <w:bCs/>
          <w:sz w:val="30"/>
          <w:szCs w:val="30"/>
        </w:rPr>
      </w:pPr>
    </w:p>
    <w:p>
      <w:pPr>
        <w:tabs>
          <w:tab w:val="right" w:leader="dot" w:pos="9022"/>
        </w:tabs>
        <w:autoSpaceDE w:val="0"/>
        <w:autoSpaceDN w:val="0"/>
        <w:adjustRightInd w:val="0"/>
        <w:spacing w:line="400" w:lineRule="exact"/>
        <w:jc w:val="left"/>
        <w:rPr>
          <w:rFonts w:hint="eastAsia" w:ascii="华文中宋" w:hAnsi="华文中宋" w:eastAsia="华文中宋" w:cs="华文中宋"/>
          <w:b/>
          <w:bCs/>
          <w:sz w:val="32"/>
          <w:szCs w:val="32"/>
        </w:rPr>
      </w:pPr>
    </w:p>
    <w:p>
      <w:pPr>
        <w:tabs>
          <w:tab w:val="right" w:leader="dot" w:pos="9022"/>
        </w:tabs>
        <w:autoSpaceDE w:val="0"/>
        <w:autoSpaceDN w:val="0"/>
        <w:adjustRightInd w:val="0"/>
        <w:spacing w:line="400" w:lineRule="exact"/>
        <w:ind w:firstLine="2883" w:firstLineChars="900"/>
        <w:jc w:val="left"/>
        <w:rPr>
          <w:rFonts w:hint="eastAsia" w:ascii="华文中宋" w:hAnsi="华文中宋" w:eastAsia="华文中宋" w:cs="华文中宋"/>
          <w:b/>
          <w:bCs/>
          <w:sz w:val="32"/>
          <w:szCs w:val="32"/>
          <w:lang w:val="en-US" w:eastAsia="zh-CN"/>
        </w:rPr>
      </w:pPr>
    </w:p>
    <w:p>
      <w:pPr>
        <w:tabs>
          <w:tab w:val="right" w:leader="dot" w:pos="9022"/>
        </w:tabs>
        <w:autoSpaceDE w:val="0"/>
        <w:autoSpaceDN w:val="0"/>
        <w:adjustRightInd w:val="0"/>
        <w:spacing w:line="400" w:lineRule="exact"/>
        <w:ind w:firstLine="2883" w:firstLineChars="900"/>
        <w:jc w:val="left"/>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lang w:val="en-US" w:eastAsia="zh-CN"/>
        </w:rPr>
        <w:t>2</w:t>
      </w:r>
      <w:r>
        <w:rPr>
          <w:rFonts w:hint="eastAsia" w:ascii="华文中宋" w:hAnsi="华文中宋" w:eastAsia="华文中宋" w:cs="华文中宋"/>
          <w:b/>
          <w:bCs/>
          <w:sz w:val="32"/>
          <w:szCs w:val="32"/>
        </w:rPr>
        <w:t>.3、二次报价表</w:t>
      </w:r>
    </w:p>
    <w:p>
      <w:pPr>
        <w:tabs>
          <w:tab w:val="right" w:leader="dot" w:pos="9022"/>
        </w:tabs>
        <w:autoSpaceDE w:val="0"/>
        <w:autoSpaceDN w:val="0"/>
        <w:adjustRightInd w:val="0"/>
        <w:spacing w:line="400" w:lineRule="exact"/>
        <w:ind w:firstLine="110" w:firstLineChars="50"/>
        <w:jc w:val="left"/>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响应人名称：                                                     人民币：元</w:t>
      </w:r>
    </w:p>
    <w:tbl>
      <w:tblPr>
        <w:tblStyle w:val="28"/>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项目名称</w:t>
            </w:r>
          </w:p>
        </w:tc>
        <w:tc>
          <w:tcPr>
            <w:tcW w:w="7116" w:type="dxa"/>
            <w:gridSpan w:val="2"/>
            <w:noWrap/>
            <w:vAlign w:val="center"/>
          </w:tcPr>
          <w:p>
            <w:pPr>
              <w:tabs>
                <w:tab w:val="right" w:leader="dot" w:pos="9022"/>
              </w:tabs>
              <w:spacing w:line="400" w:lineRule="exact"/>
              <w:jc w:val="left"/>
              <w:rPr>
                <w:rFonts w:hint="eastAsia" w:ascii="华文中宋" w:hAnsi="华文中宋" w:eastAsia="华文中宋" w:cs="华文中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983" w:type="dxa"/>
            <w:noWrap/>
            <w:vAlign w:val="center"/>
          </w:tcPr>
          <w:p>
            <w:pPr>
              <w:tabs>
                <w:tab w:val="right" w:leader="dot" w:pos="9022"/>
              </w:tabs>
              <w:spacing w:line="400" w:lineRule="exact"/>
              <w:ind w:left="440" w:hanging="440" w:hangingChars="200"/>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总报价小写：</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983" w:type="dxa"/>
            <w:noWrap/>
            <w:vAlign w:val="center"/>
          </w:tcPr>
          <w:p>
            <w:pPr>
              <w:tabs>
                <w:tab w:val="right" w:leader="dot" w:pos="9022"/>
              </w:tabs>
              <w:spacing w:line="400" w:lineRule="exact"/>
              <w:ind w:left="440" w:hanging="440" w:hangingChars="200"/>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总报价大写：</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lang w:val="en-US" w:eastAsia="zh-CN"/>
              </w:rPr>
              <w:t>完成时间</w:t>
            </w:r>
            <w:r>
              <w:rPr>
                <w:rFonts w:hint="eastAsia" w:ascii="华文中宋" w:hAnsi="华文中宋" w:eastAsia="华文中宋" w:cs="华文中宋"/>
                <w:bCs/>
                <w:caps/>
                <w:sz w:val="22"/>
                <w:szCs w:val="22"/>
              </w:rPr>
              <w:t>：</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
                <w:bCs/>
                <w:caps/>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983" w:type="dxa"/>
            <w:noWrap/>
            <w:vAlign w:val="center"/>
          </w:tcPr>
          <w:p>
            <w:pPr>
              <w:tabs>
                <w:tab w:val="right" w:leader="dot" w:pos="9022"/>
              </w:tabs>
              <w:spacing w:line="400" w:lineRule="exact"/>
              <w:jc w:val="center"/>
              <w:rPr>
                <w:rFonts w:hint="default" w:ascii="华文中宋" w:hAnsi="华文中宋" w:eastAsia="华文中宋" w:cs="华文中宋"/>
                <w:bCs/>
                <w:caps/>
                <w:sz w:val="22"/>
                <w:szCs w:val="22"/>
                <w:lang w:val="en-US" w:eastAsia="zh-CN"/>
              </w:rPr>
            </w:pPr>
            <w:r>
              <w:rPr>
                <w:rFonts w:hint="eastAsia" w:ascii="华文中宋" w:hAnsi="华文中宋" w:eastAsia="华文中宋" w:cs="华文中宋"/>
                <w:bCs/>
                <w:caps/>
                <w:sz w:val="22"/>
                <w:szCs w:val="22"/>
                <w:lang w:val="en-US" w:eastAsia="zh-CN"/>
              </w:rPr>
              <w:t>质量标准：</w:t>
            </w:r>
          </w:p>
        </w:tc>
        <w:tc>
          <w:tcPr>
            <w:tcW w:w="7116" w:type="dxa"/>
            <w:gridSpan w:val="2"/>
            <w:noWrap/>
            <w:vAlign w:val="center"/>
          </w:tcPr>
          <w:p>
            <w:pPr>
              <w:tabs>
                <w:tab w:val="right" w:leader="dot" w:pos="9022"/>
              </w:tabs>
              <w:spacing w:line="400" w:lineRule="exact"/>
              <w:jc w:val="center"/>
              <w:rPr>
                <w:rFonts w:hint="eastAsia" w:ascii="华文中宋" w:hAnsi="华文中宋" w:eastAsia="华文中宋" w:cs="华文中宋"/>
                <w:b/>
                <w:bCs/>
                <w:caps/>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响应人</w:t>
            </w:r>
          </w:p>
        </w:tc>
        <w:tc>
          <w:tcPr>
            <w:tcW w:w="4175"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法定代表人或被授权人</w:t>
            </w:r>
          </w:p>
        </w:tc>
        <w:tc>
          <w:tcPr>
            <w:tcW w:w="2941" w:type="dxa"/>
            <w:noWrap/>
            <w:vAlign w:val="center"/>
          </w:tcPr>
          <w:p>
            <w:pPr>
              <w:tabs>
                <w:tab w:val="right" w:leader="dot" w:pos="9022"/>
              </w:tabs>
              <w:spacing w:line="400" w:lineRule="exact"/>
              <w:ind w:firstLine="550" w:firstLineChars="250"/>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983"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（公章）</w:t>
            </w:r>
          </w:p>
        </w:tc>
        <w:tc>
          <w:tcPr>
            <w:tcW w:w="4175"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（签字）</w:t>
            </w:r>
          </w:p>
        </w:tc>
        <w:tc>
          <w:tcPr>
            <w:tcW w:w="2941" w:type="dxa"/>
            <w:noWrap/>
            <w:vAlign w:val="center"/>
          </w:tcPr>
          <w:p>
            <w:pPr>
              <w:tabs>
                <w:tab w:val="right" w:leader="dot" w:pos="9022"/>
              </w:tabs>
              <w:spacing w:line="400" w:lineRule="exact"/>
              <w:jc w:val="center"/>
              <w:rPr>
                <w:rFonts w:hint="eastAsia" w:ascii="华文中宋" w:hAnsi="华文中宋" w:eastAsia="华文中宋" w:cs="华文中宋"/>
                <w:bCs/>
                <w:caps/>
                <w:sz w:val="22"/>
                <w:szCs w:val="22"/>
              </w:rPr>
            </w:pPr>
            <w:r>
              <w:rPr>
                <w:rFonts w:hint="eastAsia" w:ascii="华文中宋" w:hAnsi="华文中宋" w:eastAsia="华文中宋" w:cs="华文中宋"/>
                <w:bCs/>
                <w:caps/>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9099" w:type="dxa"/>
            <w:gridSpan w:val="3"/>
            <w:noWrap/>
            <w:vAlign w:val="center"/>
          </w:tcPr>
          <w:p>
            <w:pPr>
              <w:tabs>
                <w:tab w:val="right" w:leader="dot" w:pos="9022"/>
              </w:tabs>
              <w:spacing w:line="400" w:lineRule="exact"/>
              <w:rPr>
                <w:rFonts w:hint="eastAsia" w:ascii="华文中宋" w:hAnsi="华文中宋" w:eastAsia="华文中宋" w:cs="华文中宋"/>
                <w:bCs/>
                <w:caps/>
                <w:sz w:val="22"/>
                <w:szCs w:val="22"/>
              </w:rPr>
            </w:pPr>
            <w:r>
              <w:rPr>
                <w:rFonts w:hint="eastAsia" w:ascii="华文中宋" w:hAnsi="华文中宋" w:eastAsia="华文中宋" w:cs="华文中宋"/>
                <w:sz w:val="22"/>
                <w:szCs w:val="22"/>
              </w:rPr>
              <w:t>报价声明：总报价中已包含完成本项目所需的一切费用，包括供应商完成本项目所需的一切费用，即实施本项目所需的人工费、后期服务费、税费、利润、市场服务费、采购代理服务费等其他所有费用的总和。在工作中出现任何遗漏，均由成交供应商免费提供，采购人将不再支付任何费用。</w:t>
            </w:r>
          </w:p>
        </w:tc>
      </w:tr>
    </w:tbl>
    <w:p>
      <w:pPr>
        <w:pStyle w:val="72"/>
        <w:ind w:firstLine="0" w:firstLineChars="0"/>
        <w:rPr>
          <w:rFonts w:hint="eastAsia" w:ascii="华文中宋" w:hAnsi="华文中宋" w:eastAsia="华文中宋" w:cs="华文中宋"/>
          <w:b/>
          <w:bCs/>
          <w:kern w:val="2"/>
        </w:rPr>
      </w:pPr>
      <w:r>
        <w:rPr>
          <w:rFonts w:hint="eastAsia" w:ascii="华文中宋" w:hAnsi="华文中宋" w:eastAsia="华文中宋" w:cs="华文中宋"/>
          <w:b/>
          <w:bCs/>
          <w:kern w:val="2"/>
        </w:rPr>
        <w:t>特别提示：</w:t>
      </w:r>
    </w:p>
    <w:p>
      <w:pPr>
        <w:tabs>
          <w:tab w:val="right" w:leader="dot" w:pos="9022"/>
        </w:tabs>
        <w:spacing w:line="400" w:lineRule="exact"/>
        <w:ind w:firstLine="660" w:firstLineChars="300"/>
        <w:rPr>
          <w:rFonts w:hint="eastAsia" w:ascii="华文中宋" w:hAnsi="华文中宋" w:eastAsia="华文中宋" w:cs="华文中宋"/>
          <w:sz w:val="22"/>
          <w:szCs w:val="22"/>
        </w:rPr>
      </w:pPr>
      <w:r>
        <w:rPr>
          <w:rFonts w:hint="eastAsia" w:ascii="华文中宋" w:hAnsi="华文中宋" w:eastAsia="华文中宋" w:cs="华文中宋"/>
          <w:sz w:val="22"/>
          <w:szCs w:val="22"/>
        </w:rPr>
        <w:t>此表为本项目磋商二次报价表，供应商须自行打印，并在相应位置加盖公章，参与磋商会议时携带，并在现场进行二次报价。</w:t>
      </w:r>
    </w:p>
    <w:p>
      <w:pPr>
        <w:pStyle w:val="27"/>
        <w:ind w:left="240" w:firstLine="0" w:firstLineChars="0"/>
        <w:rPr>
          <w:rFonts w:hint="eastAsia" w:ascii="华文中宋" w:hAnsi="华文中宋" w:eastAsia="华文中宋" w:cs="华文中宋"/>
        </w:rPr>
      </w:pPr>
    </w:p>
    <w:p>
      <w:pPr>
        <w:pStyle w:val="2"/>
        <w:ind w:firstLine="480"/>
        <w:rPr>
          <w:rFonts w:hint="eastAsia" w:ascii="华文中宋" w:hAnsi="华文中宋" w:eastAsia="华文中宋" w:cs="华文中宋"/>
          <w:sz w:val="24"/>
        </w:rPr>
      </w:pPr>
    </w:p>
    <w:p>
      <w:pPr>
        <w:pStyle w:val="2"/>
        <w:ind w:firstLine="480"/>
        <w:rPr>
          <w:rFonts w:hint="eastAsia" w:ascii="华文中宋" w:hAnsi="华文中宋" w:eastAsia="华文中宋" w:cs="华文中宋"/>
          <w:sz w:val="24"/>
        </w:rPr>
      </w:pPr>
    </w:p>
    <w:p>
      <w:pPr>
        <w:pStyle w:val="2"/>
        <w:ind w:firstLine="480"/>
        <w:rPr>
          <w:rFonts w:hint="eastAsia" w:ascii="华文中宋" w:hAnsi="华文中宋" w:eastAsia="华文中宋" w:cs="华文中宋"/>
          <w:sz w:val="24"/>
        </w:rPr>
      </w:pPr>
    </w:p>
    <w:p>
      <w:pPr>
        <w:pStyle w:val="2"/>
        <w:ind w:left="0" w:leftChars="0" w:firstLine="0" w:firstLineChars="0"/>
        <w:rPr>
          <w:rFonts w:hint="eastAsia" w:ascii="华文中宋" w:hAnsi="华文中宋" w:eastAsia="华文中宋" w:cs="华文中宋"/>
          <w:sz w:val="24"/>
        </w:rPr>
      </w:pPr>
    </w:p>
    <w:p>
      <w:pPr>
        <w:spacing w:line="480" w:lineRule="exact"/>
        <w:jc w:val="center"/>
        <w:outlineLvl w:val="0"/>
        <w:rPr>
          <w:rFonts w:hint="eastAsia" w:ascii="华文中宋" w:hAnsi="华文中宋" w:eastAsia="华文中宋" w:cs="华文中宋"/>
          <w:b/>
          <w:bCs/>
          <w:sz w:val="30"/>
          <w:szCs w:val="30"/>
        </w:rPr>
      </w:pPr>
      <w:bookmarkStart w:id="210" w:name="_Toc16940_WPSOffice_Level1"/>
      <w:bookmarkStart w:id="211" w:name="_Toc5444_WPSOffice_Level1"/>
      <w:bookmarkStart w:id="212" w:name="_Toc8082_WPSOffice_Level1"/>
      <w:bookmarkStart w:id="213" w:name="_Toc19797"/>
      <w:bookmarkStart w:id="214" w:name="_Toc10414"/>
      <w:bookmarkStart w:id="215" w:name="_Toc5757"/>
      <w:bookmarkStart w:id="216" w:name="_Toc7470"/>
      <w:bookmarkStart w:id="217" w:name="_Toc21004"/>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r>
        <w:rPr>
          <w:rFonts w:hint="eastAsia" w:ascii="华文中宋" w:hAnsi="华文中宋" w:eastAsia="华文中宋" w:cs="华文中宋"/>
          <w:b/>
          <w:bCs/>
          <w:sz w:val="30"/>
          <w:szCs w:val="30"/>
        </w:rPr>
        <w:t>第</w:t>
      </w:r>
      <w:r>
        <w:rPr>
          <w:rFonts w:hint="eastAsia" w:ascii="华文中宋" w:hAnsi="华文中宋" w:eastAsia="华文中宋" w:cs="华文中宋"/>
          <w:b/>
          <w:bCs/>
          <w:sz w:val="30"/>
          <w:szCs w:val="30"/>
          <w:lang w:val="en-US" w:eastAsia="zh-CN"/>
        </w:rPr>
        <w:t>3</w:t>
      </w:r>
      <w:r>
        <w:rPr>
          <w:rFonts w:hint="eastAsia" w:ascii="华文中宋" w:hAnsi="华文中宋" w:eastAsia="华文中宋" w:cs="华文中宋"/>
          <w:b/>
          <w:bCs/>
          <w:sz w:val="30"/>
          <w:szCs w:val="30"/>
        </w:rPr>
        <w:t xml:space="preserve">部分  </w:t>
      </w:r>
      <w:bookmarkEnd w:id="210"/>
      <w:bookmarkEnd w:id="211"/>
      <w:bookmarkEnd w:id="212"/>
      <w:bookmarkEnd w:id="213"/>
      <w:bookmarkEnd w:id="214"/>
      <w:r>
        <w:rPr>
          <w:rFonts w:hint="eastAsia" w:ascii="华文中宋" w:hAnsi="华文中宋" w:eastAsia="华文中宋" w:cs="华文中宋"/>
          <w:b/>
          <w:bCs/>
          <w:sz w:val="30"/>
          <w:szCs w:val="30"/>
        </w:rPr>
        <w:t>技术方案</w:t>
      </w:r>
      <w:bookmarkEnd w:id="215"/>
      <w:bookmarkEnd w:id="216"/>
      <w:bookmarkEnd w:id="217"/>
    </w:p>
    <w:p>
      <w:pPr>
        <w:tabs>
          <w:tab w:val="right" w:leader="dot" w:pos="9022"/>
        </w:tabs>
        <w:autoSpaceDE w:val="0"/>
        <w:autoSpaceDN w:val="0"/>
        <w:adjustRightInd w:val="0"/>
        <w:spacing w:line="460" w:lineRule="exact"/>
        <w:ind w:firstLine="560" w:firstLineChars="200"/>
        <w:jc w:val="left"/>
        <w:rPr>
          <w:rFonts w:hint="eastAsia" w:ascii="华文中宋" w:hAnsi="华文中宋" w:eastAsia="华文中宋" w:cs="华文中宋"/>
          <w:bCs/>
          <w:caps/>
          <w:sz w:val="28"/>
          <w:szCs w:val="28"/>
        </w:rPr>
      </w:pPr>
    </w:p>
    <w:p>
      <w:pPr>
        <w:spacing w:line="580" w:lineRule="exact"/>
        <w:ind w:firstLine="440" w:firstLineChars="200"/>
        <w:jc w:val="left"/>
        <w:rPr>
          <w:rFonts w:hint="eastAsia" w:ascii="华文中宋" w:hAnsi="华文中宋" w:eastAsia="华文中宋" w:cs="华文中宋"/>
          <w:bCs/>
          <w:sz w:val="22"/>
          <w:szCs w:val="22"/>
        </w:rPr>
      </w:pPr>
      <w:bookmarkStart w:id="218" w:name="_Toc25808"/>
      <w:bookmarkStart w:id="219" w:name="_Toc10330"/>
      <w:bookmarkStart w:id="220" w:name="_Toc27732_WPSOffice_Level1"/>
      <w:bookmarkStart w:id="221" w:name="_Toc10273_WPSOffice_Level1"/>
      <w:bookmarkStart w:id="222" w:name="_Toc19944_WPSOffice_Level1"/>
      <w:r>
        <w:rPr>
          <w:rFonts w:hint="eastAsia" w:ascii="华文中宋" w:hAnsi="华文中宋" w:eastAsia="华文中宋" w:cs="华文中宋"/>
          <w:bCs/>
          <w:sz w:val="22"/>
          <w:szCs w:val="22"/>
        </w:rPr>
        <w:t>说明：格式自拟，供应商根据第三章 《评审标准》内评审要素一览表的内容，结合第四章《采购内容及具体要求》等进行编制。</w:t>
      </w: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20"/>
        <w:rPr>
          <w:rFonts w:hint="eastAsia" w:ascii="华文中宋" w:hAnsi="华文中宋" w:eastAsia="华文中宋" w:cs="华文中宋"/>
          <w:b/>
          <w:sz w:val="22"/>
          <w:szCs w:val="22"/>
        </w:rPr>
      </w:pPr>
    </w:p>
    <w:p>
      <w:pPr>
        <w:pStyle w:val="14"/>
        <w:tabs>
          <w:tab w:val="left" w:pos="6183"/>
          <w:tab w:val="left" w:pos="8592"/>
        </w:tabs>
        <w:spacing w:before="1" w:line="364" w:lineRule="auto"/>
        <w:ind w:right="1751"/>
        <w:rPr>
          <w:rFonts w:hint="eastAsia" w:ascii="华文中宋" w:hAnsi="华文中宋" w:eastAsia="华文中宋" w:cs="华文中宋"/>
        </w:rPr>
      </w:pPr>
    </w:p>
    <w:p>
      <w:pPr>
        <w:spacing w:line="480" w:lineRule="exact"/>
        <w:jc w:val="center"/>
        <w:outlineLvl w:val="0"/>
        <w:rPr>
          <w:rFonts w:hint="eastAsia" w:ascii="华文中宋" w:hAnsi="华文中宋" w:eastAsia="华文中宋" w:cs="华文中宋"/>
          <w:b/>
          <w:bCs/>
          <w:sz w:val="30"/>
          <w:szCs w:val="30"/>
        </w:rPr>
      </w:pPr>
      <w:bookmarkStart w:id="223" w:name="_Toc2367"/>
      <w:bookmarkStart w:id="224" w:name="_Toc20282"/>
      <w:bookmarkStart w:id="225" w:name="_Toc20982"/>
    </w:p>
    <w:p>
      <w:pPr>
        <w:spacing w:line="480" w:lineRule="exact"/>
        <w:jc w:val="center"/>
        <w:outlineLvl w:val="0"/>
        <w:rPr>
          <w:rFonts w:hint="eastAsia" w:ascii="华文中宋" w:hAnsi="华文中宋" w:eastAsia="华文中宋" w:cs="华文中宋"/>
          <w:b/>
          <w:bCs/>
          <w:sz w:val="30"/>
          <w:szCs w:val="30"/>
        </w:rPr>
      </w:pPr>
      <w:r>
        <w:rPr>
          <w:rFonts w:hint="eastAsia" w:ascii="华文中宋" w:hAnsi="华文中宋" w:eastAsia="华文中宋" w:cs="华文中宋"/>
          <w:b/>
          <w:bCs/>
          <w:sz w:val="30"/>
          <w:szCs w:val="30"/>
        </w:rPr>
        <w:t>第</w:t>
      </w:r>
      <w:r>
        <w:rPr>
          <w:rFonts w:hint="eastAsia" w:ascii="华文中宋" w:hAnsi="华文中宋" w:eastAsia="华文中宋" w:cs="华文中宋"/>
          <w:b/>
          <w:bCs/>
          <w:sz w:val="30"/>
          <w:szCs w:val="30"/>
          <w:lang w:val="en-US" w:eastAsia="zh-CN"/>
        </w:rPr>
        <w:t>4</w:t>
      </w:r>
      <w:r>
        <w:rPr>
          <w:rFonts w:hint="eastAsia" w:ascii="华文中宋" w:hAnsi="华文中宋" w:eastAsia="华文中宋" w:cs="华文中宋"/>
          <w:b/>
          <w:bCs/>
          <w:sz w:val="30"/>
          <w:szCs w:val="30"/>
        </w:rPr>
        <w:t xml:space="preserve">部分  </w:t>
      </w:r>
      <w:bookmarkEnd w:id="218"/>
      <w:bookmarkEnd w:id="219"/>
      <w:bookmarkEnd w:id="220"/>
      <w:bookmarkEnd w:id="221"/>
      <w:bookmarkEnd w:id="222"/>
      <w:bookmarkEnd w:id="223"/>
      <w:bookmarkEnd w:id="224"/>
      <w:bookmarkEnd w:id="225"/>
      <w:r>
        <w:rPr>
          <w:rFonts w:hint="eastAsia" w:ascii="华文中宋" w:hAnsi="华文中宋" w:eastAsia="华文中宋" w:cs="华文中宋"/>
          <w:b/>
          <w:bCs/>
          <w:sz w:val="30"/>
          <w:szCs w:val="30"/>
        </w:rPr>
        <w:t xml:space="preserve"> 商务方案</w:t>
      </w:r>
    </w:p>
    <w:p>
      <w:pPr>
        <w:spacing w:line="480" w:lineRule="exact"/>
        <w:jc w:val="center"/>
        <w:rPr>
          <w:rFonts w:hint="eastAsia" w:ascii="华文中宋" w:hAnsi="华文中宋" w:eastAsia="华文中宋" w:cs="华文中宋"/>
          <w:b/>
          <w:bCs/>
          <w:sz w:val="30"/>
          <w:szCs w:val="30"/>
          <w:highlight w:val="none"/>
        </w:rPr>
      </w:pPr>
    </w:p>
    <w:p>
      <w:pPr>
        <w:ind w:right="-60" w:firstLine="240" w:firstLineChars="100"/>
        <w:rPr>
          <w:rFonts w:hint="eastAsia" w:ascii="华文中宋" w:hAnsi="华文中宋" w:eastAsia="华文中宋" w:cs="华文中宋"/>
          <w:b/>
          <w:bCs/>
          <w:sz w:val="24"/>
        </w:rPr>
      </w:pPr>
      <w:r>
        <w:rPr>
          <w:rFonts w:hint="eastAsia" w:ascii="华文中宋" w:hAnsi="华文中宋" w:eastAsia="华文中宋" w:cs="华文中宋"/>
          <w:sz w:val="24"/>
          <w:szCs w:val="32"/>
          <w:highlight w:val="none"/>
          <w:lang w:val="en-US" w:eastAsia="zh-Hans"/>
        </w:rPr>
        <w:t>格式自拟</w:t>
      </w:r>
      <w:r>
        <w:rPr>
          <w:rFonts w:hint="eastAsia" w:ascii="华文中宋" w:hAnsi="华文中宋" w:eastAsia="华文中宋" w:cs="华文中宋"/>
          <w:sz w:val="24"/>
          <w:szCs w:val="32"/>
          <w:highlight w:val="none"/>
          <w:lang w:eastAsia="zh-Hans"/>
        </w:rPr>
        <w:t>，</w:t>
      </w:r>
      <w:r>
        <w:rPr>
          <w:rFonts w:hint="eastAsia" w:ascii="华文中宋" w:hAnsi="华文中宋" w:eastAsia="华文中宋" w:cs="华文中宋"/>
          <w:sz w:val="24"/>
          <w:szCs w:val="32"/>
          <w:highlight w:val="none"/>
        </w:rPr>
        <w:t>依据第三章《</w:t>
      </w:r>
      <w:r>
        <w:rPr>
          <w:rFonts w:hint="eastAsia" w:ascii="华文中宋" w:hAnsi="华文中宋" w:eastAsia="华文中宋" w:cs="华文中宋"/>
          <w:sz w:val="24"/>
          <w:szCs w:val="32"/>
        </w:rPr>
        <w:t>评审办法》评审要素一览表中商务部分及第四章的商务要求进行编制。</w:t>
      </w: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spacing w:line="480" w:lineRule="exact"/>
        <w:jc w:val="center"/>
        <w:outlineLvl w:val="0"/>
        <w:rPr>
          <w:rFonts w:hint="eastAsia" w:ascii="华文中宋" w:hAnsi="华文中宋" w:eastAsia="华文中宋" w:cs="华文中宋"/>
          <w:b/>
          <w:bCs/>
          <w:sz w:val="30"/>
          <w:szCs w:val="30"/>
        </w:rPr>
      </w:pPr>
    </w:p>
    <w:p>
      <w:pPr>
        <w:pStyle w:val="2"/>
        <w:ind w:left="0" w:leftChars="0" w:firstLine="0" w:firstLineChars="0"/>
        <w:rPr>
          <w:rFonts w:hint="eastAsia"/>
        </w:rPr>
      </w:pPr>
    </w:p>
    <w:p>
      <w:pPr>
        <w:spacing w:line="580" w:lineRule="exact"/>
        <w:jc w:val="left"/>
        <w:rPr>
          <w:rFonts w:hint="eastAsia" w:ascii="华文中宋" w:hAnsi="华文中宋" w:eastAsia="华文中宋" w:cs="华文中宋"/>
          <w:b/>
          <w:bCs/>
          <w:sz w:val="24"/>
          <w:lang w:val="en-US" w:eastAsia="zh-CN"/>
        </w:rPr>
      </w:pPr>
    </w:p>
    <w:p>
      <w:pPr>
        <w:spacing w:line="580" w:lineRule="exact"/>
        <w:jc w:val="left"/>
        <w:rPr>
          <w:rFonts w:hint="eastAsia" w:ascii="华文中宋" w:hAnsi="华文中宋" w:eastAsia="华文中宋" w:cs="华文中宋"/>
          <w:b/>
          <w:bCs/>
          <w:sz w:val="24"/>
          <w:lang w:val="en-US" w:eastAsia="zh-CN"/>
        </w:rPr>
      </w:pPr>
    </w:p>
    <w:p>
      <w:pPr>
        <w:spacing w:line="580" w:lineRule="exact"/>
        <w:jc w:val="left"/>
        <w:rPr>
          <w:rFonts w:hint="eastAsia" w:ascii="华文中宋" w:hAnsi="华文中宋" w:eastAsia="华文中宋" w:cs="华文中宋"/>
          <w:b/>
          <w:bCs/>
          <w:sz w:val="24"/>
        </w:rPr>
      </w:pPr>
      <w:r>
        <w:rPr>
          <w:rFonts w:hint="eastAsia" w:ascii="华文中宋" w:hAnsi="华文中宋" w:eastAsia="华文中宋" w:cs="华文中宋"/>
          <w:b/>
          <w:bCs/>
          <w:sz w:val="24"/>
          <w:lang w:val="en-US" w:eastAsia="zh-CN"/>
        </w:rPr>
        <w:t>格式1</w:t>
      </w:r>
      <w:r>
        <w:rPr>
          <w:rFonts w:hint="eastAsia" w:ascii="华文中宋" w:hAnsi="华文中宋" w:eastAsia="华文中宋" w:cs="华文中宋"/>
          <w:b/>
          <w:bCs/>
          <w:sz w:val="24"/>
        </w:rPr>
        <w:t>.</w:t>
      </w:r>
      <w:r>
        <w:rPr>
          <w:rFonts w:hint="eastAsia" w:ascii="华文中宋" w:hAnsi="华文中宋" w:eastAsia="华文中宋" w:cs="华文中宋"/>
          <w:b/>
          <w:bCs/>
          <w:sz w:val="24"/>
          <w:lang w:val="en-US" w:eastAsia="zh-Hans"/>
        </w:rPr>
        <w:t>拟投入</w:t>
      </w:r>
      <w:r>
        <w:rPr>
          <w:rFonts w:hint="eastAsia" w:ascii="华文中宋" w:hAnsi="华文中宋" w:eastAsia="华文中宋" w:cs="华文中宋"/>
          <w:b/>
          <w:bCs/>
          <w:sz w:val="24"/>
        </w:rPr>
        <w:t>人员情况表</w:t>
      </w:r>
    </w:p>
    <w:p>
      <w:pPr>
        <w:spacing w:line="200" w:lineRule="exact"/>
        <w:rPr>
          <w:rFonts w:hint="eastAsia" w:ascii="华文中宋" w:hAnsi="华文中宋" w:eastAsia="华文中宋" w:cs="华文中宋"/>
          <w:bCs/>
        </w:rPr>
      </w:pPr>
    </w:p>
    <w:p>
      <w:pPr>
        <w:autoSpaceDE w:val="0"/>
        <w:autoSpaceDN w:val="0"/>
        <w:adjustRightInd w:val="0"/>
        <w:spacing w:line="360" w:lineRule="auto"/>
        <w:jc w:val="center"/>
        <w:rPr>
          <w:rFonts w:hint="eastAsia" w:ascii="华文中宋" w:hAnsi="华文中宋" w:eastAsia="华文中宋" w:cs="华文中宋"/>
          <w:b/>
          <w:bCs w:val="0"/>
          <w:color w:val="auto"/>
          <w:kern w:val="2"/>
          <w:sz w:val="28"/>
          <w:szCs w:val="28"/>
          <w:highlight w:val="none"/>
          <w:lang w:val="zh-CN" w:eastAsia="zh-CN" w:bidi="ar-SA"/>
        </w:rPr>
      </w:pPr>
      <w:bookmarkStart w:id="226" w:name="_Toc408785217"/>
      <w:r>
        <w:rPr>
          <w:rFonts w:hint="eastAsia" w:ascii="华文中宋" w:hAnsi="华文中宋" w:eastAsia="华文中宋" w:cs="华文中宋"/>
          <w:b/>
          <w:bCs w:val="0"/>
          <w:color w:val="auto"/>
          <w:kern w:val="2"/>
          <w:sz w:val="28"/>
          <w:szCs w:val="28"/>
          <w:highlight w:val="none"/>
          <w:lang w:val="zh-CN" w:eastAsia="zh-CN" w:bidi="ar-SA"/>
        </w:rPr>
        <w:t>拟投入本项目的项目负责人基本情况表</w:t>
      </w:r>
      <w:bookmarkEnd w:id="226"/>
    </w:p>
    <w:tbl>
      <w:tblPr>
        <w:tblStyle w:val="2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15"/>
        <w:gridCol w:w="811"/>
        <w:gridCol w:w="59"/>
        <w:gridCol w:w="1590"/>
        <w:gridCol w:w="502"/>
        <w:gridCol w:w="147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姓名</w:t>
            </w:r>
          </w:p>
        </w:tc>
        <w:tc>
          <w:tcPr>
            <w:tcW w:w="1515"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70"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年龄</w:t>
            </w:r>
          </w:p>
        </w:tc>
        <w:tc>
          <w:tcPr>
            <w:tcW w:w="1590"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978"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学历</w:t>
            </w:r>
          </w:p>
        </w:tc>
        <w:tc>
          <w:tcPr>
            <w:tcW w:w="1985"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职称证号</w:t>
            </w:r>
          </w:p>
        </w:tc>
        <w:tc>
          <w:tcPr>
            <w:tcW w:w="1515"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70"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职务</w:t>
            </w:r>
          </w:p>
        </w:tc>
        <w:tc>
          <w:tcPr>
            <w:tcW w:w="1590"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978"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拟在本项目任职</w:t>
            </w:r>
          </w:p>
        </w:tc>
        <w:tc>
          <w:tcPr>
            <w:tcW w:w="1985"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毕业学校</w:t>
            </w:r>
          </w:p>
        </w:tc>
        <w:tc>
          <w:tcPr>
            <w:tcW w:w="7938" w:type="dxa"/>
            <w:gridSpan w:val="7"/>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356" w:type="dxa"/>
            <w:gridSpan w:val="8"/>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时间</w:t>
            </w:r>
          </w:p>
        </w:tc>
        <w:tc>
          <w:tcPr>
            <w:tcW w:w="2326"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参加过的类似项目</w:t>
            </w:r>
          </w:p>
        </w:tc>
        <w:tc>
          <w:tcPr>
            <w:tcW w:w="2151" w:type="dxa"/>
            <w:gridSpan w:val="3"/>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担任职务</w:t>
            </w:r>
          </w:p>
        </w:tc>
        <w:tc>
          <w:tcPr>
            <w:tcW w:w="3461" w:type="dxa"/>
            <w:gridSpan w:val="2"/>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采购人及联系电话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18" w:type="dxa"/>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326"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151" w:type="dxa"/>
            <w:gridSpan w:val="3"/>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3461" w:type="dxa"/>
            <w:gridSpan w:val="2"/>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bl>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bookmarkStart w:id="227" w:name="_Toc408785218"/>
      <w:r>
        <w:rPr>
          <w:rFonts w:hint="eastAsia" w:ascii="华文中宋" w:hAnsi="华文中宋" w:eastAsia="华文中宋" w:cs="华文中宋"/>
          <w:color w:val="auto"/>
          <w:sz w:val="21"/>
          <w:szCs w:val="21"/>
          <w:lang w:val="zh-CN"/>
        </w:rPr>
        <w:t>注：项目负责人应附学历证、身份证、相关资格证等。</w:t>
      </w:r>
      <w:bookmarkEnd w:id="227"/>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p>
    <w:p>
      <w:pPr>
        <w:autoSpaceDE w:val="0"/>
        <w:autoSpaceDN w:val="0"/>
        <w:adjustRightInd w:val="0"/>
        <w:spacing w:line="360" w:lineRule="auto"/>
        <w:jc w:val="both"/>
        <w:rPr>
          <w:rFonts w:hint="eastAsia" w:ascii="华文中宋" w:hAnsi="华文中宋" w:eastAsia="华文中宋" w:cs="华文中宋"/>
          <w:b/>
          <w:bCs w:val="0"/>
          <w:color w:val="auto"/>
          <w:kern w:val="2"/>
          <w:sz w:val="28"/>
          <w:szCs w:val="28"/>
          <w:highlight w:val="none"/>
          <w:lang w:val="zh-CN" w:eastAsia="zh-CN" w:bidi="ar-SA"/>
        </w:rPr>
      </w:pPr>
    </w:p>
    <w:p>
      <w:pPr>
        <w:autoSpaceDE w:val="0"/>
        <w:autoSpaceDN w:val="0"/>
        <w:adjustRightInd w:val="0"/>
        <w:spacing w:line="360" w:lineRule="auto"/>
        <w:jc w:val="center"/>
        <w:rPr>
          <w:rFonts w:hint="eastAsia" w:ascii="华文中宋" w:hAnsi="华文中宋" w:eastAsia="华文中宋" w:cs="华文中宋"/>
          <w:b/>
          <w:bCs w:val="0"/>
          <w:color w:val="auto"/>
          <w:kern w:val="2"/>
          <w:sz w:val="28"/>
          <w:szCs w:val="28"/>
          <w:highlight w:val="none"/>
          <w:lang w:val="zh-CN" w:eastAsia="zh-CN" w:bidi="ar-SA"/>
        </w:rPr>
      </w:pPr>
    </w:p>
    <w:p>
      <w:pPr>
        <w:autoSpaceDE w:val="0"/>
        <w:autoSpaceDN w:val="0"/>
        <w:adjustRightInd w:val="0"/>
        <w:spacing w:line="360" w:lineRule="auto"/>
        <w:jc w:val="both"/>
        <w:rPr>
          <w:rFonts w:hint="eastAsia" w:ascii="华文中宋" w:hAnsi="华文中宋" w:eastAsia="华文中宋" w:cs="华文中宋"/>
          <w:b/>
          <w:bCs w:val="0"/>
          <w:color w:val="auto"/>
          <w:kern w:val="2"/>
          <w:sz w:val="28"/>
          <w:szCs w:val="28"/>
          <w:highlight w:val="none"/>
          <w:lang w:val="zh-CN" w:eastAsia="zh-CN" w:bidi="ar-SA"/>
        </w:rPr>
      </w:pPr>
    </w:p>
    <w:p>
      <w:pPr>
        <w:autoSpaceDE w:val="0"/>
        <w:autoSpaceDN w:val="0"/>
        <w:adjustRightInd w:val="0"/>
        <w:spacing w:line="360" w:lineRule="auto"/>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b/>
          <w:bCs w:val="0"/>
          <w:color w:val="auto"/>
          <w:kern w:val="2"/>
          <w:sz w:val="28"/>
          <w:szCs w:val="28"/>
          <w:highlight w:val="none"/>
          <w:lang w:val="zh-CN" w:eastAsia="zh-CN" w:bidi="ar-SA"/>
        </w:rPr>
        <w:t>拟投入项目人员汇总表</w:t>
      </w: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项目名称：                                         项目编号：</w:t>
      </w:r>
    </w:p>
    <w:tbl>
      <w:tblPr>
        <w:tblStyle w:val="28"/>
        <w:tblW w:w="997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851"/>
        <w:gridCol w:w="850"/>
        <w:gridCol w:w="1560"/>
        <w:gridCol w:w="992"/>
        <w:gridCol w:w="850"/>
        <w:gridCol w:w="1591"/>
        <w:gridCol w:w="24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序号</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姓名</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性别</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出生日期</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学历</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专业</w:t>
            </w: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技术职称</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jc w:val="center"/>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在本项目拟任职务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560" w:lineRule="exact"/>
              <w:ind w:left="0" w:right="0" w:firstLine="420" w:firstLineChars="200"/>
              <w:rPr>
                <w:rFonts w:hint="eastAsia" w:ascii="华文中宋" w:hAnsi="华文中宋" w:eastAsia="华文中宋" w:cs="华文中宋"/>
                <w:color w:val="auto"/>
                <w:sz w:val="21"/>
                <w:szCs w:val="21"/>
                <w:lang w:val="zh-CN"/>
              </w:rPr>
            </w:pPr>
          </w:p>
        </w:tc>
      </w:tr>
    </w:tbl>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供应商全称：</w:t>
      </w:r>
      <w:r>
        <w:rPr>
          <w:rFonts w:hint="eastAsia" w:ascii="华文中宋" w:hAnsi="华文中宋" w:eastAsia="华文中宋" w:cs="华文中宋"/>
          <w:color w:val="auto"/>
          <w:sz w:val="21"/>
          <w:szCs w:val="21"/>
          <w:u w:val="single"/>
          <w:lang w:val="zh-CN"/>
        </w:rPr>
        <w:t xml:space="preserve">                   </w:t>
      </w:r>
      <w:r>
        <w:rPr>
          <w:rFonts w:hint="eastAsia" w:ascii="华文中宋" w:hAnsi="华文中宋" w:eastAsia="华文中宋" w:cs="华文中宋"/>
          <w:color w:val="auto"/>
          <w:sz w:val="21"/>
          <w:szCs w:val="21"/>
          <w:lang w:val="zh-CN"/>
        </w:rPr>
        <w:t>（公章）</w:t>
      </w: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法定代表人或授权代表：</w:t>
      </w:r>
      <w:r>
        <w:rPr>
          <w:rFonts w:hint="eastAsia" w:ascii="华文中宋" w:hAnsi="华文中宋" w:eastAsia="华文中宋" w:cs="华文中宋"/>
          <w:color w:val="auto"/>
          <w:sz w:val="21"/>
          <w:szCs w:val="21"/>
          <w:u w:val="single"/>
          <w:lang w:val="zh-CN"/>
        </w:rPr>
        <w:t xml:space="preserve">           </w:t>
      </w:r>
      <w:r>
        <w:rPr>
          <w:rFonts w:hint="eastAsia" w:ascii="华文中宋" w:hAnsi="华文中宋" w:eastAsia="华文中宋" w:cs="华文中宋"/>
          <w:color w:val="auto"/>
          <w:sz w:val="21"/>
          <w:szCs w:val="21"/>
          <w:lang w:val="zh-CN"/>
        </w:rPr>
        <w:t>（签字）</w:t>
      </w: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年   月   日</w:t>
      </w:r>
    </w:p>
    <w:p>
      <w:pPr>
        <w:autoSpaceDE w:val="0"/>
        <w:autoSpaceDN w:val="0"/>
        <w:adjustRightInd w:val="0"/>
        <w:spacing w:line="560" w:lineRule="exact"/>
        <w:ind w:firstLine="420" w:firstLineChars="200"/>
        <w:rPr>
          <w:rFonts w:hint="eastAsia" w:ascii="华文中宋" w:hAnsi="华文中宋" w:eastAsia="华文中宋" w:cs="华文中宋"/>
          <w:sz w:val="28"/>
          <w:szCs w:val="28"/>
        </w:rPr>
      </w:pPr>
      <w:r>
        <w:rPr>
          <w:rFonts w:hint="eastAsia" w:ascii="华文中宋" w:hAnsi="华文中宋" w:eastAsia="华文中宋" w:cs="华文中宋"/>
          <w:color w:val="auto"/>
          <w:sz w:val="21"/>
          <w:szCs w:val="21"/>
          <w:lang w:val="zh-CN"/>
        </w:rPr>
        <w:t>注：供应商需随此表附</w:t>
      </w:r>
      <w:r>
        <w:rPr>
          <w:rFonts w:hint="eastAsia" w:ascii="华文中宋" w:hAnsi="华文中宋" w:eastAsia="华文中宋" w:cs="华文中宋"/>
          <w:color w:val="auto"/>
          <w:sz w:val="21"/>
          <w:szCs w:val="21"/>
          <w:lang w:val="en-US" w:eastAsia="zh-CN"/>
        </w:rPr>
        <w:t>上述</w:t>
      </w:r>
      <w:r>
        <w:rPr>
          <w:rFonts w:hint="eastAsia" w:ascii="华文中宋" w:hAnsi="华文中宋" w:eastAsia="华文中宋" w:cs="华文中宋"/>
          <w:color w:val="auto"/>
          <w:sz w:val="21"/>
          <w:szCs w:val="21"/>
          <w:lang w:val="zh-CN"/>
        </w:rPr>
        <w:t>人员的相关资料的复印件（应附相关资质证）。</w:t>
      </w:r>
    </w:p>
    <w:p>
      <w:pPr>
        <w:autoSpaceDE w:val="0"/>
        <w:autoSpaceDN w:val="0"/>
        <w:adjustRightInd w:val="0"/>
        <w:spacing w:line="560" w:lineRule="exact"/>
        <w:ind w:firstLine="420" w:firstLineChars="200"/>
        <w:rPr>
          <w:rFonts w:hint="eastAsia" w:ascii="华文中宋" w:hAnsi="华文中宋" w:eastAsia="华文中宋" w:cs="华文中宋"/>
          <w:color w:val="auto"/>
          <w:sz w:val="21"/>
          <w:szCs w:val="21"/>
          <w:lang w:val="zh-CN"/>
        </w:rPr>
      </w:pPr>
    </w:p>
    <w:p>
      <w:pPr>
        <w:autoSpaceDE w:val="0"/>
        <w:autoSpaceDN w:val="0"/>
        <w:adjustRightInd w:val="0"/>
        <w:spacing w:line="560" w:lineRule="exact"/>
        <w:rPr>
          <w:rFonts w:hint="eastAsia" w:ascii="华文中宋" w:hAnsi="华文中宋" w:eastAsia="华文中宋" w:cs="华文中宋"/>
          <w:b/>
          <w:bCs/>
          <w:sz w:val="24"/>
          <w:szCs w:val="32"/>
          <w:lang w:val="en-US" w:eastAsia="zh-CN"/>
        </w:rPr>
      </w:pPr>
    </w:p>
    <w:p>
      <w:pPr>
        <w:autoSpaceDE w:val="0"/>
        <w:autoSpaceDN w:val="0"/>
        <w:adjustRightInd w:val="0"/>
        <w:spacing w:line="560" w:lineRule="exact"/>
        <w:jc w:val="center"/>
        <w:rPr>
          <w:rFonts w:hint="eastAsia" w:ascii="华文中宋" w:hAnsi="华文中宋" w:eastAsia="华文中宋" w:cs="华文中宋"/>
          <w:b/>
          <w:bCs/>
          <w:sz w:val="24"/>
          <w:szCs w:val="32"/>
          <w:lang w:val="en-US" w:eastAsia="zh-CN"/>
        </w:rPr>
      </w:pPr>
      <w:r>
        <w:rPr>
          <w:rFonts w:hint="eastAsia" w:ascii="华文中宋" w:hAnsi="华文中宋" w:eastAsia="华文中宋" w:cs="华文中宋"/>
          <w:b/>
          <w:bCs/>
          <w:sz w:val="24"/>
          <w:szCs w:val="32"/>
          <w:lang w:val="en-US" w:eastAsia="zh-CN"/>
        </w:rPr>
        <w:t>格式2</w:t>
      </w:r>
      <w:r>
        <w:rPr>
          <w:rFonts w:hint="eastAsia" w:ascii="华文中宋" w:hAnsi="华文中宋" w:eastAsia="华文中宋" w:cs="华文中宋"/>
          <w:b/>
          <w:bCs/>
          <w:sz w:val="24"/>
          <w:szCs w:val="32"/>
        </w:rPr>
        <w:t>、</w:t>
      </w:r>
      <w:r>
        <w:rPr>
          <w:rFonts w:hint="eastAsia" w:ascii="华文中宋" w:hAnsi="华文中宋" w:eastAsia="华文中宋" w:cs="华文中宋"/>
          <w:b/>
          <w:bCs/>
          <w:sz w:val="24"/>
          <w:szCs w:val="32"/>
          <w:lang w:val="en-US" w:eastAsia="zh-CN"/>
        </w:rPr>
        <w:t>类似</w:t>
      </w:r>
      <w:r>
        <w:rPr>
          <w:rFonts w:hint="eastAsia" w:ascii="华文中宋" w:hAnsi="华文中宋" w:eastAsia="华文中宋" w:cs="华文中宋"/>
          <w:b/>
          <w:bCs/>
          <w:sz w:val="24"/>
          <w:szCs w:val="32"/>
        </w:rPr>
        <w:t>项目业绩</w:t>
      </w:r>
      <w:r>
        <w:rPr>
          <w:rFonts w:hint="eastAsia" w:ascii="华文中宋" w:hAnsi="华文中宋" w:eastAsia="华文中宋" w:cs="华文中宋"/>
          <w:b/>
          <w:bCs/>
          <w:sz w:val="24"/>
          <w:szCs w:val="32"/>
          <w:lang w:val="en-US" w:eastAsia="zh-CN"/>
        </w:rPr>
        <w:t>情况表</w:t>
      </w:r>
    </w:p>
    <w:tbl>
      <w:tblPr>
        <w:tblStyle w:val="28"/>
        <w:tblW w:w="880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046"/>
        <w:gridCol w:w="2600"/>
        <w:gridCol w:w="1697"/>
        <w:gridCol w:w="1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805"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序号</w:t>
            </w:r>
          </w:p>
        </w:tc>
        <w:tc>
          <w:tcPr>
            <w:tcW w:w="2046"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项目名称</w:t>
            </w:r>
          </w:p>
        </w:tc>
        <w:tc>
          <w:tcPr>
            <w:tcW w:w="2600"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lang w:val="en-US" w:eastAsia="zh-CN"/>
              </w:rPr>
              <w:t>业主</w:t>
            </w:r>
            <w:r>
              <w:rPr>
                <w:rFonts w:hint="eastAsia" w:ascii="华文中宋" w:hAnsi="华文中宋" w:eastAsia="华文中宋" w:cs="华文中宋"/>
                <w:b/>
                <w:color w:val="auto"/>
                <w:sz w:val="24"/>
                <w:szCs w:val="24"/>
              </w:rPr>
              <w:t>名称</w:t>
            </w:r>
          </w:p>
        </w:tc>
        <w:tc>
          <w:tcPr>
            <w:tcW w:w="1697"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合同金额</w:t>
            </w:r>
          </w:p>
        </w:tc>
        <w:tc>
          <w:tcPr>
            <w:tcW w:w="1657" w:type="dxa"/>
            <w:noWrap w:val="0"/>
            <w:vAlign w:val="center"/>
          </w:tcPr>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合同</w:t>
            </w:r>
          </w:p>
          <w:p>
            <w:pPr>
              <w:keepNext w:val="0"/>
              <w:keepLines w:val="0"/>
              <w:suppressLineNumbers w:val="0"/>
              <w:spacing w:before="0" w:beforeAutospacing="0" w:after="0" w:afterAutospacing="0"/>
              <w:ind w:left="0" w:right="0"/>
              <w:jc w:val="center"/>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805"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046"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2600"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9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c>
          <w:tcPr>
            <w:tcW w:w="1657" w:type="dxa"/>
            <w:noWrap w:val="0"/>
            <w:vAlign w:val="top"/>
          </w:tcPr>
          <w:p>
            <w:pPr>
              <w:keepNext w:val="0"/>
              <w:keepLines w:val="0"/>
              <w:suppressLineNumbers w:val="0"/>
              <w:spacing w:before="0" w:beforeAutospacing="0" w:after="0" w:afterAutospacing="0"/>
              <w:ind w:left="0" w:right="0"/>
              <w:rPr>
                <w:rFonts w:hint="eastAsia" w:ascii="华文中宋" w:hAnsi="华文中宋" w:eastAsia="华文中宋" w:cs="华文中宋"/>
                <w:color w:val="auto"/>
                <w:sz w:val="28"/>
                <w:szCs w:val="28"/>
              </w:rPr>
            </w:pPr>
          </w:p>
        </w:tc>
      </w:tr>
    </w:tbl>
    <w:p>
      <w:pPr>
        <w:ind w:right="-60"/>
        <w:jc w:val="center"/>
        <w:rPr>
          <w:rFonts w:hint="eastAsia" w:ascii="华文中宋" w:hAnsi="华文中宋" w:eastAsia="华文中宋" w:cs="华文中宋"/>
          <w:b/>
          <w:bCs/>
          <w:sz w:val="36"/>
          <w:szCs w:val="44"/>
        </w:rPr>
      </w:pPr>
    </w:p>
    <w:p>
      <w:pPr>
        <w:ind w:firstLine="2420" w:firstLineChars="1100"/>
        <w:rPr>
          <w:rFonts w:hint="eastAsia" w:ascii="华文中宋" w:hAnsi="华文中宋" w:eastAsia="华文中宋" w:cs="华文中宋"/>
          <w:sz w:val="22"/>
          <w:szCs w:val="22"/>
          <w:u w:val="single"/>
          <w:lang w:val="en-US" w:eastAsia="zh-CN"/>
        </w:rPr>
      </w:pPr>
      <w:r>
        <w:rPr>
          <w:rFonts w:hint="eastAsia" w:ascii="华文中宋" w:hAnsi="华文中宋" w:eastAsia="华文中宋" w:cs="华文中宋"/>
          <w:sz w:val="22"/>
          <w:szCs w:val="22"/>
          <w:lang w:val="en-US" w:eastAsia="zh-CN"/>
        </w:rPr>
        <w:t>响   应    人</w:t>
      </w:r>
      <w:r>
        <w:rPr>
          <w:rFonts w:hint="eastAsia" w:ascii="华文中宋" w:hAnsi="华文中宋" w:eastAsia="华文中宋" w:cs="华文中宋"/>
          <w:sz w:val="22"/>
          <w:szCs w:val="22"/>
        </w:rPr>
        <w:t>：</w:t>
      </w:r>
      <w:r>
        <w:rPr>
          <w:rFonts w:hint="eastAsia" w:ascii="华文中宋" w:hAnsi="华文中宋" w:eastAsia="华文中宋" w:cs="华文中宋"/>
          <w:sz w:val="22"/>
          <w:szCs w:val="22"/>
          <w:u w:val="single"/>
        </w:rPr>
        <w:t xml:space="preserve">        （全称及公章）</w:t>
      </w:r>
      <w:r>
        <w:rPr>
          <w:rFonts w:hint="eastAsia" w:ascii="华文中宋" w:hAnsi="华文中宋" w:eastAsia="华文中宋" w:cs="华文中宋"/>
          <w:sz w:val="22"/>
          <w:szCs w:val="22"/>
          <w:u w:val="single"/>
          <w:lang w:val="en-US" w:eastAsia="zh-CN"/>
        </w:rPr>
        <w:t xml:space="preserve">   </w:t>
      </w:r>
    </w:p>
    <w:p>
      <w:pPr>
        <w:pStyle w:val="27"/>
        <w:ind w:firstLine="160"/>
        <w:rPr>
          <w:rFonts w:hint="eastAsia" w:ascii="华文中宋" w:hAnsi="华文中宋" w:eastAsia="华文中宋" w:cs="华文中宋"/>
          <w:sz w:val="16"/>
          <w:szCs w:val="16"/>
        </w:rPr>
      </w:pPr>
    </w:p>
    <w:p>
      <w:pPr>
        <w:ind w:firstLine="2420" w:firstLineChars="1100"/>
        <w:rPr>
          <w:rFonts w:hint="eastAsia" w:ascii="华文中宋" w:hAnsi="华文中宋" w:eastAsia="华文中宋" w:cs="华文中宋"/>
          <w:sz w:val="22"/>
          <w:szCs w:val="22"/>
          <w:u w:val="single"/>
        </w:rPr>
      </w:pPr>
      <w:r>
        <w:rPr>
          <w:rFonts w:hint="eastAsia" w:ascii="华文中宋" w:hAnsi="华文中宋" w:eastAsia="华文中宋" w:cs="华文中宋"/>
          <w:sz w:val="22"/>
          <w:szCs w:val="22"/>
        </w:rPr>
        <w:t>法定代表人或其被授权委托代理人 ：</w:t>
      </w:r>
      <w:r>
        <w:rPr>
          <w:rFonts w:hint="eastAsia" w:ascii="华文中宋" w:hAnsi="华文中宋" w:eastAsia="华文中宋" w:cs="华文中宋"/>
          <w:sz w:val="22"/>
          <w:szCs w:val="22"/>
          <w:u w:val="single"/>
        </w:rPr>
        <w:t xml:space="preserve">      （签字）</w:t>
      </w:r>
    </w:p>
    <w:p>
      <w:pPr>
        <w:pStyle w:val="27"/>
        <w:ind w:firstLine="220"/>
        <w:rPr>
          <w:rFonts w:hint="eastAsia" w:ascii="华文中宋" w:hAnsi="华文中宋" w:eastAsia="华文中宋" w:cs="华文中宋"/>
          <w:sz w:val="22"/>
          <w:szCs w:val="22"/>
          <w:u w:val="single"/>
        </w:rPr>
      </w:pPr>
    </w:p>
    <w:p>
      <w:pPr>
        <w:pStyle w:val="27"/>
        <w:ind w:firstLine="2420" w:firstLineChars="1100"/>
        <w:rPr>
          <w:rFonts w:hint="eastAsia" w:ascii="华文中宋" w:hAnsi="华文中宋" w:eastAsia="华文中宋" w:cs="华文中宋"/>
          <w:sz w:val="22"/>
          <w:szCs w:val="22"/>
        </w:rPr>
      </w:pPr>
      <w:r>
        <w:rPr>
          <w:rFonts w:hint="eastAsia" w:ascii="华文中宋" w:hAnsi="华文中宋" w:eastAsia="华文中宋" w:cs="华文中宋"/>
          <w:sz w:val="22"/>
          <w:szCs w:val="22"/>
        </w:rPr>
        <w:t>日期：      年   月   日</w:t>
      </w:r>
    </w:p>
    <w:p>
      <w:pPr>
        <w:pStyle w:val="14"/>
        <w:rPr>
          <w:rFonts w:hint="eastAsia" w:ascii="华文中宋" w:hAnsi="华文中宋" w:eastAsia="华文中宋" w:cs="华文中宋"/>
        </w:rPr>
      </w:pPr>
    </w:p>
    <w:p>
      <w:pPr>
        <w:ind w:right="-60"/>
        <w:jc w:val="center"/>
        <w:rPr>
          <w:rFonts w:hint="eastAsia" w:ascii="华文中宋" w:hAnsi="华文中宋" w:eastAsia="华文中宋" w:cs="华文中宋"/>
          <w:b/>
          <w:bCs/>
          <w:sz w:val="22"/>
          <w:szCs w:val="28"/>
        </w:rPr>
      </w:pPr>
    </w:p>
    <w:p>
      <w:pPr>
        <w:spacing w:line="480" w:lineRule="exact"/>
        <w:jc w:val="both"/>
        <w:outlineLvl w:val="0"/>
        <w:rPr>
          <w:rFonts w:hint="eastAsia" w:ascii="华文中宋" w:hAnsi="华文中宋" w:eastAsia="华文中宋" w:cs="华文中宋"/>
          <w:b/>
          <w:bCs/>
          <w:sz w:val="28"/>
          <w:szCs w:val="28"/>
        </w:rPr>
      </w:pPr>
    </w:p>
    <w:p>
      <w:pPr>
        <w:spacing w:line="480" w:lineRule="exact"/>
        <w:jc w:val="center"/>
        <w:outlineLvl w:val="0"/>
        <w:rPr>
          <w:rFonts w:hint="eastAsia" w:ascii="华文中宋" w:hAnsi="华文中宋" w:eastAsia="华文中宋" w:cs="华文中宋"/>
          <w:b/>
          <w:bCs/>
          <w:sz w:val="28"/>
          <w:szCs w:val="28"/>
        </w:rPr>
      </w:pPr>
    </w:p>
    <w:p>
      <w:pPr>
        <w:spacing w:line="480" w:lineRule="exact"/>
        <w:jc w:val="center"/>
        <w:outlineLvl w:val="0"/>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rPr>
        <w:t>第</w:t>
      </w:r>
      <w:r>
        <w:rPr>
          <w:rFonts w:hint="eastAsia" w:ascii="华文中宋" w:hAnsi="华文中宋" w:eastAsia="华文中宋" w:cs="华文中宋"/>
          <w:b/>
          <w:bCs/>
          <w:sz w:val="28"/>
          <w:szCs w:val="28"/>
          <w:lang w:val="en-US" w:eastAsia="zh-CN"/>
        </w:rPr>
        <w:t>5</w:t>
      </w:r>
      <w:r>
        <w:rPr>
          <w:rFonts w:hint="eastAsia" w:ascii="华文中宋" w:hAnsi="华文中宋" w:eastAsia="华文中宋" w:cs="华文中宋"/>
          <w:b/>
          <w:bCs/>
          <w:sz w:val="28"/>
          <w:szCs w:val="28"/>
        </w:rPr>
        <w:t xml:space="preserve">部分  </w:t>
      </w:r>
      <w:r>
        <w:rPr>
          <w:rFonts w:hint="eastAsia" w:ascii="华文中宋" w:hAnsi="华文中宋" w:eastAsia="华文中宋" w:cs="华文中宋"/>
          <w:b/>
          <w:bCs/>
          <w:sz w:val="28"/>
          <w:szCs w:val="28"/>
          <w:lang w:val="en-US" w:eastAsia="zh-CN"/>
        </w:rPr>
        <w:t>供应商认为有必要补充说明的事项</w:t>
      </w:r>
    </w:p>
    <w:p>
      <w:pPr>
        <w:spacing w:line="440" w:lineRule="exact"/>
        <w:rPr>
          <w:rFonts w:hint="eastAsia" w:ascii="华文中宋" w:hAnsi="华文中宋" w:eastAsia="华文中宋" w:cs="华文中宋"/>
          <w:b/>
          <w:bCs/>
        </w:rPr>
      </w:pPr>
    </w:p>
    <w:p>
      <w:pPr>
        <w:spacing w:line="440" w:lineRule="exact"/>
        <w:rPr>
          <w:rFonts w:hint="eastAsia" w:ascii="华文中宋" w:hAnsi="华文中宋" w:eastAsia="华文中宋" w:cs="华文中宋"/>
          <w:b w:val="0"/>
          <w:bCs w:val="0"/>
          <w:sz w:val="22"/>
          <w:szCs w:val="22"/>
        </w:rPr>
      </w:pPr>
      <w:r>
        <w:rPr>
          <w:rFonts w:hint="eastAsia" w:ascii="华文中宋" w:hAnsi="华文中宋" w:eastAsia="华文中宋" w:cs="华文中宋"/>
          <w:b/>
          <w:bCs/>
        </w:rPr>
        <w:t xml:space="preserve"> </w:t>
      </w:r>
      <w:r>
        <w:rPr>
          <w:rFonts w:hint="eastAsia" w:ascii="华文中宋" w:hAnsi="华文中宋" w:eastAsia="华文中宋" w:cs="华文中宋"/>
          <w:b/>
          <w:bCs/>
          <w:lang w:val="en-US" w:eastAsia="zh-CN"/>
        </w:rPr>
        <w:t xml:space="preserve">        </w:t>
      </w:r>
      <w:r>
        <w:rPr>
          <w:rFonts w:hint="eastAsia" w:ascii="华文中宋" w:hAnsi="华文中宋" w:eastAsia="华文中宋" w:cs="华文中宋"/>
          <w:b/>
          <w:bCs/>
          <w:sz w:val="22"/>
          <w:szCs w:val="22"/>
          <w:lang w:val="en-US" w:eastAsia="zh-CN"/>
        </w:rPr>
        <w:t xml:space="preserve">  </w:t>
      </w:r>
      <w:r>
        <w:rPr>
          <w:rFonts w:hint="eastAsia" w:ascii="华文中宋" w:hAnsi="华文中宋" w:eastAsia="华文中宋" w:cs="华文中宋"/>
          <w:b w:val="0"/>
          <w:bCs w:val="0"/>
          <w:sz w:val="22"/>
          <w:szCs w:val="22"/>
        </w:rPr>
        <w:t>格式自定</w:t>
      </w:r>
      <w:r>
        <w:rPr>
          <w:rFonts w:hint="eastAsia" w:ascii="华文中宋" w:hAnsi="华文中宋" w:eastAsia="华文中宋" w:cs="华文中宋"/>
          <w:b w:val="0"/>
          <w:bCs w:val="0"/>
          <w:sz w:val="22"/>
          <w:szCs w:val="22"/>
          <w:lang w:eastAsia="zh-CN"/>
        </w:rPr>
        <w:t>，</w:t>
      </w:r>
      <w:r>
        <w:rPr>
          <w:rFonts w:hint="eastAsia" w:ascii="华文中宋" w:hAnsi="华文中宋" w:eastAsia="华文中宋" w:cs="华文中宋"/>
          <w:b w:val="0"/>
          <w:bCs w:val="0"/>
          <w:sz w:val="22"/>
          <w:szCs w:val="22"/>
          <w:lang w:val="en-US" w:eastAsia="zh-CN"/>
        </w:rPr>
        <w:t>供应商</w:t>
      </w:r>
      <w:r>
        <w:rPr>
          <w:rFonts w:hint="eastAsia" w:ascii="华文中宋" w:hAnsi="华文中宋" w:eastAsia="华文中宋" w:cs="华文中宋"/>
          <w:b w:val="0"/>
          <w:bCs w:val="0"/>
          <w:sz w:val="22"/>
          <w:szCs w:val="22"/>
        </w:rPr>
        <w:t>认为有必要提供而增加其竞争性的其它资料</w:t>
      </w:r>
    </w:p>
    <w:p>
      <w:pPr>
        <w:spacing w:line="440" w:lineRule="exact"/>
        <w:rPr>
          <w:rFonts w:hint="eastAsia" w:ascii="华文中宋" w:hAnsi="华文中宋" w:eastAsia="华文中宋" w:cs="华文中宋"/>
          <w:b w:val="0"/>
          <w:bCs w:val="0"/>
          <w:sz w:val="22"/>
          <w:szCs w:val="22"/>
          <w:lang w:val="en-US" w:eastAsia="zh-CN"/>
        </w:rPr>
      </w:pPr>
      <w:r>
        <w:rPr>
          <w:rFonts w:hint="eastAsia" w:ascii="华文中宋" w:hAnsi="华文中宋" w:eastAsia="华文中宋" w:cs="华文中宋"/>
          <w:b w:val="0"/>
          <w:bCs w:val="0"/>
          <w:sz w:val="22"/>
          <w:szCs w:val="22"/>
          <w:lang w:val="en-US" w:eastAsia="zh-CN"/>
        </w:rPr>
        <w:t xml:space="preserve"> </w:t>
      </w: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ind w:firstLine="280" w:firstLineChars="100"/>
        <w:jc w:val="center"/>
        <w:rPr>
          <w:rFonts w:hint="eastAsia" w:ascii="华文中宋" w:hAnsi="华文中宋" w:eastAsia="华文中宋" w:cs="华文中宋"/>
          <w:b/>
          <w:bCs w:val="0"/>
          <w:sz w:val="28"/>
          <w:szCs w:val="28"/>
          <w:lang w:val="en-US" w:eastAsia="zh-CN"/>
        </w:rPr>
      </w:pPr>
    </w:p>
    <w:p>
      <w:pPr>
        <w:widowControl/>
        <w:spacing w:line="480" w:lineRule="exact"/>
        <w:jc w:val="both"/>
        <w:rPr>
          <w:rFonts w:hint="eastAsia" w:ascii="华文中宋" w:hAnsi="华文中宋" w:eastAsia="华文中宋" w:cs="华文中宋"/>
          <w:b/>
          <w:sz w:val="28"/>
          <w:szCs w:val="28"/>
          <w:lang w:val="en-US" w:eastAsia="zh-CN"/>
        </w:rPr>
      </w:pPr>
    </w:p>
    <w:p>
      <w:pPr>
        <w:widowControl/>
        <w:spacing w:line="480" w:lineRule="exact"/>
        <w:jc w:val="center"/>
        <w:rPr>
          <w:rFonts w:hint="eastAsia" w:ascii="华文中宋" w:hAnsi="华文中宋" w:eastAsia="华文中宋" w:cs="华文中宋"/>
          <w:b/>
          <w:sz w:val="28"/>
          <w:szCs w:val="28"/>
          <w:lang w:val="en-US" w:eastAsia="zh-CN"/>
        </w:rPr>
      </w:pPr>
      <w:r>
        <w:rPr>
          <w:rFonts w:hint="eastAsia" w:ascii="华文中宋" w:hAnsi="华文中宋" w:eastAsia="华文中宋" w:cs="华文中宋"/>
          <w:b/>
          <w:sz w:val="28"/>
          <w:szCs w:val="28"/>
          <w:lang w:val="en-US" w:eastAsia="zh-CN"/>
        </w:rPr>
        <w:t>承诺书</w:t>
      </w:r>
    </w:p>
    <w:p>
      <w:pPr>
        <w:widowControl/>
        <w:spacing w:line="480" w:lineRule="exact"/>
        <w:jc w:val="center"/>
        <w:rPr>
          <w:rFonts w:hint="eastAsia" w:ascii="华文中宋" w:hAnsi="华文中宋" w:eastAsia="华文中宋" w:cs="华文中宋"/>
          <w:b/>
          <w:sz w:val="28"/>
          <w:szCs w:val="28"/>
          <w:lang w:val="en-US" w:eastAsia="zh-CN"/>
        </w:rPr>
      </w:pPr>
      <w:r>
        <w:rPr>
          <w:rFonts w:hint="eastAsia" w:ascii="华文中宋" w:hAnsi="华文中宋" w:eastAsia="华文中宋" w:cs="华文中宋"/>
          <w:b/>
          <w:sz w:val="28"/>
          <w:szCs w:val="28"/>
        </w:rPr>
        <w:t>陕西省政府采购磋商</w:t>
      </w:r>
      <w:r>
        <w:rPr>
          <w:rFonts w:hint="eastAsia" w:ascii="华文中宋" w:hAnsi="华文中宋" w:eastAsia="华文中宋" w:cs="华文中宋"/>
          <w:b/>
          <w:sz w:val="28"/>
          <w:szCs w:val="28"/>
          <w:lang w:val="en-US" w:eastAsia="zh-CN"/>
        </w:rPr>
        <w:t>响应人</w:t>
      </w:r>
    </w:p>
    <w:p>
      <w:pPr>
        <w:widowControl/>
        <w:spacing w:line="480" w:lineRule="exact"/>
        <w:jc w:val="center"/>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拒绝政府采购领域商业贿赂承诺书</w:t>
      </w:r>
    </w:p>
    <w:p>
      <w:pPr>
        <w:jc w:val="center"/>
        <w:rPr>
          <w:rFonts w:hint="eastAsia" w:ascii="华文中宋" w:hAnsi="华文中宋" w:eastAsia="华文中宋" w:cs="华文中宋"/>
          <w:bCs/>
        </w:rPr>
      </w:pPr>
      <w:r>
        <w:rPr>
          <w:rFonts w:hint="eastAsia" w:ascii="华文中宋" w:hAnsi="华文中宋" w:eastAsia="华文中宋" w:cs="华文中宋"/>
          <w:bCs/>
        </w:rPr>
        <w:t>（执行陕财办采管[2006]21号文件）</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为响应党中央、国务院关于治理政府采购领域商业贿赂行为的号召，我公司在此庄严承诺：</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1、在参与政府采购活动中遵纪守法、诚信经营、公平竞标。</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2、不向政府采购人、采购代理机构和政府采购评审专家进行任何形式的商业贿赂以谋取交易机会。</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3、不向政府采购代理机构和采购人提供虚假资格文件或采用虚假应标方式参与政府采购市场竞争并谋取中标、成交。</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4、不采取“围标、陪标”等商业欺诈手段获得政府采购定单。</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5、不采取不正当手段诋毁、排挤其他磋商供应商。</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6、不在提供商品和服务时“偷梁换柱、以次充好”损害采购人的合法权益。</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7、不与采购人、采购代理机构政府采购评审专家或其它磋商供应商恶意串通，进行质疑和投诉，维护政府采购市场秩序。</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8、尊重和接受政府采购监督管理部门的监督和政府采购代理机构磋商采购要求，承担因违约行为给采购人造成的损失。</w:t>
      </w:r>
    </w:p>
    <w:p>
      <w:pPr>
        <w:widowControl/>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9、不发生其他有悖于政府采购公开、公平、公正和诚信原则的行为。</w:t>
      </w:r>
    </w:p>
    <w:p>
      <w:pPr>
        <w:widowControl/>
        <w:spacing w:line="480" w:lineRule="exact"/>
        <w:ind w:firstLine="420" w:firstLineChars="200"/>
        <w:rPr>
          <w:rFonts w:hint="eastAsia" w:ascii="华文中宋" w:hAnsi="华文中宋" w:eastAsia="华文中宋" w:cs="华文中宋"/>
        </w:rPr>
      </w:pPr>
    </w:p>
    <w:p>
      <w:pPr>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承诺磋商</w:t>
      </w:r>
      <w:r>
        <w:rPr>
          <w:rFonts w:hint="eastAsia" w:ascii="华文中宋" w:hAnsi="华文中宋" w:eastAsia="华文中宋" w:cs="华文中宋"/>
          <w:lang w:val="en-US" w:eastAsia="zh-CN"/>
        </w:rPr>
        <w:t>响应人</w:t>
      </w:r>
      <w:r>
        <w:rPr>
          <w:rFonts w:hint="eastAsia" w:ascii="华文中宋" w:hAnsi="华文中宋" w:eastAsia="华文中宋" w:cs="华文中宋"/>
        </w:rPr>
        <w:t>：（全称、盖章）</w:t>
      </w:r>
    </w:p>
    <w:p>
      <w:pPr>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法定代表人或其授权委托人（签字）：</w:t>
      </w:r>
    </w:p>
    <w:p>
      <w:pPr>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 xml:space="preserve">地  址：                      </w:t>
      </w:r>
    </w:p>
    <w:p>
      <w:pPr>
        <w:spacing w:line="480" w:lineRule="exact"/>
        <w:ind w:firstLine="210" w:firstLineChars="100"/>
        <w:rPr>
          <w:rFonts w:hint="eastAsia" w:ascii="华文中宋" w:hAnsi="华文中宋" w:eastAsia="华文中宋" w:cs="华文中宋"/>
        </w:rPr>
      </w:pPr>
      <w:r>
        <w:rPr>
          <w:rFonts w:hint="eastAsia" w:ascii="华文中宋" w:hAnsi="华文中宋" w:eastAsia="华文中宋" w:cs="华文中宋"/>
        </w:rPr>
        <w:t xml:space="preserve">  邮  编：</w:t>
      </w:r>
    </w:p>
    <w:p>
      <w:pPr>
        <w:spacing w:line="480" w:lineRule="exact"/>
        <w:ind w:firstLine="420" w:firstLineChars="200"/>
        <w:rPr>
          <w:rFonts w:hint="eastAsia" w:ascii="华文中宋" w:hAnsi="华文中宋" w:eastAsia="华文中宋" w:cs="华文中宋"/>
        </w:rPr>
      </w:pPr>
      <w:r>
        <w:rPr>
          <w:rFonts w:hint="eastAsia" w:ascii="华文中宋" w:hAnsi="华文中宋" w:eastAsia="华文中宋" w:cs="华文中宋"/>
        </w:rPr>
        <w:t xml:space="preserve">电  话：                        </w:t>
      </w:r>
    </w:p>
    <w:p>
      <w:pPr>
        <w:spacing w:line="480" w:lineRule="exact"/>
        <w:ind w:firstLine="4410" w:firstLineChars="2100"/>
        <w:rPr>
          <w:rFonts w:hint="eastAsia" w:ascii="华文中宋" w:hAnsi="华文中宋" w:eastAsia="华文中宋" w:cs="华文中宋"/>
        </w:rPr>
      </w:pPr>
      <w:r>
        <w:rPr>
          <w:rFonts w:hint="eastAsia" w:ascii="华文中宋" w:hAnsi="华文中宋" w:eastAsia="华文中宋" w:cs="华文中宋"/>
        </w:rPr>
        <w:t>年  月  日</w:t>
      </w:r>
    </w:p>
    <w:p>
      <w:pPr>
        <w:adjustRightInd w:val="0"/>
        <w:snapToGrid w:val="0"/>
        <w:spacing w:line="312" w:lineRule="auto"/>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jc w:val="center"/>
        <w:rPr>
          <w:rFonts w:hint="eastAsia" w:ascii="华文中宋" w:hAnsi="华文中宋" w:eastAsia="华文中宋" w:cs="华文中宋"/>
          <w:b/>
          <w:bCs w:val="0"/>
          <w:sz w:val="28"/>
          <w:szCs w:val="28"/>
          <w:lang w:val="en-US" w:eastAsia="zh-CN"/>
        </w:rPr>
      </w:pPr>
    </w:p>
    <w:p>
      <w:pPr>
        <w:adjustRightInd w:val="0"/>
        <w:snapToGrid w:val="0"/>
        <w:spacing w:line="312" w:lineRule="auto"/>
        <w:jc w:val="both"/>
        <w:rPr>
          <w:rFonts w:hint="eastAsia" w:ascii="华文中宋" w:hAnsi="华文中宋" w:eastAsia="华文中宋" w:cs="华文中宋"/>
          <w:b/>
          <w:bCs w:val="0"/>
          <w:sz w:val="28"/>
          <w:szCs w:val="28"/>
          <w:lang w:val="en-US" w:eastAsia="zh-CN"/>
        </w:rPr>
      </w:pPr>
    </w:p>
    <w:p>
      <w:pPr>
        <w:adjustRightInd w:val="0"/>
        <w:snapToGrid w:val="0"/>
        <w:spacing w:line="312" w:lineRule="auto"/>
        <w:jc w:val="center"/>
        <w:rPr>
          <w:rFonts w:hint="eastAsia" w:ascii="华文中宋" w:hAnsi="华文中宋" w:eastAsia="华文中宋" w:cs="华文中宋"/>
          <w:b/>
          <w:bCs w:val="0"/>
          <w:sz w:val="28"/>
          <w:szCs w:val="28"/>
          <w:lang w:val="en-US" w:eastAsia="zh-CN"/>
        </w:rPr>
      </w:pPr>
      <w:r>
        <w:rPr>
          <w:rFonts w:hint="eastAsia" w:ascii="华文中宋" w:hAnsi="华文中宋" w:eastAsia="华文中宋" w:cs="华文中宋"/>
          <w:b/>
          <w:bCs w:val="0"/>
          <w:sz w:val="28"/>
          <w:szCs w:val="28"/>
          <w:lang w:val="en-US" w:eastAsia="zh-CN"/>
        </w:rPr>
        <w:t>第6部分 供应商资格证明</w:t>
      </w:r>
    </w:p>
    <w:p>
      <w:pPr>
        <w:adjustRightInd w:val="0"/>
        <w:snapToGrid w:val="0"/>
        <w:spacing w:line="312" w:lineRule="auto"/>
        <w:ind w:firstLine="220" w:firstLineChars="100"/>
        <w:rPr>
          <w:rFonts w:hint="eastAsia" w:ascii="华文中宋" w:hAnsi="华文中宋" w:eastAsia="华文中宋" w:cs="华文中宋"/>
          <w:bCs/>
          <w:sz w:val="22"/>
          <w:szCs w:val="18"/>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lang w:val="en-US" w:eastAsia="zh-CN"/>
        </w:rPr>
      </w:pPr>
      <w:r>
        <w:rPr>
          <w:rFonts w:hint="eastAsia" w:ascii="华文中宋" w:hAnsi="华文中宋" w:eastAsia="华文中宋" w:cs="华文中宋"/>
          <w:bCs/>
          <w:sz w:val="22"/>
          <w:szCs w:val="18"/>
          <w:lang w:val="en-US" w:eastAsia="zh-CN"/>
        </w:rPr>
        <w:t>1、响应人按本节格式要求将资格证明材料附进磋商响应文件正、副本内（磋商代表身份证原件现场核验），由磋商小组进行资格审查，审查过程中响应人资格证明文件无效或缺的视为资格审查不通过，其磋商响应文件按无效响应文件处理。</w:t>
      </w:r>
    </w:p>
    <w:p>
      <w:pPr>
        <w:adjustRightInd w:val="0"/>
        <w:snapToGrid w:val="0"/>
        <w:spacing w:line="312" w:lineRule="auto"/>
        <w:ind w:firstLine="220" w:firstLineChars="100"/>
        <w:rPr>
          <w:rFonts w:hint="eastAsia" w:ascii="华文中宋" w:hAnsi="华文中宋" w:eastAsia="华文中宋" w:cs="华文中宋"/>
          <w:bCs/>
          <w:sz w:val="22"/>
          <w:szCs w:val="18"/>
          <w:lang w:val="en-US" w:eastAsia="zh-CN"/>
        </w:rPr>
      </w:pPr>
      <w:r>
        <w:rPr>
          <w:rFonts w:hint="eastAsia" w:ascii="华文中宋" w:hAnsi="华文中宋" w:eastAsia="华文中宋" w:cs="华文中宋"/>
          <w:bCs/>
          <w:sz w:val="22"/>
          <w:szCs w:val="18"/>
          <w:lang w:val="en-US" w:eastAsia="zh-CN"/>
        </w:rPr>
        <w:t>2、提供相关格式如下</w:t>
      </w:r>
    </w:p>
    <w:p>
      <w:pPr>
        <w:pStyle w:val="14"/>
        <w:ind w:firstLine="480" w:firstLineChars="200"/>
        <w:rPr>
          <w:rFonts w:hint="eastAsia" w:ascii="华文中宋" w:hAnsi="华文中宋" w:eastAsia="华文中宋" w:cs="华文中宋"/>
          <w:b/>
          <w:sz w:val="24"/>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numPr>
          <w:ilvl w:val="0"/>
          <w:numId w:val="0"/>
        </w:numPr>
        <w:jc w:val="both"/>
        <w:outlineLvl w:val="0"/>
        <w:rPr>
          <w:rFonts w:hint="eastAsia" w:ascii="华文中宋" w:hAnsi="华文中宋" w:eastAsia="华文中宋" w:cs="华文中宋"/>
          <w:b/>
          <w:bCs/>
          <w:color w:val="auto"/>
          <w:sz w:val="28"/>
          <w:szCs w:val="28"/>
          <w:lang w:val="en-US" w:eastAsia="zh-CN"/>
        </w:rPr>
      </w:pPr>
    </w:p>
    <w:p>
      <w:pPr>
        <w:pStyle w:val="14"/>
        <w:numPr>
          <w:ilvl w:val="0"/>
          <w:numId w:val="0"/>
        </w:numPr>
        <w:jc w:val="center"/>
        <w:outlineLvl w:val="0"/>
        <w:rPr>
          <w:rFonts w:hint="eastAsia" w:ascii="华文中宋" w:hAnsi="华文中宋" w:eastAsia="华文中宋" w:cs="华文中宋"/>
          <w:b/>
          <w:bCs/>
          <w:color w:val="auto"/>
          <w:sz w:val="28"/>
          <w:szCs w:val="28"/>
          <w:lang w:val="en-US" w:eastAsia="zh-CN"/>
        </w:rPr>
      </w:pPr>
    </w:p>
    <w:p>
      <w:pPr>
        <w:pStyle w:val="14"/>
        <w:numPr>
          <w:ilvl w:val="0"/>
          <w:numId w:val="0"/>
        </w:numPr>
        <w:jc w:val="center"/>
        <w:outlineLvl w:val="0"/>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lang w:val="en-US" w:eastAsia="zh-CN"/>
        </w:rPr>
        <w:t>1、供应商</w:t>
      </w:r>
      <w:r>
        <w:rPr>
          <w:rFonts w:hint="eastAsia" w:ascii="华文中宋" w:hAnsi="华文中宋" w:eastAsia="华文中宋" w:cs="华文中宋"/>
          <w:b/>
          <w:bCs/>
          <w:color w:val="auto"/>
          <w:sz w:val="28"/>
          <w:szCs w:val="28"/>
        </w:rPr>
        <w:t>基本情况表</w:t>
      </w:r>
    </w:p>
    <w:p>
      <w:pPr>
        <w:numPr>
          <w:ilvl w:val="0"/>
          <w:numId w:val="0"/>
        </w:numPr>
        <w:rPr>
          <w:rFonts w:hint="eastAsia" w:ascii="华文中宋" w:hAnsi="华文中宋" w:eastAsia="华文中宋" w:cs="华文中宋"/>
        </w:rPr>
      </w:pPr>
    </w:p>
    <w:tbl>
      <w:tblPr>
        <w:tblStyle w:val="28"/>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trPr>
        <w:tc>
          <w:tcPr>
            <w:tcW w:w="1984"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lang w:val="en-US" w:eastAsia="zh-CN"/>
              </w:rPr>
              <w:t>供应商</w:t>
            </w:r>
            <w:r>
              <w:rPr>
                <w:rFonts w:hint="eastAsia" w:ascii="华文中宋" w:hAnsi="华文中宋" w:eastAsia="华文中宋" w:cs="华文中宋"/>
                <w:color w:val="auto"/>
                <w:sz w:val="22"/>
                <w:szCs w:val="22"/>
              </w:rPr>
              <w:t>名称</w:t>
            </w:r>
          </w:p>
        </w:tc>
        <w:tc>
          <w:tcPr>
            <w:tcW w:w="7016" w:type="dxa"/>
            <w:gridSpan w:val="9"/>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984"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统一社会信用代码</w:t>
            </w:r>
          </w:p>
        </w:tc>
        <w:tc>
          <w:tcPr>
            <w:tcW w:w="1416" w:type="dxa"/>
            <w:vAlign w:val="center"/>
          </w:tcPr>
          <w:p>
            <w:pPr>
              <w:topLinePunct/>
              <w:spacing w:line="440" w:lineRule="exact"/>
              <w:jc w:val="center"/>
              <w:rPr>
                <w:rFonts w:hint="eastAsia" w:ascii="华文中宋" w:hAnsi="华文中宋" w:eastAsia="华文中宋" w:cs="华文中宋"/>
                <w:color w:val="auto"/>
                <w:sz w:val="22"/>
                <w:szCs w:val="22"/>
              </w:rPr>
            </w:pPr>
          </w:p>
        </w:tc>
        <w:tc>
          <w:tcPr>
            <w:tcW w:w="1419"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注册资金</w:t>
            </w:r>
          </w:p>
        </w:tc>
        <w:tc>
          <w:tcPr>
            <w:tcW w:w="1418" w:type="dxa"/>
            <w:vAlign w:val="center"/>
          </w:tcPr>
          <w:p>
            <w:pPr>
              <w:topLinePunct/>
              <w:jc w:val="center"/>
              <w:rPr>
                <w:rFonts w:hint="eastAsia" w:ascii="华文中宋" w:hAnsi="华文中宋" w:eastAsia="华文中宋" w:cs="华文中宋"/>
                <w:color w:val="auto"/>
                <w:sz w:val="22"/>
                <w:szCs w:val="22"/>
              </w:rPr>
            </w:pPr>
          </w:p>
        </w:tc>
        <w:tc>
          <w:tcPr>
            <w:tcW w:w="1381"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成立时间</w:t>
            </w:r>
          </w:p>
        </w:tc>
        <w:tc>
          <w:tcPr>
            <w:tcW w:w="1382" w:type="dxa"/>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trPr>
        <w:tc>
          <w:tcPr>
            <w:tcW w:w="1984"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注册地址</w:t>
            </w:r>
          </w:p>
        </w:tc>
        <w:tc>
          <w:tcPr>
            <w:tcW w:w="4253" w:type="dxa"/>
            <w:gridSpan w:val="5"/>
            <w:vAlign w:val="center"/>
          </w:tcPr>
          <w:p>
            <w:pPr>
              <w:topLinePunct/>
              <w:spacing w:line="440" w:lineRule="exact"/>
              <w:jc w:val="center"/>
              <w:rPr>
                <w:rFonts w:hint="eastAsia" w:ascii="华文中宋" w:hAnsi="华文中宋" w:eastAsia="华文中宋" w:cs="华文中宋"/>
                <w:color w:val="auto"/>
                <w:sz w:val="22"/>
                <w:szCs w:val="22"/>
              </w:rPr>
            </w:pPr>
          </w:p>
        </w:tc>
        <w:tc>
          <w:tcPr>
            <w:tcW w:w="1381"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资产总额</w:t>
            </w:r>
          </w:p>
        </w:tc>
        <w:tc>
          <w:tcPr>
            <w:tcW w:w="1382" w:type="dxa"/>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上年营业额</w:t>
            </w:r>
          </w:p>
        </w:tc>
        <w:tc>
          <w:tcPr>
            <w:tcW w:w="1416" w:type="dxa"/>
            <w:vAlign w:val="center"/>
          </w:tcPr>
          <w:p>
            <w:pPr>
              <w:topLinePunct/>
              <w:jc w:val="center"/>
              <w:rPr>
                <w:rFonts w:hint="eastAsia" w:ascii="华文中宋" w:hAnsi="华文中宋" w:eastAsia="华文中宋" w:cs="华文中宋"/>
                <w:color w:val="auto"/>
                <w:sz w:val="22"/>
                <w:szCs w:val="22"/>
              </w:rPr>
            </w:pPr>
          </w:p>
        </w:tc>
        <w:tc>
          <w:tcPr>
            <w:tcW w:w="1419"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员工总人数</w:t>
            </w:r>
          </w:p>
        </w:tc>
        <w:tc>
          <w:tcPr>
            <w:tcW w:w="1418" w:type="dxa"/>
            <w:vAlign w:val="center"/>
          </w:tcPr>
          <w:p>
            <w:pPr>
              <w:topLinePunct/>
              <w:jc w:val="center"/>
              <w:rPr>
                <w:rFonts w:hint="eastAsia" w:ascii="华文中宋" w:hAnsi="华文中宋" w:eastAsia="华文中宋" w:cs="华文中宋"/>
                <w:color w:val="auto"/>
                <w:sz w:val="22"/>
                <w:szCs w:val="22"/>
              </w:rPr>
            </w:pPr>
          </w:p>
        </w:tc>
        <w:tc>
          <w:tcPr>
            <w:tcW w:w="1381"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企业类型</w:t>
            </w:r>
          </w:p>
        </w:tc>
        <w:tc>
          <w:tcPr>
            <w:tcW w:w="1382" w:type="dxa"/>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restart"/>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法定代表人</w:t>
            </w:r>
          </w:p>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 xml:space="preserve"> （单位负责人）</w:t>
            </w:r>
          </w:p>
        </w:tc>
        <w:tc>
          <w:tcPr>
            <w:tcW w:w="1416" w:type="dxa"/>
            <w:vMerge w:val="restart"/>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姓名</w:t>
            </w:r>
          </w:p>
        </w:tc>
        <w:tc>
          <w:tcPr>
            <w:tcW w:w="1419" w:type="dxa"/>
            <w:gridSpan w:val="3"/>
            <w:vMerge w:val="restart"/>
            <w:vAlign w:val="center"/>
          </w:tcPr>
          <w:p>
            <w:pPr>
              <w:topLinePunct/>
              <w:jc w:val="center"/>
              <w:rPr>
                <w:rFonts w:hint="eastAsia" w:ascii="华文中宋" w:hAnsi="华文中宋" w:eastAsia="华文中宋" w:cs="华文中宋"/>
                <w:color w:val="auto"/>
                <w:sz w:val="22"/>
                <w:szCs w:val="22"/>
              </w:rPr>
            </w:pPr>
          </w:p>
        </w:tc>
        <w:tc>
          <w:tcPr>
            <w:tcW w:w="1418" w:type="dxa"/>
            <w:vMerge w:val="restart"/>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电话</w:t>
            </w:r>
          </w:p>
        </w:tc>
        <w:tc>
          <w:tcPr>
            <w:tcW w:w="1381"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手机</w:t>
            </w:r>
          </w:p>
        </w:tc>
        <w:tc>
          <w:tcPr>
            <w:tcW w:w="1382" w:type="dxa"/>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continue"/>
            <w:vAlign w:val="center"/>
          </w:tcPr>
          <w:p>
            <w:pPr>
              <w:topLinePunct/>
              <w:jc w:val="center"/>
              <w:rPr>
                <w:rFonts w:hint="eastAsia" w:ascii="华文中宋" w:hAnsi="华文中宋" w:eastAsia="华文中宋" w:cs="华文中宋"/>
                <w:color w:val="auto"/>
                <w:sz w:val="22"/>
                <w:szCs w:val="22"/>
              </w:rPr>
            </w:pPr>
          </w:p>
        </w:tc>
        <w:tc>
          <w:tcPr>
            <w:tcW w:w="1416" w:type="dxa"/>
            <w:vMerge w:val="continue"/>
            <w:vAlign w:val="center"/>
          </w:tcPr>
          <w:p>
            <w:pPr>
              <w:topLinePunct/>
              <w:jc w:val="center"/>
              <w:rPr>
                <w:rFonts w:hint="eastAsia" w:ascii="华文中宋" w:hAnsi="华文中宋" w:eastAsia="华文中宋" w:cs="华文中宋"/>
                <w:color w:val="auto"/>
                <w:sz w:val="22"/>
                <w:szCs w:val="22"/>
              </w:rPr>
            </w:pPr>
          </w:p>
        </w:tc>
        <w:tc>
          <w:tcPr>
            <w:tcW w:w="1419" w:type="dxa"/>
            <w:gridSpan w:val="3"/>
            <w:vMerge w:val="continue"/>
            <w:vAlign w:val="center"/>
          </w:tcPr>
          <w:p>
            <w:pPr>
              <w:topLinePunct/>
              <w:jc w:val="center"/>
              <w:rPr>
                <w:rFonts w:hint="eastAsia" w:ascii="华文中宋" w:hAnsi="华文中宋" w:eastAsia="华文中宋" w:cs="华文中宋"/>
                <w:color w:val="auto"/>
                <w:sz w:val="22"/>
                <w:szCs w:val="22"/>
              </w:rPr>
            </w:pPr>
          </w:p>
        </w:tc>
        <w:tc>
          <w:tcPr>
            <w:tcW w:w="1418" w:type="dxa"/>
            <w:vMerge w:val="continue"/>
            <w:vAlign w:val="center"/>
          </w:tcPr>
          <w:p>
            <w:pPr>
              <w:topLinePunct/>
              <w:jc w:val="center"/>
              <w:rPr>
                <w:rFonts w:hint="eastAsia" w:ascii="华文中宋" w:hAnsi="华文中宋" w:eastAsia="华文中宋" w:cs="华文中宋"/>
                <w:color w:val="auto"/>
                <w:sz w:val="22"/>
                <w:szCs w:val="22"/>
              </w:rPr>
            </w:pPr>
          </w:p>
        </w:tc>
        <w:tc>
          <w:tcPr>
            <w:tcW w:w="1381"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办公</w:t>
            </w:r>
          </w:p>
        </w:tc>
        <w:tc>
          <w:tcPr>
            <w:tcW w:w="1382" w:type="dxa"/>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restart"/>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联系方式</w:t>
            </w:r>
          </w:p>
        </w:tc>
        <w:tc>
          <w:tcPr>
            <w:tcW w:w="1416" w:type="dxa"/>
            <w:vMerge w:val="restart"/>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联系人</w:t>
            </w:r>
          </w:p>
        </w:tc>
        <w:tc>
          <w:tcPr>
            <w:tcW w:w="1419" w:type="dxa"/>
            <w:gridSpan w:val="3"/>
            <w:vMerge w:val="restart"/>
            <w:vAlign w:val="center"/>
          </w:tcPr>
          <w:p>
            <w:pPr>
              <w:topLinePunct/>
              <w:jc w:val="center"/>
              <w:rPr>
                <w:rFonts w:hint="eastAsia" w:ascii="华文中宋" w:hAnsi="华文中宋" w:eastAsia="华文中宋" w:cs="华文中宋"/>
                <w:color w:val="auto"/>
                <w:sz w:val="22"/>
                <w:szCs w:val="22"/>
              </w:rPr>
            </w:pPr>
          </w:p>
        </w:tc>
        <w:tc>
          <w:tcPr>
            <w:tcW w:w="1418"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电话</w:t>
            </w:r>
          </w:p>
        </w:tc>
        <w:tc>
          <w:tcPr>
            <w:tcW w:w="2763" w:type="dxa"/>
            <w:gridSpan w:val="4"/>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continue"/>
            <w:vAlign w:val="center"/>
          </w:tcPr>
          <w:p>
            <w:pPr>
              <w:topLinePunct/>
              <w:jc w:val="center"/>
              <w:rPr>
                <w:rFonts w:hint="eastAsia" w:ascii="华文中宋" w:hAnsi="华文中宋" w:eastAsia="华文中宋" w:cs="华文中宋"/>
                <w:color w:val="auto"/>
                <w:sz w:val="22"/>
                <w:szCs w:val="22"/>
              </w:rPr>
            </w:pPr>
          </w:p>
        </w:tc>
        <w:tc>
          <w:tcPr>
            <w:tcW w:w="1416" w:type="dxa"/>
            <w:vMerge w:val="continue"/>
            <w:vAlign w:val="center"/>
          </w:tcPr>
          <w:p>
            <w:pPr>
              <w:topLinePunct/>
              <w:jc w:val="center"/>
              <w:rPr>
                <w:rFonts w:hint="eastAsia" w:ascii="华文中宋" w:hAnsi="华文中宋" w:eastAsia="华文中宋" w:cs="华文中宋"/>
                <w:color w:val="auto"/>
                <w:sz w:val="22"/>
                <w:szCs w:val="22"/>
              </w:rPr>
            </w:pPr>
          </w:p>
        </w:tc>
        <w:tc>
          <w:tcPr>
            <w:tcW w:w="1419" w:type="dxa"/>
            <w:gridSpan w:val="3"/>
            <w:vMerge w:val="continue"/>
            <w:vAlign w:val="center"/>
          </w:tcPr>
          <w:p>
            <w:pPr>
              <w:topLinePunct/>
              <w:jc w:val="center"/>
              <w:rPr>
                <w:rFonts w:hint="eastAsia" w:ascii="华文中宋" w:hAnsi="华文中宋" w:eastAsia="华文中宋" w:cs="华文中宋"/>
                <w:color w:val="auto"/>
                <w:sz w:val="22"/>
                <w:szCs w:val="22"/>
              </w:rPr>
            </w:pPr>
          </w:p>
        </w:tc>
        <w:tc>
          <w:tcPr>
            <w:tcW w:w="1418"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邮箱</w:t>
            </w:r>
          </w:p>
        </w:tc>
        <w:tc>
          <w:tcPr>
            <w:tcW w:w="2763" w:type="dxa"/>
            <w:gridSpan w:val="4"/>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基本账户开银行行</w:t>
            </w:r>
          </w:p>
        </w:tc>
        <w:tc>
          <w:tcPr>
            <w:tcW w:w="2835" w:type="dxa"/>
            <w:gridSpan w:val="4"/>
            <w:vAlign w:val="center"/>
          </w:tcPr>
          <w:p>
            <w:pPr>
              <w:topLinePunct/>
              <w:spacing w:line="440" w:lineRule="exact"/>
              <w:jc w:val="center"/>
              <w:rPr>
                <w:rFonts w:hint="eastAsia" w:ascii="华文中宋" w:hAnsi="华文中宋" w:eastAsia="华文中宋" w:cs="华文中宋"/>
                <w:color w:val="auto"/>
                <w:sz w:val="22"/>
                <w:szCs w:val="22"/>
              </w:rPr>
            </w:pPr>
          </w:p>
        </w:tc>
        <w:tc>
          <w:tcPr>
            <w:tcW w:w="1985" w:type="dxa"/>
            <w:gridSpan w:val="3"/>
            <w:vAlign w:val="center"/>
          </w:tcPr>
          <w:p>
            <w:pPr>
              <w:topLinePunct/>
              <w:spacing w:line="440" w:lineRule="exa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基本账户银行账号</w:t>
            </w:r>
          </w:p>
        </w:tc>
        <w:tc>
          <w:tcPr>
            <w:tcW w:w="2196" w:type="dxa"/>
            <w:gridSpan w:val="2"/>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888" w:hRule="atLeast"/>
        </w:trPr>
        <w:tc>
          <w:tcPr>
            <w:tcW w:w="1984" w:type="dxa"/>
            <w:vAlign w:val="center"/>
          </w:tcPr>
          <w:p>
            <w:pPr>
              <w:topLinePunct/>
              <w:spacing w:line="360" w:lineRule="exact"/>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lang w:val="en-US" w:eastAsia="zh-CN"/>
              </w:rPr>
              <w:t>供应商</w:t>
            </w:r>
            <w:r>
              <w:rPr>
                <w:rFonts w:hint="eastAsia" w:ascii="华文中宋" w:hAnsi="华文中宋" w:eastAsia="华文中宋" w:cs="华文中宋"/>
                <w:color w:val="auto"/>
                <w:sz w:val="22"/>
                <w:szCs w:val="22"/>
              </w:rPr>
              <w:t>关联企业情况（包括但不限于与投标人法定代表人为同一人或者存在控股、管理关系的不同单位）</w:t>
            </w:r>
          </w:p>
        </w:tc>
        <w:tc>
          <w:tcPr>
            <w:tcW w:w="7016" w:type="dxa"/>
            <w:gridSpan w:val="9"/>
            <w:vAlign w:val="center"/>
          </w:tcPr>
          <w:p>
            <w:pPr>
              <w:topLinePunct/>
              <w:spacing w:line="440" w:lineRule="exa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9"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lang w:val="en-US" w:eastAsia="zh-CN"/>
              </w:rPr>
              <w:t>供应商</w:t>
            </w:r>
            <w:r>
              <w:rPr>
                <w:rFonts w:hint="eastAsia" w:ascii="华文中宋" w:hAnsi="华文中宋" w:eastAsia="华文中宋" w:cs="华文中宋"/>
                <w:color w:val="auto"/>
                <w:sz w:val="22"/>
                <w:szCs w:val="22"/>
              </w:rPr>
              <w:t>应具备的资质证书</w:t>
            </w:r>
          </w:p>
        </w:tc>
        <w:tc>
          <w:tcPr>
            <w:tcW w:w="1068"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等级</w:t>
            </w:r>
          </w:p>
        </w:tc>
        <w:tc>
          <w:tcPr>
            <w:tcW w:w="1701"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类型</w:t>
            </w:r>
          </w:p>
        </w:tc>
        <w:tc>
          <w:tcPr>
            <w:tcW w:w="2623"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4"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p>
        </w:tc>
        <w:tc>
          <w:tcPr>
            <w:tcW w:w="1068" w:type="dxa"/>
            <w:vAlign w:val="center"/>
          </w:tcPr>
          <w:p>
            <w:pPr>
              <w:topLinePunct/>
              <w:jc w:val="center"/>
              <w:rPr>
                <w:rFonts w:hint="eastAsia" w:ascii="华文中宋" w:hAnsi="华文中宋" w:eastAsia="华文中宋" w:cs="华文中宋"/>
                <w:color w:val="auto"/>
                <w:sz w:val="22"/>
                <w:szCs w:val="22"/>
              </w:rPr>
            </w:pPr>
          </w:p>
        </w:tc>
        <w:tc>
          <w:tcPr>
            <w:tcW w:w="1701" w:type="dxa"/>
            <w:gridSpan w:val="3"/>
            <w:vAlign w:val="center"/>
          </w:tcPr>
          <w:p>
            <w:pPr>
              <w:topLinePunct/>
              <w:jc w:val="center"/>
              <w:rPr>
                <w:rFonts w:hint="eastAsia" w:ascii="华文中宋" w:hAnsi="华文中宋" w:eastAsia="华文中宋" w:cs="华文中宋"/>
                <w:color w:val="auto"/>
                <w:sz w:val="22"/>
                <w:szCs w:val="22"/>
              </w:rPr>
            </w:pPr>
          </w:p>
        </w:tc>
        <w:tc>
          <w:tcPr>
            <w:tcW w:w="2623" w:type="dxa"/>
            <w:gridSpan w:val="3"/>
            <w:vAlign w:val="center"/>
          </w:tcPr>
          <w:p>
            <w:pPr>
              <w:topLinePun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4"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p>
        </w:tc>
        <w:tc>
          <w:tcPr>
            <w:tcW w:w="1068" w:type="dxa"/>
            <w:vAlign w:val="center"/>
          </w:tcPr>
          <w:p>
            <w:pPr>
              <w:topLinePunct/>
              <w:jc w:val="center"/>
              <w:rPr>
                <w:rFonts w:hint="eastAsia" w:ascii="华文中宋" w:hAnsi="华文中宋" w:eastAsia="华文中宋" w:cs="华文中宋"/>
                <w:color w:val="auto"/>
                <w:sz w:val="22"/>
                <w:szCs w:val="22"/>
              </w:rPr>
            </w:pPr>
          </w:p>
        </w:tc>
        <w:tc>
          <w:tcPr>
            <w:tcW w:w="1701" w:type="dxa"/>
            <w:gridSpan w:val="3"/>
            <w:vAlign w:val="center"/>
          </w:tcPr>
          <w:p>
            <w:pPr>
              <w:topLinePunct/>
              <w:jc w:val="center"/>
              <w:rPr>
                <w:rFonts w:hint="eastAsia" w:ascii="华文中宋" w:hAnsi="华文中宋" w:eastAsia="华文中宋" w:cs="华文中宋"/>
                <w:color w:val="auto"/>
                <w:sz w:val="22"/>
                <w:szCs w:val="22"/>
              </w:rPr>
            </w:pPr>
          </w:p>
        </w:tc>
        <w:tc>
          <w:tcPr>
            <w:tcW w:w="2623" w:type="dxa"/>
            <w:gridSpan w:val="3"/>
            <w:vAlign w:val="center"/>
          </w:tcPr>
          <w:p>
            <w:pPr>
              <w:topLinePun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2"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lang w:val="en-US" w:eastAsia="zh-CN"/>
              </w:rPr>
              <w:t>供应商取得的相关证书</w:t>
            </w:r>
          </w:p>
        </w:tc>
        <w:tc>
          <w:tcPr>
            <w:tcW w:w="1068" w:type="dxa"/>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等级</w:t>
            </w:r>
          </w:p>
        </w:tc>
        <w:tc>
          <w:tcPr>
            <w:tcW w:w="1701"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类型</w:t>
            </w:r>
          </w:p>
        </w:tc>
        <w:tc>
          <w:tcPr>
            <w:tcW w:w="2623" w:type="dxa"/>
            <w:gridSpan w:val="3"/>
            <w:vAlign w:val="center"/>
          </w:tcPr>
          <w:p>
            <w:pPr>
              <w:topLinePunct/>
              <w:jc w:val="center"/>
              <w:rPr>
                <w:rFonts w:hint="eastAsia" w:ascii="华文中宋" w:hAnsi="华文中宋" w:eastAsia="华文中宋" w:cs="华文中宋"/>
                <w:color w:val="auto"/>
                <w:sz w:val="22"/>
                <w:szCs w:val="22"/>
              </w:rPr>
            </w:pPr>
            <w:r>
              <w:rPr>
                <w:rFonts w:hint="eastAsia" w:ascii="华文中宋" w:hAnsi="华文中宋" w:eastAsia="华文中宋" w:cs="华文中宋"/>
                <w:color w:val="auto"/>
                <w:sz w:val="22"/>
                <w:szCs w:val="22"/>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2"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p>
        </w:tc>
        <w:tc>
          <w:tcPr>
            <w:tcW w:w="1068" w:type="dxa"/>
            <w:vAlign w:val="center"/>
          </w:tcPr>
          <w:p>
            <w:pPr>
              <w:topLinePunct/>
              <w:jc w:val="center"/>
              <w:rPr>
                <w:rFonts w:hint="eastAsia" w:ascii="华文中宋" w:hAnsi="华文中宋" w:eastAsia="华文中宋" w:cs="华文中宋"/>
                <w:color w:val="auto"/>
                <w:sz w:val="22"/>
                <w:szCs w:val="22"/>
              </w:rPr>
            </w:pPr>
          </w:p>
        </w:tc>
        <w:tc>
          <w:tcPr>
            <w:tcW w:w="1701" w:type="dxa"/>
            <w:gridSpan w:val="3"/>
            <w:vAlign w:val="center"/>
          </w:tcPr>
          <w:p>
            <w:pPr>
              <w:topLinePunct/>
              <w:jc w:val="center"/>
              <w:rPr>
                <w:rFonts w:hint="eastAsia" w:ascii="华文中宋" w:hAnsi="华文中宋" w:eastAsia="华文中宋" w:cs="华文中宋"/>
                <w:color w:val="auto"/>
                <w:sz w:val="22"/>
                <w:szCs w:val="22"/>
              </w:rPr>
            </w:pPr>
          </w:p>
        </w:tc>
        <w:tc>
          <w:tcPr>
            <w:tcW w:w="2623" w:type="dxa"/>
            <w:gridSpan w:val="3"/>
            <w:vAlign w:val="center"/>
          </w:tcPr>
          <w:p>
            <w:pPr>
              <w:topLinePunct/>
              <w:jc w:val="center"/>
              <w:rPr>
                <w:rFonts w:hint="eastAsia" w:ascii="华文中宋" w:hAnsi="华文中宋" w:eastAsia="华文中宋" w:cs="华文中宋"/>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trPr>
        <w:tc>
          <w:tcPr>
            <w:tcW w:w="3608" w:type="dxa"/>
            <w:gridSpan w:val="3"/>
            <w:vAlign w:val="center"/>
          </w:tcPr>
          <w:p>
            <w:pPr>
              <w:topLinePunct/>
              <w:jc w:val="center"/>
              <w:rPr>
                <w:rFonts w:hint="eastAsia" w:ascii="华文中宋" w:hAnsi="华文中宋" w:eastAsia="华文中宋" w:cs="华文中宋"/>
                <w:color w:val="auto"/>
                <w:sz w:val="22"/>
                <w:szCs w:val="22"/>
              </w:rPr>
            </w:pPr>
          </w:p>
        </w:tc>
        <w:tc>
          <w:tcPr>
            <w:tcW w:w="1068" w:type="dxa"/>
            <w:vAlign w:val="center"/>
          </w:tcPr>
          <w:p>
            <w:pPr>
              <w:topLinePunct/>
              <w:jc w:val="center"/>
              <w:rPr>
                <w:rFonts w:hint="eastAsia" w:ascii="华文中宋" w:hAnsi="华文中宋" w:eastAsia="华文中宋" w:cs="华文中宋"/>
                <w:color w:val="auto"/>
                <w:sz w:val="22"/>
                <w:szCs w:val="22"/>
              </w:rPr>
            </w:pPr>
          </w:p>
        </w:tc>
        <w:tc>
          <w:tcPr>
            <w:tcW w:w="1701" w:type="dxa"/>
            <w:gridSpan w:val="3"/>
            <w:vAlign w:val="center"/>
          </w:tcPr>
          <w:p>
            <w:pPr>
              <w:topLinePunct/>
              <w:jc w:val="center"/>
              <w:rPr>
                <w:rFonts w:hint="eastAsia" w:ascii="华文中宋" w:hAnsi="华文中宋" w:eastAsia="华文中宋" w:cs="华文中宋"/>
                <w:color w:val="auto"/>
                <w:sz w:val="22"/>
                <w:szCs w:val="22"/>
              </w:rPr>
            </w:pPr>
          </w:p>
        </w:tc>
        <w:tc>
          <w:tcPr>
            <w:tcW w:w="2623" w:type="dxa"/>
            <w:gridSpan w:val="3"/>
            <w:vAlign w:val="center"/>
          </w:tcPr>
          <w:p>
            <w:pPr>
              <w:topLinePunct/>
              <w:jc w:val="center"/>
              <w:rPr>
                <w:rFonts w:hint="eastAsia" w:ascii="华文中宋" w:hAnsi="华文中宋" w:eastAsia="华文中宋" w:cs="华文中宋"/>
                <w:color w:val="auto"/>
                <w:sz w:val="22"/>
                <w:szCs w:val="22"/>
              </w:rPr>
            </w:pPr>
          </w:p>
        </w:tc>
      </w:tr>
    </w:tbl>
    <w:p>
      <w:pPr>
        <w:adjustRightInd w:val="0"/>
        <w:snapToGrid w:val="0"/>
        <w:spacing w:beforeLines="50"/>
        <w:ind w:left="630" w:hanging="660" w:hangingChars="300"/>
        <w:rPr>
          <w:rFonts w:hint="eastAsia" w:ascii="华文中宋" w:hAnsi="华文中宋" w:eastAsia="华文中宋" w:cs="华文中宋"/>
          <w:b/>
          <w:sz w:val="28"/>
          <w:szCs w:val="21"/>
        </w:rPr>
      </w:pPr>
      <w:r>
        <w:rPr>
          <w:rFonts w:hint="eastAsia" w:ascii="华文中宋" w:hAnsi="华文中宋" w:eastAsia="华文中宋" w:cs="华文中宋"/>
          <w:color w:val="auto"/>
          <w:sz w:val="22"/>
          <w:szCs w:val="22"/>
        </w:rPr>
        <w:t>说明：企业类型中型、小型、微型；上年营业收入、资产总额应与财务报表中的数据一致， 金额单位为万元。</w:t>
      </w:r>
    </w:p>
    <w:p>
      <w:pPr>
        <w:pStyle w:val="14"/>
        <w:numPr>
          <w:ilvl w:val="0"/>
          <w:numId w:val="0"/>
        </w:numPr>
        <w:adjustRightInd w:val="0"/>
        <w:snapToGrid w:val="0"/>
        <w:spacing w:line="312" w:lineRule="auto"/>
        <w:ind w:leftChars="200"/>
        <w:jc w:val="center"/>
        <w:rPr>
          <w:rFonts w:hint="eastAsia" w:ascii="华文中宋" w:hAnsi="华文中宋" w:eastAsia="华文中宋" w:cs="华文中宋"/>
          <w:b/>
          <w:sz w:val="28"/>
          <w:szCs w:val="21"/>
          <w:lang w:val="en-US" w:eastAsia="zh-CN"/>
        </w:rPr>
      </w:pPr>
      <w:r>
        <w:rPr>
          <w:rFonts w:hint="eastAsia" w:ascii="华文中宋" w:hAnsi="华文中宋" w:eastAsia="华文中宋" w:cs="华文中宋"/>
          <w:b/>
          <w:sz w:val="28"/>
          <w:szCs w:val="21"/>
          <w:lang w:val="en-US" w:eastAsia="zh-CN"/>
        </w:rPr>
        <w:t>2、法定代表人（单位负责人）身份证明</w:t>
      </w:r>
    </w:p>
    <w:p>
      <w:pPr>
        <w:keepNext w:val="0"/>
        <w:keepLines w:val="0"/>
        <w:pageBreakBefore w:val="0"/>
        <w:widowControl w:val="0"/>
        <w:numPr>
          <w:ilvl w:val="0"/>
          <w:numId w:val="0"/>
        </w:numPr>
        <w:kinsoku/>
        <w:wordWrap/>
        <w:overflowPunct/>
        <w:topLinePunct w:val="0"/>
        <w:bidi w:val="0"/>
        <w:snapToGrid/>
        <w:spacing w:line="360" w:lineRule="auto"/>
        <w:ind w:leftChars="200"/>
        <w:textAlignment w:val="auto"/>
        <w:rPr>
          <w:rFonts w:hint="eastAsia" w:ascii="华文中宋" w:hAnsi="华文中宋" w:eastAsia="华文中宋" w:cs="华文中宋"/>
          <w:sz w:val="22"/>
          <w:szCs w:val="22"/>
          <w:lang w:val="en-US" w:eastAsia="zh-CN"/>
        </w:rPr>
      </w:pPr>
    </w:p>
    <w:p>
      <w:pPr>
        <w:keepNext w:val="0"/>
        <w:keepLines w:val="0"/>
        <w:pageBreakBefore w:val="0"/>
        <w:widowControl w:val="0"/>
        <w:numPr>
          <w:ilvl w:val="0"/>
          <w:numId w:val="0"/>
        </w:numPr>
        <w:kinsoku/>
        <w:wordWrap/>
        <w:overflowPunct/>
        <w:topLinePunct w:val="0"/>
        <w:bidi w:val="0"/>
        <w:snapToGrid/>
        <w:spacing w:line="480" w:lineRule="auto"/>
        <w:ind w:leftChars="200"/>
        <w:textAlignment w:val="auto"/>
        <w:rPr>
          <w:rFonts w:hint="eastAsia" w:ascii="华文中宋" w:hAnsi="华文中宋" w:eastAsia="华文中宋" w:cs="华文中宋"/>
          <w:sz w:val="22"/>
          <w:szCs w:val="22"/>
          <w:u w:val="single"/>
          <w:lang w:val="en-US" w:eastAsia="zh-CN"/>
        </w:rPr>
      </w:pPr>
      <w:r>
        <w:rPr>
          <w:rFonts w:hint="eastAsia" w:ascii="华文中宋" w:hAnsi="华文中宋" w:eastAsia="华文中宋" w:cs="华文中宋"/>
          <w:sz w:val="22"/>
          <w:szCs w:val="22"/>
          <w:lang w:val="en-US" w:eastAsia="zh-CN"/>
        </w:rPr>
        <w:t>供应商名称：</w:t>
      </w:r>
      <w:r>
        <w:rPr>
          <w:rFonts w:hint="eastAsia" w:ascii="华文中宋" w:hAnsi="华文中宋" w:eastAsia="华文中宋" w:cs="华文中宋"/>
          <w:sz w:val="22"/>
          <w:szCs w:val="22"/>
          <w:u w:val="single"/>
          <w:lang w:val="en-US" w:eastAsia="zh-CN"/>
        </w:rPr>
        <w:t xml:space="preserve">                         </w:t>
      </w:r>
    </w:p>
    <w:p>
      <w:pPr>
        <w:pStyle w:val="2"/>
        <w:keepNext w:val="0"/>
        <w:keepLines w:val="0"/>
        <w:pageBreakBefore w:val="0"/>
        <w:widowControl w:val="0"/>
        <w:kinsoku/>
        <w:wordWrap/>
        <w:overflowPunct/>
        <w:topLinePunct w:val="0"/>
        <w:bidi w:val="0"/>
        <w:snapToGrid/>
        <w:spacing w:line="480" w:lineRule="auto"/>
        <w:ind w:left="0" w:leftChars="0" w:firstLine="440" w:firstLineChars="200"/>
        <w:textAlignment w:val="auto"/>
        <w:rPr>
          <w:rFonts w:hint="eastAsia" w:ascii="华文中宋" w:hAnsi="华文中宋" w:eastAsia="华文中宋" w:cs="华文中宋"/>
          <w:sz w:val="22"/>
          <w:szCs w:val="22"/>
          <w:u w:val="single"/>
          <w:lang w:val="en-US" w:eastAsia="zh-CN"/>
        </w:rPr>
      </w:pPr>
      <w:r>
        <w:rPr>
          <w:rFonts w:hint="eastAsia" w:ascii="华文中宋" w:hAnsi="华文中宋" w:eastAsia="华文中宋" w:cs="华文中宋"/>
          <w:sz w:val="22"/>
          <w:szCs w:val="22"/>
          <w:lang w:val="en-US" w:eastAsia="zh-CN"/>
        </w:rPr>
        <w:t>统一社会信用代码：</w:t>
      </w:r>
      <w:r>
        <w:rPr>
          <w:rFonts w:hint="eastAsia" w:ascii="华文中宋" w:hAnsi="华文中宋" w:eastAsia="华文中宋" w:cs="华文中宋"/>
          <w:sz w:val="22"/>
          <w:szCs w:val="22"/>
          <w:u w:val="single"/>
          <w:lang w:val="en-US" w:eastAsia="zh-CN"/>
        </w:rPr>
        <w:t xml:space="preserve">                   </w:t>
      </w:r>
    </w:p>
    <w:p>
      <w:pPr>
        <w:keepNext w:val="0"/>
        <w:keepLines w:val="0"/>
        <w:pageBreakBefore w:val="0"/>
        <w:widowControl w:val="0"/>
        <w:kinsoku/>
        <w:wordWrap/>
        <w:overflowPunct/>
        <w:topLinePunct w:val="0"/>
        <w:bidi w:val="0"/>
        <w:snapToGrid/>
        <w:spacing w:line="480" w:lineRule="auto"/>
        <w:ind w:firstLine="440" w:firstLineChars="200"/>
        <w:textAlignment w:val="auto"/>
        <w:rPr>
          <w:rFonts w:hint="eastAsia" w:ascii="华文中宋" w:hAnsi="华文中宋" w:eastAsia="华文中宋" w:cs="华文中宋"/>
          <w:sz w:val="22"/>
          <w:szCs w:val="22"/>
          <w:lang w:val="en-US" w:eastAsia="zh-CN"/>
        </w:rPr>
      </w:pPr>
      <w:r>
        <w:rPr>
          <w:rFonts w:hint="eastAsia" w:ascii="华文中宋" w:hAnsi="华文中宋" w:eastAsia="华文中宋" w:cs="华文中宋"/>
          <w:sz w:val="22"/>
          <w:szCs w:val="22"/>
          <w:lang w:val="en-US" w:eastAsia="zh-CN"/>
        </w:rPr>
        <w:t>姓名：</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lang w:val="en-US" w:eastAsia="zh-CN"/>
        </w:rPr>
        <w:t>性别：</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lang w:val="en-US" w:eastAsia="zh-CN"/>
        </w:rPr>
        <w:t>年龄：</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lang w:val="en-US" w:eastAsia="zh-CN"/>
        </w:rPr>
        <w:t xml:space="preserve"> 职务：</w:t>
      </w:r>
      <w:r>
        <w:rPr>
          <w:rFonts w:hint="eastAsia" w:ascii="华文中宋" w:hAnsi="华文中宋" w:eastAsia="华文中宋" w:cs="华文中宋"/>
          <w:sz w:val="22"/>
          <w:szCs w:val="22"/>
          <w:u w:val="single"/>
          <w:lang w:val="en-US" w:eastAsia="zh-CN"/>
        </w:rPr>
        <w:t xml:space="preserve">        </w:t>
      </w:r>
      <w:r>
        <w:rPr>
          <w:rFonts w:hint="eastAsia" w:ascii="华文中宋" w:hAnsi="华文中宋" w:eastAsia="华文中宋" w:cs="华文中宋"/>
          <w:sz w:val="22"/>
          <w:szCs w:val="22"/>
          <w:lang w:val="en-US" w:eastAsia="zh-CN"/>
        </w:rPr>
        <w:t xml:space="preserve">系  </w:t>
      </w:r>
      <w:r>
        <w:rPr>
          <w:rFonts w:hint="eastAsia" w:ascii="华文中宋" w:hAnsi="华文中宋" w:eastAsia="华文中宋" w:cs="华文中宋"/>
          <w:sz w:val="22"/>
          <w:szCs w:val="22"/>
          <w:u w:val="single"/>
          <w:lang w:val="en-US" w:eastAsia="zh-CN"/>
        </w:rPr>
        <w:t xml:space="preserve">   （供应商名称）              </w:t>
      </w:r>
      <w:r>
        <w:rPr>
          <w:rFonts w:hint="eastAsia" w:ascii="华文中宋" w:hAnsi="华文中宋" w:eastAsia="华文中宋" w:cs="华文中宋"/>
          <w:sz w:val="22"/>
          <w:szCs w:val="22"/>
          <w:lang w:val="en-US" w:eastAsia="zh-CN"/>
        </w:rPr>
        <w:t>的法定代表人（单位负责人）。</w:t>
      </w:r>
    </w:p>
    <w:p>
      <w:pPr>
        <w:rPr>
          <w:rFonts w:hint="eastAsia" w:ascii="华文中宋" w:hAnsi="华文中宋" w:eastAsia="华文中宋" w:cs="华文中宋"/>
          <w:sz w:val="22"/>
          <w:szCs w:val="22"/>
          <w:lang w:val="en-US" w:eastAsia="zh-CN"/>
        </w:rPr>
      </w:pPr>
      <w:r>
        <w:rPr>
          <w:rFonts w:hint="eastAsia" w:ascii="华文中宋" w:hAnsi="华文中宋" w:eastAsia="华文中宋" w:cs="华文中宋"/>
          <w:sz w:val="22"/>
          <w:szCs w:val="22"/>
          <w:lang w:val="en-US" w:eastAsia="zh-CN"/>
        </w:rPr>
        <w:t xml:space="preserve">   特此证明。</w:t>
      </w:r>
    </w:p>
    <w:p>
      <w:pPr>
        <w:pStyle w:val="2"/>
        <w:rPr>
          <w:rFonts w:hint="eastAsia" w:ascii="华文中宋" w:hAnsi="华文中宋" w:eastAsia="华文中宋" w:cs="华文中宋"/>
          <w:sz w:val="22"/>
          <w:szCs w:val="22"/>
          <w:lang w:val="en-US" w:eastAsia="zh-CN"/>
        </w:rPr>
      </w:pPr>
    </w:p>
    <w:p>
      <w:pPr>
        <w:ind w:firstLine="220" w:firstLineChars="100"/>
        <w:rPr>
          <w:rFonts w:hint="eastAsia" w:ascii="华文中宋" w:hAnsi="华文中宋" w:eastAsia="华文中宋" w:cs="华文中宋"/>
          <w:sz w:val="22"/>
          <w:szCs w:val="22"/>
          <w:lang w:val="en-US" w:eastAsia="zh-CN"/>
        </w:rPr>
      </w:pPr>
      <w:r>
        <w:rPr>
          <w:rFonts w:hint="eastAsia" w:ascii="华文中宋" w:hAnsi="华文中宋" w:eastAsia="华文中宋" w:cs="华文中宋"/>
          <w:sz w:val="22"/>
          <w:szCs w:val="22"/>
          <w:lang w:val="en-US" w:eastAsia="zh-CN"/>
        </w:rPr>
        <w:t>附：法定代表人身份证复印件</w:t>
      </w:r>
    </w:p>
    <w:tbl>
      <w:tblPr>
        <w:tblStyle w:val="29"/>
        <w:tblW w:w="6525" w:type="dxa"/>
        <w:tblInd w:w="1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2" w:hRule="atLeast"/>
        </w:trPr>
        <w:tc>
          <w:tcPr>
            <w:tcW w:w="6525" w:type="dxa"/>
          </w:tcPr>
          <w:p>
            <w:pPr>
              <w:pStyle w:val="2"/>
              <w:rPr>
                <w:rFonts w:hint="eastAsia" w:ascii="华文中宋" w:hAnsi="华文中宋" w:eastAsia="华文中宋" w:cs="华文中宋"/>
                <w:vertAlign w:val="baseline"/>
                <w:lang w:val="en-US" w:eastAsia="zh-CN"/>
              </w:rPr>
            </w:pPr>
          </w:p>
          <w:p>
            <w:pPr>
              <w:pStyle w:val="2"/>
              <w:rPr>
                <w:rFonts w:hint="eastAsia" w:ascii="华文中宋" w:hAnsi="华文中宋" w:eastAsia="华文中宋" w:cs="华文中宋"/>
                <w:vertAlign w:val="baseline"/>
                <w:lang w:val="en-US" w:eastAsia="zh-CN"/>
              </w:rPr>
            </w:pPr>
          </w:p>
          <w:p>
            <w:pPr>
              <w:pStyle w:val="2"/>
              <w:rPr>
                <w:rFonts w:hint="eastAsia" w:ascii="华文中宋" w:hAnsi="华文中宋" w:eastAsia="华文中宋" w:cs="华文中宋"/>
                <w:vertAlign w:val="baseline"/>
                <w:lang w:val="en-US" w:eastAsia="zh-CN"/>
              </w:rPr>
            </w:pPr>
          </w:p>
          <w:p>
            <w:pPr>
              <w:pStyle w:val="2"/>
              <w:rPr>
                <w:rFonts w:hint="eastAsia" w:ascii="华文中宋" w:hAnsi="华文中宋" w:eastAsia="华文中宋" w:cs="华文中宋"/>
                <w:vertAlign w:val="baseline"/>
                <w:lang w:val="en-US" w:eastAsia="zh-CN"/>
              </w:rPr>
            </w:pPr>
          </w:p>
          <w:p>
            <w:pPr>
              <w:pStyle w:val="2"/>
              <w:ind w:firstLine="1100" w:firstLineChars="500"/>
              <w:rPr>
                <w:rFonts w:hint="eastAsia" w:ascii="华文中宋" w:hAnsi="华文中宋" w:eastAsia="华文中宋" w:cs="华文中宋"/>
                <w:vertAlign w:val="baseline"/>
                <w:lang w:val="en-US" w:eastAsia="zh-CN"/>
              </w:rPr>
            </w:pPr>
            <w:r>
              <w:rPr>
                <w:rFonts w:hint="eastAsia" w:ascii="华文中宋" w:hAnsi="华文中宋" w:eastAsia="华文中宋" w:cs="华文中宋"/>
                <w:kern w:val="2"/>
                <w:sz w:val="22"/>
                <w:szCs w:val="22"/>
                <w:lang w:val="en-US" w:eastAsia="zh-CN" w:bidi="ar-SA"/>
              </w:rPr>
              <w:t>法定代表人身份证复印件粘贴处</w:t>
            </w:r>
          </w:p>
        </w:tc>
      </w:tr>
    </w:tbl>
    <w:p>
      <w:pPr>
        <w:pStyle w:val="2"/>
        <w:rPr>
          <w:rFonts w:hint="eastAsia" w:ascii="华文中宋" w:hAnsi="华文中宋" w:eastAsia="华文中宋" w:cs="华文中宋"/>
          <w:lang w:val="en-US" w:eastAsia="zh-CN"/>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adjustRightInd w:val="0"/>
        <w:snapToGrid w:val="0"/>
        <w:spacing w:line="312" w:lineRule="auto"/>
        <w:jc w:val="left"/>
        <w:rPr>
          <w:rFonts w:hint="eastAsia" w:ascii="华文中宋" w:hAnsi="华文中宋" w:eastAsia="华文中宋" w:cs="华文中宋"/>
          <w:b/>
          <w:sz w:val="28"/>
          <w:szCs w:val="21"/>
        </w:rPr>
      </w:pPr>
    </w:p>
    <w:p>
      <w:pPr>
        <w:pStyle w:val="1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华文中宋" w:hAnsi="华文中宋" w:eastAsia="华文中宋" w:cs="华文中宋"/>
          <w:b w:val="0"/>
          <w:bCs/>
          <w:sz w:val="22"/>
          <w:szCs w:val="22"/>
          <w:lang w:val="en-US" w:eastAsia="zh-CN"/>
        </w:rPr>
      </w:pPr>
      <w:r>
        <w:rPr>
          <w:rFonts w:hint="eastAsia" w:ascii="华文中宋" w:hAnsi="华文中宋" w:eastAsia="华文中宋" w:cs="华文中宋"/>
          <w:b/>
          <w:sz w:val="28"/>
          <w:szCs w:val="21"/>
          <w:lang w:val="en-US" w:eastAsia="zh-CN"/>
        </w:rPr>
        <w:t xml:space="preserve">                    </w:t>
      </w:r>
      <w:r>
        <w:rPr>
          <w:rFonts w:hint="eastAsia" w:ascii="华文中宋" w:hAnsi="华文中宋" w:eastAsia="华文中宋" w:cs="华文中宋"/>
          <w:b w:val="0"/>
          <w:bCs/>
          <w:sz w:val="22"/>
          <w:szCs w:val="22"/>
          <w:lang w:val="en-US" w:eastAsia="zh-CN"/>
        </w:rPr>
        <w:t xml:space="preserve">    响应人名称：              （盖单位章）</w:t>
      </w:r>
    </w:p>
    <w:p>
      <w:pPr>
        <w:pStyle w:val="1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华文中宋" w:hAnsi="华文中宋" w:eastAsia="华文中宋" w:cs="华文中宋"/>
          <w:b w:val="0"/>
          <w:bCs/>
          <w:sz w:val="22"/>
          <w:szCs w:val="22"/>
          <w:lang w:val="en-US" w:eastAsia="zh-CN"/>
        </w:rPr>
      </w:pPr>
      <w:r>
        <w:rPr>
          <w:rFonts w:hint="eastAsia" w:ascii="华文中宋" w:hAnsi="华文中宋" w:eastAsia="华文中宋" w:cs="华文中宋"/>
          <w:b w:val="0"/>
          <w:bCs/>
          <w:sz w:val="22"/>
          <w:szCs w:val="22"/>
          <w:lang w:val="en-US" w:eastAsia="zh-CN"/>
        </w:rPr>
        <w:t xml:space="preserve">                               日期：     年    月   日</w:t>
      </w:r>
    </w:p>
    <w:p>
      <w:pPr>
        <w:pStyle w:val="14"/>
        <w:adjustRightInd w:val="0"/>
        <w:snapToGrid w:val="0"/>
        <w:spacing w:line="312" w:lineRule="auto"/>
        <w:jc w:val="left"/>
        <w:rPr>
          <w:rFonts w:hint="eastAsia" w:ascii="华文中宋" w:hAnsi="华文中宋" w:eastAsia="华文中宋" w:cs="华文中宋"/>
          <w:b w:val="0"/>
          <w:bCs/>
          <w:sz w:val="22"/>
          <w:szCs w:val="22"/>
        </w:rPr>
      </w:pPr>
    </w:p>
    <w:p>
      <w:pPr>
        <w:pStyle w:val="14"/>
        <w:adjustRightInd w:val="0"/>
        <w:snapToGrid w:val="0"/>
        <w:spacing w:line="312" w:lineRule="auto"/>
        <w:jc w:val="left"/>
        <w:rPr>
          <w:rFonts w:hint="eastAsia" w:ascii="华文中宋" w:hAnsi="华文中宋" w:eastAsia="华文中宋" w:cs="华文中宋"/>
          <w:b w:val="0"/>
          <w:bCs/>
          <w:sz w:val="22"/>
          <w:szCs w:val="22"/>
          <w:lang w:val="en-US" w:eastAsia="zh-CN"/>
        </w:rPr>
      </w:pPr>
      <w:r>
        <w:rPr>
          <w:rFonts w:hint="eastAsia" w:ascii="华文中宋" w:hAnsi="华文中宋" w:eastAsia="华文中宋" w:cs="华文中宋"/>
          <w:b w:val="0"/>
          <w:bCs/>
          <w:sz w:val="22"/>
          <w:szCs w:val="22"/>
          <w:lang w:val="en-US" w:eastAsia="zh-CN"/>
        </w:rPr>
        <w:t xml:space="preserve">   说明：仅限法定代表人参见磋商时提供</w:t>
      </w:r>
    </w:p>
    <w:p>
      <w:pPr>
        <w:pStyle w:val="14"/>
        <w:adjustRightInd w:val="0"/>
        <w:snapToGrid w:val="0"/>
        <w:spacing w:line="312" w:lineRule="auto"/>
        <w:jc w:val="center"/>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sz w:val="28"/>
          <w:szCs w:val="28"/>
          <w:highlight w:val="none"/>
        </w:rPr>
        <w:t>3</w:t>
      </w:r>
      <w:r>
        <w:rPr>
          <w:rFonts w:hint="eastAsia" w:ascii="华文中宋" w:hAnsi="华文中宋" w:eastAsia="华文中宋" w:cs="华文中宋"/>
          <w:b/>
          <w:bCs/>
          <w:sz w:val="28"/>
          <w:szCs w:val="28"/>
          <w:highlight w:val="none"/>
          <w:lang w:eastAsia="zh-CN"/>
        </w:rPr>
        <w:t>、</w:t>
      </w:r>
      <w:r>
        <w:rPr>
          <w:rFonts w:hint="eastAsia" w:ascii="华文中宋" w:hAnsi="华文中宋" w:eastAsia="华文中宋" w:cs="华文中宋"/>
          <w:b/>
          <w:bCs/>
          <w:sz w:val="28"/>
          <w:szCs w:val="28"/>
          <w:highlight w:val="none"/>
        </w:rPr>
        <w:t>法定代表人授权委托书</w:t>
      </w:r>
    </w:p>
    <w:p>
      <w:pPr>
        <w:spacing w:line="400" w:lineRule="exact"/>
        <w:ind w:firstLine="440" w:firstLineChars="200"/>
        <w:rPr>
          <w:rFonts w:hint="eastAsia" w:ascii="华文中宋" w:hAnsi="华文中宋" w:eastAsia="华文中宋" w:cs="华文中宋"/>
          <w:sz w:val="22"/>
          <w:szCs w:val="22"/>
          <w:highlight w:val="none"/>
        </w:rPr>
      </w:pPr>
    </w:p>
    <w:p>
      <w:pPr>
        <w:spacing w:line="360" w:lineRule="auto"/>
        <w:ind w:firstLine="440" w:firstLineChars="20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lang w:val="zh-CN"/>
        </w:rPr>
        <w:t>本人</w:t>
      </w:r>
      <w:r>
        <w:rPr>
          <w:rFonts w:hint="eastAsia" w:ascii="华文中宋" w:hAnsi="华文中宋" w:eastAsia="华文中宋" w:cs="华文中宋"/>
          <w:sz w:val="22"/>
          <w:szCs w:val="22"/>
          <w:highlight w:val="none"/>
          <w:u w:val="single"/>
          <w:lang w:val="zh-CN"/>
        </w:rPr>
        <w:t xml:space="preserve">          </w:t>
      </w:r>
      <w:r>
        <w:rPr>
          <w:rFonts w:hint="eastAsia" w:ascii="华文中宋" w:hAnsi="华文中宋" w:eastAsia="华文中宋" w:cs="华文中宋"/>
          <w:sz w:val="22"/>
          <w:szCs w:val="22"/>
          <w:highlight w:val="none"/>
          <w:lang w:val="zh-CN"/>
        </w:rPr>
        <w:t>（姓名）系</w:t>
      </w:r>
      <w:r>
        <w:rPr>
          <w:rFonts w:hint="eastAsia" w:ascii="华文中宋" w:hAnsi="华文中宋" w:eastAsia="华文中宋" w:cs="华文中宋"/>
          <w:sz w:val="22"/>
          <w:szCs w:val="22"/>
          <w:highlight w:val="none"/>
          <w:u w:val="single"/>
          <w:lang w:val="zh-CN"/>
        </w:rPr>
        <w:t xml:space="preserve">              </w:t>
      </w:r>
      <w:r>
        <w:rPr>
          <w:rFonts w:hint="eastAsia" w:ascii="华文中宋" w:hAnsi="华文中宋" w:eastAsia="华文中宋" w:cs="华文中宋"/>
          <w:sz w:val="22"/>
          <w:szCs w:val="22"/>
          <w:highlight w:val="none"/>
          <w:lang w:val="zh-CN"/>
        </w:rPr>
        <w:t>（供应商名称）的法定代表人（单位负责人），</w:t>
      </w:r>
      <w:r>
        <w:rPr>
          <w:rFonts w:hint="eastAsia" w:ascii="华文中宋" w:hAnsi="华文中宋" w:eastAsia="华文中宋" w:cs="华文中宋"/>
          <w:sz w:val="22"/>
          <w:szCs w:val="22"/>
          <w:highlight w:val="none"/>
          <w:u w:val="single"/>
          <w:lang w:val="zh-CN"/>
        </w:rPr>
        <w:t xml:space="preserve">             </w:t>
      </w:r>
      <w:r>
        <w:rPr>
          <w:rFonts w:hint="eastAsia" w:ascii="华文中宋" w:hAnsi="华文中宋" w:eastAsia="华文中宋" w:cs="华文中宋"/>
          <w:sz w:val="22"/>
          <w:szCs w:val="22"/>
          <w:highlight w:val="none"/>
          <w:lang w:val="zh-CN"/>
        </w:rPr>
        <w:t>现委托</w:t>
      </w:r>
      <w:r>
        <w:rPr>
          <w:rFonts w:hint="eastAsia" w:ascii="华文中宋" w:hAnsi="华文中宋" w:eastAsia="华文中宋" w:cs="华文中宋"/>
          <w:sz w:val="22"/>
          <w:szCs w:val="22"/>
          <w:highlight w:val="none"/>
          <w:u w:val="single"/>
          <w:lang w:val="zh-CN"/>
        </w:rPr>
        <w:t xml:space="preserve">           </w:t>
      </w:r>
      <w:r>
        <w:rPr>
          <w:rFonts w:hint="eastAsia" w:ascii="华文中宋" w:hAnsi="华文中宋" w:eastAsia="华文中宋" w:cs="华文中宋"/>
          <w:sz w:val="22"/>
          <w:szCs w:val="22"/>
          <w:highlight w:val="none"/>
          <w:lang w:val="zh-CN"/>
        </w:rPr>
        <w:t>（姓名）为我方代理人。代理人根据授权，以我方的名义签署、澄清确认、递交、撤回、修改</w:t>
      </w:r>
      <w:r>
        <w:rPr>
          <w:rFonts w:hint="eastAsia" w:ascii="华文中宋" w:hAnsi="华文中宋" w:eastAsia="华文中宋" w:cs="华文中宋"/>
          <w:sz w:val="22"/>
          <w:szCs w:val="22"/>
          <w:highlight w:val="none"/>
          <w:u w:val="single"/>
          <w:lang w:val="zh-CN"/>
        </w:rPr>
        <w:t xml:space="preserve">         </w:t>
      </w:r>
      <w:r>
        <w:rPr>
          <w:rFonts w:hint="eastAsia" w:ascii="华文中宋" w:hAnsi="华文中宋" w:eastAsia="华文中宋" w:cs="华文中宋"/>
          <w:sz w:val="22"/>
          <w:szCs w:val="22"/>
          <w:highlight w:val="none"/>
          <w:lang w:val="zh-CN"/>
        </w:rPr>
        <w:t>（采购项目）投标文件、签订合同和全权处理一切与之有关的事宜，</w:t>
      </w:r>
      <w:r>
        <w:rPr>
          <w:rFonts w:hint="eastAsia" w:ascii="华文中宋" w:hAnsi="华文中宋" w:eastAsia="华文中宋" w:cs="华文中宋"/>
          <w:kern w:val="0"/>
          <w:sz w:val="22"/>
          <w:szCs w:val="22"/>
          <w:highlight w:val="none"/>
        </w:rPr>
        <w:t>其法律后果由我方承担。</w:t>
      </w:r>
    </w:p>
    <w:p>
      <w:pPr>
        <w:spacing w:line="480" w:lineRule="auto"/>
        <w:ind w:firstLine="440" w:firstLineChars="20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lang w:val="zh-CN"/>
        </w:rPr>
        <w:t>委托期限</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年</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月</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日至</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年</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月</w:t>
      </w:r>
      <w:r>
        <w:rPr>
          <w:rFonts w:hint="eastAsia" w:ascii="华文中宋" w:hAnsi="华文中宋" w:eastAsia="华文中宋" w:cs="华文中宋"/>
          <w:sz w:val="22"/>
          <w:szCs w:val="22"/>
          <w:highlight w:val="none"/>
        </w:rPr>
        <w:t xml:space="preserve">   </w:t>
      </w:r>
      <w:r>
        <w:rPr>
          <w:rFonts w:hint="eastAsia" w:ascii="华文中宋" w:hAnsi="华文中宋" w:eastAsia="华文中宋" w:cs="华文中宋"/>
          <w:sz w:val="22"/>
          <w:szCs w:val="22"/>
          <w:highlight w:val="none"/>
          <w:lang w:val="zh-CN"/>
        </w:rPr>
        <w:t>日。</w:t>
      </w:r>
    </w:p>
    <w:p>
      <w:pPr>
        <w:spacing w:line="480" w:lineRule="auto"/>
        <w:ind w:firstLine="440" w:firstLineChars="20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rPr>
        <w:t>代理人无转委托权。</w:t>
      </w:r>
    </w:p>
    <w:p>
      <w:pPr>
        <w:spacing w:line="360" w:lineRule="auto"/>
        <w:ind w:firstLine="440" w:firstLineChars="200"/>
        <w:rPr>
          <w:rFonts w:hint="eastAsia" w:ascii="华文中宋" w:hAnsi="华文中宋" w:eastAsia="华文中宋" w:cs="华文中宋"/>
          <w:sz w:val="22"/>
          <w:szCs w:val="22"/>
          <w:highlight w:val="none"/>
          <w:u w:val="single"/>
        </w:rPr>
      </w:pPr>
      <w:r>
        <w:rPr>
          <w:rFonts w:hint="eastAsia" w:ascii="华文中宋" w:hAnsi="华文中宋" w:eastAsia="华文中宋" w:cs="华文中宋"/>
          <w:sz w:val="22"/>
          <w:szCs w:val="22"/>
          <w:highlight w:val="none"/>
          <w:lang w:val="zh-CN"/>
        </w:rPr>
        <w:t>附：法定代表人（单位负责人）身份证复印件</w:t>
      </w:r>
      <w:r>
        <w:rPr>
          <w:rFonts w:hint="eastAsia" w:ascii="华文中宋" w:hAnsi="华文中宋" w:eastAsia="华文中宋" w:cs="华文中宋"/>
          <w:sz w:val="22"/>
          <w:szCs w:val="22"/>
          <w:highlight w:val="none"/>
        </w:rPr>
        <w:t>、</w:t>
      </w:r>
      <w:r>
        <w:rPr>
          <w:rFonts w:hint="eastAsia" w:ascii="华文中宋" w:hAnsi="华文中宋" w:eastAsia="华文中宋" w:cs="华文中宋"/>
          <w:sz w:val="22"/>
          <w:szCs w:val="22"/>
          <w:highlight w:val="none"/>
          <w:lang w:val="zh-CN"/>
        </w:rPr>
        <w:t>委托代理人身份证复印件</w:t>
      </w:r>
    </w:p>
    <w:tbl>
      <w:tblPr>
        <w:tblStyle w:val="28"/>
        <w:tblW w:w="7996" w:type="dxa"/>
        <w:tblInd w:w="540" w:type="dxa"/>
        <w:tblLayout w:type="fixed"/>
        <w:tblCellMar>
          <w:top w:w="0" w:type="dxa"/>
          <w:left w:w="108" w:type="dxa"/>
          <w:bottom w:w="0" w:type="dxa"/>
          <w:right w:w="108" w:type="dxa"/>
        </w:tblCellMar>
      </w:tblPr>
      <w:tblGrid>
        <w:gridCol w:w="4081"/>
        <w:gridCol w:w="3915"/>
      </w:tblGrid>
      <w:tr>
        <w:tblPrEx>
          <w:tblLayout w:type="fixed"/>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华文中宋" w:hAnsi="华文中宋" w:eastAsia="华文中宋" w:cs="华文中宋"/>
                <w:sz w:val="22"/>
                <w:szCs w:val="22"/>
                <w:highlight w:val="none"/>
                <w:u w:val="single"/>
              </w:rPr>
            </w:pPr>
            <w:r>
              <w:rPr>
                <w:rFonts w:hint="eastAsia" w:ascii="华文中宋" w:hAnsi="华文中宋" w:eastAsia="华文中宋" w:cs="华文中宋"/>
                <w:sz w:val="22"/>
                <w:szCs w:val="22"/>
                <w:highlight w:val="none"/>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华文中宋" w:hAnsi="华文中宋" w:eastAsia="华文中宋" w:cs="华文中宋"/>
                <w:sz w:val="22"/>
                <w:szCs w:val="22"/>
                <w:highlight w:val="none"/>
                <w:u w:val="single"/>
              </w:rPr>
            </w:pPr>
            <w:r>
              <w:rPr>
                <w:rFonts w:hint="eastAsia" w:ascii="华文中宋" w:hAnsi="华文中宋" w:eastAsia="华文中宋" w:cs="华文中宋"/>
                <w:sz w:val="22"/>
                <w:szCs w:val="22"/>
                <w:highlight w:val="none"/>
                <w:lang w:val="zh-CN"/>
              </w:rPr>
              <w:t>委托代理人身份证复印件</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中宋" w:hAnsi="华文中宋" w:eastAsia="华文中宋" w:cs="华文中宋"/>
          <w:sz w:val="22"/>
          <w:szCs w:val="22"/>
          <w:highlight w:val="none"/>
        </w:rPr>
      </w:pPr>
    </w:p>
    <w:p>
      <w:pPr>
        <w:ind w:firstLine="2970" w:firstLineChars="135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lang w:val="en-US" w:eastAsia="zh-CN"/>
        </w:rPr>
        <w:t>响应人</w:t>
      </w:r>
      <w:r>
        <w:rPr>
          <w:rFonts w:hint="eastAsia" w:ascii="华文中宋" w:hAnsi="华文中宋" w:eastAsia="华文中宋" w:cs="华文中宋"/>
          <w:sz w:val="22"/>
          <w:szCs w:val="22"/>
          <w:highlight w:val="none"/>
        </w:rPr>
        <w:t>：</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 xml:space="preserve">（盖单位章） </w:t>
      </w:r>
    </w:p>
    <w:p>
      <w:pPr>
        <w:ind w:firstLine="2970" w:firstLineChars="135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rPr>
        <w:t xml:space="preserve">法定代表人（单位负责人）: </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（签字</w:t>
      </w:r>
      <w:r>
        <w:rPr>
          <w:rFonts w:hint="eastAsia" w:ascii="华文中宋" w:hAnsi="华文中宋" w:eastAsia="华文中宋" w:cs="华文中宋"/>
          <w:sz w:val="22"/>
          <w:szCs w:val="22"/>
          <w:highlight w:val="none"/>
          <w:lang w:val="en-US" w:eastAsia="zh-Hans"/>
        </w:rPr>
        <w:t>或盖章</w:t>
      </w:r>
      <w:r>
        <w:rPr>
          <w:rFonts w:hint="eastAsia" w:ascii="华文中宋" w:hAnsi="华文中宋" w:eastAsia="华文中宋" w:cs="华文中宋"/>
          <w:sz w:val="22"/>
          <w:szCs w:val="22"/>
          <w:highlight w:val="none"/>
        </w:rPr>
        <w:t>）</w:t>
      </w:r>
    </w:p>
    <w:p>
      <w:pPr>
        <w:ind w:firstLine="2970" w:firstLineChars="1350"/>
        <w:jc w:val="left"/>
        <w:rPr>
          <w:rFonts w:hint="eastAsia" w:ascii="华文中宋" w:hAnsi="华文中宋" w:eastAsia="华文中宋" w:cs="华文中宋"/>
          <w:sz w:val="22"/>
          <w:szCs w:val="22"/>
          <w:highlight w:val="none"/>
          <w:u w:val="single"/>
        </w:rPr>
      </w:pPr>
      <w:r>
        <w:rPr>
          <w:rFonts w:hint="eastAsia" w:ascii="华文中宋" w:hAnsi="华文中宋" w:eastAsia="华文中宋" w:cs="华文中宋"/>
          <w:sz w:val="22"/>
          <w:szCs w:val="22"/>
          <w:highlight w:val="none"/>
        </w:rPr>
        <w:t>身 份 证 号：</w:t>
      </w:r>
      <w:r>
        <w:rPr>
          <w:rFonts w:hint="eastAsia" w:ascii="华文中宋" w:hAnsi="华文中宋" w:eastAsia="华文中宋" w:cs="华文中宋"/>
          <w:sz w:val="22"/>
          <w:szCs w:val="22"/>
          <w:highlight w:val="none"/>
          <w:u w:val="single"/>
        </w:rPr>
        <w:t xml:space="preserve">                         </w:t>
      </w:r>
    </w:p>
    <w:p>
      <w:pPr>
        <w:ind w:firstLine="2970" w:firstLineChars="1350"/>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rPr>
        <w:t>委托代理人：</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 xml:space="preserve"> （签字）     </w:t>
      </w:r>
    </w:p>
    <w:p>
      <w:pPr>
        <w:ind w:firstLine="2970" w:firstLineChars="1350"/>
        <w:jc w:val="left"/>
        <w:rPr>
          <w:rFonts w:hint="eastAsia" w:ascii="华文中宋" w:hAnsi="华文中宋" w:eastAsia="华文中宋" w:cs="华文中宋"/>
          <w:sz w:val="22"/>
          <w:szCs w:val="22"/>
          <w:highlight w:val="none"/>
        </w:rPr>
      </w:pPr>
      <w:r>
        <w:rPr>
          <w:rFonts w:hint="eastAsia" w:ascii="华文中宋" w:hAnsi="华文中宋" w:eastAsia="华文中宋" w:cs="华文中宋"/>
          <w:sz w:val="22"/>
          <w:szCs w:val="22"/>
          <w:highlight w:val="none"/>
        </w:rPr>
        <w:t>身 份 证 号：</w:t>
      </w:r>
      <w:r>
        <w:rPr>
          <w:rFonts w:hint="eastAsia" w:ascii="华文中宋" w:hAnsi="华文中宋" w:eastAsia="华文中宋" w:cs="华文中宋"/>
          <w:sz w:val="22"/>
          <w:szCs w:val="22"/>
          <w:highlight w:val="none"/>
          <w:u w:val="single"/>
        </w:rPr>
        <w:t xml:space="preserve">                          </w:t>
      </w:r>
    </w:p>
    <w:p>
      <w:pPr>
        <w:ind w:firstLine="2860" w:firstLineChars="1300"/>
        <w:rPr>
          <w:rFonts w:hint="eastAsia" w:ascii="华文中宋" w:hAnsi="华文中宋" w:eastAsia="华文中宋" w:cs="华文中宋"/>
          <w:sz w:val="22"/>
          <w:szCs w:val="22"/>
          <w:highlight w:val="none"/>
          <w:lang w:val="zh-CN"/>
        </w:rPr>
      </w:pPr>
      <w:r>
        <w:rPr>
          <w:rFonts w:hint="eastAsia" w:ascii="华文中宋" w:hAnsi="华文中宋" w:eastAsia="华文中宋" w:cs="华文中宋"/>
          <w:sz w:val="22"/>
          <w:szCs w:val="22"/>
          <w:highlight w:val="none"/>
        </w:rPr>
        <w:t xml:space="preserve"> 授权委托日期：20</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 xml:space="preserve"> 年</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u w:val="single"/>
          <w:lang w:val="en-US" w:eastAsia="zh-CN"/>
        </w:rPr>
        <w:t xml:space="preserve"> </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 xml:space="preserve"> 月</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u w:val="single"/>
          <w:lang w:val="en-US" w:eastAsia="zh-CN"/>
        </w:rPr>
        <w:t xml:space="preserve"> </w:t>
      </w:r>
      <w:r>
        <w:rPr>
          <w:rFonts w:hint="eastAsia" w:ascii="华文中宋" w:hAnsi="华文中宋" w:eastAsia="华文中宋" w:cs="华文中宋"/>
          <w:sz w:val="22"/>
          <w:szCs w:val="22"/>
          <w:highlight w:val="none"/>
          <w:u w:val="single"/>
        </w:rPr>
        <w:t xml:space="preserve"> </w:t>
      </w:r>
      <w:r>
        <w:rPr>
          <w:rFonts w:hint="eastAsia" w:ascii="华文中宋" w:hAnsi="华文中宋" w:eastAsia="华文中宋" w:cs="华文中宋"/>
          <w:sz w:val="22"/>
          <w:szCs w:val="22"/>
          <w:highlight w:val="none"/>
        </w:rPr>
        <w:t xml:space="preserve"> 日</w:t>
      </w:r>
    </w:p>
    <w:p>
      <w:pPr>
        <w:ind w:firstLine="440" w:firstLineChars="200"/>
        <w:rPr>
          <w:rFonts w:hint="eastAsia" w:ascii="华文中宋" w:hAnsi="华文中宋" w:eastAsia="华文中宋" w:cs="华文中宋"/>
          <w:sz w:val="22"/>
          <w:szCs w:val="22"/>
          <w:highlight w:val="none"/>
          <w:lang w:val="zh-CN"/>
        </w:rPr>
      </w:pPr>
    </w:p>
    <w:p>
      <w:pPr>
        <w:rPr>
          <w:rFonts w:hint="eastAsia" w:ascii="华文中宋" w:hAnsi="华文中宋" w:eastAsia="华文中宋" w:cs="华文中宋"/>
          <w:b/>
          <w:sz w:val="28"/>
          <w:szCs w:val="21"/>
        </w:rPr>
      </w:pPr>
      <w:r>
        <w:rPr>
          <w:rFonts w:hint="eastAsia" w:ascii="华文中宋" w:hAnsi="华文中宋" w:eastAsia="华文中宋" w:cs="华文中宋"/>
          <w:sz w:val="22"/>
          <w:szCs w:val="22"/>
          <w:highlight w:val="none"/>
          <w:lang w:val="zh-CN"/>
        </w:rPr>
        <w:t>说明：仅限委托代理人参加</w:t>
      </w:r>
      <w:r>
        <w:rPr>
          <w:rFonts w:hint="eastAsia" w:ascii="华文中宋" w:hAnsi="华文中宋" w:eastAsia="华文中宋" w:cs="华文中宋"/>
          <w:sz w:val="22"/>
          <w:szCs w:val="22"/>
          <w:highlight w:val="none"/>
          <w:lang w:val="en-US" w:eastAsia="zh-CN"/>
        </w:rPr>
        <w:t>磋商</w:t>
      </w:r>
      <w:r>
        <w:rPr>
          <w:rFonts w:hint="eastAsia" w:ascii="华文中宋" w:hAnsi="华文中宋" w:eastAsia="华文中宋" w:cs="华文中宋"/>
          <w:sz w:val="22"/>
          <w:szCs w:val="22"/>
          <w:highlight w:val="none"/>
          <w:lang w:val="zh-CN"/>
        </w:rPr>
        <w:t>时提供。</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r>
        <w:rPr>
          <w:rFonts w:hint="eastAsia" w:ascii="华文中宋" w:hAnsi="华文中宋" w:eastAsia="华文中宋" w:cs="华文中宋"/>
          <w:bCs/>
          <w:sz w:val="22"/>
          <w:szCs w:val="18"/>
          <w:lang w:val="en-US" w:eastAsia="zh-CN"/>
        </w:rPr>
        <w:t>4</w:t>
      </w:r>
      <w:r>
        <w:rPr>
          <w:rFonts w:hint="eastAsia" w:ascii="华文中宋" w:hAnsi="华文中宋" w:eastAsia="华文中宋" w:cs="华文中宋"/>
          <w:bCs/>
          <w:sz w:val="22"/>
          <w:szCs w:val="18"/>
        </w:rPr>
        <w:t>、具有独立承担民事责任能力的法人、其他组织或自然人，并出具合法有效的营业执照或事业单位法人证书等国家规定的相关证明，自然人参与的提供其身份证明。</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材料应清晰可辨认并</w:t>
      </w:r>
      <w:r>
        <w:rPr>
          <w:rFonts w:hint="eastAsia" w:ascii="华文中宋" w:hAnsi="华文中宋" w:eastAsia="华文中宋" w:cs="华文中宋"/>
          <w:bCs/>
          <w:sz w:val="22"/>
          <w:szCs w:val="18"/>
          <w:highlight w:val="none"/>
          <w:u w:val="double"/>
        </w:rPr>
        <w:t>加盖公章）</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u w:val="double"/>
        </w:rPr>
      </w:pPr>
      <w:r>
        <w:rPr>
          <w:rFonts w:hint="eastAsia" w:ascii="华文中宋" w:hAnsi="华文中宋" w:eastAsia="华文中宋" w:cs="华文中宋"/>
          <w:bCs/>
          <w:sz w:val="22"/>
          <w:szCs w:val="18"/>
          <w:highlight w:val="none"/>
          <w:lang w:val="en-US" w:eastAsia="zh-CN"/>
        </w:rPr>
        <w:t>5</w:t>
      </w:r>
      <w:r>
        <w:rPr>
          <w:rFonts w:hint="eastAsia" w:ascii="华文中宋" w:hAnsi="华文中宋" w:eastAsia="华文中宋" w:cs="华文中宋"/>
          <w:bCs/>
          <w:sz w:val="22"/>
          <w:szCs w:val="18"/>
          <w:highlight w:val="none"/>
        </w:rPr>
        <w:t>、财务状况：提供20</w:t>
      </w:r>
      <w:r>
        <w:rPr>
          <w:rFonts w:hint="eastAsia" w:ascii="华文中宋" w:hAnsi="华文中宋" w:eastAsia="华文中宋" w:cs="华文中宋"/>
          <w:bCs/>
          <w:sz w:val="22"/>
          <w:szCs w:val="18"/>
          <w:highlight w:val="none"/>
          <w:lang w:val="en-US" w:eastAsia="zh-CN"/>
        </w:rPr>
        <w:t>20</w:t>
      </w:r>
      <w:r>
        <w:rPr>
          <w:rFonts w:hint="eastAsia" w:ascii="华文中宋" w:hAnsi="华文中宋" w:eastAsia="华文中宋" w:cs="华文中宋"/>
          <w:bCs/>
          <w:sz w:val="22"/>
          <w:szCs w:val="18"/>
          <w:highlight w:val="none"/>
        </w:rPr>
        <w:t>或202</w:t>
      </w:r>
      <w:r>
        <w:rPr>
          <w:rFonts w:hint="eastAsia" w:ascii="华文中宋" w:hAnsi="华文中宋" w:eastAsia="华文中宋" w:cs="华文中宋"/>
          <w:bCs/>
          <w:sz w:val="22"/>
          <w:szCs w:val="18"/>
          <w:highlight w:val="none"/>
          <w:lang w:val="en-US" w:eastAsia="zh-CN"/>
        </w:rPr>
        <w:t>1</w:t>
      </w:r>
      <w:r>
        <w:rPr>
          <w:rFonts w:hint="eastAsia" w:ascii="华文中宋" w:hAnsi="华文中宋" w:eastAsia="华文中宋" w:cs="华文中宋"/>
          <w:bCs/>
          <w:sz w:val="22"/>
          <w:szCs w:val="18"/>
          <w:highlight w:val="none"/>
        </w:rPr>
        <w:t xml:space="preserve">年任意一年度的具有财务审计资质的单位出具的财务报告（成立时间至提交响应时间不足一年的可提供任意时段的资产负债表），或开标时间前三个月内其基本存款账户开户银行出具的资信证明，或政府采购信用担保机构出具的投标担保函。其他组织和自然人提供银行出具的资信证明； </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材料应清晰可辨认并</w:t>
      </w:r>
      <w:r>
        <w:rPr>
          <w:rFonts w:hint="eastAsia" w:ascii="华文中宋" w:hAnsi="华文中宋" w:eastAsia="华文中宋" w:cs="华文中宋"/>
          <w:bCs/>
          <w:sz w:val="22"/>
          <w:szCs w:val="18"/>
          <w:highlight w:val="none"/>
          <w:u w:val="double"/>
        </w:rPr>
        <w:t>加盖公章）</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pStyle w:val="2"/>
        <w:ind w:left="0" w:leftChars="0" w:firstLine="0" w:firstLineChars="0"/>
        <w:rPr>
          <w:rFonts w:hint="eastAsia" w:ascii="华文中宋" w:hAnsi="华文中宋" w:eastAsia="华文中宋" w:cs="华文中宋"/>
        </w:rPr>
      </w:pPr>
    </w:p>
    <w:p>
      <w:pPr>
        <w:adjustRightInd w:val="0"/>
        <w:snapToGrid w:val="0"/>
        <w:spacing w:line="312" w:lineRule="auto"/>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u w:val="double"/>
        </w:rPr>
      </w:pPr>
      <w:r>
        <w:rPr>
          <w:rFonts w:hint="eastAsia" w:ascii="华文中宋" w:hAnsi="华文中宋" w:eastAsia="华文中宋" w:cs="华文中宋"/>
          <w:bCs/>
          <w:sz w:val="22"/>
          <w:szCs w:val="18"/>
          <w:highlight w:val="none"/>
          <w:lang w:val="en-US" w:eastAsia="zh-CN"/>
        </w:rPr>
        <w:t>6</w:t>
      </w:r>
      <w:r>
        <w:rPr>
          <w:rFonts w:hint="eastAsia" w:ascii="华文中宋" w:hAnsi="华文中宋" w:eastAsia="华文中宋" w:cs="华文中宋"/>
          <w:bCs/>
          <w:sz w:val="22"/>
          <w:szCs w:val="18"/>
          <w:highlight w:val="none"/>
        </w:rPr>
        <w:t>、税收缴纳证明：提供磋商响应文件递交截止时上间前</w:t>
      </w:r>
      <w:r>
        <w:rPr>
          <w:rFonts w:hint="eastAsia" w:ascii="华文中宋" w:hAnsi="华文中宋" w:eastAsia="华文中宋" w:cs="华文中宋"/>
          <w:bCs/>
          <w:sz w:val="22"/>
          <w:szCs w:val="18"/>
          <w:highlight w:val="none"/>
          <w:lang w:val="en-US" w:eastAsia="zh-CN"/>
        </w:rPr>
        <w:t>6</w:t>
      </w:r>
      <w:r>
        <w:rPr>
          <w:rFonts w:hint="eastAsia" w:ascii="华文中宋" w:hAnsi="华文中宋" w:eastAsia="华文中宋" w:cs="华文中宋"/>
          <w:bCs/>
          <w:sz w:val="22"/>
          <w:szCs w:val="18"/>
          <w:highlight w:val="none"/>
        </w:rPr>
        <w:t xml:space="preserve">个月内任意1个月的缴费凭据；（依法免税的供应商应提供相关文件证明）； </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材料应清晰可辨认并</w:t>
      </w:r>
      <w:r>
        <w:rPr>
          <w:rFonts w:hint="eastAsia" w:ascii="华文中宋" w:hAnsi="华文中宋" w:eastAsia="华文中宋" w:cs="华文中宋"/>
          <w:bCs/>
          <w:sz w:val="22"/>
          <w:szCs w:val="18"/>
          <w:highlight w:val="none"/>
          <w:u w:val="double"/>
        </w:rPr>
        <w:t>加盖公章）</w:t>
      </w:r>
    </w:p>
    <w:p>
      <w:pPr>
        <w:adjustRightInd w:val="0"/>
        <w:snapToGrid w:val="0"/>
        <w:spacing w:line="312" w:lineRule="auto"/>
        <w:rPr>
          <w:rFonts w:hint="eastAsia" w:ascii="华文中宋" w:hAnsi="华文中宋" w:eastAsia="华文中宋" w:cs="华文中宋"/>
          <w:bCs/>
          <w:sz w:val="22"/>
          <w:szCs w:val="18"/>
          <w:highlight w:val="none"/>
          <w:u w:val="doubl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u w:val="double"/>
        </w:rPr>
      </w:pPr>
      <w:r>
        <w:rPr>
          <w:rFonts w:hint="eastAsia" w:ascii="华文中宋" w:hAnsi="华文中宋" w:eastAsia="华文中宋" w:cs="华文中宋"/>
          <w:bCs/>
          <w:sz w:val="22"/>
          <w:szCs w:val="18"/>
          <w:highlight w:val="none"/>
          <w:lang w:val="en-US" w:eastAsia="zh-CN"/>
        </w:rPr>
        <w:t>7</w:t>
      </w:r>
      <w:r>
        <w:rPr>
          <w:rFonts w:hint="eastAsia" w:ascii="华文中宋" w:hAnsi="华文中宋" w:eastAsia="华文中宋" w:cs="华文中宋"/>
          <w:bCs/>
          <w:sz w:val="22"/>
          <w:szCs w:val="18"/>
          <w:highlight w:val="none"/>
        </w:rPr>
        <w:t>、社会保障资金缴纳证明：提供响应文件递交截止时间前</w:t>
      </w:r>
      <w:r>
        <w:rPr>
          <w:rFonts w:hint="eastAsia" w:ascii="华文中宋" w:hAnsi="华文中宋" w:eastAsia="华文中宋" w:cs="华文中宋"/>
          <w:bCs/>
          <w:sz w:val="22"/>
          <w:szCs w:val="18"/>
          <w:highlight w:val="none"/>
          <w:lang w:val="en-US" w:eastAsia="zh-CN"/>
        </w:rPr>
        <w:t>6</w:t>
      </w:r>
      <w:r>
        <w:rPr>
          <w:rFonts w:hint="eastAsia" w:ascii="华文中宋" w:hAnsi="华文中宋" w:eastAsia="华文中宋" w:cs="华文中宋"/>
          <w:bCs/>
          <w:sz w:val="22"/>
          <w:szCs w:val="18"/>
          <w:highlight w:val="none"/>
        </w:rPr>
        <w:t xml:space="preserve">个月内任意1个月的社会保障资金缴存证明或社保机构开具的社会保险参保缴费情况证明，依法不需要缴纳社会保障资金的单位应提供相关证明材料； </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材料应清晰可辨认并</w:t>
      </w:r>
      <w:r>
        <w:rPr>
          <w:rFonts w:hint="eastAsia" w:ascii="华文中宋" w:hAnsi="华文中宋" w:eastAsia="华文中宋" w:cs="华文中宋"/>
          <w:bCs/>
          <w:sz w:val="22"/>
          <w:szCs w:val="18"/>
          <w:highlight w:val="none"/>
          <w:u w:val="double"/>
        </w:rPr>
        <w:t>加盖公章）</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pStyle w:val="2"/>
        <w:rPr>
          <w:rFonts w:hint="eastAsia" w:ascii="华文中宋" w:hAnsi="华文中宋" w:eastAsia="华文中宋" w:cs="华文中宋"/>
        </w:rPr>
      </w:pPr>
    </w:p>
    <w:p>
      <w:pPr>
        <w:adjustRightInd w:val="0"/>
        <w:snapToGrid w:val="0"/>
        <w:spacing w:line="312" w:lineRule="auto"/>
        <w:rPr>
          <w:rFonts w:hint="eastAsia" w:ascii="华文中宋" w:hAnsi="华文中宋" w:eastAsia="华文中宋" w:cs="华文中宋"/>
          <w:bCs/>
          <w:sz w:val="22"/>
          <w:szCs w:val="18"/>
          <w:highlight w:val="none"/>
          <w:lang w:val="en-US" w:eastAsia="zh-CN"/>
        </w:rPr>
      </w:pPr>
    </w:p>
    <w:p>
      <w:pPr>
        <w:adjustRightInd w:val="0"/>
        <w:snapToGrid w:val="0"/>
        <w:spacing w:line="312" w:lineRule="auto"/>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r>
        <w:rPr>
          <w:rFonts w:hint="eastAsia" w:ascii="华文中宋" w:hAnsi="华文中宋" w:eastAsia="华文中宋" w:cs="华文中宋"/>
          <w:bCs/>
          <w:sz w:val="22"/>
          <w:szCs w:val="18"/>
          <w:highlight w:val="none"/>
          <w:lang w:val="en-US" w:eastAsia="zh-CN"/>
        </w:rPr>
        <w:t>8</w:t>
      </w:r>
      <w:r>
        <w:rPr>
          <w:rFonts w:hint="eastAsia" w:ascii="华文中宋" w:hAnsi="华文中宋" w:eastAsia="华文中宋" w:cs="华文中宋"/>
          <w:bCs/>
          <w:sz w:val="22"/>
          <w:szCs w:val="18"/>
          <w:highlight w:val="none"/>
        </w:rPr>
        <w:t>、提供具有履行本合同所必需的设备和专业技术能力的说明及承诺；</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原件，格式内容自拟</w:t>
      </w:r>
      <w:r>
        <w:rPr>
          <w:rFonts w:hint="eastAsia" w:ascii="华文中宋" w:hAnsi="华文中宋" w:eastAsia="华文中宋" w:cs="华文中宋"/>
          <w:bCs/>
          <w:sz w:val="22"/>
          <w:szCs w:val="18"/>
          <w:highlight w:val="none"/>
          <w:u w:val="double"/>
        </w:rPr>
        <w:t>）</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lang w:val="en-US" w:eastAsia="zh-Hans"/>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r>
        <w:rPr>
          <w:rFonts w:hint="eastAsia" w:ascii="华文中宋" w:hAnsi="华文中宋" w:eastAsia="华文中宋" w:cs="华文中宋"/>
          <w:bCs/>
          <w:sz w:val="22"/>
          <w:szCs w:val="18"/>
          <w:highlight w:val="none"/>
          <w:lang w:val="en-US" w:eastAsia="zh-CN"/>
        </w:rPr>
        <w:t>9</w:t>
      </w:r>
      <w:r>
        <w:rPr>
          <w:rFonts w:hint="eastAsia" w:ascii="华文中宋" w:hAnsi="华文中宋" w:eastAsia="华文中宋" w:cs="华文中宋"/>
          <w:bCs/>
          <w:sz w:val="22"/>
          <w:szCs w:val="18"/>
          <w:highlight w:val="none"/>
        </w:rPr>
        <w:t>、提供参加政府采购活动前三年内在经营活动中没有重大违法记录的书面声明。</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原件，格式内容自拟</w:t>
      </w:r>
      <w:r>
        <w:rPr>
          <w:rFonts w:hint="eastAsia" w:ascii="华文中宋" w:hAnsi="华文中宋" w:eastAsia="华文中宋" w:cs="华文中宋"/>
          <w:bCs/>
          <w:sz w:val="22"/>
          <w:szCs w:val="18"/>
          <w:highlight w:val="none"/>
          <w:u w:val="double"/>
        </w:rPr>
        <w:t>）</w:t>
      </w:r>
    </w:p>
    <w:p>
      <w:pPr>
        <w:rPr>
          <w:rFonts w:hint="eastAsia" w:ascii="华文中宋" w:hAnsi="华文中宋" w:eastAsia="华文中宋" w:cs="华文中宋"/>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lang w:eastAsia="zh-CN"/>
        </w:rPr>
      </w:pPr>
      <w:r>
        <w:rPr>
          <w:rFonts w:hint="eastAsia" w:ascii="华文中宋" w:hAnsi="华文中宋" w:eastAsia="华文中宋" w:cs="华文中宋"/>
          <w:bCs/>
          <w:sz w:val="22"/>
          <w:szCs w:val="18"/>
          <w:highlight w:val="none"/>
          <w:lang w:val="en-US" w:eastAsia="zh-CN"/>
        </w:rPr>
        <w:t>10</w:t>
      </w:r>
      <w:r>
        <w:rPr>
          <w:rFonts w:hint="eastAsia" w:ascii="华文中宋" w:hAnsi="华文中宋" w:eastAsia="华文中宋" w:cs="华文中宋"/>
          <w:bCs/>
          <w:sz w:val="22"/>
          <w:szCs w:val="1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此项由采购代理机构在磋商截止时间前3日内查询，查询结果以电子图片或者纸质版存档并作为资格审查资料的一部分</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rPr>
        <w:t>，如相关失信记录已失效，供应商需提供相关证明资料，若没有则无需提供</w:t>
      </w:r>
      <w:r>
        <w:rPr>
          <w:rFonts w:hint="eastAsia" w:ascii="华文中宋" w:hAnsi="华文中宋" w:eastAsia="华文中宋" w:cs="华文中宋"/>
          <w:bCs/>
          <w:sz w:val="22"/>
          <w:szCs w:val="18"/>
          <w:highlight w:val="none"/>
          <w:lang w:eastAsia="zh-CN"/>
        </w:rPr>
        <w:t>。</w:t>
      </w: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u w:val="double"/>
        </w:rPr>
      </w:pPr>
      <w:r>
        <w:rPr>
          <w:rFonts w:hint="eastAsia" w:ascii="华文中宋" w:hAnsi="华文中宋" w:eastAsia="华文中宋" w:cs="华文中宋"/>
          <w:bCs/>
          <w:sz w:val="22"/>
          <w:szCs w:val="18"/>
          <w:highlight w:val="none"/>
          <w:lang w:val="en-US" w:eastAsia="zh-CN"/>
        </w:rPr>
        <w:t>11、</w:t>
      </w:r>
      <w:r>
        <w:rPr>
          <w:rFonts w:hint="eastAsia" w:ascii="华文中宋" w:hAnsi="华文中宋" w:eastAsia="华文中宋" w:cs="华文中宋"/>
          <w:szCs w:val="21"/>
        </w:rPr>
        <w:t>供应商须具备探矿权采矿权评估资格证</w:t>
      </w:r>
      <w:r>
        <w:rPr>
          <w:rFonts w:hint="eastAsia" w:ascii="华文中宋" w:hAnsi="华文中宋" w:eastAsia="华文中宋" w:cs="华文中宋"/>
          <w:szCs w:val="21"/>
          <w:lang w:val="en-US" w:eastAsia="zh-CN"/>
        </w:rPr>
        <w:t>及</w:t>
      </w:r>
      <w:r>
        <w:rPr>
          <w:rFonts w:hint="eastAsia" w:ascii="华文中宋" w:hAnsi="华文中宋" w:eastAsia="华文中宋" w:cs="华文中宋"/>
          <w:szCs w:val="21"/>
        </w:rPr>
        <w:t xml:space="preserve">相关行政主管部门出具的有效资产评估资格备案证明； </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材料应清晰可辨认并</w:t>
      </w:r>
      <w:r>
        <w:rPr>
          <w:rFonts w:hint="eastAsia" w:ascii="华文中宋" w:hAnsi="华文中宋" w:eastAsia="华文中宋" w:cs="华文中宋"/>
          <w:bCs/>
          <w:sz w:val="22"/>
          <w:szCs w:val="18"/>
          <w:highlight w:val="none"/>
          <w:u w:val="double"/>
        </w:rPr>
        <w:t>加盖公章）</w:t>
      </w:r>
    </w:p>
    <w:p>
      <w:pPr>
        <w:rPr>
          <w:rFonts w:hint="eastAsia" w:ascii="华文中宋" w:hAnsi="华文中宋" w:eastAsia="华文中宋" w:cs="华文中宋"/>
          <w:szCs w:val="21"/>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rPr>
          <w:rFonts w:hint="eastAsia" w:ascii="华文中宋" w:hAnsi="华文中宋" w:eastAsia="华文中宋" w:cs="华文中宋"/>
          <w:szCs w:val="21"/>
          <w:lang w:val="en-US" w:eastAsia="zh-CN"/>
        </w:rPr>
      </w:pPr>
    </w:p>
    <w:p>
      <w:pPr>
        <w:adjustRightInd w:val="0"/>
        <w:snapToGrid w:val="0"/>
        <w:spacing w:line="312" w:lineRule="auto"/>
        <w:ind w:firstLine="210" w:firstLineChars="100"/>
        <w:rPr>
          <w:rFonts w:hint="eastAsia" w:ascii="华文中宋" w:hAnsi="华文中宋" w:eastAsia="华文中宋" w:cs="华文中宋"/>
          <w:bCs/>
          <w:sz w:val="22"/>
          <w:szCs w:val="18"/>
          <w:highlight w:val="none"/>
          <w:u w:val="double"/>
        </w:rPr>
      </w:pPr>
      <w:r>
        <w:rPr>
          <w:rFonts w:hint="eastAsia" w:ascii="华文中宋" w:hAnsi="华文中宋" w:eastAsia="华文中宋" w:cs="华文中宋"/>
          <w:szCs w:val="21"/>
          <w:lang w:val="en-US" w:eastAsia="zh-CN"/>
        </w:rPr>
        <w:t>12、</w:t>
      </w:r>
      <w:r>
        <w:rPr>
          <w:rFonts w:hint="eastAsia" w:ascii="华文中宋" w:hAnsi="华文中宋" w:eastAsia="华文中宋" w:cs="华文中宋"/>
          <w:szCs w:val="21"/>
        </w:rPr>
        <w:t>项目负责人具有矿业权评估师</w:t>
      </w:r>
      <w:r>
        <w:rPr>
          <w:rFonts w:hint="eastAsia" w:ascii="华文中宋" w:hAnsi="华文中宋" w:eastAsia="华文中宋" w:cs="华文中宋"/>
          <w:szCs w:val="21"/>
          <w:lang w:val="en-US" w:eastAsia="zh-CN"/>
        </w:rPr>
        <w:t>或</w:t>
      </w:r>
      <w:r>
        <w:rPr>
          <w:rFonts w:hint="eastAsia" w:ascii="华文中宋" w:hAnsi="华文中宋" w:eastAsia="华文中宋" w:cs="华文中宋"/>
          <w:szCs w:val="21"/>
        </w:rPr>
        <w:t>资产评估师职业资格证书；</w:t>
      </w:r>
      <w:r>
        <w:rPr>
          <w:rFonts w:hint="eastAsia" w:ascii="华文中宋" w:hAnsi="华文中宋" w:eastAsia="华文中宋" w:cs="华文中宋"/>
          <w:bCs/>
          <w:sz w:val="22"/>
          <w:szCs w:val="18"/>
          <w:highlight w:val="none"/>
          <w:lang w:eastAsia="zh-CN"/>
        </w:rPr>
        <w:t>（</w:t>
      </w:r>
      <w:r>
        <w:rPr>
          <w:rFonts w:hint="eastAsia" w:ascii="华文中宋" w:hAnsi="华文中宋" w:eastAsia="华文中宋" w:cs="华文中宋"/>
          <w:bCs/>
          <w:sz w:val="22"/>
          <w:szCs w:val="18"/>
          <w:highlight w:val="none"/>
          <w:u w:val="double"/>
          <w:lang w:val="en-US" w:eastAsia="zh-CN"/>
        </w:rPr>
        <w:t>材料应清晰可辨认并</w:t>
      </w:r>
      <w:r>
        <w:rPr>
          <w:rFonts w:hint="eastAsia" w:ascii="华文中宋" w:hAnsi="华文中宋" w:eastAsia="华文中宋" w:cs="华文中宋"/>
          <w:bCs/>
          <w:sz w:val="22"/>
          <w:szCs w:val="18"/>
          <w:highlight w:val="none"/>
          <w:u w:val="double"/>
        </w:rPr>
        <w:t>加盖公章）</w:t>
      </w:r>
    </w:p>
    <w:p>
      <w:pPr>
        <w:rPr>
          <w:rFonts w:hint="eastAsia" w:ascii="华文中宋" w:hAnsi="华文中宋" w:eastAsia="华文中宋" w:cs="华文中宋"/>
          <w:szCs w:val="21"/>
          <w:lang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lang w:val="en-US" w:eastAsia="zh-CN"/>
        </w:rPr>
      </w:pPr>
    </w:p>
    <w:p>
      <w:pPr>
        <w:adjustRightInd w:val="0"/>
        <w:snapToGrid w:val="0"/>
        <w:spacing w:line="312" w:lineRule="auto"/>
        <w:ind w:firstLine="220" w:firstLineChars="100"/>
        <w:rPr>
          <w:rFonts w:hint="eastAsia" w:ascii="华文中宋" w:hAnsi="华文中宋" w:eastAsia="华文中宋" w:cs="华文中宋"/>
          <w:bCs/>
          <w:sz w:val="22"/>
          <w:szCs w:val="18"/>
          <w:highlight w:val="none"/>
        </w:rPr>
      </w:pPr>
    </w:p>
    <w:p>
      <w:pPr>
        <w:pStyle w:val="11"/>
        <w:spacing w:afterLines="100" w:line="360" w:lineRule="auto"/>
        <w:ind w:left="0" w:leftChars="0" w:firstLine="0" w:firstLineChars="0"/>
        <w:jc w:val="both"/>
        <w:rPr>
          <w:rFonts w:hint="eastAsia" w:ascii="华文中宋" w:hAnsi="华文中宋" w:eastAsia="华文中宋" w:cs="华文中宋"/>
          <w:b/>
          <w:color w:val="auto"/>
          <w:sz w:val="28"/>
          <w:szCs w:val="28"/>
          <w:lang w:val="en-US" w:eastAsia="zh-CN"/>
        </w:rPr>
      </w:pPr>
    </w:p>
    <w:p>
      <w:pPr>
        <w:pStyle w:val="11"/>
        <w:spacing w:afterLines="100" w:line="360" w:lineRule="auto"/>
        <w:ind w:left="0" w:leftChars="0" w:firstLine="0" w:firstLineChars="0"/>
        <w:jc w:val="center"/>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lang w:val="en-US" w:eastAsia="zh-CN"/>
        </w:rPr>
        <w:t>13、</w:t>
      </w:r>
      <w:r>
        <w:rPr>
          <w:rFonts w:hint="eastAsia" w:ascii="华文中宋" w:hAnsi="华文中宋" w:eastAsia="华文中宋" w:cs="华文中宋"/>
          <w:b/>
          <w:color w:val="auto"/>
          <w:sz w:val="28"/>
          <w:szCs w:val="28"/>
        </w:rPr>
        <w:t>中小企业声明函</w:t>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shd w:val="clear" w:color="auto" w:fill="FFFFFF"/>
        </w:rPr>
        <w:t>本公司郑重声明，根据《政府采购促进中小企业发展管理办法》（财库﹝2020﹞46 号）的规定，本公司参加</w:t>
      </w:r>
      <w:r>
        <w:rPr>
          <w:rFonts w:hint="eastAsia" w:ascii="华文中宋" w:hAnsi="华文中宋" w:eastAsia="华文中宋" w:cs="华文中宋"/>
          <w:bCs/>
          <w:color w:val="auto"/>
          <w:kern w:val="0"/>
          <w:sz w:val="22"/>
          <w:szCs w:val="22"/>
          <w:u w:val="single"/>
          <w:shd w:val="clear" w:color="auto" w:fill="FFFFFF"/>
        </w:rPr>
        <w:t>（单位名称）</w:t>
      </w:r>
      <w:r>
        <w:rPr>
          <w:rFonts w:hint="eastAsia" w:ascii="华文中宋" w:hAnsi="华文中宋" w:eastAsia="华文中宋" w:cs="华文中宋"/>
          <w:bCs/>
          <w:color w:val="auto"/>
          <w:kern w:val="0"/>
          <w:sz w:val="22"/>
          <w:szCs w:val="22"/>
          <w:shd w:val="clear" w:color="auto" w:fill="FFFFFF"/>
        </w:rPr>
        <w:t>的</w:t>
      </w:r>
      <w:r>
        <w:rPr>
          <w:rFonts w:hint="eastAsia" w:ascii="华文中宋" w:hAnsi="华文中宋" w:eastAsia="华文中宋" w:cs="华文中宋"/>
          <w:bCs/>
          <w:color w:val="auto"/>
          <w:kern w:val="0"/>
          <w:sz w:val="22"/>
          <w:szCs w:val="22"/>
          <w:u w:val="single"/>
          <w:shd w:val="clear" w:color="auto" w:fill="FFFFFF"/>
        </w:rPr>
        <w:t>（项目名称）</w:t>
      </w:r>
      <w:r>
        <w:rPr>
          <w:rFonts w:hint="eastAsia" w:ascii="华文中宋" w:hAnsi="华文中宋" w:eastAsia="华文中宋" w:cs="华文中宋"/>
          <w:bCs/>
          <w:color w:val="auto"/>
          <w:kern w:val="0"/>
          <w:sz w:val="22"/>
          <w:szCs w:val="22"/>
          <w:shd w:val="clear" w:color="auto" w:fill="FFFFFF"/>
        </w:rPr>
        <w:t>采购活动，服务全部由符合政策要求的中小企业承接。相关企业的具体情况如下：</w:t>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highlight w:val="none"/>
          <w:u w:val="single"/>
          <w:shd w:val="clear" w:color="auto" w:fill="FFFFFF"/>
        </w:rPr>
        <w:t>（ 评估服务）</w:t>
      </w:r>
      <w:r>
        <w:rPr>
          <w:rFonts w:hint="eastAsia" w:ascii="华文中宋" w:hAnsi="华文中宋" w:eastAsia="华文中宋" w:cs="华文中宋"/>
          <w:bCs/>
          <w:color w:val="auto"/>
          <w:kern w:val="0"/>
          <w:sz w:val="22"/>
          <w:szCs w:val="22"/>
          <w:highlight w:val="none"/>
          <w:shd w:val="clear" w:color="auto" w:fill="FFFFFF"/>
        </w:rPr>
        <w:t>，属于</w:t>
      </w:r>
      <w:r>
        <w:rPr>
          <w:rFonts w:hint="eastAsia" w:ascii="华文中宋" w:hAnsi="华文中宋" w:eastAsia="华文中宋" w:cs="华文中宋"/>
          <w:bCs/>
          <w:color w:val="auto"/>
          <w:kern w:val="0"/>
          <w:sz w:val="22"/>
          <w:szCs w:val="22"/>
          <w:highlight w:val="none"/>
          <w:u w:val="single"/>
          <w:shd w:val="clear" w:color="auto" w:fill="FFFFFF"/>
        </w:rPr>
        <w:t>（</w:t>
      </w:r>
      <w:r>
        <w:rPr>
          <w:rFonts w:hint="eastAsia" w:ascii="华文中宋" w:hAnsi="华文中宋" w:eastAsia="华文中宋" w:cs="华文中宋"/>
          <w:bCs/>
          <w:color w:val="auto"/>
          <w:kern w:val="0"/>
          <w:sz w:val="22"/>
          <w:szCs w:val="22"/>
          <w:highlight w:val="none"/>
          <w:u w:val="single"/>
          <w:shd w:val="clear" w:color="auto" w:fill="FFFFFF"/>
          <w:lang w:val="en-US" w:eastAsia="zh-CN"/>
        </w:rPr>
        <w:t xml:space="preserve"> 其他未列明  </w:t>
      </w:r>
      <w:r>
        <w:rPr>
          <w:rFonts w:hint="eastAsia" w:ascii="华文中宋" w:hAnsi="华文中宋" w:eastAsia="华文中宋" w:cs="华文中宋"/>
          <w:bCs/>
          <w:color w:val="auto"/>
          <w:kern w:val="0"/>
          <w:sz w:val="22"/>
          <w:szCs w:val="22"/>
          <w:highlight w:val="none"/>
          <w:u w:val="single"/>
          <w:shd w:val="clear" w:color="auto" w:fill="FFFFFF"/>
        </w:rPr>
        <w:t>）</w:t>
      </w:r>
      <w:r>
        <w:rPr>
          <w:rFonts w:hint="eastAsia" w:ascii="华文中宋" w:hAnsi="华文中宋" w:eastAsia="华文中宋" w:cs="华文中宋"/>
          <w:bCs/>
          <w:color w:val="auto"/>
          <w:kern w:val="0"/>
          <w:sz w:val="22"/>
          <w:szCs w:val="22"/>
          <w:highlight w:val="none"/>
          <w:u w:val="none"/>
          <w:shd w:val="clear" w:color="auto" w:fill="FFFFFF"/>
        </w:rPr>
        <w:t>行</w:t>
      </w:r>
      <w:r>
        <w:rPr>
          <w:rFonts w:hint="eastAsia" w:ascii="华文中宋" w:hAnsi="华文中宋" w:eastAsia="华文中宋" w:cs="华文中宋"/>
          <w:bCs/>
          <w:color w:val="auto"/>
          <w:kern w:val="0"/>
          <w:sz w:val="22"/>
          <w:szCs w:val="22"/>
          <w:u w:val="none"/>
          <w:shd w:val="clear" w:color="auto" w:fill="FFFFFF"/>
        </w:rPr>
        <w:t>业</w:t>
      </w:r>
      <w:r>
        <w:rPr>
          <w:rFonts w:hint="eastAsia" w:ascii="华文中宋" w:hAnsi="华文中宋" w:eastAsia="华文中宋" w:cs="华文中宋"/>
          <w:bCs/>
          <w:color w:val="auto"/>
          <w:kern w:val="0"/>
          <w:sz w:val="22"/>
          <w:szCs w:val="22"/>
          <w:shd w:val="clear" w:color="auto" w:fill="FFFFFF"/>
        </w:rPr>
        <w:t>；承接企业为</w:t>
      </w:r>
      <w:r>
        <w:rPr>
          <w:rFonts w:hint="eastAsia" w:ascii="华文中宋" w:hAnsi="华文中宋" w:eastAsia="华文中宋" w:cs="华文中宋"/>
          <w:bCs/>
          <w:color w:val="auto"/>
          <w:kern w:val="0"/>
          <w:sz w:val="22"/>
          <w:szCs w:val="22"/>
          <w:u w:val="single"/>
          <w:shd w:val="clear" w:color="auto" w:fill="FFFFFF"/>
        </w:rPr>
        <w:t>（企业名称）</w:t>
      </w:r>
      <w:r>
        <w:rPr>
          <w:rFonts w:hint="eastAsia" w:ascii="华文中宋" w:hAnsi="华文中宋" w:eastAsia="华文中宋" w:cs="华文中宋"/>
          <w:bCs/>
          <w:color w:val="auto"/>
          <w:kern w:val="0"/>
          <w:sz w:val="22"/>
          <w:szCs w:val="22"/>
          <w:shd w:val="clear" w:color="auto" w:fill="FFFFFF"/>
        </w:rPr>
        <w:t>，从业人员</w:t>
      </w:r>
      <w:r>
        <w:rPr>
          <w:rFonts w:hint="eastAsia" w:ascii="华文中宋" w:hAnsi="华文中宋" w:eastAsia="华文中宋" w:cs="华文中宋"/>
          <w:bCs/>
          <w:color w:val="auto"/>
          <w:kern w:val="0"/>
          <w:sz w:val="22"/>
          <w:szCs w:val="22"/>
          <w:shd w:val="clear" w:color="auto" w:fill="FFFFFF"/>
          <w:lang w:val="en-US" w:eastAsia="zh-CN"/>
        </w:rPr>
        <w:t xml:space="preserve"> </w:t>
      </w:r>
      <w:r>
        <w:rPr>
          <w:rFonts w:hint="eastAsia" w:ascii="华文中宋" w:hAnsi="华文中宋" w:eastAsia="华文中宋" w:cs="华文中宋"/>
          <w:bCs/>
          <w:color w:val="auto"/>
          <w:kern w:val="0"/>
          <w:sz w:val="22"/>
          <w:szCs w:val="22"/>
          <w:u w:val="single"/>
          <w:shd w:val="clear" w:color="auto" w:fill="FFFFFF"/>
          <w:lang w:val="en-US" w:eastAsia="zh-CN"/>
        </w:rPr>
        <w:t xml:space="preserve">      </w:t>
      </w:r>
      <w:r>
        <w:rPr>
          <w:rFonts w:hint="eastAsia" w:ascii="华文中宋" w:hAnsi="华文中宋" w:eastAsia="华文中宋" w:cs="华文中宋"/>
          <w:bCs/>
          <w:color w:val="auto"/>
          <w:kern w:val="0"/>
          <w:sz w:val="22"/>
          <w:szCs w:val="22"/>
          <w:shd w:val="clear" w:color="auto" w:fill="FFFFFF"/>
        </w:rPr>
        <w:t>人，营业收入为</w:t>
      </w:r>
      <w:r>
        <w:rPr>
          <w:rFonts w:hint="eastAsia" w:ascii="华文中宋" w:hAnsi="华文中宋" w:eastAsia="华文中宋" w:cs="华文中宋"/>
          <w:bCs/>
          <w:color w:val="auto"/>
          <w:kern w:val="0"/>
          <w:sz w:val="22"/>
          <w:szCs w:val="22"/>
          <w:shd w:val="clear" w:color="auto" w:fill="FFFFFF"/>
          <w:lang w:val="en-US" w:eastAsia="zh-CN"/>
        </w:rPr>
        <w:t xml:space="preserve"> </w:t>
      </w:r>
      <w:r>
        <w:rPr>
          <w:rFonts w:hint="eastAsia" w:ascii="华文中宋" w:hAnsi="华文中宋" w:eastAsia="华文中宋" w:cs="华文中宋"/>
          <w:bCs/>
          <w:color w:val="auto"/>
          <w:kern w:val="0"/>
          <w:sz w:val="22"/>
          <w:szCs w:val="22"/>
          <w:u w:val="single"/>
          <w:shd w:val="clear" w:color="auto" w:fill="FFFFFF"/>
          <w:lang w:val="en-US" w:eastAsia="zh-CN"/>
        </w:rPr>
        <w:t xml:space="preserve">       </w:t>
      </w:r>
      <w:r>
        <w:rPr>
          <w:rFonts w:hint="eastAsia" w:ascii="华文中宋" w:hAnsi="华文中宋" w:eastAsia="华文中宋" w:cs="华文中宋"/>
          <w:bCs/>
          <w:color w:val="auto"/>
          <w:kern w:val="0"/>
          <w:sz w:val="22"/>
          <w:szCs w:val="22"/>
          <w:shd w:val="clear" w:color="auto" w:fill="FFFFFF"/>
        </w:rPr>
        <w:t>万元，资产总额为</w:t>
      </w:r>
      <w:r>
        <w:rPr>
          <w:rFonts w:hint="eastAsia" w:ascii="华文中宋" w:hAnsi="华文中宋" w:eastAsia="华文中宋" w:cs="华文中宋"/>
          <w:bCs/>
          <w:color w:val="auto"/>
          <w:kern w:val="0"/>
          <w:sz w:val="22"/>
          <w:szCs w:val="22"/>
          <w:u w:val="single"/>
          <w:shd w:val="clear" w:color="auto" w:fill="FFFFFF"/>
          <w:lang w:val="en-US" w:eastAsia="zh-CN"/>
        </w:rPr>
        <w:t xml:space="preserve">      </w:t>
      </w:r>
      <w:r>
        <w:rPr>
          <w:rFonts w:hint="eastAsia" w:ascii="华文中宋" w:hAnsi="华文中宋" w:eastAsia="华文中宋" w:cs="华文中宋"/>
          <w:bCs/>
          <w:color w:val="auto"/>
          <w:kern w:val="0"/>
          <w:sz w:val="22"/>
          <w:szCs w:val="22"/>
          <w:shd w:val="clear" w:color="auto" w:fill="FFFFFF"/>
        </w:rPr>
        <w:t>万元，属于（</w:t>
      </w:r>
      <w:r>
        <w:rPr>
          <w:rFonts w:hint="eastAsia" w:ascii="华文中宋" w:hAnsi="华文中宋" w:eastAsia="华文中宋" w:cs="华文中宋"/>
          <w:bCs/>
          <w:color w:val="auto"/>
          <w:kern w:val="0"/>
          <w:sz w:val="22"/>
          <w:szCs w:val="22"/>
          <w:shd w:val="clear" w:color="auto" w:fill="FFFFFF"/>
        </w:rPr>
        <w:sym w:font="Wingdings" w:char="00A8"/>
      </w:r>
      <w:r>
        <w:rPr>
          <w:rFonts w:hint="eastAsia" w:ascii="华文中宋" w:hAnsi="华文中宋" w:eastAsia="华文中宋" w:cs="华文中宋"/>
          <w:bCs/>
          <w:color w:val="auto"/>
          <w:kern w:val="0"/>
          <w:sz w:val="22"/>
          <w:szCs w:val="22"/>
          <w:shd w:val="clear" w:color="auto" w:fill="FFFFFF"/>
        </w:rPr>
        <w:t>中型企业、</w:t>
      </w:r>
      <w:r>
        <w:rPr>
          <w:rFonts w:hint="eastAsia" w:ascii="华文中宋" w:hAnsi="华文中宋" w:eastAsia="华文中宋" w:cs="华文中宋"/>
          <w:bCs/>
          <w:color w:val="auto"/>
          <w:kern w:val="0"/>
          <w:sz w:val="22"/>
          <w:szCs w:val="22"/>
          <w:shd w:val="clear" w:color="auto" w:fill="FFFFFF"/>
        </w:rPr>
        <w:sym w:font="Wingdings" w:char="00A8"/>
      </w:r>
      <w:r>
        <w:rPr>
          <w:rFonts w:hint="eastAsia" w:ascii="华文中宋" w:hAnsi="华文中宋" w:eastAsia="华文中宋" w:cs="华文中宋"/>
          <w:bCs/>
          <w:color w:val="auto"/>
          <w:kern w:val="0"/>
          <w:sz w:val="22"/>
          <w:szCs w:val="22"/>
          <w:shd w:val="clear" w:color="auto" w:fill="FFFFFF"/>
        </w:rPr>
        <w:t>小型企业、</w:t>
      </w:r>
      <w:r>
        <w:rPr>
          <w:rFonts w:hint="eastAsia" w:ascii="华文中宋" w:hAnsi="华文中宋" w:eastAsia="华文中宋" w:cs="华文中宋"/>
          <w:bCs/>
          <w:color w:val="auto"/>
          <w:kern w:val="0"/>
          <w:sz w:val="22"/>
          <w:szCs w:val="22"/>
          <w:shd w:val="clear" w:color="auto" w:fill="FFFFFF"/>
        </w:rPr>
        <w:sym w:font="Wingdings" w:char="00A8"/>
      </w:r>
      <w:r>
        <w:rPr>
          <w:rFonts w:hint="eastAsia" w:ascii="华文中宋" w:hAnsi="华文中宋" w:eastAsia="华文中宋" w:cs="华文中宋"/>
          <w:bCs/>
          <w:color w:val="auto"/>
          <w:kern w:val="0"/>
          <w:sz w:val="22"/>
          <w:szCs w:val="22"/>
          <w:shd w:val="clear" w:color="auto" w:fill="FFFFFF"/>
        </w:rPr>
        <w:t>微型企业）；</w:t>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shd w:val="clear" w:color="auto" w:fill="FFFFFF"/>
        </w:rPr>
        <w:t>以上企业，不属于大企业的分支机构，不存在控股股东为大企业的情形，也不存在与大企业的负责人为同一人的情形。</w:t>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shd w:val="clear" w:color="auto" w:fill="FFFFFF"/>
        </w:rPr>
        <w:t>本企业对上述声明内容的真实性负责。如有虚假，将依法承担相应责任。</w:t>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p>
    <w:p>
      <w:pPr>
        <w:spacing w:line="360" w:lineRule="auto"/>
        <w:ind w:firstLine="3740" w:firstLineChars="17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shd w:val="clear" w:color="auto" w:fill="FFFFFF"/>
        </w:rPr>
        <w:t>企业名称（盖章）：</w:t>
      </w:r>
      <w:r>
        <w:rPr>
          <w:rFonts w:hint="eastAsia" w:ascii="华文中宋" w:hAnsi="华文中宋" w:eastAsia="华文中宋" w:cs="华文中宋"/>
          <w:bCs/>
          <w:color w:val="auto"/>
          <w:kern w:val="0"/>
          <w:sz w:val="22"/>
          <w:szCs w:val="22"/>
          <w:shd w:val="clear" w:color="auto" w:fill="FFFFFF"/>
        </w:rPr>
        <w:tab/>
      </w:r>
    </w:p>
    <w:p>
      <w:pPr>
        <w:spacing w:line="360" w:lineRule="auto"/>
        <w:ind w:firstLine="440" w:firstLineChars="200"/>
        <w:jc w:val="left"/>
        <w:rPr>
          <w:rFonts w:hint="eastAsia" w:ascii="华文中宋" w:hAnsi="华文中宋" w:eastAsia="华文中宋" w:cs="华文中宋"/>
          <w:bCs/>
          <w:color w:val="auto"/>
          <w:kern w:val="0"/>
          <w:sz w:val="22"/>
          <w:szCs w:val="22"/>
          <w:shd w:val="clear" w:color="auto" w:fill="FFFFFF"/>
        </w:rPr>
      </w:pPr>
    </w:p>
    <w:p>
      <w:pPr>
        <w:spacing w:line="360" w:lineRule="auto"/>
        <w:ind w:firstLine="3740" w:firstLineChars="1700"/>
        <w:jc w:val="left"/>
        <w:rPr>
          <w:rFonts w:hint="eastAsia" w:ascii="华文中宋" w:hAnsi="华文中宋" w:eastAsia="华文中宋" w:cs="华文中宋"/>
          <w:bCs/>
          <w:color w:val="auto"/>
          <w:kern w:val="0"/>
          <w:sz w:val="22"/>
          <w:szCs w:val="22"/>
          <w:shd w:val="clear" w:color="auto" w:fill="FFFFFF"/>
        </w:rPr>
      </w:pPr>
      <w:r>
        <w:rPr>
          <w:rFonts w:hint="eastAsia" w:ascii="华文中宋" w:hAnsi="华文中宋" w:eastAsia="华文中宋" w:cs="华文中宋"/>
          <w:bCs/>
          <w:color w:val="auto"/>
          <w:kern w:val="0"/>
          <w:sz w:val="22"/>
          <w:szCs w:val="22"/>
          <w:shd w:val="clear" w:color="auto" w:fill="FFFFFF"/>
        </w:rPr>
        <w:t>日</w:t>
      </w:r>
      <w:r>
        <w:rPr>
          <w:rFonts w:hint="eastAsia" w:ascii="华文中宋" w:hAnsi="华文中宋" w:eastAsia="华文中宋" w:cs="华文中宋"/>
          <w:bCs/>
          <w:color w:val="auto"/>
          <w:kern w:val="0"/>
          <w:sz w:val="22"/>
          <w:szCs w:val="22"/>
          <w:shd w:val="clear" w:color="auto" w:fill="FFFFFF"/>
          <w:lang w:val="en-US" w:eastAsia="zh-CN"/>
        </w:rPr>
        <w:t xml:space="preserve">           </w:t>
      </w:r>
      <w:r>
        <w:rPr>
          <w:rFonts w:hint="eastAsia" w:ascii="华文中宋" w:hAnsi="华文中宋" w:eastAsia="华文中宋" w:cs="华文中宋"/>
          <w:bCs/>
          <w:color w:val="auto"/>
          <w:kern w:val="0"/>
          <w:sz w:val="22"/>
          <w:szCs w:val="22"/>
          <w:shd w:val="clear" w:color="auto" w:fill="FFFFFF"/>
        </w:rPr>
        <w:t>期：</w:t>
      </w:r>
      <w:r>
        <w:rPr>
          <w:rFonts w:hint="eastAsia" w:ascii="华文中宋" w:hAnsi="华文中宋" w:eastAsia="华文中宋" w:cs="华文中宋"/>
          <w:bCs/>
          <w:color w:val="auto"/>
          <w:kern w:val="0"/>
          <w:sz w:val="22"/>
          <w:szCs w:val="22"/>
          <w:shd w:val="clear" w:color="auto" w:fill="FFFFFF"/>
        </w:rPr>
        <w:tab/>
      </w:r>
    </w:p>
    <w:p>
      <w:pPr>
        <w:pStyle w:val="42"/>
        <w:rPr>
          <w:rFonts w:hint="eastAsia" w:ascii="华文中宋" w:hAnsi="华文中宋" w:eastAsia="华文中宋" w:cs="华文中宋"/>
          <w:bCs/>
          <w:color w:val="auto"/>
          <w:kern w:val="0"/>
          <w:sz w:val="22"/>
          <w:szCs w:val="22"/>
          <w:shd w:val="clear" w:color="auto" w:fill="FFFFFF"/>
        </w:rPr>
      </w:pPr>
    </w:p>
    <w:p>
      <w:pPr>
        <w:pStyle w:val="42"/>
        <w:rPr>
          <w:rFonts w:hint="eastAsia" w:ascii="华文中宋" w:hAnsi="华文中宋" w:eastAsia="华文中宋" w:cs="华文中宋"/>
          <w:bCs/>
          <w:color w:val="auto"/>
          <w:kern w:val="0"/>
          <w:sz w:val="22"/>
          <w:szCs w:val="22"/>
          <w:shd w:val="clear" w:color="auto" w:fill="FFFFFF"/>
        </w:rPr>
      </w:pPr>
    </w:p>
    <w:p>
      <w:pPr>
        <w:spacing w:line="360" w:lineRule="auto"/>
        <w:jc w:val="left"/>
        <w:rPr>
          <w:rFonts w:hint="eastAsia" w:ascii="华文中宋" w:hAnsi="华文中宋" w:eastAsia="华文中宋" w:cs="华文中宋"/>
          <w:bCs/>
          <w:color w:val="auto"/>
          <w:kern w:val="0"/>
          <w:sz w:val="22"/>
          <w:szCs w:val="22"/>
          <w:highlight w:val="none"/>
          <w:shd w:val="clear" w:color="auto" w:fill="FFFFFF"/>
        </w:rPr>
      </w:pPr>
      <w:r>
        <w:rPr>
          <w:rFonts w:hint="eastAsia" w:ascii="华文中宋" w:hAnsi="华文中宋" w:eastAsia="华文中宋" w:cs="华文中宋"/>
          <w:bCs/>
          <w:color w:val="auto"/>
          <w:kern w:val="0"/>
          <w:sz w:val="22"/>
          <w:szCs w:val="22"/>
          <w:highlight w:val="none"/>
          <w:shd w:val="clear" w:color="auto" w:fill="FFFFFF"/>
        </w:rPr>
        <w:t>说明：</w:t>
      </w:r>
    </w:p>
    <w:p>
      <w:pPr>
        <w:pStyle w:val="42"/>
        <w:ind w:firstLine="429" w:firstLineChars="195"/>
        <w:rPr>
          <w:rFonts w:hint="eastAsia" w:ascii="华文中宋" w:hAnsi="华文中宋" w:eastAsia="华文中宋" w:cs="华文中宋"/>
          <w:bCs/>
          <w:color w:val="auto"/>
          <w:kern w:val="0"/>
          <w:sz w:val="22"/>
          <w:szCs w:val="22"/>
          <w:highlight w:val="none"/>
          <w:shd w:val="clear" w:color="auto" w:fill="FFFFFF"/>
        </w:rPr>
      </w:pPr>
      <w:r>
        <w:rPr>
          <w:rFonts w:hint="eastAsia" w:ascii="华文中宋" w:hAnsi="华文中宋" w:eastAsia="华文中宋" w:cs="华文中宋"/>
          <w:bCs/>
          <w:color w:val="auto"/>
          <w:kern w:val="0"/>
          <w:sz w:val="22"/>
          <w:szCs w:val="22"/>
          <w:highlight w:val="none"/>
          <w:shd w:val="clear" w:color="auto" w:fill="FFFFFF"/>
        </w:rPr>
        <w:t>填写前请认真阅读《工业和信息化部、国家统计局、国家发展和改革委员会、财政部关于印发中小企业划型标准规定的通知》（工信部联企业[2011]300号）和《政府采购促进中小企业发展管理办法》(财库〔2020〕46号相关规定。</w:t>
      </w:r>
    </w:p>
    <w:p>
      <w:pPr>
        <w:tabs>
          <w:tab w:val="left" w:pos="3600"/>
        </w:tabs>
        <w:adjustRightInd w:val="0"/>
        <w:snapToGrid w:val="0"/>
        <w:jc w:val="center"/>
        <w:outlineLvl w:val="1"/>
        <w:rPr>
          <w:rFonts w:hint="eastAsia" w:ascii="华文中宋" w:hAnsi="华文中宋" w:eastAsia="华文中宋" w:cs="华文中宋"/>
          <w:b/>
          <w:bCs/>
          <w:sz w:val="28"/>
          <w:szCs w:val="28"/>
          <w:highlight w:val="none"/>
          <w:lang w:val="en-US" w:eastAsia="zh-CN"/>
        </w:rPr>
      </w:pPr>
    </w:p>
    <w:p>
      <w:pPr>
        <w:tabs>
          <w:tab w:val="left" w:pos="3600"/>
        </w:tabs>
        <w:adjustRightInd w:val="0"/>
        <w:snapToGrid w:val="0"/>
        <w:jc w:val="center"/>
        <w:outlineLvl w:val="1"/>
        <w:rPr>
          <w:rFonts w:hint="eastAsia" w:ascii="华文中宋" w:hAnsi="华文中宋" w:eastAsia="华文中宋" w:cs="华文中宋"/>
          <w:b/>
          <w:bCs/>
          <w:sz w:val="28"/>
          <w:szCs w:val="28"/>
          <w:highlight w:val="none"/>
          <w:lang w:val="en-US" w:eastAsia="zh-CN"/>
        </w:rPr>
      </w:pPr>
    </w:p>
    <w:p>
      <w:pPr>
        <w:tabs>
          <w:tab w:val="left" w:pos="3600"/>
        </w:tabs>
        <w:adjustRightInd w:val="0"/>
        <w:snapToGrid w:val="0"/>
        <w:jc w:val="center"/>
        <w:outlineLvl w:val="1"/>
        <w:rPr>
          <w:rFonts w:hint="eastAsia" w:ascii="华文中宋" w:hAnsi="华文中宋" w:eastAsia="华文中宋" w:cs="华文中宋"/>
          <w:b/>
          <w:bCs/>
          <w:sz w:val="28"/>
          <w:szCs w:val="28"/>
          <w:highlight w:val="none"/>
          <w:lang w:val="en-US" w:eastAsia="zh-CN"/>
        </w:rPr>
      </w:pPr>
    </w:p>
    <w:p>
      <w:pPr>
        <w:adjustRightInd w:val="0"/>
        <w:snapToGrid w:val="0"/>
        <w:spacing w:before="50" w:line="360" w:lineRule="auto"/>
        <w:ind w:firstLine="770" w:firstLineChars="350"/>
        <w:rPr>
          <w:rFonts w:hint="eastAsia" w:ascii="华文中宋" w:hAnsi="华文中宋" w:eastAsia="华文中宋" w:cs="华文中宋"/>
          <w:kern w:val="0"/>
          <w:sz w:val="22"/>
          <w:szCs w:val="22"/>
        </w:rPr>
      </w:pPr>
    </w:p>
    <w:p>
      <w:pPr>
        <w:tabs>
          <w:tab w:val="left" w:pos="3600"/>
        </w:tabs>
        <w:adjustRightInd w:val="0"/>
        <w:snapToGrid w:val="0"/>
        <w:jc w:val="both"/>
        <w:outlineLvl w:val="1"/>
        <w:rPr>
          <w:rFonts w:hint="eastAsia" w:ascii="华文中宋" w:hAnsi="华文中宋" w:eastAsia="华文中宋" w:cs="华文中宋"/>
          <w:b/>
          <w:bCs/>
          <w:color w:val="auto"/>
          <w:sz w:val="32"/>
          <w:szCs w:val="32"/>
          <w:highlight w:val="none"/>
          <w:lang w:val="en-US" w:eastAsia="zh-CN"/>
        </w:rPr>
      </w:pPr>
    </w:p>
    <w:p>
      <w:pPr>
        <w:tabs>
          <w:tab w:val="left" w:pos="3600"/>
        </w:tabs>
        <w:adjustRightInd w:val="0"/>
        <w:snapToGrid w:val="0"/>
        <w:jc w:val="center"/>
        <w:outlineLvl w:val="1"/>
        <w:rPr>
          <w:rFonts w:hint="eastAsia" w:ascii="华文中宋" w:hAnsi="华文中宋" w:eastAsia="华文中宋" w:cs="华文中宋"/>
          <w:b/>
          <w:bCs/>
          <w:color w:val="auto"/>
          <w:sz w:val="32"/>
          <w:szCs w:val="32"/>
          <w:highlight w:val="none"/>
        </w:rPr>
      </w:pPr>
      <w:r>
        <w:rPr>
          <w:rFonts w:hint="eastAsia" w:ascii="华文中宋" w:hAnsi="华文中宋" w:eastAsia="华文中宋" w:cs="华文中宋"/>
          <w:b/>
          <w:bCs/>
          <w:color w:val="auto"/>
          <w:sz w:val="32"/>
          <w:szCs w:val="32"/>
          <w:highlight w:val="none"/>
          <w:lang w:val="en-US" w:eastAsia="zh-CN"/>
        </w:rPr>
        <w:t>14、</w:t>
      </w:r>
      <w:r>
        <w:rPr>
          <w:rFonts w:hint="eastAsia" w:ascii="华文中宋" w:hAnsi="华文中宋" w:eastAsia="华文中宋" w:cs="华文中宋"/>
          <w:b/>
          <w:bCs/>
          <w:color w:val="auto"/>
          <w:sz w:val="32"/>
          <w:szCs w:val="32"/>
          <w:highlight w:val="none"/>
        </w:rPr>
        <w:t>残疾人福利性单位声明函</w:t>
      </w:r>
    </w:p>
    <w:p>
      <w:pPr>
        <w:spacing w:line="360" w:lineRule="auto"/>
        <w:rPr>
          <w:rFonts w:hint="eastAsia" w:ascii="华文中宋" w:hAnsi="华文中宋" w:eastAsia="华文中宋" w:cs="华文中宋"/>
          <w:color w:val="auto"/>
          <w:spacing w:val="6"/>
          <w:sz w:val="24"/>
          <w:szCs w:val="24"/>
          <w:highlight w:val="none"/>
        </w:rPr>
      </w:pPr>
    </w:p>
    <w:p>
      <w:pPr>
        <w:spacing w:line="360" w:lineRule="auto"/>
        <w:ind w:firstLine="464" w:firstLineChars="200"/>
        <w:rPr>
          <w:rFonts w:hint="eastAsia" w:ascii="华文中宋" w:hAnsi="华文中宋" w:eastAsia="华文中宋" w:cs="华文中宋"/>
          <w:color w:val="auto"/>
          <w:spacing w:val="6"/>
          <w:sz w:val="22"/>
          <w:szCs w:val="22"/>
          <w:highlight w:val="none"/>
        </w:rPr>
      </w:pPr>
      <w:r>
        <w:rPr>
          <w:rFonts w:hint="eastAsia" w:ascii="华文中宋" w:hAnsi="华文中宋" w:eastAsia="华文中宋" w:cs="华文中宋"/>
          <w:color w:val="auto"/>
          <w:spacing w:val="6"/>
          <w:sz w:val="22"/>
          <w:szCs w:val="22"/>
          <w:highlight w:val="none"/>
        </w:rPr>
        <w:t>本单位郑重声明，根据《财政部 民政部 中国残疾人联合会关于促进残疾人就业政府采购政策的通知》（财库</w:t>
      </w:r>
      <w:r>
        <w:rPr>
          <w:rFonts w:hint="eastAsia" w:ascii="华文中宋" w:hAnsi="华文中宋" w:eastAsia="华文中宋" w:cs="华文中宋"/>
          <w:color w:val="auto"/>
          <w:sz w:val="22"/>
          <w:szCs w:val="22"/>
          <w:highlight w:val="none"/>
        </w:rPr>
        <w:t>〔2017〕 141</w:t>
      </w:r>
      <w:r>
        <w:rPr>
          <w:rFonts w:hint="eastAsia" w:ascii="华文中宋" w:hAnsi="华文中宋" w:eastAsia="华文中宋" w:cs="华文中宋"/>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64" w:firstLineChars="200"/>
        <w:rPr>
          <w:rFonts w:hint="eastAsia" w:ascii="华文中宋" w:hAnsi="华文中宋" w:eastAsia="华文中宋" w:cs="华文中宋"/>
          <w:color w:val="auto"/>
          <w:spacing w:val="6"/>
          <w:sz w:val="22"/>
          <w:szCs w:val="22"/>
          <w:highlight w:val="none"/>
        </w:rPr>
      </w:pPr>
      <w:r>
        <w:rPr>
          <w:rFonts w:hint="eastAsia" w:ascii="华文中宋" w:hAnsi="华文中宋" w:eastAsia="华文中宋" w:cs="华文中宋"/>
          <w:color w:val="auto"/>
          <w:spacing w:val="6"/>
          <w:sz w:val="22"/>
          <w:szCs w:val="22"/>
          <w:highlight w:val="none"/>
        </w:rPr>
        <w:t>本单位对上述声明的真实性负责。如有虚假，将依法承担相应责任。</w:t>
      </w:r>
    </w:p>
    <w:p>
      <w:pPr>
        <w:spacing w:line="360" w:lineRule="auto"/>
        <w:ind w:firstLine="464" w:firstLineChars="200"/>
        <w:rPr>
          <w:rFonts w:hint="eastAsia" w:ascii="华文中宋" w:hAnsi="华文中宋" w:eastAsia="华文中宋" w:cs="华文中宋"/>
          <w:color w:val="auto"/>
          <w:spacing w:val="6"/>
          <w:sz w:val="22"/>
          <w:szCs w:val="22"/>
          <w:highlight w:val="none"/>
        </w:rPr>
      </w:pPr>
    </w:p>
    <w:p>
      <w:pPr>
        <w:spacing w:line="360" w:lineRule="auto"/>
        <w:ind w:firstLine="464" w:firstLineChars="200"/>
        <w:rPr>
          <w:rFonts w:hint="eastAsia" w:ascii="华文中宋" w:hAnsi="华文中宋" w:eastAsia="华文中宋" w:cs="华文中宋"/>
          <w:color w:val="auto"/>
          <w:spacing w:val="6"/>
          <w:sz w:val="22"/>
          <w:szCs w:val="22"/>
          <w:highlight w:val="none"/>
        </w:rPr>
      </w:pPr>
    </w:p>
    <w:p>
      <w:pPr>
        <w:pStyle w:val="11"/>
        <w:spacing w:line="360" w:lineRule="auto"/>
        <w:ind w:firstLine="3016" w:firstLineChars="1300"/>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pacing w:val="6"/>
          <w:sz w:val="22"/>
          <w:szCs w:val="22"/>
          <w:highlight w:val="none"/>
        </w:rPr>
        <w:t xml:space="preserve"> </w:t>
      </w:r>
      <w:r>
        <w:rPr>
          <w:rFonts w:hint="eastAsia" w:ascii="华文中宋" w:hAnsi="华文中宋" w:eastAsia="华文中宋" w:cs="华文中宋"/>
          <w:color w:val="auto"/>
          <w:sz w:val="22"/>
          <w:szCs w:val="22"/>
          <w:highlight w:val="none"/>
        </w:rPr>
        <w:t>声 明 人:</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(盖单位章)</w:t>
      </w:r>
    </w:p>
    <w:p>
      <w:pPr>
        <w:pStyle w:val="11"/>
        <w:spacing w:line="360" w:lineRule="auto"/>
        <w:ind w:firstLine="570"/>
        <w:rPr>
          <w:rFonts w:hint="eastAsia" w:ascii="华文中宋" w:hAnsi="华文中宋" w:eastAsia="华文中宋" w:cs="华文中宋"/>
          <w:color w:val="auto"/>
          <w:sz w:val="22"/>
          <w:szCs w:val="22"/>
          <w:highlight w:val="none"/>
        </w:rPr>
      </w:pPr>
    </w:p>
    <w:p>
      <w:pPr>
        <w:pStyle w:val="11"/>
        <w:spacing w:line="360" w:lineRule="auto"/>
        <w:ind w:firstLine="3236" w:firstLineChars="1471"/>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lang w:val="zh-CN"/>
        </w:rPr>
        <w:t>法定代表人或其授权代表</w:t>
      </w:r>
      <w:r>
        <w:rPr>
          <w:rFonts w:hint="eastAsia" w:ascii="华文中宋" w:hAnsi="华文中宋" w:eastAsia="华文中宋" w:cs="华文中宋"/>
          <w:color w:val="auto"/>
          <w:sz w:val="22"/>
          <w:szCs w:val="22"/>
          <w:highlight w:val="none"/>
        </w:rPr>
        <w:t>：</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（签字）</w:t>
      </w:r>
    </w:p>
    <w:p>
      <w:pPr>
        <w:pStyle w:val="11"/>
        <w:spacing w:line="360" w:lineRule="auto"/>
        <w:ind w:firstLine="570"/>
        <w:rPr>
          <w:rFonts w:hint="eastAsia" w:ascii="华文中宋" w:hAnsi="华文中宋" w:eastAsia="华文中宋" w:cs="华文中宋"/>
          <w:color w:val="auto"/>
          <w:sz w:val="22"/>
          <w:szCs w:val="22"/>
          <w:highlight w:val="none"/>
        </w:rPr>
      </w:pPr>
    </w:p>
    <w:p>
      <w:pPr>
        <w:pStyle w:val="11"/>
        <w:spacing w:line="360" w:lineRule="auto"/>
        <w:ind w:firstLine="3456" w:firstLineChars="1571"/>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日      期：</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年</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 xml:space="preserve"> 月</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日</w:t>
      </w:r>
    </w:p>
    <w:p>
      <w:pPr>
        <w:adjustRightInd w:val="0"/>
        <w:snapToGrid w:val="0"/>
        <w:spacing w:before="50" w:line="360" w:lineRule="auto"/>
        <w:jc w:val="left"/>
        <w:rPr>
          <w:rFonts w:hint="eastAsia" w:ascii="华文中宋" w:hAnsi="华文中宋" w:eastAsia="华文中宋" w:cs="华文中宋"/>
          <w:b/>
          <w:color w:val="auto"/>
          <w:sz w:val="22"/>
          <w:szCs w:val="22"/>
          <w:highlight w:val="none"/>
        </w:rPr>
      </w:pPr>
    </w:p>
    <w:p>
      <w:pPr>
        <w:adjustRightInd w:val="0"/>
        <w:snapToGrid w:val="0"/>
        <w:spacing w:before="50" w:line="360" w:lineRule="auto"/>
        <w:jc w:val="left"/>
        <w:rPr>
          <w:rFonts w:hint="eastAsia" w:ascii="华文中宋" w:hAnsi="华文中宋" w:eastAsia="华文中宋" w:cs="华文中宋"/>
          <w:b/>
          <w:color w:val="auto"/>
          <w:sz w:val="22"/>
          <w:szCs w:val="22"/>
          <w:highlight w:val="none"/>
        </w:rPr>
      </w:pPr>
    </w:p>
    <w:p>
      <w:pPr>
        <w:pStyle w:val="20"/>
        <w:rPr>
          <w:rFonts w:hint="eastAsia" w:ascii="华文中宋" w:hAnsi="华文中宋" w:eastAsia="华文中宋" w:cs="华文中宋"/>
          <w:b/>
          <w:color w:val="auto"/>
          <w:sz w:val="22"/>
          <w:szCs w:val="22"/>
          <w:highlight w:val="none"/>
        </w:rPr>
      </w:pPr>
    </w:p>
    <w:p>
      <w:pPr>
        <w:pStyle w:val="20"/>
        <w:rPr>
          <w:rFonts w:hint="eastAsia" w:ascii="华文中宋" w:hAnsi="华文中宋" w:eastAsia="华文中宋" w:cs="华文中宋"/>
          <w:b/>
          <w:color w:val="auto"/>
          <w:sz w:val="22"/>
          <w:szCs w:val="22"/>
          <w:highlight w:val="none"/>
        </w:rPr>
      </w:pPr>
    </w:p>
    <w:p>
      <w:pPr>
        <w:pStyle w:val="20"/>
        <w:rPr>
          <w:rFonts w:hint="eastAsia" w:ascii="华文中宋" w:hAnsi="华文中宋" w:eastAsia="华文中宋" w:cs="华文中宋"/>
          <w:b/>
          <w:color w:val="auto"/>
          <w:sz w:val="22"/>
          <w:szCs w:val="22"/>
          <w:highlight w:val="none"/>
        </w:rPr>
      </w:pPr>
    </w:p>
    <w:p>
      <w:pPr>
        <w:adjustRightInd w:val="0"/>
        <w:snapToGrid w:val="0"/>
        <w:spacing w:line="360" w:lineRule="exact"/>
        <w:ind w:firstLine="660" w:firstLineChars="300"/>
        <w:rPr>
          <w:rFonts w:hint="eastAsia" w:ascii="华文中宋" w:hAnsi="华文中宋" w:eastAsia="华文中宋" w:cs="华文中宋"/>
          <w:color w:val="auto"/>
          <w:sz w:val="22"/>
          <w:szCs w:val="22"/>
          <w:highlight w:val="none"/>
          <w:lang w:val="en-US" w:eastAsia="zh-CN"/>
        </w:rPr>
      </w:pPr>
      <w:r>
        <w:rPr>
          <w:rFonts w:hint="eastAsia" w:ascii="华文中宋" w:hAnsi="华文中宋" w:eastAsia="华文中宋" w:cs="华文中宋"/>
          <w:color w:val="auto"/>
          <w:sz w:val="22"/>
          <w:szCs w:val="22"/>
          <w:highlight w:val="none"/>
        </w:rPr>
        <w:t>说明：</w:t>
      </w:r>
      <w:r>
        <w:rPr>
          <w:rFonts w:hint="eastAsia" w:ascii="华文中宋" w:hAnsi="华文中宋" w:eastAsia="华文中宋" w:cs="华文中宋"/>
          <w:color w:val="auto"/>
          <w:sz w:val="22"/>
          <w:szCs w:val="22"/>
          <w:highlight w:val="none"/>
          <w:lang w:val="en-US" w:eastAsia="zh-CN"/>
        </w:rPr>
        <w:t>供应商不属于残疾人福利单位的，无须提供；</w:t>
      </w:r>
    </w:p>
    <w:p>
      <w:pPr>
        <w:pStyle w:val="109"/>
        <w:ind w:firstLine="0" w:firstLineChars="0"/>
        <w:rPr>
          <w:rFonts w:hint="eastAsia" w:ascii="华文中宋" w:hAnsi="华文中宋" w:eastAsia="华文中宋" w:cs="华文中宋"/>
          <w:color w:val="auto"/>
          <w:sz w:val="22"/>
          <w:szCs w:val="22"/>
        </w:rPr>
      </w:pPr>
    </w:p>
    <w:p>
      <w:pPr>
        <w:pStyle w:val="109"/>
        <w:ind w:firstLine="0" w:firstLineChars="0"/>
        <w:rPr>
          <w:rFonts w:hint="eastAsia" w:ascii="华文中宋" w:hAnsi="华文中宋" w:eastAsia="华文中宋" w:cs="华文中宋"/>
          <w:color w:val="auto"/>
          <w:sz w:val="22"/>
          <w:szCs w:val="22"/>
        </w:rPr>
      </w:pPr>
    </w:p>
    <w:p>
      <w:pPr>
        <w:adjustRightInd w:val="0"/>
        <w:snapToGrid w:val="0"/>
        <w:spacing w:before="50" w:line="360" w:lineRule="auto"/>
        <w:ind w:firstLine="840" w:firstLineChars="350"/>
        <w:rPr>
          <w:rFonts w:hint="eastAsia" w:ascii="华文中宋" w:hAnsi="华文中宋" w:eastAsia="华文中宋" w:cs="华文中宋"/>
          <w:kern w:val="0"/>
          <w:sz w:val="24"/>
        </w:rPr>
      </w:pPr>
    </w:p>
    <w:p>
      <w:pPr>
        <w:adjustRightInd w:val="0"/>
        <w:snapToGrid w:val="0"/>
        <w:spacing w:before="50" w:line="360" w:lineRule="auto"/>
        <w:jc w:val="both"/>
        <w:outlineLvl w:val="1"/>
        <w:rPr>
          <w:rFonts w:hint="eastAsia" w:ascii="华文中宋" w:hAnsi="华文中宋" w:eastAsia="华文中宋" w:cs="华文中宋"/>
          <w:b/>
          <w:bCs/>
          <w:color w:val="auto"/>
          <w:sz w:val="28"/>
          <w:szCs w:val="28"/>
          <w:highlight w:val="none"/>
        </w:rPr>
      </w:pPr>
    </w:p>
    <w:p>
      <w:pPr>
        <w:adjustRightInd w:val="0"/>
        <w:snapToGrid w:val="0"/>
        <w:spacing w:before="50" w:line="360" w:lineRule="auto"/>
        <w:jc w:val="center"/>
        <w:outlineLvl w:val="1"/>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lang w:val="en-US" w:eastAsia="zh-CN"/>
        </w:rPr>
        <w:t>15、</w:t>
      </w:r>
      <w:r>
        <w:rPr>
          <w:rFonts w:hint="eastAsia" w:ascii="华文中宋" w:hAnsi="华文中宋" w:eastAsia="华文中宋" w:cs="华文中宋"/>
          <w:b/>
          <w:bCs/>
          <w:color w:val="auto"/>
          <w:sz w:val="28"/>
          <w:szCs w:val="28"/>
          <w:highlight w:val="none"/>
        </w:rPr>
        <w:t>监狱企业证明</w:t>
      </w:r>
    </w:p>
    <w:p>
      <w:pPr>
        <w:adjustRightInd w:val="0"/>
        <w:snapToGrid w:val="0"/>
        <w:spacing w:before="312" w:beforeLine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说明：</w:t>
      </w:r>
    </w:p>
    <w:p>
      <w:pPr>
        <w:adjustRightInd w:val="0"/>
        <w:snapToGrid w:val="0"/>
        <w:spacing w:line="360" w:lineRule="exact"/>
        <w:ind w:firstLine="527"/>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rPr>
        <w:t>（1）证明无格式要求，由出具监狱企业证明的单位自行拟定；</w:t>
      </w:r>
    </w:p>
    <w:p>
      <w:pPr>
        <w:adjustRightInd w:val="0"/>
        <w:snapToGrid w:val="0"/>
        <w:spacing w:line="360" w:lineRule="exact"/>
        <w:ind w:left="630" w:leftChars="300"/>
        <w:rPr>
          <w:rFonts w:hint="eastAsia" w:ascii="华文中宋" w:hAnsi="华文中宋" w:eastAsia="华文中宋" w:cs="华文中宋"/>
          <w:color w:val="auto"/>
          <w:szCs w:val="21"/>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2</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供应商不属于监狱企业的，无需提供</w:t>
      </w:r>
    </w:p>
    <w:p>
      <w:pPr>
        <w:adjustRightInd w:val="0"/>
        <w:snapToGrid w:val="0"/>
        <w:spacing w:line="360" w:lineRule="exact"/>
        <w:ind w:left="630" w:leftChars="300"/>
        <w:rPr>
          <w:rFonts w:hint="eastAsia" w:ascii="华文中宋" w:hAnsi="华文中宋" w:eastAsia="华文中宋" w:cs="华文中宋"/>
          <w:color w:val="auto"/>
          <w:szCs w:val="21"/>
          <w:highlight w:val="none"/>
          <w:lang w:eastAsia="zh-CN"/>
        </w:rPr>
      </w:pPr>
    </w:p>
    <w:p>
      <w:pPr>
        <w:adjustRightInd w:val="0"/>
        <w:snapToGrid w:val="0"/>
        <w:spacing w:line="360" w:lineRule="exact"/>
        <w:ind w:firstLine="550" w:firstLineChars="250"/>
        <w:rPr>
          <w:rFonts w:hint="eastAsia" w:ascii="华文中宋" w:hAnsi="华文中宋" w:eastAsia="华文中宋" w:cs="华文中宋"/>
          <w:color w:val="auto"/>
          <w:sz w:val="22"/>
          <w:szCs w:val="22"/>
          <w:highlight w:val="none"/>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ind w:left="630" w:leftChars="300"/>
        <w:rPr>
          <w:rFonts w:hint="eastAsia" w:ascii="华文中宋" w:hAnsi="华文中宋" w:eastAsia="华文中宋" w:cs="华文中宋"/>
          <w:color w:val="auto"/>
          <w:sz w:val="22"/>
          <w:szCs w:val="22"/>
          <w:highlight w:val="none"/>
          <w:lang w:eastAsia="zh-CN"/>
        </w:rPr>
      </w:pPr>
    </w:p>
    <w:p>
      <w:pPr>
        <w:adjustRightInd w:val="0"/>
        <w:snapToGrid w:val="0"/>
        <w:spacing w:line="360" w:lineRule="exact"/>
        <w:rPr>
          <w:rFonts w:hint="eastAsia" w:ascii="华文中宋" w:hAnsi="华文中宋" w:eastAsia="华文中宋" w:cs="华文中宋"/>
          <w:color w:val="auto"/>
          <w:sz w:val="22"/>
          <w:szCs w:val="22"/>
          <w:highlight w:val="none"/>
          <w:lang w:val="en-US" w:eastAsia="zh-CN"/>
        </w:rPr>
      </w:pPr>
    </w:p>
    <w:p>
      <w:pPr>
        <w:rPr>
          <w:rFonts w:hint="eastAsia" w:ascii="华文中宋" w:hAnsi="华文中宋" w:eastAsia="华文中宋" w:cs="华文中宋"/>
        </w:rPr>
      </w:pPr>
    </w:p>
    <w:p>
      <w:pPr>
        <w:spacing w:line="480" w:lineRule="exact"/>
        <w:outlineLvl w:val="0"/>
        <w:rPr>
          <w:rFonts w:hint="eastAsia" w:ascii="华文中宋" w:hAnsi="华文中宋" w:eastAsia="华文中宋" w:cs="华文中宋"/>
          <w:b/>
          <w:bCs/>
          <w:sz w:val="30"/>
          <w:szCs w:val="30"/>
        </w:rPr>
      </w:pPr>
      <w:bookmarkStart w:id="228" w:name="_Toc1404"/>
      <w:bookmarkEnd w:id="228"/>
      <w:bookmarkStart w:id="229" w:name="_Toc14228"/>
      <w:bookmarkEnd w:id="229"/>
      <w:bookmarkStart w:id="230" w:name="_Toc8043"/>
      <w:bookmarkEnd w:id="230"/>
      <w:bookmarkStart w:id="231" w:name="_Toc7651"/>
      <w:bookmarkEnd w:id="231"/>
    </w:p>
    <w:p>
      <w:pPr>
        <w:rPr>
          <w:rFonts w:hint="eastAsia" w:ascii="华文中宋" w:hAnsi="华文中宋" w:eastAsia="华文中宋" w:cs="华文中宋"/>
          <w:b/>
          <w:sz w:val="32"/>
          <w:szCs w:val="44"/>
          <w:u w:val="single"/>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480" w:lineRule="exact"/>
        <w:jc w:val="left"/>
        <w:rPr>
          <w:rFonts w:hint="eastAsia" w:ascii="华文中宋" w:hAnsi="华文中宋" w:eastAsia="华文中宋" w:cs="华文中宋"/>
          <w:b w:val="0"/>
          <w:bCs/>
          <w:sz w:val="22"/>
          <w:szCs w:val="22"/>
          <w:lang w:val="en-US" w:eastAsia="zh-CN"/>
        </w:rPr>
      </w:pPr>
    </w:p>
    <w:p>
      <w:pPr>
        <w:spacing w:line="480" w:lineRule="exact"/>
        <w:jc w:val="left"/>
        <w:rPr>
          <w:rFonts w:hint="eastAsia" w:ascii="华文中宋" w:hAnsi="华文中宋" w:eastAsia="华文中宋" w:cs="华文中宋"/>
          <w:b w:val="0"/>
          <w:bCs/>
          <w:sz w:val="22"/>
          <w:szCs w:val="22"/>
        </w:rPr>
      </w:pPr>
      <w:r>
        <w:rPr>
          <w:rFonts w:hint="eastAsia" w:ascii="华文中宋" w:hAnsi="华文中宋" w:eastAsia="华文中宋" w:cs="华文中宋"/>
          <w:b w:val="0"/>
          <w:bCs/>
          <w:sz w:val="22"/>
          <w:szCs w:val="22"/>
          <w:lang w:val="en-US" w:eastAsia="zh-CN"/>
        </w:rPr>
        <w:t>16</w:t>
      </w:r>
      <w:r>
        <w:rPr>
          <w:rFonts w:hint="eastAsia" w:ascii="华文中宋" w:hAnsi="华文中宋" w:eastAsia="华文中宋" w:cs="华文中宋"/>
          <w:b w:val="0"/>
          <w:bCs/>
          <w:sz w:val="22"/>
          <w:szCs w:val="22"/>
        </w:rPr>
        <w:t>、供应商认为有必要说明的资格问题。</w:t>
      </w:r>
    </w:p>
    <w:p>
      <w:pPr>
        <w:spacing w:beforeLines="50" w:afterLines="100"/>
        <w:ind w:firstLine="496" w:firstLineChars="200"/>
        <w:rPr>
          <w:rFonts w:hint="eastAsia" w:ascii="华文中宋" w:hAnsi="华文中宋" w:eastAsia="华文中宋" w:cs="华文中宋"/>
          <w:b/>
          <w:spacing w:val="4"/>
          <w:sz w:val="30"/>
          <w:szCs w:val="30"/>
        </w:rPr>
      </w:pPr>
      <w:r>
        <w:rPr>
          <w:rFonts w:hint="eastAsia" w:ascii="华文中宋" w:hAnsi="华文中宋" w:eastAsia="华文中宋" w:cs="华文中宋"/>
          <w:bCs/>
          <w:spacing w:val="4"/>
          <w:sz w:val="24"/>
        </w:rPr>
        <w:t>格式内容自拟</w:t>
      </w: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spacing w:line="360" w:lineRule="exact"/>
        <w:ind w:firstLine="1602" w:firstLineChars="500"/>
        <w:outlineLvl w:val="0"/>
        <w:rPr>
          <w:rFonts w:hint="eastAsia" w:ascii="华文中宋" w:hAnsi="华文中宋" w:eastAsia="华文中宋" w:cs="华文中宋"/>
          <w:b/>
          <w:bCs/>
          <w:color w:val="auto"/>
          <w:sz w:val="32"/>
          <w:szCs w:val="40"/>
        </w:rPr>
      </w:pPr>
    </w:p>
    <w:p>
      <w:pPr>
        <w:pStyle w:val="2"/>
        <w:ind w:left="0" w:leftChars="0" w:firstLine="0" w:firstLineChars="0"/>
        <w:rPr>
          <w:rFonts w:hint="eastAsia" w:ascii="华文中宋" w:hAnsi="华文中宋" w:eastAsia="华文中宋" w:cs="华文中宋"/>
        </w:rPr>
      </w:pPr>
    </w:p>
    <w:p>
      <w:pPr>
        <w:spacing w:line="360" w:lineRule="exact"/>
        <w:ind w:firstLine="1602" w:firstLineChars="500"/>
        <w:outlineLvl w:val="0"/>
        <w:rPr>
          <w:rFonts w:hint="eastAsia" w:ascii="华文中宋" w:hAnsi="华文中宋" w:eastAsia="华文中宋" w:cs="华文中宋"/>
          <w:b/>
          <w:bCs/>
          <w:color w:val="auto"/>
          <w:sz w:val="32"/>
          <w:szCs w:val="40"/>
          <w:lang w:val="en-US" w:eastAsia="zh-CN"/>
        </w:rPr>
      </w:pPr>
      <w:r>
        <w:rPr>
          <w:rFonts w:hint="eastAsia" w:ascii="华文中宋" w:hAnsi="华文中宋" w:eastAsia="华文中宋" w:cs="华文中宋"/>
          <w:b/>
          <w:bCs/>
          <w:color w:val="auto"/>
          <w:sz w:val="32"/>
          <w:szCs w:val="40"/>
        </w:rPr>
        <w:t>第</w:t>
      </w:r>
      <w:r>
        <w:rPr>
          <w:rFonts w:hint="eastAsia" w:ascii="华文中宋" w:hAnsi="华文中宋" w:eastAsia="华文中宋" w:cs="华文中宋"/>
          <w:b/>
          <w:bCs/>
          <w:color w:val="auto"/>
          <w:sz w:val="32"/>
          <w:szCs w:val="40"/>
          <w:lang w:val="en-US" w:eastAsia="zh-CN"/>
        </w:rPr>
        <w:t>7</w:t>
      </w:r>
      <w:r>
        <w:rPr>
          <w:rFonts w:hint="eastAsia" w:ascii="华文中宋" w:hAnsi="华文中宋" w:eastAsia="华文中宋" w:cs="华文中宋"/>
          <w:b/>
          <w:bCs/>
          <w:color w:val="auto"/>
          <w:sz w:val="32"/>
          <w:szCs w:val="40"/>
        </w:rPr>
        <w:t>部分   磋商保证金退还</w:t>
      </w:r>
      <w:r>
        <w:rPr>
          <w:rFonts w:hint="eastAsia" w:ascii="华文中宋" w:hAnsi="华文中宋" w:eastAsia="华文中宋" w:cs="华文中宋"/>
          <w:b/>
          <w:bCs/>
          <w:color w:val="auto"/>
          <w:sz w:val="32"/>
          <w:szCs w:val="40"/>
          <w:lang w:val="en-US" w:eastAsia="zh-CN"/>
        </w:rPr>
        <w:t>信息</w:t>
      </w:r>
    </w:p>
    <w:p>
      <w:pPr>
        <w:spacing w:line="360" w:lineRule="auto"/>
        <w:rPr>
          <w:rFonts w:hint="eastAsia" w:ascii="华文中宋" w:hAnsi="华文中宋" w:eastAsia="华文中宋" w:cs="华文中宋"/>
          <w:color w:val="0000FF"/>
          <w:sz w:val="22"/>
          <w:szCs w:val="22"/>
        </w:rPr>
      </w:pPr>
    </w:p>
    <w:p>
      <w:pPr>
        <w:spacing w:line="480" w:lineRule="auto"/>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pacing w:val="4"/>
          <w:sz w:val="22"/>
          <w:szCs w:val="22"/>
          <w:highlight w:val="none"/>
        </w:rPr>
        <w:t>致：</w:t>
      </w:r>
      <w:r>
        <w:rPr>
          <w:rFonts w:hint="eastAsia" w:ascii="华文中宋" w:hAnsi="华文中宋" w:eastAsia="华文中宋" w:cs="华文中宋"/>
          <w:color w:val="auto"/>
          <w:spacing w:val="4"/>
          <w:sz w:val="22"/>
          <w:szCs w:val="22"/>
          <w:highlight w:val="none"/>
          <w:lang w:eastAsia="zh-CN"/>
        </w:rPr>
        <w:t>陕西信鹏项目管理有限公司</w:t>
      </w:r>
    </w:p>
    <w:p>
      <w:pPr>
        <w:spacing w:line="480" w:lineRule="auto"/>
        <w:ind w:firstLine="482"/>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我单位为</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项目（项目编号：</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）提交的保证金</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元（大写：</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rPr>
        <w:t>），按</w:t>
      </w:r>
      <w:r>
        <w:rPr>
          <w:rFonts w:hint="eastAsia" w:ascii="华文中宋" w:hAnsi="华文中宋" w:eastAsia="华文中宋" w:cs="华文中宋"/>
          <w:color w:val="auto"/>
          <w:sz w:val="22"/>
          <w:szCs w:val="22"/>
          <w:highlight w:val="none"/>
          <w:lang w:val="en-US" w:eastAsia="zh-CN"/>
        </w:rPr>
        <w:t>磋商</w:t>
      </w:r>
      <w:r>
        <w:rPr>
          <w:rFonts w:hint="eastAsia" w:ascii="华文中宋" w:hAnsi="华文中宋" w:eastAsia="华文中宋" w:cs="华文中宋"/>
          <w:color w:val="auto"/>
          <w:sz w:val="22"/>
          <w:szCs w:val="22"/>
          <w:highlight w:val="none"/>
        </w:rPr>
        <w:t>文件规定退还至下列账户：</w:t>
      </w:r>
    </w:p>
    <w:p>
      <w:pPr>
        <w:spacing w:line="480" w:lineRule="auto"/>
        <w:ind w:firstLine="482"/>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收款单位：</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rPr>
        <w:t>（与</w:t>
      </w:r>
      <w:r>
        <w:rPr>
          <w:rFonts w:hint="eastAsia" w:ascii="华文中宋" w:hAnsi="华文中宋" w:eastAsia="华文中宋" w:cs="华文中宋"/>
          <w:color w:val="auto"/>
          <w:sz w:val="22"/>
          <w:szCs w:val="22"/>
          <w:highlight w:val="none"/>
          <w:lang w:val="en-US" w:eastAsia="zh-CN"/>
        </w:rPr>
        <w:t>响应人</w:t>
      </w:r>
      <w:r>
        <w:rPr>
          <w:rFonts w:hint="eastAsia" w:ascii="华文中宋" w:hAnsi="华文中宋" w:eastAsia="华文中宋" w:cs="华文中宋"/>
          <w:color w:val="auto"/>
          <w:sz w:val="22"/>
          <w:szCs w:val="22"/>
          <w:highlight w:val="none"/>
        </w:rPr>
        <w:t>名称一致）</w:t>
      </w:r>
    </w:p>
    <w:p>
      <w:pPr>
        <w:spacing w:line="480" w:lineRule="auto"/>
        <w:ind w:firstLine="482"/>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开</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rPr>
        <w:t>户</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rPr>
        <w:t>行：</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rPr>
        <w:t>（详细准确无误）</w:t>
      </w:r>
    </w:p>
    <w:p>
      <w:pPr>
        <w:spacing w:line="480" w:lineRule="auto"/>
        <w:ind w:firstLine="482"/>
        <w:rPr>
          <w:rFonts w:hint="eastAsia" w:ascii="华文中宋" w:hAnsi="华文中宋" w:eastAsia="华文中宋" w:cs="华文中宋"/>
          <w:color w:val="auto"/>
          <w:sz w:val="22"/>
          <w:szCs w:val="22"/>
          <w:highlight w:val="none"/>
          <w:lang w:val="en-US" w:eastAsia="zh-CN"/>
        </w:rPr>
      </w:pPr>
      <w:r>
        <w:rPr>
          <w:rFonts w:hint="eastAsia" w:ascii="华文中宋" w:hAnsi="华文中宋" w:eastAsia="华文中宋" w:cs="华文中宋"/>
          <w:color w:val="auto"/>
          <w:sz w:val="22"/>
          <w:szCs w:val="22"/>
          <w:highlight w:val="none"/>
        </w:rPr>
        <w:t>银行帐号：</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rPr>
        <w:t>（详细准确无误）</w:t>
      </w:r>
    </w:p>
    <w:p>
      <w:pPr>
        <w:spacing w:line="360" w:lineRule="auto"/>
        <w:rPr>
          <w:rFonts w:hint="eastAsia" w:ascii="华文中宋" w:hAnsi="华文中宋" w:eastAsia="华文中宋" w:cs="华文中宋"/>
          <w:b w:val="0"/>
          <w:bCs/>
          <w:color w:val="auto"/>
          <w:sz w:val="22"/>
          <w:szCs w:val="22"/>
          <w:highlight w:val="none"/>
        </w:rPr>
      </w:pPr>
    </w:p>
    <w:p>
      <w:pPr>
        <w:spacing w:line="360" w:lineRule="auto"/>
        <w:ind w:firstLine="630"/>
        <w:rPr>
          <w:rFonts w:hint="eastAsia" w:ascii="华文中宋" w:hAnsi="华文中宋" w:eastAsia="华文中宋" w:cs="华文中宋"/>
          <w:b w:val="0"/>
          <w:bCs/>
          <w:color w:val="auto"/>
          <w:sz w:val="22"/>
          <w:szCs w:val="22"/>
          <w:highlight w:val="none"/>
        </w:rPr>
      </w:pPr>
    </w:p>
    <w:p>
      <w:pPr>
        <w:spacing w:line="360" w:lineRule="auto"/>
        <w:ind w:firstLine="630"/>
        <w:rPr>
          <w:rFonts w:hint="eastAsia" w:ascii="华文中宋" w:hAnsi="华文中宋" w:eastAsia="华文中宋" w:cs="华文中宋"/>
          <w:b w:val="0"/>
          <w:bCs/>
          <w:color w:val="auto"/>
          <w:sz w:val="22"/>
          <w:szCs w:val="22"/>
          <w:highlight w:val="none"/>
        </w:rPr>
      </w:pPr>
      <w:r>
        <w:rPr>
          <w:rFonts w:hint="eastAsia" w:ascii="华文中宋" w:hAnsi="华文中宋" w:eastAsia="华文中宋" w:cs="华文中宋"/>
          <w:b w:val="0"/>
          <w:bCs/>
          <w:color w:val="auto"/>
          <w:sz w:val="22"/>
          <w:szCs w:val="22"/>
          <w:highlight w:val="none"/>
        </w:rPr>
        <w:t>声明：我单位保证以上收款单位名称、开户行和银行账号与缴纳保证金的单位名称、开户行和银行账号一致，否则由此造成的投标保证金无法退还或迟延退还，一切后果由我单位自行承担，采购代理机构概不负责。</w:t>
      </w:r>
    </w:p>
    <w:p>
      <w:pPr>
        <w:tabs>
          <w:tab w:val="left" w:pos="676"/>
          <w:tab w:val="left" w:pos="2330"/>
          <w:tab w:val="left" w:pos="4266"/>
        </w:tabs>
        <w:spacing w:line="480" w:lineRule="exact"/>
        <w:rPr>
          <w:rFonts w:hint="eastAsia" w:ascii="华文中宋" w:hAnsi="华文中宋" w:eastAsia="华文中宋" w:cs="华文中宋"/>
          <w:color w:val="auto"/>
          <w:sz w:val="22"/>
          <w:szCs w:val="22"/>
          <w:highlight w:val="none"/>
          <w:lang w:eastAsia="zh-CN"/>
        </w:rPr>
      </w:pPr>
    </w:p>
    <w:p>
      <w:pPr>
        <w:tabs>
          <w:tab w:val="left" w:pos="676"/>
          <w:tab w:val="left" w:pos="2330"/>
          <w:tab w:val="left" w:pos="9230"/>
        </w:tabs>
        <w:spacing w:line="480" w:lineRule="exact"/>
        <w:ind w:firstLine="1980" w:firstLineChars="900"/>
        <w:rPr>
          <w:rFonts w:hint="eastAsia" w:ascii="华文中宋" w:hAnsi="华文中宋" w:eastAsia="华文中宋" w:cs="华文中宋"/>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3192" w:firstLineChars="1400"/>
        <w:textAlignment w:val="auto"/>
        <w:rPr>
          <w:rFonts w:hint="eastAsia" w:ascii="华文中宋" w:hAnsi="华文中宋" w:eastAsia="华文中宋" w:cs="华文中宋"/>
          <w:color w:val="auto"/>
          <w:sz w:val="22"/>
          <w:szCs w:val="22"/>
          <w:highlight w:val="none"/>
          <w:u w:val="none"/>
          <w:lang w:val="zh-CN"/>
        </w:rPr>
      </w:pPr>
      <w:r>
        <w:rPr>
          <w:rFonts w:hint="eastAsia" w:ascii="华文中宋" w:hAnsi="华文中宋" w:eastAsia="华文中宋" w:cs="华文中宋"/>
          <w:color w:val="auto"/>
          <w:spacing w:val="4"/>
          <w:sz w:val="22"/>
          <w:szCs w:val="22"/>
          <w:highlight w:val="none"/>
          <w:lang w:val="en-US" w:eastAsia="zh-CN"/>
        </w:rPr>
        <w:t xml:space="preserve"> </w:t>
      </w:r>
      <w:r>
        <w:rPr>
          <w:rFonts w:hint="eastAsia" w:ascii="华文中宋" w:hAnsi="华文中宋" w:eastAsia="华文中宋" w:cs="华文中宋"/>
          <w:color w:val="auto"/>
          <w:sz w:val="22"/>
          <w:szCs w:val="22"/>
          <w:highlight w:val="none"/>
          <w:lang w:val="en-US" w:eastAsia="zh-CN"/>
        </w:rPr>
        <w:t>供应商</w:t>
      </w:r>
      <w:r>
        <w:rPr>
          <w:rFonts w:hint="eastAsia" w:ascii="华文中宋" w:hAnsi="华文中宋" w:eastAsia="华文中宋" w:cs="华文中宋"/>
          <w:color w:val="auto"/>
          <w:sz w:val="22"/>
          <w:szCs w:val="22"/>
          <w:highlight w:val="none"/>
          <w:lang w:val="zh-CN"/>
        </w:rPr>
        <w:t>：</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u w:val="none"/>
          <w:lang w:eastAsia="zh-CN"/>
        </w:rPr>
        <w:t>（</w:t>
      </w:r>
      <w:r>
        <w:rPr>
          <w:rFonts w:hint="eastAsia" w:ascii="华文中宋" w:hAnsi="华文中宋" w:eastAsia="华文中宋" w:cs="华文中宋"/>
          <w:color w:val="auto"/>
          <w:sz w:val="22"/>
          <w:szCs w:val="22"/>
          <w:highlight w:val="none"/>
          <w:u w:val="none"/>
          <w:lang w:val="zh-CN"/>
        </w:rPr>
        <w:t>公章）</w:t>
      </w:r>
    </w:p>
    <w:p>
      <w:pPr>
        <w:keepNext w:val="0"/>
        <w:keepLines w:val="0"/>
        <w:pageBreakBefore w:val="0"/>
        <w:widowControl w:val="0"/>
        <w:kinsoku/>
        <w:wordWrap/>
        <w:overflowPunct/>
        <w:topLinePunct w:val="0"/>
        <w:autoSpaceDE/>
        <w:autoSpaceDN/>
        <w:bidi w:val="0"/>
        <w:adjustRightInd/>
        <w:snapToGrid/>
        <w:spacing w:line="360" w:lineRule="auto"/>
        <w:ind w:firstLine="3300" w:firstLineChars="1500"/>
        <w:textAlignment w:val="auto"/>
        <w:rPr>
          <w:rFonts w:hint="eastAsia" w:ascii="华文中宋" w:hAnsi="华文中宋" w:eastAsia="华文中宋" w:cs="华文中宋"/>
          <w:color w:val="auto"/>
          <w:sz w:val="22"/>
          <w:szCs w:val="22"/>
          <w:highlight w:val="none"/>
          <w:lang w:val="zh-CN"/>
        </w:rPr>
      </w:pPr>
      <w:r>
        <w:rPr>
          <w:rFonts w:hint="eastAsia" w:ascii="华文中宋" w:hAnsi="华文中宋" w:eastAsia="华文中宋" w:cs="华文中宋"/>
          <w:color w:val="auto"/>
          <w:sz w:val="22"/>
          <w:szCs w:val="22"/>
          <w:highlight w:val="none"/>
          <w:lang w:val="zh-CN"/>
        </w:rPr>
        <w:t>法定代表人或其授权代表：</w:t>
      </w:r>
      <w:r>
        <w:rPr>
          <w:rFonts w:hint="eastAsia" w:ascii="华文中宋" w:hAnsi="华文中宋" w:eastAsia="华文中宋" w:cs="华文中宋"/>
          <w:color w:val="auto"/>
          <w:sz w:val="22"/>
          <w:szCs w:val="22"/>
          <w:highlight w:val="none"/>
          <w:u w:val="single"/>
        </w:rPr>
        <w:t xml:space="preserve">     </w:t>
      </w:r>
      <w:r>
        <w:rPr>
          <w:rFonts w:hint="eastAsia" w:ascii="华文中宋" w:hAnsi="华文中宋" w:eastAsia="华文中宋" w:cs="华文中宋"/>
          <w:color w:val="auto"/>
          <w:sz w:val="22"/>
          <w:szCs w:val="22"/>
          <w:highlight w:val="none"/>
          <w:u w:val="single"/>
          <w:lang w:val="en-US" w:eastAsia="zh-CN"/>
        </w:rPr>
        <w:t xml:space="preserve"> </w:t>
      </w:r>
      <w:r>
        <w:rPr>
          <w:rFonts w:hint="eastAsia" w:ascii="华文中宋" w:hAnsi="华文中宋" w:eastAsia="华文中宋" w:cs="华文中宋"/>
          <w:color w:val="auto"/>
          <w:sz w:val="22"/>
          <w:szCs w:val="22"/>
          <w:highlight w:val="none"/>
          <w:lang w:val="zh-CN"/>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color w:val="auto"/>
          <w:sz w:val="22"/>
          <w:szCs w:val="22"/>
          <w:highlight w:val="none"/>
          <w:lang w:val="zh-CN"/>
        </w:rPr>
      </w:pPr>
      <w:r>
        <w:rPr>
          <w:rFonts w:hint="eastAsia" w:ascii="华文中宋" w:hAnsi="华文中宋" w:eastAsia="华文中宋" w:cs="华文中宋"/>
          <w:color w:val="auto"/>
          <w:sz w:val="22"/>
          <w:szCs w:val="22"/>
          <w:highlight w:val="none"/>
          <w:lang w:val="zh-CN"/>
        </w:rPr>
        <w:t xml:space="preserve"> </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lang w:val="zh-CN"/>
        </w:rPr>
        <w:t>日期：</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zh-CN"/>
        </w:rPr>
        <w:t>年</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zh-CN"/>
        </w:rPr>
        <w:t>月</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en-US" w:eastAsia="zh-CN"/>
        </w:rPr>
        <w:t xml:space="preserve"> </w:t>
      </w:r>
      <w:r>
        <w:rPr>
          <w:rFonts w:hint="eastAsia" w:ascii="华文中宋" w:hAnsi="华文中宋" w:eastAsia="华文中宋" w:cs="华文中宋"/>
          <w:color w:val="auto"/>
          <w:sz w:val="22"/>
          <w:szCs w:val="22"/>
          <w:highlight w:val="none"/>
        </w:rPr>
        <w:t xml:space="preserve"> </w:t>
      </w:r>
      <w:r>
        <w:rPr>
          <w:rFonts w:hint="eastAsia" w:ascii="华文中宋" w:hAnsi="华文中宋" w:eastAsia="华文中宋" w:cs="华文中宋"/>
          <w:color w:val="auto"/>
          <w:sz w:val="22"/>
          <w:szCs w:val="22"/>
          <w:highlight w:val="none"/>
          <w:lang w:val="zh-CN"/>
        </w:rPr>
        <w:t>日</w:t>
      </w:r>
    </w:p>
    <w:p>
      <w:pPr>
        <w:pStyle w:val="109"/>
        <w:rPr>
          <w:rFonts w:hint="eastAsia" w:ascii="华文中宋" w:hAnsi="华文中宋" w:eastAsia="华文中宋" w:cs="华文中宋"/>
          <w:color w:val="auto"/>
          <w:sz w:val="22"/>
          <w:szCs w:val="22"/>
          <w:highlight w:val="none"/>
        </w:rPr>
      </w:pPr>
    </w:p>
    <w:p>
      <w:pPr>
        <w:pStyle w:val="109"/>
        <w:ind w:left="0" w:leftChars="0" w:firstLine="0" w:firstLineChars="0"/>
        <w:rPr>
          <w:rFonts w:hint="eastAsia" w:ascii="华文中宋" w:hAnsi="华文中宋" w:eastAsia="华文中宋" w:cs="华文中宋"/>
          <w:color w:val="auto"/>
          <w:sz w:val="22"/>
          <w:szCs w:val="22"/>
          <w:highlight w:val="none"/>
          <w:lang w:val="en-US" w:eastAsia="zh-CN"/>
        </w:rPr>
      </w:pPr>
    </w:p>
    <w:p>
      <w:pPr>
        <w:pStyle w:val="109"/>
        <w:ind w:left="0" w:leftChars="0" w:firstLine="0" w:firstLineChars="0"/>
        <w:rPr>
          <w:rFonts w:hint="eastAsia" w:ascii="华文中宋" w:hAnsi="华文中宋" w:eastAsia="华文中宋" w:cs="华文中宋"/>
          <w:color w:val="auto"/>
          <w:sz w:val="21"/>
          <w:szCs w:val="21"/>
          <w:highlight w:val="none"/>
          <w:lang w:val="en-US" w:eastAsia="zh-CN"/>
        </w:rPr>
      </w:pPr>
    </w:p>
    <w:p>
      <w:pPr>
        <w:rPr>
          <w:rFonts w:hint="eastAsia" w:ascii="华文中宋" w:hAnsi="华文中宋" w:eastAsia="华文中宋" w:cs="华文中宋"/>
          <w:b/>
          <w:bCs/>
          <w:sz w:val="32"/>
          <w:szCs w:val="40"/>
        </w:rPr>
      </w:pPr>
      <w:r>
        <w:rPr>
          <w:rFonts w:hint="eastAsia" w:ascii="华文中宋" w:hAnsi="华文中宋" w:eastAsia="华文中宋" w:cs="华文中宋"/>
          <w:color w:val="auto"/>
          <w:sz w:val="21"/>
          <w:szCs w:val="21"/>
          <w:highlight w:val="none"/>
          <w:lang w:val="en-US" w:eastAsia="zh-CN"/>
        </w:rPr>
        <w:t>注：此页后附基本账户转出投标保证金的转账凭证复印件、基本账户开户许可证复印件。</w:t>
      </w:r>
    </w:p>
    <w:p>
      <w:pPr>
        <w:pStyle w:val="14"/>
        <w:rPr>
          <w:rFonts w:hint="eastAsia" w:ascii="华文中宋" w:hAnsi="华文中宋" w:eastAsia="华文中宋" w:cs="华文中宋"/>
          <w:b/>
          <w:bCs/>
          <w:sz w:val="32"/>
          <w:szCs w:val="40"/>
        </w:rPr>
      </w:pPr>
    </w:p>
    <w:p>
      <w:pPr>
        <w:pStyle w:val="14"/>
        <w:rPr>
          <w:rFonts w:hint="eastAsia" w:ascii="华文中宋" w:hAnsi="华文中宋" w:eastAsia="华文中宋" w:cs="华文中宋"/>
          <w:b/>
          <w:bCs/>
          <w:sz w:val="32"/>
          <w:szCs w:val="40"/>
        </w:rPr>
      </w:pPr>
    </w:p>
    <w:p>
      <w:pPr>
        <w:pStyle w:val="14"/>
        <w:rPr>
          <w:rFonts w:hint="eastAsia" w:ascii="华文中宋" w:hAnsi="华文中宋" w:eastAsia="华文中宋" w:cs="华文中宋"/>
          <w:b/>
          <w:bCs/>
          <w:sz w:val="32"/>
          <w:szCs w:val="40"/>
        </w:rPr>
      </w:pPr>
      <w:r>
        <w:rPr>
          <w:rFonts w:hint="eastAsia" w:ascii="华文中宋" w:hAnsi="华文中宋" w:eastAsia="华文中宋" w:cs="华文中宋"/>
          <w:b/>
          <w:bCs/>
          <w:sz w:val="32"/>
          <w:szCs w:val="40"/>
        </w:rPr>
        <w:t>格式A</w:t>
      </w:r>
    </w:p>
    <w:p>
      <w:pPr>
        <w:pStyle w:val="14"/>
        <w:ind w:firstLine="1602" w:firstLineChars="500"/>
        <w:outlineLvl w:val="0"/>
        <w:rPr>
          <w:rFonts w:hint="eastAsia" w:ascii="华文中宋" w:hAnsi="华文中宋" w:eastAsia="华文中宋" w:cs="华文中宋"/>
        </w:rPr>
      </w:pPr>
      <w:bookmarkStart w:id="232" w:name="_Toc10581_WPSOffice_Level1"/>
      <w:bookmarkStart w:id="233" w:name="_Toc28598_WPSOffice_Level1"/>
      <w:bookmarkStart w:id="234" w:name="_Toc12611"/>
      <w:bookmarkStart w:id="235" w:name="_Toc3120"/>
      <w:bookmarkStart w:id="236" w:name="_Toc32573"/>
      <w:bookmarkStart w:id="237" w:name="_Toc12103"/>
      <w:bookmarkStart w:id="238" w:name="_Toc16261_WPSOffice_Level1"/>
      <w:bookmarkStart w:id="239" w:name="_Toc396_WPSOffice_Level1"/>
      <w:bookmarkStart w:id="240" w:name="_Toc5088"/>
      <w:r>
        <w:rPr>
          <w:rFonts w:hint="eastAsia" w:ascii="华文中宋" w:hAnsi="华文中宋" w:eastAsia="华文中宋" w:cs="华文中宋"/>
          <w:b/>
          <w:bCs/>
          <w:sz w:val="32"/>
          <w:szCs w:val="40"/>
        </w:rPr>
        <w:t>磋商响应文件正面标识式样</w:t>
      </w:r>
      <w:bookmarkEnd w:id="232"/>
      <w:bookmarkEnd w:id="233"/>
      <w:bookmarkEnd w:id="234"/>
      <w:bookmarkEnd w:id="235"/>
      <w:bookmarkEnd w:id="236"/>
      <w:bookmarkEnd w:id="237"/>
      <w:bookmarkEnd w:id="238"/>
      <w:bookmarkEnd w:id="239"/>
      <w:bookmarkEnd w:id="240"/>
    </w:p>
    <w:p>
      <w:pPr>
        <w:rPr>
          <w:rFonts w:hint="eastAsia" w:ascii="华文中宋" w:hAnsi="华文中宋" w:eastAsia="华文中宋" w:cs="华文中宋"/>
          <w:b/>
          <w:sz w:val="32"/>
          <w:szCs w:val="32"/>
        </w:rPr>
      </w:pPr>
      <w:r>
        <w:rPr>
          <w:rFonts w:hint="eastAsia" w:ascii="华文中宋" w:hAnsi="华文中宋" w:eastAsia="华文中宋" w:cs="华文中宋"/>
        </w:rPr>
        <mc:AlternateContent>
          <mc:Choice Requires="wps">
            <w:drawing>
              <wp:anchor distT="0" distB="0" distL="114300" distR="114300" simplePos="0" relativeHeight="251657216" behindDoc="0" locked="0" layoutInCell="1" allowOverlap="1">
                <wp:simplePos x="0" y="0"/>
                <wp:positionH relativeFrom="column">
                  <wp:posOffset>-17780</wp:posOffset>
                </wp:positionH>
                <wp:positionV relativeFrom="paragraph">
                  <wp:posOffset>238125</wp:posOffset>
                </wp:positionV>
                <wp:extent cx="5335905" cy="3230880"/>
                <wp:effectExtent l="19050" t="19050" r="29845" b="26670"/>
                <wp:wrapNone/>
                <wp:docPr id="2" name="文本框 5"/>
                <wp:cNvGraphicFramePr/>
                <a:graphic xmlns:a="http://schemas.openxmlformats.org/drawingml/2006/main">
                  <a:graphicData uri="http://schemas.microsoft.com/office/word/2010/wordprocessingShape">
                    <wps:wsp>
                      <wps:cNvSpPr txBox="1"/>
                      <wps:spPr>
                        <a:xfrm>
                          <a:off x="0" y="0"/>
                          <a:ext cx="5335905" cy="32308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lang w:eastAsia="zh-CN"/>
                              </w:rPr>
                              <w:t>陕西信鹏项目管理有限公司</w:t>
                            </w:r>
                            <w:r>
                              <w:rPr>
                                <w:rFonts w:hint="eastAsia" w:asciiTheme="minorEastAsia" w:hAnsiTheme="minorEastAsia" w:eastAsiaTheme="minorEastAsia" w:cstheme="minorEastAsia"/>
                              </w:rPr>
                              <w:t xml:space="preserve">      项目编号：</w:t>
                            </w:r>
                          </w:p>
                          <w:p>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w:t>
                            </w:r>
                          </w:p>
                          <w:p>
                            <w:pPr>
                              <w:spacing w:line="440" w:lineRule="exact"/>
                              <w:jc w:val="center"/>
                              <w:rPr>
                                <w:rFonts w:hint="eastAsia" w:asciiTheme="minorEastAsia" w:hAnsiTheme="minorEastAsia" w:eastAsiaTheme="minorEastAsia" w:cstheme="minorEastAsia"/>
                                <w:sz w:val="36"/>
                                <w:szCs w:val="36"/>
                              </w:rPr>
                            </w:pPr>
                          </w:p>
                          <w:p>
                            <w:pPr>
                              <w:spacing w:line="440" w:lineRule="exact"/>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磋 商 响 应 文 件（正本）</w:t>
                            </w:r>
                          </w:p>
                          <w:p>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（非开标大会不得启封）</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磋商供应商名称：（公章）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封装内容：</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文件正本及响应文件电子U盘</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通讯地址：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联系人电话：</w:t>
                            </w: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rPr>
                            </w:pPr>
                          </w:p>
                          <w:p>
                            <w:pPr>
                              <w:spacing w:line="440" w:lineRule="exact"/>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rPr>
                            </w:pPr>
                          </w:p>
                        </w:txbxContent>
                      </wps:txbx>
                      <wps:bodyPr upright="1"/>
                    </wps:wsp>
                  </a:graphicData>
                </a:graphic>
              </wp:anchor>
            </w:drawing>
          </mc:Choice>
          <mc:Fallback>
            <w:pict>
              <v:shape id="文本框 5" o:spid="_x0000_s1026" o:spt="202" type="#_x0000_t202" style="position:absolute;left:0pt;margin-left:-1.4pt;margin-top:18.75pt;height:254.4pt;width:420.15pt;z-index:251657216;mso-width-relative:page;mso-height-relative:page;" fillcolor="#FFFFFF" filled="t" stroked="t" coordsize="21600,21600" o:gfxdata="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vlhENgAAAAJAQAADwAAAAAAAAABACAAAAAiAAAAZHJzL2Rvd25yZXYueG1s&#10;UEsBAhQAFAAAAAgAh07iQMvY+Az4AQAA+AMAAA4AAAAAAAAAAQAgAAAAJwEAAGRycy9lMm9Eb2Mu&#10;eG1sUEsFBgAAAAAGAAYAWQEAAJEFAAAAAA==&#10;">
                <v:fill on="t" focussize="0,0"/>
                <v:stroke weight="3pt" color="#000000" linestyle="thinThin" joinstyle="miter"/>
                <v:imagedata o:title=""/>
                <o:lock v:ext="edit" aspectratio="f"/>
                <v:textbox>
                  <w:txbxContent>
                    <w:p>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lang w:eastAsia="zh-CN"/>
                        </w:rPr>
                        <w:t>陕西信鹏项目管理有限公司</w:t>
                      </w:r>
                      <w:r>
                        <w:rPr>
                          <w:rFonts w:hint="eastAsia" w:asciiTheme="minorEastAsia" w:hAnsiTheme="minorEastAsia" w:eastAsiaTheme="minorEastAsia" w:cstheme="minorEastAsia"/>
                        </w:rPr>
                        <w:t xml:space="preserve">      项目编号：</w:t>
                      </w:r>
                    </w:p>
                    <w:p>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w:t>
                      </w:r>
                    </w:p>
                    <w:p>
                      <w:pPr>
                        <w:spacing w:line="440" w:lineRule="exact"/>
                        <w:jc w:val="center"/>
                        <w:rPr>
                          <w:rFonts w:hint="eastAsia" w:asciiTheme="minorEastAsia" w:hAnsiTheme="minorEastAsia" w:eastAsiaTheme="minorEastAsia" w:cstheme="minorEastAsia"/>
                          <w:sz w:val="36"/>
                          <w:szCs w:val="36"/>
                        </w:rPr>
                      </w:pPr>
                    </w:p>
                    <w:p>
                      <w:pPr>
                        <w:spacing w:line="440" w:lineRule="exact"/>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磋 商 响 应 文 件（正本）</w:t>
                      </w:r>
                    </w:p>
                    <w:p>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（非开标大会不得启封）</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磋商供应商名称：（公章）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封装内容：</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文件正本及响应文件电子U盘</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通讯地址：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联系人电话：</w:t>
                      </w: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rPr>
                      </w:pPr>
                    </w:p>
                    <w:p>
                      <w:pPr>
                        <w:pStyle w:val="14"/>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p>
                      <w:pPr>
                        <w:pStyle w:val="14"/>
                        <w:rPr>
                          <w:rFonts w:hint="eastAsia" w:asciiTheme="minorEastAsia" w:hAnsiTheme="minorEastAsia" w:eastAsiaTheme="minorEastAsia" w:cstheme="minorEastAsia"/>
                        </w:rPr>
                      </w:pPr>
                    </w:p>
                    <w:p>
                      <w:pPr>
                        <w:spacing w:line="440" w:lineRule="exact"/>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rPr>
                      </w:pPr>
                    </w:p>
                  </w:txbxContent>
                </v:textbox>
              </v:shape>
            </w:pict>
          </mc:Fallback>
        </mc:AlternateContent>
      </w:r>
    </w:p>
    <w:p>
      <w:pPr>
        <w:rPr>
          <w:rFonts w:hint="eastAsia" w:ascii="华文中宋" w:hAnsi="华文中宋" w:eastAsia="华文中宋" w:cs="华文中宋"/>
          <w:b/>
          <w:sz w:val="32"/>
          <w:szCs w:val="32"/>
        </w:rPr>
      </w:pPr>
    </w:p>
    <w:p>
      <w:pPr>
        <w:rPr>
          <w:rFonts w:hint="eastAsia" w:ascii="华文中宋" w:hAnsi="华文中宋" w:eastAsia="华文中宋" w:cs="华文中宋"/>
          <w:b/>
          <w:sz w:val="32"/>
          <w:szCs w:val="32"/>
        </w:rPr>
      </w:pPr>
    </w:p>
    <w:p>
      <w:pPr>
        <w:jc w:val="center"/>
        <w:outlineLvl w:val="0"/>
        <w:rPr>
          <w:rFonts w:hint="eastAsia" w:ascii="华文中宋" w:hAnsi="华文中宋" w:eastAsia="华文中宋" w:cs="华文中宋"/>
          <w:sz w:val="32"/>
          <w:szCs w:val="32"/>
        </w:rPr>
      </w:pPr>
      <w:bookmarkStart w:id="241" w:name="_Toc27939_WPSOffice_Level1"/>
      <w:bookmarkStart w:id="242" w:name="_Toc11751"/>
      <w:bookmarkStart w:id="243" w:name="_Toc4121"/>
      <w:bookmarkStart w:id="244" w:name="_Toc1869"/>
      <w:bookmarkStart w:id="245" w:name="_Toc8297"/>
      <w:bookmarkStart w:id="246" w:name="_Toc12278_WPSOffice_Level1"/>
      <w:bookmarkStart w:id="247" w:name="_Toc803"/>
      <w:r>
        <w:rPr>
          <w:rFonts w:hint="eastAsia" w:ascii="华文中宋" w:hAnsi="华文中宋" w:eastAsia="华文中宋" w:cs="华文中宋"/>
          <w:b/>
          <w:sz w:val="32"/>
          <w:szCs w:val="32"/>
        </w:rPr>
        <w:t>磋商响应文件封袋正面标识式样</w:t>
      </w:r>
      <w:bookmarkEnd w:id="241"/>
      <w:bookmarkEnd w:id="242"/>
      <w:bookmarkEnd w:id="243"/>
      <w:bookmarkEnd w:id="244"/>
      <w:bookmarkEnd w:id="245"/>
      <w:bookmarkEnd w:id="246"/>
      <w:bookmarkEnd w:id="247"/>
    </w:p>
    <w:p>
      <w:pPr>
        <w:rPr>
          <w:rFonts w:hint="eastAsia" w:ascii="华文中宋" w:hAnsi="华文中宋" w:eastAsia="华文中宋" w:cs="华文中宋"/>
          <w:sz w:val="32"/>
          <w:szCs w:val="32"/>
        </w:rPr>
      </w:pPr>
    </w:p>
    <w:p>
      <w:pPr>
        <w:rPr>
          <w:rFonts w:hint="eastAsia" w:ascii="华文中宋" w:hAnsi="华文中宋" w:eastAsia="华文中宋" w:cs="华文中宋"/>
          <w:sz w:val="32"/>
          <w:szCs w:val="32"/>
        </w:rPr>
      </w:pPr>
    </w:p>
    <w:p>
      <w:pPr>
        <w:rPr>
          <w:rFonts w:hint="eastAsia" w:ascii="华文中宋" w:hAnsi="华文中宋" w:eastAsia="华文中宋" w:cs="华文中宋"/>
          <w:sz w:val="32"/>
          <w:szCs w:val="32"/>
        </w:rPr>
      </w:pPr>
    </w:p>
    <w:p>
      <w:pPr>
        <w:rPr>
          <w:rFonts w:hint="eastAsia" w:ascii="华文中宋" w:hAnsi="华文中宋" w:eastAsia="华文中宋" w:cs="华文中宋"/>
          <w:sz w:val="32"/>
          <w:szCs w:val="32"/>
        </w:rPr>
      </w:pPr>
    </w:p>
    <w:p>
      <w:pPr>
        <w:kinsoku w:val="0"/>
        <w:spacing w:line="360" w:lineRule="atLeast"/>
        <w:jc w:val="center"/>
        <w:rPr>
          <w:rFonts w:hint="eastAsia" w:ascii="华文中宋" w:hAnsi="华文中宋" w:eastAsia="华文中宋" w:cs="华文中宋"/>
          <w:b/>
          <w:sz w:val="32"/>
          <w:szCs w:val="32"/>
        </w:rPr>
      </w:pPr>
    </w:p>
    <w:p>
      <w:pPr>
        <w:pStyle w:val="14"/>
        <w:rPr>
          <w:rFonts w:hint="eastAsia" w:ascii="华文中宋" w:hAnsi="华文中宋" w:eastAsia="华文中宋" w:cs="华文中宋"/>
          <w:b/>
          <w:bCs/>
          <w:sz w:val="32"/>
          <w:szCs w:val="40"/>
        </w:rPr>
      </w:pPr>
      <w:r>
        <w:rPr>
          <w:rFonts w:hint="eastAsia" w:ascii="华文中宋" w:hAnsi="华文中宋" w:eastAsia="华文中宋" w:cs="华文中宋"/>
          <w:b/>
          <w:bCs/>
          <w:sz w:val="32"/>
          <w:szCs w:val="40"/>
        </w:rPr>
        <w:t>格式B</w:t>
      </w:r>
    </w:p>
    <w:p>
      <w:pPr>
        <w:jc w:val="center"/>
        <w:rPr>
          <w:rFonts w:hint="eastAsia" w:ascii="华文中宋" w:hAnsi="华文中宋" w:eastAsia="华文中宋" w:cs="华文中宋"/>
        </w:rPr>
      </w:pPr>
      <w:r>
        <w:rPr>
          <w:rFonts w:hint="eastAsia" w:ascii="华文中宋" w:hAnsi="华文中宋" w:eastAsia="华文中宋" w:cs="华文中宋"/>
          <w:b/>
          <w:bCs/>
          <w:sz w:val="32"/>
          <w:szCs w:val="40"/>
        </w:rPr>
        <w:t>磋商响应文件正面标识式样</w:t>
      </w:r>
    </w:p>
    <w:p>
      <w:pPr>
        <w:rPr>
          <w:rFonts w:hint="eastAsia" w:ascii="华文中宋" w:hAnsi="华文中宋" w:eastAsia="华文中宋" w:cs="华文中宋"/>
        </w:rPr>
      </w:pPr>
      <w:r>
        <w:rPr>
          <w:rFonts w:hint="eastAsia" w:ascii="华文中宋" w:hAnsi="华文中宋" w:eastAsia="华文中宋" w:cs="华文中宋"/>
        </w:rPr>
        <mc:AlternateContent>
          <mc:Choice Requires="wps">
            <w:drawing>
              <wp:anchor distT="0" distB="0" distL="114300" distR="114300" simplePos="0" relativeHeight="251658240" behindDoc="0" locked="0" layoutInCell="1" allowOverlap="1">
                <wp:simplePos x="0" y="0"/>
                <wp:positionH relativeFrom="column">
                  <wp:posOffset>59690</wp:posOffset>
                </wp:positionH>
                <wp:positionV relativeFrom="paragraph">
                  <wp:posOffset>38735</wp:posOffset>
                </wp:positionV>
                <wp:extent cx="5273675" cy="3408680"/>
                <wp:effectExtent l="19050" t="19050" r="41275" b="26670"/>
                <wp:wrapNone/>
                <wp:docPr id="3" name="文本框 6"/>
                <wp:cNvGraphicFramePr/>
                <a:graphic xmlns:a="http://schemas.openxmlformats.org/drawingml/2006/main">
                  <a:graphicData uri="http://schemas.microsoft.com/office/word/2010/wordprocessingShape">
                    <wps:wsp>
                      <wps:cNvSpPr txBox="1"/>
                      <wps:spPr>
                        <a:xfrm>
                          <a:off x="0" y="0"/>
                          <a:ext cx="5273675" cy="34086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lang w:eastAsia="zh-CN"/>
                              </w:rPr>
                              <w:t>陕西信鹏项目管理有限公司</w:t>
                            </w:r>
                            <w:r>
                              <w:rPr>
                                <w:rFonts w:hint="eastAsia" w:asciiTheme="minorEastAsia" w:hAnsiTheme="minorEastAsia" w:eastAsiaTheme="minorEastAsia" w:cstheme="minorEastAsia"/>
                              </w:rPr>
                              <w:t xml:space="preserve">           项目编号：</w:t>
                            </w:r>
                          </w:p>
                          <w:p>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项目名称： </w:t>
                            </w:r>
                          </w:p>
                          <w:p>
                            <w:pPr>
                              <w:spacing w:line="440" w:lineRule="exact"/>
                              <w:jc w:val="center"/>
                              <w:rPr>
                                <w:rFonts w:hint="eastAsia" w:asciiTheme="minorEastAsia" w:hAnsiTheme="minorEastAsia" w:eastAsiaTheme="minorEastAsia" w:cstheme="minorEastAsia"/>
                                <w:sz w:val="36"/>
                                <w:szCs w:val="36"/>
                              </w:rPr>
                            </w:pPr>
                          </w:p>
                          <w:p>
                            <w:pPr>
                              <w:spacing w:line="440" w:lineRule="exact"/>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磋 商 响 应 文 件（副本）</w:t>
                            </w:r>
                          </w:p>
                          <w:p>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（非开标大会不得启封）</w:t>
                            </w:r>
                          </w:p>
                          <w:p>
                            <w:pPr>
                              <w:rPr>
                                <w:rFonts w:hint="eastAsia" w:asciiTheme="minorEastAsia" w:hAnsiTheme="minorEastAsia" w:eastAsiaTheme="minorEastAsia" w:cstheme="minorEastAsia"/>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磋商供应商名称：（公章）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封装内容：</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文件副本</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通讯地址：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联系人电话：</w:t>
                            </w:r>
                          </w:p>
                          <w:p>
                            <w:pPr>
                              <w:rPr>
                                <w:rFonts w:hint="eastAsia" w:asciiTheme="minorEastAsia" w:hAnsiTheme="minorEastAsia" w:eastAsiaTheme="minorEastAsia" w:cstheme="minorEastAsia"/>
                                <w:szCs w:val="21"/>
                              </w:rPr>
                            </w:pPr>
                          </w:p>
                        </w:txbxContent>
                      </wps:txbx>
                      <wps:bodyPr upright="1"/>
                    </wps:wsp>
                  </a:graphicData>
                </a:graphic>
              </wp:anchor>
            </w:drawing>
          </mc:Choice>
          <mc:Fallback>
            <w:pict>
              <v:shape id="文本框 6" o:spid="_x0000_s1026" o:spt="202" type="#_x0000_t202" style="position:absolute;left:0pt;margin-left:4.7pt;margin-top:3.05pt;height:268.4pt;width:415.25pt;z-index:251658240;mso-width-relative:page;mso-height-relative:page;" fillcolor="#FFFFFF" filled="t" stroked="t" coordsize="21600,21600" o:gfxdata="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B+elLXAAAABwEAAA8AAAAAAAAAAQAgAAAAIgAAAGRycy9kb3ducmV2Lnht&#10;bFBLAQIUABQAAAAIAIdO4kD/Zk2h+gEAAPgDAAAOAAAAAAAAAAEAIAAAACYBAABkcnMvZTJvRG9j&#10;LnhtbFBLBQYAAAAABgAGAFkBAACSBQAAAAA=&#10;">
                <v:fill on="t" focussize="0,0"/>
                <v:stroke weight="3pt" color="#000000" linestyle="thinThin" joinstyle="miter"/>
                <v:imagedata o:title=""/>
                <o:lock v:ext="edit" aspectratio="f"/>
                <v:textbox>
                  <w:txbxContent>
                    <w:p>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lang w:eastAsia="zh-CN"/>
                        </w:rPr>
                        <w:t>陕西信鹏项目管理有限公司</w:t>
                      </w:r>
                      <w:r>
                        <w:rPr>
                          <w:rFonts w:hint="eastAsia" w:asciiTheme="minorEastAsia" w:hAnsiTheme="minorEastAsia" w:eastAsiaTheme="minorEastAsia" w:cstheme="minorEastAsia"/>
                        </w:rPr>
                        <w:t xml:space="preserve">           项目编号：</w:t>
                      </w:r>
                    </w:p>
                    <w:p>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项目名称： </w:t>
                      </w:r>
                    </w:p>
                    <w:p>
                      <w:pPr>
                        <w:spacing w:line="440" w:lineRule="exact"/>
                        <w:jc w:val="center"/>
                        <w:rPr>
                          <w:rFonts w:hint="eastAsia" w:asciiTheme="minorEastAsia" w:hAnsiTheme="minorEastAsia" w:eastAsiaTheme="minorEastAsia" w:cstheme="minorEastAsia"/>
                          <w:sz w:val="36"/>
                          <w:szCs w:val="36"/>
                        </w:rPr>
                      </w:pPr>
                    </w:p>
                    <w:p>
                      <w:pPr>
                        <w:spacing w:line="440" w:lineRule="exact"/>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磋 商 响 应 文 件（副本）</w:t>
                      </w:r>
                    </w:p>
                    <w:p>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（非开标大会不得启封）</w:t>
                      </w:r>
                    </w:p>
                    <w:p>
                      <w:pPr>
                        <w:rPr>
                          <w:rFonts w:hint="eastAsia" w:asciiTheme="minorEastAsia" w:hAnsiTheme="minorEastAsia" w:eastAsiaTheme="minorEastAsia" w:cstheme="minorEastAsia"/>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磋商供应商名称：（公章）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封装内容：</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文件副本</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通讯地址：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联系人电话：</w:t>
                      </w:r>
                    </w:p>
                    <w:p>
                      <w:pPr>
                        <w:rPr>
                          <w:rFonts w:hint="eastAsia" w:asciiTheme="minorEastAsia" w:hAnsiTheme="minorEastAsia" w:eastAsiaTheme="minorEastAsia" w:cstheme="minorEastAsia"/>
                          <w:szCs w:val="21"/>
                        </w:rPr>
                      </w:pPr>
                    </w:p>
                  </w:txbxContent>
                </v:textbox>
              </v:shape>
            </w:pict>
          </mc:Fallback>
        </mc:AlternateContent>
      </w: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spacing w:line="500" w:lineRule="exact"/>
        <w:jc w:val="center"/>
        <w:rPr>
          <w:rFonts w:hint="eastAsia" w:ascii="华文中宋" w:hAnsi="华文中宋" w:eastAsia="华文中宋" w:cs="华文中宋"/>
        </w:rPr>
      </w:pPr>
    </w:p>
    <w:p>
      <w:pPr>
        <w:spacing w:line="500" w:lineRule="exact"/>
        <w:jc w:val="center"/>
        <w:rPr>
          <w:rFonts w:hint="eastAsia" w:ascii="华文中宋" w:hAnsi="华文中宋" w:eastAsia="华文中宋" w:cs="华文中宋"/>
        </w:rPr>
      </w:pPr>
    </w:p>
    <w:p>
      <w:pPr>
        <w:spacing w:line="440" w:lineRule="exact"/>
        <w:jc w:val="center"/>
        <w:rPr>
          <w:rFonts w:hint="eastAsia" w:ascii="华文中宋" w:hAnsi="华文中宋" w:eastAsia="华文中宋" w:cs="华文中宋"/>
          <w:b/>
          <w:bCs/>
          <w:sz w:val="36"/>
          <w:szCs w:val="36"/>
        </w:rPr>
      </w:pPr>
    </w:p>
    <w:p>
      <w:pPr>
        <w:rPr>
          <w:rFonts w:hint="eastAsia" w:ascii="华文中宋" w:hAnsi="华文中宋" w:eastAsia="华文中宋" w:cs="华文中宋"/>
        </w:rPr>
      </w:pPr>
    </w:p>
    <w:p>
      <w:pPr>
        <w:pStyle w:val="14"/>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sectPr>
      <w:headerReference r:id="rId7" w:type="default"/>
      <w:footerReference r:id="rId8" w:type="default"/>
      <w:pgSz w:w="11906" w:h="16838"/>
      <w:pgMar w:top="1270" w:right="1633"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MingLiU">
    <w:altName w:val="華康少女文字W6"/>
    <w:panose1 w:val="02010609000101010101"/>
    <w:charset w:val="88"/>
    <w:family w:val="modern"/>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華康少女文字W6">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bidi w:val="0"/>
      <w:jc w:val="right"/>
      <w:rPr>
        <w:rFonts w:hint="eastAsia" w:asciiTheme="minorEastAsia" w:hAnsiTheme="minorEastAsia" w:eastAsiaTheme="minorEastAsia" w:cstheme="minorEastAsia"/>
        <w:color w:val="000000" w:themeColor="text1"/>
        <w:shd w:val="clear" w:color="auto" w:fill="auto"/>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distribute"/>
      <w:rPr>
        <w:rFonts w:ascii="宋体" w:cs="宋体"/>
        <w:kern w:val="1"/>
        <w:sz w:val="24"/>
        <w:u w:val="single"/>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l56+PL0BAABiAwAADgAAAAAAAAABACAAAAAfAQAAZHJzL2Uyb0RvYy54bWxQSwUGAAAA&#10;AAYABgBZAQAATg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18490" cy="219710"/>
              <wp:effectExtent l="0" t="0" r="0" b="0"/>
              <wp:wrapNone/>
              <wp:docPr id="6" name="文本框 3"/>
              <wp:cNvGraphicFramePr/>
              <a:graphic xmlns:a="http://schemas.openxmlformats.org/drawingml/2006/main">
                <a:graphicData uri="http://schemas.microsoft.com/office/word/2010/wordprocessingShape">
                  <wps:wsp>
                    <wps:cNvSpPr txBox="1"/>
                    <wps:spPr>
                      <a:xfrm>
                        <a:off x="0" y="0"/>
                        <a:ext cx="618490" cy="219710"/>
                      </a:xfrm>
                      <a:prstGeom prst="rect">
                        <a:avLst/>
                      </a:prstGeom>
                      <a:noFill/>
                      <a:ln w="6350">
                        <a:noFill/>
                      </a:ln>
                    </wps:spPr>
                    <wps:txbx>
                      <w:txbxContent>
                        <w:p>
                          <w:pPr>
                            <w:pStyle w:val="20"/>
                          </w:pPr>
                          <w:r>
                            <w:fldChar w:fldCharType="begin"/>
                          </w:r>
                          <w:r>
                            <w:instrText xml:space="preserve"> PAGE  \* MERGEFORMAT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top:0pt;height:17.3pt;width:48.7pt;mso-position-horizontal:center;mso-position-horizontal-relative:margin;z-index:251658240;mso-width-relative:page;mso-height-relative:page;" filled="f" stroked="f" coordsize="21600,21600" o:gfxdata="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oGl/WdMAAAADAQAADwAAAAAA&#10;AAABACAAAAAiAAAAZHJzL2Rvd25yZXYueG1sUEsBAhQAFAAAAAgAh07iQIcs3WKmAQAALAMAAA4A&#10;AAAAAAAAAQAgAAAAIgEAAGRycy9lMm9Eb2MueG1sUEsFBgAAAAAGAAYAWQEAADoFAAAAAA==&#10;">
              <v:fill on="f" focussize="0,0"/>
              <v:stroke on="f" weight="0.5pt"/>
              <v:imagedata o:title=""/>
              <o:lock v:ext="edit" aspectratio="f"/>
              <v:textbox inset="0mm,0mm,0mm,0mm">
                <w:txbxContent>
                  <w:p>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none" w:color="auto" w:sz="0" w:space="0"/>
        <w:right w:val="none" w:color="auto" w:sz="0" w:space="0"/>
      </w:pBdr>
      <w:jc w:val="distribute"/>
      <w:rPr>
        <w:sz w:val="28"/>
        <w:szCs w:val="28"/>
        <w:u w:val="single"/>
      </w:rPr>
    </w:pPr>
    <w:r>
      <w:rPr>
        <w:sz w:val="2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632450" cy="5506720"/>
          <wp:effectExtent l="0" t="0" r="6350" b="17780"/>
          <wp:wrapNone/>
          <wp:docPr id="13" name="WordPictureWatermark468446" descr="d45382aff54afc5b6bd15a3dc8db7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468446" descr="d45382aff54afc5b6bd15a3dc8db76e"/>
                  <pic:cNvPicPr>
                    <a:picLocks noChangeAspect="1"/>
                  </pic:cNvPicPr>
                </pic:nvPicPr>
                <pic:blipFill>
                  <a:blip r:embed="rId1">
                    <a:lum bright="70000" contrast="-70000"/>
                  </a:blip>
                  <a:stretch>
                    <a:fillRect/>
                  </a:stretch>
                </pic:blipFill>
                <pic:spPr>
                  <a:xfrm>
                    <a:off x="0" y="0"/>
                    <a:ext cx="5632450" cy="55067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spacing w:line="14" w:lineRule="auto"/>
    </w:pPr>
    <w:r>
      <mc:AlternateContent>
        <mc:Choice Requires="wps">
          <w:drawing>
            <wp:anchor distT="0" distB="0" distL="114300" distR="114300" simplePos="0" relativeHeight="251658240" behindDoc="1" locked="0" layoutInCell="1" allowOverlap="1">
              <wp:simplePos x="0" y="0"/>
              <wp:positionH relativeFrom="page">
                <wp:posOffset>2959735</wp:posOffset>
              </wp:positionH>
              <wp:positionV relativeFrom="page">
                <wp:posOffset>649605</wp:posOffset>
              </wp:positionV>
              <wp:extent cx="1621155" cy="279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621155" cy="279400"/>
                      </a:xfrm>
                      <a:prstGeom prst="rect">
                        <a:avLst/>
                      </a:prstGeom>
                      <a:noFill/>
                      <a:ln>
                        <a:noFill/>
                      </a:ln>
                      <a:effectLst/>
                    </wps:spPr>
                    <wps:txbx>
                      <w:txbxContent>
                        <w:p/>
                      </w:txbxContent>
                    </wps:txbx>
                    <wps:bodyPr lIns="0" tIns="0" rIns="0" bIns="0" upright="1"/>
                  </wps:wsp>
                </a:graphicData>
              </a:graphic>
            </wp:anchor>
          </w:drawing>
        </mc:Choice>
        <mc:Fallback>
          <w:pict>
            <v:shape id="文本框 1" o:spid="_x0000_s1026" o:spt="202" type="#_x0000_t202" style="position:absolute;left:0pt;margin-left:233.05pt;margin-top:51.15pt;height:22pt;width:127.65pt;mso-position-horizontal-relative:page;mso-position-vertical-relative:page;z-index:-251658240;mso-width-relative:page;mso-height-relative:page;" filled="f" stroked="f" coordsize="21600,21600" o:gfxdata="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BE4g52QAAAAsBAAAP&#10;AAAAAAAAAAEAIAAAACIAAABkcnMvZG93bnJldi54bWxQSwECFAAUAAAACACHTuJATaSSNKUBAAAy&#10;AwAADgAAAAAAAAABACAAAAAoAQAAZHJzL2Uyb0RvYy54bWxQSwUGAAAAAAYABgBZAQAAPwUAAAAA&#10;">
              <v:fill on="f" focussize="0,0"/>
              <v:stroke on="f"/>
              <v:imagedata o:title=""/>
              <o:lock v:ext="edit" aspectratio="f"/>
              <v:textbox inset="0mm,0mm,0mm,0mm">
                <w:txbxContent>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none" w:color="auto" w:sz="0" w:space="0"/>
        <w:right w:val="none" w:color="auto" w:sz="0" w:space="0"/>
      </w:pBdr>
      <w:jc w:val="distribute"/>
      <w:rPr>
        <w:sz w:val="28"/>
        <w:szCs w:val="28"/>
        <w:u w:val="single"/>
      </w:rPr>
    </w:pPr>
  </w:p>
  <w:p>
    <w:pPr>
      <w:pStyle w:val="21"/>
      <w:pBdr>
        <w:top w:val="none" w:color="auto" w:sz="0" w:space="0"/>
        <w:left w:val="none" w:color="auto" w:sz="0" w:space="0"/>
        <w:bottom w:val="none" w:color="auto" w:sz="0" w:space="0"/>
        <w:right w:val="none" w:color="auto" w:sz="0" w:space="0"/>
      </w:pBdr>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E2713"/>
    <w:multiLevelType w:val="singleLevel"/>
    <w:tmpl w:val="988E2713"/>
    <w:lvl w:ilvl="0" w:tentative="0">
      <w:start w:val="1"/>
      <w:numFmt w:val="decimal"/>
      <w:suff w:val="nothing"/>
      <w:lvlText w:val="%1、"/>
      <w:lvlJc w:val="left"/>
    </w:lvl>
  </w:abstractNum>
  <w:abstractNum w:abstractNumId="1">
    <w:nsid w:val="9A651782"/>
    <w:multiLevelType w:val="singleLevel"/>
    <w:tmpl w:val="9A651782"/>
    <w:lvl w:ilvl="0" w:tentative="0">
      <w:start w:val="1"/>
      <w:numFmt w:val="decimal"/>
      <w:suff w:val="nothing"/>
      <w:lvlText w:val="%1、"/>
      <w:lvlJc w:val="left"/>
    </w:lvl>
  </w:abstractNum>
  <w:abstractNum w:abstractNumId="2">
    <w:nsid w:val="9D88C690"/>
    <w:multiLevelType w:val="singleLevel"/>
    <w:tmpl w:val="9D88C690"/>
    <w:lvl w:ilvl="0" w:tentative="0">
      <w:start w:val="2"/>
      <w:numFmt w:val="chineseCounting"/>
      <w:suff w:val="nothing"/>
      <w:lvlText w:val="（%1）"/>
      <w:lvlJc w:val="left"/>
      <w:rPr>
        <w:rFonts w:hint="eastAsia" w:cs="Times New Roman"/>
      </w:rPr>
    </w:lvl>
  </w:abstractNum>
  <w:abstractNum w:abstractNumId="3">
    <w:nsid w:val="AEE61D7E"/>
    <w:multiLevelType w:val="singleLevel"/>
    <w:tmpl w:val="AEE61D7E"/>
    <w:lvl w:ilvl="0" w:tentative="0">
      <w:start w:val="1"/>
      <w:numFmt w:val="decimal"/>
      <w:suff w:val="nothing"/>
      <w:lvlText w:val="%1、"/>
      <w:lvlJc w:val="left"/>
    </w:lvl>
  </w:abstractNum>
  <w:abstractNum w:abstractNumId="4">
    <w:nsid w:val="AF74A931"/>
    <w:multiLevelType w:val="singleLevel"/>
    <w:tmpl w:val="AF74A931"/>
    <w:lvl w:ilvl="0" w:tentative="0">
      <w:start w:val="1"/>
      <w:numFmt w:val="chineseCounting"/>
      <w:suff w:val="space"/>
      <w:lvlText w:val="第%1章"/>
      <w:lvlJc w:val="left"/>
      <w:rPr>
        <w:rFonts w:hint="eastAsia" w:cs="Times New Roman"/>
      </w:rPr>
    </w:lvl>
  </w:abstractNum>
  <w:abstractNum w:abstractNumId="5">
    <w:nsid w:val="D04B94D5"/>
    <w:multiLevelType w:val="singleLevel"/>
    <w:tmpl w:val="D04B94D5"/>
    <w:lvl w:ilvl="0" w:tentative="0">
      <w:start w:val="7"/>
      <w:numFmt w:val="decimal"/>
      <w:suff w:val="space"/>
      <w:lvlText w:val="第%1部分"/>
      <w:lvlJc w:val="left"/>
    </w:lvl>
  </w:abstractNum>
  <w:abstractNum w:abstractNumId="6">
    <w:nsid w:val="4D2972CC"/>
    <w:multiLevelType w:val="singleLevel"/>
    <w:tmpl w:val="4D2972CC"/>
    <w:lvl w:ilvl="0" w:tentative="0">
      <w:start w:val="3"/>
      <w:numFmt w:val="decimal"/>
      <w:suff w:val="nothing"/>
      <w:lvlText w:val="%1）"/>
      <w:lvlJc w:val="left"/>
    </w:lvl>
  </w:abstractNum>
  <w:abstractNum w:abstractNumId="7">
    <w:nsid w:val="629FBFDD"/>
    <w:multiLevelType w:val="singleLevel"/>
    <w:tmpl w:val="629FBFDD"/>
    <w:lvl w:ilvl="0" w:tentative="0">
      <w:start w:val="1"/>
      <w:numFmt w:val="decimal"/>
      <w:suff w:val="space"/>
      <w:lvlText w:val="%1)"/>
      <w:lvlJc w:val="left"/>
    </w:lvl>
  </w:abstractNum>
  <w:abstractNum w:abstractNumId="8">
    <w:nsid w:val="6F0FC31F"/>
    <w:multiLevelType w:val="singleLevel"/>
    <w:tmpl w:val="6F0FC31F"/>
    <w:lvl w:ilvl="0" w:tentative="0">
      <w:start w:val="4"/>
      <w:numFmt w:val="chineseCounting"/>
      <w:suff w:val="space"/>
      <w:lvlText w:val="第%1章"/>
      <w:lvlJc w:val="left"/>
      <w:rPr>
        <w:rFonts w:hint="eastAsia"/>
      </w:rPr>
    </w:lvl>
  </w:abstractNum>
  <w:num w:numId="1">
    <w:abstractNumId w:val="4"/>
  </w:num>
  <w:num w:numId="2">
    <w:abstractNumId w:val="0"/>
  </w:num>
  <w:num w:numId="3">
    <w:abstractNumId w:val="2"/>
  </w:num>
  <w:num w:numId="4">
    <w:abstractNumId w:val="1"/>
  </w:num>
  <w:num w:numId="5">
    <w:abstractNumId w:val="7"/>
  </w:num>
  <w:num w:numId="6">
    <w:abstractNumId w:val="6"/>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57BE5"/>
    <w:rsid w:val="00016238"/>
    <w:rsid w:val="00016E25"/>
    <w:rsid w:val="000217FC"/>
    <w:rsid w:val="000943E4"/>
    <w:rsid w:val="000B4728"/>
    <w:rsid w:val="000F1ECB"/>
    <w:rsid w:val="000F66C8"/>
    <w:rsid w:val="001123BB"/>
    <w:rsid w:val="0011654C"/>
    <w:rsid w:val="001231CE"/>
    <w:rsid w:val="001363F3"/>
    <w:rsid w:val="00151A66"/>
    <w:rsid w:val="00151CFE"/>
    <w:rsid w:val="00162730"/>
    <w:rsid w:val="001D728B"/>
    <w:rsid w:val="00216547"/>
    <w:rsid w:val="00227D4A"/>
    <w:rsid w:val="00235CE9"/>
    <w:rsid w:val="00275C8A"/>
    <w:rsid w:val="00277496"/>
    <w:rsid w:val="00282800"/>
    <w:rsid w:val="002E414C"/>
    <w:rsid w:val="002E65FF"/>
    <w:rsid w:val="002F5DEC"/>
    <w:rsid w:val="002F7969"/>
    <w:rsid w:val="00315C41"/>
    <w:rsid w:val="00344662"/>
    <w:rsid w:val="00346C57"/>
    <w:rsid w:val="003503F9"/>
    <w:rsid w:val="00364CD1"/>
    <w:rsid w:val="003664D8"/>
    <w:rsid w:val="00372110"/>
    <w:rsid w:val="003800F0"/>
    <w:rsid w:val="00387CF2"/>
    <w:rsid w:val="0039386E"/>
    <w:rsid w:val="003E306E"/>
    <w:rsid w:val="003F3209"/>
    <w:rsid w:val="00415E52"/>
    <w:rsid w:val="00430ECE"/>
    <w:rsid w:val="00435E03"/>
    <w:rsid w:val="00450E8D"/>
    <w:rsid w:val="004A0532"/>
    <w:rsid w:val="004A5634"/>
    <w:rsid w:val="004B0CAE"/>
    <w:rsid w:val="004C23FF"/>
    <w:rsid w:val="004D618B"/>
    <w:rsid w:val="004F554B"/>
    <w:rsid w:val="00513CFD"/>
    <w:rsid w:val="00523DCB"/>
    <w:rsid w:val="00526E26"/>
    <w:rsid w:val="00536453"/>
    <w:rsid w:val="005B5820"/>
    <w:rsid w:val="005E388A"/>
    <w:rsid w:val="006246E9"/>
    <w:rsid w:val="00634650"/>
    <w:rsid w:val="00640985"/>
    <w:rsid w:val="006572AC"/>
    <w:rsid w:val="00695E48"/>
    <w:rsid w:val="006968F0"/>
    <w:rsid w:val="006A5091"/>
    <w:rsid w:val="006D4145"/>
    <w:rsid w:val="00752F26"/>
    <w:rsid w:val="007573F6"/>
    <w:rsid w:val="00760122"/>
    <w:rsid w:val="00776980"/>
    <w:rsid w:val="0080386D"/>
    <w:rsid w:val="00804E8D"/>
    <w:rsid w:val="00811002"/>
    <w:rsid w:val="00823145"/>
    <w:rsid w:val="008265AE"/>
    <w:rsid w:val="00942AF8"/>
    <w:rsid w:val="00946010"/>
    <w:rsid w:val="00992A19"/>
    <w:rsid w:val="009F1CF7"/>
    <w:rsid w:val="00A23895"/>
    <w:rsid w:val="00A644B9"/>
    <w:rsid w:val="00A84A53"/>
    <w:rsid w:val="00AE18E4"/>
    <w:rsid w:val="00AE40CB"/>
    <w:rsid w:val="00AF2EBF"/>
    <w:rsid w:val="00B23131"/>
    <w:rsid w:val="00B50ADB"/>
    <w:rsid w:val="00B93626"/>
    <w:rsid w:val="00BB4DF3"/>
    <w:rsid w:val="00BB73B7"/>
    <w:rsid w:val="00BD3664"/>
    <w:rsid w:val="00BE471B"/>
    <w:rsid w:val="00BF47C1"/>
    <w:rsid w:val="00C00273"/>
    <w:rsid w:val="00C1752B"/>
    <w:rsid w:val="00C655C0"/>
    <w:rsid w:val="00C73824"/>
    <w:rsid w:val="00C8689B"/>
    <w:rsid w:val="00C9510A"/>
    <w:rsid w:val="00CC020A"/>
    <w:rsid w:val="00CC0ACC"/>
    <w:rsid w:val="00CC5E56"/>
    <w:rsid w:val="00CE6F95"/>
    <w:rsid w:val="00D13397"/>
    <w:rsid w:val="00D67B24"/>
    <w:rsid w:val="00D74BC1"/>
    <w:rsid w:val="00DC6664"/>
    <w:rsid w:val="00E03E07"/>
    <w:rsid w:val="00E47062"/>
    <w:rsid w:val="00E63902"/>
    <w:rsid w:val="00EB1198"/>
    <w:rsid w:val="00ED229B"/>
    <w:rsid w:val="00ED3519"/>
    <w:rsid w:val="00ED5DBF"/>
    <w:rsid w:val="00F07CEC"/>
    <w:rsid w:val="00F2219C"/>
    <w:rsid w:val="00F52A02"/>
    <w:rsid w:val="00F61B64"/>
    <w:rsid w:val="00F743EB"/>
    <w:rsid w:val="00F81983"/>
    <w:rsid w:val="00F87518"/>
    <w:rsid w:val="00FB4A82"/>
    <w:rsid w:val="00FC4313"/>
    <w:rsid w:val="00FD7AA5"/>
    <w:rsid w:val="00FF0B31"/>
    <w:rsid w:val="01034E57"/>
    <w:rsid w:val="01043003"/>
    <w:rsid w:val="01096AB0"/>
    <w:rsid w:val="010F076C"/>
    <w:rsid w:val="01134C76"/>
    <w:rsid w:val="01153D52"/>
    <w:rsid w:val="011E0BAB"/>
    <w:rsid w:val="011F1122"/>
    <w:rsid w:val="012203B1"/>
    <w:rsid w:val="012E72AD"/>
    <w:rsid w:val="013356DD"/>
    <w:rsid w:val="01384F35"/>
    <w:rsid w:val="01405E2E"/>
    <w:rsid w:val="01432B0B"/>
    <w:rsid w:val="014B73EA"/>
    <w:rsid w:val="015201D3"/>
    <w:rsid w:val="016074B6"/>
    <w:rsid w:val="016877A2"/>
    <w:rsid w:val="01752180"/>
    <w:rsid w:val="01752185"/>
    <w:rsid w:val="01760AF0"/>
    <w:rsid w:val="01782D31"/>
    <w:rsid w:val="01791337"/>
    <w:rsid w:val="017C5CAA"/>
    <w:rsid w:val="017F2E23"/>
    <w:rsid w:val="01824FC5"/>
    <w:rsid w:val="01876986"/>
    <w:rsid w:val="018C335E"/>
    <w:rsid w:val="019305E9"/>
    <w:rsid w:val="019C7113"/>
    <w:rsid w:val="019F317D"/>
    <w:rsid w:val="019F7556"/>
    <w:rsid w:val="01A039D1"/>
    <w:rsid w:val="01A27D82"/>
    <w:rsid w:val="01A35FDD"/>
    <w:rsid w:val="01A822B8"/>
    <w:rsid w:val="01DF2BF6"/>
    <w:rsid w:val="01E22320"/>
    <w:rsid w:val="01E30A6C"/>
    <w:rsid w:val="01E33883"/>
    <w:rsid w:val="01E541CE"/>
    <w:rsid w:val="01EB0255"/>
    <w:rsid w:val="01EE7C05"/>
    <w:rsid w:val="01F947A4"/>
    <w:rsid w:val="01FB73BB"/>
    <w:rsid w:val="01FD607A"/>
    <w:rsid w:val="02013F94"/>
    <w:rsid w:val="0204641C"/>
    <w:rsid w:val="02181200"/>
    <w:rsid w:val="0218567C"/>
    <w:rsid w:val="021E42CE"/>
    <w:rsid w:val="02334DD1"/>
    <w:rsid w:val="02344F2A"/>
    <w:rsid w:val="02355B8D"/>
    <w:rsid w:val="023B49C8"/>
    <w:rsid w:val="023B60D9"/>
    <w:rsid w:val="023E52A8"/>
    <w:rsid w:val="023F1AE3"/>
    <w:rsid w:val="023F510B"/>
    <w:rsid w:val="023F62F8"/>
    <w:rsid w:val="02492124"/>
    <w:rsid w:val="02550131"/>
    <w:rsid w:val="025A0673"/>
    <w:rsid w:val="025A41F1"/>
    <w:rsid w:val="025E4D0D"/>
    <w:rsid w:val="026B4810"/>
    <w:rsid w:val="027169F1"/>
    <w:rsid w:val="02724907"/>
    <w:rsid w:val="027601B9"/>
    <w:rsid w:val="027A11AA"/>
    <w:rsid w:val="027A56F0"/>
    <w:rsid w:val="02802AAB"/>
    <w:rsid w:val="02805574"/>
    <w:rsid w:val="028B42ED"/>
    <w:rsid w:val="0296306B"/>
    <w:rsid w:val="02973364"/>
    <w:rsid w:val="02A20EA0"/>
    <w:rsid w:val="02AD38FD"/>
    <w:rsid w:val="02B51250"/>
    <w:rsid w:val="02B86FD1"/>
    <w:rsid w:val="02C90500"/>
    <w:rsid w:val="02CB3E9D"/>
    <w:rsid w:val="02CF66F6"/>
    <w:rsid w:val="02D61B19"/>
    <w:rsid w:val="02E408F7"/>
    <w:rsid w:val="02E47992"/>
    <w:rsid w:val="02EB4281"/>
    <w:rsid w:val="02EB6048"/>
    <w:rsid w:val="02ED323A"/>
    <w:rsid w:val="02EF069F"/>
    <w:rsid w:val="02F41EDC"/>
    <w:rsid w:val="02F77BFE"/>
    <w:rsid w:val="02FA6695"/>
    <w:rsid w:val="03070359"/>
    <w:rsid w:val="030A2C12"/>
    <w:rsid w:val="030A720E"/>
    <w:rsid w:val="03147E15"/>
    <w:rsid w:val="031E230C"/>
    <w:rsid w:val="032B20FF"/>
    <w:rsid w:val="03342C00"/>
    <w:rsid w:val="033910AA"/>
    <w:rsid w:val="033F5AFA"/>
    <w:rsid w:val="03506B55"/>
    <w:rsid w:val="035904E7"/>
    <w:rsid w:val="03673737"/>
    <w:rsid w:val="036D32DB"/>
    <w:rsid w:val="037173B2"/>
    <w:rsid w:val="037D24FF"/>
    <w:rsid w:val="037E249A"/>
    <w:rsid w:val="038079CA"/>
    <w:rsid w:val="03881F3F"/>
    <w:rsid w:val="038C2E09"/>
    <w:rsid w:val="038D3131"/>
    <w:rsid w:val="039408B9"/>
    <w:rsid w:val="03941B8E"/>
    <w:rsid w:val="03956FBA"/>
    <w:rsid w:val="0399107D"/>
    <w:rsid w:val="03A54305"/>
    <w:rsid w:val="03A910E8"/>
    <w:rsid w:val="03AF6D5E"/>
    <w:rsid w:val="03BA790C"/>
    <w:rsid w:val="03BD259D"/>
    <w:rsid w:val="03CF5267"/>
    <w:rsid w:val="03D46922"/>
    <w:rsid w:val="03D82EC9"/>
    <w:rsid w:val="03DC7A85"/>
    <w:rsid w:val="03DD30A2"/>
    <w:rsid w:val="03E8296A"/>
    <w:rsid w:val="03EB3B1B"/>
    <w:rsid w:val="03F27B6D"/>
    <w:rsid w:val="03F56632"/>
    <w:rsid w:val="03F818A0"/>
    <w:rsid w:val="03F92BF3"/>
    <w:rsid w:val="04017478"/>
    <w:rsid w:val="040422D1"/>
    <w:rsid w:val="04061520"/>
    <w:rsid w:val="04083F8C"/>
    <w:rsid w:val="040F4DA0"/>
    <w:rsid w:val="040F7FB8"/>
    <w:rsid w:val="04111911"/>
    <w:rsid w:val="04187271"/>
    <w:rsid w:val="041A06E4"/>
    <w:rsid w:val="041D5E3B"/>
    <w:rsid w:val="043375BF"/>
    <w:rsid w:val="043F646B"/>
    <w:rsid w:val="0442031E"/>
    <w:rsid w:val="044B2A28"/>
    <w:rsid w:val="044F12C9"/>
    <w:rsid w:val="044F71F2"/>
    <w:rsid w:val="045A6D61"/>
    <w:rsid w:val="046861D4"/>
    <w:rsid w:val="04686883"/>
    <w:rsid w:val="046D3E6E"/>
    <w:rsid w:val="046D69EB"/>
    <w:rsid w:val="047739B0"/>
    <w:rsid w:val="04793488"/>
    <w:rsid w:val="047A4D4E"/>
    <w:rsid w:val="047C4BC4"/>
    <w:rsid w:val="047E434B"/>
    <w:rsid w:val="04850154"/>
    <w:rsid w:val="048955BC"/>
    <w:rsid w:val="048B3C99"/>
    <w:rsid w:val="049835BA"/>
    <w:rsid w:val="04A83B16"/>
    <w:rsid w:val="04B163DC"/>
    <w:rsid w:val="04B52385"/>
    <w:rsid w:val="04BF4D90"/>
    <w:rsid w:val="04CD3E3C"/>
    <w:rsid w:val="04D3297A"/>
    <w:rsid w:val="04D8344B"/>
    <w:rsid w:val="04F35160"/>
    <w:rsid w:val="04F407FD"/>
    <w:rsid w:val="04F44214"/>
    <w:rsid w:val="04F65B79"/>
    <w:rsid w:val="04FA7286"/>
    <w:rsid w:val="04FB6C34"/>
    <w:rsid w:val="04FD6B2F"/>
    <w:rsid w:val="05042944"/>
    <w:rsid w:val="050F7165"/>
    <w:rsid w:val="05136D97"/>
    <w:rsid w:val="051534B6"/>
    <w:rsid w:val="051571B7"/>
    <w:rsid w:val="05213A87"/>
    <w:rsid w:val="05247124"/>
    <w:rsid w:val="0525030B"/>
    <w:rsid w:val="0529752A"/>
    <w:rsid w:val="052A4277"/>
    <w:rsid w:val="05302694"/>
    <w:rsid w:val="05304794"/>
    <w:rsid w:val="05327C4D"/>
    <w:rsid w:val="05345EEE"/>
    <w:rsid w:val="0535302A"/>
    <w:rsid w:val="053632DE"/>
    <w:rsid w:val="0538303E"/>
    <w:rsid w:val="05396B06"/>
    <w:rsid w:val="053A6925"/>
    <w:rsid w:val="054662B7"/>
    <w:rsid w:val="055728B3"/>
    <w:rsid w:val="05602BCA"/>
    <w:rsid w:val="056411A9"/>
    <w:rsid w:val="056611EC"/>
    <w:rsid w:val="056B1BF1"/>
    <w:rsid w:val="056B7416"/>
    <w:rsid w:val="05723202"/>
    <w:rsid w:val="05750DAA"/>
    <w:rsid w:val="057A595D"/>
    <w:rsid w:val="058921E4"/>
    <w:rsid w:val="05902CA9"/>
    <w:rsid w:val="05966149"/>
    <w:rsid w:val="059A620A"/>
    <w:rsid w:val="05A46FE4"/>
    <w:rsid w:val="05A853C7"/>
    <w:rsid w:val="05AB50D7"/>
    <w:rsid w:val="05B22A76"/>
    <w:rsid w:val="05B25919"/>
    <w:rsid w:val="05BB5425"/>
    <w:rsid w:val="05C94EDD"/>
    <w:rsid w:val="05CC4C1D"/>
    <w:rsid w:val="05CF7A97"/>
    <w:rsid w:val="05D43109"/>
    <w:rsid w:val="05DA0FD6"/>
    <w:rsid w:val="05E27F74"/>
    <w:rsid w:val="05E409C8"/>
    <w:rsid w:val="05E53E4E"/>
    <w:rsid w:val="05F24774"/>
    <w:rsid w:val="05F62598"/>
    <w:rsid w:val="05FE0CA7"/>
    <w:rsid w:val="06022418"/>
    <w:rsid w:val="06031DDE"/>
    <w:rsid w:val="060A331D"/>
    <w:rsid w:val="060A448A"/>
    <w:rsid w:val="060B4C5B"/>
    <w:rsid w:val="060F7468"/>
    <w:rsid w:val="06173640"/>
    <w:rsid w:val="061A3ADA"/>
    <w:rsid w:val="0627765C"/>
    <w:rsid w:val="063245E2"/>
    <w:rsid w:val="06333EB6"/>
    <w:rsid w:val="064378A7"/>
    <w:rsid w:val="064B49D1"/>
    <w:rsid w:val="064F3725"/>
    <w:rsid w:val="06513AC4"/>
    <w:rsid w:val="06552525"/>
    <w:rsid w:val="06636668"/>
    <w:rsid w:val="066B0D94"/>
    <w:rsid w:val="06744AC1"/>
    <w:rsid w:val="06772216"/>
    <w:rsid w:val="067C2781"/>
    <w:rsid w:val="06844578"/>
    <w:rsid w:val="068A3BCA"/>
    <w:rsid w:val="068A4307"/>
    <w:rsid w:val="068B01AD"/>
    <w:rsid w:val="068D6EC2"/>
    <w:rsid w:val="068E689B"/>
    <w:rsid w:val="06977527"/>
    <w:rsid w:val="069E365D"/>
    <w:rsid w:val="06A13BC3"/>
    <w:rsid w:val="06A2465E"/>
    <w:rsid w:val="06A7637D"/>
    <w:rsid w:val="06AA14EB"/>
    <w:rsid w:val="06AC1398"/>
    <w:rsid w:val="06AE2F9C"/>
    <w:rsid w:val="06B148B7"/>
    <w:rsid w:val="06BB3693"/>
    <w:rsid w:val="06C74C25"/>
    <w:rsid w:val="06CC1A2E"/>
    <w:rsid w:val="06CD1A03"/>
    <w:rsid w:val="06D30C4E"/>
    <w:rsid w:val="06D4587E"/>
    <w:rsid w:val="06D7509C"/>
    <w:rsid w:val="06D813C3"/>
    <w:rsid w:val="06DF6A8F"/>
    <w:rsid w:val="06EE1DD5"/>
    <w:rsid w:val="06EE2FEF"/>
    <w:rsid w:val="06F204ED"/>
    <w:rsid w:val="06F45007"/>
    <w:rsid w:val="07013933"/>
    <w:rsid w:val="07016019"/>
    <w:rsid w:val="07081F72"/>
    <w:rsid w:val="07092891"/>
    <w:rsid w:val="070A4535"/>
    <w:rsid w:val="070F741B"/>
    <w:rsid w:val="07100982"/>
    <w:rsid w:val="07122F58"/>
    <w:rsid w:val="0716040F"/>
    <w:rsid w:val="07173C3E"/>
    <w:rsid w:val="071C42A6"/>
    <w:rsid w:val="071F16B3"/>
    <w:rsid w:val="07253937"/>
    <w:rsid w:val="07293F8B"/>
    <w:rsid w:val="07341190"/>
    <w:rsid w:val="07353087"/>
    <w:rsid w:val="073604F1"/>
    <w:rsid w:val="073F3950"/>
    <w:rsid w:val="0740493E"/>
    <w:rsid w:val="074307F8"/>
    <w:rsid w:val="074B414C"/>
    <w:rsid w:val="074F3C37"/>
    <w:rsid w:val="075552F4"/>
    <w:rsid w:val="07561F1B"/>
    <w:rsid w:val="0757137B"/>
    <w:rsid w:val="075B281B"/>
    <w:rsid w:val="076234A2"/>
    <w:rsid w:val="07625617"/>
    <w:rsid w:val="07641A40"/>
    <w:rsid w:val="07666BF7"/>
    <w:rsid w:val="076E0DE3"/>
    <w:rsid w:val="077075FD"/>
    <w:rsid w:val="077848AA"/>
    <w:rsid w:val="077857EA"/>
    <w:rsid w:val="07791F77"/>
    <w:rsid w:val="077F390B"/>
    <w:rsid w:val="07824111"/>
    <w:rsid w:val="07890548"/>
    <w:rsid w:val="078D6717"/>
    <w:rsid w:val="07931119"/>
    <w:rsid w:val="07946DF6"/>
    <w:rsid w:val="07972C84"/>
    <w:rsid w:val="079D2AFD"/>
    <w:rsid w:val="079E75D7"/>
    <w:rsid w:val="07A34CB4"/>
    <w:rsid w:val="07A63B13"/>
    <w:rsid w:val="07AF31E6"/>
    <w:rsid w:val="07B27516"/>
    <w:rsid w:val="07BA4CE2"/>
    <w:rsid w:val="07BC339F"/>
    <w:rsid w:val="07BC5D48"/>
    <w:rsid w:val="07C42378"/>
    <w:rsid w:val="07CC2FD9"/>
    <w:rsid w:val="07CC4A1C"/>
    <w:rsid w:val="07E13D43"/>
    <w:rsid w:val="07EA04BA"/>
    <w:rsid w:val="07EB3750"/>
    <w:rsid w:val="07ED12A2"/>
    <w:rsid w:val="07ED47CC"/>
    <w:rsid w:val="07F17470"/>
    <w:rsid w:val="07F22DD4"/>
    <w:rsid w:val="07FA1A8D"/>
    <w:rsid w:val="080071A0"/>
    <w:rsid w:val="08061EF8"/>
    <w:rsid w:val="080652AA"/>
    <w:rsid w:val="080A51FE"/>
    <w:rsid w:val="080D79F6"/>
    <w:rsid w:val="08111219"/>
    <w:rsid w:val="08131E04"/>
    <w:rsid w:val="08137B5C"/>
    <w:rsid w:val="08182049"/>
    <w:rsid w:val="08257123"/>
    <w:rsid w:val="082A72E4"/>
    <w:rsid w:val="0835621C"/>
    <w:rsid w:val="083B2064"/>
    <w:rsid w:val="085063AC"/>
    <w:rsid w:val="085446F9"/>
    <w:rsid w:val="085E0033"/>
    <w:rsid w:val="085E1A7D"/>
    <w:rsid w:val="08682AA5"/>
    <w:rsid w:val="087A3340"/>
    <w:rsid w:val="0886629E"/>
    <w:rsid w:val="088D563F"/>
    <w:rsid w:val="088D7873"/>
    <w:rsid w:val="088E0C28"/>
    <w:rsid w:val="088F27BB"/>
    <w:rsid w:val="08902385"/>
    <w:rsid w:val="0891086C"/>
    <w:rsid w:val="089A459D"/>
    <w:rsid w:val="089F2FED"/>
    <w:rsid w:val="08A24086"/>
    <w:rsid w:val="08A52E90"/>
    <w:rsid w:val="08A7061B"/>
    <w:rsid w:val="08B02DA3"/>
    <w:rsid w:val="08B3287F"/>
    <w:rsid w:val="08B64DF2"/>
    <w:rsid w:val="08BD16CF"/>
    <w:rsid w:val="08C4268E"/>
    <w:rsid w:val="08CE638B"/>
    <w:rsid w:val="08D232BE"/>
    <w:rsid w:val="08D6707D"/>
    <w:rsid w:val="08E04A39"/>
    <w:rsid w:val="08E74357"/>
    <w:rsid w:val="08E82E68"/>
    <w:rsid w:val="08EB205A"/>
    <w:rsid w:val="08F00C11"/>
    <w:rsid w:val="08F22F57"/>
    <w:rsid w:val="08F82EAD"/>
    <w:rsid w:val="08FD50F7"/>
    <w:rsid w:val="09070C59"/>
    <w:rsid w:val="090B6EF4"/>
    <w:rsid w:val="09120CF8"/>
    <w:rsid w:val="0917392C"/>
    <w:rsid w:val="091B4075"/>
    <w:rsid w:val="092C2974"/>
    <w:rsid w:val="09402ED1"/>
    <w:rsid w:val="09423612"/>
    <w:rsid w:val="094967A7"/>
    <w:rsid w:val="09537BCC"/>
    <w:rsid w:val="0963647B"/>
    <w:rsid w:val="097F77F4"/>
    <w:rsid w:val="098179F4"/>
    <w:rsid w:val="09881861"/>
    <w:rsid w:val="098A4E1B"/>
    <w:rsid w:val="098B451D"/>
    <w:rsid w:val="099E55FA"/>
    <w:rsid w:val="09A67401"/>
    <w:rsid w:val="09A97751"/>
    <w:rsid w:val="09AD3498"/>
    <w:rsid w:val="09AE362B"/>
    <w:rsid w:val="09B74044"/>
    <w:rsid w:val="09BD60AA"/>
    <w:rsid w:val="09CB1EE8"/>
    <w:rsid w:val="09D87DE5"/>
    <w:rsid w:val="09E824FB"/>
    <w:rsid w:val="09E94B82"/>
    <w:rsid w:val="09EF578D"/>
    <w:rsid w:val="0A176ACE"/>
    <w:rsid w:val="0A250682"/>
    <w:rsid w:val="0A286CDE"/>
    <w:rsid w:val="0A3225B5"/>
    <w:rsid w:val="0A330266"/>
    <w:rsid w:val="0A391CD5"/>
    <w:rsid w:val="0A3C3502"/>
    <w:rsid w:val="0A3D1D8F"/>
    <w:rsid w:val="0A510D08"/>
    <w:rsid w:val="0A526AB4"/>
    <w:rsid w:val="0A581780"/>
    <w:rsid w:val="0A5C689F"/>
    <w:rsid w:val="0A5F567A"/>
    <w:rsid w:val="0A640968"/>
    <w:rsid w:val="0A640D7D"/>
    <w:rsid w:val="0A6D2505"/>
    <w:rsid w:val="0A727390"/>
    <w:rsid w:val="0A752C74"/>
    <w:rsid w:val="0A757573"/>
    <w:rsid w:val="0A7A6BC0"/>
    <w:rsid w:val="0A7B51F2"/>
    <w:rsid w:val="0A7C75A0"/>
    <w:rsid w:val="0A92451D"/>
    <w:rsid w:val="0AA051FF"/>
    <w:rsid w:val="0AA80EF3"/>
    <w:rsid w:val="0AAD66EE"/>
    <w:rsid w:val="0ABA17C6"/>
    <w:rsid w:val="0AC07AA8"/>
    <w:rsid w:val="0AC26682"/>
    <w:rsid w:val="0AC5125B"/>
    <w:rsid w:val="0AC76AAE"/>
    <w:rsid w:val="0AC93FB0"/>
    <w:rsid w:val="0AC96AED"/>
    <w:rsid w:val="0ADD1D6C"/>
    <w:rsid w:val="0AE45D42"/>
    <w:rsid w:val="0AEB317C"/>
    <w:rsid w:val="0AEB5C7A"/>
    <w:rsid w:val="0AEC12CB"/>
    <w:rsid w:val="0AF70504"/>
    <w:rsid w:val="0AF71CA7"/>
    <w:rsid w:val="0AFB15DF"/>
    <w:rsid w:val="0AFB3447"/>
    <w:rsid w:val="0AFD4D4A"/>
    <w:rsid w:val="0B006A9B"/>
    <w:rsid w:val="0B01568E"/>
    <w:rsid w:val="0B04223A"/>
    <w:rsid w:val="0B0620CF"/>
    <w:rsid w:val="0B147CDD"/>
    <w:rsid w:val="0B2C4FA0"/>
    <w:rsid w:val="0B3B1F64"/>
    <w:rsid w:val="0B3D246D"/>
    <w:rsid w:val="0B5022AB"/>
    <w:rsid w:val="0B54499A"/>
    <w:rsid w:val="0B5506E6"/>
    <w:rsid w:val="0B5B02CC"/>
    <w:rsid w:val="0B5D0113"/>
    <w:rsid w:val="0B5D77AC"/>
    <w:rsid w:val="0B6F17D3"/>
    <w:rsid w:val="0B6F4C8D"/>
    <w:rsid w:val="0B756024"/>
    <w:rsid w:val="0B7621FA"/>
    <w:rsid w:val="0B77222F"/>
    <w:rsid w:val="0B785BD7"/>
    <w:rsid w:val="0B797852"/>
    <w:rsid w:val="0B7F686C"/>
    <w:rsid w:val="0B804D27"/>
    <w:rsid w:val="0B841710"/>
    <w:rsid w:val="0B89205B"/>
    <w:rsid w:val="0B8C08FB"/>
    <w:rsid w:val="0B9804D6"/>
    <w:rsid w:val="0B9A11DB"/>
    <w:rsid w:val="0B9B737B"/>
    <w:rsid w:val="0B9F4F5C"/>
    <w:rsid w:val="0BA24EA7"/>
    <w:rsid w:val="0BA4260C"/>
    <w:rsid w:val="0BAE622C"/>
    <w:rsid w:val="0BB53E3F"/>
    <w:rsid w:val="0BB82570"/>
    <w:rsid w:val="0BB95561"/>
    <w:rsid w:val="0BBB45E2"/>
    <w:rsid w:val="0BBD07F8"/>
    <w:rsid w:val="0BBE37AD"/>
    <w:rsid w:val="0BBF40A3"/>
    <w:rsid w:val="0BC102D2"/>
    <w:rsid w:val="0BC31997"/>
    <w:rsid w:val="0BC8728A"/>
    <w:rsid w:val="0BC95662"/>
    <w:rsid w:val="0BCA644B"/>
    <w:rsid w:val="0BCB5A75"/>
    <w:rsid w:val="0BD11E38"/>
    <w:rsid w:val="0BD22E3D"/>
    <w:rsid w:val="0BD2467B"/>
    <w:rsid w:val="0BE06388"/>
    <w:rsid w:val="0BE33CCC"/>
    <w:rsid w:val="0BEC72DB"/>
    <w:rsid w:val="0BF37E80"/>
    <w:rsid w:val="0BFD603C"/>
    <w:rsid w:val="0BFF145D"/>
    <w:rsid w:val="0C170AAE"/>
    <w:rsid w:val="0C304327"/>
    <w:rsid w:val="0C312DD0"/>
    <w:rsid w:val="0C3231B7"/>
    <w:rsid w:val="0C3B4378"/>
    <w:rsid w:val="0C3D0932"/>
    <w:rsid w:val="0C49520C"/>
    <w:rsid w:val="0C517E6C"/>
    <w:rsid w:val="0C52000E"/>
    <w:rsid w:val="0C584FCE"/>
    <w:rsid w:val="0C597785"/>
    <w:rsid w:val="0C5E1531"/>
    <w:rsid w:val="0C7142B8"/>
    <w:rsid w:val="0C7C21C5"/>
    <w:rsid w:val="0C7F2E1A"/>
    <w:rsid w:val="0C81135D"/>
    <w:rsid w:val="0C820291"/>
    <w:rsid w:val="0C90592D"/>
    <w:rsid w:val="0C917C35"/>
    <w:rsid w:val="0C963536"/>
    <w:rsid w:val="0CA66E5D"/>
    <w:rsid w:val="0CB139CF"/>
    <w:rsid w:val="0CB628CC"/>
    <w:rsid w:val="0CC26A09"/>
    <w:rsid w:val="0CC26B10"/>
    <w:rsid w:val="0CC57CE1"/>
    <w:rsid w:val="0CC62215"/>
    <w:rsid w:val="0CD4141A"/>
    <w:rsid w:val="0CD94BEA"/>
    <w:rsid w:val="0CE2791A"/>
    <w:rsid w:val="0CE3194F"/>
    <w:rsid w:val="0CE5090A"/>
    <w:rsid w:val="0CEE3374"/>
    <w:rsid w:val="0CEE43C0"/>
    <w:rsid w:val="0CEE5CD5"/>
    <w:rsid w:val="0CF675EF"/>
    <w:rsid w:val="0CFA57D8"/>
    <w:rsid w:val="0CFD5B91"/>
    <w:rsid w:val="0CFF5D59"/>
    <w:rsid w:val="0D020256"/>
    <w:rsid w:val="0D0726CD"/>
    <w:rsid w:val="0D0856DC"/>
    <w:rsid w:val="0D092897"/>
    <w:rsid w:val="0D0D360E"/>
    <w:rsid w:val="0D1165BF"/>
    <w:rsid w:val="0D137D31"/>
    <w:rsid w:val="0D2C52E9"/>
    <w:rsid w:val="0D342E7C"/>
    <w:rsid w:val="0D376313"/>
    <w:rsid w:val="0D3C2075"/>
    <w:rsid w:val="0D4039B7"/>
    <w:rsid w:val="0D45206F"/>
    <w:rsid w:val="0D504BF9"/>
    <w:rsid w:val="0D523E55"/>
    <w:rsid w:val="0D623D7E"/>
    <w:rsid w:val="0D6309D2"/>
    <w:rsid w:val="0D641868"/>
    <w:rsid w:val="0D6426D4"/>
    <w:rsid w:val="0D6A7C92"/>
    <w:rsid w:val="0D736B37"/>
    <w:rsid w:val="0D8E230C"/>
    <w:rsid w:val="0D980A40"/>
    <w:rsid w:val="0DA304D9"/>
    <w:rsid w:val="0DAD657C"/>
    <w:rsid w:val="0DB67654"/>
    <w:rsid w:val="0DB8485F"/>
    <w:rsid w:val="0DBF0492"/>
    <w:rsid w:val="0DBF4BD8"/>
    <w:rsid w:val="0DC4331F"/>
    <w:rsid w:val="0DC75B1D"/>
    <w:rsid w:val="0DCA1D93"/>
    <w:rsid w:val="0DCB57B7"/>
    <w:rsid w:val="0DD00E3F"/>
    <w:rsid w:val="0DD1256F"/>
    <w:rsid w:val="0DD6565C"/>
    <w:rsid w:val="0DDA1947"/>
    <w:rsid w:val="0DE00EA7"/>
    <w:rsid w:val="0DE05871"/>
    <w:rsid w:val="0DE17919"/>
    <w:rsid w:val="0DE2500D"/>
    <w:rsid w:val="0DE25610"/>
    <w:rsid w:val="0DE62CE1"/>
    <w:rsid w:val="0DEF450C"/>
    <w:rsid w:val="0DF37D3F"/>
    <w:rsid w:val="0DF47DDD"/>
    <w:rsid w:val="0DF70DA6"/>
    <w:rsid w:val="0DF82B95"/>
    <w:rsid w:val="0E045BE3"/>
    <w:rsid w:val="0E116607"/>
    <w:rsid w:val="0E1E1017"/>
    <w:rsid w:val="0E2265F8"/>
    <w:rsid w:val="0E232785"/>
    <w:rsid w:val="0E2606C7"/>
    <w:rsid w:val="0E2728BD"/>
    <w:rsid w:val="0E2C1005"/>
    <w:rsid w:val="0E2F287D"/>
    <w:rsid w:val="0E372CE1"/>
    <w:rsid w:val="0E430958"/>
    <w:rsid w:val="0E451EAC"/>
    <w:rsid w:val="0E457081"/>
    <w:rsid w:val="0E4C52FE"/>
    <w:rsid w:val="0E4D0D3E"/>
    <w:rsid w:val="0E4F27D5"/>
    <w:rsid w:val="0E643DBA"/>
    <w:rsid w:val="0E645F11"/>
    <w:rsid w:val="0E682482"/>
    <w:rsid w:val="0E6948C2"/>
    <w:rsid w:val="0E7025AA"/>
    <w:rsid w:val="0E703EC1"/>
    <w:rsid w:val="0E782D57"/>
    <w:rsid w:val="0E811AF7"/>
    <w:rsid w:val="0E8E40D8"/>
    <w:rsid w:val="0E8F5466"/>
    <w:rsid w:val="0E975D96"/>
    <w:rsid w:val="0E976332"/>
    <w:rsid w:val="0E9B7CDB"/>
    <w:rsid w:val="0EA55258"/>
    <w:rsid w:val="0EB1427A"/>
    <w:rsid w:val="0EB17453"/>
    <w:rsid w:val="0EB5367C"/>
    <w:rsid w:val="0EB662EB"/>
    <w:rsid w:val="0EBA5EF8"/>
    <w:rsid w:val="0EC306C1"/>
    <w:rsid w:val="0EC7776F"/>
    <w:rsid w:val="0ECB7126"/>
    <w:rsid w:val="0ED46DA9"/>
    <w:rsid w:val="0EE56691"/>
    <w:rsid w:val="0EE82611"/>
    <w:rsid w:val="0EEB4C98"/>
    <w:rsid w:val="0EED2D5B"/>
    <w:rsid w:val="0EFD57CD"/>
    <w:rsid w:val="0EFF060B"/>
    <w:rsid w:val="0F003D8C"/>
    <w:rsid w:val="0F0227BC"/>
    <w:rsid w:val="0F040FAF"/>
    <w:rsid w:val="0F0B7E63"/>
    <w:rsid w:val="0F0E5BDA"/>
    <w:rsid w:val="0F113488"/>
    <w:rsid w:val="0F1B6220"/>
    <w:rsid w:val="0F1F7446"/>
    <w:rsid w:val="0F3662D0"/>
    <w:rsid w:val="0F377A3E"/>
    <w:rsid w:val="0F432717"/>
    <w:rsid w:val="0F4824E7"/>
    <w:rsid w:val="0F563AD3"/>
    <w:rsid w:val="0F5E0331"/>
    <w:rsid w:val="0F60445F"/>
    <w:rsid w:val="0F661543"/>
    <w:rsid w:val="0F6D28EA"/>
    <w:rsid w:val="0F7015FC"/>
    <w:rsid w:val="0F7531AA"/>
    <w:rsid w:val="0F7B2947"/>
    <w:rsid w:val="0F7D6F2B"/>
    <w:rsid w:val="0F7E7B3B"/>
    <w:rsid w:val="0F946A84"/>
    <w:rsid w:val="0FA07824"/>
    <w:rsid w:val="0FA86889"/>
    <w:rsid w:val="0FAA486D"/>
    <w:rsid w:val="0FAB787D"/>
    <w:rsid w:val="0FB410BB"/>
    <w:rsid w:val="0FB91667"/>
    <w:rsid w:val="0FBC7AD0"/>
    <w:rsid w:val="0FBD6709"/>
    <w:rsid w:val="0FC45AC6"/>
    <w:rsid w:val="0FC83EE7"/>
    <w:rsid w:val="0FCD6161"/>
    <w:rsid w:val="0FCF1241"/>
    <w:rsid w:val="0FD04DF1"/>
    <w:rsid w:val="0FD4072C"/>
    <w:rsid w:val="0FED6786"/>
    <w:rsid w:val="0FEE6347"/>
    <w:rsid w:val="0FF27688"/>
    <w:rsid w:val="0FF74C8C"/>
    <w:rsid w:val="0FFA6620"/>
    <w:rsid w:val="0FFD5992"/>
    <w:rsid w:val="100A5F0B"/>
    <w:rsid w:val="10136F7B"/>
    <w:rsid w:val="101759AF"/>
    <w:rsid w:val="10195BAF"/>
    <w:rsid w:val="101A3E57"/>
    <w:rsid w:val="101D17DC"/>
    <w:rsid w:val="10275DB3"/>
    <w:rsid w:val="10290BE9"/>
    <w:rsid w:val="10297717"/>
    <w:rsid w:val="102C157C"/>
    <w:rsid w:val="103115CC"/>
    <w:rsid w:val="10350915"/>
    <w:rsid w:val="103C4E07"/>
    <w:rsid w:val="103E68BB"/>
    <w:rsid w:val="10555B18"/>
    <w:rsid w:val="105633C5"/>
    <w:rsid w:val="105642D3"/>
    <w:rsid w:val="105D768D"/>
    <w:rsid w:val="106605B0"/>
    <w:rsid w:val="10691BC5"/>
    <w:rsid w:val="106C6942"/>
    <w:rsid w:val="10797901"/>
    <w:rsid w:val="107C500D"/>
    <w:rsid w:val="10826E3B"/>
    <w:rsid w:val="10831130"/>
    <w:rsid w:val="1084295B"/>
    <w:rsid w:val="109841DE"/>
    <w:rsid w:val="10A108C0"/>
    <w:rsid w:val="10A479AD"/>
    <w:rsid w:val="10AA49BB"/>
    <w:rsid w:val="10AD6046"/>
    <w:rsid w:val="10BC3B0C"/>
    <w:rsid w:val="10BE729D"/>
    <w:rsid w:val="10CA54CF"/>
    <w:rsid w:val="10CB0696"/>
    <w:rsid w:val="10CF44F2"/>
    <w:rsid w:val="10D20B4E"/>
    <w:rsid w:val="10D51D66"/>
    <w:rsid w:val="10D77959"/>
    <w:rsid w:val="10E74BCE"/>
    <w:rsid w:val="10EA7D81"/>
    <w:rsid w:val="10F1787F"/>
    <w:rsid w:val="10F62CD4"/>
    <w:rsid w:val="11000096"/>
    <w:rsid w:val="110173B6"/>
    <w:rsid w:val="11077E4D"/>
    <w:rsid w:val="110F0319"/>
    <w:rsid w:val="111229A0"/>
    <w:rsid w:val="11135623"/>
    <w:rsid w:val="1116582D"/>
    <w:rsid w:val="11171810"/>
    <w:rsid w:val="1119317B"/>
    <w:rsid w:val="112168A0"/>
    <w:rsid w:val="112616FB"/>
    <w:rsid w:val="113074E7"/>
    <w:rsid w:val="1131440B"/>
    <w:rsid w:val="113C72B0"/>
    <w:rsid w:val="11402091"/>
    <w:rsid w:val="114D7C45"/>
    <w:rsid w:val="115341EF"/>
    <w:rsid w:val="11560650"/>
    <w:rsid w:val="115F1D78"/>
    <w:rsid w:val="11631BA9"/>
    <w:rsid w:val="116663C3"/>
    <w:rsid w:val="116E2F51"/>
    <w:rsid w:val="11720664"/>
    <w:rsid w:val="11743CBB"/>
    <w:rsid w:val="11794860"/>
    <w:rsid w:val="117F107A"/>
    <w:rsid w:val="118F1EFF"/>
    <w:rsid w:val="11933E8F"/>
    <w:rsid w:val="11AB584E"/>
    <w:rsid w:val="11AE284C"/>
    <w:rsid w:val="11B44E58"/>
    <w:rsid w:val="11B851F2"/>
    <w:rsid w:val="11C40734"/>
    <w:rsid w:val="11CB37D5"/>
    <w:rsid w:val="11E24E91"/>
    <w:rsid w:val="11E9408B"/>
    <w:rsid w:val="11EB2900"/>
    <w:rsid w:val="11ED2C29"/>
    <w:rsid w:val="11F1499B"/>
    <w:rsid w:val="11F64922"/>
    <w:rsid w:val="11F76FD8"/>
    <w:rsid w:val="11FC3090"/>
    <w:rsid w:val="11FF08E4"/>
    <w:rsid w:val="12073E7A"/>
    <w:rsid w:val="12076AE2"/>
    <w:rsid w:val="121F5B04"/>
    <w:rsid w:val="122D5A9D"/>
    <w:rsid w:val="12346BEC"/>
    <w:rsid w:val="12351576"/>
    <w:rsid w:val="12386B26"/>
    <w:rsid w:val="123C6C59"/>
    <w:rsid w:val="12430890"/>
    <w:rsid w:val="124C3EDE"/>
    <w:rsid w:val="1268546E"/>
    <w:rsid w:val="126976FD"/>
    <w:rsid w:val="126B3EC3"/>
    <w:rsid w:val="12752E4E"/>
    <w:rsid w:val="12765CA7"/>
    <w:rsid w:val="1279470E"/>
    <w:rsid w:val="127B1F72"/>
    <w:rsid w:val="127B3C54"/>
    <w:rsid w:val="1281717B"/>
    <w:rsid w:val="128273B1"/>
    <w:rsid w:val="128408D7"/>
    <w:rsid w:val="12844FF2"/>
    <w:rsid w:val="128D052C"/>
    <w:rsid w:val="128E33C1"/>
    <w:rsid w:val="12950484"/>
    <w:rsid w:val="12951FC1"/>
    <w:rsid w:val="1296069C"/>
    <w:rsid w:val="12970B38"/>
    <w:rsid w:val="129C41BA"/>
    <w:rsid w:val="12A167BE"/>
    <w:rsid w:val="12AA199A"/>
    <w:rsid w:val="12AA657F"/>
    <w:rsid w:val="12AB1CD2"/>
    <w:rsid w:val="12AB4CC0"/>
    <w:rsid w:val="12B03412"/>
    <w:rsid w:val="12C67BF6"/>
    <w:rsid w:val="12CB0B63"/>
    <w:rsid w:val="12D42816"/>
    <w:rsid w:val="12D840AB"/>
    <w:rsid w:val="12D97AA6"/>
    <w:rsid w:val="12E30F09"/>
    <w:rsid w:val="12E903BD"/>
    <w:rsid w:val="12E93373"/>
    <w:rsid w:val="12EA1279"/>
    <w:rsid w:val="12F2576C"/>
    <w:rsid w:val="12F75396"/>
    <w:rsid w:val="12F96FE1"/>
    <w:rsid w:val="1300557D"/>
    <w:rsid w:val="13040B84"/>
    <w:rsid w:val="130A4B6A"/>
    <w:rsid w:val="130E35BE"/>
    <w:rsid w:val="13112495"/>
    <w:rsid w:val="13165495"/>
    <w:rsid w:val="13171699"/>
    <w:rsid w:val="131815DD"/>
    <w:rsid w:val="13193DA6"/>
    <w:rsid w:val="131C2F92"/>
    <w:rsid w:val="132056F9"/>
    <w:rsid w:val="13212F58"/>
    <w:rsid w:val="1326440A"/>
    <w:rsid w:val="13264EF5"/>
    <w:rsid w:val="13330188"/>
    <w:rsid w:val="13372A23"/>
    <w:rsid w:val="134058A3"/>
    <w:rsid w:val="13485D34"/>
    <w:rsid w:val="13491C91"/>
    <w:rsid w:val="135031E6"/>
    <w:rsid w:val="135A2D3D"/>
    <w:rsid w:val="135E5722"/>
    <w:rsid w:val="13662C6C"/>
    <w:rsid w:val="136640DD"/>
    <w:rsid w:val="136A5F67"/>
    <w:rsid w:val="136F7D4E"/>
    <w:rsid w:val="13705D58"/>
    <w:rsid w:val="13731C5A"/>
    <w:rsid w:val="13804B80"/>
    <w:rsid w:val="138434BD"/>
    <w:rsid w:val="138C5F51"/>
    <w:rsid w:val="139D1B69"/>
    <w:rsid w:val="13A73218"/>
    <w:rsid w:val="13BD49FA"/>
    <w:rsid w:val="13C20407"/>
    <w:rsid w:val="13C21B90"/>
    <w:rsid w:val="13D62AB5"/>
    <w:rsid w:val="13DF76C3"/>
    <w:rsid w:val="13E0017A"/>
    <w:rsid w:val="13E117D0"/>
    <w:rsid w:val="13E57E71"/>
    <w:rsid w:val="13F05040"/>
    <w:rsid w:val="13F24292"/>
    <w:rsid w:val="13F66BED"/>
    <w:rsid w:val="13FB46EE"/>
    <w:rsid w:val="13FC2BEA"/>
    <w:rsid w:val="140F5055"/>
    <w:rsid w:val="14180B0C"/>
    <w:rsid w:val="14186A03"/>
    <w:rsid w:val="142B0352"/>
    <w:rsid w:val="142D1A7D"/>
    <w:rsid w:val="143514F1"/>
    <w:rsid w:val="1436322E"/>
    <w:rsid w:val="143639C6"/>
    <w:rsid w:val="1436540E"/>
    <w:rsid w:val="14383ECC"/>
    <w:rsid w:val="144175C4"/>
    <w:rsid w:val="144314F4"/>
    <w:rsid w:val="144B3A8C"/>
    <w:rsid w:val="144C145E"/>
    <w:rsid w:val="145C24B2"/>
    <w:rsid w:val="145F25A1"/>
    <w:rsid w:val="146B5EA2"/>
    <w:rsid w:val="146C6C05"/>
    <w:rsid w:val="147057DD"/>
    <w:rsid w:val="147B4F8B"/>
    <w:rsid w:val="14877E67"/>
    <w:rsid w:val="148A1460"/>
    <w:rsid w:val="148A60D6"/>
    <w:rsid w:val="1490677E"/>
    <w:rsid w:val="149945F4"/>
    <w:rsid w:val="149F3914"/>
    <w:rsid w:val="14A447A3"/>
    <w:rsid w:val="14A82B7D"/>
    <w:rsid w:val="14B346E6"/>
    <w:rsid w:val="14BE25AD"/>
    <w:rsid w:val="14BF6114"/>
    <w:rsid w:val="14C80FCD"/>
    <w:rsid w:val="14C94207"/>
    <w:rsid w:val="14CC3C75"/>
    <w:rsid w:val="14D13D67"/>
    <w:rsid w:val="14D172D1"/>
    <w:rsid w:val="14D7425D"/>
    <w:rsid w:val="14E636B0"/>
    <w:rsid w:val="14E81D4F"/>
    <w:rsid w:val="14F16D96"/>
    <w:rsid w:val="14F57B17"/>
    <w:rsid w:val="14FC7E54"/>
    <w:rsid w:val="14FE598B"/>
    <w:rsid w:val="15051404"/>
    <w:rsid w:val="150C0D5B"/>
    <w:rsid w:val="150F2664"/>
    <w:rsid w:val="151512AE"/>
    <w:rsid w:val="151A28B5"/>
    <w:rsid w:val="151D1CD1"/>
    <w:rsid w:val="151E1BD1"/>
    <w:rsid w:val="15207671"/>
    <w:rsid w:val="15286D09"/>
    <w:rsid w:val="153234C8"/>
    <w:rsid w:val="153905D9"/>
    <w:rsid w:val="153D7E8C"/>
    <w:rsid w:val="15451E90"/>
    <w:rsid w:val="1548257C"/>
    <w:rsid w:val="15552DCC"/>
    <w:rsid w:val="155A4AA0"/>
    <w:rsid w:val="155C389D"/>
    <w:rsid w:val="155F5599"/>
    <w:rsid w:val="156066A0"/>
    <w:rsid w:val="15640886"/>
    <w:rsid w:val="15712E7C"/>
    <w:rsid w:val="15735D85"/>
    <w:rsid w:val="15752268"/>
    <w:rsid w:val="157638F5"/>
    <w:rsid w:val="15783A2A"/>
    <w:rsid w:val="15801494"/>
    <w:rsid w:val="158713C9"/>
    <w:rsid w:val="158957C9"/>
    <w:rsid w:val="158F23F6"/>
    <w:rsid w:val="15956C76"/>
    <w:rsid w:val="15A50FA4"/>
    <w:rsid w:val="15B3586F"/>
    <w:rsid w:val="15CE2065"/>
    <w:rsid w:val="15E82E13"/>
    <w:rsid w:val="15EB4439"/>
    <w:rsid w:val="15F1063F"/>
    <w:rsid w:val="15F21407"/>
    <w:rsid w:val="15F2667D"/>
    <w:rsid w:val="160D00D8"/>
    <w:rsid w:val="16112275"/>
    <w:rsid w:val="161916C3"/>
    <w:rsid w:val="161E0E87"/>
    <w:rsid w:val="161E1751"/>
    <w:rsid w:val="161E5D61"/>
    <w:rsid w:val="16230037"/>
    <w:rsid w:val="16262312"/>
    <w:rsid w:val="163E630D"/>
    <w:rsid w:val="16400D3B"/>
    <w:rsid w:val="16485C18"/>
    <w:rsid w:val="16585D70"/>
    <w:rsid w:val="1659719F"/>
    <w:rsid w:val="166F45EF"/>
    <w:rsid w:val="166F7C88"/>
    <w:rsid w:val="167627E4"/>
    <w:rsid w:val="16830C80"/>
    <w:rsid w:val="1683786C"/>
    <w:rsid w:val="169012F0"/>
    <w:rsid w:val="169B51E7"/>
    <w:rsid w:val="169E36B3"/>
    <w:rsid w:val="16A5520F"/>
    <w:rsid w:val="16A94003"/>
    <w:rsid w:val="16AA5E0D"/>
    <w:rsid w:val="16B445FF"/>
    <w:rsid w:val="16BD0215"/>
    <w:rsid w:val="16C11A1C"/>
    <w:rsid w:val="16C87C17"/>
    <w:rsid w:val="16CF5EA9"/>
    <w:rsid w:val="16D05DDC"/>
    <w:rsid w:val="16D23844"/>
    <w:rsid w:val="16D37E6B"/>
    <w:rsid w:val="16D72B4B"/>
    <w:rsid w:val="16DB6211"/>
    <w:rsid w:val="16E876EC"/>
    <w:rsid w:val="16F046D6"/>
    <w:rsid w:val="16F778A1"/>
    <w:rsid w:val="16FA38D1"/>
    <w:rsid w:val="170451B6"/>
    <w:rsid w:val="17084BF7"/>
    <w:rsid w:val="170970FB"/>
    <w:rsid w:val="17122819"/>
    <w:rsid w:val="171658EE"/>
    <w:rsid w:val="171C0532"/>
    <w:rsid w:val="171E16DF"/>
    <w:rsid w:val="171E5403"/>
    <w:rsid w:val="17290B85"/>
    <w:rsid w:val="17303102"/>
    <w:rsid w:val="173968B8"/>
    <w:rsid w:val="17494A62"/>
    <w:rsid w:val="174F34A7"/>
    <w:rsid w:val="175846F3"/>
    <w:rsid w:val="175A3559"/>
    <w:rsid w:val="175E19A3"/>
    <w:rsid w:val="17622FCE"/>
    <w:rsid w:val="17633086"/>
    <w:rsid w:val="176D354E"/>
    <w:rsid w:val="176E0D86"/>
    <w:rsid w:val="176E58CC"/>
    <w:rsid w:val="177A2973"/>
    <w:rsid w:val="177F4500"/>
    <w:rsid w:val="17806D5A"/>
    <w:rsid w:val="17820010"/>
    <w:rsid w:val="17886C32"/>
    <w:rsid w:val="178B287E"/>
    <w:rsid w:val="178C2FBD"/>
    <w:rsid w:val="178E3F0D"/>
    <w:rsid w:val="178F50C3"/>
    <w:rsid w:val="178F77C3"/>
    <w:rsid w:val="17952A66"/>
    <w:rsid w:val="179955D3"/>
    <w:rsid w:val="179B3FEB"/>
    <w:rsid w:val="179C5255"/>
    <w:rsid w:val="179E0B95"/>
    <w:rsid w:val="17B4105F"/>
    <w:rsid w:val="17B42B32"/>
    <w:rsid w:val="17BC558B"/>
    <w:rsid w:val="17C979DB"/>
    <w:rsid w:val="17CB2AA0"/>
    <w:rsid w:val="17D06F9B"/>
    <w:rsid w:val="17E35410"/>
    <w:rsid w:val="17E54381"/>
    <w:rsid w:val="17F049A0"/>
    <w:rsid w:val="180001D8"/>
    <w:rsid w:val="180F509F"/>
    <w:rsid w:val="181844C9"/>
    <w:rsid w:val="181C1C05"/>
    <w:rsid w:val="18257D93"/>
    <w:rsid w:val="183C07DC"/>
    <w:rsid w:val="18413BF7"/>
    <w:rsid w:val="184212AE"/>
    <w:rsid w:val="18486359"/>
    <w:rsid w:val="18504E7B"/>
    <w:rsid w:val="185223D1"/>
    <w:rsid w:val="18561372"/>
    <w:rsid w:val="185668C9"/>
    <w:rsid w:val="185A60CE"/>
    <w:rsid w:val="185D0CAD"/>
    <w:rsid w:val="18636704"/>
    <w:rsid w:val="1868099B"/>
    <w:rsid w:val="18692350"/>
    <w:rsid w:val="18703B6A"/>
    <w:rsid w:val="187330D2"/>
    <w:rsid w:val="187E5C8A"/>
    <w:rsid w:val="187F0F57"/>
    <w:rsid w:val="18811C3B"/>
    <w:rsid w:val="188D2130"/>
    <w:rsid w:val="18961565"/>
    <w:rsid w:val="189E20EA"/>
    <w:rsid w:val="18A032D2"/>
    <w:rsid w:val="18A614A7"/>
    <w:rsid w:val="18B01B8E"/>
    <w:rsid w:val="18B56288"/>
    <w:rsid w:val="18BF544C"/>
    <w:rsid w:val="18C57F7D"/>
    <w:rsid w:val="18C8171D"/>
    <w:rsid w:val="18D0381D"/>
    <w:rsid w:val="18D20BF3"/>
    <w:rsid w:val="18D246E8"/>
    <w:rsid w:val="18D6669C"/>
    <w:rsid w:val="18DA4920"/>
    <w:rsid w:val="18E57016"/>
    <w:rsid w:val="18F22B89"/>
    <w:rsid w:val="18F57CD5"/>
    <w:rsid w:val="18F64857"/>
    <w:rsid w:val="18F93C51"/>
    <w:rsid w:val="18FD0096"/>
    <w:rsid w:val="18FF00AA"/>
    <w:rsid w:val="1902289E"/>
    <w:rsid w:val="19026A9B"/>
    <w:rsid w:val="19027191"/>
    <w:rsid w:val="19066249"/>
    <w:rsid w:val="19093875"/>
    <w:rsid w:val="19180693"/>
    <w:rsid w:val="191F3E8D"/>
    <w:rsid w:val="19226581"/>
    <w:rsid w:val="192755C9"/>
    <w:rsid w:val="192A2122"/>
    <w:rsid w:val="192D514B"/>
    <w:rsid w:val="192E154C"/>
    <w:rsid w:val="1932642E"/>
    <w:rsid w:val="19376AFE"/>
    <w:rsid w:val="19414B97"/>
    <w:rsid w:val="19432E9B"/>
    <w:rsid w:val="194B56AB"/>
    <w:rsid w:val="194F4B12"/>
    <w:rsid w:val="194F63F5"/>
    <w:rsid w:val="195711D2"/>
    <w:rsid w:val="195D2555"/>
    <w:rsid w:val="19607DA0"/>
    <w:rsid w:val="196422D6"/>
    <w:rsid w:val="196560A7"/>
    <w:rsid w:val="196D31ED"/>
    <w:rsid w:val="196F3042"/>
    <w:rsid w:val="197303CB"/>
    <w:rsid w:val="197A1953"/>
    <w:rsid w:val="197A4F59"/>
    <w:rsid w:val="197D7FCB"/>
    <w:rsid w:val="198162E9"/>
    <w:rsid w:val="198F08EC"/>
    <w:rsid w:val="1997353E"/>
    <w:rsid w:val="19AC7A30"/>
    <w:rsid w:val="19B003FE"/>
    <w:rsid w:val="19B0257A"/>
    <w:rsid w:val="19B24A5E"/>
    <w:rsid w:val="19B32BE3"/>
    <w:rsid w:val="19BA4995"/>
    <w:rsid w:val="19BA5B8F"/>
    <w:rsid w:val="19BF0118"/>
    <w:rsid w:val="19C0344C"/>
    <w:rsid w:val="19C66B7B"/>
    <w:rsid w:val="19D02286"/>
    <w:rsid w:val="19DF29F9"/>
    <w:rsid w:val="19ED2912"/>
    <w:rsid w:val="19FA7CCE"/>
    <w:rsid w:val="19FC224E"/>
    <w:rsid w:val="1A1247EF"/>
    <w:rsid w:val="1A1B271A"/>
    <w:rsid w:val="1A22637F"/>
    <w:rsid w:val="1A286979"/>
    <w:rsid w:val="1A342EE7"/>
    <w:rsid w:val="1A4D77FC"/>
    <w:rsid w:val="1A58629A"/>
    <w:rsid w:val="1A592616"/>
    <w:rsid w:val="1A5E39E2"/>
    <w:rsid w:val="1A5F5633"/>
    <w:rsid w:val="1A6E0C72"/>
    <w:rsid w:val="1A7A2BE2"/>
    <w:rsid w:val="1A7C5EDA"/>
    <w:rsid w:val="1A8135ED"/>
    <w:rsid w:val="1A820F63"/>
    <w:rsid w:val="1A8E741A"/>
    <w:rsid w:val="1A912EEE"/>
    <w:rsid w:val="1A997B18"/>
    <w:rsid w:val="1A9D6CB4"/>
    <w:rsid w:val="1A9E3A87"/>
    <w:rsid w:val="1AA645D9"/>
    <w:rsid w:val="1AA87E5D"/>
    <w:rsid w:val="1AAC10B8"/>
    <w:rsid w:val="1AB466BF"/>
    <w:rsid w:val="1AB616D9"/>
    <w:rsid w:val="1AB97219"/>
    <w:rsid w:val="1ABD361D"/>
    <w:rsid w:val="1ABF4D1C"/>
    <w:rsid w:val="1AC04421"/>
    <w:rsid w:val="1AD512C3"/>
    <w:rsid w:val="1AEF165B"/>
    <w:rsid w:val="1AEF5FE3"/>
    <w:rsid w:val="1AF13179"/>
    <w:rsid w:val="1AFF61CA"/>
    <w:rsid w:val="1B0131D6"/>
    <w:rsid w:val="1B016F75"/>
    <w:rsid w:val="1B045EF3"/>
    <w:rsid w:val="1B0D439F"/>
    <w:rsid w:val="1B0F597A"/>
    <w:rsid w:val="1B174707"/>
    <w:rsid w:val="1B1E7405"/>
    <w:rsid w:val="1B2079C0"/>
    <w:rsid w:val="1B251FBD"/>
    <w:rsid w:val="1B352F97"/>
    <w:rsid w:val="1B3605A7"/>
    <w:rsid w:val="1B394617"/>
    <w:rsid w:val="1B47057E"/>
    <w:rsid w:val="1B4F6459"/>
    <w:rsid w:val="1B537047"/>
    <w:rsid w:val="1B5676D7"/>
    <w:rsid w:val="1B5B16BE"/>
    <w:rsid w:val="1B5C4949"/>
    <w:rsid w:val="1B600F6A"/>
    <w:rsid w:val="1B65327C"/>
    <w:rsid w:val="1B687462"/>
    <w:rsid w:val="1B693F33"/>
    <w:rsid w:val="1B7324D2"/>
    <w:rsid w:val="1B792196"/>
    <w:rsid w:val="1B7F2AF5"/>
    <w:rsid w:val="1B810EE3"/>
    <w:rsid w:val="1B883468"/>
    <w:rsid w:val="1B892C29"/>
    <w:rsid w:val="1B905864"/>
    <w:rsid w:val="1BA16D2B"/>
    <w:rsid w:val="1BA54F80"/>
    <w:rsid w:val="1BBC62E9"/>
    <w:rsid w:val="1BBF3289"/>
    <w:rsid w:val="1BC40802"/>
    <w:rsid w:val="1BD97324"/>
    <w:rsid w:val="1BDB68C3"/>
    <w:rsid w:val="1BDC4FC4"/>
    <w:rsid w:val="1BDE67AC"/>
    <w:rsid w:val="1BE212B3"/>
    <w:rsid w:val="1BE75809"/>
    <w:rsid w:val="1BE83E54"/>
    <w:rsid w:val="1BE9537A"/>
    <w:rsid w:val="1BEB5AC6"/>
    <w:rsid w:val="1BED7657"/>
    <w:rsid w:val="1BEE71DE"/>
    <w:rsid w:val="1BF56719"/>
    <w:rsid w:val="1BFA5532"/>
    <w:rsid w:val="1BFB7E8A"/>
    <w:rsid w:val="1C006BD8"/>
    <w:rsid w:val="1C055719"/>
    <w:rsid w:val="1C0D76A0"/>
    <w:rsid w:val="1C142692"/>
    <w:rsid w:val="1C167A3E"/>
    <w:rsid w:val="1C17697D"/>
    <w:rsid w:val="1C1E286F"/>
    <w:rsid w:val="1C2010A0"/>
    <w:rsid w:val="1C2934A4"/>
    <w:rsid w:val="1C2E32A6"/>
    <w:rsid w:val="1C3B2A0F"/>
    <w:rsid w:val="1C484298"/>
    <w:rsid w:val="1C4E4ECC"/>
    <w:rsid w:val="1C4F2A34"/>
    <w:rsid w:val="1C563646"/>
    <w:rsid w:val="1C591141"/>
    <w:rsid w:val="1C5D6D87"/>
    <w:rsid w:val="1C611DFF"/>
    <w:rsid w:val="1C6175A6"/>
    <w:rsid w:val="1C6E67AE"/>
    <w:rsid w:val="1C6F0D48"/>
    <w:rsid w:val="1C7927F1"/>
    <w:rsid w:val="1C7F3C3D"/>
    <w:rsid w:val="1C840A52"/>
    <w:rsid w:val="1C8838BA"/>
    <w:rsid w:val="1C932114"/>
    <w:rsid w:val="1C932998"/>
    <w:rsid w:val="1C97215D"/>
    <w:rsid w:val="1C9D57BD"/>
    <w:rsid w:val="1C9E0D84"/>
    <w:rsid w:val="1CA33F57"/>
    <w:rsid w:val="1CA87A52"/>
    <w:rsid w:val="1CB264D0"/>
    <w:rsid w:val="1CB85F63"/>
    <w:rsid w:val="1CC56D2F"/>
    <w:rsid w:val="1CE72C15"/>
    <w:rsid w:val="1CEF4177"/>
    <w:rsid w:val="1CF40B9E"/>
    <w:rsid w:val="1CFD3CE6"/>
    <w:rsid w:val="1CFE4E14"/>
    <w:rsid w:val="1D0218CB"/>
    <w:rsid w:val="1D053178"/>
    <w:rsid w:val="1D05701F"/>
    <w:rsid w:val="1D0F188D"/>
    <w:rsid w:val="1D1C0A77"/>
    <w:rsid w:val="1D1C6EFF"/>
    <w:rsid w:val="1D1E71DF"/>
    <w:rsid w:val="1D212871"/>
    <w:rsid w:val="1D361C80"/>
    <w:rsid w:val="1D4020EB"/>
    <w:rsid w:val="1D467194"/>
    <w:rsid w:val="1D4768B1"/>
    <w:rsid w:val="1D552567"/>
    <w:rsid w:val="1D596885"/>
    <w:rsid w:val="1D5A61FF"/>
    <w:rsid w:val="1D5B7056"/>
    <w:rsid w:val="1D641DE8"/>
    <w:rsid w:val="1D660A59"/>
    <w:rsid w:val="1D763860"/>
    <w:rsid w:val="1D861C7D"/>
    <w:rsid w:val="1D8B637F"/>
    <w:rsid w:val="1D8E71B6"/>
    <w:rsid w:val="1D9231FD"/>
    <w:rsid w:val="1D9A43BC"/>
    <w:rsid w:val="1DA66116"/>
    <w:rsid w:val="1DAB521A"/>
    <w:rsid w:val="1DB046A2"/>
    <w:rsid w:val="1DB103B4"/>
    <w:rsid w:val="1DB173CE"/>
    <w:rsid w:val="1DB5105A"/>
    <w:rsid w:val="1DB65305"/>
    <w:rsid w:val="1DBB2C0A"/>
    <w:rsid w:val="1DC22CBF"/>
    <w:rsid w:val="1DC76AA7"/>
    <w:rsid w:val="1DD1747E"/>
    <w:rsid w:val="1DD763B6"/>
    <w:rsid w:val="1DDC02FC"/>
    <w:rsid w:val="1DDC108B"/>
    <w:rsid w:val="1DDC753D"/>
    <w:rsid w:val="1DEE7CF7"/>
    <w:rsid w:val="1DF045FE"/>
    <w:rsid w:val="1DF27F59"/>
    <w:rsid w:val="1DFD0625"/>
    <w:rsid w:val="1DFD38A2"/>
    <w:rsid w:val="1DFE0B8E"/>
    <w:rsid w:val="1E0008C9"/>
    <w:rsid w:val="1E033DFC"/>
    <w:rsid w:val="1E0E56E5"/>
    <w:rsid w:val="1E0F2FEF"/>
    <w:rsid w:val="1E1A5947"/>
    <w:rsid w:val="1E1C2DF5"/>
    <w:rsid w:val="1E1D13F2"/>
    <w:rsid w:val="1E205477"/>
    <w:rsid w:val="1E240F4B"/>
    <w:rsid w:val="1E320A01"/>
    <w:rsid w:val="1E325B96"/>
    <w:rsid w:val="1E350CA5"/>
    <w:rsid w:val="1E363964"/>
    <w:rsid w:val="1E3B4997"/>
    <w:rsid w:val="1E43651D"/>
    <w:rsid w:val="1E4478C4"/>
    <w:rsid w:val="1E4531C4"/>
    <w:rsid w:val="1E506F85"/>
    <w:rsid w:val="1E520595"/>
    <w:rsid w:val="1E5E0B01"/>
    <w:rsid w:val="1E6877EA"/>
    <w:rsid w:val="1E6C3238"/>
    <w:rsid w:val="1E7964C0"/>
    <w:rsid w:val="1E7E0571"/>
    <w:rsid w:val="1E865AF1"/>
    <w:rsid w:val="1E877173"/>
    <w:rsid w:val="1E887CC3"/>
    <w:rsid w:val="1E9305C3"/>
    <w:rsid w:val="1E962DC7"/>
    <w:rsid w:val="1EB742A5"/>
    <w:rsid w:val="1EB9343A"/>
    <w:rsid w:val="1EBB1926"/>
    <w:rsid w:val="1ECA752C"/>
    <w:rsid w:val="1ED12401"/>
    <w:rsid w:val="1ED12E2F"/>
    <w:rsid w:val="1ED30A2D"/>
    <w:rsid w:val="1ED7065D"/>
    <w:rsid w:val="1EDB4112"/>
    <w:rsid w:val="1EE057A4"/>
    <w:rsid w:val="1EE34F45"/>
    <w:rsid w:val="1EE90515"/>
    <w:rsid w:val="1EE922B8"/>
    <w:rsid w:val="1EED2A56"/>
    <w:rsid w:val="1EEE2C1C"/>
    <w:rsid w:val="1EF5213F"/>
    <w:rsid w:val="1EFB12D5"/>
    <w:rsid w:val="1EFC25D6"/>
    <w:rsid w:val="1F103A91"/>
    <w:rsid w:val="1F1254EB"/>
    <w:rsid w:val="1F2915F9"/>
    <w:rsid w:val="1F3373CE"/>
    <w:rsid w:val="1F3464FE"/>
    <w:rsid w:val="1F376633"/>
    <w:rsid w:val="1F382362"/>
    <w:rsid w:val="1F3C2BF9"/>
    <w:rsid w:val="1F4454A9"/>
    <w:rsid w:val="1F4B6C84"/>
    <w:rsid w:val="1F4D73F2"/>
    <w:rsid w:val="1F5701D1"/>
    <w:rsid w:val="1F5B35CD"/>
    <w:rsid w:val="1F6301FC"/>
    <w:rsid w:val="1F6E3CDF"/>
    <w:rsid w:val="1F706D51"/>
    <w:rsid w:val="1F710BB1"/>
    <w:rsid w:val="1F7A578E"/>
    <w:rsid w:val="1F7C5AAA"/>
    <w:rsid w:val="1F7C77B8"/>
    <w:rsid w:val="1F7D573D"/>
    <w:rsid w:val="1F7F3B41"/>
    <w:rsid w:val="1F855727"/>
    <w:rsid w:val="1F884358"/>
    <w:rsid w:val="1F8D1F13"/>
    <w:rsid w:val="1F8E13A8"/>
    <w:rsid w:val="1F8F3F0B"/>
    <w:rsid w:val="1F950DE2"/>
    <w:rsid w:val="1F993AE9"/>
    <w:rsid w:val="1FB272BC"/>
    <w:rsid w:val="1FB6369B"/>
    <w:rsid w:val="1FC17751"/>
    <w:rsid w:val="1FC633C8"/>
    <w:rsid w:val="1FC7051B"/>
    <w:rsid w:val="1FC758B2"/>
    <w:rsid w:val="1FC868D6"/>
    <w:rsid w:val="1FCC6338"/>
    <w:rsid w:val="1FCD2E98"/>
    <w:rsid w:val="1FCF1C1D"/>
    <w:rsid w:val="1FD04371"/>
    <w:rsid w:val="1FD96838"/>
    <w:rsid w:val="1FDF3F78"/>
    <w:rsid w:val="1FE50B62"/>
    <w:rsid w:val="1FE95AC6"/>
    <w:rsid w:val="1FED3F40"/>
    <w:rsid w:val="1FEF345E"/>
    <w:rsid w:val="1FF90558"/>
    <w:rsid w:val="1FFE0BAE"/>
    <w:rsid w:val="1FFE6CD2"/>
    <w:rsid w:val="20021A63"/>
    <w:rsid w:val="200C3BFB"/>
    <w:rsid w:val="20107B82"/>
    <w:rsid w:val="201820E1"/>
    <w:rsid w:val="20196258"/>
    <w:rsid w:val="20205E65"/>
    <w:rsid w:val="20260F00"/>
    <w:rsid w:val="20270224"/>
    <w:rsid w:val="20273B26"/>
    <w:rsid w:val="20282555"/>
    <w:rsid w:val="203502FF"/>
    <w:rsid w:val="203561AF"/>
    <w:rsid w:val="203C307F"/>
    <w:rsid w:val="20440165"/>
    <w:rsid w:val="20483EE0"/>
    <w:rsid w:val="204B2ABB"/>
    <w:rsid w:val="20561C3B"/>
    <w:rsid w:val="205A20E2"/>
    <w:rsid w:val="205A3EEF"/>
    <w:rsid w:val="205E3CD5"/>
    <w:rsid w:val="206432FF"/>
    <w:rsid w:val="206551DA"/>
    <w:rsid w:val="206703A7"/>
    <w:rsid w:val="20676E78"/>
    <w:rsid w:val="20694C56"/>
    <w:rsid w:val="20710F07"/>
    <w:rsid w:val="2073687E"/>
    <w:rsid w:val="207555C3"/>
    <w:rsid w:val="20760407"/>
    <w:rsid w:val="207663E2"/>
    <w:rsid w:val="20787E17"/>
    <w:rsid w:val="20794908"/>
    <w:rsid w:val="20854983"/>
    <w:rsid w:val="208862DA"/>
    <w:rsid w:val="208A032A"/>
    <w:rsid w:val="208F6CA0"/>
    <w:rsid w:val="20947881"/>
    <w:rsid w:val="209628A1"/>
    <w:rsid w:val="209D366C"/>
    <w:rsid w:val="20A02621"/>
    <w:rsid w:val="20A334E4"/>
    <w:rsid w:val="20A56494"/>
    <w:rsid w:val="20A9485D"/>
    <w:rsid w:val="20AF07AC"/>
    <w:rsid w:val="20B83F8E"/>
    <w:rsid w:val="20BE4538"/>
    <w:rsid w:val="20BF1246"/>
    <w:rsid w:val="20C5635A"/>
    <w:rsid w:val="20CD76A5"/>
    <w:rsid w:val="20D92368"/>
    <w:rsid w:val="20DB0B22"/>
    <w:rsid w:val="20DB5C1F"/>
    <w:rsid w:val="20DC786E"/>
    <w:rsid w:val="20E112FC"/>
    <w:rsid w:val="20E63719"/>
    <w:rsid w:val="20EA2330"/>
    <w:rsid w:val="20EA59FB"/>
    <w:rsid w:val="20F42821"/>
    <w:rsid w:val="20FD7484"/>
    <w:rsid w:val="20FE6737"/>
    <w:rsid w:val="2105515C"/>
    <w:rsid w:val="21066905"/>
    <w:rsid w:val="210D350A"/>
    <w:rsid w:val="210D6BC0"/>
    <w:rsid w:val="210F2023"/>
    <w:rsid w:val="211B2771"/>
    <w:rsid w:val="211F2875"/>
    <w:rsid w:val="21231F1B"/>
    <w:rsid w:val="212E649E"/>
    <w:rsid w:val="212F0032"/>
    <w:rsid w:val="213627B5"/>
    <w:rsid w:val="213E6513"/>
    <w:rsid w:val="21470942"/>
    <w:rsid w:val="21471EC6"/>
    <w:rsid w:val="21520636"/>
    <w:rsid w:val="215A3C49"/>
    <w:rsid w:val="21657BF8"/>
    <w:rsid w:val="21700ECD"/>
    <w:rsid w:val="21854EB9"/>
    <w:rsid w:val="2192120D"/>
    <w:rsid w:val="21941D90"/>
    <w:rsid w:val="21A23BBF"/>
    <w:rsid w:val="21C608A2"/>
    <w:rsid w:val="21CA1240"/>
    <w:rsid w:val="21CD0527"/>
    <w:rsid w:val="21CD16FE"/>
    <w:rsid w:val="21D061AB"/>
    <w:rsid w:val="21D13380"/>
    <w:rsid w:val="21D1469B"/>
    <w:rsid w:val="21D67B41"/>
    <w:rsid w:val="21DD3D7F"/>
    <w:rsid w:val="21F97DDA"/>
    <w:rsid w:val="21FF5A24"/>
    <w:rsid w:val="22005CCC"/>
    <w:rsid w:val="2205091A"/>
    <w:rsid w:val="22064B56"/>
    <w:rsid w:val="221D6F4E"/>
    <w:rsid w:val="221F3F59"/>
    <w:rsid w:val="22223938"/>
    <w:rsid w:val="222A2A28"/>
    <w:rsid w:val="22322AD5"/>
    <w:rsid w:val="22335B48"/>
    <w:rsid w:val="22473431"/>
    <w:rsid w:val="22481D09"/>
    <w:rsid w:val="22553393"/>
    <w:rsid w:val="225B69BA"/>
    <w:rsid w:val="2268192E"/>
    <w:rsid w:val="22714564"/>
    <w:rsid w:val="227222C8"/>
    <w:rsid w:val="22834738"/>
    <w:rsid w:val="22847BD4"/>
    <w:rsid w:val="22880D46"/>
    <w:rsid w:val="22890DA5"/>
    <w:rsid w:val="228E44F3"/>
    <w:rsid w:val="22923A21"/>
    <w:rsid w:val="22962320"/>
    <w:rsid w:val="229623CE"/>
    <w:rsid w:val="22971276"/>
    <w:rsid w:val="229C56D0"/>
    <w:rsid w:val="229D4DDD"/>
    <w:rsid w:val="22A8538B"/>
    <w:rsid w:val="22AF3D64"/>
    <w:rsid w:val="22AF53B3"/>
    <w:rsid w:val="22C031F8"/>
    <w:rsid w:val="22C107CA"/>
    <w:rsid w:val="22C449BE"/>
    <w:rsid w:val="22C57F5D"/>
    <w:rsid w:val="22CF2EC4"/>
    <w:rsid w:val="22ED2B1D"/>
    <w:rsid w:val="22EE2949"/>
    <w:rsid w:val="22EE39DC"/>
    <w:rsid w:val="22F12D1E"/>
    <w:rsid w:val="22F17DA2"/>
    <w:rsid w:val="22F24EAF"/>
    <w:rsid w:val="22F27B28"/>
    <w:rsid w:val="22FC2CAA"/>
    <w:rsid w:val="230950A0"/>
    <w:rsid w:val="23096864"/>
    <w:rsid w:val="23101CDC"/>
    <w:rsid w:val="231717DB"/>
    <w:rsid w:val="2318777A"/>
    <w:rsid w:val="231D4894"/>
    <w:rsid w:val="232D4A27"/>
    <w:rsid w:val="233F1AF7"/>
    <w:rsid w:val="23422AFB"/>
    <w:rsid w:val="2354551D"/>
    <w:rsid w:val="235A2413"/>
    <w:rsid w:val="23692F2D"/>
    <w:rsid w:val="236A40ED"/>
    <w:rsid w:val="2377075D"/>
    <w:rsid w:val="2377726C"/>
    <w:rsid w:val="237F0315"/>
    <w:rsid w:val="23817B0D"/>
    <w:rsid w:val="2388450C"/>
    <w:rsid w:val="23927244"/>
    <w:rsid w:val="23977B4D"/>
    <w:rsid w:val="239E30AA"/>
    <w:rsid w:val="239F0404"/>
    <w:rsid w:val="23AE3EBC"/>
    <w:rsid w:val="23B00EF1"/>
    <w:rsid w:val="23B34FCC"/>
    <w:rsid w:val="23B93C4B"/>
    <w:rsid w:val="23BE6B28"/>
    <w:rsid w:val="23BF3628"/>
    <w:rsid w:val="23C212E7"/>
    <w:rsid w:val="23C5141E"/>
    <w:rsid w:val="23CE4AD3"/>
    <w:rsid w:val="23D40657"/>
    <w:rsid w:val="23D93A5B"/>
    <w:rsid w:val="23E5240B"/>
    <w:rsid w:val="23EB5117"/>
    <w:rsid w:val="23EC5D1E"/>
    <w:rsid w:val="23EE3D82"/>
    <w:rsid w:val="23EF5723"/>
    <w:rsid w:val="23F127DA"/>
    <w:rsid w:val="23F56B1F"/>
    <w:rsid w:val="24045D87"/>
    <w:rsid w:val="24052E78"/>
    <w:rsid w:val="24123DA9"/>
    <w:rsid w:val="241F3FA7"/>
    <w:rsid w:val="24206D61"/>
    <w:rsid w:val="24231F59"/>
    <w:rsid w:val="242840C9"/>
    <w:rsid w:val="24334A9E"/>
    <w:rsid w:val="243B1672"/>
    <w:rsid w:val="24405F3A"/>
    <w:rsid w:val="24410021"/>
    <w:rsid w:val="2445127D"/>
    <w:rsid w:val="244902FE"/>
    <w:rsid w:val="244F376A"/>
    <w:rsid w:val="24550FA2"/>
    <w:rsid w:val="245554B9"/>
    <w:rsid w:val="245C4C5C"/>
    <w:rsid w:val="246776AB"/>
    <w:rsid w:val="246D00D0"/>
    <w:rsid w:val="24712DA7"/>
    <w:rsid w:val="248542C8"/>
    <w:rsid w:val="24882B80"/>
    <w:rsid w:val="248B343C"/>
    <w:rsid w:val="248D543E"/>
    <w:rsid w:val="248E043E"/>
    <w:rsid w:val="248F7621"/>
    <w:rsid w:val="249366A6"/>
    <w:rsid w:val="2494033E"/>
    <w:rsid w:val="24965744"/>
    <w:rsid w:val="24974416"/>
    <w:rsid w:val="24975A23"/>
    <w:rsid w:val="2499509A"/>
    <w:rsid w:val="24A570EF"/>
    <w:rsid w:val="24A736F2"/>
    <w:rsid w:val="24AB2EFD"/>
    <w:rsid w:val="24B4796E"/>
    <w:rsid w:val="24B64A7C"/>
    <w:rsid w:val="24BA707C"/>
    <w:rsid w:val="24C31D74"/>
    <w:rsid w:val="24C50D67"/>
    <w:rsid w:val="24C63DAC"/>
    <w:rsid w:val="24C832F8"/>
    <w:rsid w:val="24CD499F"/>
    <w:rsid w:val="24D86CCB"/>
    <w:rsid w:val="24DB767F"/>
    <w:rsid w:val="24E171E0"/>
    <w:rsid w:val="24E24220"/>
    <w:rsid w:val="24E243EA"/>
    <w:rsid w:val="24E34511"/>
    <w:rsid w:val="24FB2E91"/>
    <w:rsid w:val="250A79D7"/>
    <w:rsid w:val="250B2F3C"/>
    <w:rsid w:val="250B450B"/>
    <w:rsid w:val="251A3D6A"/>
    <w:rsid w:val="251B1C76"/>
    <w:rsid w:val="251C17B2"/>
    <w:rsid w:val="252146F3"/>
    <w:rsid w:val="25240F82"/>
    <w:rsid w:val="25262D8D"/>
    <w:rsid w:val="25275B52"/>
    <w:rsid w:val="252D6328"/>
    <w:rsid w:val="252D7942"/>
    <w:rsid w:val="25352160"/>
    <w:rsid w:val="25383126"/>
    <w:rsid w:val="253D0D41"/>
    <w:rsid w:val="253D7DFB"/>
    <w:rsid w:val="25411191"/>
    <w:rsid w:val="2541580A"/>
    <w:rsid w:val="25453F0F"/>
    <w:rsid w:val="25470C0C"/>
    <w:rsid w:val="25472CDC"/>
    <w:rsid w:val="255665C7"/>
    <w:rsid w:val="255721C3"/>
    <w:rsid w:val="25613190"/>
    <w:rsid w:val="256A58A4"/>
    <w:rsid w:val="256E747A"/>
    <w:rsid w:val="257513A3"/>
    <w:rsid w:val="257C522C"/>
    <w:rsid w:val="257F1B1A"/>
    <w:rsid w:val="25852C6A"/>
    <w:rsid w:val="25954AA0"/>
    <w:rsid w:val="25975712"/>
    <w:rsid w:val="259C2622"/>
    <w:rsid w:val="25A42050"/>
    <w:rsid w:val="25A920CF"/>
    <w:rsid w:val="25B30040"/>
    <w:rsid w:val="25B47B0F"/>
    <w:rsid w:val="25B63EE9"/>
    <w:rsid w:val="25BA2728"/>
    <w:rsid w:val="25C1612A"/>
    <w:rsid w:val="25C27D2E"/>
    <w:rsid w:val="25C74D49"/>
    <w:rsid w:val="25CA221E"/>
    <w:rsid w:val="25D83FA9"/>
    <w:rsid w:val="25DD70A9"/>
    <w:rsid w:val="25E1287A"/>
    <w:rsid w:val="25E326B2"/>
    <w:rsid w:val="25F07BC0"/>
    <w:rsid w:val="25F16AB4"/>
    <w:rsid w:val="25F846D4"/>
    <w:rsid w:val="25FA6E13"/>
    <w:rsid w:val="25FD723D"/>
    <w:rsid w:val="2605113A"/>
    <w:rsid w:val="26061884"/>
    <w:rsid w:val="261C7218"/>
    <w:rsid w:val="261D5F1C"/>
    <w:rsid w:val="261E7D0B"/>
    <w:rsid w:val="2630217C"/>
    <w:rsid w:val="263428EF"/>
    <w:rsid w:val="263E7016"/>
    <w:rsid w:val="263E73E7"/>
    <w:rsid w:val="26442185"/>
    <w:rsid w:val="264E0BB0"/>
    <w:rsid w:val="264E0F18"/>
    <w:rsid w:val="265C58B3"/>
    <w:rsid w:val="26605580"/>
    <w:rsid w:val="2664167B"/>
    <w:rsid w:val="26675F25"/>
    <w:rsid w:val="26686725"/>
    <w:rsid w:val="2673493A"/>
    <w:rsid w:val="267663F9"/>
    <w:rsid w:val="26767784"/>
    <w:rsid w:val="26784270"/>
    <w:rsid w:val="2693649F"/>
    <w:rsid w:val="26984E2B"/>
    <w:rsid w:val="26993A9E"/>
    <w:rsid w:val="26A12EEC"/>
    <w:rsid w:val="26A16E5D"/>
    <w:rsid w:val="26A7025E"/>
    <w:rsid w:val="26AA3870"/>
    <w:rsid w:val="26B052E1"/>
    <w:rsid w:val="26B62676"/>
    <w:rsid w:val="26B700B7"/>
    <w:rsid w:val="26C2738A"/>
    <w:rsid w:val="26C3253E"/>
    <w:rsid w:val="26D5490E"/>
    <w:rsid w:val="26DD7F07"/>
    <w:rsid w:val="26E2398C"/>
    <w:rsid w:val="26E35557"/>
    <w:rsid w:val="26EA5383"/>
    <w:rsid w:val="26EC30B5"/>
    <w:rsid w:val="26F0760B"/>
    <w:rsid w:val="26F50AF6"/>
    <w:rsid w:val="26FD280E"/>
    <w:rsid w:val="27027009"/>
    <w:rsid w:val="270C13CE"/>
    <w:rsid w:val="27102996"/>
    <w:rsid w:val="27234462"/>
    <w:rsid w:val="27245BBB"/>
    <w:rsid w:val="2726689D"/>
    <w:rsid w:val="272B0314"/>
    <w:rsid w:val="2730569B"/>
    <w:rsid w:val="27312369"/>
    <w:rsid w:val="273367DA"/>
    <w:rsid w:val="27353546"/>
    <w:rsid w:val="27425130"/>
    <w:rsid w:val="274C0242"/>
    <w:rsid w:val="274D0A55"/>
    <w:rsid w:val="274F0E1C"/>
    <w:rsid w:val="27512202"/>
    <w:rsid w:val="275C7794"/>
    <w:rsid w:val="276054D6"/>
    <w:rsid w:val="2764526E"/>
    <w:rsid w:val="27662F92"/>
    <w:rsid w:val="276B7212"/>
    <w:rsid w:val="276D7292"/>
    <w:rsid w:val="27704003"/>
    <w:rsid w:val="2789084D"/>
    <w:rsid w:val="27943723"/>
    <w:rsid w:val="279737A4"/>
    <w:rsid w:val="279C1FEF"/>
    <w:rsid w:val="27AB2DB4"/>
    <w:rsid w:val="27B47111"/>
    <w:rsid w:val="27B85025"/>
    <w:rsid w:val="27BD4D96"/>
    <w:rsid w:val="27C82F01"/>
    <w:rsid w:val="27CA43CF"/>
    <w:rsid w:val="27CF275D"/>
    <w:rsid w:val="27D01887"/>
    <w:rsid w:val="27D17308"/>
    <w:rsid w:val="27D53D70"/>
    <w:rsid w:val="27E17DFF"/>
    <w:rsid w:val="27E20BE1"/>
    <w:rsid w:val="27E268D7"/>
    <w:rsid w:val="27E31A2E"/>
    <w:rsid w:val="27E666A0"/>
    <w:rsid w:val="27EA6CC1"/>
    <w:rsid w:val="27EF101C"/>
    <w:rsid w:val="27EF442A"/>
    <w:rsid w:val="27F558DB"/>
    <w:rsid w:val="27FD085A"/>
    <w:rsid w:val="27FE25C4"/>
    <w:rsid w:val="280847CA"/>
    <w:rsid w:val="28087664"/>
    <w:rsid w:val="280D0E0C"/>
    <w:rsid w:val="280D2E93"/>
    <w:rsid w:val="280D6E0C"/>
    <w:rsid w:val="280F21D1"/>
    <w:rsid w:val="28141D23"/>
    <w:rsid w:val="2815384A"/>
    <w:rsid w:val="281D15B4"/>
    <w:rsid w:val="282E7858"/>
    <w:rsid w:val="28380A4F"/>
    <w:rsid w:val="283F4CAA"/>
    <w:rsid w:val="284206F6"/>
    <w:rsid w:val="28426636"/>
    <w:rsid w:val="2844194E"/>
    <w:rsid w:val="28490EBF"/>
    <w:rsid w:val="284B7FD8"/>
    <w:rsid w:val="28504854"/>
    <w:rsid w:val="285948CF"/>
    <w:rsid w:val="285E4CDB"/>
    <w:rsid w:val="285F42EB"/>
    <w:rsid w:val="286514A0"/>
    <w:rsid w:val="286F66A2"/>
    <w:rsid w:val="28783A67"/>
    <w:rsid w:val="28785865"/>
    <w:rsid w:val="288301A9"/>
    <w:rsid w:val="289544F3"/>
    <w:rsid w:val="28986B17"/>
    <w:rsid w:val="28A442FD"/>
    <w:rsid w:val="28A72321"/>
    <w:rsid w:val="28A9293B"/>
    <w:rsid w:val="28AE6062"/>
    <w:rsid w:val="28B11EE6"/>
    <w:rsid w:val="28B121EF"/>
    <w:rsid w:val="28B465C1"/>
    <w:rsid w:val="28B70C27"/>
    <w:rsid w:val="28B76530"/>
    <w:rsid w:val="28BA7836"/>
    <w:rsid w:val="28C12A0C"/>
    <w:rsid w:val="28C2197F"/>
    <w:rsid w:val="28C5290C"/>
    <w:rsid w:val="28D02A74"/>
    <w:rsid w:val="28DA4AAB"/>
    <w:rsid w:val="28DC0EC0"/>
    <w:rsid w:val="28E6795C"/>
    <w:rsid w:val="28E77F98"/>
    <w:rsid w:val="28EA2D3A"/>
    <w:rsid w:val="28F20F4C"/>
    <w:rsid w:val="28F55AD9"/>
    <w:rsid w:val="28F93AB3"/>
    <w:rsid w:val="28F93F45"/>
    <w:rsid w:val="290427B5"/>
    <w:rsid w:val="29052DC3"/>
    <w:rsid w:val="29060C75"/>
    <w:rsid w:val="290A565E"/>
    <w:rsid w:val="290B3F61"/>
    <w:rsid w:val="29115F15"/>
    <w:rsid w:val="291F0AAB"/>
    <w:rsid w:val="29224B74"/>
    <w:rsid w:val="29242D87"/>
    <w:rsid w:val="29253E79"/>
    <w:rsid w:val="29267CAD"/>
    <w:rsid w:val="29291A97"/>
    <w:rsid w:val="29296063"/>
    <w:rsid w:val="292A06EB"/>
    <w:rsid w:val="292F3B1A"/>
    <w:rsid w:val="29324531"/>
    <w:rsid w:val="29342A37"/>
    <w:rsid w:val="293533DC"/>
    <w:rsid w:val="29425B0B"/>
    <w:rsid w:val="2944354B"/>
    <w:rsid w:val="29482FF7"/>
    <w:rsid w:val="294E6D0B"/>
    <w:rsid w:val="29504EBA"/>
    <w:rsid w:val="295219A6"/>
    <w:rsid w:val="295A4168"/>
    <w:rsid w:val="295D0045"/>
    <w:rsid w:val="29610CF0"/>
    <w:rsid w:val="296D10DD"/>
    <w:rsid w:val="29712E0B"/>
    <w:rsid w:val="29750868"/>
    <w:rsid w:val="297C49A4"/>
    <w:rsid w:val="297F5E64"/>
    <w:rsid w:val="29824698"/>
    <w:rsid w:val="29890E5B"/>
    <w:rsid w:val="298C0695"/>
    <w:rsid w:val="299C5958"/>
    <w:rsid w:val="29A3292C"/>
    <w:rsid w:val="29A33E08"/>
    <w:rsid w:val="29B54344"/>
    <w:rsid w:val="29BC6D5B"/>
    <w:rsid w:val="29BF1DF5"/>
    <w:rsid w:val="29CA6EA6"/>
    <w:rsid w:val="29CA787B"/>
    <w:rsid w:val="29CF3C37"/>
    <w:rsid w:val="29D250CB"/>
    <w:rsid w:val="29D57F60"/>
    <w:rsid w:val="29D90EEE"/>
    <w:rsid w:val="29DC6C80"/>
    <w:rsid w:val="29E06FDA"/>
    <w:rsid w:val="29E12F4E"/>
    <w:rsid w:val="29E510F0"/>
    <w:rsid w:val="29EA541E"/>
    <w:rsid w:val="29EE62D5"/>
    <w:rsid w:val="29F06F6A"/>
    <w:rsid w:val="29F30DDB"/>
    <w:rsid w:val="29F8141A"/>
    <w:rsid w:val="29FB7F12"/>
    <w:rsid w:val="29FC310C"/>
    <w:rsid w:val="2A0822D1"/>
    <w:rsid w:val="2A09769B"/>
    <w:rsid w:val="2A0C1D3F"/>
    <w:rsid w:val="2A0D2AA5"/>
    <w:rsid w:val="2A116CCF"/>
    <w:rsid w:val="2A1750BB"/>
    <w:rsid w:val="2A301CF4"/>
    <w:rsid w:val="2A3220CA"/>
    <w:rsid w:val="2A37105A"/>
    <w:rsid w:val="2A3A4934"/>
    <w:rsid w:val="2A3D0244"/>
    <w:rsid w:val="2A3D21DE"/>
    <w:rsid w:val="2A3F5392"/>
    <w:rsid w:val="2A435AF3"/>
    <w:rsid w:val="2A4775F8"/>
    <w:rsid w:val="2A4A2F2C"/>
    <w:rsid w:val="2A4A3F4F"/>
    <w:rsid w:val="2A5009A2"/>
    <w:rsid w:val="2A536790"/>
    <w:rsid w:val="2A564E60"/>
    <w:rsid w:val="2A5E4F8A"/>
    <w:rsid w:val="2A5F5834"/>
    <w:rsid w:val="2A670FF2"/>
    <w:rsid w:val="2A6D00FC"/>
    <w:rsid w:val="2A7F22E8"/>
    <w:rsid w:val="2A812FFC"/>
    <w:rsid w:val="2A8316C7"/>
    <w:rsid w:val="2A844CE7"/>
    <w:rsid w:val="2A873526"/>
    <w:rsid w:val="2A94229B"/>
    <w:rsid w:val="2A9A704F"/>
    <w:rsid w:val="2A9A75A9"/>
    <w:rsid w:val="2A9B6660"/>
    <w:rsid w:val="2A9F1298"/>
    <w:rsid w:val="2AA02D90"/>
    <w:rsid w:val="2AA54580"/>
    <w:rsid w:val="2AA92C77"/>
    <w:rsid w:val="2AB14BB1"/>
    <w:rsid w:val="2AB90EB3"/>
    <w:rsid w:val="2ABE1FB8"/>
    <w:rsid w:val="2ACF129B"/>
    <w:rsid w:val="2AD03086"/>
    <w:rsid w:val="2AD55135"/>
    <w:rsid w:val="2AD55D15"/>
    <w:rsid w:val="2AD729E2"/>
    <w:rsid w:val="2AD72AF4"/>
    <w:rsid w:val="2AE10551"/>
    <w:rsid w:val="2AE25574"/>
    <w:rsid w:val="2AE4768F"/>
    <w:rsid w:val="2AF13D97"/>
    <w:rsid w:val="2AF43D43"/>
    <w:rsid w:val="2AF54342"/>
    <w:rsid w:val="2AF57B44"/>
    <w:rsid w:val="2AFE0733"/>
    <w:rsid w:val="2AFE7D9A"/>
    <w:rsid w:val="2B041138"/>
    <w:rsid w:val="2B051B52"/>
    <w:rsid w:val="2B0A3CD0"/>
    <w:rsid w:val="2B0C2F00"/>
    <w:rsid w:val="2B1060D0"/>
    <w:rsid w:val="2B18080E"/>
    <w:rsid w:val="2B1B5080"/>
    <w:rsid w:val="2B1C3012"/>
    <w:rsid w:val="2B1E2CA2"/>
    <w:rsid w:val="2B270D24"/>
    <w:rsid w:val="2B2B5EC2"/>
    <w:rsid w:val="2B2C27B8"/>
    <w:rsid w:val="2B2F72A3"/>
    <w:rsid w:val="2B335E79"/>
    <w:rsid w:val="2B3C756E"/>
    <w:rsid w:val="2B45265A"/>
    <w:rsid w:val="2B481163"/>
    <w:rsid w:val="2B4D2AF4"/>
    <w:rsid w:val="2B517F38"/>
    <w:rsid w:val="2B580750"/>
    <w:rsid w:val="2B590FA4"/>
    <w:rsid w:val="2B5C621A"/>
    <w:rsid w:val="2B5D00FC"/>
    <w:rsid w:val="2B604B42"/>
    <w:rsid w:val="2B6066E4"/>
    <w:rsid w:val="2B791D82"/>
    <w:rsid w:val="2B7D500D"/>
    <w:rsid w:val="2B8342E2"/>
    <w:rsid w:val="2B85198A"/>
    <w:rsid w:val="2B8C2DC1"/>
    <w:rsid w:val="2B9660FD"/>
    <w:rsid w:val="2B983319"/>
    <w:rsid w:val="2B991C99"/>
    <w:rsid w:val="2B9956B4"/>
    <w:rsid w:val="2BA033D6"/>
    <w:rsid w:val="2BA036FC"/>
    <w:rsid w:val="2BA22E9F"/>
    <w:rsid w:val="2BAA522C"/>
    <w:rsid w:val="2BAF6231"/>
    <w:rsid w:val="2BB41E4D"/>
    <w:rsid w:val="2BB72620"/>
    <w:rsid w:val="2BB72E35"/>
    <w:rsid w:val="2BBD2831"/>
    <w:rsid w:val="2BC42A42"/>
    <w:rsid w:val="2BCC7471"/>
    <w:rsid w:val="2BD4709B"/>
    <w:rsid w:val="2BD675C6"/>
    <w:rsid w:val="2BDB037C"/>
    <w:rsid w:val="2BE43D03"/>
    <w:rsid w:val="2BE50C52"/>
    <w:rsid w:val="2BE64ABC"/>
    <w:rsid w:val="2BE752AD"/>
    <w:rsid w:val="2BE768F6"/>
    <w:rsid w:val="2BEA27C8"/>
    <w:rsid w:val="2BF4528C"/>
    <w:rsid w:val="2BF51620"/>
    <w:rsid w:val="2BF55212"/>
    <w:rsid w:val="2BFA3B1E"/>
    <w:rsid w:val="2BFC2982"/>
    <w:rsid w:val="2C036A81"/>
    <w:rsid w:val="2C04179C"/>
    <w:rsid w:val="2C0D3D9B"/>
    <w:rsid w:val="2C101AE3"/>
    <w:rsid w:val="2C175CA0"/>
    <w:rsid w:val="2C1A5FD8"/>
    <w:rsid w:val="2C237CAE"/>
    <w:rsid w:val="2C2C6480"/>
    <w:rsid w:val="2C300E0E"/>
    <w:rsid w:val="2C323F65"/>
    <w:rsid w:val="2C354695"/>
    <w:rsid w:val="2C364225"/>
    <w:rsid w:val="2C3753C7"/>
    <w:rsid w:val="2C3E2A99"/>
    <w:rsid w:val="2C3F1247"/>
    <w:rsid w:val="2C3F3DAC"/>
    <w:rsid w:val="2C3F45EB"/>
    <w:rsid w:val="2C3F7E40"/>
    <w:rsid w:val="2C461275"/>
    <w:rsid w:val="2C485605"/>
    <w:rsid w:val="2C6E4890"/>
    <w:rsid w:val="2C7B7A37"/>
    <w:rsid w:val="2C7C0F35"/>
    <w:rsid w:val="2C7D01AE"/>
    <w:rsid w:val="2C7E4E1E"/>
    <w:rsid w:val="2C817C0E"/>
    <w:rsid w:val="2C8639A0"/>
    <w:rsid w:val="2C893C16"/>
    <w:rsid w:val="2C8E4EAE"/>
    <w:rsid w:val="2C910971"/>
    <w:rsid w:val="2C91754E"/>
    <w:rsid w:val="2C946F09"/>
    <w:rsid w:val="2C9949B7"/>
    <w:rsid w:val="2C9A1E5E"/>
    <w:rsid w:val="2C9A60A4"/>
    <w:rsid w:val="2C9C17D4"/>
    <w:rsid w:val="2C9C3FED"/>
    <w:rsid w:val="2C9E7AA3"/>
    <w:rsid w:val="2CA04989"/>
    <w:rsid w:val="2CAE7103"/>
    <w:rsid w:val="2CB014EB"/>
    <w:rsid w:val="2CB0161B"/>
    <w:rsid w:val="2CB0722E"/>
    <w:rsid w:val="2CBE6A82"/>
    <w:rsid w:val="2CDD2207"/>
    <w:rsid w:val="2CDF172E"/>
    <w:rsid w:val="2CE0091E"/>
    <w:rsid w:val="2CE367D5"/>
    <w:rsid w:val="2CF050A7"/>
    <w:rsid w:val="2CF4366C"/>
    <w:rsid w:val="2CF81AFE"/>
    <w:rsid w:val="2CF85341"/>
    <w:rsid w:val="2CF90A20"/>
    <w:rsid w:val="2CFB493E"/>
    <w:rsid w:val="2D0550A0"/>
    <w:rsid w:val="2D07370C"/>
    <w:rsid w:val="2D080A2B"/>
    <w:rsid w:val="2D126C39"/>
    <w:rsid w:val="2D217B45"/>
    <w:rsid w:val="2D313169"/>
    <w:rsid w:val="2D322A6D"/>
    <w:rsid w:val="2D323C01"/>
    <w:rsid w:val="2D364E92"/>
    <w:rsid w:val="2D396567"/>
    <w:rsid w:val="2D3C0A40"/>
    <w:rsid w:val="2D3D5D66"/>
    <w:rsid w:val="2D463B32"/>
    <w:rsid w:val="2D47116B"/>
    <w:rsid w:val="2D5436D2"/>
    <w:rsid w:val="2D5561EF"/>
    <w:rsid w:val="2D564CBD"/>
    <w:rsid w:val="2D5A7F5C"/>
    <w:rsid w:val="2D662E5E"/>
    <w:rsid w:val="2D740DEB"/>
    <w:rsid w:val="2D747DCD"/>
    <w:rsid w:val="2D7C1000"/>
    <w:rsid w:val="2D7C48C6"/>
    <w:rsid w:val="2D7C4AD2"/>
    <w:rsid w:val="2D884D73"/>
    <w:rsid w:val="2D8C3E38"/>
    <w:rsid w:val="2D954BB9"/>
    <w:rsid w:val="2D9A0342"/>
    <w:rsid w:val="2DA74E45"/>
    <w:rsid w:val="2DAA1FD8"/>
    <w:rsid w:val="2DAB4765"/>
    <w:rsid w:val="2DB81488"/>
    <w:rsid w:val="2DC516C4"/>
    <w:rsid w:val="2DC9161D"/>
    <w:rsid w:val="2DCA081E"/>
    <w:rsid w:val="2DDD7A33"/>
    <w:rsid w:val="2DE01A21"/>
    <w:rsid w:val="2DE54FB8"/>
    <w:rsid w:val="2DEA6823"/>
    <w:rsid w:val="2E00381F"/>
    <w:rsid w:val="2E0422E2"/>
    <w:rsid w:val="2E0470B2"/>
    <w:rsid w:val="2E073A6E"/>
    <w:rsid w:val="2E074EF0"/>
    <w:rsid w:val="2E1B6448"/>
    <w:rsid w:val="2E1C325F"/>
    <w:rsid w:val="2E34206E"/>
    <w:rsid w:val="2E4231F9"/>
    <w:rsid w:val="2E501070"/>
    <w:rsid w:val="2E5353CF"/>
    <w:rsid w:val="2E5A2FA6"/>
    <w:rsid w:val="2E606683"/>
    <w:rsid w:val="2E6F55C7"/>
    <w:rsid w:val="2E7B389F"/>
    <w:rsid w:val="2E820052"/>
    <w:rsid w:val="2E857C1B"/>
    <w:rsid w:val="2E90363B"/>
    <w:rsid w:val="2E940A21"/>
    <w:rsid w:val="2E995DB1"/>
    <w:rsid w:val="2EAD4265"/>
    <w:rsid w:val="2EAE345E"/>
    <w:rsid w:val="2EB111F6"/>
    <w:rsid w:val="2EB623EA"/>
    <w:rsid w:val="2EBA038F"/>
    <w:rsid w:val="2EBA361D"/>
    <w:rsid w:val="2EBB5F1D"/>
    <w:rsid w:val="2EC72B9E"/>
    <w:rsid w:val="2ED25561"/>
    <w:rsid w:val="2ED410F4"/>
    <w:rsid w:val="2ED834D9"/>
    <w:rsid w:val="2EE16002"/>
    <w:rsid w:val="2EE25664"/>
    <w:rsid w:val="2EE307AA"/>
    <w:rsid w:val="2EEA3BA7"/>
    <w:rsid w:val="2EEB304D"/>
    <w:rsid w:val="2EEB72F0"/>
    <w:rsid w:val="2EED7864"/>
    <w:rsid w:val="2EF24454"/>
    <w:rsid w:val="2EF409E5"/>
    <w:rsid w:val="2EF42A5C"/>
    <w:rsid w:val="2EF74DA9"/>
    <w:rsid w:val="2EFE06A8"/>
    <w:rsid w:val="2F123D5A"/>
    <w:rsid w:val="2F132522"/>
    <w:rsid w:val="2F1545FF"/>
    <w:rsid w:val="2F172493"/>
    <w:rsid w:val="2F215BF0"/>
    <w:rsid w:val="2F2548A9"/>
    <w:rsid w:val="2F3B2BE2"/>
    <w:rsid w:val="2F45403F"/>
    <w:rsid w:val="2F4F781A"/>
    <w:rsid w:val="2F527425"/>
    <w:rsid w:val="2F566D63"/>
    <w:rsid w:val="2F664AFF"/>
    <w:rsid w:val="2F683721"/>
    <w:rsid w:val="2F696DD2"/>
    <w:rsid w:val="2F6B1273"/>
    <w:rsid w:val="2F71364F"/>
    <w:rsid w:val="2F737D16"/>
    <w:rsid w:val="2F7A0311"/>
    <w:rsid w:val="2F7D49CE"/>
    <w:rsid w:val="2F8B16EF"/>
    <w:rsid w:val="2F8C21DC"/>
    <w:rsid w:val="2F8C5F73"/>
    <w:rsid w:val="2F8D3F79"/>
    <w:rsid w:val="2F9429B5"/>
    <w:rsid w:val="2F960885"/>
    <w:rsid w:val="2F9C28D3"/>
    <w:rsid w:val="2FA34195"/>
    <w:rsid w:val="2FA3585D"/>
    <w:rsid w:val="2FAE6A10"/>
    <w:rsid w:val="2FB0488D"/>
    <w:rsid w:val="2FB57EC5"/>
    <w:rsid w:val="2FB65D80"/>
    <w:rsid w:val="2FBB5FDD"/>
    <w:rsid w:val="2FBF6B30"/>
    <w:rsid w:val="2FC81C11"/>
    <w:rsid w:val="2FCA6E38"/>
    <w:rsid w:val="2FD3743B"/>
    <w:rsid w:val="2FD53D8B"/>
    <w:rsid w:val="2FD57359"/>
    <w:rsid w:val="2FD8030C"/>
    <w:rsid w:val="2FE770A6"/>
    <w:rsid w:val="2FEA6DBE"/>
    <w:rsid w:val="2FEF6DC7"/>
    <w:rsid w:val="2FF57447"/>
    <w:rsid w:val="2FFC17E2"/>
    <w:rsid w:val="2FFC7B3B"/>
    <w:rsid w:val="30022BC5"/>
    <w:rsid w:val="300671F8"/>
    <w:rsid w:val="300A1D5A"/>
    <w:rsid w:val="301971B4"/>
    <w:rsid w:val="301A5913"/>
    <w:rsid w:val="301E3417"/>
    <w:rsid w:val="301F4A4E"/>
    <w:rsid w:val="3020693E"/>
    <w:rsid w:val="30213595"/>
    <w:rsid w:val="30262105"/>
    <w:rsid w:val="302A2E2F"/>
    <w:rsid w:val="302B203C"/>
    <w:rsid w:val="3032349C"/>
    <w:rsid w:val="303307CB"/>
    <w:rsid w:val="303C4F85"/>
    <w:rsid w:val="30437859"/>
    <w:rsid w:val="30457D0B"/>
    <w:rsid w:val="305B225F"/>
    <w:rsid w:val="306A75C3"/>
    <w:rsid w:val="306B2D8F"/>
    <w:rsid w:val="306B68EC"/>
    <w:rsid w:val="30771432"/>
    <w:rsid w:val="307971A2"/>
    <w:rsid w:val="307F3536"/>
    <w:rsid w:val="30821216"/>
    <w:rsid w:val="30883D3E"/>
    <w:rsid w:val="3089308E"/>
    <w:rsid w:val="308A42BC"/>
    <w:rsid w:val="3092629B"/>
    <w:rsid w:val="309708DA"/>
    <w:rsid w:val="30A728A7"/>
    <w:rsid w:val="30A85440"/>
    <w:rsid w:val="30B40D36"/>
    <w:rsid w:val="30B70A6B"/>
    <w:rsid w:val="30C44630"/>
    <w:rsid w:val="30C50D03"/>
    <w:rsid w:val="30C64273"/>
    <w:rsid w:val="30CB17A9"/>
    <w:rsid w:val="30CB3913"/>
    <w:rsid w:val="30CC3413"/>
    <w:rsid w:val="30CE1750"/>
    <w:rsid w:val="30D64D0D"/>
    <w:rsid w:val="30D879A5"/>
    <w:rsid w:val="30E53B50"/>
    <w:rsid w:val="30E72CCD"/>
    <w:rsid w:val="30E736D8"/>
    <w:rsid w:val="30F24D6E"/>
    <w:rsid w:val="30F704BE"/>
    <w:rsid w:val="30F843EE"/>
    <w:rsid w:val="31123E00"/>
    <w:rsid w:val="311C08C7"/>
    <w:rsid w:val="31265F9D"/>
    <w:rsid w:val="31340AB8"/>
    <w:rsid w:val="3139671A"/>
    <w:rsid w:val="313C1B77"/>
    <w:rsid w:val="313E366F"/>
    <w:rsid w:val="31402CD4"/>
    <w:rsid w:val="31493476"/>
    <w:rsid w:val="31585EEA"/>
    <w:rsid w:val="3158696F"/>
    <w:rsid w:val="31665052"/>
    <w:rsid w:val="316A15B7"/>
    <w:rsid w:val="316A2EEF"/>
    <w:rsid w:val="316B039D"/>
    <w:rsid w:val="316E5637"/>
    <w:rsid w:val="31721E9E"/>
    <w:rsid w:val="31752B86"/>
    <w:rsid w:val="31774F8B"/>
    <w:rsid w:val="317B7061"/>
    <w:rsid w:val="31804F82"/>
    <w:rsid w:val="31850B26"/>
    <w:rsid w:val="31877AF9"/>
    <w:rsid w:val="31946461"/>
    <w:rsid w:val="31950979"/>
    <w:rsid w:val="319B3432"/>
    <w:rsid w:val="319E5C1D"/>
    <w:rsid w:val="31AC673D"/>
    <w:rsid w:val="31B478C1"/>
    <w:rsid w:val="31BB4A9D"/>
    <w:rsid w:val="31C27A7A"/>
    <w:rsid w:val="31C5483C"/>
    <w:rsid w:val="31C82429"/>
    <w:rsid w:val="31D538CD"/>
    <w:rsid w:val="31DA68EE"/>
    <w:rsid w:val="31DD76C6"/>
    <w:rsid w:val="31DF2B37"/>
    <w:rsid w:val="31E42757"/>
    <w:rsid w:val="31EB4D20"/>
    <w:rsid w:val="31EF5963"/>
    <w:rsid w:val="31F1273D"/>
    <w:rsid w:val="31F63195"/>
    <w:rsid w:val="31FD1B66"/>
    <w:rsid w:val="32030304"/>
    <w:rsid w:val="320C0B0A"/>
    <w:rsid w:val="3214262B"/>
    <w:rsid w:val="321B0F5C"/>
    <w:rsid w:val="321D341F"/>
    <w:rsid w:val="3220022C"/>
    <w:rsid w:val="32222732"/>
    <w:rsid w:val="322418E0"/>
    <w:rsid w:val="322C3DA8"/>
    <w:rsid w:val="323446AD"/>
    <w:rsid w:val="32351D5A"/>
    <w:rsid w:val="3236628B"/>
    <w:rsid w:val="323A39FE"/>
    <w:rsid w:val="323B5411"/>
    <w:rsid w:val="323D37D5"/>
    <w:rsid w:val="32431401"/>
    <w:rsid w:val="32457FA7"/>
    <w:rsid w:val="325B2730"/>
    <w:rsid w:val="325D436C"/>
    <w:rsid w:val="32637B73"/>
    <w:rsid w:val="326C4E4E"/>
    <w:rsid w:val="326E7586"/>
    <w:rsid w:val="32706586"/>
    <w:rsid w:val="327446C0"/>
    <w:rsid w:val="3287346A"/>
    <w:rsid w:val="32885D15"/>
    <w:rsid w:val="328F1F84"/>
    <w:rsid w:val="32903855"/>
    <w:rsid w:val="329218EF"/>
    <w:rsid w:val="3292279C"/>
    <w:rsid w:val="32981C46"/>
    <w:rsid w:val="32994216"/>
    <w:rsid w:val="329A6698"/>
    <w:rsid w:val="329C4696"/>
    <w:rsid w:val="329C7A73"/>
    <w:rsid w:val="32A773A4"/>
    <w:rsid w:val="32A80B7F"/>
    <w:rsid w:val="32AE0491"/>
    <w:rsid w:val="32B378B1"/>
    <w:rsid w:val="32B4779F"/>
    <w:rsid w:val="32C20F3B"/>
    <w:rsid w:val="32C23DE6"/>
    <w:rsid w:val="32C8463D"/>
    <w:rsid w:val="32CA7E94"/>
    <w:rsid w:val="32D13A2C"/>
    <w:rsid w:val="32D835DD"/>
    <w:rsid w:val="32DB0040"/>
    <w:rsid w:val="32DD5CB9"/>
    <w:rsid w:val="32E628CE"/>
    <w:rsid w:val="32EC3AC9"/>
    <w:rsid w:val="32EE7A96"/>
    <w:rsid w:val="32F361CA"/>
    <w:rsid w:val="32F55E3C"/>
    <w:rsid w:val="3304097F"/>
    <w:rsid w:val="330842C4"/>
    <w:rsid w:val="331215C0"/>
    <w:rsid w:val="33150659"/>
    <w:rsid w:val="33241EBA"/>
    <w:rsid w:val="3325151B"/>
    <w:rsid w:val="332E584C"/>
    <w:rsid w:val="33301FA4"/>
    <w:rsid w:val="333031CB"/>
    <w:rsid w:val="3331112B"/>
    <w:rsid w:val="33332418"/>
    <w:rsid w:val="333B0B6C"/>
    <w:rsid w:val="334112F8"/>
    <w:rsid w:val="334B38A8"/>
    <w:rsid w:val="33572B9C"/>
    <w:rsid w:val="33574E1E"/>
    <w:rsid w:val="33577F9D"/>
    <w:rsid w:val="335B4C3F"/>
    <w:rsid w:val="335B53DA"/>
    <w:rsid w:val="336D129F"/>
    <w:rsid w:val="336E4F25"/>
    <w:rsid w:val="33705B51"/>
    <w:rsid w:val="33726042"/>
    <w:rsid w:val="33756A53"/>
    <w:rsid w:val="33777D8F"/>
    <w:rsid w:val="33840E46"/>
    <w:rsid w:val="338F2E4F"/>
    <w:rsid w:val="33966BC8"/>
    <w:rsid w:val="339819E5"/>
    <w:rsid w:val="33B300E3"/>
    <w:rsid w:val="33B6469C"/>
    <w:rsid w:val="33BF0098"/>
    <w:rsid w:val="33C91105"/>
    <w:rsid w:val="33D514B8"/>
    <w:rsid w:val="33D8660E"/>
    <w:rsid w:val="33DC2D8C"/>
    <w:rsid w:val="33DC39DD"/>
    <w:rsid w:val="33DE3388"/>
    <w:rsid w:val="33DE703E"/>
    <w:rsid w:val="33E03D89"/>
    <w:rsid w:val="33E06629"/>
    <w:rsid w:val="33E10A32"/>
    <w:rsid w:val="33E527F9"/>
    <w:rsid w:val="33F64CD6"/>
    <w:rsid w:val="34051EA6"/>
    <w:rsid w:val="340754EB"/>
    <w:rsid w:val="340C0A8A"/>
    <w:rsid w:val="34111485"/>
    <w:rsid w:val="34120D75"/>
    <w:rsid w:val="34196E6D"/>
    <w:rsid w:val="342721C6"/>
    <w:rsid w:val="34320F82"/>
    <w:rsid w:val="34395602"/>
    <w:rsid w:val="343E2B9A"/>
    <w:rsid w:val="344015BF"/>
    <w:rsid w:val="34445C50"/>
    <w:rsid w:val="345147A3"/>
    <w:rsid w:val="345939DF"/>
    <w:rsid w:val="34621AD3"/>
    <w:rsid w:val="346D55D5"/>
    <w:rsid w:val="346D55EF"/>
    <w:rsid w:val="347422EE"/>
    <w:rsid w:val="347A3F25"/>
    <w:rsid w:val="348D02CF"/>
    <w:rsid w:val="348E5DE6"/>
    <w:rsid w:val="34995595"/>
    <w:rsid w:val="349B76CB"/>
    <w:rsid w:val="349D752D"/>
    <w:rsid w:val="349F6A31"/>
    <w:rsid w:val="34AE6AE3"/>
    <w:rsid w:val="34B17F21"/>
    <w:rsid w:val="34B4160B"/>
    <w:rsid w:val="34B84F26"/>
    <w:rsid w:val="34BB738A"/>
    <w:rsid w:val="34BC59AB"/>
    <w:rsid w:val="34C9638F"/>
    <w:rsid w:val="34CB54D9"/>
    <w:rsid w:val="34CC6C98"/>
    <w:rsid w:val="34D954F3"/>
    <w:rsid w:val="34E7437E"/>
    <w:rsid w:val="34EE0AD2"/>
    <w:rsid w:val="34EF3700"/>
    <w:rsid w:val="34FD45E0"/>
    <w:rsid w:val="34FE2194"/>
    <w:rsid w:val="350E5485"/>
    <w:rsid w:val="351116CA"/>
    <w:rsid w:val="3531401C"/>
    <w:rsid w:val="353B109A"/>
    <w:rsid w:val="353E0879"/>
    <w:rsid w:val="35416D8A"/>
    <w:rsid w:val="35521EC0"/>
    <w:rsid w:val="3555798F"/>
    <w:rsid w:val="355B6F7D"/>
    <w:rsid w:val="35634C45"/>
    <w:rsid w:val="35724008"/>
    <w:rsid w:val="35736F3D"/>
    <w:rsid w:val="35776A49"/>
    <w:rsid w:val="357E4A3F"/>
    <w:rsid w:val="35824C4A"/>
    <w:rsid w:val="358E1DBE"/>
    <w:rsid w:val="359445DE"/>
    <w:rsid w:val="359C2B5C"/>
    <w:rsid w:val="35A2333E"/>
    <w:rsid w:val="35AD487E"/>
    <w:rsid w:val="35B25CA9"/>
    <w:rsid w:val="35B652A3"/>
    <w:rsid w:val="35BF7FF1"/>
    <w:rsid w:val="35C43765"/>
    <w:rsid w:val="35CF5144"/>
    <w:rsid w:val="35DA5093"/>
    <w:rsid w:val="35E329CF"/>
    <w:rsid w:val="35E554BB"/>
    <w:rsid w:val="35ED57E0"/>
    <w:rsid w:val="35EF12E0"/>
    <w:rsid w:val="35FF76FA"/>
    <w:rsid w:val="3600044A"/>
    <w:rsid w:val="36095779"/>
    <w:rsid w:val="360C6B03"/>
    <w:rsid w:val="36151F09"/>
    <w:rsid w:val="36184508"/>
    <w:rsid w:val="361A3C58"/>
    <w:rsid w:val="361B0532"/>
    <w:rsid w:val="363328A8"/>
    <w:rsid w:val="363A462F"/>
    <w:rsid w:val="363E7FF9"/>
    <w:rsid w:val="364E1FF4"/>
    <w:rsid w:val="364F2AB9"/>
    <w:rsid w:val="36544069"/>
    <w:rsid w:val="365767BF"/>
    <w:rsid w:val="365A1B8B"/>
    <w:rsid w:val="365B403E"/>
    <w:rsid w:val="36685B46"/>
    <w:rsid w:val="366F6240"/>
    <w:rsid w:val="36722D6A"/>
    <w:rsid w:val="367433D2"/>
    <w:rsid w:val="367464D7"/>
    <w:rsid w:val="36777D22"/>
    <w:rsid w:val="367C415E"/>
    <w:rsid w:val="36835DB4"/>
    <w:rsid w:val="36845A4F"/>
    <w:rsid w:val="36872C30"/>
    <w:rsid w:val="36874BAC"/>
    <w:rsid w:val="36883B00"/>
    <w:rsid w:val="36933E60"/>
    <w:rsid w:val="369364EE"/>
    <w:rsid w:val="36950936"/>
    <w:rsid w:val="36984011"/>
    <w:rsid w:val="369872B5"/>
    <w:rsid w:val="369B6EA6"/>
    <w:rsid w:val="36A00CD6"/>
    <w:rsid w:val="36A62C3D"/>
    <w:rsid w:val="36A81837"/>
    <w:rsid w:val="36B12C89"/>
    <w:rsid w:val="36BD43E2"/>
    <w:rsid w:val="36C15D63"/>
    <w:rsid w:val="36C76E0C"/>
    <w:rsid w:val="36CB6682"/>
    <w:rsid w:val="36D0522C"/>
    <w:rsid w:val="36D20A2B"/>
    <w:rsid w:val="36E344F2"/>
    <w:rsid w:val="36E460DB"/>
    <w:rsid w:val="36EA2120"/>
    <w:rsid w:val="36EB56CA"/>
    <w:rsid w:val="36F15358"/>
    <w:rsid w:val="36F25567"/>
    <w:rsid w:val="36FC372C"/>
    <w:rsid w:val="3708639D"/>
    <w:rsid w:val="370D027A"/>
    <w:rsid w:val="37166903"/>
    <w:rsid w:val="371765A6"/>
    <w:rsid w:val="371B273C"/>
    <w:rsid w:val="371C4709"/>
    <w:rsid w:val="372067C3"/>
    <w:rsid w:val="37221716"/>
    <w:rsid w:val="37245EBB"/>
    <w:rsid w:val="37284563"/>
    <w:rsid w:val="37284B86"/>
    <w:rsid w:val="372A256F"/>
    <w:rsid w:val="372B4E86"/>
    <w:rsid w:val="37332212"/>
    <w:rsid w:val="373B7CA8"/>
    <w:rsid w:val="373D250F"/>
    <w:rsid w:val="374B56AF"/>
    <w:rsid w:val="374E46DE"/>
    <w:rsid w:val="3751334C"/>
    <w:rsid w:val="37516E24"/>
    <w:rsid w:val="375D0A84"/>
    <w:rsid w:val="37682EB1"/>
    <w:rsid w:val="37783548"/>
    <w:rsid w:val="3790753E"/>
    <w:rsid w:val="3794490A"/>
    <w:rsid w:val="379B61FD"/>
    <w:rsid w:val="379E0C4F"/>
    <w:rsid w:val="379F40E6"/>
    <w:rsid w:val="37A3092B"/>
    <w:rsid w:val="37A65A4A"/>
    <w:rsid w:val="37B74318"/>
    <w:rsid w:val="37C164F5"/>
    <w:rsid w:val="37C67AC0"/>
    <w:rsid w:val="37C72E52"/>
    <w:rsid w:val="37CC1B6B"/>
    <w:rsid w:val="37CF2BBD"/>
    <w:rsid w:val="37CF3B34"/>
    <w:rsid w:val="37D57FF7"/>
    <w:rsid w:val="37D729BE"/>
    <w:rsid w:val="37D74E1C"/>
    <w:rsid w:val="37DE7EC6"/>
    <w:rsid w:val="37E17513"/>
    <w:rsid w:val="37F342C7"/>
    <w:rsid w:val="37F36DDD"/>
    <w:rsid w:val="37FB3B7D"/>
    <w:rsid w:val="38043EE3"/>
    <w:rsid w:val="3819022F"/>
    <w:rsid w:val="381A475A"/>
    <w:rsid w:val="381C34E4"/>
    <w:rsid w:val="38326AC5"/>
    <w:rsid w:val="384F2559"/>
    <w:rsid w:val="384F46D6"/>
    <w:rsid w:val="385059D0"/>
    <w:rsid w:val="385716C8"/>
    <w:rsid w:val="38651B49"/>
    <w:rsid w:val="386C5FE9"/>
    <w:rsid w:val="38702EF5"/>
    <w:rsid w:val="38774AEC"/>
    <w:rsid w:val="38856A31"/>
    <w:rsid w:val="38885992"/>
    <w:rsid w:val="38890E50"/>
    <w:rsid w:val="388A45E9"/>
    <w:rsid w:val="388C6763"/>
    <w:rsid w:val="38922F9F"/>
    <w:rsid w:val="38945261"/>
    <w:rsid w:val="38A0122F"/>
    <w:rsid w:val="38B16EAE"/>
    <w:rsid w:val="38B36F2C"/>
    <w:rsid w:val="38B95B2E"/>
    <w:rsid w:val="38BA7784"/>
    <w:rsid w:val="38BE4E9B"/>
    <w:rsid w:val="38BF6118"/>
    <w:rsid w:val="38D156F6"/>
    <w:rsid w:val="38DA0739"/>
    <w:rsid w:val="38E05771"/>
    <w:rsid w:val="38EB1B4B"/>
    <w:rsid w:val="38EF3451"/>
    <w:rsid w:val="38F15CE8"/>
    <w:rsid w:val="38FB5278"/>
    <w:rsid w:val="38FB64A8"/>
    <w:rsid w:val="38FD5C97"/>
    <w:rsid w:val="38FF546C"/>
    <w:rsid w:val="39054FC0"/>
    <w:rsid w:val="39063E33"/>
    <w:rsid w:val="39081F2A"/>
    <w:rsid w:val="390C23CF"/>
    <w:rsid w:val="39100B66"/>
    <w:rsid w:val="39156A70"/>
    <w:rsid w:val="39190353"/>
    <w:rsid w:val="391C3760"/>
    <w:rsid w:val="391F253E"/>
    <w:rsid w:val="3923741E"/>
    <w:rsid w:val="39285E70"/>
    <w:rsid w:val="39410ABD"/>
    <w:rsid w:val="39471C0C"/>
    <w:rsid w:val="39537BB0"/>
    <w:rsid w:val="39563A62"/>
    <w:rsid w:val="395F4CDE"/>
    <w:rsid w:val="39647832"/>
    <w:rsid w:val="3969396D"/>
    <w:rsid w:val="396A3D03"/>
    <w:rsid w:val="396D73BC"/>
    <w:rsid w:val="396F044F"/>
    <w:rsid w:val="3976279E"/>
    <w:rsid w:val="39771C72"/>
    <w:rsid w:val="398876E3"/>
    <w:rsid w:val="398B02B2"/>
    <w:rsid w:val="398B57B5"/>
    <w:rsid w:val="3992797E"/>
    <w:rsid w:val="399631D3"/>
    <w:rsid w:val="39995D60"/>
    <w:rsid w:val="399A58FD"/>
    <w:rsid w:val="39A66013"/>
    <w:rsid w:val="39AB6A0C"/>
    <w:rsid w:val="39AD38B0"/>
    <w:rsid w:val="39B1601B"/>
    <w:rsid w:val="39B67A82"/>
    <w:rsid w:val="39BB2114"/>
    <w:rsid w:val="39BD687A"/>
    <w:rsid w:val="39C562F9"/>
    <w:rsid w:val="39C65DA3"/>
    <w:rsid w:val="39D66090"/>
    <w:rsid w:val="39DB3D45"/>
    <w:rsid w:val="39DD5652"/>
    <w:rsid w:val="39E05020"/>
    <w:rsid w:val="39E11A28"/>
    <w:rsid w:val="39E218F1"/>
    <w:rsid w:val="39E62AA8"/>
    <w:rsid w:val="39F04834"/>
    <w:rsid w:val="39F439D5"/>
    <w:rsid w:val="39F80F20"/>
    <w:rsid w:val="39FB6041"/>
    <w:rsid w:val="39FB768F"/>
    <w:rsid w:val="3A046ACA"/>
    <w:rsid w:val="3A193E98"/>
    <w:rsid w:val="3A1C1095"/>
    <w:rsid w:val="3A1C2D2A"/>
    <w:rsid w:val="3A1C7ACE"/>
    <w:rsid w:val="3A262604"/>
    <w:rsid w:val="3A402EF7"/>
    <w:rsid w:val="3A4547B1"/>
    <w:rsid w:val="3A5013F5"/>
    <w:rsid w:val="3A640F10"/>
    <w:rsid w:val="3A684185"/>
    <w:rsid w:val="3A6F2140"/>
    <w:rsid w:val="3A724163"/>
    <w:rsid w:val="3A7631F2"/>
    <w:rsid w:val="3A7D782F"/>
    <w:rsid w:val="3A824972"/>
    <w:rsid w:val="3A8410A2"/>
    <w:rsid w:val="3A8E7033"/>
    <w:rsid w:val="3A9D5FB0"/>
    <w:rsid w:val="3AA1542A"/>
    <w:rsid w:val="3AAF0BB6"/>
    <w:rsid w:val="3AB2246D"/>
    <w:rsid w:val="3AC022A3"/>
    <w:rsid w:val="3AC37E2C"/>
    <w:rsid w:val="3AC4787E"/>
    <w:rsid w:val="3AD43C62"/>
    <w:rsid w:val="3ADA3581"/>
    <w:rsid w:val="3ADE0084"/>
    <w:rsid w:val="3ADE11FA"/>
    <w:rsid w:val="3AE4749D"/>
    <w:rsid w:val="3AE86FB5"/>
    <w:rsid w:val="3AEC07E1"/>
    <w:rsid w:val="3AF21076"/>
    <w:rsid w:val="3AF3014E"/>
    <w:rsid w:val="3AFB50FA"/>
    <w:rsid w:val="3AFE527A"/>
    <w:rsid w:val="3B087E3E"/>
    <w:rsid w:val="3B0C3E1E"/>
    <w:rsid w:val="3B0F404A"/>
    <w:rsid w:val="3B1C63AB"/>
    <w:rsid w:val="3B210A03"/>
    <w:rsid w:val="3B291DD0"/>
    <w:rsid w:val="3B294178"/>
    <w:rsid w:val="3B2B17EB"/>
    <w:rsid w:val="3B311838"/>
    <w:rsid w:val="3B347DC9"/>
    <w:rsid w:val="3B3F0DFB"/>
    <w:rsid w:val="3B3F2BB6"/>
    <w:rsid w:val="3B3F6016"/>
    <w:rsid w:val="3B405225"/>
    <w:rsid w:val="3B4263A9"/>
    <w:rsid w:val="3B476818"/>
    <w:rsid w:val="3B4D48CE"/>
    <w:rsid w:val="3B5D0920"/>
    <w:rsid w:val="3B6224D8"/>
    <w:rsid w:val="3B6558FD"/>
    <w:rsid w:val="3B6C43FB"/>
    <w:rsid w:val="3B6F428D"/>
    <w:rsid w:val="3B712840"/>
    <w:rsid w:val="3B754E17"/>
    <w:rsid w:val="3B7A2102"/>
    <w:rsid w:val="3B7E1293"/>
    <w:rsid w:val="3B8A6260"/>
    <w:rsid w:val="3B9221EB"/>
    <w:rsid w:val="3B9A26E0"/>
    <w:rsid w:val="3B9A38DF"/>
    <w:rsid w:val="3BA968EC"/>
    <w:rsid w:val="3BB04AB1"/>
    <w:rsid w:val="3BBA63A2"/>
    <w:rsid w:val="3BBC4C0C"/>
    <w:rsid w:val="3BC1314C"/>
    <w:rsid w:val="3BC1604D"/>
    <w:rsid w:val="3BC27259"/>
    <w:rsid w:val="3BC3422A"/>
    <w:rsid w:val="3BCD6B1B"/>
    <w:rsid w:val="3BD13CF5"/>
    <w:rsid w:val="3BD14ABC"/>
    <w:rsid w:val="3BD57116"/>
    <w:rsid w:val="3BDB64D3"/>
    <w:rsid w:val="3BE337DE"/>
    <w:rsid w:val="3BE831D6"/>
    <w:rsid w:val="3BEA288B"/>
    <w:rsid w:val="3BEC417F"/>
    <w:rsid w:val="3BEC5090"/>
    <w:rsid w:val="3BF1238E"/>
    <w:rsid w:val="3BF517E5"/>
    <w:rsid w:val="3BF56EA8"/>
    <w:rsid w:val="3BF66A21"/>
    <w:rsid w:val="3C005DF9"/>
    <w:rsid w:val="3C041783"/>
    <w:rsid w:val="3C0B424E"/>
    <w:rsid w:val="3C261670"/>
    <w:rsid w:val="3C294D94"/>
    <w:rsid w:val="3C2C76D6"/>
    <w:rsid w:val="3C32047E"/>
    <w:rsid w:val="3C365E4D"/>
    <w:rsid w:val="3C454DC1"/>
    <w:rsid w:val="3C4811FF"/>
    <w:rsid w:val="3C49029B"/>
    <w:rsid w:val="3C4954CB"/>
    <w:rsid w:val="3C4A2A75"/>
    <w:rsid w:val="3C4B5849"/>
    <w:rsid w:val="3C4E7B3D"/>
    <w:rsid w:val="3C5D52A7"/>
    <w:rsid w:val="3C5E41C8"/>
    <w:rsid w:val="3C6C5BAF"/>
    <w:rsid w:val="3C703A8B"/>
    <w:rsid w:val="3C7600D8"/>
    <w:rsid w:val="3C7719FC"/>
    <w:rsid w:val="3C792A5D"/>
    <w:rsid w:val="3C7D78C1"/>
    <w:rsid w:val="3C831E99"/>
    <w:rsid w:val="3C8538A8"/>
    <w:rsid w:val="3C893E21"/>
    <w:rsid w:val="3C8A4E71"/>
    <w:rsid w:val="3C8F1F0E"/>
    <w:rsid w:val="3C93198A"/>
    <w:rsid w:val="3C956AF2"/>
    <w:rsid w:val="3C9E17CA"/>
    <w:rsid w:val="3CA42D0B"/>
    <w:rsid w:val="3CA561B2"/>
    <w:rsid w:val="3CB03196"/>
    <w:rsid w:val="3CB17CF0"/>
    <w:rsid w:val="3CB464DD"/>
    <w:rsid w:val="3CBB4C45"/>
    <w:rsid w:val="3CBC60AC"/>
    <w:rsid w:val="3CBE1E7F"/>
    <w:rsid w:val="3CC93932"/>
    <w:rsid w:val="3CCE7943"/>
    <w:rsid w:val="3CCF15EA"/>
    <w:rsid w:val="3CD77157"/>
    <w:rsid w:val="3CDF6121"/>
    <w:rsid w:val="3CE121A4"/>
    <w:rsid w:val="3CFB71EF"/>
    <w:rsid w:val="3D0732E0"/>
    <w:rsid w:val="3D156E43"/>
    <w:rsid w:val="3D1710FF"/>
    <w:rsid w:val="3D1D7521"/>
    <w:rsid w:val="3D2131A5"/>
    <w:rsid w:val="3D216EB5"/>
    <w:rsid w:val="3D281D9E"/>
    <w:rsid w:val="3D30114E"/>
    <w:rsid w:val="3D3F41E3"/>
    <w:rsid w:val="3D42438A"/>
    <w:rsid w:val="3D446180"/>
    <w:rsid w:val="3D4574B2"/>
    <w:rsid w:val="3D4B45DF"/>
    <w:rsid w:val="3D4F12DE"/>
    <w:rsid w:val="3D516688"/>
    <w:rsid w:val="3D527DD3"/>
    <w:rsid w:val="3D5305F7"/>
    <w:rsid w:val="3D557F13"/>
    <w:rsid w:val="3D6345ED"/>
    <w:rsid w:val="3D721BE3"/>
    <w:rsid w:val="3D735037"/>
    <w:rsid w:val="3D7D6B03"/>
    <w:rsid w:val="3D7D71B9"/>
    <w:rsid w:val="3D8C4E3F"/>
    <w:rsid w:val="3D9F7153"/>
    <w:rsid w:val="3DA00A69"/>
    <w:rsid w:val="3DAB4D51"/>
    <w:rsid w:val="3DBE086E"/>
    <w:rsid w:val="3DC92739"/>
    <w:rsid w:val="3DD6614F"/>
    <w:rsid w:val="3DE07FA3"/>
    <w:rsid w:val="3DE34698"/>
    <w:rsid w:val="3DEA0765"/>
    <w:rsid w:val="3DEA3AB9"/>
    <w:rsid w:val="3DEC1BCD"/>
    <w:rsid w:val="3DF456C1"/>
    <w:rsid w:val="3E053629"/>
    <w:rsid w:val="3E0A1494"/>
    <w:rsid w:val="3E0D0860"/>
    <w:rsid w:val="3E0E499D"/>
    <w:rsid w:val="3E122073"/>
    <w:rsid w:val="3E246831"/>
    <w:rsid w:val="3E266EC2"/>
    <w:rsid w:val="3E297F7B"/>
    <w:rsid w:val="3E2A6BEF"/>
    <w:rsid w:val="3E306952"/>
    <w:rsid w:val="3E327253"/>
    <w:rsid w:val="3E390543"/>
    <w:rsid w:val="3E40000D"/>
    <w:rsid w:val="3E49077E"/>
    <w:rsid w:val="3E4A15E4"/>
    <w:rsid w:val="3E4D7418"/>
    <w:rsid w:val="3E4F3C50"/>
    <w:rsid w:val="3E5D339B"/>
    <w:rsid w:val="3E5D6F18"/>
    <w:rsid w:val="3E640E56"/>
    <w:rsid w:val="3E6521B3"/>
    <w:rsid w:val="3E6A7FDE"/>
    <w:rsid w:val="3E6D59B7"/>
    <w:rsid w:val="3E7940CE"/>
    <w:rsid w:val="3E7B1D6D"/>
    <w:rsid w:val="3E7B4549"/>
    <w:rsid w:val="3E7C42BC"/>
    <w:rsid w:val="3E7E485D"/>
    <w:rsid w:val="3E881438"/>
    <w:rsid w:val="3E88256E"/>
    <w:rsid w:val="3E8C62E5"/>
    <w:rsid w:val="3E956088"/>
    <w:rsid w:val="3E971026"/>
    <w:rsid w:val="3E9832B4"/>
    <w:rsid w:val="3E9870D2"/>
    <w:rsid w:val="3E9D4F7A"/>
    <w:rsid w:val="3EA16260"/>
    <w:rsid w:val="3EA510D3"/>
    <w:rsid w:val="3EAB51A9"/>
    <w:rsid w:val="3EB40C41"/>
    <w:rsid w:val="3EB43759"/>
    <w:rsid w:val="3EB61168"/>
    <w:rsid w:val="3EB71D74"/>
    <w:rsid w:val="3EB977CC"/>
    <w:rsid w:val="3EBF7D13"/>
    <w:rsid w:val="3ED13959"/>
    <w:rsid w:val="3ED716A0"/>
    <w:rsid w:val="3EEB096D"/>
    <w:rsid w:val="3EF67F27"/>
    <w:rsid w:val="3EFC6D76"/>
    <w:rsid w:val="3F064372"/>
    <w:rsid w:val="3F1750F0"/>
    <w:rsid w:val="3F1D0756"/>
    <w:rsid w:val="3F2731CF"/>
    <w:rsid w:val="3F2C2AD6"/>
    <w:rsid w:val="3F403E9F"/>
    <w:rsid w:val="3F414B6B"/>
    <w:rsid w:val="3F4659AC"/>
    <w:rsid w:val="3F475962"/>
    <w:rsid w:val="3F4C1737"/>
    <w:rsid w:val="3F4C62E5"/>
    <w:rsid w:val="3F560540"/>
    <w:rsid w:val="3F570849"/>
    <w:rsid w:val="3F583F6D"/>
    <w:rsid w:val="3F5A199B"/>
    <w:rsid w:val="3F5C0F8A"/>
    <w:rsid w:val="3F6800B8"/>
    <w:rsid w:val="3F6C3ABB"/>
    <w:rsid w:val="3F6C665F"/>
    <w:rsid w:val="3F700544"/>
    <w:rsid w:val="3F7232D4"/>
    <w:rsid w:val="3F7602E5"/>
    <w:rsid w:val="3F784F71"/>
    <w:rsid w:val="3F7B347F"/>
    <w:rsid w:val="3F872501"/>
    <w:rsid w:val="3F8B508E"/>
    <w:rsid w:val="3F8C54A8"/>
    <w:rsid w:val="3F8E4BFC"/>
    <w:rsid w:val="3FA15ABC"/>
    <w:rsid w:val="3FC26C19"/>
    <w:rsid w:val="3FC9130B"/>
    <w:rsid w:val="3FCC64F0"/>
    <w:rsid w:val="3FCF2437"/>
    <w:rsid w:val="3FD56458"/>
    <w:rsid w:val="3FDA7D35"/>
    <w:rsid w:val="3FEA76A0"/>
    <w:rsid w:val="3FF00E44"/>
    <w:rsid w:val="3FF40009"/>
    <w:rsid w:val="400812FB"/>
    <w:rsid w:val="40146FF9"/>
    <w:rsid w:val="40243246"/>
    <w:rsid w:val="40276765"/>
    <w:rsid w:val="402C7F26"/>
    <w:rsid w:val="40331329"/>
    <w:rsid w:val="403B298C"/>
    <w:rsid w:val="40455988"/>
    <w:rsid w:val="404B61D9"/>
    <w:rsid w:val="404B7849"/>
    <w:rsid w:val="40536DE9"/>
    <w:rsid w:val="405A0514"/>
    <w:rsid w:val="40637612"/>
    <w:rsid w:val="40664F69"/>
    <w:rsid w:val="40697BC6"/>
    <w:rsid w:val="406B4CDA"/>
    <w:rsid w:val="40732AAD"/>
    <w:rsid w:val="40780374"/>
    <w:rsid w:val="40790754"/>
    <w:rsid w:val="407C1A1F"/>
    <w:rsid w:val="407F11A6"/>
    <w:rsid w:val="408500D5"/>
    <w:rsid w:val="408907CA"/>
    <w:rsid w:val="408C7A79"/>
    <w:rsid w:val="408E242D"/>
    <w:rsid w:val="409111BD"/>
    <w:rsid w:val="409158CA"/>
    <w:rsid w:val="40931252"/>
    <w:rsid w:val="40974BEF"/>
    <w:rsid w:val="40A46C70"/>
    <w:rsid w:val="40AF4933"/>
    <w:rsid w:val="40B43781"/>
    <w:rsid w:val="40B44B88"/>
    <w:rsid w:val="40CA6521"/>
    <w:rsid w:val="40D36D74"/>
    <w:rsid w:val="40D8235A"/>
    <w:rsid w:val="40D86800"/>
    <w:rsid w:val="40D917AF"/>
    <w:rsid w:val="40D92F03"/>
    <w:rsid w:val="40DB4C64"/>
    <w:rsid w:val="40DD4D46"/>
    <w:rsid w:val="40DE7D2E"/>
    <w:rsid w:val="40E35EA3"/>
    <w:rsid w:val="40ED5921"/>
    <w:rsid w:val="41087027"/>
    <w:rsid w:val="410A27A5"/>
    <w:rsid w:val="411159B2"/>
    <w:rsid w:val="411A4954"/>
    <w:rsid w:val="411B1E26"/>
    <w:rsid w:val="412047BA"/>
    <w:rsid w:val="41212A0C"/>
    <w:rsid w:val="412820AF"/>
    <w:rsid w:val="412F7A60"/>
    <w:rsid w:val="4151636A"/>
    <w:rsid w:val="41532F17"/>
    <w:rsid w:val="415818E2"/>
    <w:rsid w:val="416C731F"/>
    <w:rsid w:val="41753A6C"/>
    <w:rsid w:val="41781736"/>
    <w:rsid w:val="417E5963"/>
    <w:rsid w:val="41835391"/>
    <w:rsid w:val="418366AB"/>
    <w:rsid w:val="41893CF5"/>
    <w:rsid w:val="4194161F"/>
    <w:rsid w:val="419931AD"/>
    <w:rsid w:val="41A83A08"/>
    <w:rsid w:val="41A971E8"/>
    <w:rsid w:val="41B10597"/>
    <w:rsid w:val="41B718B5"/>
    <w:rsid w:val="41D027C5"/>
    <w:rsid w:val="41D222F7"/>
    <w:rsid w:val="41D270CC"/>
    <w:rsid w:val="41D46DA3"/>
    <w:rsid w:val="41D57031"/>
    <w:rsid w:val="41D60881"/>
    <w:rsid w:val="41E50A4F"/>
    <w:rsid w:val="41E70359"/>
    <w:rsid w:val="41E94A6F"/>
    <w:rsid w:val="41E962E7"/>
    <w:rsid w:val="41EA345A"/>
    <w:rsid w:val="41EC73E7"/>
    <w:rsid w:val="41F26A13"/>
    <w:rsid w:val="41FF6B4E"/>
    <w:rsid w:val="42051908"/>
    <w:rsid w:val="42083779"/>
    <w:rsid w:val="420A2734"/>
    <w:rsid w:val="420A73C5"/>
    <w:rsid w:val="420D7732"/>
    <w:rsid w:val="420E6648"/>
    <w:rsid w:val="42142DD2"/>
    <w:rsid w:val="421B7106"/>
    <w:rsid w:val="421D163E"/>
    <w:rsid w:val="4221679B"/>
    <w:rsid w:val="42217C51"/>
    <w:rsid w:val="42240DA9"/>
    <w:rsid w:val="422A6BCC"/>
    <w:rsid w:val="423079AB"/>
    <w:rsid w:val="423263A2"/>
    <w:rsid w:val="423701E1"/>
    <w:rsid w:val="423872DE"/>
    <w:rsid w:val="42403E94"/>
    <w:rsid w:val="42404609"/>
    <w:rsid w:val="42440BA1"/>
    <w:rsid w:val="424717F1"/>
    <w:rsid w:val="424C5F21"/>
    <w:rsid w:val="424E5FF8"/>
    <w:rsid w:val="4255069A"/>
    <w:rsid w:val="42561003"/>
    <w:rsid w:val="42605752"/>
    <w:rsid w:val="42606056"/>
    <w:rsid w:val="42636A3D"/>
    <w:rsid w:val="426A3A0D"/>
    <w:rsid w:val="427A0E02"/>
    <w:rsid w:val="427D4D85"/>
    <w:rsid w:val="427D65EC"/>
    <w:rsid w:val="428310A8"/>
    <w:rsid w:val="42910D11"/>
    <w:rsid w:val="429207CF"/>
    <w:rsid w:val="42991DC2"/>
    <w:rsid w:val="429B4C4F"/>
    <w:rsid w:val="42A1256C"/>
    <w:rsid w:val="42A22B62"/>
    <w:rsid w:val="42A87EF4"/>
    <w:rsid w:val="42AB717C"/>
    <w:rsid w:val="42AF47AE"/>
    <w:rsid w:val="42B23A70"/>
    <w:rsid w:val="42B54AEB"/>
    <w:rsid w:val="42B67708"/>
    <w:rsid w:val="42BA26C4"/>
    <w:rsid w:val="42BE1C33"/>
    <w:rsid w:val="42C2622E"/>
    <w:rsid w:val="42C47EEF"/>
    <w:rsid w:val="42C70DDA"/>
    <w:rsid w:val="42CB0650"/>
    <w:rsid w:val="42CB6408"/>
    <w:rsid w:val="42CF6CAF"/>
    <w:rsid w:val="42DE4B11"/>
    <w:rsid w:val="42DE4F28"/>
    <w:rsid w:val="42E251BF"/>
    <w:rsid w:val="42EE1401"/>
    <w:rsid w:val="42EE163A"/>
    <w:rsid w:val="42F80BA4"/>
    <w:rsid w:val="43090684"/>
    <w:rsid w:val="430F53DA"/>
    <w:rsid w:val="431357B5"/>
    <w:rsid w:val="432257B3"/>
    <w:rsid w:val="432506A7"/>
    <w:rsid w:val="432B7645"/>
    <w:rsid w:val="43302BBB"/>
    <w:rsid w:val="433C0FBF"/>
    <w:rsid w:val="4341730F"/>
    <w:rsid w:val="43432E7C"/>
    <w:rsid w:val="43456F90"/>
    <w:rsid w:val="43477E91"/>
    <w:rsid w:val="434B6599"/>
    <w:rsid w:val="43530E6F"/>
    <w:rsid w:val="43557AD9"/>
    <w:rsid w:val="4358701D"/>
    <w:rsid w:val="43596F4F"/>
    <w:rsid w:val="43625840"/>
    <w:rsid w:val="43626C1D"/>
    <w:rsid w:val="43650C36"/>
    <w:rsid w:val="4373087A"/>
    <w:rsid w:val="43794FA9"/>
    <w:rsid w:val="438230E5"/>
    <w:rsid w:val="43873704"/>
    <w:rsid w:val="43882CF5"/>
    <w:rsid w:val="438838B8"/>
    <w:rsid w:val="438873BA"/>
    <w:rsid w:val="43984FA7"/>
    <w:rsid w:val="439A170F"/>
    <w:rsid w:val="439D49E2"/>
    <w:rsid w:val="43A4164B"/>
    <w:rsid w:val="43A41FAA"/>
    <w:rsid w:val="43A550C4"/>
    <w:rsid w:val="43A65281"/>
    <w:rsid w:val="43AE6822"/>
    <w:rsid w:val="43B1097B"/>
    <w:rsid w:val="43B508D3"/>
    <w:rsid w:val="43BC4B33"/>
    <w:rsid w:val="43C03E00"/>
    <w:rsid w:val="43C2728F"/>
    <w:rsid w:val="43C5509F"/>
    <w:rsid w:val="43CC31BB"/>
    <w:rsid w:val="43CF258B"/>
    <w:rsid w:val="43D13412"/>
    <w:rsid w:val="43D551B0"/>
    <w:rsid w:val="43D80B2A"/>
    <w:rsid w:val="43DB3EE9"/>
    <w:rsid w:val="43DE1B85"/>
    <w:rsid w:val="43E270F3"/>
    <w:rsid w:val="43E64675"/>
    <w:rsid w:val="43EE696D"/>
    <w:rsid w:val="43F536CA"/>
    <w:rsid w:val="44024DF9"/>
    <w:rsid w:val="440C1815"/>
    <w:rsid w:val="440F2E34"/>
    <w:rsid w:val="44146A9A"/>
    <w:rsid w:val="441C5F05"/>
    <w:rsid w:val="441C672E"/>
    <w:rsid w:val="441F0D39"/>
    <w:rsid w:val="442267C8"/>
    <w:rsid w:val="44244BCB"/>
    <w:rsid w:val="4425751A"/>
    <w:rsid w:val="44302BFC"/>
    <w:rsid w:val="44337FB9"/>
    <w:rsid w:val="445B0AF7"/>
    <w:rsid w:val="44624B77"/>
    <w:rsid w:val="4463072F"/>
    <w:rsid w:val="446344D8"/>
    <w:rsid w:val="446A1C49"/>
    <w:rsid w:val="446F1266"/>
    <w:rsid w:val="447836DD"/>
    <w:rsid w:val="447E3257"/>
    <w:rsid w:val="44890522"/>
    <w:rsid w:val="4489659E"/>
    <w:rsid w:val="44983701"/>
    <w:rsid w:val="449B6F94"/>
    <w:rsid w:val="449C401E"/>
    <w:rsid w:val="44A24290"/>
    <w:rsid w:val="44A52C5E"/>
    <w:rsid w:val="44AB079F"/>
    <w:rsid w:val="44AE50C9"/>
    <w:rsid w:val="44B06339"/>
    <w:rsid w:val="44B62148"/>
    <w:rsid w:val="44BB322A"/>
    <w:rsid w:val="44CF45BE"/>
    <w:rsid w:val="44D432CF"/>
    <w:rsid w:val="44E82BA2"/>
    <w:rsid w:val="44EA7C30"/>
    <w:rsid w:val="44EF465A"/>
    <w:rsid w:val="44F22D2D"/>
    <w:rsid w:val="44F8312A"/>
    <w:rsid w:val="44FE20A4"/>
    <w:rsid w:val="45076522"/>
    <w:rsid w:val="45090349"/>
    <w:rsid w:val="45106324"/>
    <w:rsid w:val="45136F06"/>
    <w:rsid w:val="451A046B"/>
    <w:rsid w:val="451A1463"/>
    <w:rsid w:val="45233410"/>
    <w:rsid w:val="4523610A"/>
    <w:rsid w:val="452F4636"/>
    <w:rsid w:val="453308F1"/>
    <w:rsid w:val="454D6AD1"/>
    <w:rsid w:val="454F64A4"/>
    <w:rsid w:val="45505947"/>
    <w:rsid w:val="45537AA5"/>
    <w:rsid w:val="45596FC7"/>
    <w:rsid w:val="455A2059"/>
    <w:rsid w:val="455E6B73"/>
    <w:rsid w:val="455F1CBD"/>
    <w:rsid w:val="456019BA"/>
    <w:rsid w:val="4562265A"/>
    <w:rsid w:val="456416C0"/>
    <w:rsid w:val="45676658"/>
    <w:rsid w:val="456F7F97"/>
    <w:rsid w:val="45752B20"/>
    <w:rsid w:val="45762886"/>
    <w:rsid w:val="45766B37"/>
    <w:rsid w:val="457811A9"/>
    <w:rsid w:val="4579357C"/>
    <w:rsid w:val="45905417"/>
    <w:rsid w:val="45925C03"/>
    <w:rsid w:val="4599316C"/>
    <w:rsid w:val="459D018A"/>
    <w:rsid w:val="45AB1E36"/>
    <w:rsid w:val="45AE3887"/>
    <w:rsid w:val="45B10D79"/>
    <w:rsid w:val="45B11879"/>
    <w:rsid w:val="45B33273"/>
    <w:rsid w:val="45B871D9"/>
    <w:rsid w:val="45BE024C"/>
    <w:rsid w:val="45C27438"/>
    <w:rsid w:val="45CB5794"/>
    <w:rsid w:val="45D25D77"/>
    <w:rsid w:val="45D725AF"/>
    <w:rsid w:val="45DE201D"/>
    <w:rsid w:val="45DE3D5F"/>
    <w:rsid w:val="45E0678A"/>
    <w:rsid w:val="45F46257"/>
    <w:rsid w:val="45F95D04"/>
    <w:rsid w:val="45FE770B"/>
    <w:rsid w:val="46090D59"/>
    <w:rsid w:val="460F4F81"/>
    <w:rsid w:val="4613078A"/>
    <w:rsid w:val="461D68A3"/>
    <w:rsid w:val="46242C69"/>
    <w:rsid w:val="4625335D"/>
    <w:rsid w:val="462760A7"/>
    <w:rsid w:val="462C3E5D"/>
    <w:rsid w:val="463B0984"/>
    <w:rsid w:val="463D3464"/>
    <w:rsid w:val="463E753D"/>
    <w:rsid w:val="463F7FE7"/>
    <w:rsid w:val="46430613"/>
    <w:rsid w:val="46477AE1"/>
    <w:rsid w:val="4663018D"/>
    <w:rsid w:val="4664778B"/>
    <w:rsid w:val="46654A51"/>
    <w:rsid w:val="466A2D59"/>
    <w:rsid w:val="46803068"/>
    <w:rsid w:val="46851E0B"/>
    <w:rsid w:val="46853F02"/>
    <w:rsid w:val="468C2ECA"/>
    <w:rsid w:val="468F1343"/>
    <w:rsid w:val="4691117E"/>
    <w:rsid w:val="46924B7A"/>
    <w:rsid w:val="46940EBA"/>
    <w:rsid w:val="46962288"/>
    <w:rsid w:val="469F5D97"/>
    <w:rsid w:val="46A07E13"/>
    <w:rsid w:val="46A84705"/>
    <w:rsid w:val="46AD3CBF"/>
    <w:rsid w:val="46BE1238"/>
    <w:rsid w:val="46C105D9"/>
    <w:rsid w:val="46C3272B"/>
    <w:rsid w:val="46C479DF"/>
    <w:rsid w:val="46CC15BC"/>
    <w:rsid w:val="46CD5833"/>
    <w:rsid w:val="46D07D8F"/>
    <w:rsid w:val="46D709DD"/>
    <w:rsid w:val="46DA0E73"/>
    <w:rsid w:val="46E23CD2"/>
    <w:rsid w:val="46E92B06"/>
    <w:rsid w:val="46F21B51"/>
    <w:rsid w:val="46F356C7"/>
    <w:rsid w:val="46F44DD9"/>
    <w:rsid w:val="470A3B3A"/>
    <w:rsid w:val="47104B62"/>
    <w:rsid w:val="47166E2C"/>
    <w:rsid w:val="47175B97"/>
    <w:rsid w:val="47180E78"/>
    <w:rsid w:val="473D5421"/>
    <w:rsid w:val="473E21FC"/>
    <w:rsid w:val="47421C7E"/>
    <w:rsid w:val="474346EC"/>
    <w:rsid w:val="475C483D"/>
    <w:rsid w:val="475E1F41"/>
    <w:rsid w:val="475E6B0D"/>
    <w:rsid w:val="47602E80"/>
    <w:rsid w:val="476054AE"/>
    <w:rsid w:val="4763025F"/>
    <w:rsid w:val="476409C8"/>
    <w:rsid w:val="476D30A7"/>
    <w:rsid w:val="47775DA0"/>
    <w:rsid w:val="47834629"/>
    <w:rsid w:val="478453D0"/>
    <w:rsid w:val="4785403C"/>
    <w:rsid w:val="4785797A"/>
    <w:rsid w:val="47876BEF"/>
    <w:rsid w:val="47931FD5"/>
    <w:rsid w:val="47937247"/>
    <w:rsid w:val="47991BC2"/>
    <w:rsid w:val="479A61F3"/>
    <w:rsid w:val="47A36A10"/>
    <w:rsid w:val="47A411A1"/>
    <w:rsid w:val="47A966F1"/>
    <w:rsid w:val="47AA41DB"/>
    <w:rsid w:val="47AB60FD"/>
    <w:rsid w:val="47AD48BB"/>
    <w:rsid w:val="47B15523"/>
    <w:rsid w:val="47B54227"/>
    <w:rsid w:val="47C73049"/>
    <w:rsid w:val="47CE37AF"/>
    <w:rsid w:val="47CE6FFE"/>
    <w:rsid w:val="47ED499D"/>
    <w:rsid w:val="47F47268"/>
    <w:rsid w:val="47F52137"/>
    <w:rsid w:val="47F92FFA"/>
    <w:rsid w:val="480450BC"/>
    <w:rsid w:val="480B24B4"/>
    <w:rsid w:val="480E3EDF"/>
    <w:rsid w:val="480F3B01"/>
    <w:rsid w:val="48152D93"/>
    <w:rsid w:val="481C61E9"/>
    <w:rsid w:val="481C6E68"/>
    <w:rsid w:val="481E5043"/>
    <w:rsid w:val="482004D9"/>
    <w:rsid w:val="48202656"/>
    <w:rsid w:val="4823669E"/>
    <w:rsid w:val="482563B7"/>
    <w:rsid w:val="482718C7"/>
    <w:rsid w:val="48283C76"/>
    <w:rsid w:val="48353D17"/>
    <w:rsid w:val="48380F08"/>
    <w:rsid w:val="48393E06"/>
    <w:rsid w:val="483B3DE9"/>
    <w:rsid w:val="483E502C"/>
    <w:rsid w:val="483E50D7"/>
    <w:rsid w:val="484E7693"/>
    <w:rsid w:val="484F7BF0"/>
    <w:rsid w:val="485465DE"/>
    <w:rsid w:val="486810BC"/>
    <w:rsid w:val="486E52D5"/>
    <w:rsid w:val="48710302"/>
    <w:rsid w:val="48741761"/>
    <w:rsid w:val="48776572"/>
    <w:rsid w:val="487963B0"/>
    <w:rsid w:val="487A43D2"/>
    <w:rsid w:val="487D2952"/>
    <w:rsid w:val="4882795C"/>
    <w:rsid w:val="48851CFC"/>
    <w:rsid w:val="48874181"/>
    <w:rsid w:val="4888600F"/>
    <w:rsid w:val="488A2686"/>
    <w:rsid w:val="488B1C90"/>
    <w:rsid w:val="48901BA7"/>
    <w:rsid w:val="4895173A"/>
    <w:rsid w:val="489D0E79"/>
    <w:rsid w:val="48A01926"/>
    <w:rsid w:val="48A02B80"/>
    <w:rsid w:val="48A65B8E"/>
    <w:rsid w:val="48A66B75"/>
    <w:rsid w:val="48AB5A46"/>
    <w:rsid w:val="48B4534F"/>
    <w:rsid w:val="48B52BB1"/>
    <w:rsid w:val="48C10DE4"/>
    <w:rsid w:val="48C21486"/>
    <w:rsid w:val="48CF282B"/>
    <w:rsid w:val="48CF5638"/>
    <w:rsid w:val="48CF63D1"/>
    <w:rsid w:val="48D254A8"/>
    <w:rsid w:val="48DA2E75"/>
    <w:rsid w:val="48DB2772"/>
    <w:rsid w:val="48DD2424"/>
    <w:rsid w:val="48E24FB7"/>
    <w:rsid w:val="48E7213B"/>
    <w:rsid w:val="48F013F9"/>
    <w:rsid w:val="49003346"/>
    <w:rsid w:val="490470D2"/>
    <w:rsid w:val="490E6001"/>
    <w:rsid w:val="49126081"/>
    <w:rsid w:val="49196974"/>
    <w:rsid w:val="492970EC"/>
    <w:rsid w:val="492E010A"/>
    <w:rsid w:val="492E7771"/>
    <w:rsid w:val="493C2050"/>
    <w:rsid w:val="493F332F"/>
    <w:rsid w:val="493F72F6"/>
    <w:rsid w:val="49581F90"/>
    <w:rsid w:val="4958213F"/>
    <w:rsid w:val="495C25E7"/>
    <w:rsid w:val="495C632F"/>
    <w:rsid w:val="49622278"/>
    <w:rsid w:val="496A4FE3"/>
    <w:rsid w:val="496D1D2D"/>
    <w:rsid w:val="498510BC"/>
    <w:rsid w:val="4986132B"/>
    <w:rsid w:val="49924247"/>
    <w:rsid w:val="49932E75"/>
    <w:rsid w:val="499A4867"/>
    <w:rsid w:val="499C0F86"/>
    <w:rsid w:val="49A31BD5"/>
    <w:rsid w:val="49B338A0"/>
    <w:rsid w:val="49B36D3F"/>
    <w:rsid w:val="49B46D82"/>
    <w:rsid w:val="49B75FD5"/>
    <w:rsid w:val="49B8377E"/>
    <w:rsid w:val="49BE397A"/>
    <w:rsid w:val="49C0078F"/>
    <w:rsid w:val="49C4506F"/>
    <w:rsid w:val="49C72C3F"/>
    <w:rsid w:val="49D03F94"/>
    <w:rsid w:val="49D81FB2"/>
    <w:rsid w:val="49D917E1"/>
    <w:rsid w:val="49E27E77"/>
    <w:rsid w:val="49E4736C"/>
    <w:rsid w:val="49E61653"/>
    <w:rsid w:val="49E910DC"/>
    <w:rsid w:val="49EA68D4"/>
    <w:rsid w:val="49EB73CA"/>
    <w:rsid w:val="49EC47F3"/>
    <w:rsid w:val="49F36E45"/>
    <w:rsid w:val="49F87577"/>
    <w:rsid w:val="49FC2FF6"/>
    <w:rsid w:val="4A1862C2"/>
    <w:rsid w:val="4A1E4972"/>
    <w:rsid w:val="4A284C7C"/>
    <w:rsid w:val="4A2E07BB"/>
    <w:rsid w:val="4A321AEF"/>
    <w:rsid w:val="4A3E5DEF"/>
    <w:rsid w:val="4A4651F2"/>
    <w:rsid w:val="4A482F5D"/>
    <w:rsid w:val="4A4E33EF"/>
    <w:rsid w:val="4A526E3F"/>
    <w:rsid w:val="4A543D3C"/>
    <w:rsid w:val="4A6D1112"/>
    <w:rsid w:val="4A6E2D33"/>
    <w:rsid w:val="4A6F071D"/>
    <w:rsid w:val="4A767E21"/>
    <w:rsid w:val="4A7A2F7F"/>
    <w:rsid w:val="4A7D1E82"/>
    <w:rsid w:val="4A811D6A"/>
    <w:rsid w:val="4A83270A"/>
    <w:rsid w:val="4A847FA5"/>
    <w:rsid w:val="4A9209C9"/>
    <w:rsid w:val="4A9A6C3B"/>
    <w:rsid w:val="4A9B5A87"/>
    <w:rsid w:val="4AA13B5E"/>
    <w:rsid w:val="4AA3692F"/>
    <w:rsid w:val="4AAC3588"/>
    <w:rsid w:val="4AB025D1"/>
    <w:rsid w:val="4AB27B28"/>
    <w:rsid w:val="4AB515BF"/>
    <w:rsid w:val="4AB63D60"/>
    <w:rsid w:val="4AB8697B"/>
    <w:rsid w:val="4ABA7828"/>
    <w:rsid w:val="4AC2263A"/>
    <w:rsid w:val="4AC241FD"/>
    <w:rsid w:val="4AC5588E"/>
    <w:rsid w:val="4ACA2712"/>
    <w:rsid w:val="4ACA6F28"/>
    <w:rsid w:val="4ADA1827"/>
    <w:rsid w:val="4AE82826"/>
    <w:rsid w:val="4AEF386B"/>
    <w:rsid w:val="4AF83E87"/>
    <w:rsid w:val="4AF84F48"/>
    <w:rsid w:val="4B0025AE"/>
    <w:rsid w:val="4B0B4444"/>
    <w:rsid w:val="4B1675C2"/>
    <w:rsid w:val="4B1E705C"/>
    <w:rsid w:val="4B2140D9"/>
    <w:rsid w:val="4B22466B"/>
    <w:rsid w:val="4B283BC7"/>
    <w:rsid w:val="4B2F3F16"/>
    <w:rsid w:val="4B374D49"/>
    <w:rsid w:val="4B3A1A9A"/>
    <w:rsid w:val="4B432859"/>
    <w:rsid w:val="4B446639"/>
    <w:rsid w:val="4B464336"/>
    <w:rsid w:val="4B4674A0"/>
    <w:rsid w:val="4B4841DC"/>
    <w:rsid w:val="4B4A3D7E"/>
    <w:rsid w:val="4B5E2E72"/>
    <w:rsid w:val="4B742175"/>
    <w:rsid w:val="4B792497"/>
    <w:rsid w:val="4B8503C5"/>
    <w:rsid w:val="4B851ED9"/>
    <w:rsid w:val="4B866E47"/>
    <w:rsid w:val="4B881902"/>
    <w:rsid w:val="4B8A0D83"/>
    <w:rsid w:val="4B8B013E"/>
    <w:rsid w:val="4B8B76D7"/>
    <w:rsid w:val="4B8D4F6F"/>
    <w:rsid w:val="4B933438"/>
    <w:rsid w:val="4B964478"/>
    <w:rsid w:val="4B9C6F16"/>
    <w:rsid w:val="4B9D37FE"/>
    <w:rsid w:val="4BA127CB"/>
    <w:rsid w:val="4BAF16E1"/>
    <w:rsid w:val="4BB051A9"/>
    <w:rsid w:val="4BB53D5C"/>
    <w:rsid w:val="4BBB673C"/>
    <w:rsid w:val="4BC10BAC"/>
    <w:rsid w:val="4BC5715A"/>
    <w:rsid w:val="4BC919E2"/>
    <w:rsid w:val="4BCD35BC"/>
    <w:rsid w:val="4BD770F2"/>
    <w:rsid w:val="4BDA4F9F"/>
    <w:rsid w:val="4BF12203"/>
    <w:rsid w:val="4BF342DA"/>
    <w:rsid w:val="4BF6371F"/>
    <w:rsid w:val="4BFE4C29"/>
    <w:rsid w:val="4C000F3D"/>
    <w:rsid w:val="4C017854"/>
    <w:rsid w:val="4C04660E"/>
    <w:rsid w:val="4C082453"/>
    <w:rsid w:val="4C0B37A0"/>
    <w:rsid w:val="4C0B4751"/>
    <w:rsid w:val="4C0C5932"/>
    <w:rsid w:val="4C18303D"/>
    <w:rsid w:val="4C1A4F8A"/>
    <w:rsid w:val="4C223979"/>
    <w:rsid w:val="4C22471A"/>
    <w:rsid w:val="4C293B66"/>
    <w:rsid w:val="4C492858"/>
    <w:rsid w:val="4C497F5B"/>
    <w:rsid w:val="4C4B19D1"/>
    <w:rsid w:val="4C4C08D3"/>
    <w:rsid w:val="4C4D7B34"/>
    <w:rsid w:val="4C4E066C"/>
    <w:rsid w:val="4C530370"/>
    <w:rsid w:val="4C5857D0"/>
    <w:rsid w:val="4C646311"/>
    <w:rsid w:val="4C6D4863"/>
    <w:rsid w:val="4C7506BF"/>
    <w:rsid w:val="4C784444"/>
    <w:rsid w:val="4C795D27"/>
    <w:rsid w:val="4C7B7157"/>
    <w:rsid w:val="4C7F2F3B"/>
    <w:rsid w:val="4C863F4F"/>
    <w:rsid w:val="4C8753FB"/>
    <w:rsid w:val="4C8D15AA"/>
    <w:rsid w:val="4C956FC0"/>
    <w:rsid w:val="4C9F67E0"/>
    <w:rsid w:val="4CA22F28"/>
    <w:rsid w:val="4CAA1F74"/>
    <w:rsid w:val="4CAC5042"/>
    <w:rsid w:val="4CB567BC"/>
    <w:rsid w:val="4CBA4F09"/>
    <w:rsid w:val="4CBB26C8"/>
    <w:rsid w:val="4CBC1394"/>
    <w:rsid w:val="4CCE7188"/>
    <w:rsid w:val="4CCF2AB1"/>
    <w:rsid w:val="4CD67653"/>
    <w:rsid w:val="4CD677AB"/>
    <w:rsid w:val="4CD925A0"/>
    <w:rsid w:val="4CDF5A71"/>
    <w:rsid w:val="4CE02344"/>
    <w:rsid w:val="4CE50FF4"/>
    <w:rsid w:val="4CEE7575"/>
    <w:rsid w:val="4CF62AEF"/>
    <w:rsid w:val="4CFC13FE"/>
    <w:rsid w:val="4D027754"/>
    <w:rsid w:val="4D0D5D24"/>
    <w:rsid w:val="4D0D6F14"/>
    <w:rsid w:val="4D1002BC"/>
    <w:rsid w:val="4D101C3A"/>
    <w:rsid w:val="4D1332C4"/>
    <w:rsid w:val="4D190ACD"/>
    <w:rsid w:val="4D1D3EFD"/>
    <w:rsid w:val="4D205A88"/>
    <w:rsid w:val="4D3449B3"/>
    <w:rsid w:val="4D371EE4"/>
    <w:rsid w:val="4D3C48C9"/>
    <w:rsid w:val="4D4371A8"/>
    <w:rsid w:val="4D4A284E"/>
    <w:rsid w:val="4D4C4071"/>
    <w:rsid w:val="4D4F37FE"/>
    <w:rsid w:val="4D537F71"/>
    <w:rsid w:val="4D583FD4"/>
    <w:rsid w:val="4D5C7D62"/>
    <w:rsid w:val="4D623BC4"/>
    <w:rsid w:val="4D651BC2"/>
    <w:rsid w:val="4D764380"/>
    <w:rsid w:val="4D797A6F"/>
    <w:rsid w:val="4D7F27FF"/>
    <w:rsid w:val="4D861083"/>
    <w:rsid w:val="4D89746C"/>
    <w:rsid w:val="4D971F13"/>
    <w:rsid w:val="4D982C0A"/>
    <w:rsid w:val="4D9E498F"/>
    <w:rsid w:val="4D9F59E5"/>
    <w:rsid w:val="4DA41EDF"/>
    <w:rsid w:val="4DA94689"/>
    <w:rsid w:val="4DA95B31"/>
    <w:rsid w:val="4DAF4ED9"/>
    <w:rsid w:val="4DB53202"/>
    <w:rsid w:val="4DBC7775"/>
    <w:rsid w:val="4DBD1662"/>
    <w:rsid w:val="4DBF0AA0"/>
    <w:rsid w:val="4DC2278F"/>
    <w:rsid w:val="4DC36B90"/>
    <w:rsid w:val="4DC57C56"/>
    <w:rsid w:val="4DC6176D"/>
    <w:rsid w:val="4DC70015"/>
    <w:rsid w:val="4DCF37DA"/>
    <w:rsid w:val="4DCF5438"/>
    <w:rsid w:val="4DD14F9F"/>
    <w:rsid w:val="4DD93F24"/>
    <w:rsid w:val="4DD9572C"/>
    <w:rsid w:val="4DDA7402"/>
    <w:rsid w:val="4DDE7E49"/>
    <w:rsid w:val="4DE17DF8"/>
    <w:rsid w:val="4DE57D99"/>
    <w:rsid w:val="4DE66A92"/>
    <w:rsid w:val="4DF66924"/>
    <w:rsid w:val="4DFA7811"/>
    <w:rsid w:val="4DFE1F46"/>
    <w:rsid w:val="4E023111"/>
    <w:rsid w:val="4E03444D"/>
    <w:rsid w:val="4E0A4B0E"/>
    <w:rsid w:val="4E0B041B"/>
    <w:rsid w:val="4E110555"/>
    <w:rsid w:val="4E1771BE"/>
    <w:rsid w:val="4E1B3EB6"/>
    <w:rsid w:val="4E225815"/>
    <w:rsid w:val="4E2972F4"/>
    <w:rsid w:val="4E3264B4"/>
    <w:rsid w:val="4E3A5924"/>
    <w:rsid w:val="4E4631AF"/>
    <w:rsid w:val="4E4E7137"/>
    <w:rsid w:val="4E553692"/>
    <w:rsid w:val="4E5C776C"/>
    <w:rsid w:val="4E5D2ED7"/>
    <w:rsid w:val="4E5D78B4"/>
    <w:rsid w:val="4E606918"/>
    <w:rsid w:val="4E614E64"/>
    <w:rsid w:val="4E764934"/>
    <w:rsid w:val="4E810057"/>
    <w:rsid w:val="4E8278F9"/>
    <w:rsid w:val="4E8461A2"/>
    <w:rsid w:val="4E880A1B"/>
    <w:rsid w:val="4E9B16F6"/>
    <w:rsid w:val="4EA52B5C"/>
    <w:rsid w:val="4EAD0B3C"/>
    <w:rsid w:val="4EB76BAC"/>
    <w:rsid w:val="4EBB0D21"/>
    <w:rsid w:val="4EBC1F4A"/>
    <w:rsid w:val="4EC1082B"/>
    <w:rsid w:val="4EC41370"/>
    <w:rsid w:val="4ECA4646"/>
    <w:rsid w:val="4ECD4A7F"/>
    <w:rsid w:val="4ED62824"/>
    <w:rsid w:val="4ED66454"/>
    <w:rsid w:val="4ED964A6"/>
    <w:rsid w:val="4EE34645"/>
    <w:rsid w:val="4EF4687A"/>
    <w:rsid w:val="4EFE1B25"/>
    <w:rsid w:val="4F006159"/>
    <w:rsid w:val="4F0C4717"/>
    <w:rsid w:val="4F102A9E"/>
    <w:rsid w:val="4F12670D"/>
    <w:rsid w:val="4F1536C5"/>
    <w:rsid w:val="4F174DFD"/>
    <w:rsid w:val="4F1C55EB"/>
    <w:rsid w:val="4F20435C"/>
    <w:rsid w:val="4F2068BF"/>
    <w:rsid w:val="4F217A39"/>
    <w:rsid w:val="4F265E90"/>
    <w:rsid w:val="4F32048D"/>
    <w:rsid w:val="4F3829B7"/>
    <w:rsid w:val="4F3903E0"/>
    <w:rsid w:val="4F3A51D7"/>
    <w:rsid w:val="4F400385"/>
    <w:rsid w:val="4F465B59"/>
    <w:rsid w:val="4F545303"/>
    <w:rsid w:val="4F551B82"/>
    <w:rsid w:val="4F5608BF"/>
    <w:rsid w:val="4F571E0E"/>
    <w:rsid w:val="4F597299"/>
    <w:rsid w:val="4F5D0789"/>
    <w:rsid w:val="4F5F4FC9"/>
    <w:rsid w:val="4F6C4B8B"/>
    <w:rsid w:val="4F6F7322"/>
    <w:rsid w:val="4F7C0869"/>
    <w:rsid w:val="4F7E3FB4"/>
    <w:rsid w:val="4F88217B"/>
    <w:rsid w:val="4F957212"/>
    <w:rsid w:val="4F9C09BE"/>
    <w:rsid w:val="4F9F115C"/>
    <w:rsid w:val="4FA72A57"/>
    <w:rsid w:val="4FA73473"/>
    <w:rsid w:val="4FA9629E"/>
    <w:rsid w:val="4FC62ADF"/>
    <w:rsid w:val="4FCB5B8A"/>
    <w:rsid w:val="4FCF0F91"/>
    <w:rsid w:val="4FD24D00"/>
    <w:rsid w:val="4FD56299"/>
    <w:rsid w:val="4FD86760"/>
    <w:rsid w:val="4FD95A4B"/>
    <w:rsid w:val="4FEC2242"/>
    <w:rsid w:val="4FED1BDF"/>
    <w:rsid w:val="4FFA287C"/>
    <w:rsid w:val="50045CCC"/>
    <w:rsid w:val="50055B12"/>
    <w:rsid w:val="5005648E"/>
    <w:rsid w:val="500663B0"/>
    <w:rsid w:val="500A3BE8"/>
    <w:rsid w:val="500D7DDB"/>
    <w:rsid w:val="5017437F"/>
    <w:rsid w:val="50266687"/>
    <w:rsid w:val="5030502F"/>
    <w:rsid w:val="50324911"/>
    <w:rsid w:val="503D76C1"/>
    <w:rsid w:val="50580389"/>
    <w:rsid w:val="5059216A"/>
    <w:rsid w:val="505D0E38"/>
    <w:rsid w:val="505D28A7"/>
    <w:rsid w:val="506169F2"/>
    <w:rsid w:val="506348DD"/>
    <w:rsid w:val="50662266"/>
    <w:rsid w:val="506704C1"/>
    <w:rsid w:val="506F64F1"/>
    <w:rsid w:val="50826F74"/>
    <w:rsid w:val="509124E4"/>
    <w:rsid w:val="50920C07"/>
    <w:rsid w:val="509326EF"/>
    <w:rsid w:val="509C0470"/>
    <w:rsid w:val="50A733E4"/>
    <w:rsid w:val="50AB61D9"/>
    <w:rsid w:val="50AB7FE5"/>
    <w:rsid w:val="50AC0DBA"/>
    <w:rsid w:val="50AC1C0B"/>
    <w:rsid w:val="50AF1BE4"/>
    <w:rsid w:val="50AF3096"/>
    <w:rsid w:val="50B0569F"/>
    <w:rsid w:val="50B24C62"/>
    <w:rsid w:val="50B378E7"/>
    <w:rsid w:val="50BD234E"/>
    <w:rsid w:val="50BE59D7"/>
    <w:rsid w:val="50C946C0"/>
    <w:rsid w:val="50C94F3E"/>
    <w:rsid w:val="50C95288"/>
    <w:rsid w:val="50CA2E11"/>
    <w:rsid w:val="50D00B34"/>
    <w:rsid w:val="50D124BA"/>
    <w:rsid w:val="50D6600E"/>
    <w:rsid w:val="50D662F0"/>
    <w:rsid w:val="50E14E4C"/>
    <w:rsid w:val="50E36E98"/>
    <w:rsid w:val="50F64C9E"/>
    <w:rsid w:val="50F64EAD"/>
    <w:rsid w:val="50FC5EAA"/>
    <w:rsid w:val="50FE5929"/>
    <w:rsid w:val="510008AB"/>
    <w:rsid w:val="51076D34"/>
    <w:rsid w:val="51082C2B"/>
    <w:rsid w:val="510A1BF0"/>
    <w:rsid w:val="511A54D8"/>
    <w:rsid w:val="511C77C7"/>
    <w:rsid w:val="51326EC4"/>
    <w:rsid w:val="51351F21"/>
    <w:rsid w:val="513C7E66"/>
    <w:rsid w:val="513D5484"/>
    <w:rsid w:val="51403F1E"/>
    <w:rsid w:val="515C5A24"/>
    <w:rsid w:val="515F0966"/>
    <w:rsid w:val="5160572D"/>
    <w:rsid w:val="516733D0"/>
    <w:rsid w:val="516C2606"/>
    <w:rsid w:val="51790E8E"/>
    <w:rsid w:val="51865F1F"/>
    <w:rsid w:val="51902411"/>
    <w:rsid w:val="519330A9"/>
    <w:rsid w:val="5196149A"/>
    <w:rsid w:val="51A51CDB"/>
    <w:rsid w:val="51AC06EC"/>
    <w:rsid w:val="51B076D8"/>
    <w:rsid w:val="51B35025"/>
    <w:rsid w:val="51B66629"/>
    <w:rsid w:val="51BA4743"/>
    <w:rsid w:val="51C65175"/>
    <w:rsid w:val="51C70891"/>
    <w:rsid w:val="51D11935"/>
    <w:rsid w:val="51D32BCD"/>
    <w:rsid w:val="51DC0D06"/>
    <w:rsid w:val="51E245DC"/>
    <w:rsid w:val="51F00030"/>
    <w:rsid w:val="52032F97"/>
    <w:rsid w:val="52114B87"/>
    <w:rsid w:val="52116246"/>
    <w:rsid w:val="52133489"/>
    <w:rsid w:val="52143CA5"/>
    <w:rsid w:val="52153185"/>
    <w:rsid w:val="5219104F"/>
    <w:rsid w:val="521C77AA"/>
    <w:rsid w:val="52290ED6"/>
    <w:rsid w:val="523115C9"/>
    <w:rsid w:val="52314BAE"/>
    <w:rsid w:val="52392094"/>
    <w:rsid w:val="523B15F2"/>
    <w:rsid w:val="52456604"/>
    <w:rsid w:val="52462F70"/>
    <w:rsid w:val="52497236"/>
    <w:rsid w:val="525334B1"/>
    <w:rsid w:val="526203BC"/>
    <w:rsid w:val="52636E29"/>
    <w:rsid w:val="526C45D5"/>
    <w:rsid w:val="526F6332"/>
    <w:rsid w:val="527F5BDA"/>
    <w:rsid w:val="52833EA8"/>
    <w:rsid w:val="52904514"/>
    <w:rsid w:val="529A7982"/>
    <w:rsid w:val="529C5B4E"/>
    <w:rsid w:val="529F30F9"/>
    <w:rsid w:val="52A4713E"/>
    <w:rsid w:val="52B94AAA"/>
    <w:rsid w:val="52BD5D5B"/>
    <w:rsid w:val="52C12A87"/>
    <w:rsid w:val="52CC749D"/>
    <w:rsid w:val="52CE5755"/>
    <w:rsid w:val="52D654C2"/>
    <w:rsid w:val="52DC5029"/>
    <w:rsid w:val="52E9650A"/>
    <w:rsid w:val="52EA56D1"/>
    <w:rsid w:val="52F00446"/>
    <w:rsid w:val="52F048D4"/>
    <w:rsid w:val="52F25BD4"/>
    <w:rsid w:val="52FD16EC"/>
    <w:rsid w:val="53075335"/>
    <w:rsid w:val="530A2D88"/>
    <w:rsid w:val="530A753B"/>
    <w:rsid w:val="530B51DF"/>
    <w:rsid w:val="531B4E80"/>
    <w:rsid w:val="532669BD"/>
    <w:rsid w:val="53274F14"/>
    <w:rsid w:val="532A169F"/>
    <w:rsid w:val="532A6B2B"/>
    <w:rsid w:val="533242ED"/>
    <w:rsid w:val="5333729E"/>
    <w:rsid w:val="533E1BEB"/>
    <w:rsid w:val="53423AC7"/>
    <w:rsid w:val="534244EC"/>
    <w:rsid w:val="5347772F"/>
    <w:rsid w:val="53532508"/>
    <w:rsid w:val="5354660A"/>
    <w:rsid w:val="53591B21"/>
    <w:rsid w:val="536B7E56"/>
    <w:rsid w:val="536E7408"/>
    <w:rsid w:val="53716A98"/>
    <w:rsid w:val="53770C3C"/>
    <w:rsid w:val="537B5836"/>
    <w:rsid w:val="537C01FE"/>
    <w:rsid w:val="537E2392"/>
    <w:rsid w:val="537E65E6"/>
    <w:rsid w:val="53893B0F"/>
    <w:rsid w:val="538B1377"/>
    <w:rsid w:val="539D019E"/>
    <w:rsid w:val="539E2330"/>
    <w:rsid w:val="53A0750E"/>
    <w:rsid w:val="53A70CD7"/>
    <w:rsid w:val="53AA13F4"/>
    <w:rsid w:val="53B10317"/>
    <w:rsid w:val="53B42813"/>
    <w:rsid w:val="53BB5665"/>
    <w:rsid w:val="53C62BFE"/>
    <w:rsid w:val="53C835DD"/>
    <w:rsid w:val="53CF51B6"/>
    <w:rsid w:val="53DB0A24"/>
    <w:rsid w:val="53ED3E9F"/>
    <w:rsid w:val="53F1707E"/>
    <w:rsid w:val="540327AA"/>
    <w:rsid w:val="54056EA3"/>
    <w:rsid w:val="540713D8"/>
    <w:rsid w:val="54093970"/>
    <w:rsid w:val="54193549"/>
    <w:rsid w:val="541961EF"/>
    <w:rsid w:val="541A7BC5"/>
    <w:rsid w:val="54211A35"/>
    <w:rsid w:val="54233B6C"/>
    <w:rsid w:val="54260491"/>
    <w:rsid w:val="543E2B33"/>
    <w:rsid w:val="54406B40"/>
    <w:rsid w:val="5448546E"/>
    <w:rsid w:val="544A741E"/>
    <w:rsid w:val="545D3A1D"/>
    <w:rsid w:val="545E72F5"/>
    <w:rsid w:val="54641411"/>
    <w:rsid w:val="5465628C"/>
    <w:rsid w:val="54672E50"/>
    <w:rsid w:val="546C42CF"/>
    <w:rsid w:val="54741658"/>
    <w:rsid w:val="547B4334"/>
    <w:rsid w:val="548602C5"/>
    <w:rsid w:val="54911328"/>
    <w:rsid w:val="54953CED"/>
    <w:rsid w:val="54971391"/>
    <w:rsid w:val="54A01DB1"/>
    <w:rsid w:val="54A3148C"/>
    <w:rsid w:val="54A639B8"/>
    <w:rsid w:val="54AC2B5B"/>
    <w:rsid w:val="54BF7165"/>
    <w:rsid w:val="54C67554"/>
    <w:rsid w:val="54CB37CB"/>
    <w:rsid w:val="54CC78D3"/>
    <w:rsid w:val="54CD3EE6"/>
    <w:rsid w:val="54DD218B"/>
    <w:rsid w:val="54F874F0"/>
    <w:rsid w:val="54FF7A03"/>
    <w:rsid w:val="55014323"/>
    <w:rsid w:val="55081EC2"/>
    <w:rsid w:val="550F67C0"/>
    <w:rsid w:val="551C0238"/>
    <w:rsid w:val="551E6A32"/>
    <w:rsid w:val="551E7258"/>
    <w:rsid w:val="55201E61"/>
    <w:rsid w:val="552175A4"/>
    <w:rsid w:val="552245E1"/>
    <w:rsid w:val="5523004C"/>
    <w:rsid w:val="55310114"/>
    <w:rsid w:val="553425CD"/>
    <w:rsid w:val="55383A8B"/>
    <w:rsid w:val="55493C5A"/>
    <w:rsid w:val="555BE438"/>
    <w:rsid w:val="55607D66"/>
    <w:rsid w:val="55662566"/>
    <w:rsid w:val="5570670C"/>
    <w:rsid w:val="557604A1"/>
    <w:rsid w:val="557E5681"/>
    <w:rsid w:val="558019B4"/>
    <w:rsid w:val="5582052D"/>
    <w:rsid w:val="5585670B"/>
    <w:rsid w:val="55893A52"/>
    <w:rsid w:val="558A5E75"/>
    <w:rsid w:val="55906139"/>
    <w:rsid w:val="559166EA"/>
    <w:rsid w:val="55921169"/>
    <w:rsid w:val="559B249D"/>
    <w:rsid w:val="55A32679"/>
    <w:rsid w:val="55B356CF"/>
    <w:rsid w:val="55B717FC"/>
    <w:rsid w:val="55BA2624"/>
    <w:rsid w:val="55BA5562"/>
    <w:rsid w:val="55CF25A3"/>
    <w:rsid w:val="55D11016"/>
    <w:rsid w:val="55DD6DC3"/>
    <w:rsid w:val="55E91198"/>
    <w:rsid w:val="55F374F1"/>
    <w:rsid w:val="55F877BD"/>
    <w:rsid w:val="55F92061"/>
    <w:rsid w:val="55F943A8"/>
    <w:rsid w:val="560748D2"/>
    <w:rsid w:val="560772CF"/>
    <w:rsid w:val="56111C50"/>
    <w:rsid w:val="56113C15"/>
    <w:rsid w:val="56146B31"/>
    <w:rsid w:val="561917FF"/>
    <w:rsid w:val="561A515F"/>
    <w:rsid w:val="56255297"/>
    <w:rsid w:val="5633589D"/>
    <w:rsid w:val="56435BB0"/>
    <w:rsid w:val="56456021"/>
    <w:rsid w:val="5649408C"/>
    <w:rsid w:val="564C2015"/>
    <w:rsid w:val="56525504"/>
    <w:rsid w:val="565802EE"/>
    <w:rsid w:val="56585C4D"/>
    <w:rsid w:val="566914B7"/>
    <w:rsid w:val="566A66EF"/>
    <w:rsid w:val="56722A8A"/>
    <w:rsid w:val="56724FFF"/>
    <w:rsid w:val="56731DFF"/>
    <w:rsid w:val="56791780"/>
    <w:rsid w:val="56793002"/>
    <w:rsid w:val="567D6126"/>
    <w:rsid w:val="56825453"/>
    <w:rsid w:val="56876401"/>
    <w:rsid w:val="56892E58"/>
    <w:rsid w:val="568A640B"/>
    <w:rsid w:val="568E4B17"/>
    <w:rsid w:val="569371F1"/>
    <w:rsid w:val="569F1149"/>
    <w:rsid w:val="56A22F8B"/>
    <w:rsid w:val="56A27892"/>
    <w:rsid w:val="56AF2F70"/>
    <w:rsid w:val="56B35915"/>
    <w:rsid w:val="56C42C33"/>
    <w:rsid w:val="56D52A22"/>
    <w:rsid w:val="56D84CA4"/>
    <w:rsid w:val="56DD1494"/>
    <w:rsid w:val="56E27355"/>
    <w:rsid w:val="56F463B6"/>
    <w:rsid w:val="57025997"/>
    <w:rsid w:val="5702619C"/>
    <w:rsid w:val="57055D74"/>
    <w:rsid w:val="57096B20"/>
    <w:rsid w:val="571D3C15"/>
    <w:rsid w:val="571E6D64"/>
    <w:rsid w:val="57223823"/>
    <w:rsid w:val="57273F67"/>
    <w:rsid w:val="572A0D3B"/>
    <w:rsid w:val="57327807"/>
    <w:rsid w:val="573A4204"/>
    <w:rsid w:val="573F6BF7"/>
    <w:rsid w:val="57411900"/>
    <w:rsid w:val="574E2DB3"/>
    <w:rsid w:val="57616FBC"/>
    <w:rsid w:val="576F4505"/>
    <w:rsid w:val="57723C25"/>
    <w:rsid w:val="57734BBD"/>
    <w:rsid w:val="57772E4E"/>
    <w:rsid w:val="578655A3"/>
    <w:rsid w:val="57974E7B"/>
    <w:rsid w:val="579C3533"/>
    <w:rsid w:val="57A100F6"/>
    <w:rsid w:val="57A1743D"/>
    <w:rsid w:val="57A50A09"/>
    <w:rsid w:val="57A50C2A"/>
    <w:rsid w:val="57A73623"/>
    <w:rsid w:val="57AF0E48"/>
    <w:rsid w:val="57AF7381"/>
    <w:rsid w:val="57B407E6"/>
    <w:rsid w:val="57B94181"/>
    <w:rsid w:val="57BC2C7C"/>
    <w:rsid w:val="57BF33BA"/>
    <w:rsid w:val="57BF7092"/>
    <w:rsid w:val="57C00EC4"/>
    <w:rsid w:val="57C57BE5"/>
    <w:rsid w:val="57C61885"/>
    <w:rsid w:val="57C66A5B"/>
    <w:rsid w:val="57CA2A6B"/>
    <w:rsid w:val="57D05BDA"/>
    <w:rsid w:val="57D823B7"/>
    <w:rsid w:val="57D97A57"/>
    <w:rsid w:val="57DA0C33"/>
    <w:rsid w:val="57DD068E"/>
    <w:rsid w:val="57DF5271"/>
    <w:rsid w:val="57F46D0A"/>
    <w:rsid w:val="57F646C7"/>
    <w:rsid w:val="57FC4979"/>
    <w:rsid w:val="57FF5436"/>
    <w:rsid w:val="58093BB0"/>
    <w:rsid w:val="580C53F4"/>
    <w:rsid w:val="5813050E"/>
    <w:rsid w:val="5813202B"/>
    <w:rsid w:val="581349B8"/>
    <w:rsid w:val="581C40FD"/>
    <w:rsid w:val="58233ECF"/>
    <w:rsid w:val="582625B1"/>
    <w:rsid w:val="58292F5E"/>
    <w:rsid w:val="583549B3"/>
    <w:rsid w:val="583D7386"/>
    <w:rsid w:val="58422BCF"/>
    <w:rsid w:val="585511E9"/>
    <w:rsid w:val="58556208"/>
    <w:rsid w:val="58556620"/>
    <w:rsid w:val="585819A8"/>
    <w:rsid w:val="587C5D93"/>
    <w:rsid w:val="58894571"/>
    <w:rsid w:val="58905493"/>
    <w:rsid w:val="58996587"/>
    <w:rsid w:val="589B5467"/>
    <w:rsid w:val="58A55DF2"/>
    <w:rsid w:val="58A6776F"/>
    <w:rsid w:val="58A901FD"/>
    <w:rsid w:val="58AB08CC"/>
    <w:rsid w:val="58AC00AB"/>
    <w:rsid w:val="58B81D0A"/>
    <w:rsid w:val="58BA7662"/>
    <w:rsid w:val="58BC2F51"/>
    <w:rsid w:val="58D025E2"/>
    <w:rsid w:val="58D53626"/>
    <w:rsid w:val="58E3386D"/>
    <w:rsid w:val="58E768A6"/>
    <w:rsid w:val="58F645BE"/>
    <w:rsid w:val="58FA4868"/>
    <w:rsid w:val="58FA4CF5"/>
    <w:rsid w:val="58FB717F"/>
    <w:rsid w:val="59043AB0"/>
    <w:rsid w:val="590726D8"/>
    <w:rsid w:val="59163E9B"/>
    <w:rsid w:val="591E759E"/>
    <w:rsid w:val="59214AB8"/>
    <w:rsid w:val="59226F7A"/>
    <w:rsid w:val="59236E75"/>
    <w:rsid w:val="592A69D3"/>
    <w:rsid w:val="592B3494"/>
    <w:rsid w:val="592D3BBA"/>
    <w:rsid w:val="59304790"/>
    <w:rsid w:val="59351F35"/>
    <w:rsid w:val="593B52E6"/>
    <w:rsid w:val="593D64F5"/>
    <w:rsid w:val="594125CF"/>
    <w:rsid w:val="59466179"/>
    <w:rsid w:val="594B1607"/>
    <w:rsid w:val="594E0799"/>
    <w:rsid w:val="595153A2"/>
    <w:rsid w:val="59571FE3"/>
    <w:rsid w:val="59586FE3"/>
    <w:rsid w:val="595A0B28"/>
    <w:rsid w:val="595A5842"/>
    <w:rsid w:val="595D4E9C"/>
    <w:rsid w:val="5964373A"/>
    <w:rsid w:val="597340E8"/>
    <w:rsid w:val="59752BEF"/>
    <w:rsid w:val="59793F38"/>
    <w:rsid w:val="597D5A57"/>
    <w:rsid w:val="598473F2"/>
    <w:rsid w:val="5994273A"/>
    <w:rsid w:val="59950BEE"/>
    <w:rsid w:val="5998267E"/>
    <w:rsid w:val="59991B7E"/>
    <w:rsid w:val="5999582C"/>
    <w:rsid w:val="599967D1"/>
    <w:rsid w:val="59A40C15"/>
    <w:rsid w:val="59A5779F"/>
    <w:rsid w:val="59A87773"/>
    <w:rsid w:val="59A95DB8"/>
    <w:rsid w:val="59AC69CD"/>
    <w:rsid w:val="59B13180"/>
    <w:rsid w:val="59B80902"/>
    <w:rsid w:val="59B85968"/>
    <w:rsid w:val="59C74E31"/>
    <w:rsid w:val="59C86060"/>
    <w:rsid w:val="59D01FE1"/>
    <w:rsid w:val="59D65B0B"/>
    <w:rsid w:val="59DD2225"/>
    <w:rsid w:val="59DF3EAD"/>
    <w:rsid w:val="59E5224B"/>
    <w:rsid w:val="59E75AFB"/>
    <w:rsid w:val="59EA6922"/>
    <w:rsid w:val="59EB0943"/>
    <w:rsid w:val="59EF2877"/>
    <w:rsid w:val="59F20964"/>
    <w:rsid w:val="59F52E20"/>
    <w:rsid w:val="59F818E3"/>
    <w:rsid w:val="59F85AE0"/>
    <w:rsid w:val="5A0E432C"/>
    <w:rsid w:val="5A12636E"/>
    <w:rsid w:val="5A1457BF"/>
    <w:rsid w:val="5A182593"/>
    <w:rsid w:val="5A22013A"/>
    <w:rsid w:val="5A2925AA"/>
    <w:rsid w:val="5A364753"/>
    <w:rsid w:val="5A3F4665"/>
    <w:rsid w:val="5A437B62"/>
    <w:rsid w:val="5A482510"/>
    <w:rsid w:val="5A4B06CC"/>
    <w:rsid w:val="5A54159E"/>
    <w:rsid w:val="5A60749D"/>
    <w:rsid w:val="5A637FB1"/>
    <w:rsid w:val="5A730066"/>
    <w:rsid w:val="5A79307D"/>
    <w:rsid w:val="5A871177"/>
    <w:rsid w:val="5A92196A"/>
    <w:rsid w:val="5A981768"/>
    <w:rsid w:val="5A9A5426"/>
    <w:rsid w:val="5A9B35FD"/>
    <w:rsid w:val="5AA22888"/>
    <w:rsid w:val="5AA33193"/>
    <w:rsid w:val="5AA40310"/>
    <w:rsid w:val="5AA60AB1"/>
    <w:rsid w:val="5AA93878"/>
    <w:rsid w:val="5AB4714B"/>
    <w:rsid w:val="5AB5491E"/>
    <w:rsid w:val="5AB84C8D"/>
    <w:rsid w:val="5AB84CF8"/>
    <w:rsid w:val="5ABE1FE2"/>
    <w:rsid w:val="5AC47AC6"/>
    <w:rsid w:val="5AD13CD8"/>
    <w:rsid w:val="5AE11F4F"/>
    <w:rsid w:val="5AEF451A"/>
    <w:rsid w:val="5AF06850"/>
    <w:rsid w:val="5AFA77DC"/>
    <w:rsid w:val="5AFD2779"/>
    <w:rsid w:val="5B0A1840"/>
    <w:rsid w:val="5B1B6E4F"/>
    <w:rsid w:val="5B1C2371"/>
    <w:rsid w:val="5B1C4F2C"/>
    <w:rsid w:val="5B211754"/>
    <w:rsid w:val="5B390F2D"/>
    <w:rsid w:val="5B3C5D3D"/>
    <w:rsid w:val="5B4049D1"/>
    <w:rsid w:val="5B413925"/>
    <w:rsid w:val="5B4B54A7"/>
    <w:rsid w:val="5B4C6E51"/>
    <w:rsid w:val="5B4D5F05"/>
    <w:rsid w:val="5B504C13"/>
    <w:rsid w:val="5B5449A4"/>
    <w:rsid w:val="5B5837CC"/>
    <w:rsid w:val="5B5B58F2"/>
    <w:rsid w:val="5B5E7D45"/>
    <w:rsid w:val="5B5F1318"/>
    <w:rsid w:val="5B626360"/>
    <w:rsid w:val="5B652A7B"/>
    <w:rsid w:val="5B653DEA"/>
    <w:rsid w:val="5B685446"/>
    <w:rsid w:val="5B775125"/>
    <w:rsid w:val="5B814313"/>
    <w:rsid w:val="5B877B3C"/>
    <w:rsid w:val="5B907D0A"/>
    <w:rsid w:val="5B9D61E4"/>
    <w:rsid w:val="5BA26431"/>
    <w:rsid w:val="5BA45136"/>
    <w:rsid w:val="5BA7075E"/>
    <w:rsid w:val="5BAD317A"/>
    <w:rsid w:val="5BAE5766"/>
    <w:rsid w:val="5BB02C7D"/>
    <w:rsid w:val="5BBC78FE"/>
    <w:rsid w:val="5BCF0B44"/>
    <w:rsid w:val="5BD0414C"/>
    <w:rsid w:val="5BD33379"/>
    <w:rsid w:val="5BDB0A65"/>
    <w:rsid w:val="5BDB6475"/>
    <w:rsid w:val="5BE32B22"/>
    <w:rsid w:val="5BE71E7D"/>
    <w:rsid w:val="5BF4421B"/>
    <w:rsid w:val="5BFF1983"/>
    <w:rsid w:val="5C0531E9"/>
    <w:rsid w:val="5C09057E"/>
    <w:rsid w:val="5C151250"/>
    <w:rsid w:val="5C195B69"/>
    <w:rsid w:val="5C1C7BC9"/>
    <w:rsid w:val="5C2B7C8C"/>
    <w:rsid w:val="5C343A58"/>
    <w:rsid w:val="5C362D3B"/>
    <w:rsid w:val="5C381B56"/>
    <w:rsid w:val="5C383A45"/>
    <w:rsid w:val="5C3A5762"/>
    <w:rsid w:val="5C422B9A"/>
    <w:rsid w:val="5C4832D4"/>
    <w:rsid w:val="5C485073"/>
    <w:rsid w:val="5C4B21C7"/>
    <w:rsid w:val="5C4D177D"/>
    <w:rsid w:val="5C5D1C5C"/>
    <w:rsid w:val="5C5D6F29"/>
    <w:rsid w:val="5C5E47EB"/>
    <w:rsid w:val="5C624D3E"/>
    <w:rsid w:val="5C635172"/>
    <w:rsid w:val="5C64333F"/>
    <w:rsid w:val="5C6601FF"/>
    <w:rsid w:val="5C6637D6"/>
    <w:rsid w:val="5C675D99"/>
    <w:rsid w:val="5C68379A"/>
    <w:rsid w:val="5C6C4A69"/>
    <w:rsid w:val="5C6E42C6"/>
    <w:rsid w:val="5C770188"/>
    <w:rsid w:val="5C816A46"/>
    <w:rsid w:val="5C824B29"/>
    <w:rsid w:val="5C87394F"/>
    <w:rsid w:val="5C8812C7"/>
    <w:rsid w:val="5C9A49BA"/>
    <w:rsid w:val="5C9D2BC2"/>
    <w:rsid w:val="5CAC1351"/>
    <w:rsid w:val="5CAE1CBE"/>
    <w:rsid w:val="5CAE6E81"/>
    <w:rsid w:val="5CB419F0"/>
    <w:rsid w:val="5CB46804"/>
    <w:rsid w:val="5CB477B2"/>
    <w:rsid w:val="5CB776DF"/>
    <w:rsid w:val="5CB8180D"/>
    <w:rsid w:val="5CBB57C8"/>
    <w:rsid w:val="5CC43312"/>
    <w:rsid w:val="5CCB66C7"/>
    <w:rsid w:val="5CCD0245"/>
    <w:rsid w:val="5CCD6310"/>
    <w:rsid w:val="5CD62CA4"/>
    <w:rsid w:val="5CE22928"/>
    <w:rsid w:val="5CE24CB2"/>
    <w:rsid w:val="5CEC76CD"/>
    <w:rsid w:val="5CED37DC"/>
    <w:rsid w:val="5D0430FB"/>
    <w:rsid w:val="5D052322"/>
    <w:rsid w:val="5D0F2E5C"/>
    <w:rsid w:val="5D107345"/>
    <w:rsid w:val="5D144C70"/>
    <w:rsid w:val="5D183BE2"/>
    <w:rsid w:val="5D194995"/>
    <w:rsid w:val="5D1A6D2B"/>
    <w:rsid w:val="5D1B7E7E"/>
    <w:rsid w:val="5D274DDD"/>
    <w:rsid w:val="5D2D1539"/>
    <w:rsid w:val="5D316F1A"/>
    <w:rsid w:val="5D3973FA"/>
    <w:rsid w:val="5D404BF7"/>
    <w:rsid w:val="5D466147"/>
    <w:rsid w:val="5D4938E3"/>
    <w:rsid w:val="5D4D0F1C"/>
    <w:rsid w:val="5D4D2C3D"/>
    <w:rsid w:val="5D600B0D"/>
    <w:rsid w:val="5D606AA9"/>
    <w:rsid w:val="5D635E9A"/>
    <w:rsid w:val="5D647BA5"/>
    <w:rsid w:val="5D6550DA"/>
    <w:rsid w:val="5D686E8E"/>
    <w:rsid w:val="5D6E11A2"/>
    <w:rsid w:val="5D6F2167"/>
    <w:rsid w:val="5D773D9D"/>
    <w:rsid w:val="5D7A6760"/>
    <w:rsid w:val="5D81412D"/>
    <w:rsid w:val="5D824110"/>
    <w:rsid w:val="5D8C6C4B"/>
    <w:rsid w:val="5DA4636D"/>
    <w:rsid w:val="5DAA057E"/>
    <w:rsid w:val="5DAF566E"/>
    <w:rsid w:val="5DB54164"/>
    <w:rsid w:val="5DCF1352"/>
    <w:rsid w:val="5DD50C23"/>
    <w:rsid w:val="5DD5485D"/>
    <w:rsid w:val="5DDD55C7"/>
    <w:rsid w:val="5DE0373A"/>
    <w:rsid w:val="5DE71F00"/>
    <w:rsid w:val="5DF03995"/>
    <w:rsid w:val="5DF60C2D"/>
    <w:rsid w:val="5DF77986"/>
    <w:rsid w:val="5DF86742"/>
    <w:rsid w:val="5DFF58C5"/>
    <w:rsid w:val="5E094317"/>
    <w:rsid w:val="5E101415"/>
    <w:rsid w:val="5E2422BE"/>
    <w:rsid w:val="5E267319"/>
    <w:rsid w:val="5E2F3A40"/>
    <w:rsid w:val="5E390321"/>
    <w:rsid w:val="5E3C06BC"/>
    <w:rsid w:val="5E3F11E2"/>
    <w:rsid w:val="5E466388"/>
    <w:rsid w:val="5E4B038C"/>
    <w:rsid w:val="5E4B1D3D"/>
    <w:rsid w:val="5E4C0438"/>
    <w:rsid w:val="5E4F470F"/>
    <w:rsid w:val="5E5C6217"/>
    <w:rsid w:val="5E5E507E"/>
    <w:rsid w:val="5E646C2A"/>
    <w:rsid w:val="5E680254"/>
    <w:rsid w:val="5E706AB0"/>
    <w:rsid w:val="5E7772DF"/>
    <w:rsid w:val="5E781DDA"/>
    <w:rsid w:val="5E7D2684"/>
    <w:rsid w:val="5E800B30"/>
    <w:rsid w:val="5E811B1B"/>
    <w:rsid w:val="5E8C24E3"/>
    <w:rsid w:val="5E993CE3"/>
    <w:rsid w:val="5EA1300A"/>
    <w:rsid w:val="5EA70638"/>
    <w:rsid w:val="5EAC0DB2"/>
    <w:rsid w:val="5EB520BF"/>
    <w:rsid w:val="5EB74076"/>
    <w:rsid w:val="5EB875AF"/>
    <w:rsid w:val="5EBD11AF"/>
    <w:rsid w:val="5EC34F8E"/>
    <w:rsid w:val="5EC949CE"/>
    <w:rsid w:val="5ED038A7"/>
    <w:rsid w:val="5ED27ECA"/>
    <w:rsid w:val="5EDB3A3B"/>
    <w:rsid w:val="5EE9618E"/>
    <w:rsid w:val="5EF1496C"/>
    <w:rsid w:val="5EF1E2CA"/>
    <w:rsid w:val="5EF87B73"/>
    <w:rsid w:val="5EFB4A2F"/>
    <w:rsid w:val="5EFE60C1"/>
    <w:rsid w:val="5F086176"/>
    <w:rsid w:val="5F103644"/>
    <w:rsid w:val="5F112306"/>
    <w:rsid w:val="5F113A2F"/>
    <w:rsid w:val="5F132C7E"/>
    <w:rsid w:val="5F154AE0"/>
    <w:rsid w:val="5F160AB0"/>
    <w:rsid w:val="5F253F8F"/>
    <w:rsid w:val="5F270656"/>
    <w:rsid w:val="5F395B98"/>
    <w:rsid w:val="5F3A3545"/>
    <w:rsid w:val="5F3C05A8"/>
    <w:rsid w:val="5F3D5401"/>
    <w:rsid w:val="5F3F28CB"/>
    <w:rsid w:val="5F431663"/>
    <w:rsid w:val="5F47261C"/>
    <w:rsid w:val="5F4822EE"/>
    <w:rsid w:val="5F570270"/>
    <w:rsid w:val="5F5755A3"/>
    <w:rsid w:val="5F6028BE"/>
    <w:rsid w:val="5F6677BA"/>
    <w:rsid w:val="5F7439C8"/>
    <w:rsid w:val="5F7F7F6C"/>
    <w:rsid w:val="5F847D96"/>
    <w:rsid w:val="5F873346"/>
    <w:rsid w:val="5F904527"/>
    <w:rsid w:val="5F934D29"/>
    <w:rsid w:val="5F9E72D8"/>
    <w:rsid w:val="5FA06A01"/>
    <w:rsid w:val="5FB64697"/>
    <w:rsid w:val="5FB83166"/>
    <w:rsid w:val="5FB92BAE"/>
    <w:rsid w:val="5FC439F5"/>
    <w:rsid w:val="5FCE123D"/>
    <w:rsid w:val="5FD73333"/>
    <w:rsid w:val="5FD74616"/>
    <w:rsid w:val="5FE201B9"/>
    <w:rsid w:val="5FEA6956"/>
    <w:rsid w:val="5FEC4CE3"/>
    <w:rsid w:val="5FF62F01"/>
    <w:rsid w:val="5FF9321B"/>
    <w:rsid w:val="601854BF"/>
    <w:rsid w:val="60262AE1"/>
    <w:rsid w:val="60313B3C"/>
    <w:rsid w:val="60380209"/>
    <w:rsid w:val="603A214E"/>
    <w:rsid w:val="603A7D0E"/>
    <w:rsid w:val="60472620"/>
    <w:rsid w:val="604B2BBB"/>
    <w:rsid w:val="60526761"/>
    <w:rsid w:val="605360B1"/>
    <w:rsid w:val="60583761"/>
    <w:rsid w:val="6061152B"/>
    <w:rsid w:val="60684D59"/>
    <w:rsid w:val="607639CB"/>
    <w:rsid w:val="607F27CE"/>
    <w:rsid w:val="60807590"/>
    <w:rsid w:val="60834694"/>
    <w:rsid w:val="60836D01"/>
    <w:rsid w:val="608775C3"/>
    <w:rsid w:val="608C627B"/>
    <w:rsid w:val="608E0339"/>
    <w:rsid w:val="60957A38"/>
    <w:rsid w:val="60993151"/>
    <w:rsid w:val="609F4F79"/>
    <w:rsid w:val="60A113D5"/>
    <w:rsid w:val="60A62409"/>
    <w:rsid w:val="60B20495"/>
    <w:rsid w:val="60B279D1"/>
    <w:rsid w:val="60B66840"/>
    <w:rsid w:val="60CF1EE0"/>
    <w:rsid w:val="60D03009"/>
    <w:rsid w:val="60D53F97"/>
    <w:rsid w:val="60D653EB"/>
    <w:rsid w:val="60DF14F3"/>
    <w:rsid w:val="60DF434C"/>
    <w:rsid w:val="60E3472E"/>
    <w:rsid w:val="60EB158E"/>
    <w:rsid w:val="60ED6693"/>
    <w:rsid w:val="60F079FA"/>
    <w:rsid w:val="60F6067F"/>
    <w:rsid w:val="60F80D1F"/>
    <w:rsid w:val="60FB7297"/>
    <w:rsid w:val="60FC474A"/>
    <w:rsid w:val="61015055"/>
    <w:rsid w:val="610541F1"/>
    <w:rsid w:val="610A7DC5"/>
    <w:rsid w:val="610D0299"/>
    <w:rsid w:val="61103353"/>
    <w:rsid w:val="61174BF2"/>
    <w:rsid w:val="61194589"/>
    <w:rsid w:val="611B2CA8"/>
    <w:rsid w:val="6120112E"/>
    <w:rsid w:val="61224065"/>
    <w:rsid w:val="61291627"/>
    <w:rsid w:val="61291D1B"/>
    <w:rsid w:val="612B1745"/>
    <w:rsid w:val="613634F8"/>
    <w:rsid w:val="61366EA1"/>
    <w:rsid w:val="613A7422"/>
    <w:rsid w:val="614359F3"/>
    <w:rsid w:val="614A4146"/>
    <w:rsid w:val="614B3DDA"/>
    <w:rsid w:val="614C17BF"/>
    <w:rsid w:val="614F5735"/>
    <w:rsid w:val="616232BF"/>
    <w:rsid w:val="61642666"/>
    <w:rsid w:val="616D785E"/>
    <w:rsid w:val="6171169E"/>
    <w:rsid w:val="617331FA"/>
    <w:rsid w:val="61793FEA"/>
    <w:rsid w:val="617A3C4B"/>
    <w:rsid w:val="618366C7"/>
    <w:rsid w:val="61840359"/>
    <w:rsid w:val="618436D4"/>
    <w:rsid w:val="618875C1"/>
    <w:rsid w:val="61892F99"/>
    <w:rsid w:val="618E722A"/>
    <w:rsid w:val="618F4DC9"/>
    <w:rsid w:val="619B4EA5"/>
    <w:rsid w:val="61A06517"/>
    <w:rsid w:val="61A13084"/>
    <w:rsid w:val="61AA7877"/>
    <w:rsid w:val="61AD119C"/>
    <w:rsid w:val="61AD77E7"/>
    <w:rsid w:val="61AF177D"/>
    <w:rsid w:val="61B03575"/>
    <w:rsid w:val="61B11C2F"/>
    <w:rsid w:val="61B15779"/>
    <w:rsid w:val="61B65485"/>
    <w:rsid w:val="61B86B83"/>
    <w:rsid w:val="61B95D2E"/>
    <w:rsid w:val="61BB6DE9"/>
    <w:rsid w:val="61C026A3"/>
    <w:rsid w:val="61C423E2"/>
    <w:rsid w:val="61C63E6C"/>
    <w:rsid w:val="61D34813"/>
    <w:rsid w:val="61DE4FCD"/>
    <w:rsid w:val="61E73139"/>
    <w:rsid w:val="61E90A4C"/>
    <w:rsid w:val="61E93797"/>
    <w:rsid w:val="61F539A5"/>
    <w:rsid w:val="61F5762E"/>
    <w:rsid w:val="61FD2F89"/>
    <w:rsid w:val="61FE4E29"/>
    <w:rsid w:val="61FE5783"/>
    <w:rsid w:val="620D05CF"/>
    <w:rsid w:val="620D78A2"/>
    <w:rsid w:val="620F68DF"/>
    <w:rsid w:val="62165654"/>
    <w:rsid w:val="621B17F2"/>
    <w:rsid w:val="62212AEE"/>
    <w:rsid w:val="62220D64"/>
    <w:rsid w:val="62276D39"/>
    <w:rsid w:val="622E7560"/>
    <w:rsid w:val="6235567F"/>
    <w:rsid w:val="6244782D"/>
    <w:rsid w:val="624519B6"/>
    <w:rsid w:val="62452E71"/>
    <w:rsid w:val="62484A61"/>
    <w:rsid w:val="624D35E5"/>
    <w:rsid w:val="624F55AE"/>
    <w:rsid w:val="62584DC2"/>
    <w:rsid w:val="62597826"/>
    <w:rsid w:val="626F496B"/>
    <w:rsid w:val="62716F31"/>
    <w:rsid w:val="627C6BCB"/>
    <w:rsid w:val="62825379"/>
    <w:rsid w:val="628B27B0"/>
    <w:rsid w:val="62917220"/>
    <w:rsid w:val="62952E4D"/>
    <w:rsid w:val="62964C4E"/>
    <w:rsid w:val="629A7140"/>
    <w:rsid w:val="629C1DD3"/>
    <w:rsid w:val="629E2E80"/>
    <w:rsid w:val="62A301F2"/>
    <w:rsid w:val="62A52A9C"/>
    <w:rsid w:val="62AE1FCC"/>
    <w:rsid w:val="62AF563B"/>
    <w:rsid w:val="62B33E47"/>
    <w:rsid w:val="62B73388"/>
    <w:rsid w:val="62B97362"/>
    <w:rsid w:val="62C11098"/>
    <w:rsid w:val="62C15ECD"/>
    <w:rsid w:val="62C9185E"/>
    <w:rsid w:val="62CF53DF"/>
    <w:rsid w:val="62D434DC"/>
    <w:rsid w:val="62DF42D0"/>
    <w:rsid w:val="62E36FE8"/>
    <w:rsid w:val="62EB7606"/>
    <w:rsid w:val="62EC7367"/>
    <w:rsid w:val="62ED2BB5"/>
    <w:rsid w:val="62ED33FE"/>
    <w:rsid w:val="62F06C91"/>
    <w:rsid w:val="62FD4CA5"/>
    <w:rsid w:val="63064D8F"/>
    <w:rsid w:val="6307735C"/>
    <w:rsid w:val="63114AE3"/>
    <w:rsid w:val="63220D8F"/>
    <w:rsid w:val="63355976"/>
    <w:rsid w:val="633D6ED4"/>
    <w:rsid w:val="63460A71"/>
    <w:rsid w:val="6356064C"/>
    <w:rsid w:val="635B0469"/>
    <w:rsid w:val="63654381"/>
    <w:rsid w:val="63751860"/>
    <w:rsid w:val="637644E0"/>
    <w:rsid w:val="63783CE6"/>
    <w:rsid w:val="637D5515"/>
    <w:rsid w:val="637E3A83"/>
    <w:rsid w:val="637E5A94"/>
    <w:rsid w:val="637F0FF3"/>
    <w:rsid w:val="63893025"/>
    <w:rsid w:val="638E2691"/>
    <w:rsid w:val="639368F9"/>
    <w:rsid w:val="63950EC9"/>
    <w:rsid w:val="639A0906"/>
    <w:rsid w:val="639C4696"/>
    <w:rsid w:val="639E7B4C"/>
    <w:rsid w:val="63A17BC1"/>
    <w:rsid w:val="63A726C1"/>
    <w:rsid w:val="63B0157E"/>
    <w:rsid w:val="63B379DA"/>
    <w:rsid w:val="63BA6FE8"/>
    <w:rsid w:val="63BF2A6F"/>
    <w:rsid w:val="63C00A98"/>
    <w:rsid w:val="63CD06A6"/>
    <w:rsid w:val="63DB6AE2"/>
    <w:rsid w:val="63DE1678"/>
    <w:rsid w:val="63DF72F7"/>
    <w:rsid w:val="63E44E9B"/>
    <w:rsid w:val="63E622ED"/>
    <w:rsid w:val="63EF077C"/>
    <w:rsid w:val="63F61F45"/>
    <w:rsid w:val="63F66CF2"/>
    <w:rsid w:val="63F706C7"/>
    <w:rsid w:val="63F950C2"/>
    <w:rsid w:val="63FD4369"/>
    <w:rsid w:val="64017758"/>
    <w:rsid w:val="640E2F5D"/>
    <w:rsid w:val="640F3214"/>
    <w:rsid w:val="64127C63"/>
    <w:rsid w:val="64174988"/>
    <w:rsid w:val="64192E1E"/>
    <w:rsid w:val="64240FAD"/>
    <w:rsid w:val="64275ED0"/>
    <w:rsid w:val="644276AE"/>
    <w:rsid w:val="644B71CC"/>
    <w:rsid w:val="644C0503"/>
    <w:rsid w:val="6458353B"/>
    <w:rsid w:val="645E771A"/>
    <w:rsid w:val="64605279"/>
    <w:rsid w:val="646337DC"/>
    <w:rsid w:val="646572C4"/>
    <w:rsid w:val="647148EC"/>
    <w:rsid w:val="647A32CC"/>
    <w:rsid w:val="647B112B"/>
    <w:rsid w:val="648D30C7"/>
    <w:rsid w:val="648F5992"/>
    <w:rsid w:val="64921612"/>
    <w:rsid w:val="64962F07"/>
    <w:rsid w:val="64972A92"/>
    <w:rsid w:val="64A32719"/>
    <w:rsid w:val="64A45AD5"/>
    <w:rsid w:val="64A8477E"/>
    <w:rsid w:val="64A93C5B"/>
    <w:rsid w:val="64AC6BE3"/>
    <w:rsid w:val="64B359C8"/>
    <w:rsid w:val="64BB5CD7"/>
    <w:rsid w:val="64BE6875"/>
    <w:rsid w:val="64C60845"/>
    <w:rsid w:val="64CF782B"/>
    <w:rsid w:val="64E07AB4"/>
    <w:rsid w:val="64E178BD"/>
    <w:rsid w:val="64E8309D"/>
    <w:rsid w:val="64FF1AFC"/>
    <w:rsid w:val="64FF7935"/>
    <w:rsid w:val="65020964"/>
    <w:rsid w:val="65065134"/>
    <w:rsid w:val="650B3064"/>
    <w:rsid w:val="650D0D8B"/>
    <w:rsid w:val="65117E2E"/>
    <w:rsid w:val="65167D27"/>
    <w:rsid w:val="652513A9"/>
    <w:rsid w:val="65275DA3"/>
    <w:rsid w:val="652F3FDE"/>
    <w:rsid w:val="65305214"/>
    <w:rsid w:val="653A3B41"/>
    <w:rsid w:val="653D2922"/>
    <w:rsid w:val="6543021F"/>
    <w:rsid w:val="65490755"/>
    <w:rsid w:val="654F3D68"/>
    <w:rsid w:val="654F4770"/>
    <w:rsid w:val="654F7AF9"/>
    <w:rsid w:val="65560C72"/>
    <w:rsid w:val="655B364E"/>
    <w:rsid w:val="65605D66"/>
    <w:rsid w:val="65614666"/>
    <w:rsid w:val="65682A86"/>
    <w:rsid w:val="656A652D"/>
    <w:rsid w:val="657F0456"/>
    <w:rsid w:val="6583605B"/>
    <w:rsid w:val="6585618C"/>
    <w:rsid w:val="658912E9"/>
    <w:rsid w:val="658C2E2E"/>
    <w:rsid w:val="65940E5B"/>
    <w:rsid w:val="65951E5F"/>
    <w:rsid w:val="6598537B"/>
    <w:rsid w:val="65AC7C7B"/>
    <w:rsid w:val="65AE2786"/>
    <w:rsid w:val="65BB6885"/>
    <w:rsid w:val="65BB6F90"/>
    <w:rsid w:val="65BC1331"/>
    <w:rsid w:val="65BC2E51"/>
    <w:rsid w:val="65CB78C9"/>
    <w:rsid w:val="65CC4A89"/>
    <w:rsid w:val="65D0278D"/>
    <w:rsid w:val="65D81E36"/>
    <w:rsid w:val="65DD775A"/>
    <w:rsid w:val="65E74EA0"/>
    <w:rsid w:val="65E7702B"/>
    <w:rsid w:val="65EE71AF"/>
    <w:rsid w:val="65F033ED"/>
    <w:rsid w:val="65F22528"/>
    <w:rsid w:val="65F371FD"/>
    <w:rsid w:val="65F60D98"/>
    <w:rsid w:val="65FC12F4"/>
    <w:rsid w:val="66003533"/>
    <w:rsid w:val="66064ACA"/>
    <w:rsid w:val="66066B0A"/>
    <w:rsid w:val="6607502B"/>
    <w:rsid w:val="660D2DD5"/>
    <w:rsid w:val="6618123B"/>
    <w:rsid w:val="6618793D"/>
    <w:rsid w:val="662039E4"/>
    <w:rsid w:val="66246CFC"/>
    <w:rsid w:val="662937B7"/>
    <w:rsid w:val="662C16CA"/>
    <w:rsid w:val="662D2FE1"/>
    <w:rsid w:val="66403855"/>
    <w:rsid w:val="66432344"/>
    <w:rsid w:val="66462CD7"/>
    <w:rsid w:val="66554B0D"/>
    <w:rsid w:val="66570A32"/>
    <w:rsid w:val="66581AB1"/>
    <w:rsid w:val="665B6D0B"/>
    <w:rsid w:val="666379C6"/>
    <w:rsid w:val="666806A8"/>
    <w:rsid w:val="66811FE0"/>
    <w:rsid w:val="66937F37"/>
    <w:rsid w:val="66976A91"/>
    <w:rsid w:val="669A38C5"/>
    <w:rsid w:val="669F6F97"/>
    <w:rsid w:val="66A05D32"/>
    <w:rsid w:val="66A30FC8"/>
    <w:rsid w:val="66A344C7"/>
    <w:rsid w:val="66A636B8"/>
    <w:rsid w:val="66A66A97"/>
    <w:rsid w:val="66AF77F1"/>
    <w:rsid w:val="66B639C0"/>
    <w:rsid w:val="66C616F6"/>
    <w:rsid w:val="66D71D08"/>
    <w:rsid w:val="66D86AEC"/>
    <w:rsid w:val="66DE2CA9"/>
    <w:rsid w:val="66E64652"/>
    <w:rsid w:val="66F1466A"/>
    <w:rsid w:val="66F16386"/>
    <w:rsid w:val="66F30FFF"/>
    <w:rsid w:val="66F33B73"/>
    <w:rsid w:val="66F5101E"/>
    <w:rsid w:val="66FB408B"/>
    <w:rsid w:val="670A1B94"/>
    <w:rsid w:val="670C5A46"/>
    <w:rsid w:val="67224850"/>
    <w:rsid w:val="67226B22"/>
    <w:rsid w:val="67280C2B"/>
    <w:rsid w:val="6746467E"/>
    <w:rsid w:val="674942A1"/>
    <w:rsid w:val="675704C9"/>
    <w:rsid w:val="675C0EE3"/>
    <w:rsid w:val="675F07B3"/>
    <w:rsid w:val="675F5982"/>
    <w:rsid w:val="67600FE1"/>
    <w:rsid w:val="676157A1"/>
    <w:rsid w:val="67650778"/>
    <w:rsid w:val="67781C81"/>
    <w:rsid w:val="67784262"/>
    <w:rsid w:val="677A51E7"/>
    <w:rsid w:val="677E4FA4"/>
    <w:rsid w:val="67837154"/>
    <w:rsid w:val="67880402"/>
    <w:rsid w:val="678F5A83"/>
    <w:rsid w:val="67902B1F"/>
    <w:rsid w:val="679B1194"/>
    <w:rsid w:val="679D08C2"/>
    <w:rsid w:val="679D0EA5"/>
    <w:rsid w:val="67A00C1E"/>
    <w:rsid w:val="67B710D4"/>
    <w:rsid w:val="67C47C17"/>
    <w:rsid w:val="67C86E8A"/>
    <w:rsid w:val="67C90054"/>
    <w:rsid w:val="67CD339E"/>
    <w:rsid w:val="67D92E51"/>
    <w:rsid w:val="67DB3F0A"/>
    <w:rsid w:val="67DD0E9C"/>
    <w:rsid w:val="67DE47AA"/>
    <w:rsid w:val="67E016F3"/>
    <w:rsid w:val="67E437ED"/>
    <w:rsid w:val="67EA7EE2"/>
    <w:rsid w:val="67EB6B2C"/>
    <w:rsid w:val="68006E59"/>
    <w:rsid w:val="6803497A"/>
    <w:rsid w:val="680A262C"/>
    <w:rsid w:val="680B3D3C"/>
    <w:rsid w:val="680B589E"/>
    <w:rsid w:val="680D3438"/>
    <w:rsid w:val="680F5B88"/>
    <w:rsid w:val="68116078"/>
    <w:rsid w:val="68116615"/>
    <w:rsid w:val="68167499"/>
    <w:rsid w:val="682D2B98"/>
    <w:rsid w:val="68461AD6"/>
    <w:rsid w:val="684F4A98"/>
    <w:rsid w:val="68520C6E"/>
    <w:rsid w:val="685551FE"/>
    <w:rsid w:val="68560470"/>
    <w:rsid w:val="68563052"/>
    <w:rsid w:val="68575EFE"/>
    <w:rsid w:val="686B36CF"/>
    <w:rsid w:val="686E3691"/>
    <w:rsid w:val="686E4A96"/>
    <w:rsid w:val="686F578A"/>
    <w:rsid w:val="68707B84"/>
    <w:rsid w:val="68732989"/>
    <w:rsid w:val="68734C81"/>
    <w:rsid w:val="687635CF"/>
    <w:rsid w:val="6883043F"/>
    <w:rsid w:val="68840CDF"/>
    <w:rsid w:val="68867B44"/>
    <w:rsid w:val="68881AF3"/>
    <w:rsid w:val="689107CE"/>
    <w:rsid w:val="68910AFC"/>
    <w:rsid w:val="68984D72"/>
    <w:rsid w:val="689B2525"/>
    <w:rsid w:val="689E79C3"/>
    <w:rsid w:val="68A60179"/>
    <w:rsid w:val="68B03ED7"/>
    <w:rsid w:val="68C22F9E"/>
    <w:rsid w:val="68C80C07"/>
    <w:rsid w:val="68C969FD"/>
    <w:rsid w:val="68CA7EB4"/>
    <w:rsid w:val="68CE35F1"/>
    <w:rsid w:val="68D44B62"/>
    <w:rsid w:val="68DC1753"/>
    <w:rsid w:val="68DD5E94"/>
    <w:rsid w:val="68DF29E8"/>
    <w:rsid w:val="68E765FD"/>
    <w:rsid w:val="68EB7A9C"/>
    <w:rsid w:val="68F1307D"/>
    <w:rsid w:val="68FE478A"/>
    <w:rsid w:val="68FE5A53"/>
    <w:rsid w:val="69024BF4"/>
    <w:rsid w:val="69062CE5"/>
    <w:rsid w:val="690C046B"/>
    <w:rsid w:val="691A691A"/>
    <w:rsid w:val="691B4820"/>
    <w:rsid w:val="691C0FFA"/>
    <w:rsid w:val="691D59D5"/>
    <w:rsid w:val="69243D0E"/>
    <w:rsid w:val="69273D26"/>
    <w:rsid w:val="69305FC0"/>
    <w:rsid w:val="69403DAC"/>
    <w:rsid w:val="694A569D"/>
    <w:rsid w:val="694B72F1"/>
    <w:rsid w:val="695E74F1"/>
    <w:rsid w:val="695F2847"/>
    <w:rsid w:val="69695CC5"/>
    <w:rsid w:val="6969714C"/>
    <w:rsid w:val="697300A9"/>
    <w:rsid w:val="69821C51"/>
    <w:rsid w:val="698576BA"/>
    <w:rsid w:val="69A208B3"/>
    <w:rsid w:val="69A72905"/>
    <w:rsid w:val="69A77C01"/>
    <w:rsid w:val="69AB4C58"/>
    <w:rsid w:val="69B1172D"/>
    <w:rsid w:val="69B34BF3"/>
    <w:rsid w:val="69B36264"/>
    <w:rsid w:val="69B46639"/>
    <w:rsid w:val="69BB0AC1"/>
    <w:rsid w:val="69BC3914"/>
    <w:rsid w:val="69BE1614"/>
    <w:rsid w:val="69C10F26"/>
    <w:rsid w:val="69C16512"/>
    <w:rsid w:val="69C32FAC"/>
    <w:rsid w:val="69C953AB"/>
    <w:rsid w:val="69CE0D81"/>
    <w:rsid w:val="69D15A39"/>
    <w:rsid w:val="69D36676"/>
    <w:rsid w:val="69ED4AF2"/>
    <w:rsid w:val="69EF69B6"/>
    <w:rsid w:val="69F21B1D"/>
    <w:rsid w:val="69F62B67"/>
    <w:rsid w:val="69FA18C6"/>
    <w:rsid w:val="69FF372D"/>
    <w:rsid w:val="6A077463"/>
    <w:rsid w:val="6A123270"/>
    <w:rsid w:val="6A177820"/>
    <w:rsid w:val="6A1D2A49"/>
    <w:rsid w:val="6A1D5CF1"/>
    <w:rsid w:val="6A465F04"/>
    <w:rsid w:val="6A4B3F72"/>
    <w:rsid w:val="6A573CFC"/>
    <w:rsid w:val="6A5B388D"/>
    <w:rsid w:val="6A5F33B7"/>
    <w:rsid w:val="6A692867"/>
    <w:rsid w:val="6A6A2F73"/>
    <w:rsid w:val="6A6B394B"/>
    <w:rsid w:val="6A6C65E9"/>
    <w:rsid w:val="6A6E3C59"/>
    <w:rsid w:val="6A714A83"/>
    <w:rsid w:val="6A782937"/>
    <w:rsid w:val="6A8021E0"/>
    <w:rsid w:val="6A812A85"/>
    <w:rsid w:val="6A814500"/>
    <w:rsid w:val="6A832157"/>
    <w:rsid w:val="6A892FEE"/>
    <w:rsid w:val="6A8E70A1"/>
    <w:rsid w:val="6A94668F"/>
    <w:rsid w:val="6A9A68D9"/>
    <w:rsid w:val="6A9B00AC"/>
    <w:rsid w:val="6A9E7DD5"/>
    <w:rsid w:val="6AA3734E"/>
    <w:rsid w:val="6AAD217E"/>
    <w:rsid w:val="6AB14CBB"/>
    <w:rsid w:val="6ABE0634"/>
    <w:rsid w:val="6AC62B14"/>
    <w:rsid w:val="6ACF29B4"/>
    <w:rsid w:val="6ACF56CE"/>
    <w:rsid w:val="6AD16DFB"/>
    <w:rsid w:val="6AD659A2"/>
    <w:rsid w:val="6AD920AB"/>
    <w:rsid w:val="6ADC2ECA"/>
    <w:rsid w:val="6ADE0CCD"/>
    <w:rsid w:val="6AE36F20"/>
    <w:rsid w:val="6AF74438"/>
    <w:rsid w:val="6AF86576"/>
    <w:rsid w:val="6AF92133"/>
    <w:rsid w:val="6B0F0BA0"/>
    <w:rsid w:val="6B0F40B5"/>
    <w:rsid w:val="6B116C80"/>
    <w:rsid w:val="6B1B0D03"/>
    <w:rsid w:val="6B2950B9"/>
    <w:rsid w:val="6B2B4EFA"/>
    <w:rsid w:val="6B3B7EA9"/>
    <w:rsid w:val="6B485C06"/>
    <w:rsid w:val="6B4C2A16"/>
    <w:rsid w:val="6B4E3DA0"/>
    <w:rsid w:val="6B593FBD"/>
    <w:rsid w:val="6B5E2B7E"/>
    <w:rsid w:val="6B6230E8"/>
    <w:rsid w:val="6B631266"/>
    <w:rsid w:val="6B634D30"/>
    <w:rsid w:val="6B6D7AF3"/>
    <w:rsid w:val="6B7C1567"/>
    <w:rsid w:val="6B7C73D7"/>
    <w:rsid w:val="6B810C1D"/>
    <w:rsid w:val="6B83470D"/>
    <w:rsid w:val="6B840F15"/>
    <w:rsid w:val="6B875C24"/>
    <w:rsid w:val="6B897AD7"/>
    <w:rsid w:val="6B990F69"/>
    <w:rsid w:val="6B9A57D3"/>
    <w:rsid w:val="6B9F6823"/>
    <w:rsid w:val="6BAC3CED"/>
    <w:rsid w:val="6BB76ADD"/>
    <w:rsid w:val="6BB92841"/>
    <w:rsid w:val="6BBD571E"/>
    <w:rsid w:val="6BC04643"/>
    <w:rsid w:val="6BC06C1F"/>
    <w:rsid w:val="6BCA38C9"/>
    <w:rsid w:val="6BD207C5"/>
    <w:rsid w:val="6BD62D25"/>
    <w:rsid w:val="6BDB01D4"/>
    <w:rsid w:val="6BE257CB"/>
    <w:rsid w:val="6BEF3562"/>
    <w:rsid w:val="6C0018E0"/>
    <w:rsid w:val="6C0566B4"/>
    <w:rsid w:val="6C0871AD"/>
    <w:rsid w:val="6C0A67ED"/>
    <w:rsid w:val="6C0C4EA8"/>
    <w:rsid w:val="6C0C7705"/>
    <w:rsid w:val="6C161A70"/>
    <w:rsid w:val="6C183C20"/>
    <w:rsid w:val="6C192EBE"/>
    <w:rsid w:val="6C1A3154"/>
    <w:rsid w:val="6C2B6F0F"/>
    <w:rsid w:val="6C3071EA"/>
    <w:rsid w:val="6C376DB5"/>
    <w:rsid w:val="6C530D20"/>
    <w:rsid w:val="6C5B538E"/>
    <w:rsid w:val="6C810D2B"/>
    <w:rsid w:val="6C8A7178"/>
    <w:rsid w:val="6C8E3D48"/>
    <w:rsid w:val="6C902E23"/>
    <w:rsid w:val="6C9055EF"/>
    <w:rsid w:val="6CA227CC"/>
    <w:rsid w:val="6CAD08D8"/>
    <w:rsid w:val="6CB0075E"/>
    <w:rsid w:val="6CB12A2A"/>
    <w:rsid w:val="6CB52CF3"/>
    <w:rsid w:val="6CB70F6C"/>
    <w:rsid w:val="6CC05F0D"/>
    <w:rsid w:val="6CC11FA1"/>
    <w:rsid w:val="6CCD06A5"/>
    <w:rsid w:val="6CD20554"/>
    <w:rsid w:val="6CD302A7"/>
    <w:rsid w:val="6CD4334D"/>
    <w:rsid w:val="6CDF502A"/>
    <w:rsid w:val="6CEA228A"/>
    <w:rsid w:val="6CEE4DCE"/>
    <w:rsid w:val="6CF56D03"/>
    <w:rsid w:val="6CFD0541"/>
    <w:rsid w:val="6D024C06"/>
    <w:rsid w:val="6D174299"/>
    <w:rsid w:val="6D263B44"/>
    <w:rsid w:val="6D2927DA"/>
    <w:rsid w:val="6D2C7965"/>
    <w:rsid w:val="6D2D3A8A"/>
    <w:rsid w:val="6D3119E0"/>
    <w:rsid w:val="6D374EB1"/>
    <w:rsid w:val="6D4371FB"/>
    <w:rsid w:val="6D4B42A5"/>
    <w:rsid w:val="6D535020"/>
    <w:rsid w:val="6D54588F"/>
    <w:rsid w:val="6D597E2E"/>
    <w:rsid w:val="6D620590"/>
    <w:rsid w:val="6D644A4A"/>
    <w:rsid w:val="6D645A9C"/>
    <w:rsid w:val="6D6B359E"/>
    <w:rsid w:val="6D6F5BBE"/>
    <w:rsid w:val="6D6F6BD1"/>
    <w:rsid w:val="6D721BC3"/>
    <w:rsid w:val="6D7579D6"/>
    <w:rsid w:val="6D862616"/>
    <w:rsid w:val="6D894D56"/>
    <w:rsid w:val="6D8E3A62"/>
    <w:rsid w:val="6D9303C0"/>
    <w:rsid w:val="6D941F8F"/>
    <w:rsid w:val="6D953443"/>
    <w:rsid w:val="6D9944AA"/>
    <w:rsid w:val="6D9C46FC"/>
    <w:rsid w:val="6D9D76CE"/>
    <w:rsid w:val="6D9D7E64"/>
    <w:rsid w:val="6DAA4DCD"/>
    <w:rsid w:val="6DAA6483"/>
    <w:rsid w:val="6DAB1110"/>
    <w:rsid w:val="6DB838E1"/>
    <w:rsid w:val="6DB83B51"/>
    <w:rsid w:val="6DB843CD"/>
    <w:rsid w:val="6DB858F7"/>
    <w:rsid w:val="6DBB496B"/>
    <w:rsid w:val="6DBF2656"/>
    <w:rsid w:val="6DC12804"/>
    <w:rsid w:val="6DC568E2"/>
    <w:rsid w:val="6DCD727E"/>
    <w:rsid w:val="6DCF53EC"/>
    <w:rsid w:val="6DD15580"/>
    <w:rsid w:val="6DD76E79"/>
    <w:rsid w:val="6DDD0482"/>
    <w:rsid w:val="6DDF11A6"/>
    <w:rsid w:val="6DE364DF"/>
    <w:rsid w:val="6DE508F7"/>
    <w:rsid w:val="6DF608A4"/>
    <w:rsid w:val="6DFA7B50"/>
    <w:rsid w:val="6DFD3B75"/>
    <w:rsid w:val="6E04023B"/>
    <w:rsid w:val="6E0C280E"/>
    <w:rsid w:val="6E111432"/>
    <w:rsid w:val="6E1367B7"/>
    <w:rsid w:val="6E19468B"/>
    <w:rsid w:val="6E1A224F"/>
    <w:rsid w:val="6E2261FE"/>
    <w:rsid w:val="6E261EA1"/>
    <w:rsid w:val="6E324BEA"/>
    <w:rsid w:val="6E382E11"/>
    <w:rsid w:val="6E391FCD"/>
    <w:rsid w:val="6E475211"/>
    <w:rsid w:val="6E583A91"/>
    <w:rsid w:val="6E604F2E"/>
    <w:rsid w:val="6E606C6F"/>
    <w:rsid w:val="6E653088"/>
    <w:rsid w:val="6E706771"/>
    <w:rsid w:val="6E80505E"/>
    <w:rsid w:val="6E8C53D6"/>
    <w:rsid w:val="6E8D0098"/>
    <w:rsid w:val="6E913D48"/>
    <w:rsid w:val="6E916406"/>
    <w:rsid w:val="6E93029B"/>
    <w:rsid w:val="6E9854C6"/>
    <w:rsid w:val="6E9A62BB"/>
    <w:rsid w:val="6E9D4A47"/>
    <w:rsid w:val="6EA746E8"/>
    <w:rsid w:val="6EAB3ACC"/>
    <w:rsid w:val="6EAD5BDB"/>
    <w:rsid w:val="6EB9307E"/>
    <w:rsid w:val="6EBC751A"/>
    <w:rsid w:val="6EBD00EB"/>
    <w:rsid w:val="6EBE3F24"/>
    <w:rsid w:val="6EC01205"/>
    <w:rsid w:val="6EC958AD"/>
    <w:rsid w:val="6ECA3C33"/>
    <w:rsid w:val="6ECB1257"/>
    <w:rsid w:val="6ED16295"/>
    <w:rsid w:val="6ED51B18"/>
    <w:rsid w:val="6ED913F1"/>
    <w:rsid w:val="6EE11906"/>
    <w:rsid w:val="6EF42618"/>
    <w:rsid w:val="6EF552E2"/>
    <w:rsid w:val="6EF62315"/>
    <w:rsid w:val="6EF82671"/>
    <w:rsid w:val="6F080155"/>
    <w:rsid w:val="6F097123"/>
    <w:rsid w:val="6F127ED3"/>
    <w:rsid w:val="6F176725"/>
    <w:rsid w:val="6F1D2AFC"/>
    <w:rsid w:val="6F1E30E4"/>
    <w:rsid w:val="6F2B3FF7"/>
    <w:rsid w:val="6F317A8C"/>
    <w:rsid w:val="6F391C24"/>
    <w:rsid w:val="6F3B2D28"/>
    <w:rsid w:val="6F3C7AC7"/>
    <w:rsid w:val="6F400E3E"/>
    <w:rsid w:val="6F4D0D34"/>
    <w:rsid w:val="6F60563E"/>
    <w:rsid w:val="6F6F69FB"/>
    <w:rsid w:val="6F7C7167"/>
    <w:rsid w:val="6F8B50F1"/>
    <w:rsid w:val="6F936230"/>
    <w:rsid w:val="6F983EB7"/>
    <w:rsid w:val="6F9F21E0"/>
    <w:rsid w:val="6F9F23FB"/>
    <w:rsid w:val="6F9F295F"/>
    <w:rsid w:val="6FAC7D4B"/>
    <w:rsid w:val="6FB94AD5"/>
    <w:rsid w:val="6FBA3348"/>
    <w:rsid w:val="6FBF60A8"/>
    <w:rsid w:val="6FCD76FD"/>
    <w:rsid w:val="6FCF0781"/>
    <w:rsid w:val="6FD04583"/>
    <w:rsid w:val="6FDB7074"/>
    <w:rsid w:val="6FDC3780"/>
    <w:rsid w:val="6FDE1C6D"/>
    <w:rsid w:val="6FDE2A04"/>
    <w:rsid w:val="6FE00B32"/>
    <w:rsid w:val="6FE368ED"/>
    <w:rsid w:val="6FEA0F79"/>
    <w:rsid w:val="6FF17B45"/>
    <w:rsid w:val="6FF34E68"/>
    <w:rsid w:val="6FFF6F4C"/>
    <w:rsid w:val="70056F1C"/>
    <w:rsid w:val="70094019"/>
    <w:rsid w:val="700B24FD"/>
    <w:rsid w:val="70132897"/>
    <w:rsid w:val="702C28D1"/>
    <w:rsid w:val="702D3EEE"/>
    <w:rsid w:val="702E0C56"/>
    <w:rsid w:val="703A6645"/>
    <w:rsid w:val="703A748F"/>
    <w:rsid w:val="703D6899"/>
    <w:rsid w:val="703F3085"/>
    <w:rsid w:val="70433400"/>
    <w:rsid w:val="7048751A"/>
    <w:rsid w:val="704A0B30"/>
    <w:rsid w:val="704E7C64"/>
    <w:rsid w:val="70532E81"/>
    <w:rsid w:val="705474FD"/>
    <w:rsid w:val="705B69B6"/>
    <w:rsid w:val="705F1779"/>
    <w:rsid w:val="705F1EF4"/>
    <w:rsid w:val="70613EA8"/>
    <w:rsid w:val="70634850"/>
    <w:rsid w:val="70773E6C"/>
    <w:rsid w:val="7090107B"/>
    <w:rsid w:val="70942D3A"/>
    <w:rsid w:val="70977AB6"/>
    <w:rsid w:val="70B42C1F"/>
    <w:rsid w:val="70B44892"/>
    <w:rsid w:val="70C22AF2"/>
    <w:rsid w:val="70D00490"/>
    <w:rsid w:val="70E55DB1"/>
    <w:rsid w:val="70E73B5E"/>
    <w:rsid w:val="70EA6773"/>
    <w:rsid w:val="70ED121F"/>
    <w:rsid w:val="70EE2BBA"/>
    <w:rsid w:val="70FA67AC"/>
    <w:rsid w:val="70FF7713"/>
    <w:rsid w:val="71027266"/>
    <w:rsid w:val="711F01FC"/>
    <w:rsid w:val="7127374B"/>
    <w:rsid w:val="71273A55"/>
    <w:rsid w:val="712E4F5A"/>
    <w:rsid w:val="712F344F"/>
    <w:rsid w:val="712F5656"/>
    <w:rsid w:val="713664E2"/>
    <w:rsid w:val="713945E7"/>
    <w:rsid w:val="713B73DA"/>
    <w:rsid w:val="713D1A60"/>
    <w:rsid w:val="7145764C"/>
    <w:rsid w:val="714B7D5D"/>
    <w:rsid w:val="714E3EB3"/>
    <w:rsid w:val="715A41CC"/>
    <w:rsid w:val="715B7258"/>
    <w:rsid w:val="716122E9"/>
    <w:rsid w:val="71630B05"/>
    <w:rsid w:val="716508E8"/>
    <w:rsid w:val="71672441"/>
    <w:rsid w:val="716907C2"/>
    <w:rsid w:val="716E2E39"/>
    <w:rsid w:val="717B3D06"/>
    <w:rsid w:val="71854728"/>
    <w:rsid w:val="71867D1C"/>
    <w:rsid w:val="718F2C06"/>
    <w:rsid w:val="71941BE4"/>
    <w:rsid w:val="71A1299B"/>
    <w:rsid w:val="71A849D7"/>
    <w:rsid w:val="71AE2694"/>
    <w:rsid w:val="71B425B0"/>
    <w:rsid w:val="71BB472D"/>
    <w:rsid w:val="71C20328"/>
    <w:rsid w:val="71C711F6"/>
    <w:rsid w:val="71CC28D4"/>
    <w:rsid w:val="71CF558C"/>
    <w:rsid w:val="71D31A80"/>
    <w:rsid w:val="71D41B23"/>
    <w:rsid w:val="71D47E3F"/>
    <w:rsid w:val="71DD6193"/>
    <w:rsid w:val="71DF017B"/>
    <w:rsid w:val="71E54716"/>
    <w:rsid w:val="71EC515E"/>
    <w:rsid w:val="71F50E9B"/>
    <w:rsid w:val="71F6354B"/>
    <w:rsid w:val="71FD1295"/>
    <w:rsid w:val="72006E98"/>
    <w:rsid w:val="72040255"/>
    <w:rsid w:val="720402AF"/>
    <w:rsid w:val="72043E35"/>
    <w:rsid w:val="7217045E"/>
    <w:rsid w:val="722921E8"/>
    <w:rsid w:val="722D7B5A"/>
    <w:rsid w:val="722F2394"/>
    <w:rsid w:val="7242462B"/>
    <w:rsid w:val="72465360"/>
    <w:rsid w:val="72533D2D"/>
    <w:rsid w:val="725672D4"/>
    <w:rsid w:val="725712FB"/>
    <w:rsid w:val="725D087C"/>
    <w:rsid w:val="725E2D19"/>
    <w:rsid w:val="726B3BE0"/>
    <w:rsid w:val="72722CD4"/>
    <w:rsid w:val="727316EF"/>
    <w:rsid w:val="727B4954"/>
    <w:rsid w:val="7280258B"/>
    <w:rsid w:val="728036FB"/>
    <w:rsid w:val="72810F86"/>
    <w:rsid w:val="728D32C2"/>
    <w:rsid w:val="728E18FB"/>
    <w:rsid w:val="728E7A41"/>
    <w:rsid w:val="729254D2"/>
    <w:rsid w:val="72954D25"/>
    <w:rsid w:val="72A72180"/>
    <w:rsid w:val="72B170C3"/>
    <w:rsid w:val="72B563E7"/>
    <w:rsid w:val="72B6119D"/>
    <w:rsid w:val="72BD4765"/>
    <w:rsid w:val="72C54EBE"/>
    <w:rsid w:val="72C57DBA"/>
    <w:rsid w:val="72C948C8"/>
    <w:rsid w:val="72CD4FD5"/>
    <w:rsid w:val="72CD65D7"/>
    <w:rsid w:val="72D606FB"/>
    <w:rsid w:val="72D97932"/>
    <w:rsid w:val="72DB2CFB"/>
    <w:rsid w:val="72DF7EF5"/>
    <w:rsid w:val="72E84230"/>
    <w:rsid w:val="72ED7062"/>
    <w:rsid w:val="72EE1D43"/>
    <w:rsid w:val="72EF4EC0"/>
    <w:rsid w:val="72F445C7"/>
    <w:rsid w:val="72F56679"/>
    <w:rsid w:val="72FB793C"/>
    <w:rsid w:val="72FE123E"/>
    <w:rsid w:val="730A1F41"/>
    <w:rsid w:val="730F2162"/>
    <w:rsid w:val="73123F59"/>
    <w:rsid w:val="73182516"/>
    <w:rsid w:val="73263ED3"/>
    <w:rsid w:val="732A139F"/>
    <w:rsid w:val="732B26C7"/>
    <w:rsid w:val="733527F5"/>
    <w:rsid w:val="73474A3D"/>
    <w:rsid w:val="734E77D1"/>
    <w:rsid w:val="734F3A57"/>
    <w:rsid w:val="735555BD"/>
    <w:rsid w:val="735832E1"/>
    <w:rsid w:val="735904B3"/>
    <w:rsid w:val="7360162C"/>
    <w:rsid w:val="736042F2"/>
    <w:rsid w:val="736431F1"/>
    <w:rsid w:val="736E0772"/>
    <w:rsid w:val="73774417"/>
    <w:rsid w:val="73797865"/>
    <w:rsid w:val="73915515"/>
    <w:rsid w:val="73977EA1"/>
    <w:rsid w:val="73A24C2C"/>
    <w:rsid w:val="73A63FB3"/>
    <w:rsid w:val="73B8183B"/>
    <w:rsid w:val="73BB1770"/>
    <w:rsid w:val="73C21FDB"/>
    <w:rsid w:val="73C56B68"/>
    <w:rsid w:val="73C62E42"/>
    <w:rsid w:val="73C67FC2"/>
    <w:rsid w:val="73CB7E67"/>
    <w:rsid w:val="73E95652"/>
    <w:rsid w:val="73EB3E05"/>
    <w:rsid w:val="73EC341E"/>
    <w:rsid w:val="73F26529"/>
    <w:rsid w:val="73F61D7A"/>
    <w:rsid w:val="73FD2776"/>
    <w:rsid w:val="74015245"/>
    <w:rsid w:val="74101909"/>
    <w:rsid w:val="74120FBC"/>
    <w:rsid w:val="74131194"/>
    <w:rsid w:val="74240BDD"/>
    <w:rsid w:val="742830E0"/>
    <w:rsid w:val="742B4D5F"/>
    <w:rsid w:val="743537AD"/>
    <w:rsid w:val="743C6C92"/>
    <w:rsid w:val="743D3029"/>
    <w:rsid w:val="7441504E"/>
    <w:rsid w:val="7441668C"/>
    <w:rsid w:val="74451B6E"/>
    <w:rsid w:val="744B6DE1"/>
    <w:rsid w:val="74556FBB"/>
    <w:rsid w:val="74584A42"/>
    <w:rsid w:val="74630153"/>
    <w:rsid w:val="7463335B"/>
    <w:rsid w:val="746D143B"/>
    <w:rsid w:val="748C6553"/>
    <w:rsid w:val="74910E9F"/>
    <w:rsid w:val="749A31D8"/>
    <w:rsid w:val="749D2A9E"/>
    <w:rsid w:val="749E25D9"/>
    <w:rsid w:val="74AB0105"/>
    <w:rsid w:val="74B04D19"/>
    <w:rsid w:val="74B96C78"/>
    <w:rsid w:val="74BD6E05"/>
    <w:rsid w:val="74CF1101"/>
    <w:rsid w:val="74D23C51"/>
    <w:rsid w:val="74D61A21"/>
    <w:rsid w:val="74DA517C"/>
    <w:rsid w:val="74DE5D03"/>
    <w:rsid w:val="74E64033"/>
    <w:rsid w:val="74ED4BCC"/>
    <w:rsid w:val="74ED4C88"/>
    <w:rsid w:val="74EF0B40"/>
    <w:rsid w:val="74F75874"/>
    <w:rsid w:val="74F8785C"/>
    <w:rsid w:val="74FB22FD"/>
    <w:rsid w:val="74FD2AC8"/>
    <w:rsid w:val="750326CE"/>
    <w:rsid w:val="75094C83"/>
    <w:rsid w:val="750A341D"/>
    <w:rsid w:val="750E4351"/>
    <w:rsid w:val="75105179"/>
    <w:rsid w:val="75105ED5"/>
    <w:rsid w:val="751138E2"/>
    <w:rsid w:val="75142A0C"/>
    <w:rsid w:val="751945D3"/>
    <w:rsid w:val="751E4A9D"/>
    <w:rsid w:val="752E5113"/>
    <w:rsid w:val="7537311B"/>
    <w:rsid w:val="75393AB8"/>
    <w:rsid w:val="7539491F"/>
    <w:rsid w:val="753B6661"/>
    <w:rsid w:val="753F7299"/>
    <w:rsid w:val="75426013"/>
    <w:rsid w:val="7545634F"/>
    <w:rsid w:val="75573F10"/>
    <w:rsid w:val="756264FF"/>
    <w:rsid w:val="75667D66"/>
    <w:rsid w:val="756749B0"/>
    <w:rsid w:val="75692D04"/>
    <w:rsid w:val="756D7E92"/>
    <w:rsid w:val="75713888"/>
    <w:rsid w:val="757354D0"/>
    <w:rsid w:val="75775433"/>
    <w:rsid w:val="757B3D05"/>
    <w:rsid w:val="757F2C5B"/>
    <w:rsid w:val="758608A5"/>
    <w:rsid w:val="7588490A"/>
    <w:rsid w:val="758B1C88"/>
    <w:rsid w:val="758B689A"/>
    <w:rsid w:val="75904CC6"/>
    <w:rsid w:val="7593525C"/>
    <w:rsid w:val="75974CFA"/>
    <w:rsid w:val="759B7954"/>
    <w:rsid w:val="75A22138"/>
    <w:rsid w:val="75A43692"/>
    <w:rsid w:val="75AD00A7"/>
    <w:rsid w:val="75B01F50"/>
    <w:rsid w:val="75B233AB"/>
    <w:rsid w:val="75B57674"/>
    <w:rsid w:val="75B65C42"/>
    <w:rsid w:val="75B72E2B"/>
    <w:rsid w:val="75B77BCE"/>
    <w:rsid w:val="75BC73A4"/>
    <w:rsid w:val="75C00300"/>
    <w:rsid w:val="75CB0F4F"/>
    <w:rsid w:val="75CE1AC0"/>
    <w:rsid w:val="75D01C90"/>
    <w:rsid w:val="75D100CB"/>
    <w:rsid w:val="75D42274"/>
    <w:rsid w:val="75DC5CC1"/>
    <w:rsid w:val="75DC7235"/>
    <w:rsid w:val="75E6360A"/>
    <w:rsid w:val="75E8481D"/>
    <w:rsid w:val="75F26974"/>
    <w:rsid w:val="75F75F42"/>
    <w:rsid w:val="76032E06"/>
    <w:rsid w:val="76044E8B"/>
    <w:rsid w:val="76156DAC"/>
    <w:rsid w:val="761B00B4"/>
    <w:rsid w:val="76230A34"/>
    <w:rsid w:val="76292467"/>
    <w:rsid w:val="763078CE"/>
    <w:rsid w:val="76367F9E"/>
    <w:rsid w:val="76394B94"/>
    <w:rsid w:val="7639789B"/>
    <w:rsid w:val="763A5BB1"/>
    <w:rsid w:val="763C7605"/>
    <w:rsid w:val="764026BE"/>
    <w:rsid w:val="76417105"/>
    <w:rsid w:val="7642152F"/>
    <w:rsid w:val="76441E62"/>
    <w:rsid w:val="76494D27"/>
    <w:rsid w:val="76497D42"/>
    <w:rsid w:val="764C4FAF"/>
    <w:rsid w:val="764E0A9E"/>
    <w:rsid w:val="764E0DB5"/>
    <w:rsid w:val="76521A92"/>
    <w:rsid w:val="766565E4"/>
    <w:rsid w:val="766B2A9C"/>
    <w:rsid w:val="766D43C0"/>
    <w:rsid w:val="76707EF4"/>
    <w:rsid w:val="7677379C"/>
    <w:rsid w:val="76775EE9"/>
    <w:rsid w:val="7677635D"/>
    <w:rsid w:val="767A66F6"/>
    <w:rsid w:val="76802E9D"/>
    <w:rsid w:val="76836629"/>
    <w:rsid w:val="768667FF"/>
    <w:rsid w:val="76883A31"/>
    <w:rsid w:val="769625AA"/>
    <w:rsid w:val="769E784A"/>
    <w:rsid w:val="76A7599F"/>
    <w:rsid w:val="76A83241"/>
    <w:rsid w:val="76A90578"/>
    <w:rsid w:val="76AE20E0"/>
    <w:rsid w:val="76AE34B1"/>
    <w:rsid w:val="76B17425"/>
    <w:rsid w:val="76B56816"/>
    <w:rsid w:val="76B958A6"/>
    <w:rsid w:val="76BE26A3"/>
    <w:rsid w:val="76C276D6"/>
    <w:rsid w:val="76CE72CC"/>
    <w:rsid w:val="76D50C55"/>
    <w:rsid w:val="76DD609C"/>
    <w:rsid w:val="76E53F72"/>
    <w:rsid w:val="76E63C15"/>
    <w:rsid w:val="76E91601"/>
    <w:rsid w:val="76E972F4"/>
    <w:rsid w:val="76F03C7A"/>
    <w:rsid w:val="76F8203F"/>
    <w:rsid w:val="76F95706"/>
    <w:rsid w:val="76FD4BB5"/>
    <w:rsid w:val="76FE475A"/>
    <w:rsid w:val="770941BC"/>
    <w:rsid w:val="77156159"/>
    <w:rsid w:val="77195CA2"/>
    <w:rsid w:val="772152D2"/>
    <w:rsid w:val="77231CB3"/>
    <w:rsid w:val="7724434E"/>
    <w:rsid w:val="773118A8"/>
    <w:rsid w:val="77353169"/>
    <w:rsid w:val="77367E6B"/>
    <w:rsid w:val="77374F06"/>
    <w:rsid w:val="77397748"/>
    <w:rsid w:val="773B5694"/>
    <w:rsid w:val="774774FD"/>
    <w:rsid w:val="774D57A4"/>
    <w:rsid w:val="774F597E"/>
    <w:rsid w:val="775D2D49"/>
    <w:rsid w:val="775F7965"/>
    <w:rsid w:val="77617A82"/>
    <w:rsid w:val="776A1130"/>
    <w:rsid w:val="77747A94"/>
    <w:rsid w:val="77767150"/>
    <w:rsid w:val="7785133B"/>
    <w:rsid w:val="77856D29"/>
    <w:rsid w:val="77897277"/>
    <w:rsid w:val="778C7D7D"/>
    <w:rsid w:val="77900F70"/>
    <w:rsid w:val="77903D1B"/>
    <w:rsid w:val="77956359"/>
    <w:rsid w:val="779605C7"/>
    <w:rsid w:val="77A42740"/>
    <w:rsid w:val="77A470C8"/>
    <w:rsid w:val="77AB6AAF"/>
    <w:rsid w:val="77AF2797"/>
    <w:rsid w:val="77B4184C"/>
    <w:rsid w:val="77BD508B"/>
    <w:rsid w:val="77D24734"/>
    <w:rsid w:val="77D34FE8"/>
    <w:rsid w:val="77D36FC0"/>
    <w:rsid w:val="77D74093"/>
    <w:rsid w:val="77D84E67"/>
    <w:rsid w:val="77DB55EA"/>
    <w:rsid w:val="77DC343A"/>
    <w:rsid w:val="77ED73CF"/>
    <w:rsid w:val="77EE1098"/>
    <w:rsid w:val="77F64C0D"/>
    <w:rsid w:val="77FA26A5"/>
    <w:rsid w:val="77FD6007"/>
    <w:rsid w:val="78043BCD"/>
    <w:rsid w:val="78066C7C"/>
    <w:rsid w:val="78076EAD"/>
    <w:rsid w:val="78097B92"/>
    <w:rsid w:val="78147AD8"/>
    <w:rsid w:val="7815376C"/>
    <w:rsid w:val="7819106A"/>
    <w:rsid w:val="781B2C31"/>
    <w:rsid w:val="781D2DD5"/>
    <w:rsid w:val="78206F33"/>
    <w:rsid w:val="78224EA9"/>
    <w:rsid w:val="78242921"/>
    <w:rsid w:val="782913D2"/>
    <w:rsid w:val="782C7737"/>
    <w:rsid w:val="782F75EE"/>
    <w:rsid w:val="78301B42"/>
    <w:rsid w:val="7836140F"/>
    <w:rsid w:val="78386DF2"/>
    <w:rsid w:val="7839147F"/>
    <w:rsid w:val="783942D5"/>
    <w:rsid w:val="784024BD"/>
    <w:rsid w:val="785640A6"/>
    <w:rsid w:val="78571F1E"/>
    <w:rsid w:val="785F466B"/>
    <w:rsid w:val="786108E0"/>
    <w:rsid w:val="78715D9D"/>
    <w:rsid w:val="788420CF"/>
    <w:rsid w:val="78845509"/>
    <w:rsid w:val="7884775C"/>
    <w:rsid w:val="78916540"/>
    <w:rsid w:val="78965D8D"/>
    <w:rsid w:val="789C6F74"/>
    <w:rsid w:val="78A76BDA"/>
    <w:rsid w:val="78AA0403"/>
    <w:rsid w:val="78AB1D6E"/>
    <w:rsid w:val="78B10193"/>
    <w:rsid w:val="78B53A85"/>
    <w:rsid w:val="78B60CAD"/>
    <w:rsid w:val="78B96502"/>
    <w:rsid w:val="78BA3A78"/>
    <w:rsid w:val="78CC1EBA"/>
    <w:rsid w:val="78CF5D2F"/>
    <w:rsid w:val="78D37B29"/>
    <w:rsid w:val="78D51921"/>
    <w:rsid w:val="78D66AE6"/>
    <w:rsid w:val="78E02053"/>
    <w:rsid w:val="78E16D99"/>
    <w:rsid w:val="78F66C7C"/>
    <w:rsid w:val="78F77226"/>
    <w:rsid w:val="78FB5138"/>
    <w:rsid w:val="790B2D46"/>
    <w:rsid w:val="790B649C"/>
    <w:rsid w:val="7913504D"/>
    <w:rsid w:val="7915510E"/>
    <w:rsid w:val="791C6A5E"/>
    <w:rsid w:val="79362AC6"/>
    <w:rsid w:val="793951F4"/>
    <w:rsid w:val="793C3369"/>
    <w:rsid w:val="794B1A7B"/>
    <w:rsid w:val="794B43B3"/>
    <w:rsid w:val="794F737D"/>
    <w:rsid w:val="795300E3"/>
    <w:rsid w:val="795F40AD"/>
    <w:rsid w:val="79684FA8"/>
    <w:rsid w:val="79706485"/>
    <w:rsid w:val="79733413"/>
    <w:rsid w:val="79744856"/>
    <w:rsid w:val="79764D82"/>
    <w:rsid w:val="797F6406"/>
    <w:rsid w:val="79861C12"/>
    <w:rsid w:val="79865680"/>
    <w:rsid w:val="7987411C"/>
    <w:rsid w:val="798D4C6B"/>
    <w:rsid w:val="79927D2A"/>
    <w:rsid w:val="79970833"/>
    <w:rsid w:val="799E4425"/>
    <w:rsid w:val="799E5D19"/>
    <w:rsid w:val="79A92E48"/>
    <w:rsid w:val="79AB3728"/>
    <w:rsid w:val="79B9220B"/>
    <w:rsid w:val="79BF222B"/>
    <w:rsid w:val="79C03224"/>
    <w:rsid w:val="79C11B37"/>
    <w:rsid w:val="79D366AE"/>
    <w:rsid w:val="79D6240C"/>
    <w:rsid w:val="79D877BE"/>
    <w:rsid w:val="79DE7776"/>
    <w:rsid w:val="79E90D34"/>
    <w:rsid w:val="79EB74C6"/>
    <w:rsid w:val="79F42388"/>
    <w:rsid w:val="79FE52E2"/>
    <w:rsid w:val="7A005634"/>
    <w:rsid w:val="7A090DDF"/>
    <w:rsid w:val="7A113CE0"/>
    <w:rsid w:val="7A1222F4"/>
    <w:rsid w:val="7A1578AD"/>
    <w:rsid w:val="7A177BA5"/>
    <w:rsid w:val="7A1C2847"/>
    <w:rsid w:val="7A235F0B"/>
    <w:rsid w:val="7A2A6996"/>
    <w:rsid w:val="7A2D439D"/>
    <w:rsid w:val="7A3523F6"/>
    <w:rsid w:val="7A3649D6"/>
    <w:rsid w:val="7A372AE1"/>
    <w:rsid w:val="7A4A5F2B"/>
    <w:rsid w:val="7A4C2AA1"/>
    <w:rsid w:val="7A6A7D82"/>
    <w:rsid w:val="7A6B0F57"/>
    <w:rsid w:val="7A6B1119"/>
    <w:rsid w:val="7A6B3591"/>
    <w:rsid w:val="7A6D67F3"/>
    <w:rsid w:val="7A8546C4"/>
    <w:rsid w:val="7A9A6164"/>
    <w:rsid w:val="7A9F57BC"/>
    <w:rsid w:val="7AA356A0"/>
    <w:rsid w:val="7AAF691A"/>
    <w:rsid w:val="7AB07E27"/>
    <w:rsid w:val="7AB966B5"/>
    <w:rsid w:val="7AC22F6D"/>
    <w:rsid w:val="7AC52E5C"/>
    <w:rsid w:val="7AC55AD7"/>
    <w:rsid w:val="7AC71A87"/>
    <w:rsid w:val="7AC753BE"/>
    <w:rsid w:val="7AD25A85"/>
    <w:rsid w:val="7AD415DC"/>
    <w:rsid w:val="7AE04651"/>
    <w:rsid w:val="7AE1078A"/>
    <w:rsid w:val="7AEB1571"/>
    <w:rsid w:val="7AFC176E"/>
    <w:rsid w:val="7B01661A"/>
    <w:rsid w:val="7B035C65"/>
    <w:rsid w:val="7B144C5E"/>
    <w:rsid w:val="7B1759DD"/>
    <w:rsid w:val="7B187154"/>
    <w:rsid w:val="7B192028"/>
    <w:rsid w:val="7B1C6262"/>
    <w:rsid w:val="7B1E1292"/>
    <w:rsid w:val="7B20265F"/>
    <w:rsid w:val="7B2213E5"/>
    <w:rsid w:val="7B224D6D"/>
    <w:rsid w:val="7B2C7F44"/>
    <w:rsid w:val="7B2F093D"/>
    <w:rsid w:val="7B2F1187"/>
    <w:rsid w:val="7B392BF8"/>
    <w:rsid w:val="7B3E3B15"/>
    <w:rsid w:val="7B3F2018"/>
    <w:rsid w:val="7B451BCB"/>
    <w:rsid w:val="7B4A50F2"/>
    <w:rsid w:val="7B4D34B7"/>
    <w:rsid w:val="7B5A4E10"/>
    <w:rsid w:val="7B5E09C5"/>
    <w:rsid w:val="7B6012FE"/>
    <w:rsid w:val="7B6142A9"/>
    <w:rsid w:val="7B63068A"/>
    <w:rsid w:val="7B704FE0"/>
    <w:rsid w:val="7B7415A4"/>
    <w:rsid w:val="7B7A0A53"/>
    <w:rsid w:val="7B813EA7"/>
    <w:rsid w:val="7B9444B6"/>
    <w:rsid w:val="7B995799"/>
    <w:rsid w:val="7B9F0E94"/>
    <w:rsid w:val="7BA67B54"/>
    <w:rsid w:val="7BB02AD6"/>
    <w:rsid w:val="7BBA24F2"/>
    <w:rsid w:val="7BBC2DC0"/>
    <w:rsid w:val="7BC05687"/>
    <w:rsid w:val="7BC12295"/>
    <w:rsid w:val="7BC5306F"/>
    <w:rsid w:val="7BC94F34"/>
    <w:rsid w:val="7BD00872"/>
    <w:rsid w:val="7BD92B03"/>
    <w:rsid w:val="7BE32678"/>
    <w:rsid w:val="7BED120E"/>
    <w:rsid w:val="7BEE5BD7"/>
    <w:rsid w:val="7BF02BF6"/>
    <w:rsid w:val="7C037C51"/>
    <w:rsid w:val="7C0D6D73"/>
    <w:rsid w:val="7C151EB2"/>
    <w:rsid w:val="7C181443"/>
    <w:rsid w:val="7C1F553A"/>
    <w:rsid w:val="7C20699A"/>
    <w:rsid w:val="7C22148C"/>
    <w:rsid w:val="7C231591"/>
    <w:rsid w:val="7C2B22A9"/>
    <w:rsid w:val="7C2F4D95"/>
    <w:rsid w:val="7C31148E"/>
    <w:rsid w:val="7C350572"/>
    <w:rsid w:val="7C3D7D87"/>
    <w:rsid w:val="7C484468"/>
    <w:rsid w:val="7C4C0138"/>
    <w:rsid w:val="7C4C797E"/>
    <w:rsid w:val="7C4E36C9"/>
    <w:rsid w:val="7C4E6C7B"/>
    <w:rsid w:val="7C4F5B37"/>
    <w:rsid w:val="7C690F47"/>
    <w:rsid w:val="7C6E713D"/>
    <w:rsid w:val="7C740BBE"/>
    <w:rsid w:val="7C757442"/>
    <w:rsid w:val="7C7839A1"/>
    <w:rsid w:val="7C7875E7"/>
    <w:rsid w:val="7C7920DC"/>
    <w:rsid w:val="7C7E1D3D"/>
    <w:rsid w:val="7C826BB3"/>
    <w:rsid w:val="7C8C1BB0"/>
    <w:rsid w:val="7C8D3B69"/>
    <w:rsid w:val="7C905938"/>
    <w:rsid w:val="7C9639F4"/>
    <w:rsid w:val="7CA40F34"/>
    <w:rsid w:val="7CAD4B07"/>
    <w:rsid w:val="7CB03082"/>
    <w:rsid w:val="7CBA552E"/>
    <w:rsid w:val="7CCA0363"/>
    <w:rsid w:val="7CCA60F7"/>
    <w:rsid w:val="7CD61AD2"/>
    <w:rsid w:val="7CDB703D"/>
    <w:rsid w:val="7CDC4F24"/>
    <w:rsid w:val="7CE55BEF"/>
    <w:rsid w:val="7CE66D63"/>
    <w:rsid w:val="7CE70BDC"/>
    <w:rsid w:val="7CE76EE4"/>
    <w:rsid w:val="7CEC1208"/>
    <w:rsid w:val="7CEE079B"/>
    <w:rsid w:val="7CF1353C"/>
    <w:rsid w:val="7CF870BB"/>
    <w:rsid w:val="7CFB3A42"/>
    <w:rsid w:val="7D023878"/>
    <w:rsid w:val="7D04392D"/>
    <w:rsid w:val="7D085788"/>
    <w:rsid w:val="7D1007CA"/>
    <w:rsid w:val="7D126841"/>
    <w:rsid w:val="7D1E1F65"/>
    <w:rsid w:val="7D203B9E"/>
    <w:rsid w:val="7D21147E"/>
    <w:rsid w:val="7D2169DA"/>
    <w:rsid w:val="7D2C48D5"/>
    <w:rsid w:val="7D2E33D5"/>
    <w:rsid w:val="7D34645A"/>
    <w:rsid w:val="7D3B6B31"/>
    <w:rsid w:val="7D4B318A"/>
    <w:rsid w:val="7D4C37E7"/>
    <w:rsid w:val="7D504D7D"/>
    <w:rsid w:val="7D5458B6"/>
    <w:rsid w:val="7D61461D"/>
    <w:rsid w:val="7D616FBF"/>
    <w:rsid w:val="7D6476B6"/>
    <w:rsid w:val="7D787F6C"/>
    <w:rsid w:val="7D825D7B"/>
    <w:rsid w:val="7D8B10EE"/>
    <w:rsid w:val="7D8E7922"/>
    <w:rsid w:val="7D962653"/>
    <w:rsid w:val="7D9714DE"/>
    <w:rsid w:val="7DA375A0"/>
    <w:rsid w:val="7DA519E3"/>
    <w:rsid w:val="7DAD2E7F"/>
    <w:rsid w:val="7DB24038"/>
    <w:rsid w:val="7DB35614"/>
    <w:rsid w:val="7DB65BA2"/>
    <w:rsid w:val="7DB763BC"/>
    <w:rsid w:val="7DC624DB"/>
    <w:rsid w:val="7DD07A4C"/>
    <w:rsid w:val="7DD9333A"/>
    <w:rsid w:val="7DDC55AA"/>
    <w:rsid w:val="7DE54181"/>
    <w:rsid w:val="7DE74E4E"/>
    <w:rsid w:val="7DE97BC9"/>
    <w:rsid w:val="7DF148A2"/>
    <w:rsid w:val="7DF24CFE"/>
    <w:rsid w:val="7DF36C18"/>
    <w:rsid w:val="7DF94419"/>
    <w:rsid w:val="7E000249"/>
    <w:rsid w:val="7E050007"/>
    <w:rsid w:val="7E0E0854"/>
    <w:rsid w:val="7E126FDF"/>
    <w:rsid w:val="7E131C1D"/>
    <w:rsid w:val="7E1C48CE"/>
    <w:rsid w:val="7E264252"/>
    <w:rsid w:val="7E2E44C0"/>
    <w:rsid w:val="7E2F15F3"/>
    <w:rsid w:val="7E353DC3"/>
    <w:rsid w:val="7E3910E5"/>
    <w:rsid w:val="7E476427"/>
    <w:rsid w:val="7E4A2592"/>
    <w:rsid w:val="7E4E543D"/>
    <w:rsid w:val="7E53198E"/>
    <w:rsid w:val="7E5C3476"/>
    <w:rsid w:val="7E615AB1"/>
    <w:rsid w:val="7E61769B"/>
    <w:rsid w:val="7E63044A"/>
    <w:rsid w:val="7E674F33"/>
    <w:rsid w:val="7E6F51D0"/>
    <w:rsid w:val="7E703664"/>
    <w:rsid w:val="7E7B151D"/>
    <w:rsid w:val="7E7B47E6"/>
    <w:rsid w:val="7E8439E4"/>
    <w:rsid w:val="7EA808F3"/>
    <w:rsid w:val="7EB82477"/>
    <w:rsid w:val="7EBD11AE"/>
    <w:rsid w:val="7EBE42B7"/>
    <w:rsid w:val="7EC26085"/>
    <w:rsid w:val="7EC37424"/>
    <w:rsid w:val="7EC825E0"/>
    <w:rsid w:val="7EC9546C"/>
    <w:rsid w:val="7ECD0EEB"/>
    <w:rsid w:val="7ECE46BC"/>
    <w:rsid w:val="7EDD6A57"/>
    <w:rsid w:val="7EE209B0"/>
    <w:rsid w:val="7EE46C93"/>
    <w:rsid w:val="7EE9137F"/>
    <w:rsid w:val="7EE95644"/>
    <w:rsid w:val="7EEA0A35"/>
    <w:rsid w:val="7EF17474"/>
    <w:rsid w:val="7EF45DE2"/>
    <w:rsid w:val="7EF958E4"/>
    <w:rsid w:val="7EFB1C97"/>
    <w:rsid w:val="7F0807FB"/>
    <w:rsid w:val="7F1B3C51"/>
    <w:rsid w:val="7F1F5566"/>
    <w:rsid w:val="7F246F5F"/>
    <w:rsid w:val="7F265E5B"/>
    <w:rsid w:val="7F2A79E5"/>
    <w:rsid w:val="7F2B0560"/>
    <w:rsid w:val="7F393590"/>
    <w:rsid w:val="7F433492"/>
    <w:rsid w:val="7F47325A"/>
    <w:rsid w:val="7F480AD8"/>
    <w:rsid w:val="7F5708A2"/>
    <w:rsid w:val="7F5B4BDF"/>
    <w:rsid w:val="7F5B66F3"/>
    <w:rsid w:val="7F5C75DE"/>
    <w:rsid w:val="7F5F40D1"/>
    <w:rsid w:val="7F6424F7"/>
    <w:rsid w:val="7F791219"/>
    <w:rsid w:val="7F7A1202"/>
    <w:rsid w:val="7F8219EB"/>
    <w:rsid w:val="7F826E67"/>
    <w:rsid w:val="7F902126"/>
    <w:rsid w:val="7F914FC4"/>
    <w:rsid w:val="7F916218"/>
    <w:rsid w:val="7F9B0CCD"/>
    <w:rsid w:val="7FA911FE"/>
    <w:rsid w:val="7FBC7767"/>
    <w:rsid w:val="7FC01800"/>
    <w:rsid w:val="7FC60CA0"/>
    <w:rsid w:val="7FC722A7"/>
    <w:rsid w:val="7FCC219C"/>
    <w:rsid w:val="7FCE1EBD"/>
    <w:rsid w:val="7FD3226B"/>
    <w:rsid w:val="7FD370FA"/>
    <w:rsid w:val="7FE16783"/>
    <w:rsid w:val="7FEB1250"/>
    <w:rsid w:val="7FEB38AC"/>
    <w:rsid w:val="7FED0430"/>
    <w:rsid w:val="7FF12202"/>
    <w:rsid w:val="7FF369F9"/>
    <w:rsid w:val="7FFE32F1"/>
    <w:rsid w:val="AFFE9EFB"/>
    <w:rsid w:val="D6FEB72F"/>
    <w:rsid w:val="DFAFE641"/>
    <w:rsid w:val="DFBC7774"/>
    <w:rsid w:val="F7BB0BCD"/>
    <w:rsid w:val="FFF938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semiHidden="0"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0" w:semiHidden="0" w:name="endnote reference" w:locked="1"/>
    <w:lsdException w:qFormat="1" w:unhideWhenUsed="0" w:uiPriority="0" w:semiHidden="0"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3"/>
    <w:qFormat/>
    <w:uiPriority w:val="99"/>
    <w:pPr>
      <w:spacing w:before="300" w:after="150" w:line="17" w:lineRule="atLeast"/>
      <w:jc w:val="left"/>
      <w:outlineLvl w:val="0"/>
    </w:pPr>
    <w:rPr>
      <w:rFonts w:ascii="宋体" w:hAnsi="宋体"/>
      <w:b/>
      <w:kern w:val="44"/>
      <w:sz w:val="54"/>
      <w:szCs w:val="54"/>
    </w:rPr>
  </w:style>
  <w:style w:type="paragraph" w:styleId="5">
    <w:name w:val="heading 2"/>
    <w:basedOn w:val="1"/>
    <w:next w:val="1"/>
    <w:link w:val="44"/>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45"/>
    <w:qFormat/>
    <w:uiPriority w:val="99"/>
    <w:pPr>
      <w:keepNext/>
      <w:keepLines/>
      <w:spacing w:line="360" w:lineRule="auto"/>
      <w:outlineLvl w:val="2"/>
    </w:pPr>
    <w:rPr>
      <w:rFonts w:ascii="Times New Roman" w:hAnsi="Times New Roman"/>
      <w:b/>
      <w:sz w:val="24"/>
      <w:szCs w:val="20"/>
    </w:rPr>
  </w:style>
  <w:style w:type="paragraph" w:styleId="7">
    <w:name w:val="heading 4"/>
    <w:basedOn w:val="1"/>
    <w:next w:val="1"/>
    <w:link w:val="46"/>
    <w:qFormat/>
    <w:uiPriority w:val="99"/>
    <w:pPr>
      <w:keepNext/>
      <w:outlineLvl w:val="3"/>
    </w:pPr>
    <w:rPr>
      <w:color w:val="FF0000"/>
      <w:sz w:val="28"/>
      <w:u w:val="single"/>
    </w:rPr>
  </w:style>
  <w:style w:type="paragraph" w:styleId="8">
    <w:name w:val="heading 6"/>
    <w:basedOn w:val="1"/>
    <w:next w:val="1"/>
    <w:unhideWhenUsed/>
    <w:qFormat/>
    <w:locked/>
    <w:uiPriority w:val="9"/>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30">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59"/>
    <w:qFormat/>
    <w:uiPriority w:val="99"/>
    <w:pPr>
      <w:spacing w:after="120" w:line="240" w:lineRule="auto"/>
      <w:ind w:left="420" w:leftChars="200" w:firstLine="420" w:firstLineChars="200"/>
    </w:pPr>
    <w:rPr>
      <w:rFonts w:ascii="Times New Roman" w:hAnsi="Times New Roman"/>
      <w:sz w:val="21"/>
      <w:szCs w:val="24"/>
    </w:rPr>
  </w:style>
  <w:style w:type="paragraph" w:styleId="3">
    <w:name w:val="Body Text Indent"/>
    <w:basedOn w:val="1"/>
    <w:link w:val="50"/>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9">
    <w:name w:val="table of authorities"/>
    <w:basedOn w:val="1"/>
    <w:next w:val="1"/>
    <w:qFormat/>
    <w:uiPriority w:val="99"/>
    <w:pPr>
      <w:ind w:left="420" w:leftChars="200"/>
    </w:pPr>
  </w:style>
  <w:style w:type="paragraph" w:styleId="10">
    <w:name w:val="Note Heading"/>
    <w:basedOn w:val="1"/>
    <w:next w:val="1"/>
    <w:qFormat/>
    <w:locked/>
    <w:uiPriority w:val="0"/>
    <w:pPr>
      <w:jc w:val="center"/>
    </w:pPr>
  </w:style>
  <w:style w:type="paragraph" w:styleId="11">
    <w:name w:val="Normal Indent"/>
    <w:basedOn w:val="1"/>
    <w:next w:val="2"/>
    <w:qFormat/>
    <w:uiPriority w:val="99"/>
    <w:pPr>
      <w:ind w:firstLine="420"/>
    </w:pPr>
    <w:rPr>
      <w:szCs w:val="20"/>
    </w:rPr>
  </w:style>
  <w:style w:type="paragraph" w:styleId="12">
    <w:name w:val="annotation text"/>
    <w:basedOn w:val="1"/>
    <w:link w:val="48"/>
    <w:qFormat/>
    <w:uiPriority w:val="99"/>
    <w:pPr>
      <w:jc w:val="left"/>
    </w:pPr>
  </w:style>
  <w:style w:type="paragraph" w:styleId="13">
    <w:name w:val="Salutation"/>
    <w:basedOn w:val="1"/>
    <w:next w:val="1"/>
    <w:link w:val="49"/>
    <w:qFormat/>
    <w:uiPriority w:val="99"/>
    <w:rPr>
      <w:sz w:val="24"/>
      <w:szCs w:val="20"/>
    </w:rPr>
  </w:style>
  <w:style w:type="paragraph" w:styleId="14">
    <w:name w:val="Body Text"/>
    <w:basedOn w:val="1"/>
    <w:next w:val="1"/>
    <w:link w:val="47"/>
    <w:qFormat/>
    <w:uiPriority w:val="99"/>
    <w:pPr>
      <w:spacing w:after="120"/>
    </w:pPr>
  </w:style>
  <w:style w:type="paragraph" w:styleId="15">
    <w:name w:val="Plain Text"/>
    <w:basedOn w:val="1"/>
    <w:link w:val="51"/>
    <w:qFormat/>
    <w:uiPriority w:val="99"/>
    <w:rPr>
      <w:rFonts w:ascii="宋体" w:hAnsi="宋体"/>
      <w:szCs w:val="21"/>
    </w:rPr>
  </w:style>
  <w:style w:type="paragraph" w:styleId="16">
    <w:name w:val="Date"/>
    <w:basedOn w:val="1"/>
    <w:next w:val="1"/>
    <w:link w:val="52"/>
    <w:qFormat/>
    <w:uiPriority w:val="99"/>
    <w:pPr>
      <w:ind w:left="2500" w:leftChars="2500"/>
    </w:pPr>
    <w:rPr>
      <w:rFonts w:ascii="仿宋_GB2312" w:eastAsia="仿宋_GB2312"/>
      <w:color w:val="000000"/>
      <w:kern w:val="0"/>
      <w:sz w:val="32"/>
    </w:rPr>
  </w:style>
  <w:style w:type="paragraph" w:styleId="17">
    <w:name w:val="Body Text Indent 2"/>
    <w:basedOn w:val="1"/>
    <w:link w:val="53"/>
    <w:qFormat/>
    <w:uiPriority w:val="99"/>
    <w:pPr>
      <w:spacing w:after="120" w:line="480" w:lineRule="auto"/>
      <w:ind w:left="420" w:leftChars="200"/>
    </w:pPr>
  </w:style>
  <w:style w:type="paragraph" w:styleId="18">
    <w:name w:val="endnote text"/>
    <w:basedOn w:val="1"/>
    <w:qFormat/>
    <w:locked/>
    <w:uiPriority w:val="0"/>
    <w:pPr>
      <w:snapToGrid w:val="0"/>
      <w:jc w:val="left"/>
    </w:pPr>
  </w:style>
  <w:style w:type="paragraph" w:styleId="19">
    <w:name w:val="Balloon Text"/>
    <w:basedOn w:val="1"/>
    <w:link w:val="54"/>
    <w:qFormat/>
    <w:uiPriority w:val="99"/>
    <w:rPr>
      <w:sz w:val="18"/>
      <w:szCs w:val="18"/>
    </w:rPr>
  </w:style>
  <w:style w:type="paragraph" w:styleId="20">
    <w:name w:val="footer"/>
    <w:basedOn w:val="1"/>
    <w:link w:val="55"/>
    <w:qFormat/>
    <w:uiPriority w:val="99"/>
    <w:pPr>
      <w:tabs>
        <w:tab w:val="center" w:pos="4153"/>
        <w:tab w:val="right" w:pos="8306"/>
      </w:tabs>
      <w:snapToGrid w:val="0"/>
      <w:jc w:val="left"/>
    </w:pPr>
    <w:rPr>
      <w:sz w:val="18"/>
    </w:rPr>
  </w:style>
  <w:style w:type="paragraph" w:styleId="21">
    <w:name w:val="header"/>
    <w:basedOn w:val="1"/>
    <w:next w:val="22"/>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2">
    <w:name w:val="自定义页眉"/>
    <w:basedOn w:val="21"/>
    <w:qFormat/>
    <w:uiPriority w:val="0"/>
    <w:pPr>
      <w:pBdr>
        <w:bottom w:val="thickThinMediumGap" w:color="auto" w:sz="18" w:space="1"/>
      </w:pBdr>
    </w:pPr>
    <w:rPr>
      <w:rFonts w:eastAsia="华文行楷"/>
      <w:sz w:val="21"/>
    </w:rPr>
  </w:style>
  <w:style w:type="paragraph" w:styleId="23">
    <w:name w:val="toc 1"/>
    <w:basedOn w:val="1"/>
    <w:next w:val="1"/>
    <w:qFormat/>
    <w:uiPriority w:val="99"/>
    <w:pPr>
      <w:tabs>
        <w:tab w:val="right" w:leader="dot" w:pos="9016"/>
      </w:tabs>
    </w:pPr>
    <w:rPr>
      <w:rFonts w:eastAsia="华文中宋"/>
      <w:b/>
      <w:sz w:val="24"/>
    </w:rPr>
  </w:style>
  <w:style w:type="paragraph" w:styleId="24">
    <w:name w:val="Body Text Indent 3"/>
    <w:basedOn w:val="1"/>
    <w:link w:val="57"/>
    <w:qFormat/>
    <w:uiPriority w:val="99"/>
    <w:pPr>
      <w:autoSpaceDE w:val="0"/>
      <w:autoSpaceDN w:val="0"/>
      <w:adjustRightInd w:val="0"/>
      <w:ind w:firstLine="570"/>
    </w:pPr>
    <w:rPr>
      <w:kern w:val="0"/>
      <w:sz w:val="32"/>
      <w:szCs w:val="32"/>
    </w:rPr>
  </w:style>
  <w:style w:type="paragraph" w:styleId="25">
    <w:name w:val="Normal (Web)"/>
    <w:basedOn w:val="1"/>
    <w:qFormat/>
    <w:uiPriority w:val="99"/>
    <w:pPr>
      <w:widowControl/>
      <w:spacing w:before="100" w:beforeAutospacing="1" w:after="100" w:afterAutospacing="1"/>
      <w:jc w:val="left"/>
    </w:pPr>
    <w:rPr>
      <w:rFonts w:ascii="宋体" w:hAnsi="宋体" w:cs="宋体"/>
      <w:sz w:val="24"/>
    </w:rPr>
  </w:style>
  <w:style w:type="paragraph" w:styleId="26">
    <w:name w:val="annotation subject"/>
    <w:basedOn w:val="12"/>
    <w:next w:val="12"/>
    <w:link w:val="102"/>
    <w:semiHidden/>
    <w:qFormat/>
    <w:uiPriority w:val="99"/>
    <w:rPr>
      <w:b/>
      <w:bCs/>
    </w:rPr>
  </w:style>
  <w:style w:type="paragraph" w:styleId="27">
    <w:name w:val="Body Text First Indent"/>
    <w:basedOn w:val="14"/>
    <w:next w:val="2"/>
    <w:link w:val="58"/>
    <w:qFormat/>
    <w:uiPriority w:val="99"/>
    <w:pPr>
      <w:ind w:firstLine="420" w:firstLineChars="100"/>
    </w:pPr>
    <w:rPr>
      <w:rFonts w:ascii="Times New Roman" w:hAnsi="Times New Roman"/>
      <w:sz w:val="18"/>
      <w:szCs w:val="18"/>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1">
    <w:name w:val="Strong"/>
    <w:basedOn w:val="30"/>
    <w:qFormat/>
    <w:uiPriority w:val="99"/>
    <w:rPr>
      <w:rFonts w:cs="Times New Roman"/>
      <w:b/>
      <w:color w:val="555555"/>
      <w:sz w:val="21"/>
      <w:szCs w:val="21"/>
      <w:bdr w:val="single" w:color="CCCCCC" w:sz="6" w:space="0"/>
      <w:shd w:val="clear" w:color="auto" w:fill="FFFFFF"/>
    </w:rPr>
  </w:style>
  <w:style w:type="character" w:styleId="32">
    <w:name w:val="endnote reference"/>
    <w:qFormat/>
    <w:locked/>
    <w:uiPriority w:val="0"/>
    <w:rPr>
      <w:vertAlign w:val="superscript"/>
    </w:rPr>
  </w:style>
  <w:style w:type="character" w:styleId="33">
    <w:name w:val="page number"/>
    <w:qFormat/>
    <w:uiPriority w:val="99"/>
    <w:rPr>
      <w:rFonts w:cs="Times New Roman"/>
    </w:rPr>
  </w:style>
  <w:style w:type="character" w:styleId="34">
    <w:name w:val="FollowedHyperlink"/>
    <w:qFormat/>
    <w:uiPriority w:val="99"/>
    <w:rPr>
      <w:rFonts w:cs="Times New Roman"/>
      <w:color w:val="333333"/>
      <w:u w:val="none"/>
    </w:rPr>
  </w:style>
  <w:style w:type="character" w:styleId="35">
    <w:name w:val="Emphasis"/>
    <w:qFormat/>
    <w:uiPriority w:val="99"/>
    <w:rPr>
      <w:rFonts w:cs="Times New Roman"/>
    </w:rPr>
  </w:style>
  <w:style w:type="character" w:styleId="36">
    <w:name w:val="HTML Definition"/>
    <w:qFormat/>
    <w:uiPriority w:val="99"/>
    <w:rPr>
      <w:rFonts w:cs="Times New Roman"/>
      <w:i/>
    </w:rPr>
  </w:style>
  <w:style w:type="character" w:styleId="37">
    <w:name w:val="Hyperlink"/>
    <w:qFormat/>
    <w:uiPriority w:val="99"/>
    <w:rPr>
      <w:rFonts w:cs="Times New Roman"/>
      <w:color w:val="333333"/>
      <w:u w:val="none"/>
    </w:rPr>
  </w:style>
  <w:style w:type="character" w:styleId="38">
    <w:name w:val="HTML Code"/>
    <w:qFormat/>
    <w:uiPriority w:val="99"/>
    <w:rPr>
      <w:rFonts w:ascii="Consolas" w:hAnsi="Consolas" w:cs="Consolas"/>
      <w:color w:val="C7254E"/>
      <w:sz w:val="21"/>
      <w:szCs w:val="21"/>
      <w:shd w:val="clear" w:color="auto" w:fill="F9F2F4"/>
    </w:rPr>
  </w:style>
  <w:style w:type="character" w:styleId="39">
    <w:name w:val="annotation reference"/>
    <w:qFormat/>
    <w:uiPriority w:val="99"/>
    <w:rPr>
      <w:rFonts w:cs="Times New Roman"/>
      <w:sz w:val="21"/>
    </w:rPr>
  </w:style>
  <w:style w:type="character" w:styleId="40">
    <w:name w:val="HTML Keyboard"/>
    <w:qFormat/>
    <w:uiPriority w:val="99"/>
    <w:rPr>
      <w:rFonts w:ascii="Consolas" w:hAnsi="Consolas" w:cs="Consolas"/>
      <w:color w:val="FFFFFF"/>
      <w:sz w:val="21"/>
      <w:szCs w:val="21"/>
      <w:shd w:val="clear" w:color="auto" w:fill="333333"/>
    </w:rPr>
  </w:style>
  <w:style w:type="character" w:styleId="41">
    <w:name w:val="HTML Sample"/>
    <w:qFormat/>
    <w:uiPriority w:val="99"/>
    <w:rPr>
      <w:rFonts w:ascii="Consolas" w:hAnsi="Consolas" w:cs="Consolas"/>
      <w:sz w:val="21"/>
      <w:szCs w:val="21"/>
    </w:rPr>
  </w:style>
  <w:style w:type="paragraph" w:customStyle="1" w:styleId="42">
    <w:name w:val="样式 首行缩进:  2 字符"/>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character" w:customStyle="1" w:styleId="43">
    <w:name w:val="标题 1 Char"/>
    <w:link w:val="4"/>
    <w:qFormat/>
    <w:locked/>
    <w:uiPriority w:val="99"/>
    <w:rPr>
      <w:rFonts w:ascii="Calibri" w:hAnsi="Calibri" w:cs="Times New Roman"/>
      <w:b/>
      <w:bCs/>
      <w:kern w:val="44"/>
      <w:sz w:val="44"/>
      <w:szCs w:val="44"/>
    </w:rPr>
  </w:style>
  <w:style w:type="character" w:customStyle="1" w:styleId="44">
    <w:name w:val="标题 2 Char"/>
    <w:link w:val="5"/>
    <w:semiHidden/>
    <w:qFormat/>
    <w:locked/>
    <w:uiPriority w:val="99"/>
    <w:rPr>
      <w:rFonts w:ascii="Cambria" w:hAnsi="Cambria" w:eastAsia="宋体" w:cs="Times New Roman"/>
      <w:b/>
      <w:bCs/>
      <w:sz w:val="32"/>
      <w:szCs w:val="32"/>
    </w:rPr>
  </w:style>
  <w:style w:type="character" w:customStyle="1" w:styleId="45">
    <w:name w:val="标题 3 Char"/>
    <w:link w:val="6"/>
    <w:semiHidden/>
    <w:qFormat/>
    <w:locked/>
    <w:uiPriority w:val="99"/>
    <w:rPr>
      <w:rFonts w:ascii="Calibri" w:hAnsi="Calibri" w:cs="Times New Roman"/>
      <w:b/>
      <w:bCs/>
      <w:sz w:val="32"/>
      <w:szCs w:val="32"/>
    </w:rPr>
  </w:style>
  <w:style w:type="character" w:customStyle="1" w:styleId="46">
    <w:name w:val="标题 4 Char"/>
    <w:link w:val="7"/>
    <w:semiHidden/>
    <w:qFormat/>
    <w:locked/>
    <w:uiPriority w:val="99"/>
    <w:rPr>
      <w:rFonts w:ascii="Cambria" w:hAnsi="Cambria" w:eastAsia="宋体" w:cs="Times New Roman"/>
      <w:b/>
      <w:bCs/>
      <w:sz w:val="28"/>
      <w:szCs w:val="28"/>
    </w:rPr>
  </w:style>
  <w:style w:type="character" w:customStyle="1" w:styleId="47">
    <w:name w:val="正文文本 Char"/>
    <w:link w:val="14"/>
    <w:semiHidden/>
    <w:qFormat/>
    <w:locked/>
    <w:uiPriority w:val="99"/>
    <w:rPr>
      <w:rFonts w:ascii="Calibri" w:hAnsi="Calibri" w:cs="Times New Roman"/>
      <w:sz w:val="24"/>
      <w:szCs w:val="24"/>
    </w:rPr>
  </w:style>
  <w:style w:type="character" w:customStyle="1" w:styleId="48">
    <w:name w:val="批注文字 Char"/>
    <w:link w:val="12"/>
    <w:semiHidden/>
    <w:qFormat/>
    <w:locked/>
    <w:uiPriority w:val="99"/>
    <w:rPr>
      <w:rFonts w:ascii="Calibri" w:hAnsi="Calibri" w:cs="Times New Roman"/>
      <w:sz w:val="24"/>
      <w:szCs w:val="24"/>
    </w:rPr>
  </w:style>
  <w:style w:type="character" w:customStyle="1" w:styleId="49">
    <w:name w:val="称呼 Char"/>
    <w:link w:val="13"/>
    <w:semiHidden/>
    <w:qFormat/>
    <w:locked/>
    <w:uiPriority w:val="99"/>
    <w:rPr>
      <w:rFonts w:ascii="Calibri" w:hAnsi="Calibri" w:cs="Times New Roman"/>
      <w:sz w:val="24"/>
      <w:szCs w:val="24"/>
    </w:rPr>
  </w:style>
  <w:style w:type="character" w:customStyle="1" w:styleId="50">
    <w:name w:val="正文文本缩进 Char"/>
    <w:link w:val="3"/>
    <w:semiHidden/>
    <w:qFormat/>
    <w:locked/>
    <w:uiPriority w:val="99"/>
    <w:rPr>
      <w:rFonts w:ascii="Calibri" w:hAnsi="Calibri" w:cs="Times New Roman"/>
      <w:sz w:val="24"/>
      <w:szCs w:val="24"/>
    </w:rPr>
  </w:style>
  <w:style w:type="character" w:customStyle="1" w:styleId="51">
    <w:name w:val="纯文本 Char"/>
    <w:link w:val="15"/>
    <w:semiHidden/>
    <w:qFormat/>
    <w:locked/>
    <w:uiPriority w:val="99"/>
    <w:rPr>
      <w:rFonts w:ascii="宋体" w:hAnsi="Courier New" w:cs="Courier New"/>
      <w:sz w:val="21"/>
      <w:szCs w:val="21"/>
    </w:rPr>
  </w:style>
  <w:style w:type="character" w:customStyle="1" w:styleId="52">
    <w:name w:val="日期 Char"/>
    <w:link w:val="16"/>
    <w:semiHidden/>
    <w:qFormat/>
    <w:locked/>
    <w:uiPriority w:val="99"/>
    <w:rPr>
      <w:rFonts w:ascii="Calibri" w:hAnsi="Calibri" w:cs="Times New Roman"/>
      <w:sz w:val="24"/>
      <w:szCs w:val="24"/>
    </w:rPr>
  </w:style>
  <w:style w:type="character" w:customStyle="1" w:styleId="53">
    <w:name w:val="正文文本缩进 2 Char"/>
    <w:link w:val="17"/>
    <w:semiHidden/>
    <w:qFormat/>
    <w:locked/>
    <w:uiPriority w:val="99"/>
    <w:rPr>
      <w:rFonts w:ascii="Calibri" w:hAnsi="Calibri" w:cs="Times New Roman"/>
      <w:sz w:val="24"/>
      <w:szCs w:val="24"/>
    </w:rPr>
  </w:style>
  <w:style w:type="character" w:customStyle="1" w:styleId="54">
    <w:name w:val="批注框文本 Char"/>
    <w:link w:val="19"/>
    <w:qFormat/>
    <w:locked/>
    <w:uiPriority w:val="99"/>
    <w:rPr>
      <w:rFonts w:ascii="Calibri" w:hAnsi="Calibri" w:eastAsia="宋体" w:cs="Times New Roman"/>
      <w:kern w:val="2"/>
      <w:sz w:val="18"/>
      <w:szCs w:val="18"/>
    </w:rPr>
  </w:style>
  <w:style w:type="character" w:customStyle="1" w:styleId="55">
    <w:name w:val="页脚 Char"/>
    <w:link w:val="20"/>
    <w:semiHidden/>
    <w:qFormat/>
    <w:locked/>
    <w:uiPriority w:val="99"/>
    <w:rPr>
      <w:rFonts w:ascii="Calibri" w:hAnsi="Calibri" w:cs="Times New Roman"/>
      <w:sz w:val="18"/>
      <w:szCs w:val="18"/>
    </w:rPr>
  </w:style>
  <w:style w:type="character" w:customStyle="1" w:styleId="56">
    <w:name w:val="页眉 Char"/>
    <w:link w:val="21"/>
    <w:semiHidden/>
    <w:qFormat/>
    <w:locked/>
    <w:uiPriority w:val="99"/>
    <w:rPr>
      <w:rFonts w:ascii="Calibri" w:hAnsi="Calibri" w:cs="Times New Roman"/>
      <w:sz w:val="18"/>
      <w:szCs w:val="18"/>
    </w:rPr>
  </w:style>
  <w:style w:type="character" w:customStyle="1" w:styleId="57">
    <w:name w:val="正文文本缩进 3 Char"/>
    <w:link w:val="24"/>
    <w:semiHidden/>
    <w:qFormat/>
    <w:locked/>
    <w:uiPriority w:val="99"/>
    <w:rPr>
      <w:rFonts w:ascii="Calibri" w:hAnsi="Calibri" w:cs="Times New Roman"/>
      <w:sz w:val="16"/>
      <w:szCs w:val="16"/>
    </w:rPr>
  </w:style>
  <w:style w:type="character" w:customStyle="1" w:styleId="58">
    <w:name w:val="正文首行缩进 Char"/>
    <w:basedOn w:val="47"/>
    <w:link w:val="27"/>
    <w:semiHidden/>
    <w:qFormat/>
    <w:locked/>
    <w:uiPriority w:val="99"/>
    <w:rPr>
      <w:rFonts w:ascii="Calibri" w:hAnsi="Calibri" w:cs="Times New Roman"/>
      <w:sz w:val="24"/>
      <w:szCs w:val="24"/>
    </w:rPr>
  </w:style>
  <w:style w:type="character" w:customStyle="1" w:styleId="59">
    <w:name w:val="正文首行缩进 2 Char"/>
    <w:basedOn w:val="50"/>
    <w:link w:val="2"/>
    <w:semiHidden/>
    <w:qFormat/>
    <w:locked/>
    <w:uiPriority w:val="99"/>
    <w:rPr>
      <w:rFonts w:ascii="Calibri" w:hAnsi="Calibri" w:cs="Times New Roman"/>
      <w:sz w:val="24"/>
      <w:szCs w:val="24"/>
    </w:rPr>
  </w:style>
  <w:style w:type="paragraph" w:customStyle="1" w:styleId="60">
    <w:name w:val="Char"/>
    <w:basedOn w:val="1"/>
    <w:qFormat/>
    <w:uiPriority w:val="99"/>
    <w:pPr>
      <w:spacing w:line="360" w:lineRule="auto"/>
    </w:pPr>
    <w:rPr>
      <w:rFonts w:ascii="仿宋_GB2312" w:eastAsia="仿宋_GB2312"/>
      <w:b/>
      <w:sz w:val="32"/>
    </w:rPr>
  </w:style>
  <w:style w:type="paragraph" w:customStyle="1" w:styleId="61">
    <w:name w:val="TOC 标题1"/>
    <w:basedOn w:val="4"/>
    <w:next w:val="1"/>
    <w:qFormat/>
    <w:uiPriority w:val="99"/>
    <w:pPr>
      <w:outlineLvl w:val="9"/>
    </w:pPr>
    <w:rPr>
      <w:rFonts w:ascii="Calibri" w:hAnsi="Calibri"/>
    </w:rPr>
  </w:style>
  <w:style w:type="paragraph" w:customStyle="1" w:styleId="62">
    <w:name w:val="正文+首行缩进2字符"/>
    <w:basedOn w:val="1"/>
    <w:qFormat/>
    <w:uiPriority w:val="99"/>
    <w:pPr>
      <w:adjustRightInd w:val="0"/>
      <w:snapToGrid w:val="0"/>
      <w:spacing w:before="100" w:beforeAutospacing="1" w:after="100" w:afterAutospacing="1"/>
    </w:pPr>
    <w:rPr>
      <w:rFonts w:ascii="宋体" w:hAnsi="宋体"/>
      <w:spacing w:val="10"/>
      <w:kern w:val="0"/>
    </w:rPr>
  </w:style>
  <w:style w:type="paragraph" w:customStyle="1" w:styleId="63">
    <w:name w:val="title13"/>
    <w:basedOn w:val="1"/>
    <w:qFormat/>
    <w:uiPriority w:val="99"/>
    <w:pPr>
      <w:spacing w:before="150"/>
      <w:jc w:val="left"/>
    </w:pPr>
    <w:rPr>
      <w:b/>
      <w:kern w:val="0"/>
      <w:sz w:val="22"/>
      <w:szCs w:val="22"/>
    </w:rPr>
  </w:style>
  <w:style w:type="paragraph" w:customStyle="1" w:styleId="64">
    <w:name w:val="列出段落1"/>
    <w:basedOn w:val="1"/>
    <w:qFormat/>
    <w:uiPriority w:val="99"/>
    <w:pPr>
      <w:ind w:firstLine="420" w:firstLineChars="200"/>
    </w:pPr>
  </w:style>
  <w:style w:type="paragraph" w:customStyle="1" w:styleId="65">
    <w:name w:val="WPSOffice手动目录 1"/>
    <w:qFormat/>
    <w:uiPriority w:val="99"/>
    <w:rPr>
      <w:rFonts w:ascii="Times New Roman" w:hAnsi="Times New Roman" w:eastAsia="宋体" w:cs="Times New Roman"/>
      <w:lang w:val="en-US" w:eastAsia="zh-CN" w:bidi="ar-SA"/>
    </w:rPr>
  </w:style>
  <w:style w:type="paragraph" w:customStyle="1" w:styleId="66">
    <w:name w:val="Char1"/>
    <w:basedOn w:val="1"/>
    <w:qFormat/>
    <w:uiPriority w:val="99"/>
    <w:rPr>
      <w:rFonts w:ascii="Times New Roman" w:hAnsi="Times New Roman"/>
      <w:szCs w:val="21"/>
    </w:rPr>
  </w:style>
  <w:style w:type="paragraph" w:customStyle="1" w:styleId="67">
    <w:name w:val="title11"/>
    <w:basedOn w:val="1"/>
    <w:qFormat/>
    <w:uiPriority w:val="99"/>
    <w:pPr>
      <w:spacing w:before="150" w:line="450" w:lineRule="atLeast"/>
      <w:jc w:val="left"/>
    </w:pPr>
    <w:rPr>
      <w:b/>
      <w:kern w:val="0"/>
      <w:sz w:val="24"/>
    </w:rPr>
  </w:style>
  <w:style w:type="paragraph" w:customStyle="1" w:styleId="68">
    <w:name w:val="Char Char4 Char Char Char Char"/>
    <w:basedOn w:val="1"/>
    <w:qFormat/>
    <w:uiPriority w:val="99"/>
    <w:pPr>
      <w:spacing w:line="440" w:lineRule="atLeast"/>
      <w:ind w:firstLine="482" w:firstLineChars="200"/>
    </w:pPr>
    <w:rPr>
      <w:rFonts w:ascii="宋体" w:hAnsi="宋体"/>
      <w:b/>
      <w:color w:val="000000"/>
      <w:sz w:val="24"/>
    </w:rPr>
  </w:style>
  <w:style w:type="paragraph" w:customStyle="1" w:styleId="69">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70">
    <w:name w:val="title1"/>
    <w:basedOn w:val="1"/>
    <w:qFormat/>
    <w:uiPriority w:val="99"/>
    <w:pPr>
      <w:spacing w:before="150" w:line="450" w:lineRule="atLeast"/>
      <w:jc w:val="left"/>
    </w:pPr>
    <w:rPr>
      <w:b/>
      <w:kern w:val="0"/>
      <w:sz w:val="24"/>
    </w:rPr>
  </w:style>
  <w:style w:type="paragraph" w:customStyle="1" w:styleId="71">
    <w:name w:val="列出段落11"/>
    <w:basedOn w:val="1"/>
    <w:qFormat/>
    <w:uiPriority w:val="99"/>
    <w:pPr>
      <w:ind w:firstLine="420" w:firstLineChars="200"/>
    </w:pPr>
  </w:style>
  <w:style w:type="paragraph" w:customStyle="1" w:styleId="72">
    <w:name w:val="1正文"/>
    <w:basedOn w:val="25"/>
    <w:qFormat/>
    <w:uiPriority w:val="99"/>
    <w:pPr>
      <w:spacing w:beforeAutospacing="0" w:afterAutospacing="0" w:line="360" w:lineRule="auto"/>
      <w:ind w:firstLine="960" w:firstLineChars="200"/>
      <w:jc w:val="both"/>
    </w:pPr>
    <w:rPr>
      <w:rFonts w:ascii="Times New Roman" w:hAnsi="Times New Roman" w:cs="Times New Roman"/>
      <w:kern w:val="0"/>
    </w:rPr>
  </w:style>
  <w:style w:type="paragraph" w:customStyle="1" w:styleId="73">
    <w:name w:val="Table Paragraph"/>
    <w:basedOn w:val="1"/>
    <w:qFormat/>
    <w:uiPriority w:val="99"/>
    <w:rPr>
      <w:rFonts w:ascii="宋体" w:hAnsi="宋体" w:cs="宋体"/>
      <w:lang w:val="zh-CN"/>
    </w:rPr>
  </w:style>
  <w:style w:type="paragraph" w:customStyle="1" w:styleId="74">
    <w:name w:val="xl48"/>
    <w:basedOn w:val="1"/>
    <w:qFormat/>
    <w:uiPriority w:val="99"/>
    <w:pPr>
      <w:widowControl/>
      <w:pBdr>
        <w:bottom w:val="single" w:color="auto" w:sz="4" w:space="0"/>
      </w:pBdr>
      <w:spacing w:before="100" w:beforeAutospacing="1" w:after="100" w:afterAutospacing="1"/>
      <w:jc w:val="center"/>
    </w:pPr>
    <w:rPr>
      <w:kern w:val="0"/>
      <w:sz w:val="24"/>
    </w:rPr>
  </w:style>
  <w:style w:type="paragraph" w:customStyle="1" w:styleId="75">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customStyle="1" w:styleId="76">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7">
    <w:name w:val="reader-word-layer reader-word-s34-5"/>
    <w:basedOn w:val="1"/>
    <w:qFormat/>
    <w:uiPriority w:val="99"/>
    <w:pPr>
      <w:widowControl/>
      <w:spacing w:before="100" w:beforeAutospacing="1" w:after="100" w:afterAutospacing="1"/>
      <w:jc w:val="left"/>
    </w:pPr>
    <w:rPr>
      <w:rFonts w:ascii="宋体" w:hAnsi="宋体" w:cs="宋体"/>
      <w:kern w:val="0"/>
      <w:sz w:val="24"/>
    </w:rPr>
  </w:style>
  <w:style w:type="paragraph" w:customStyle="1" w:styleId="78">
    <w:name w:val="title12"/>
    <w:basedOn w:val="1"/>
    <w:qFormat/>
    <w:uiPriority w:val="99"/>
    <w:pPr>
      <w:spacing w:before="150"/>
      <w:jc w:val="left"/>
    </w:pPr>
    <w:rPr>
      <w:b/>
      <w:kern w:val="0"/>
      <w:sz w:val="22"/>
      <w:szCs w:val="22"/>
    </w:rPr>
  </w:style>
  <w:style w:type="character" w:customStyle="1" w:styleId="79">
    <w:name w:val="button"/>
    <w:qFormat/>
    <w:uiPriority w:val="99"/>
    <w:rPr>
      <w:rFonts w:cs="Times New Roman"/>
    </w:rPr>
  </w:style>
  <w:style w:type="character" w:customStyle="1" w:styleId="80">
    <w:name w:val="old"/>
    <w:qFormat/>
    <w:uiPriority w:val="99"/>
    <w:rPr>
      <w:rFonts w:cs="Times New Roman"/>
      <w:color w:val="999999"/>
    </w:rPr>
  </w:style>
  <w:style w:type="character" w:customStyle="1" w:styleId="81">
    <w:name w:val="indent"/>
    <w:qFormat/>
    <w:uiPriority w:val="99"/>
    <w:rPr>
      <w:rFonts w:cs="Times New Roman"/>
    </w:rPr>
  </w:style>
  <w:style w:type="character" w:customStyle="1" w:styleId="82">
    <w:name w:val="tmpztreemove_arrow"/>
    <w:qFormat/>
    <w:uiPriority w:val="99"/>
    <w:rPr>
      <w:rFonts w:cs="Times New Roman"/>
      <w:shd w:val="clear" w:color="auto" w:fill="FFFFFF"/>
    </w:rPr>
  </w:style>
  <w:style w:type="character" w:customStyle="1" w:styleId="83">
    <w:name w:val="font21"/>
    <w:qFormat/>
    <w:uiPriority w:val="99"/>
    <w:rPr>
      <w:rFonts w:ascii="宋体" w:hAnsi="宋体" w:eastAsia="宋体" w:cs="宋体"/>
      <w:color w:val="333333"/>
      <w:sz w:val="24"/>
      <w:szCs w:val="24"/>
      <w:u w:val="none"/>
    </w:rPr>
  </w:style>
  <w:style w:type="character" w:customStyle="1" w:styleId="84">
    <w:name w:val="hour_pm"/>
    <w:qFormat/>
    <w:uiPriority w:val="99"/>
    <w:rPr>
      <w:rFonts w:cs="Times New Roman"/>
    </w:rPr>
  </w:style>
  <w:style w:type="character" w:customStyle="1" w:styleId="85">
    <w:name w:val="hour_am"/>
    <w:qFormat/>
    <w:uiPriority w:val="99"/>
    <w:rPr>
      <w:rFonts w:cs="Times New Roman"/>
    </w:rPr>
  </w:style>
  <w:style w:type="character" w:customStyle="1" w:styleId="86">
    <w:name w:val="hover3"/>
    <w:qFormat/>
    <w:uiPriority w:val="99"/>
    <w:rPr>
      <w:rFonts w:cs="Times New Roman"/>
      <w:shd w:val="clear" w:color="auto" w:fill="EEEEEE"/>
    </w:rPr>
  </w:style>
  <w:style w:type="character" w:customStyle="1" w:styleId="87">
    <w:name w:val="glyphicon4"/>
    <w:qFormat/>
    <w:uiPriority w:val="99"/>
    <w:rPr>
      <w:rFonts w:cs="Times New Roman"/>
    </w:rPr>
  </w:style>
  <w:style w:type="character" w:customStyle="1" w:styleId="88">
    <w:name w:val="beforeinfotext"/>
    <w:qFormat/>
    <w:uiPriority w:val="99"/>
    <w:rPr>
      <w:rFonts w:cs="Times New Roman"/>
      <w:color w:val="666666"/>
    </w:rPr>
  </w:style>
  <w:style w:type="character" w:customStyle="1" w:styleId="89">
    <w:name w:val="proollist"/>
    <w:qFormat/>
    <w:uiPriority w:val="99"/>
    <w:rPr>
      <w:rFonts w:cs="Times New Roman"/>
    </w:rPr>
  </w:style>
  <w:style w:type="character" w:customStyle="1" w:styleId="90">
    <w:name w:val="stclosebtn"/>
    <w:qFormat/>
    <w:uiPriority w:val="99"/>
    <w:rPr>
      <w:rFonts w:cs="Times New Roman"/>
    </w:rPr>
  </w:style>
  <w:style w:type="character" w:customStyle="1" w:styleId="91">
    <w:name w:val="phone"/>
    <w:qFormat/>
    <w:uiPriority w:val="99"/>
    <w:rPr>
      <w:rFonts w:cs="Times New Roman"/>
      <w:color w:val="FF8833"/>
      <w:sz w:val="18"/>
      <w:szCs w:val="18"/>
    </w:rPr>
  </w:style>
  <w:style w:type="character" w:customStyle="1" w:styleId="92">
    <w:name w:val="number"/>
    <w:qFormat/>
    <w:uiPriority w:val="99"/>
    <w:rPr>
      <w:rFonts w:cs="Times New Roman"/>
      <w:color w:val="FF8833"/>
      <w:sz w:val="18"/>
      <w:szCs w:val="18"/>
    </w:rPr>
  </w:style>
  <w:style w:type="character" w:customStyle="1" w:styleId="93">
    <w:name w:val="active6"/>
    <w:qFormat/>
    <w:uiPriority w:val="99"/>
    <w:rPr>
      <w:rFonts w:cs="Times New Roman"/>
      <w:color w:val="00FF00"/>
      <w:shd w:val="clear" w:color="auto" w:fill="000000"/>
    </w:rPr>
  </w:style>
  <w:style w:type="character" w:customStyle="1" w:styleId="94">
    <w:name w:val="span-long"/>
    <w:qFormat/>
    <w:uiPriority w:val="99"/>
    <w:rPr>
      <w:rFonts w:cs="Times New Roman"/>
    </w:rPr>
  </w:style>
  <w:style w:type="character" w:customStyle="1" w:styleId="95">
    <w:name w:val="input-direction"/>
    <w:qFormat/>
    <w:uiPriority w:val="99"/>
    <w:rPr>
      <w:rFonts w:cs="Times New Roman"/>
      <w:color w:val="FF6600"/>
    </w:rPr>
  </w:style>
  <w:style w:type="character" w:customStyle="1" w:styleId="96">
    <w:name w:val="hilite6"/>
    <w:qFormat/>
    <w:uiPriority w:val="99"/>
    <w:rPr>
      <w:rFonts w:cs="Times New Roman"/>
      <w:color w:val="FFFFFF"/>
      <w:shd w:val="clear" w:color="auto" w:fill="666677"/>
    </w:rPr>
  </w:style>
  <w:style w:type="character" w:customStyle="1" w:styleId="97">
    <w:name w:val="hilite"/>
    <w:qFormat/>
    <w:uiPriority w:val="99"/>
    <w:rPr>
      <w:rFonts w:cs="Times New Roman"/>
      <w:color w:val="FFFFFF"/>
      <w:shd w:val="clear" w:color="auto" w:fill="666677"/>
    </w:rPr>
  </w:style>
  <w:style w:type="character" w:customStyle="1" w:styleId="98">
    <w:name w:val="active"/>
    <w:qFormat/>
    <w:uiPriority w:val="99"/>
    <w:rPr>
      <w:rFonts w:cs="Times New Roman"/>
      <w:color w:val="00FF00"/>
      <w:shd w:val="clear" w:color="auto" w:fill="000000"/>
    </w:rPr>
  </w:style>
  <w:style w:type="paragraph" w:customStyle="1" w:styleId="99">
    <w:name w:val="List Paragraph1"/>
    <w:basedOn w:val="1"/>
    <w:qFormat/>
    <w:uiPriority w:val="99"/>
    <w:pPr>
      <w:ind w:firstLine="420" w:firstLineChars="200"/>
    </w:pPr>
    <w:rPr>
      <w:szCs w:val="22"/>
    </w:rPr>
  </w:style>
  <w:style w:type="character" w:customStyle="1" w:styleId="100">
    <w:name w:val="font31"/>
    <w:qFormat/>
    <w:uiPriority w:val="99"/>
    <w:rPr>
      <w:rFonts w:ascii="Times New Roman" w:hAnsi="Times New Roman" w:cs="Times New Roman"/>
      <w:color w:val="000000"/>
      <w:sz w:val="18"/>
      <w:szCs w:val="18"/>
      <w:u w:val="none"/>
    </w:rPr>
  </w:style>
  <w:style w:type="character" w:customStyle="1" w:styleId="101">
    <w:name w:val="font121"/>
    <w:qFormat/>
    <w:uiPriority w:val="99"/>
    <w:rPr>
      <w:rFonts w:ascii="宋体" w:hAnsi="宋体" w:eastAsia="宋体" w:cs="宋体"/>
      <w:color w:val="000000"/>
      <w:sz w:val="18"/>
      <w:szCs w:val="18"/>
      <w:u w:val="none"/>
    </w:rPr>
  </w:style>
  <w:style w:type="character" w:customStyle="1" w:styleId="102">
    <w:name w:val="批注主题 Char"/>
    <w:link w:val="26"/>
    <w:semiHidden/>
    <w:qFormat/>
    <w:locked/>
    <w:uiPriority w:val="99"/>
    <w:rPr>
      <w:rFonts w:ascii="Calibri" w:hAnsi="Calibri" w:cs="Times New Roman"/>
      <w:b/>
      <w:bCs/>
      <w:sz w:val="24"/>
      <w:szCs w:val="24"/>
    </w:rPr>
  </w:style>
  <w:style w:type="paragraph" w:customStyle="1" w:styleId="103">
    <w:name w:val="4"/>
    <w:basedOn w:val="1"/>
    <w:qFormat/>
    <w:uiPriority w:val="99"/>
    <w:pPr>
      <w:ind w:firstLine="480"/>
    </w:pPr>
    <w:rPr>
      <w:rFonts w:cs="宋体"/>
      <w:sz w:val="24"/>
      <w:szCs w:val="20"/>
    </w:rPr>
  </w:style>
  <w:style w:type="paragraph" w:customStyle="1" w:styleId="104">
    <w:name w:val="正文文本 (2)"/>
    <w:basedOn w:val="1"/>
    <w:qFormat/>
    <w:uiPriority w:val="0"/>
    <w:pPr>
      <w:shd w:val="clear" w:color="auto" w:fill="FFFFFF"/>
      <w:spacing w:after="120" w:line="0" w:lineRule="atLeast"/>
      <w:ind w:hanging="440"/>
      <w:jc w:val="left"/>
    </w:pPr>
    <w:rPr>
      <w:rFonts w:ascii="MingLiU" w:hAnsi="MingLiU" w:eastAsia="MingLiU" w:cs="MingLiU"/>
      <w:kern w:val="0"/>
      <w:sz w:val="20"/>
      <w:szCs w:val="20"/>
    </w:rPr>
  </w:style>
  <w:style w:type="paragraph" w:customStyle="1" w:styleId="105">
    <w:name w:val="title15"/>
    <w:basedOn w:val="1"/>
    <w:qFormat/>
    <w:uiPriority w:val="0"/>
    <w:pPr>
      <w:spacing w:before="150"/>
      <w:jc w:val="left"/>
    </w:pPr>
    <w:rPr>
      <w:b/>
      <w:kern w:val="0"/>
      <w:sz w:val="22"/>
      <w:szCs w:val="22"/>
    </w:rPr>
  </w:style>
  <w:style w:type="paragraph" w:customStyle="1" w:styleId="10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107">
    <w:name w:val="60号文"/>
    <w:basedOn w:val="14"/>
    <w:qFormat/>
    <w:uiPriority w:val="0"/>
    <w:pPr>
      <w:spacing w:after="0" w:line="360" w:lineRule="auto"/>
      <w:ind w:firstLine="200" w:firstLineChars="200"/>
    </w:pPr>
    <w:rPr>
      <w:rFonts w:eastAsia="仿宋"/>
      <w:sz w:val="24"/>
    </w:rPr>
  </w:style>
  <w:style w:type="character" w:customStyle="1" w:styleId="108">
    <w:name w:val="NormalCharacter"/>
    <w:semiHidden/>
    <w:qFormat/>
    <w:uiPriority w:val="0"/>
    <w:rPr>
      <w:rFonts w:ascii="Times New Roman" w:hAnsi="Times New Roman" w:eastAsia="宋体" w:cs="Times New Roman"/>
      <w:kern w:val="2"/>
      <w:sz w:val="21"/>
      <w:lang w:val="en-US" w:eastAsia="zh-CN" w:bidi="ar-SA"/>
    </w:rPr>
  </w:style>
  <w:style w:type="paragraph" w:customStyle="1" w:styleId="109">
    <w:name w:val="正文缩进1"/>
    <w:basedOn w:val="1"/>
    <w:qFormat/>
    <w:uiPriority w:val="0"/>
    <w:pPr>
      <w:ind w:firstLine="420" w:firstLineChars="200"/>
    </w:pPr>
  </w:style>
  <w:style w:type="paragraph" w:customStyle="1" w:styleId="110">
    <w:name w:val="_Style 109"/>
    <w:basedOn w:val="1"/>
    <w:next w:val="1"/>
    <w:qFormat/>
    <w:uiPriority w:val="0"/>
    <w:pPr>
      <w:pBdr>
        <w:bottom w:val="single" w:color="auto" w:sz="6" w:space="1"/>
      </w:pBdr>
      <w:jc w:val="center"/>
    </w:pPr>
    <w:rPr>
      <w:rFonts w:ascii="Arial" w:eastAsia="宋体"/>
      <w:vanish/>
      <w:sz w:val="16"/>
    </w:rPr>
  </w:style>
  <w:style w:type="paragraph" w:customStyle="1" w:styleId="111">
    <w:name w:val="_Style 1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miying\Library\Containers\com.kingsoft.wpsoffice.mac\Data\C:\Users\mimiying\Library\Containers\com.kingsoft.wpsoffice.mac\Data\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64</Pages>
  <Words>6518</Words>
  <Characters>37159</Characters>
  <Lines>309</Lines>
  <Paragraphs>87</Paragraphs>
  <TotalTime>0</TotalTime>
  <ScaleCrop>false</ScaleCrop>
  <LinksUpToDate>false</LinksUpToDate>
  <CharactersWithSpaces>43590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2020-07-02T03:33:00Z</dcterms:created>
  <dc:creator>Administrator</dc:creator>
  <cp:lastModifiedBy>Administrator</cp:lastModifiedBy>
  <cp:lastPrinted>2021-12-07T06:50:00Z</cp:lastPrinted>
  <dcterms:modified xsi:type="dcterms:W3CDTF">2022-06-07T09:26:11Z</dcterms:modified>
  <dc:title>政府采购</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