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sz w:val="28"/>
          <w:szCs w:val="28"/>
        </w:rPr>
      </w:pPr>
      <w:bookmarkStart w:id="0" w:name="_Toc15996"/>
      <w:r>
        <w:rPr>
          <w:rFonts w:hint="eastAsia" w:ascii="宋体" w:hAnsi="宋体" w:eastAsia="宋体" w:cs="宋体"/>
          <w:b/>
          <w:bCs/>
          <w:sz w:val="28"/>
          <w:szCs w:val="28"/>
        </w:rPr>
        <w:t>项目编号：</w:t>
      </w:r>
      <w:r>
        <w:rPr>
          <w:rFonts w:hint="eastAsia" w:ascii="宋体" w:hAnsi="宋体" w:eastAsia="宋体" w:cs="宋体"/>
          <w:b/>
          <w:bCs/>
          <w:sz w:val="28"/>
          <w:szCs w:val="28"/>
          <w:lang w:val="en-US" w:eastAsia="zh-CN"/>
        </w:rPr>
        <w:t>HXHC-2022-0061B1</w:t>
      </w:r>
    </w:p>
    <w:p>
      <w:pPr>
        <w:spacing w:line="780" w:lineRule="auto"/>
        <w:jc w:val="center"/>
        <w:rPr>
          <w:rFonts w:hint="eastAsia" w:ascii="宋体" w:hAnsi="宋体" w:eastAsia="宋体" w:cs="宋体"/>
          <w:b/>
          <w:sz w:val="44"/>
          <w:szCs w:val="44"/>
        </w:rPr>
      </w:pPr>
    </w:p>
    <w:p>
      <w:pPr>
        <w:spacing w:line="780" w:lineRule="auto"/>
        <w:jc w:val="center"/>
        <w:rPr>
          <w:rFonts w:hint="eastAsia" w:ascii="宋体" w:hAnsi="宋体" w:eastAsia="宋体" w:cs="宋体"/>
          <w:b/>
          <w:sz w:val="44"/>
          <w:szCs w:val="44"/>
        </w:rPr>
      </w:pPr>
      <w:r>
        <w:rPr>
          <w:rFonts w:hint="eastAsia" w:ascii="宋体" w:hAnsi="宋体" w:eastAsia="宋体" w:cs="宋体"/>
          <w:b/>
          <w:sz w:val="44"/>
          <w:szCs w:val="44"/>
          <w:lang w:val="en-US" w:eastAsia="zh-CN"/>
        </w:rPr>
        <w:t>镇巴县残疾人联合会2022年政府购买残疾人托养服务项目(二次)</w:t>
      </w:r>
    </w:p>
    <w:p>
      <w:pPr>
        <w:spacing w:line="780" w:lineRule="auto"/>
        <w:jc w:val="center"/>
        <w:rPr>
          <w:rFonts w:hint="eastAsia" w:ascii="宋体" w:hAnsi="宋体" w:eastAsia="宋体" w:cs="宋体"/>
          <w:b/>
          <w:sz w:val="48"/>
          <w:szCs w:val="48"/>
        </w:rPr>
      </w:pPr>
      <w:r>
        <w:rPr>
          <w:rFonts w:hint="eastAsia" w:ascii="宋体" w:hAnsi="宋体" w:eastAsia="宋体" w:cs="宋体"/>
          <w:b/>
          <w:sz w:val="48"/>
          <w:szCs w:val="48"/>
        </w:rPr>
        <w:t>竞争性磋商文件</w:t>
      </w:r>
    </w:p>
    <w:p>
      <w:pPr>
        <w:rPr>
          <w:rFonts w:hint="eastAsia" w:ascii="宋体" w:hAnsi="宋体" w:eastAsia="宋体" w:cs="宋体"/>
          <w:kern w:val="2"/>
          <w:sz w:val="28"/>
          <w:szCs w:val="28"/>
          <w:lang w:val="en-US" w:eastAsia="zh-CN" w:bidi="ar-SA"/>
        </w:rPr>
      </w:pPr>
    </w:p>
    <w:p>
      <w:pPr>
        <w:rPr>
          <w:rFonts w:hint="eastAsia" w:ascii="宋体" w:hAnsi="宋体" w:eastAsia="宋体" w:cs="宋体"/>
          <w:kern w:val="2"/>
          <w:sz w:val="28"/>
          <w:szCs w:val="28"/>
          <w:lang w:val="en-US" w:eastAsia="zh-CN" w:bidi="ar-SA"/>
        </w:rPr>
      </w:pPr>
    </w:p>
    <w:p>
      <w:pPr>
        <w:jc w:val="both"/>
        <w:rPr>
          <w:rFonts w:hint="eastAsia" w:ascii="宋体" w:hAnsi="宋体" w:eastAsia="宋体" w:cs="宋体"/>
          <w:kern w:val="2"/>
          <w:sz w:val="28"/>
          <w:szCs w:val="28"/>
          <w:lang w:val="en-US" w:eastAsia="zh-CN" w:bidi="ar-SA"/>
        </w:rPr>
      </w:pPr>
    </w:p>
    <w:p>
      <w:pPr>
        <w:pStyle w:val="6"/>
        <w:ind w:left="0" w:leftChars="0" w:firstLine="0" w:firstLineChars="0"/>
        <w:rPr>
          <w:rFonts w:hint="eastAsia" w:ascii="宋体" w:hAnsi="宋体" w:eastAsia="宋体" w:cs="宋体"/>
          <w:kern w:val="2"/>
          <w:sz w:val="28"/>
          <w:szCs w:val="28"/>
          <w:lang w:val="en-US" w:eastAsia="zh-CN" w:bidi="ar-SA"/>
        </w:rPr>
      </w:pPr>
    </w:p>
    <w:p>
      <w:pPr>
        <w:pStyle w:val="6"/>
        <w:rPr>
          <w:rFonts w:hint="eastAsia" w:ascii="宋体" w:hAnsi="宋体" w:eastAsia="宋体" w:cs="宋体"/>
          <w:kern w:val="2"/>
          <w:sz w:val="28"/>
          <w:szCs w:val="28"/>
          <w:lang w:val="en-US" w:eastAsia="zh-CN" w:bidi="ar-SA"/>
        </w:rPr>
      </w:pPr>
    </w:p>
    <w:p>
      <w:pPr>
        <w:pStyle w:val="6"/>
        <w:rPr>
          <w:rFonts w:hint="eastAsia" w:ascii="宋体" w:hAnsi="宋体" w:eastAsia="宋体" w:cs="宋体"/>
          <w:kern w:val="2"/>
          <w:sz w:val="28"/>
          <w:szCs w:val="28"/>
          <w:lang w:val="en-US" w:eastAsia="zh-CN" w:bidi="ar-SA"/>
        </w:rPr>
      </w:pPr>
    </w:p>
    <w:p>
      <w:pPr>
        <w:pStyle w:val="6"/>
        <w:rPr>
          <w:rFonts w:hint="eastAsia" w:ascii="宋体" w:hAnsi="宋体" w:eastAsia="宋体" w:cs="宋体"/>
          <w:kern w:val="2"/>
          <w:sz w:val="28"/>
          <w:szCs w:val="28"/>
          <w:lang w:val="en-US" w:eastAsia="zh-CN" w:bidi="ar-SA"/>
        </w:rPr>
      </w:pPr>
    </w:p>
    <w:p>
      <w:pPr>
        <w:pStyle w:val="6"/>
        <w:rPr>
          <w:rFonts w:hint="eastAsia" w:ascii="宋体" w:hAnsi="宋体" w:eastAsia="宋体" w:cs="宋体"/>
          <w:kern w:val="2"/>
          <w:sz w:val="28"/>
          <w:szCs w:val="28"/>
          <w:lang w:val="en-US" w:eastAsia="zh-CN" w:bidi="ar-SA"/>
        </w:rPr>
      </w:pPr>
    </w:p>
    <w:p>
      <w:pPr>
        <w:ind w:firstLine="1687" w:firstLineChars="600"/>
        <w:jc w:val="both"/>
        <w:rPr>
          <w:rFonts w:hint="eastAsia" w:ascii="宋体" w:hAnsi="宋体" w:eastAsia="宋体" w:cs="宋体"/>
          <w:b/>
          <w:bCs/>
          <w:sz w:val="28"/>
          <w:szCs w:val="28"/>
          <w:lang w:val="en-US" w:eastAsia="zh-CN"/>
        </w:rPr>
      </w:pPr>
      <w:r>
        <w:rPr>
          <w:rFonts w:hint="eastAsia" w:hAnsi="宋体" w:cs="宋体"/>
          <w:b/>
          <w:bCs/>
          <w:sz w:val="28"/>
          <w:szCs w:val="28"/>
          <w:lang w:val="en-US" w:eastAsia="zh-CN"/>
        </w:rPr>
        <w:t xml:space="preserve">  </w:t>
      </w:r>
      <w:r>
        <w:rPr>
          <w:rFonts w:hint="eastAsia" w:ascii="宋体" w:hAnsi="宋体" w:eastAsia="宋体" w:cs="宋体"/>
          <w:b/>
          <w:bCs/>
          <w:sz w:val="28"/>
          <w:szCs w:val="28"/>
          <w:lang w:eastAsia="zh-CN"/>
        </w:rPr>
        <w:t>采</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购</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人：</w:t>
      </w:r>
      <w:r>
        <w:rPr>
          <w:rFonts w:hint="eastAsia" w:ascii="宋体" w:hAnsi="宋体" w:eastAsia="宋体" w:cs="宋体"/>
          <w:b/>
          <w:bCs/>
          <w:sz w:val="28"/>
          <w:szCs w:val="28"/>
          <w:lang w:val="en-US" w:eastAsia="zh-CN"/>
        </w:rPr>
        <w:t>镇巴县残疾人联合会</w:t>
      </w:r>
    </w:p>
    <w:p>
      <w:pPr>
        <w:jc w:val="center"/>
        <w:rPr>
          <w:rFonts w:hint="eastAsia" w:ascii="宋体" w:hAnsi="宋体" w:eastAsia="宋体" w:cs="宋体"/>
          <w:b/>
          <w:bCs/>
          <w:sz w:val="28"/>
          <w:szCs w:val="28"/>
          <w:lang w:val="zh-CN" w:eastAsia="zh-CN"/>
        </w:rPr>
      </w:pPr>
      <w:r>
        <w:rPr>
          <w:rFonts w:hint="eastAsia" w:ascii="宋体" w:hAnsi="宋体" w:eastAsia="宋体" w:cs="宋体"/>
          <w:b/>
          <w:bCs/>
          <w:sz w:val="28"/>
          <w:szCs w:val="28"/>
          <w:lang w:val="zh-CN" w:eastAsia="zh-CN"/>
        </w:rPr>
        <w:t>采购代理机构：陕西恒信项目管理有限公司</w:t>
      </w:r>
    </w:p>
    <w:p>
      <w:pPr>
        <w:jc w:val="center"/>
        <w:rPr>
          <w:rFonts w:hint="eastAsia" w:ascii="宋体" w:hAnsi="宋体" w:eastAsia="宋体" w:cs="宋体"/>
          <w:b/>
          <w:bCs/>
          <w:sz w:val="28"/>
          <w:szCs w:val="28"/>
        </w:rPr>
      </w:pPr>
      <w:r>
        <w:rPr>
          <w:rFonts w:hint="eastAsia" w:ascii="宋体" w:hAnsi="宋体" w:eastAsia="宋体" w:cs="宋体"/>
          <w:b/>
          <w:bCs/>
          <w:sz w:val="28"/>
          <w:szCs w:val="28"/>
        </w:rPr>
        <w:t>二〇二</w:t>
      </w:r>
      <w:r>
        <w:rPr>
          <w:rFonts w:hint="eastAsia" w:hAnsi="宋体" w:cs="宋体"/>
          <w:b/>
          <w:bCs/>
          <w:sz w:val="28"/>
          <w:szCs w:val="28"/>
          <w:lang w:val="en-US" w:eastAsia="zh-CN"/>
        </w:rPr>
        <w:t>二</w:t>
      </w:r>
      <w:r>
        <w:rPr>
          <w:rFonts w:hint="eastAsia" w:ascii="宋体" w:hAnsi="宋体" w:eastAsia="宋体" w:cs="宋体"/>
          <w:b/>
          <w:bCs/>
          <w:sz w:val="28"/>
          <w:szCs w:val="28"/>
        </w:rPr>
        <w:t>年</w:t>
      </w:r>
      <w:r>
        <w:rPr>
          <w:rFonts w:hint="eastAsia" w:hAnsi="宋体" w:cs="宋体"/>
          <w:b/>
          <w:bCs/>
          <w:sz w:val="28"/>
          <w:szCs w:val="28"/>
          <w:lang w:val="en-US" w:eastAsia="zh-CN"/>
        </w:rPr>
        <w:t>七</w:t>
      </w:r>
      <w:r>
        <w:rPr>
          <w:rFonts w:hint="eastAsia" w:ascii="宋体" w:hAnsi="宋体" w:eastAsia="宋体" w:cs="宋体"/>
          <w:b/>
          <w:bCs/>
          <w:sz w:val="28"/>
          <w:szCs w:val="28"/>
        </w:rPr>
        <w:t>月</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spacing w:line="360" w:lineRule="auto"/>
        <w:jc w:val="center"/>
        <w:rPr>
          <w:rFonts w:hint="eastAsia" w:ascii="宋体" w:hAnsi="宋体" w:cs="宋体"/>
          <w:b/>
          <w:sz w:val="44"/>
          <w:szCs w:val="44"/>
        </w:rPr>
      </w:pPr>
      <w:r>
        <w:rPr>
          <w:rFonts w:hint="eastAsia" w:ascii="宋体" w:hAnsi="宋体" w:cs="宋体"/>
          <w:b/>
          <w:sz w:val="44"/>
          <w:szCs w:val="44"/>
        </w:rPr>
        <w:t>目    录</w:t>
      </w:r>
    </w:p>
    <w:p>
      <w:pPr>
        <w:pStyle w:val="11"/>
        <w:tabs>
          <w:tab w:val="right" w:leader="dot" w:pos="8839"/>
        </w:tabs>
        <w:spacing w:line="480" w:lineRule="auto"/>
        <w:rPr>
          <w:rFonts w:hint="eastAsia" w:ascii="宋体" w:hAnsi="宋体" w:cs="宋体"/>
          <w:sz w:val="24"/>
          <w:szCs w:val="24"/>
        </w:rPr>
      </w:pPr>
      <w:r>
        <w:rPr>
          <w:rFonts w:hint="eastAsia" w:ascii="宋体" w:hAnsi="宋体" w:cs="宋体"/>
          <w:b w:val="0"/>
          <w:caps w:val="0"/>
          <w:sz w:val="28"/>
          <w:szCs w:val="28"/>
        </w:rPr>
        <w:fldChar w:fldCharType="begin"/>
      </w:r>
      <w:r>
        <w:rPr>
          <w:rFonts w:hint="eastAsia" w:ascii="宋体" w:hAnsi="宋体" w:cs="宋体"/>
          <w:b w:val="0"/>
          <w:caps w:val="0"/>
          <w:sz w:val="28"/>
          <w:szCs w:val="28"/>
        </w:rPr>
        <w:instrText xml:space="preserve">TOC \o "1-3" \h \u </w:instrText>
      </w:r>
      <w:r>
        <w:rPr>
          <w:rFonts w:hint="eastAsia" w:ascii="宋体" w:hAnsi="宋体" w:cs="宋体"/>
          <w:b w:val="0"/>
          <w:caps w:val="0"/>
          <w:sz w:val="28"/>
          <w:szCs w:val="28"/>
        </w:rPr>
        <w:fldChar w:fldCharType="separate"/>
      </w:r>
      <w:r>
        <w:rPr>
          <w:rFonts w:hint="eastAsia" w:ascii="宋体" w:hAnsi="宋体" w:cs="宋体"/>
          <w:caps w:val="0"/>
          <w:sz w:val="24"/>
          <w:szCs w:val="24"/>
        </w:rPr>
        <w:fldChar w:fldCharType="begin"/>
      </w:r>
      <w:r>
        <w:rPr>
          <w:rFonts w:hint="eastAsia" w:ascii="宋体" w:hAnsi="宋体" w:cs="宋体"/>
          <w:caps w:val="0"/>
          <w:sz w:val="24"/>
          <w:szCs w:val="24"/>
        </w:rPr>
        <w:instrText xml:space="preserve"> HYPERLINK \l _Toc24389 </w:instrText>
      </w:r>
      <w:r>
        <w:rPr>
          <w:rFonts w:hint="eastAsia" w:ascii="宋体" w:hAnsi="宋体" w:cs="宋体"/>
          <w:caps w:val="0"/>
          <w:sz w:val="24"/>
          <w:szCs w:val="24"/>
        </w:rPr>
        <w:fldChar w:fldCharType="separate"/>
      </w:r>
      <w:r>
        <w:rPr>
          <w:rFonts w:hint="eastAsia" w:ascii="宋体" w:hAnsi="宋体" w:cs="宋体"/>
          <w:sz w:val="24"/>
          <w:szCs w:val="24"/>
        </w:rPr>
        <w:t>第一部分  竞争性磋商公</w:t>
      </w:r>
      <w:r>
        <w:rPr>
          <w:rFonts w:hint="eastAsia" w:ascii="宋体" w:hAnsi="宋体" w:cs="宋体"/>
          <w:sz w:val="24"/>
          <w:szCs w:val="24"/>
          <w:lang w:eastAsia="zh-CN"/>
        </w:rPr>
        <w:t>告</w:t>
      </w:r>
      <w:r>
        <w:rPr>
          <w:rFonts w:hint="eastAsia" w:ascii="宋体" w:hAnsi="宋体" w:cs="宋体"/>
          <w:caps w:val="0"/>
          <w:sz w:val="24"/>
          <w:szCs w:val="24"/>
        </w:rPr>
        <w:fldChar w:fldCharType="end"/>
      </w:r>
    </w:p>
    <w:p>
      <w:pPr>
        <w:pStyle w:val="11"/>
        <w:tabs>
          <w:tab w:val="right" w:leader="dot" w:pos="8839"/>
        </w:tabs>
        <w:spacing w:line="480" w:lineRule="auto"/>
        <w:rPr>
          <w:rFonts w:hint="eastAsia" w:ascii="宋体" w:hAnsi="宋体" w:cs="宋体"/>
          <w:sz w:val="24"/>
          <w:szCs w:val="24"/>
        </w:rPr>
      </w:pPr>
      <w:r>
        <w:rPr>
          <w:rFonts w:hint="eastAsia" w:ascii="宋体" w:hAnsi="宋体" w:cs="宋体"/>
          <w:caps w:val="0"/>
          <w:sz w:val="24"/>
          <w:szCs w:val="24"/>
        </w:rPr>
        <w:fldChar w:fldCharType="begin"/>
      </w:r>
      <w:r>
        <w:rPr>
          <w:rFonts w:hint="eastAsia" w:ascii="宋体" w:hAnsi="宋体" w:cs="宋体"/>
          <w:caps w:val="0"/>
          <w:sz w:val="24"/>
          <w:szCs w:val="24"/>
        </w:rPr>
        <w:instrText xml:space="preserve"> HYPERLINK \l _Toc3371 </w:instrText>
      </w:r>
      <w:r>
        <w:rPr>
          <w:rFonts w:hint="eastAsia" w:ascii="宋体" w:hAnsi="宋体" w:cs="宋体"/>
          <w:caps w:val="0"/>
          <w:sz w:val="24"/>
          <w:szCs w:val="24"/>
        </w:rPr>
        <w:fldChar w:fldCharType="separate"/>
      </w:r>
      <w:r>
        <w:rPr>
          <w:rFonts w:hint="eastAsia" w:ascii="宋体" w:hAnsi="宋体" w:cs="宋体"/>
          <w:sz w:val="24"/>
          <w:szCs w:val="24"/>
        </w:rPr>
        <w:t>第二部分  供应商须知</w:t>
      </w:r>
      <w:r>
        <w:rPr>
          <w:rFonts w:hint="eastAsia" w:ascii="宋体" w:hAnsi="宋体" w:cs="宋体"/>
          <w:caps w:val="0"/>
          <w:sz w:val="24"/>
          <w:szCs w:val="24"/>
        </w:rPr>
        <w:fldChar w:fldCharType="end"/>
      </w:r>
    </w:p>
    <w:p>
      <w:pPr>
        <w:pStyle w:val="11"/>
        <w:tabs>
          <w:tab w:val="right" w:leader="dot" w:pos="8839"/>
        </w:tabs>
        <w:spacing w:line="480" w:lineRule="auto"/>
        <w:rPr>
          <w:rFonts w:hint="eastAsia" w:ascii="宋体" w:hAnsi="宋体" w:eastAsia="宋体" w:cs="宋体"/>
          <w:sz w:val="24"/>
          <w:szCs w:val="24"/>
          <w:lang w:val="en-US" w:eastAsia="zh-CN"/>
        </w:rPr>
      </w:pPr>
      <w:r>
        <w:rPr>
          <w:rFonts w:hint="eastAsia" w:ascii="宋体" w:hAnsi="宋体" w:cs="宋体"/>
          <w:caps w:val="0"/>
          <w:sz w:val="24"/>
          <w:szCs w:val="24"/>
        </w:rPr>
        <w:fldChar w:fldCharType="begin"/>
      </w:r>
      <w:r>
        <w:rPr>
          <w:rFonts w:hint="eastAsia" w:ascii="宋体" w:hAnsi="宋体" w:cs="宋体"/>
          <w:caps w:val="0"/>
          <w:sz w:val="24"/>
          <w:szCs w:val="24"/>
        </w:rPr>
        <w:instrText xml:space="preserve"> HYPERLINK \l _Toc7098 </w:instrText>
      </w:r>
      <w:r>
        <w:rPr>
          <w:rFonts w:hint="eastAsia" w:ascii="宋体" w:hAnsi="宋体" w:cs="宋体"/>
          <w:caps w:val="0"/>
          <w:sz w:val="24"/>
          <w:szCs w:val="24"/>
        </w:rPr>
        <w:fldChar w:fldCharType="separate"/>
      </w:r>
      <w:r>
        <w:rPr>
          <w:rFonts w:hint="eastAsia" w:ascii="宋体" w:hAnsi="宋体" w:cs="宋体"/>
          <w:sz w:val="24"/>
          <w:szCs w:val="24"/>
        </w:rPr>
        <w:t>第三部分  合同条款及格式</w:t>
      </w:r>
      <w:r>
        <w:rPr>
          <w:rFonts w:hint="eastAsia" w:ascii="宋体" w:hAnsi="宋体" w:cs="宋体"/>
          <w:caps w:val="0"/>
          <w:sz w:val="24"/>
          <w:szCs w:val="24"/>
        </w:rPr>
        <w:fldChar w:fldCharType="end"/>
      </w:r>
    </w:p>
    <w:p>
      <w:pPr>
        <w:pStyle w:val="11"/>
        <w:tabs>
          <w:tab w:val="right" w:leader="dot" w:pos="8839"/>
        </w:tabs>
        <w:spacing w:line="480" w:lineRule="auto"/>
        <w:rPr>
          <w:rFonts w:hint="eastAsia" w:ascii="宋体" w:hAnsi="宋体" w:eastAsia="宋体" w:cs="宋体"/>
          <w:sz w:val="24"/>
          <w:szCs w:val="24"/>
          <w:lang w:val="en-US" w:eastAsia="zh-CN"/>
        </w:rPr>
      </w:pPr>
      <w:r>
        <w:rPr>
          <w:rFonts w:hint="eastAsia" w:ascii="宋体" w:hAnsi="宋体" w:cs="宋体"/>
          <w:caps w:val="0"/>
          <w:sz w:val="24"/>
          <w:szCs w:val="24"/>
        </w:rPr>
        <w:fldChar w:fldCharType="begin"/>
      </w:r>
      <w:r>
        <w:rPr>
          <w:rFonts w:hint="eastAsia" w:ascii="宋体" w:hAnsi="宋体" w:cs="宋体"/>
          <w:caps w:val="0"/>
          <w:sz w:val="24"/>
          <w:szCs w:val="24"/>
        </w:rPr>
        <w:instrText xml:space="preserve"> HYPERLINK \l _Toc28831 </w:instrText>
      </w:r>
      <w:r>
        <w:rPr>
          <w:rFonts w:hint="eastAsia" w:ascii="宋体" w:hAnsi="宋体" w:cs="宋体"/>
          <w:caps w:val="0"/>
          <w:sz w:val="24"/>
          <w:szCs w:val="24"/>
        </w:rPr>
        <w:fldChar w:fldCharType="separate"/>
      </w:r>
      <w:r>
        <w:rPr>
          <w:rFonts w:hint="eastAsia" w:ascii="宋体" w:hAnsi="宋体" w:cs="宋体"/>
          <w:sz w:val="24"/>
          <w:szCs w:val="24"/>
        </w:rPr>
        <w:t>第四部分  评审方法</w:t>
      </w:r>
      <w:r>
        <w:rPr>
          <w:rFonts w:hint="eastAsia" w:ascii="宋体" w:hAnsi="宋体" w:cs="宋体"/>
          <w:caps w:val="0"/>
          <w:sz w:val="24"/>
          <w:szCs w:val="24"/>
        </w:rPr>
        <w:fldChar w:fldCharType="end"/>
      </w:r>
    </w:p>
    <w:p>
      <w:pPr>
        <w:pStyle w:val="11"/>
        <w:tabs>
          <w:tab w:val="right" w:leader="dot" w:pos="8839"/>
        </w:tabs>
        <w:spacing w:line="480" w:lineRule="auto"/>
        <w:rPr>
          <w:rFonts w:hint="eastAsia" w:ascii="宋体" w:hAnsi="宋体" w:cs="宋体"/>
          <w:caps w:val="0"/>
          <w:sz w:val="24"/>
          <w:szCs w:val="24"/>
        </w:rPr>
      </w:pPr>
      <w:r>
        <w:rPr>
          <w:rFonts w:hint="eastAsia" w:ascii="宋体" w:hAnsi="宋体" w:cs="宋体"/>
          <w:caps w:val="0"/>
          <w:sz w:val="24"/>
          <w:szCs w:val="24"/>
        </w:rPr>
        <w:fldChar w:fldCharType="begin"/>
      </w:r>
      <w:r>
        <w:rPr>
          <w:rFonts w:hint="eastAsia" w:ascii="宋体" w:hAnsi="宋体" w:cs="宋体"/>
          <w:caps w:val="0"/>
          <w:sz w:val="24"/>
          <w:szCs w:val="24"/>
        </w:rPr>
        <w:instrText xml:space="preserve"> HYPERLINK \l _Toc9478 </w:instrText>
      </w:r>
      <w:r>
        <w:rPr>
          <w:rFonts w:hint="eastAsia" w:ascii="宋体" w:hAnsi="宋体" w:cs="宋体"/>
          <w:caps w:val="0"/>
          <w:sz w:val="24"/>
          <w:szCs w:val="24"/>
        </w:rPr>
        <w:fldChar w:fldCharType="separate"/>
      </w:r>
      <w:r>
        <w:rPr>
          <w:rFonts w:hint="eastAsia" w:ascii="宋体" w:hAnsi="宋体" w:cs="宋体"/>
          <w:sz w:val="24"/>
          <w:szCs w:val="24"/>
        </w:rPr>
        <w:t>第五部分  采购内容及要求</w:t>
      </w:r>
      <w:r>
        <w:rPr>
          <w:rFonts w:hint="eastAsia" w:ascii="宋体" w:hAnsi="宋体" w:cs="宋体"/>
          <w:caps w:val="0"/>
          <w:sz w:val="24"/>
          <w:szCs w:val="24"/>
        </w:rPr>
        <w:fldChar w:fldCharType="end"/>
      </w:r>
    </w:p>
    <w:p>
      <w:pPr>
        <w:pStyle w:val="11"/>
        <w:tabs>
          <w:tab w:val="right" w:leader="dot" w:pos="8839"/>
        </w:tabs>
        <w:spacing w:line="480" w:lineRule="auto"/>
        <w:rPr>
          <w:rFonts w:hint="eastAsia" w:ascii="宋体" w:hAnsi="宋体" w:eastAsia="宋体" w:cs="宋体"/>
          <w:caps w:val="0"/>
          <w:szCs w:val="28"/>
          <w:lang w:eastAsia="zh-CN"/>
        </w:rPr>
        <w:sectPr>
          <w:footnotePr>
            <w:pos w:val="beneathText"/>
          </w:footnotePr>
          <w:pgSz w:w="11906" w:h="16838"/>
          <w:pgMar w:top="1440" w:right="1423" w:bottom="1219" w:left="1644" w:header="851" w:footer="992" w:gutter="0"/>
          <w:cols w:space="720" w:num="1"/>
          <w:titlePg/>
          <w:docGrid w:linePitch="312" w:charSpace="0"/>
        </w:sectPr>
      </w:pPr>
      <w:r>
        <w:rPr>
          <w:rFonts w:hint="eastAsia" w:ascii="宋体" w:hAnsi="宋体" w:cs="宋体"/>
          <w:caps w:val="0"/>
          <w:sz w:val="24"/>
          <w:szCs w:val="24"/>
        </w:rPr>
        <w:fldChar w:fldCharType="begin"/>
      </w:r>
      <w:r>
        <w:rPr>
          <w:rFonts w:hint="eastAsia" w:ascii="宋体" w:hAnsi="宋体" w:cs="宋体"/>
          <w:caps w:val="0"/>
          <w:sz w:val="24"/>
          <w:szCs w:val="24"/>
        </w:rPr>
        <w:instrText xml:space="preserve"> HYPERLINK \l _Toc5183 </w:instrText>
      </w:r>
      <w:r>
        <w:rPr>
          <w:rFonts w:hint="eastAsia" w:ascii="宋体" w:hAnsi="宋体" w:cs="宋体"/>
          <w:caps w:val="0"/>
          <w:sz w:val="24"/>
          <w:szCs w:val="24"/>
        </w:rPr>
        <w:fldChar w:fldCharType="separate"/>
      </w:r>
      <w:r>
        <w:rPr>
          <w:rFonts w:hint="eastAsia" w:ascii="宋体" w:hAnsi="宋体" w:cs="宋体"/>
          <w:sz w:val="24"/>
          <w:szCs w:val="24"/>
        </w:rPr>
        <w:t xml:space="preserve">第六部分  </w:t>
      </w:r>
      <w:r>
        <w:rPr>
          <w:rFonts w:hint="eastAsia" w:ascii="宋体" w:hAnsi="宋体" w:cs="宋体"/>
          <w:sz w:val="24"/>
          <w:szCs w:val="24"/>
          <w:lang w:val="en-US" w:eastAsia="zh-CN"/>
        </w:rPr>
        <w:t>竞争性磋商响应文件格式</w:t>
      </w:r>
      <w:r>
        <w:rPr>
          <w:rFonts w:hint="eastAsia" w:ascii="宋体" w:hAnsi="宋体" w:cs="宋体"/>
          <w:caps w:val="0"/>
          <w:sz w:val="24"/>
          <w:szCs w:val="24"/>
        </w:rPr>
        <w:fldChar w:fldCharType="end"/>
      </w:r>
    </w:p>
    <w:p>
      <w:pPr>
        <w:pStyle w:val="3"/>
        <w:numPr>
          <w:ilvl w:val="0"/>
          <w:numId w:val="0"/>
        </w:numPr>
        <w:bidi w:val="0"/>
        <w:jc w:val="center"/>
        <w:rPr>
          <w:rFonts w:hint="eastAsia" w:ascii="仿宋" w:hAnsi="仿宋" w:eastAsia="仿宋" w:cs="仿宋"/>
          <w:b/>
          <w:bCs/>
          <w:kern w:val="0"/>
          <w:sz w:val="32"/>
          <w:szCs w:val="32"/>
          <w:highlight w:val="none"/>
          <w:lang w:val="en-US" w:eastAsia="zh-CN"/>
        </w:rPr>
      </w:pPr>
      <w:r>
        <w:rPr>
          <w:rFonts w:hint="eastAsia" w:ascii="宋体" w:hAnsi="宋体" w:cs="宋体"/>
          <w:caps w:val="0"/>
          <w:szCs w:val="28"/>
        </w:rPr>
        <w:fldChar w:fldCharType="end"/>
      </w:r>
      <w:r>
        <w:rPr>
          <w:rFonts w:hint="eastAsia" w:ascii="仿宋" w:hAnsi="仿宋" w:eastAsia="仿宋" w:cs="仿宋"/>
          <w:b/>
          <w:bCs/>
          <w:kern w:val="0"/>
          <w:sz w:val="40"/>
          <w:szCs w:val="40"/>
          <w:highlight w:val="none"/>
          <w:lang w:val="en-US" w:eastAsia="zh-CN" w:bidi="ar-SA"/>
        </w:rPr>
        <w:t>第一章 竞争性磋商公告</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仿宋" w:hAnsi="仿宋" w:eastAsia="仿宋" w:cs="仿宋"/>
          <w:b/>
          <w:bCs/>
          <w:kern w:val="0"/>
          <w:sz w:val="32"/>
          <w:szCs w:val="32"/>
          <w:highlight w:val="none"/>
          <w:lang w:val="en-US" w:eastAsia="zh-CN"/>
        </w:rPr>
      </w:pPr>
      <w:r>
        <w:rPr>
          <w:rFonts w:hint="eastAsia" w:ascii="仿宋" w:hAnsi="仿宋" w:eastAsia="仿宋" w:cs="仿宋"/>
          <w:b/>
          <w:bCs/>
          <w:kern w:val="0"/>
          <w:sz w:val="32"/>
          <w:szCs w:val="32"/>
          <w:highlight w:val="none"/>
          <w:lang w:val="en-US" w:eastAsia="zh-CN"/>
        </w:rPr>
        <w:t>镇巴县残疾人联合会2022年政府购买残疾人托养服务项目(二次)竞争性磋商公告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仿宋" w:hAnsi="仿宋" w:eastAsia="仿宋" w:cs="仿宋"/>
          <w:b/>
          <w:bCs/>
          <w:kern w:val="2"/>
          <w:sz w:val="28"/>
          <w:szCs w:val="28"/>
          <w:highlight w:val="none"/>
          <w:lang w:val="en-US" w:eastAsia="zh-CN" w:bidi="ar"/>
        </w:rPr>
      </w:pPr>
      <w:r>
        <w:rPr>
          <w:rFonts w:hint="eastAsia" w:ascii="仿宋" w:hAnsi="仿宋" w:eastAsia="仿宋" w:cs="仿宋"/>
          <w:b/>
          <w:bCs/>
          <w:kern w:val="2"/>
          <w:sz w:val="28"/>
          <w:szCs w:val="28"/>
          <w:highlight w:val="none"/>
          <w:lang w:val="en-US" w:eastAsia="zh-CN" w:bidi="ar"/>
        </w:rPr>
        <w:t>项目概况</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2022年政府购买残疾人托养服务项目采购项目的潜在供应商应在汉中市汉台区太白路西后城巷时代商务二楼获取采购文件，并于  2022年08月11日 10时30分  （北京时间）前提交响应文件。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仿宋" w:hAnsi="仿宋" w:eastAsia="仿宋" w:cs="仿宋"/>
          <w:b/>
          <w:bCs/>
          <w:kern w:val="2"/>
          <w:sz w:val="28"/>
          <w:szCs w:val="28"/>
          <w:highlight w:val="none"/>
          <w:lang w:val="en-US" w:eastAsia="zh-CN" w:bidi="ar"/>
        </w:rPr>
      </w:pPr>
      <w:r>
        <w:rPr>
          <w:rFonts w:hint="eastAsia" w:ascii="仿宋" w:hAnsi="仿宋" w:eastAsia="仿宋" w:cs="仿宋"/>
          <w:b/>
          <w:bCs/>
          <w:kern w:val="2"/>
          <w:sz w:val="28"/>
          <w:szCs w:val="28"/>
          <w:highlight w:val="none"/>
          <w:lang w:val="en-US" w:eastAsia="zh-CN" w:bidi="ar"/>
        </w:rPr>
        <w:t>一、项目基本情况</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项目编号：HXHC-2022-0061B1</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项目名称：2022年政府购买残疾人托养服务项目(二次)</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采购方式：竞争性磋商</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预算金额：600,000.00元</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采购需求：</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合同包1(2022年政府购买残疾人托养服务项目):</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合同包预算金额：600,000.00元</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合同包最高限价：600,000.00元</w:t>
      </w:r>
    </w:p>
    <w:tbl>
      <w:tblPr>
        <w:tblStyle w:val="15"/>
        <w:tblW w:w="10465" w:type="dxa"/>
        <w:tblInd w:w="-83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70"/>
        <w:gridCol w:w="1890"/>
        <w:gridCol w:w="1425"/>
        <w:gridCol w:w="1305"/>
        <w:gridCol w:w="1715"/>
        <w:gridCol w:w="2020"/>
        <w:gridCol w:w="9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71" w:hRule="atLeast"/>
          <w:tblHeader/>
        </w:trPr>
        <w:tc>
          <w:tcPr>
            <w:tcW w:w="11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b/>
                <w:bCs/>
                <w:kern w:val="2"/>
                <w:sz w:val="28"/>
                <w:szCs w:val="28"/>
                <w:highlight w:val="none"/>
                <w:lang w:val="en-US" w:eastAsia="zh-CN"/>
              </w:rPr>
            </w:pPr>
            <w:r>
              <w:rPr>
                <w:rFonts w:hint="eastAsia" w:ascii="仿宋" w:hAnsi="仿宋" w:eastAsia="仿宋" w:cs="仿宋"/>
                <w:b/>
                <w:bCs/>
                <w:kern w:val="2"/>
                <w:sz w:val="28"/>
                <w:szCs w:val="28"/>
                <w:highlight w:val="none"/>
                <w:lang w:val="en-US" w:eastAsia="zh-CN"/>
              </w:rPr>
              <w:t>品目号</w:t>
            </w:r>
          </w:p>
        </w:tc>
        <w:tc>
          <w:tcPr>
            <w:tcW w:w="18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b/>
                <w:bCs/>
                <w:kern w:val="2"/>
                <w:sz w:val="28"/>
                <w:szCs w:val="28"/>
                <w:highlight w:val="none"/>
                <w:lang w:val="en-US" w:eastAsia="zh-CN"/>
              </w:rPr>
            </w:pPr>
            <w:r>
              <w:rPr>
                <w:rFonts w:hint="eastAsia" w:ascii="仿宋" w:hAnsi="仿宋" w:eastAsia="仿宋" w:cs="仿宋"/>
                <w:b/>
                <w:bCs/>
                <w:kern w:val="2"/>
                <w:sz w:val="28"/>
                <w:szCs w:val="28"/>
                <w:highlight w:val="none"/>
                <w:lang w:val="en-US" w:eastAsia="zh-CN"/>
              </w:rPr>
              <w:t>品目名称</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b/>
                <w:bCs/>
                <w:kern w:val="2"/>
                <w:sz w:val="28"/>
                <w:szCs w:val="28"/>
                <w:highlight w:val="none"/>
                <w:lang w:val="en-US" w:eastAsia="zh-CN"/>
              </w:rPr>
            </w:pPr>
            <w:r>
              <w:rPr>
                <w:rFonts w:hint="eastAsia" w:ascii="仿宋" w:hAnsi="仿宋" w:eastAsia="仿宋" w:cs="仿宋"/>
                <w:b/>
                <w:bCs/>
                <w:kern w:val="2"/>
                <w:sz w:val="28"/>
                <w:szCs w:val="28"/>
                <w:highlight w:val="none"/>
                <w:lang w:val="en-US" w:eastAsia="zh-CN"/>
              </w:rPr>
              <w:t>采购标的</w:t>
            </w:r>
          </w:p>
        </w:tc>
        <w:tc>
          <w:tcPr>
            <w:tcW w:w="1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b/>
                <w:bCs/>
                <w:kern w:val="2"/>
                <w:sz w:val="28"/>
                <w:szCs w:val="28"/>
                <w:highlight w:val="none"/>
                <w:lang w:val="en-US" w:eastAsia="zh-CN"/>
              </w:rPr>
            </w:pPr>
            <w:r>
              <w:rPr>
                <w:rFonts w:hint="eastAsia" w:ascii="仿宋" w:hAnsi="仿宋" w:eastAsia="仿宋" w:cs="仿宋"/>
                <w:b/>
                <w:bCs/>
                <w:kern w:val="2"/>
                <w:sz w:val="28"/>
                <w:szCs w:val="28"/>
                <w:highlight w:val="none"/>
                <w:lang w:val="en-US" w:eastAsia="zh-CN"/>
              </w:rPr>
              <w:t>数量（单位）</w:t>
            </w:r>
          </w:p>
        </w:tc>
        <w:tc>
          <w:tcPr>
            <w:tcW w:w="17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b/>
                <w:bCs/>
                <w:kern w:val="2"/>
                <w:sz w:val="28"/>
                <w:szCs w:val="28"/>
                <w:highlight w:val="none"/>
                <w:lang w:val="en-US" w:eastAsia="zh-CN"/>
              </w:rPr>
            </w:pPr>
            <w:r>
              <w:rPr>
                <w:rFonts w:hint="eastAsia" w:ascii="仿宋" w:hAnsi="仿宋" w:eastAsia="仿宋" w:cs="仿宋"/>
                <w:b/>
                <w:bCs/>
                <w:kern w:val="2"/>
                <w:sz w:val="28"/>
                <w:szCs w:val="28"/>
                <w:highlight w:val="none"/>
                <w:lang w:val="en-US" w:eastAsia="zh-CN"/>
              </w:rPr>
              <w:t>技术规格、参数及要求</w:t>
            </w:r>
          </w:p>
        </w:tc>
        <w:tc>
          <w:tcPr>
            <w:tcW w:w="2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b/>
                <w:bCs/>
                <w:kern w:val="2"/>
                <w:sz w:val="28"/>
                <w:szCs w:val="28"/>
                <w:highlight w:val="none"/>
                <w:lang w:val="en-US" w:eastAsia="zh-CN"/>
              </w:rPr>
            </w:pPr>
            <w:r>
              <w:rPr>
                <w:rFonts w:hint="eastAsia" w:ascii="仿宋" w:hAnsi="仿宋" w:eastAsia="仿宋" w:cs="仿宋"/>
                <w:b/>
                <w:bCs/>
                <w:kern w:val="2"/>
                <w:sz w:val="28"/>
                <w:szCs w:val="28"/>
                <w:highlight w:val="none"/>
                <w:lang w:val="en-US" w:eastAsia="zh-CN"/>
              </w:rPr>
              <w:t>品目预算(元)</w:t>
            </w:r>
          </w:p>
        </w:tc>
        <w:tc>
          <w:tcPr>
            <w:tcW w:w="9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b/>
                <w:bCs/>
                <w:kern w:val="2"/>
                <w:sz w:val="28"/>
                <w:szCs w:val="28"/>
                <w:highlight w:val="none"/>
                <w:lang w:val="en-US" w:eastAsia="zh-CN"/>
              </w:rPr>
            </w:pPr>
            <w:r>
              <w:rPr>
                <w:rFonts w:hint="eastAsia" w:ascii="仿宋" w:hAnsi="仿宋" w:eastAsia="仿宋" w:cs="仿宋"/>
                <w:b/>
                <w:bCs/>
                <w:kern w:val="2"/>
                <w:sz w:val="28"/>
                <w:szCs w:val="28"/>
                <w:highlight w:val="none"/>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0" w:hRule="atLeast"/>
        </w:trPr>
        <w:tc>
          <w:tcPr>
            <w:tcW w:w="11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1-1</w:t>
            </w:r>
          </w:p>
        </w:tc>
        <w:tc>
          <w:tcPr>
            <w:tcW w:w="18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社会救济服务</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600000</w:t>
            </w:r>
          </w:p>
        </w:tc>
        <w:tc>
          <w:tcPr>
            <w:tcW w:w="1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1(项)</w:t>
            </w:r>
          </w:p>
        </w:tc>
        <w:tc>
          <w:tcPr>
            <w:tcW w:w="17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详见采购文件</w:t>
            </w:r>
          </w:p>
        </w:tc>
        <w:tc>
          <w:tcPr>
            <w:tcW w:w="20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600,000.00</w:t>
            </w:r>
          </w:p>
        </w:tc>
        <w:tc>
          <w:tcPr>
            <w:tcW w:w="9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w:t>
            </w:r>
          </w:p>
        </w:tc>
      </w:tr>
    </w:tbl>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本合同包不接受联合体投标</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合同履行期限：无</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2" w:firstLineChars="200"/>
        <w:jc w:val="both"/>
        <w:textAlignment w:val="auto"/>
        <w:rPr>
          <w:rFonts w:hint="eastAsia" w:ascii="仿宋" w:hAnsi="仿宋" w:eastAsia="仿宋" w:cs="仿宋"/>
          <w:b/>
          <w:bCs/>
          <w:kern w:val="2"/>
          <w:sz w:val="28"/>
          <w:szCs w:val="28"/>
          <w:highlight w:val="none"/>
          <w:lang w:val="en-US" w:eastAsia="zh-CN"/>
        </w:rPr>
      </w:pPr>
      <w:r>
        <w:rPr>
          <w:rFonts w:hint="eastAsia" w:ascii="仿宋" w:hAnsi="仿宋" w:eastAsia="仿宋" w:cs="仿宋"/>
          <w:b/>
          <w:bCs/>
          <w:kern w:val="2"/>
          <w:sz w:val="28"/>
          <w:szCs w:val="28"/>
          <w:highlight w:val="none"/>
          <w:lang w:val="en-US" w:eastAsia="zh-CN"/>
        </w:rPr>
        <w:t>二、申请人的资格要求：</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1.满足《中华人民共和国政府采购法》第二十二条规定;</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2.落实政府采购政策需满足的资格要求：</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合同包1(2022年政府购买残疾人托养服务项目)落实政府采购政策需满足的资格要求如下:</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1、《财政部国家发展改革委关于印发〈节能产品政府采购实施意见〉的通知》（财库〔2004〕185号）； </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2、《国务院办公厅关于建立政府强制采购节能产品制度的通知》（国办发〔2007〕51号）； </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3、《财政部环保总局关于环境标志产品政府采购实施的意见》（财库〔2006〕90号）；</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 4、《政府采购促进中小企业发展管理办法》（财库〔2020〕46号）；</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 5、《财政部 司法部关于政府采购支持监狱企业发展有关问题的通知》（财库〔2014〕68号）。 </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6、《三部门联合发布关于促进残疾人就业政府采购政策的通知》（财库〔2017〕141号）.</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3.本项目的特定资格要求：</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合同包1(2022年政府购买残疾人托养服务项目)特定资格要求如下:</w:t>
      </w:r>
    </w:p>
    <w:p>
      <w:pPr>
        <w:pStyle w:val="12"/>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480" w:lineRule="exact"/>
        <w:ind w:right="0" w:rightChars="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1、具有独立承担民事责任能力的法人、其他组织或自然人，并出具合法有效的营业执照或事业单位法人证书等国家规定的相关证明，自然人参与的提供其身份证明；</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 2、法定代表人直接参加磋商的，须出具法人身份证明及身份证；法定代表人授权代表参加磋商的，须出具法定代表人授权书及授权代表身份证；</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3、提供参加本次政府采购活动近三年内在经营活动中没有重大违法记录的书面声明及无不良信用记录查询结果（未被“信用中国”网站（www.creditchina.gov.cn）及“中国政府采购网（http://www.ccgp.gov.cn/）列入失信被执行人、重大税收违法案件当事人名单、政府采购严重失信行为记录名单。（提供“信用中国”“重大税收违法案件信息公布栏”“中国政府采购”完整的查询结果截图加盖投标人公章，最终查验以采购代理机构评审现场查询结果为准)。</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4、提供具备履行合同所必需的设备和专业技术能力的说明及承诺；</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5、参加政府采购活动近三年内，在经营活动中没有重大违法记录声明</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6、本项目不接受联合体磋商。</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注：1、依法免税或成立时间不满三个月的供应商，应提供相应文件证明其依法免税的证明文件；成立不满一年或开标前一年内零申报的则税收缴纳证明只需提供财务报表加盖供应商公章。</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      2、单位负责人为同一人或者存在控股、管理关系的不同单位不得同时投标。</w:t>
      </w:r>
    </w:p>
    <w:p>
      <w:pPr>
        <w:pStyle w:val="12"/>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480" w:lineRule="exact"/>
        <w:ind w:right="0" w:rightChars="0"/>
        <w:jc w:val="both"/>
        <w:textAlignment w:val="auto"/>
        <w:rPr>
          <w:rFonts w:hint="eastAsia" w:ascii="仿宋" w:hAnsi="仿宋" w:eastAsia="仿宋" w:cs="仿宋"/>
          <w:b/>
          <w:bCs/>
          <w:kern w:val="2"/>
          <w:sz w:val="28"/>
          <w:szCs w:val="28"/>
          <w:highlight w:val="none"/>
          <w:lang w:val="en-US" w:eastAsia="zh-CN"/>
        </w:rPr>
      </w:pPr>
      <w:r>
        <w:rPr>
          <w:rFonts w:hint="eastAsia" w:ascii="仿宋" w:hAnsi="仿宋" w:eastAsia="仿宋" w:cs="仿宋"/>
          <w:b/>
          <w:bCs/>
          <w:kern w:val="2"/>
          <w:sz w:val="28"/>
          <w:szCs w:val="28"/>
          <w:highlight w:val="none"/>
          <w:lang w:val="en-US" w:eastAsia="zh-CN"/>
        </w:rPr>
        <w:t>三、获取采购文件</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时间：   2022年07月28日 至 2022年08月03日 ，每天上午 08:00:00 至 12:00:00 ，下午 12:00:00 至 18:00:00 （北京时间,法定节假日除外）</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地点：汉中市汉台区太白路西后城巷时代商务二楼</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方式：现场获取</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售价： 500元</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b/>
          <w:bCs/>
          <w:kern w:val="2"/>
          <w:sz w:val="28"/>
          <w:szCs w:val="28"/>
          <w:highlight w:val="none"/>
          <w:lang w:val="en-US" w:eastAsia="zh-CN"/>
        </w:rPr>
      </w:pPr>
      <w:r>
        <w:rPr>
          <w:rFonts w:hint="eastAsia" w:ascii="仿宋" w:hAnsi="仿宋" w:eastAsia="仿宋" w:cs="仿宋"/>
          <w:b/>
          <w:bCs/>
          <w:kern w:val="2"/>
          <w:sz w:val="28"/>
          <w:szCs w:val="28"/>
          <w:highlight w:val="none"/>
          <w:lang w:val="en-US" w:eastAsia="zh-CN"/>
        </w:rPr>
        <w:t>四、响应文件提交</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截止时间： 2022年08月11日 10时30分00秒 （北京时间）</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地点：汉中市汉台区太白路西后城巷时代商务二楼</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b/>
          <w:bCs/>
          <w:kern w:val="2"/>
          <w:sz w:val="28"/>
          <w:szCs w:val="28"/>
          <w:highlight w:val="none"/>
          <w:lang w:val="en-US" w:eastAsia="zh-CN" w:bidi="ar"/>
        </w:rPr>
      </w:pPr>
      <w:r>
        <w:rPr>
          <w:rFonts w:hint="eastAsia" w:ascii="仿宋" w:hAnsi="仿宋" w:eastAsia="仿宋" w:cs="仿宋"/>
          <w:b/>
          <w:bCs/>
          <w:kern w:val="2"/>
          <w:sz w:val="28"/>
          <w:szCs w:val="28"/>
          <w:highlight w:val="none"/>
          <w:lang w:val="en-US" w:eastAsia="zh-CN" w:bidi="ar"/>
        </w:rPr>
        <w:t>五、开启</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时间： 2022年08月11日 10时30分00秒  （北京时间）</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default"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地点：汉中市汉台区太白路西后城巷时代商务二楼205</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b/>
          <w:bCs/>
          <w:kern w:val="2"/>
          <w:sz w:val="28"/>
          <w:szCs w:val="28"/>
          <w:highlight w:val="none"/>
          <w:lang w:val="en-US" w:eastAsia="zh-CN"/>
        </w:rPr>
      </w:pPr>
      <w:r>
        <w:rPr>
          <w:rFonts w:hint="eastAsia" w:ascii="仿宋" w:hAnsi="仿宋" w:eastAsia="仿宋" w:cs="仿宋"/>
          <w:b/>
          <w:bCs/>
          <w:kern w:val="2"/>
          <w:sz w:val="28"/>
          <w:szCs w:val="28"/>
          <w:highlight w:val="none"/>
          <w:lang w:val="en-US" w:eastAsia="zh-CN"/>
        </w:rPr>
        <w:t>六、公告期限</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0" w:firstLineChars="20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自本公告发布之日起3个工作日。</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2" w:firstLineChars="200"/>
        <w:jc w:val="both"/>
        <w:textAlignment w:val="auto"/>
        <w:rPr>
          <w:rFonts w:hint="eastAsia" w:ascii="仿宋" w:hAnsi="仿宋" w:eastAsia="仿宋" w:cs="仿宋"/>
          <w:b/>
          <w:bCs/>
          <w:kern w:val="2"/>
          <w:sz w:val="28"/>
          <w:szCs w:val="28"/>
          <w:highlight w:val="none"/>
          <w:lang w:val="en-US" w:eastAsia="zh-CN" w:bidi="ar"/>
        </w:rPr>
      </w:pPr>
      <w:r>
        <w:rPr>
          <w:rFonts w:hint="eastAsia" w:ascii="仿宋" w:hAnsi="仿宋" w:eastAsia="仿宋" w:cs="仿宋"/>
          <w:b/>
          <w:bCs/>
          <w:kern w:val="2"/>
          <w:sz w:val="28"/>
          <w:szCs w:val="28"/>
          <w:highlight w:val="none"/>
          <w:lang w:val="en-US" w:eastAsia="zh-CN" w:bidi="ar"/>
        </w:rPr>
        <w:t>七、其他补充事宜</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b/>
          <w:bCs/>
          <w:kern w:val="2"/>
          <w:sz w:val="28"/>
          <w:szCs w:val="28"/>
          <w:highlight w:val="none"/>
          <w:lang w:val="en-US" w:eastAsia="zh-CN"/>
        </w:rPr>
      </w:pPr>
      <w:r>
        <w:rPr>
          <w:rFonts w:hint="eastAsia" w:ascii="仿宋" w:hAnsi="仿宋" w:eastAsia="仿宋" w:cs="仿宋"/>
          <w:b/>
          <w:bCs/>
          <w:kern w:val="2"/>
          <w:sz w:val="28"/>
          <w:szCs w:val="28"/>
          <w:highlight w:val="none"/>
          <w:lang w:val="en-US" w:eastAsia="zh-CN"/>
        </w:rPr>
        <w:t>由于近期新型冠状病毒疫情，根据陕西省人民政府《关于加强新型冠状病毒感染的肺炎防控工作的通告》要求，本项目外省及外市供应商授权一名代表到场参与报名投标，外市及外省人员提供48小时内核酸报告证明，到场人员需自备口罩等防护工具，做好个人防护。 2.领取招标文件请携带单位介绍信原件,经办人身份证原件、特定资格要求中所有证明文件原件及加盖供应商公章的复印件（原价查验后退回，复印件留存）。现场领取，谢绝邮寄。(提示:请供应商按照陕西省财政厅关于政府采购供应商注册登记有关事项的通知中的要求，通过陕西省政府采购网（http://www.ccgp-shaanxi.gov.cn/ ）注册登记加入陕西省政府采购供应商库。)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bCs/>
          <w:kern w:val="2"/>
          <w:sz w:val="28"/>
          <w:szCs w:val="28"/>
          <w:highlight w:val="none"/>
          <w:lang w:val="en-US" w:eastAsia="zh-CN" w:bidi="ar"/>
        </w:rPr>
      </w:pPr>
      <w:r>
        <w:rPr>
          <w:rFonts w:hint="eastAsia" w:ascii="仿宋" w:hAnsi="仿宋" w:eastAsia="仿宋" w:cs="仿宋"/>
          <w:b/>
          <w:bCs/>
          <w:kern w:val="2"/>
          <w:sz w:val="28"/>
          <w:szCs w:val="28"/>
          <w:highlight w:val="none"/>
          <w:lang w:val="en-US" w:eastAsia="zh-CN" w:bidi="ar"/>
        </w:rPr>
        <w:t>八、凡对本次采购提出询问，请按以下方式联系。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仿宋" w:hAnsi="仿宋" w:eastAsia="仿宋" w:cs="仿宋"/>
          <w:b w:val="0"/>
          <w:bCs w:val="0"/>
          <w:kern w:val="2"/>
          <w:sz w:val="28"/>
          <w:szCs w:val="28"/>
          <w:highlight w:val="none"/>
          <w:lang w:val="en-US" w:eastAsia="zh-CN" w:bidi="ar"/>
        </w:rPr>
      </w:pPr>
      <w:r>
        <w:rPr>
          <w:rFonts w:hint="eastAsia" w:ascii="仿宋" w:hAnsi="仿宋" w:eastAsia="仿宋" w:cs="仿宋"/>
          <w:b w:val="0"/>
          <w:bCs w:val="0"/>
          <w:kern w:val="2"/>
          <w:sz w:val="28"/>
          <w:szCs w:val="28"/>
          <w:highlight w:val="none"/>
          <w:lang w:val="en-US" w:eastAsia="zh-CN" w:bidi="ar"/>
        </w:rPr>
        <w:t>1.采购人信息</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b w:val="0"/>
          <w:bCs w:val="0"/>
          <w:kern w:val="2"/>
          <w:sz w:val="28"/>
          <w:szCs w:val="28"/>
          <w:highlight w:val="none"/>
          <w:lang w:val="en-US" w:eastAsia="zh-CN" w:bidi="ar"/>
        </w:rPr>
      </w:pPr>
      <w:r>
        <w:rPr>
          <w:rFonts w:hint="eastAsia" w:ascii="仿宋" w:hAnsi="仿宋" w:eastAsia="仿宋" w:cs="仿宋"/>
          <w:b w:val="0"/>
          <w:bCs w:val="0"/>
          <w:kern w:val="2"/>
          <w:sz w:val="28"/>
          <w:szCs w:val="28"/>
          <w:highlight w:val="none"/>
          <w:lang w:val="en-US" w:eastAsia="zh-CN" w:bidi="ar"/>
        </w:rPr>
        <w:t>名称：镇巴县残疾人联合会</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b w:val="0"/>
          <w:bCs w:val="0"/>
          <w:kern w:val="2"/>
          <w:sz w:val="28"/>
          <w:szCs w:val="28"/>
          <w:highlight w:val="none"/>
          <w:lang w:val="en-US" w:eastAsia="zh-CN" w:bidi="ar"/>
        </w:rPr>
      </w:pPr>
      <w:r>
        <w:rPr>
          <w:rFonts w:hint="eastAsia" w:ascii="仿宋" w:hAnsi="仿宋" w:eastAsia="仿宋" w:cs="仿宋"/>
          <w:b w:val="0"/>
          <w:bCs w:val="0"/>
          <w:kern w:val="2"/>
          <w:sz w:val="28"/>
          <w:szCs w:val="28"/>
          <w:highlight w:val="none"/>
          <w:lang w:val="en-US" w:eastAsia="zh-CN" w:bidi="ar"/>
        </w:rPr>
        <w:t>地址：镇巴县河西社区河滨南路</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b w:val="0"/>
          <w:bCs w:val="0"/>
          <w:kern w:val="2"/>
          <w:sz w:val="28"/>
          <w:szCs w:val="28"/>
          <w:highlight w:val="none"/>
          <w:lang w:val="en-US" w:eastAsia="zh-CN" w:bidi="ar"/>
        </w:rPr>
      </w:pPr>
      <w:r>
        <w:rPr>
          <w:rFonts w:hint="eastAsia" w:ascii="仿宋" w:hAnsi="仿宋" w:eastAsia="仿宋" w:cs="仿宋"/>
          <w:b w:val="0"/>
          <w:bCs w:val="0"/>
          <w:kern w:val="2"/>
          <w:sz w:val="28"/>
          <w:szCs w:val="28"/>
          <w:highlight w:val="none"/>
          <w:lang w:val="en-US" w:eastAsia="zh-CN" w:bidi="ar"/>
        </w:rPr>
        <w:t>联系方式：18729462888</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仿宋" w:hAnsi="仿宋" w:eastAsia="仿宋" w:cs="仿宋"/>
          <w:b w:val="0"/>
          <w:bCs w:val="0"/>
          <w:kern w:val="2"/>
          <w:sz w:val="28"/>
          <w:szCs w:val="28"/>
          <w:highlight w:val="none"/>
          <w:lang w:val="en-US" w:eastAsia="zh-CN" w:bidi="ar"/>
        </w:rPr>
      </w:pPr>
      <w:r>
        <w:rPr>
          <w:rFonts w:hint="eastAsia" w:ascii="仿宋" w:hAnsi="仿宋" w:eastAsia="仿宋" w:cs="仿宋"/>
          <w:b w:val="0"/>
          <w:bCs w:val="0"/>
          <w:kern w:val="2"/>
          <w:sz w:val="28"/>
          <w:szCs w:val="28"/>
          <w:highlight w:val="none"/>
          <w:lang w:val="en-US" w:eastAsia="zh-CN" w:bidi="ar"/>
        </w:rPr>
        <w:t>2.采购代理机构信息</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b w:val="0"/>
          <w:bCs w:val="0"/>
          <w:kern w:val="2"/>
          <w:sz w:val="28"/>
          <w:szCs w:val="28"/>
          <w:highlight w:val="none"/>
          <w:lang w:val="en-US" w:eastAsia="zh-CN" w:bidi="ar"/>
        </w:rPr>
      </w:pPr>
      <w:r>
        <w:rPr>
          <w:rFonts w:hint="eastAsia" w:ascii="仿宋" w:hAnsi="仿宋" w:eastAsia="仿宋" w:cs="仿宋"/>
          <w:b w:val="0"/>
          <w:bCs w:val="0"/>
          <w:kern w:val="2"/>
          <w:sz w:val="28"/>
          <w:szCs w:val="28"/>
          <w:highlight w:val="none"/>
          <w:lang w:val="en-US" w:eastAsia="zh-CN" w:bidi="ar"/>
        </w:rPr>
        <w:t>名称：陕西恒信项目管理有限公司</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b w:val="0"/>
          <w:bCs w:val="0"/>
          <w:kern w:val="2"/>
          <w:sz w:val="28"/>
          <w:szCs w:val="28"/>
          <w:highlight w:val="none"/>
          <w:lang w:val="en-US" w:eastAsia="zh-CN" w:bidi="ar"/>
        </w:rPr>
      </w:pPr>
      <w:r>
        <w:rPr>
          <w:rFonts w:hint="eastAsia" w:ascii="仿宋" w:hAnsi="仿宋" w:eastAsia="仿宋" w:cs="仿宋"/>
          <w:b w:val="0"/>
          <w:bCs w:val="0"/>
          <w:kern w:val="2"/>
          <w:sz w:val="28"/>
          <w:szCs w:val="28"/>
          <w:highlight w:val="none"/>
          <w:lang w:val="en-US" w:eastAsia="zh-CN" w:bidi="ar"/>
        </w:rPr>
        <w:t>地址：汉中市汉台区太白路西后城巷时代商务二楼</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b w:val="0"/>
          <w:bCs w:val="0"/>
          <w:kern w:val="2"/>
          <w:sz w:val="28"/>
          <w:szCs w:val="28"/>
          <w:highlight w:val="none"/>
          <w:lang w:val="en-US" w:eastAsia="zh-CN" w:bidi="ar"/>
        </w:rPr>
      </w:pPr>
      <w:r>
        <w:rPr>
          <w:rFonts w:hint="eastAsia" w:ascii="仿宋" w:hAnsi="仿宋" w:eastAsia="仿宋" w:cs="仿宋"/>
          <w:b w:val="0"/>
          <w:bCs w:val="0"/>
          <w:kern w:val="2"/>
          <w:sz w:val="28"/>
          <w:szCs w:val="28"/>
          <w:highlight w:val="none"/>
          <w:lang w:val="en-US" w:eastAsia="zh-CN" w:bidi="ar"/>
        </w:rPr>
        <w:t>联系方式：0916-8833131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仿宋" w:hAnsi="仿宋" w:eastAsia="仿宋" w:cs="仿宋"/>
          <w:b w:val="0"/>
          <w:bCs w:val="0"/>
          <w:kern w:val="2"/>
          <w:sz w:val="28"/>
          <w:szCs w:val="28"/>
          <w:highlight w:val="none"/>
          <w:lang w:val="en-US" w:eastAsia="zh-CN" w:bidi="ar"/>
        </w:rPr>
      </w:pPr>
      <w:r>
        <w:rPr>
          <w:rFonts w:hint="eastAsia" w:ascii="仿宋" w:hAnsi="仿宋" w:eastAsia="仿宋" w:cs="仿宋"/>
          <w:b w:val="0"/>
          <w:bCs w:val="0"/>
          <w:kern w:val="2"/>
          <w:sz w:val="28"/>
          <w:szCs w:val="28"/>
          <w:highlight w:val="none"/>
          <w:lang w:val="en-US" w:eastAsia="zh-CN" w:bidi="ar"/>
        </w:rPr>
        <w:t>3.项目联系方式</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b w:val="0"/>
          <w:bCs w:val="0"/>
          <w:kern w:val="2"/>
          <w:sz w:val="28"/>
          <w:szCs w:val="28"/>
          <w:highlight w:val="none"/>
          <w:lang w:val="en-US" w:eastAsia="zh-CN" w:bidi="ar"/>
        </w:rPr>
      </w:pPr>
      <w:r>
        <w:rPr>
          <w:rFonts w:hint="eastAsia" w:ascii="仿宋" w:hAnsi="仿宋" w:eastAsia="仿宋" w:cs="仿宋"/>
          <w:b w:val="0"/>
          <w:bCs w:val="0"/>
          <w:kern w:val="2"/>
          <w:sz w:val="28"/>
          <w:szCs w:val="28"/>
          <w:highlight w:val="none"/>
          <w:lang w:val="en-US" w:eastAsia="zh-CN" w:bidi="ar"/>
        </w:rPr>
        <w:t>项目联系人：何雅倩</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b/>
          <w:sz w:val="40"/>
          <w:szCs w:val="40"/>
          <w:highlight w:val="none"/>
        </w:rPr>
      </w:pPr>
      <w:r>
        <w:rPr>
          <w:rFonts w:hint="eastAsia" w:ascii="仿宋" w:hAnsi="仿宋" w:eastAsia="仿宋" w:cs="仿宋"/>
          <w:b w:val="0"/>
          <w:bCs w:val="0"/>
          <w:kern w:val="2"/>
          <w:sz w:val="28"/>
          <w:szCs w:val="28"/>
          <w:highlight w:val="none"/>
          <w:lang w:val="en-US" w:eastAsia="zh-CN" w:bidi="ar"/>
        </w:rPr>
        <w:t>电话：0916-8833131</w:t>
      </w:r>
      <w:bookmarkStart w:id="1" w:name="_Toc28995"/>
    </w:p>
    <w:p>
      <w:pPr>
        <w:pStyle w:val="3"/>
        <w:numPr>
          <w:ilvl w:val="0"/>
          <w:numId w:val="2"/>
        </w:numPr>
        <w:bidi w:val="0"/>
        <w:jc w:val="center"/>
        <w:rPr>
          <w:rFonts w:hint="eastAsia" w:ascii="仿宋" w:hAnsi="仿宋" w:eastAsia="仿宋" w:cs="仿宋"/>
          <w:b/>
          <w:bCs/>
          <w:kern w:val="0"/>
          <w:sz w:val="40"/>
          <w:szCs w:val="40"/>
          <w:highlight w:val="none"/>
          <w:lang w:val="en-US" w:eastAsia="zh-CN" w:bidi="ar-SA"/>
        </w:rPr>
      </w:pPr>
      <w:r>
        <w:rPr>
          <w:rFonts w:hint="eastAsia" w:ascii="仿宋" w:hAnsi="仿宋" w:eastAsia="仿宋" w:cs="仿宋"/>
          <w:b/>
          <w:bCs/>
          <w:kern w:val="0"/>
          <w:sz w:val="40"/>
          <w:szCs w:val="40"/>
          <w:highlight w:val="none"/>
          <w:lang w:val="en-US" w:eastAsia="zh-CN" w:bidi="ar-SA"/>
        </w:rPr>
        <w:t xml:space="preserve"> 供应商须知前附表</w:t>
      </w:r>
      <w:bookmarkEnd w:id="1"/>
    </w:p>
    <w:tbl>
      <w:tblPr>
        <w:tblStyle w:val="15"/>
        <w:tblpPr w:leftFromText="180" w:rightFromText="180" w:vertAnchor="text" w:horzAnchor="page" w:tblpX="940" w:tblpY="293"/>
        <w:tblOverlap w:val="never"/>
        <w:tblW w:w="10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002"/>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460" w:lineRule="exact"/>
              <w:jc w:val="center"/>
              <w:outlineLvl w:val="0"/>
              <w:rPr>
                <w:rFonts w:hint="eastAsia" w:ascii="仿宋" w:hAnsi="仿宋" w:eastAsia="仿宋" w:cs="仿宋"/>
                <w:b/>
                <w:sz w:val="28"/>
                <w:szCs w:val="28"/>
                <w:highlight w:val="none"/>
              </w:rPr>
            </w:pPr>
            <w:bookmarkStart w:id="2" w:name="_Toc1354"/>
            <w:r>
              <w:rPr>
                <w:rFonts w:hint="eastAsia" w:ascii="仿宋" w:hAnsi="仿宋" w:eastAsia="仿宋" w:cs="仿宋"/>
                <w:b/>
                <w:sz w:val="28"/>
                <w:szCs w:val="28"/>
                <w:highlight w:val="none"/>
              </w:rPr>
              <w:t>序号</w:t>
            </w:r>
            <w:bookmarkEnd w:id="2"/>
          </w:p>
        </w:tc>
        <w:tc>
          <w:tcPr>
            <w:tcW w:w="2002" w:type="dxa"/>
            <w:noWrap w:val="0"/>
            <w:vAlign w:val="center"/>
          </w:tcPr>
          <w:p>
            <w:pPr>
              <w:spacing w:line="460" w:lineRule="exact"/>
              <w:jc w:val="center"/>
              <w:outlineLvl w:val="0"/>
              <w:rPr>
                <w:rFonts w:hint="eastAsia" w:ascii="仿宋" w:hAnsi="仿宋" w:eastAsia="仿宋" w:cs="仿宋"/>
                <w:b/>
                <w:sz w:val="28"/>
                <w:szCs w:val="28"/>
                <w:highlight w:val="none"/>
              </w:rPr>
            </w:pPr>
            <w:bookmarkStart w:id="3" w:name="_Toc28050"/>
            <w:r>
              <w:rPr>
                <w:rFonts w:hint="eastAsia" w:ascii="仿宋" w:hAnsi="仿宋" w:eastAsia="仿宋" w:cs="仿宋"/>
                <w:b/>
                <w:sz w:val="28"/>
                <w:szCs w:val="28"/>
                <w:highlight w:val="none"/>
              </w:rPr>
              <w:t>内 容</w:t>
            </w:r>
            <w:bookmarkEnd w:id="3"/>
          </w:p>
        </w:tc>
        <w:tc>
          <w:tcPr>
            <w:tcW w:w="7297" w:type="dxa"/>
            <w:noWrap w:val="0"/>
            <w:vAlign w:val="center"/>
          </w:tcPr>
          <w:p>
            <w:pPr>
              <w:spacing w:line="460" w:lineRule="exact"/>
              <w:jc w:val="center"/>
              <w:outlineLvl w:val="0"/>
              <w:rPr>
                <w:rFonts w:hint="eastAsia" w:ascii="仿宋" w:hAnsi="仿宋" w:eastAsia="仿宋" w:cs="仿宋"/>
                <w:b/>
                <w:sz w:val="28"/>
                <w:szCs w:val="28"/>
                <w:highlight w:val="none"/>
              </w:rPr>
            </w:pPr>
            <w:bookmarkStart w:id="4" w:name="_Toc2900"/>
            <w:r>
              <w:rPr>
                <w:rFonts w:hint="eastAsia" w:ascii="仿宋" w:hAnsi="仿宋" w:eastAsia="仿宋" w:cs="仿宋"/>
                <w:b/>
                <w:sz w:val="28"/>
                <w:szCs w:val="28"/>
                <w:highlight w:val="none"/>
              </w:rPr>
              <w:t>说明与要求</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2002"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采购人</w:t>
            </w:r>
          </w:p>
        </w:tc>
        <w:tc>
          <w:tcPr>
            <w:tcW w:w="7297" w:type="dxa"/>
            <w:noWrap w:val="0"/>
            <w:vAlign w:val="center"/>
          </w:tcPr>
          <w:p>
            <w:pPr>
              <w:pStyle w:val="19"/>
              <w:widowControl/>
              <w:spacing w:before="0" w:line="500" w:lineRule="exact"/>
              <w:rPr>
                <w:rFonts w:hint="default" w:ascii="仿宋" w:hAnsi="仿宋" w:eastAsia="仿宋" w:cs="仿宋"/>
                <w:kern w:val="2"/>
                <w:sz w:val="28"/>
                <w:szCs w:val="28"/>
                <w:highlight w:val="none"/>
                <w:lang w:val="en-US" w:eastAsia="zh-CN"/>
              </w:rPr>
            </w:pPr>
            <w:r>
              <w:rPr>
                <w:rFonts w:hint="eastAsia" w:ascii="仿宋" w:hAnsi="仿宋" w:eastAsia="仿宋" w:cs="仿宋"/>
                <w:b w:val="0"/>
                <w:bCs w:val="0"/>
                <w:kern w:val="2"/>
                <w:sz w:val="28"/>
                <w:szCs w:val="28"/>
                <w:highlight w:val="none"/>
                <w:lang w:val="en-US" w:eastAsia="zh-CN" w:bidi="ar"/>
              </w:rPr>
              <w:t>镇巴县残疾人联合会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901"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2002" w:type="dxa"/>
            <w:noWrap w:val="0"/>
            <w:vAlign w:val="center"/>
          </w:tcPr>
          <w:p>
            <w:pPr>
              <w:spacing w:line="500" w:lineRule="exact"/>
              <w:jc w:val="both"/>
              <w:rPr>
                <w:rFonts w:hint="eastAsia" w:ascii="仿宋" w:hAnsi="仿宋" w:eastAsia="仿宋" w:cs="仿宋"/>
                <w:sz w:val="28"/>
                <w:szCs w:val="28"/>
                <w:highlight w:val="none"/>
              </w:rPr>
            </w:pPr>
          </w:p>
          <w:p>
            <w:pPr>
              <w:spacing w:line="500" w:lineRule="exact"/>
              <w:jc w:val="both"/>
              <w:rPr>
                <w:rFonts w:hint="eastAsia" w:ascii="仿宋" w:hAnsi="仿宋" w:eastAsia="仿宋" w:cs="仿宋"/>
                <w:kern w:val="0"/>
                <w:sz w:val="28"/>
                <w:szCs w:val="28"/>
                <w:highlight w:val="none"/>
              </w:rPr>
            </w:pPr>
            <w:r>
              <w:rPr>
                <w:rFonts w:hint="eastAsia" w:ascii="仿宋" w:hAnsi="仿宋" w:eastAsia="仿宋" w:cs="仿宋"/>
                <w:sz w:val="28"/>
                <w:szCs w:val="28"/>
                <w:highlight w:val="none"/>
              </w:rPr>
              <w:t>采</w:t>
            </w:r>
            <w:r>
              <w:rPr>
                <w:rFonts w:hint="eastAsia" w:ascii="仿宋" w:hAnsi="仿宋" w:eastAsia="仿宋" w:cs="仿宋"/>
                <w:kern w:val="0"/>
                <w:sz w:val="28"/>
                <w:szCs w:val="28"/>
                <w:highlight w:val="none"/>
              </w:rPr>
              <w:t>购代理机构</w:t>
            </w:r>
          </w:p>
          <w:p>
            <w:pPr>
              <w:spacing w:line="500" w:lineRule="exact"/>
              <w:jc w:val="center"/>
              <w:rPr>
                <w:rFonts w:hint="eastAsia" w:ascii="仿宋" w:hAnsi="仿宋" w:eastAsia="仿宋" w:cs="仿宋"/>
                <w:sz w:val="28"/>
                <w:szCs w:val="28"/>
                <w:highlight w:val="none"/>
              </w:rPr>
            </w:pPr>
          </w:p>
        </w:tc>
        <w:tc>
          <w:tcPr>
            <w:tcW w:w="7297" w:type="dxa"/>
            <w:noWrap w:val="0"/>
            <w:vAlign w:val="center"/>
          </w:tcPr>
          <w:p>
            <w:pPr>
              <w:spacing w:line="500" w:lineRule="exact"/>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名  称:陕西恒信项目管理有限公司</w:t>
            </w:r>
          </w:p>
          <w:p>
            <w:pPr>
              <w:spacing w:line="500" w:lineRule="exact"/>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地  址: 汉中市汉台区太白路西后城巷时代商务二楼</w:t>
            </w:r>
          </w:p>
          <w:p>
            <w:pPr>
              <w:spacing w:line="500" w:lineRule="exact"/>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联系人: 何女士</w:t>
            </w:r>
          </w:p>
          <w:p>
            <w:pPr>
              <w:spacing w:line="500" w:lineRule="exact"/>
              <w:rPr>
                <w:rFonts w:hint="default" w:ascii="仿宋" w:hAnsi="仿宋" w:eastAsia="仿宋" w:cs="仿宋"/>
                <w:sz w:val="28"/>
                <w:szCs w:val="28"/>
                <w:highlight w:val="none"/>
                <w:lang w:val="en-US"/>
              </w:rPr>
            </w:pPr>
            <w:r>
              <w:rPr>
                <w:rFonts w:hint="default" w:ascii="仿宋" w:hAnsi="仿宋" w:eastAsia="仿宋" w:cs="仿宋"/>
                <w:sz w:val="28"/>
                <w:szCs w:val="28"/>
                <w:highlight w:val="none"/>
                <w:lang w:val="en-US" w:eastAsia="zh-CN"/>
              </w:rPr>
              <w:t>电  话: 0916-8833131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2002"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7297" w:type="dxa"/>
            <w:noWrap w:val="0"/>
            <w:vAlign w:val="center"/>
          </w:tcPr>
          <w:p>
            <w:pPr>
              <w:pStyle w:val="19"/>
              <w:widowControl/>
              <w:spacing w:before="0" w:line="500" w:lineRule="exact"/>
              <w:rPr>
                <w:rFonts w:ascii="仿宋" w:hAnsi="仿宋" w:eastAsia="仿宋" w:cs="仿宋"/>
                <w:b w:val="0"/>
                <w:sz w:val="28"/>
                <w:szCs w:val="28"/>
                <w:highlight w:val="none"/>
              </w:rPr>
            </w:pPr>
            <w:bookmarkStart w:id="407" w:name="_GoBack"/>
            <w:r>
              <w:rPr>
                <w:rFonts w:hint="eastAsia" w:ascii="仿宋" w:hAnsi="仿宋" w:eastAsia="仿宋" w:cs="仿宋"/>
                <w:b w:val="0"/>
                <w:sz w:val="28"/>
                <w:szCs w:val="28"/>
                <w:highlight w:val="none"/>
                <w:lang w:val="en-US" w:eastAsia="zh-CN"/>
              </w:rPr>
              <w:t>2022年政府购买残疾人托养服务项目(二次)</w:t>
            </w:r>
            <w:bookmarkEnd w:id="4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2002"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7297" w:type="dxa"/>
            <w:noWrap w:val="0"/>
            <w:vAlign w:val="center"/>
          </w:tcPr>
          <w:p>
            <w:pPr>
              <w:spacing w:line="500" w:lineRule="exact"/>
              <w:rPr>
                <w:rFonts w:hint="default" w:ascii="仿宋" w:hAnsi="仿宋" w:eastAsia="仿宋" w:cs="仿宋"/>
                <w:kern w:val="0"/>
                <w:sz w:val="28"/>
                <w:szCs w:val="28"/>
                <w:highlight w:val="none"/>
                <w:lang w:val="en-US" w:eastAsia="zh-CN"/>
              </w:rPr>
            </w:pPr>
            <w:r>
              <w:rPr>
                <w:rFonts w:hint="default" w:ascii="仿宋" w:hAnsi="仿宋" w:eastAsia="仿宋" w:cs="仿宋"/>
                <w:kern w:val="0"/>
                <w:sz w:val="28"/>
                <w:szCs w:val="28"/>
                <w:highlight w:val="none"/>
                <w:lang w:val="en-US" w:eastAsia="zh-CN"/>
              </w:rPr>
              <w:t>HXHC-2022-0061B1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2002" w:type="dxa"/>
            <w:noWrap w:val="0"/>
            <w:vAlign w:val="center"/>
          </w:tcPr>
          <w:p>
            <w:pPr>
              <w:spacing w:line="500" w:lineRule="exact"/>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采购内容</w:t>
            </w:r>
          </w:p>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和要求</w:t>
            </w:r>
          </w:p>
        </w:tc>
        <w:tc>
          <w:tcPr>
            <w:tcW w:w="7297" w:type="dxa"/>
            <w:noWrap w:val="0"/>
            <w:vAlign w:val="center"/>
          </w:tcPr>
          <w:p>
            <w:pPr>
              <w:spacing w:line="500" w:lineRule="exact"/>
              <w:rPr>
                <w:rFonts w:hint="eastAsia"/>
                <w:highlight w:val="none"/>
              </w:rPr>
            </w:pPr>
            <w:r>
              <w:rPr>
                <w:rFonts w:hint="eastAsia" w:ascii="仿宋" w:hAnsi="仿宋" w:eastAsia="仿宋" w:cs="仿宋"/>
                <w:sz w:val="28"/>
                <w:szCs w:val="28"/>
                <w:highlight w:val="none"/>
              </w:rPr>
              <w:t>（具体内容详见第四章采购内容）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c>
          <w:tcPr>
            <w:tcW w:w="2002"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预算金额</w:t>
            </w:r>
          </w:p>
          <w:p>
            <w:pPr>
              <w:spacing w:line="500" w:lineRule="exact"/>
              <w:jc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rPr>
              <w:t>资金性质</w:t>
            </w:r>
          </w:p>
        </w:tc>
        <w:tc>
          <w:tcPr>
            <w:tcW w:w="7297" w:type="dxa"/>
            <w:noWrap w:val="0"/>
            <w:vAlign w:val="center"/>
          </w:tcPr>
          <w:p>
            <w:pPr>
              <w:widowControl/>
              <w:spacing w:line="500" w:lineRule="exact"/>
              <w:jc w:val="left"/>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人民币</w:t>
            </w:r>
            <w:r>
              <w:rPr>
                <w:rFonts w:hint="eastAsia" w:ascii="仿宋" w:hAnsi="仿宋" w:eastAsia="仿宋" w:cs="仿宋"/>
                <w:kern w:val="0"/>
                <w:sz w:val="28"/>
                <w:szCs w:val="28"/>
                <w:highlight w:val="none"/>
                <w:lang w:val="en-US" w:eastAsia="zh-CN"/>
              </w:rPr>
              <w:t>陆拾万</w:t>
            </w:r>
            <w:r>
              <w:rPr>
                <w:rFonts w:hint="eastAsia" w:ascii="仿宋" w:hAnsi="仿宋" w:eastAsia="仿宋" w:cs="仿宋"/>
                <w:kern w:val="0"/>
                <w:sz w:val="28"/>
                <w:szCs w:val="28"/>
                <w:highlight w:val="none"/>
                <w:lang w:val="zh-CN"/>
              </w:rPr>
              <w:t>元整（¥</w:t>
            </w:r>
            <w:r>
              <w:rPr>
                <w:rFonts w:hint="eastAsia" w:ascii="仿宋" w:hAnsi="仿宋" w:eastAsia="仿宋" w:cs="仿宋"/>
                <w:kern w:val="0"/>
                <w:sz w:val="28"/>
                <w:szCs w:val="28"/>
                <w:highlight w:val="none"/>
                <w:lang w:val="en-US" w:eastAsia="zh-CN"/>
              </w:rPr>
              <w:t>600000.00</w:t>
            </w:r>
            <w:r>
              <w:rPr>
                <w:rFonts w:hint="eastAsia" w:ascii="仿宋" w:hAnsi="仿宋" w:eastAsia="仿宋" w:cs="仿宋"/>
                <w:kern w:val="0"/>
                <w:sz w:val="28"/>
                <w:szCs w:val="28"/>
                <w:highlight w:val="none"/>
                <w:lang w:val="zh-CN"/>
              </w:rPr>
              <w:t>元）</w:t>
            </w:r>
          </w:p>
          <w:p>
            <w:pPr>
              <w:spacing w:line="500" w:lineRule="exact"/>
              <w:rPr>
                <w:rFonts w:hint="default" w:ascii="仿宋" w:hAnsi="仿宋" w:eastAsia="仿宋" w:cs="仿宋"/>
                <w:kern w:val="0"/>
                <w:sz w:val="28"/>
                <w:szCs w:val="28"/>
                <w:highlight w:val="none"/>
                <w:lang w:val="en-US" w:eastAsia="zh-CN"/>
              </w:rPr>
            </w:pPr>
            <w:r>
              <w:rPr>
                <w:rFonts w:hint="eastAsia" w:ascii="仿宋" w:hAnsi="仿宋" w:eastAsia="仿宋" w:cs="仿宋"/>
                <w:sz w:val="28"/>
                <w:szCs w:val="28"/>
                <w:highlight w:val="none"/>
                <w:lang w:val="en-US" w:eastAsia="zh-CN"/>
              </w:rPr>
              <w:t>2022年省级残疾人就业保障金补助资金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7</w:t>
            </w:r>
          </w:p>
        </w:tc>
        <w:tc>
          <w:tcPr>
            <w:tcW w:w="2002"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磋商文件发售时间、地点</w:t>
            </w:r>
          </w:p>
        </w:tc>
        <w:tc>
          <w:tcPr>
            <w:tcW w:w="7297" w:type="dxa"/>
            <w:noWrap w:val="0"/>
            <w:vAlign w:val="center"/>
          </w:tcPr>
          <w:p>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时间:</w:t>
            </w:r>
            <w:r>
              <w:rPr>
                <w:rFonts w:hint="eastAsia" w:ascii="仿宋" w:hAnsi="仿宋" w:eastAsia="仿宋" w:cs="仿宋"/>
                <w:kern w:val="2"/>
                <w:sz w:val="28"/>
                <w:szCs w:val="28"/>
                <w:highlight w:val="none"/>
                <w:lang w:val="en-US" w:eastAsia="zh-CN"/>
              </w:rPr>
              <w:t> 2022年07月28日 至 2022年08月03日</w:t>
            </w:r>
          </w:p>
          <w:p>
            <w:pPr>
              <w:spacing w:line="5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上午：</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0，下午：14:00-1</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:00（双休日及法定节假日除外）</w:t>
            </w:r>
          </w:p>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地点：陕西省</w:t>
            </w:r>
            <w:r>
              <w:rPr>
                <w:rFonts w:hint="eastAsia" w:ascii="仿宋" w:hAnsi="仿宋" w:eastAsia="仿宋" w:cs="仿宋"/>
                <w:sz w:val="28"/>
                <w:szCs w:val="28"/>
                <w:highlight w:val="none"/>
                <w:lang w:val="en-US" w:eastAsia="zh-CN"/>
              </w:rPr>
              <w:t>汉中市汉台区太白路西后城巷时代商务二楼</w:t>
            </w:r>
          </w:p>
          <w:p>
            <w:pPr>
              <w:spacing w:line="500" w:lineRule="exact"/>
              <w:jc w:val="left"/>
              <w:rPr>
                <w:rFonts w:hint="eastAsia"/>
                <w:highlight w:val="none"/>
              </w:rPr>
            </w:pPr>
            <w:r>
              <w:rPr>
                <w:rFonts w:hint="eastAsia" w:ascii="仿宋" w:hAnsi="仿宋" w:eastAsia="仿宋" w:cs="仿宋"/>
                <w:sz w:val="28"/>
                <w:szCs w:val="28"/>
                <w:highlight w:val="none"/>
              </w:rPr>
              <w:t>磋商文件售价：500.00元/套，售后不退。</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ind w:firstLine="562" w:firstLineChars="200"/>
              <w:jc w:val="both"/>
              <w:textAlignment w:val="auto"/>
              <w:rPr>
                <w:highlight w:val="none"/>
                <w:lang w:val="en-US" w:eastAsia="zh-CN"/>
              </w:rPr>
            </w:pPr>
            <w:r>
              <w:rPr>
                <w:rFonts w:hint="eastAsia" w:ascii="仿宋" w:hAnsi="仿宋" w:eastAsia="仿宋" w:cs="仿宋"/>
                <w:b/>
                <w:bCs/>
                <w:kern w:val="2"/>
                <w:sz w:val="28"/>
                <w:szCs w:val="28"/>
                <w:highlight w:val="none"/>
                <w:lang w:val="en-US" w:eastAsia="zh-CN"/>
              </w:rPr>
              <w:t>注：由于近期新型冠状病毒疫情，根据陕西省人民政府《关于加强新型冠状病毒感染的肺炎防控工作的通告》要求，本项目外省及外市供应商授权一名代表到场参与报名投标，外市及外省人员提供48小时内核酸报告证明，到场人员需自备口罩等防护工具，做好个人防护。 2.领取招标文件请携带单位介绍信原件,经办人身份证原件、特定资格要求中所有证明文件原件及加盖供应商公章的复印件（原价查验后退回，复印件留存）。现场领取，谢绝邮寄。(提示:请供应商按照陕西省财政厅关于政府采购供应商注册登记有关事项的通知中的要求，通过陕西省政府采购网（http://www.ccgp-shaanxi.gov.cn/ ）注册登记加入陕西省政府采购供应商库。)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w:t>
            </w:r>
          </w:p>
        </w:tc>
        <w:tc>
          <w:tcPr>
            <w:tcW w:w="2002"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w:t>
            </w:r>
          </w:p>
        </w:tc>
        <w:tc>
          <w:tcPr>
            <w:tcW w:w="7297" w:type="dxa"/>
            <w:noWrap w:val="0"/>
            <w:vAlign w:val="center"/>
          </w:tcPr>
          <w:p>
            <w:pPr>
              <w:spacing w:line="500" w:lineRule="exact"/>
              <w:rPr>
                <w:rFonts w:hint="eastAsia" w:ascii="仿宋" w:hAnsi="仿宋" w:eastAsia="仿宋" w:cs="仿宋"/>
                <w:sz w:val="28"/>
                <w:szCs w:val="28"/>
                <w:highlight w:val="green"/>
              </w:rPr>
            </w:pPr>
            <w:r>
              <w:rPr>
                <w:rFonts w:hint="eastAsia" w:ascii="仿宋" w:hAnsi="仿宋" w:eastAsia="仿宋" w:cs="仿宋"/>
                <w:sz w:val="28"/>
                <w:szCs w:val="28"/>
                <w:highlight w:val="none"/>
              </w:rPr>
              <w:t>保证金：人民币</w:t>
            </w:r>
            <w:r>
              <w:rPr>
                <w:rFonts w:hint="eastAsia" w:ascii="仿宋" w:hAnsi="仿宋" w:eastAsia="仿宋" w:cs="仿宋"/>
                <w:sz w:val="28"/>
                <w:szCs w:val="28"/>
                <w:highlight w:val="none"/>
                <w:lang w:val="en-US" w:eastAsia="zh-CN"/>
              </w:rPr>
              <w:t>伍仟元</w:t>
            </w:r>
            <w:r>
              <w:rPr>
                <w:rFonts w:hint="eastAsia" w:ascii="仿宋" w:hAnsi="仿宋" w:eastAsia="仿宋" w:cs="仿宋"/>
                <w:sz w:val="28"/>
                <w:szCs w:val="28"/>
                <w:highlight w:val="none"/>
                <w:lang w:eastAsia="zh-CN"/>
              </w:rPr>
              <w:t>整</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5000</w:t>
            </w:r>
            <w:r>
              <w:rPr>
                <w:rFonts w:hint="eastAsia" w:ascii="仿宋" w:hAnsi="仿宋" w:eastAsia="仿宋" w:cs="仿宋"/>
                <w:sz w:val="28"/>
                <w:szCs w:val="28"/>
                <w:highlight w:val="none"/>
              </w:rPr>
              <w:t>.00元）</w:t>
            </w:r>
          </w:p>
          <w:p>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支付方式：转账、支票、本票、电汇或金融机构、担保机构出具的保函。</w:t>
            </w:r>
          </w:p>
          <w:p>
            <w:pPr>
              <w:pStyle w:val="20"/>
              <w:widowControl/>
              <w:spacing w:line="500" w:lineRule="exact"/>
              <w:ind w:firstLine="0" w:firstLineChars="0"/>
              <w:rPr>
                <w:rFonts w:ascii="仿宋" w:hAnsi="仿宋" w:cs="仿宋"/>
                <w:szCs w:val="28"/>
                <w:highlight w:val="none"/>
              </w:rPr>
            </w:pPr>
            <w:r>
              <w:rPr>
                <w:rFonts w:ascii="仿宋" w:hAnsi="仿宋" w:cs="仿宋"/>
                <w:szCs w:val="28"/>
                <w:highlight w:val="none"/>
              </w:rPr>
              <w:t>请供应商严格按照磋商文件规定的形式交纳保证金，本项目不接受其他形式的保证金。</w:t>
            </w:r>
            <w:r>
              <w:rPr>
                <w:rFonts w:ascii="仿宋" w:hAnsi="仿宋" w:cs="仿宋"/>
                <w:szCs w:val="28"/>
                <w:highlight w:val="none"/>
                <w:lang w:val="zh-CN"/>
              </w:rPr>
              <w:t>以保函形式提交的必须是陕西省财政厅认定的具有开具投标保函资格的单位开具的保函。</w:t>
            </w:r>
          </w:p>
          <w:p>
            <w:pPr>
              <w:spacing w:line="5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交纳时请注明</w:t>
            </w:r>
            <w:r>
              <w:rPr>
                <w:rFonts w:hint="eastAsia" w:ascii="仿宋" w:hAnsi="仿宋" w:eastAsia="仿宋" w:cs="仿宋"/>
                <w:b/>
                <w:bCs/>
                <w:sz w:val="28"/>
                <w:szCs w:val="28"/>
                <w:highlight w:val="none"/>
                <w:lang w:val="en-US" w:eastAsia="zh-CN"/>
              </w:rPr>
              <w:t>HXHC-2022-0061B12022年政府购买残疾人托养服务项目(二次)</w:t>
            </w:r>
            <w:r>
              <w:rPr>
                <w:rFonts w:hint="eastAsia" w:ascii="仿宋" w:hAnsi="仿宋" w:eastAsia="仿宋" w:cs="仿宋"/>
                <w:b/>
                <w:bCs/>
                <w:sz w:val="28"/>
                <w:szCs w:val="28"/>
                <w:highlight w:val="none"/>
              </w:rPr>
              <w:t>保证金</w:t>
            </w:r>
          </w:p>
          <w:p>
            <w:pPr>
              <w:spacing w:line="500" w:lineRule="exact"/>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账户名称：陕西恒信项目管理有限公司汉中分公司</w:t>
            </w:r>
          </w:p>
          <w:p>
            <w:pPr>
              <w:spacing w:line="500" w:lineRule="exact"/>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开户银行：工商银行汉中汉江路支行</w:t>
            </w:r>
          </w:p>
          <w:p>
            <w:pPr>
              <w:spacing w:line="500" w:lineRule="exac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账  号：2606022119200022092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9</w:t>
            </w:r>
          </w:p>
        </w:tc>
        <w:tc>
          <w:tcPr>
            <w:tcW w:w="2002"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磋商响应文件递交截止时间及开标时间和地点</w:t>
            </w:r>
          </w:p>
        </w:tc>
        <w:tc>
          <w:tcPr>
            <w:tcW w:w="7297" w:type="dxa"/>
            <w:noWrap w:val="0"/>
            <w:vAlign w:val="center"/>
          </w:tcPr>
          <w:p>
            <w:pPr>
              <w:widowControl/>
              <w:spacing w:line="500" w:lineRule="exact"/>
              <w:jc w:val="left"/>
              <w:rPr>
                <w:rFonts w:hint="default" w:ascii="仿宋" w:hAnsi="仿宋" w:eastAsia="仿宋" w:cs="仿宋"/>
                <w:kern w:val="0"/>
                <w:sz w:val="28"/>
                <w:szCs w:val="28"/>
                <w:highlight w:val="none"/>
                <w:lang w:val="en-US" w:eastAsia="zh-CN"/>
              </w:rPr>
            </w:pPr>
            <w:r>
              <w:rPr>
                <w:rFonts w:hint="eastAsia" w:ascii="仿宋" w:hAnsi="仿宋" w:eastAsia="仿宋" w:cs="仿宋"/>
                <w:sz w:val="28"/>
                <w:szCs w:val="28"/>
                <w:highlight w:val="none"/>
              </w:rPr>
              <w:t>磋商响应</w:t>
            </w:r>
            <w:r>
              <w:rPr>
                <w:rFonts w:hint="eastAsia" w:ascii="仿宋" w:hAnsi="仿宋" w:eastAsia="仿宋" w:cs="仿宋"/>
                <w:sz w:val="28"/>
                <w:szCs w:val="28"/>
                <w:highlight w:val="none"/>
                <w:lang w:val="zh-TW"/>
              </w:rPr>
              <w:t>文件递交时间：</w:t>
            </w:r>
            <w:r>
              <w:rPr>
                <w:rFonts w:hint="eastAsia" w:ascii="仿宋" w:hAnsi="仿宋" w:eastAsia="仿宋" w:cs="仿宋"/>
                <w:kern w:val="2"/>
                <w:sz w:val="28"/>
                <w:szCs w:val="28"/>
                <w:highlight w:val="none"/>
                <w:lang w:val="en-US" w:eastAsia="zh-CN"/>
              </w:rPr>
              <w:t> 2022年08月11日 10时30分00秒</w:t>
            </w:r>
          </w:p>
          <w:p>
            <w:pPr>
              <w:spacing w:line="500" w:lineRule="exact"/>
              <w:rPr>
                <w:rFonts w:hint="eastAsia" w:ascii="仿宋" w:hAnsi="仿宋" w:eastAsia="仿宋" w:cs="仿宋"/>
                <w:sz w:val="28"/>
                <w:szCs w:val="28"/>
                <w:highlight w:val="none"/>
                <w:lang w:val="zh-TW"/>
              </w:rPr>
            </w:pPr>
            <w:r>
              <w:rPr>
                <w:rFonts w:hint="eastAsia" w:ascii="仿宋" w:hAnsi="仿宋" w:eastAsia="仿宋" w:cs="仿宋"/>
                <w:sz w:val="28"/>
                <w:szCs w:val="28"/>
                <w:highlight w:val="none"/>
              </w:rPr>
              <w:t>磋商响应</w:t>
            </w:r>
            <w:r>
              <w:rPr>
                <w:rFonts w:hint="eastAsia" w:ascii="仿宋" w:hAnsi="仿宋" w:eastAsia="仿宋" w:cs="仿宋"/>
                <w:sz w:val="28"/>
                <w:szCs w:val="28"/>
                <w:highlight w:val="none"/>
                <w:lang w:val="zh-TW"/>
              </w:rPr>
              <w:t>文件递交截止时间：</w:t>
            </w:r>
            <w:r>
              <w:rPr>
                <w:rFonts w:hint="eastAsia" w:ascii="仿宋" w:hAnsi="仿宋" w:eastAsia="仿宋" w:cs="仿宋"/>
                <w:kern w:val="2"/>
                <w:sz w:val="28"/>
                <w:szCs w:val="28"/>
                <w:highlight w:val="none"/>
                <w:lang w:val="en-US" w:eastAsia="zh-CN"/>
              </w:rPr>
              <w:t> 2022年08月11日 10时30分00秒</w:t>
            </w:r>
          </w:p>
          <w:p>
            <w:pPr>
              <w:spacing w:line="500" w:lineRule="exact"/>
              <w:rPr>
                <w:rFonts w:hint="eastAsia" w:ascii="仿宋" w:hAnsi="仿宋" w:eastAsia="仿宋" w:cs="仿宋"/>
                <w:sz w:val="28"/>
                <w:szCs w:val="28"/>
                <w:highlight w:val="none"/>
                <w:lang w:val="zh-TW"/>
              </w:rPr>
            </w:pPr>
            <w:r>
              <w:rPr>
                <w:rFonts w:hint="eastAsia" w:ascii="仿宋" w:hAnsi="仿宋" w:eastAsia="仿宋" w:cs="仿宋"/>
                <w:sz w:val="28"/>
                <w:szCs w:val="28"/>
                <w:highlight w:val="none"/>
                <w:lang w:val="zh-TW"/>
              </w:rPr>
              <w:t>开标时</w:t>
            </w:r>
            <w:r>
              <w:rPr>
                <w:rFonts w:hint="eastAsia" w:ascii="仿宋" w:hAnsi="仿宋" w:eastAsia="仿宋" w:cs="仿宋"/>
                <w:kern w:val="2"/>
                <w:sz w:val="28"/>
                <w:szCs w:val="28"/>
                <w:highlight w:val="none"/>
                <w:lang w:val="zh-TW" w:eastAsia="zh-CN"/>
              </w:rPr>
              <w:t>间：</w:t>
            </w:r>
            <w:r>
              <w:rPr>
                <w:rFonts w:hint="eastAsia" w:ascii="仿宋" w:hAnsi="仿宋" w:eastAsia="仿宋" w:cs="仿宋"/>
                <w:kern w:val="2"/>
                <w:sz w:val="28"/>
                <w:szCs w:val="28"/>
                <w:highlight w:val="none"/>
                <w:lang w:val="en-US" w:eastAsia="zh-CN"/>
              </w:rPr>
              <w:t>2022年08月11日 10时30分00秒</w:t>
            </w:r>
          </w:p>
          <w:p>
            <w:pPr>
              <w:spacing w:line="50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zh-TW"/>
              </w:rPr>
              <w:t>开标地点：</w:t>
            </w:r>
            <w:r>
              <w:rPr>
                <w:rFonts w:hint="default" w:ascii="仿宋" w:hAnsi="仿宋" w:eastAsia="仿宋" w:cs="仿宋"/>
                <w:sz w:val="28"/>
                <w:szCs w:val="28"/>
                <w:highlight w:val="none"/>
                <w:lang w:val="en-US" w:eastAsia="zh-CN"/>
              </w:rPr>
              <w:t>汉中市汉台区太白路西后城巷时代商务二楼</w:t>
            </w:r>
            <w:r>
              <w:rPr>
                <w:rFonts w:hint="eastAsia" w:ascii="仿宋" w:hAnsi="仿宋" w:eastAsia="仿宋" w:cs="仿宋"/>
                <w:sz w:val="28"/>
                <w:szCs w:val="28"/>
                <w:highlight w:val="none"/>
                <w:lang w:val="en-US" w:eastAsia="zh-CN"/>
              </w:rPr>
              <w:t>205</w:t>
            </w:r>
          </w:p>
          <w:p>
            <w:pPr>
              <w:spacing w:line="500" w:lineRule="exact"/>
              <w:rPr>
                <w:rFonts w:hint="eastAsia" w:ascii="仿宋" w:hAnsi="仿宋" w:eastAsia="仿宋" w:cs="仿宋"/>
                <w:kern w:val="0"/>
                <w:sz w:val="28"/>
                <w:szCs w:val="28"/>
                <w:highlight w:val="none"/>
              </w:rPr>
            </w:pPr>
            <w:r>
              <w:rPr>
                <w:rFonts w:hint="eastAsia" w:ascii="仿宋" w:hAnsi="仿宋" w:eastAsia="仿宋" w:cs="仿宋"/>
                <w:b/>
                <w:bCs/>
                <w:sz w:val="28"/>
                <w:szCs w:val="28"/>
                <w:highlight w:val="none"/>
                <w:lang w:val="zh-TW"/>
              </w:rPr>
              <w:t>注：</w:t>
            </w:r>
            <w:r>
              <w:rPr>
                <w:rFonts w:hint="eastAsia" w:ascii="仿宋" w:hAnsi="仿宋" w:eastAsia="仿宋" w:cs="仿宋"/>
                <w:b/>
                <w:bCs/>
                <w:sz w:val="28"/>
                <w:szCs w:val="28"/>
                <w:highlight w:val="none"/>
              </w:rPr>
              <w:t>邀请所有提交磋商响应</w:t>
            </w:r>
            <w:r>
              <w:rPr>
                <w:rFonts w:hint="eastAsia" w:ascii="仿宋" w:hAnsi="仿宋" w:eastAsia="仿宋" w:cs="仿宋"/>
                <w:b/>
                <w:bCs/>
                <w:sz w:val="28"/>
                <w:szCs w:val="28"/>
                <w:highlight w:val="none"/>
                <w:lang w:val="zh-TW"/>
              </w:rPr>
              <w:t>文件</w:t>
            </w:r>
            <w:r>
              <w:rPr>
                <w:rFonts w:hint="eastAsia" w:ascii="仿宋" w:hAnsi="仿宋" w:eastAsia="仿宋" w:cs="仿宋"/>
                <w:b/>
                <w:bCs/>
                <w:sz w:val="28"/>
                <w:szCs w:val="28"/>
                <w:highlight w:val="none"/>
              </w:rPr>
              <w:t>的供应商参加磋商会议，</w:t>
            </w:r>
            <w:r>
              <w:rPr>
                <w:rFonts w:hint="eastAsia" w:ascii="仿宋" w:hAnsi="仿宋" w:eastAsia="仿宋" w:cs="仿宋"/>
                <w:b/>
                <w:bCs/>
                <w:sz w:val="28"/>
                <w:szCs w:val="28"/>
                <w:highlight w:val="none"/>
                <w:lang w:val="zh-TW"/>
              </w:rPr>
              <w:t>逾期送达的磋商响应文件文件，采购代理机构拒收。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w:t>
            </w:r>
          </w:p>
        </w:tc>
        <w:tc>
          <w:tcPr>
            <w:tcW w:w="2002" w:type="dxa"/>
            <w:noWrap w:val="0"/>
            <w:vAlign w:val="center"/>
          </w:tcPr>
          <w:p>
            <w:pPr>
              <w:spacing w:line="36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密封封条上</w:t>
            </w:r>
          </w:p>
          <w:p>
            <w:pPr>
              <w:spacing w:line="360" w:lineRule="auto"/>
              <w:jc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rPr>
              <w:t>写明</w:t>
            </w:r>
          </w:p>
        </w:tc>
        <w:tc>
          <w:tcPr>
            <w:tcW w:w="7297" w:type="dxa"/>
            <w:noWrap w:val="0"/>
            <w:vAlign w:val="center"/>
          </w:tcPr>
          <w:p>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p>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p>
            <w:pPr>
              <w:spacing w:line="500" w:lineRule="exac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供应商全称（并加盖公章）：</w:t>
            </w:r>
          </w:p>
          <w:p>
            <w:pPr>
              <w:spacing w:line="500" w:lineRule="exact"/>
              <w:rPr>
                <w:rFonts w:hint="eastAsia" w:ascii="仿宋" w:hAnsi="仿宋" w:eastAsia="仿宋" w:cs="仿宋"/>
                <w:sz w:val="28"/>
                <w:szCs w:val="28"/>
                <w:highlight w:val="none"/>
                <w:lang w:val="zh-TW"/>
              </w:rPr>
            </w:pPr>
            <w:r>
              <w:rPr>
                <w:rFonts w:hint="eastAsia" w:ascii="仿宋" w:hAnsi="仿宋" w:eastAsia="仿宋" w:cs="仿宋"/>
                <w:kern w:val="0"/>
                <w:sz w:val="28"/>
                <w:szCs w:val="28"/>
                <w:highlight w:val="none"/>
              </w:rPr>
              <w:t>在</w:t>
            </w:r>
            <w:r>
              <w:rPr>
                <w:rFonts w:hint="eastAsia" w:ascii="仿宋" w:hAnsi="仿宋" w:eastAsia="仿宋" w:cs="仿宋"/>
                <w:kern w:val="2"/>
                <w:sz w:val="28"/>
                <w:szCs w:val="28"/>
                <w:highlight w:val="none"/>
                <w:lang w:val="en-US" w:eastAsia="zh-CN"/>
              </w:rPr>
              <w:t>2022年08月11日 10时30分00秒</w:t>
            </w:r>
          </w:p>
          <w:p>
            <w:pPr>
              <w:spacing w:line="500" w:lineRule="exac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11</w:t>
            </w:r>
          </w:p>
        </w:tc>
        <w:tc>
          <w:tcPr>
            <w:tcW w:w="2002"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投标有效期</w:t>
            </w:r>
          </w:p>
        </w:tc>
        <w:tc>
          <w:tcPr>
            <w:tcW w:w="7297" w:type="dxa"/>
            <w:noWrap w:val="0"/>
            <w:vAlign w:val="center"/>
          </w:tcPr>
          <w:p>
            <w:pPr>
              <w:spacing w:line="500" w:lineRule="exac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90日历日（自提交竞争性磋商响应文件的截止之日起）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w:t>
            </w:r>
          </w:p>
        </w:tc>
        <w:tc>
          <w:tcPr>
            <w:tcW w:w="2002" w:type="dxa"/>
            <w:noWrap w:val="0"/>
            <w:vAlign w:val="center"/>
          </w:tcPr>
          <w:p>
            <w:pPr>
              <w:pStyle w:val="21"/>
              <w:spacing w:line="500" w:lineRule="exact"/>
              <w:rPr>
                <w:rFonts w:hint="default" w:ascii="仿宋" w:hAnsi="仿宋" w:eastAsia="仿宋" w:cs="仿宋"/>
                <w:sz w:val="28"/>
                <w:szCs w:val="28"/>
                <w:highlight w:val="none"/>
                <w:lang w:val="en-US" w:eastAsia="zh-CN"/>
              </w:rPr>
            </w:pPr>
            <w:r>
              <w:rPr>
                <w:rFonts w:hint="eastAsia" w:ascii="仿宋" w:hAnsi="仿宋" w:eastAsia="仿宋" w:cs="仿宋"/>
                <w:b w:val="0"/>
                <w:bCs/>
                <w:i w:val="0"/>
                <w:iCs w:val="0"/>
                <w:color w:val="auto"/>
                <w:sz w:val="28"/>
                <w:szCs w:val="28"/>
                <w:highlight w:val="none"/>
                <w:lang w:val="en-US" w:eastAsia="zh-CN"/>
              </w:rPr>
              <w:t>服务期限</w:t>
            </w:r>
          </w:p>
        </w:tc>
        <w:tc>
          <w:tcPr>
            <w:tcW w:w="7297"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0" w:rightChars="0"/>
              <w:jc w:val="left"/>
              <w:textAlignment w:val="auto"/>
              <w:rPr>
                <w:rFonts w:hint="default" w:ascii="仿宋" w:hAnsi="仿宋" w:eastAsia="仿宋" w:cs="仿宋"/>
                <w:kern w:val="0"/>
                <w:sz w:val="28"/>
                <w:szCs w:val="28"/>
                <w:highlight w:val="none"/>
                <w:lang w:val="en-US"/>
              </w:rPr>
            </w:pPr>
            <w:r>
              <w:rPr>
                <w:rFonts w:hint="eastAsia" w:ascii="仿宋" w:hAnsi="仿宋" w:eastAsia="仿宋" w:cs="仿宋"/>
                <w:sz w:val="28"/>
                <w:szCs w:val="28"/>
                <w:highlight w:val="none"/>
                <w:lang w:val="en-US" w:eastAsia="zh-CN"/>
              </w:rPr>
              <w:t>4个月交付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13</w:t>
            </w:r>
          </w:p>
        </w:tc>
        <w:tc>
          <w:tcPr>
            <w:tcW w:w="2002"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磋商响应文件份数</w:t>
            </w:r>
          </w:p>
        </w:tc>
        <w:tc>
          <w:tcPr>
            <w:tcW w:w="7297" w:type="dxa"/>
            <w:noWrap w:val="0"/>
            <w:vAlign w:val="center"/>
          </w:tcPr>
          <w:p>
            <w:pPr>
              <w:spacing w:line="500" w:lineRule="exact"/>
              <w:rPr>
                <w:rFonts w:hint="eastAsia" w:ascii="仿宋" w:hAnsi="仿宋" w:eastAsia="仿宋" w:cs="仿宋"/>
                <w:sz w:val="28"/>
                <w:szCs w:val="28"/>
                <w:highlight w:val="none"/>
                <w:lang w:val="zh-TW"/>
              </w:rPr>
            </w:pPr>
            <w:r>
              <w:rPr>
                <w:rFonts w:hint="eastAsia" w:ascii="仿宋" w:hAnsi="仿宋" w:eastAsia="仿宋" w:cs="仿宋"/>
                <w:sz w:val="28"/>
                <w:szCs w:val="28"/>
                <w:highlight w:val="none"/>
                <w:lang w:val="zh-TW"/>
              </w:rPr>
              <w:t>“正本”：1份，“副本”：</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val="zh-TW"/>
              </w:rPr>
              <w:t>份，“电子文档”：1份，每份文件须清楚地标明“正本”、“副本”、“电子文档”。</w:t>
            </w:r>
            <w:r>
              <w:rPr>
                <w:rFonts w:hint="eastAsia" w:ascii="仿宋" w:hAnsi="仿宋" w:eastAsia="仿宋" w:cs="仿宋"/>
                <w:sz w:val="28"/>
                <w:szCs w:val="28"/>
                <w:highlight w:val="none"/>
                <w:lang w:val="zh-TW" w:eastAsia="zh-CN"/>
              </w:rPr>
              <w:t>“</w:t>
            </w:r>
            <w:r>
              <w:rPr>
                <w:rFonts w:hint="eastAsia" w:ascii="仿宋" w:hAnsi="仿宋" w:eastAsia="仿宋" w:cs="仿宋"/>
                <w:sz w:val="28"/>
                <w:szCs w:val="28"/>
                <w:highlight w:val="none"/>
                <w:lang w:val="en-US" w:eastAsia="zh-CN"/>
              </w:rPr>
              <w:t>开标一览表</w:t>
            </w:r>
            <w:r>
              <w:rPr>
                <w:rFonts w:hint="eastAsia" w:ascii="仿宋" w:hAnsi="仿宋" w:eastAsia="仿宋" w:cs="仿宋"/>
                <w:sz w:val="28"/>
                <w:szCs w:val="28"/>
                <w:highlight w:val="none"/>
                <w:lang w:val="zh-TW" w:eastAsia="zh-CN"/>
              </w:rPr>
              <w:t>”</w:t>
            </w:r>
            <w:r>
              <w:rPr>
                <w:rFonts w:hint="eastAsia" w:ascii="仿宋" w:hAnsi="仿宋" w:eastAsia="仿宋" w:cs="仿宋"/>
                <w:sz w:val="28"/>
                <w:szCs w:val="28"/>
                <w:highlight w:val="none"/>
                <w:lang w:val="en-US" w:eastAsia="zh-CN"/>
              </w:rPr>
              <w:t>1份，</w:t>
            </w:r>
            <w:r>
              <w:rPr>
                <w:rFonts w:hint="eastAsia" w:ascii="仿宋" w:hAnsi="仿宋" w:eastAsia="仿宋" w:cs="仿宋"/>
                <w:sz w:val="28"/>
                <w:szCs w:val="28"/>
                <w:highlight w:val="none"/>
                <w:lang w:val="zh-TW"/>
              </w:rPr>
              <w:t>若正本与副本不符，以正本为准。</w:t>
            </w:r>
          </w:p>
          <w:p>
            <w:pPr>
              <w:spacing w:line="500" w:lineRule="exact"/>
              <w:rPr>
                <w:rFonts w:hint="eastAsia" w:ascii="仿宋" w:hAnsi="仿宋" w:eastAsia="仿宋" w:cs="仿宋"/>
                <w:kern w:val="0"/>
                <w:sz w:val="28"/>
                <w:szCs w:val="28"/>
                <w:highlight w:val="none"/>
              </w:rPr>
            </w:pPr>
            <w:r>
              <w:rPr>
                <w:rFonts w:hint="eastAsia" w:ascii="仿宋" w:hAnsi="仿宋" w:eastAsia="仿宋" w:cs="仿宋"/>
                <w:b/>
                <w:bCs/>
                <w:sz w:val="28"/>
                <w:szCs w:val="28"/>
                <w:highlight w:val="none"/>
                <w:lang w:val="zh-TW"/>
              </w:rPr>
              <w:t>注：为了节约成本，鼓励各供应商双面打印本项目磋商响应文件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14</w:t>
            </w:r>
          </w:p>
        </w:tc>
        <w:tc>
          <w:tcPr>
            <w:tcW w:w="2002"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评审方法</w:t>
            </w:r>
          </w:p>
        </w:tc>
        <w:tc>
          <w:tcPr>
            <w:tcW w:w="7297" w:type="dxa"/>
            <w:noWrap w:val="0"/>
            <w:vAlign w:val="center"/>
          </w:tcPr>
          <w:p>
            <w:pPr>
              <w:spacing w:line="500" w:lineRule="exac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综合评分法,详见评审标准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15</w:t>
            </w:r>
          </w:p>
        </w:tc>
        <w:tc>
          <w:tcPr>
            <w:tcW w:w="2002"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磋商轮次</w:t>
            </w:r>
          </w:p>
        </w:tc>
        <w:tc>
          <w:tcPr>
            <w:tcW w:w="7297" w:type="dxa"/>
            <w:noWrap w:val="0"/>
            <w:vAlign w:val="center"/>
          </w:tcPr>
          <w:p>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2轮（响应文件中的报价为第一轮报价）</w:t>
            </w:r>
          </w:p>
          <w:p>
            <w:pPr>
              <w:spacing w:line="500" w:lineRule="exact"/>
              <w:rPr>
                <w:rFonts w:hint="eastAsia" w:ascii="仿宋" w:hAnsi="仿宋" w:eastAsia="仿宋" w:cs="仿宋"/>
                <w:b/>
                <w:bCs/>
                <w:sz w:val="28"/>
                <w:szCs w:val="28"/>
                <w:highlight w:val="none"/>
              </w:rPr>
            </w:pPr>
            <w:r>
              <w:rPr>
                <w:rFonts w:hint="eastAsia" w:ascii="仿宋" w:hAnsi="仿宋" w:eastAsia="仿宋" w:cs="仿宋"/>
                <w:sz w:val="28"/>
                <w:szCs w:val="28"/>
                <w:highlight w:val="none"/>
              </w:rPr>
              <w:t>最后一轮报价时间：磋商中通知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2002"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资格要求</w:t>
            </w:r>
          </w:p>
        </w:tc>
        <w:tc>
          <w:tcPr>
            <w:tcW w:w="7297" w:type="dxa"/>
            <w:noWrap w:val="0"/>
            <w:vAlign w:val="top"/>
          </w:tcPr>
          <w:p>
            <w:pPr>
              <w:pStyle w:val="12"/>
              <w:widowControl/>
              <w:numPr>
                <w:ilvl w:val="0"/>
                <w:numId w:val="3"/>
              </w:numPr>
              <w:adjustRightInd w:val="0"/>
              <w:snapToGrid w:val="0"/>
              <w:spacing w:line="480" w:lineRule="exact"/>
              <w:rPr>
                <w:rFonts w:hint="eastAsia" w:ascii="仿宋" w:hAnsi="仿宋" w:eastAsia="仿宋" w:cs="仿宋"/>
                <w:kern w:val="2"/>
                <w:sz w:val="28"/>
                <w:szCs w:val="28"/>
                <w:highlight w:val="none"/>
                <w:lang w:val="en-US" w:eastAsia="zh-CN"/>
              </w:rPr>
            </w:pPr>
            <w:r>
              <w:rPr>
                <w:rFonts w:hint="eastAsia" w:ascii="仿宋" w:hAnsi="仿宋" w:eastAsia="仿宋" w:cs="仿宋"/>
                <w:sz w:val="28"/>
                <w:szCs w:val="28"/>
                <w:highlight w:val="none"/>
              </w:rPr>
              <w:t>基本资格条件：符合《中华人民共和国政府采购法》第二十二条的规定；</w:t>
            </w:r>
          </w:p>
          <w:p>
            <w:pPr>
              <w:pStyle w:val="12"/>
              <w:widowControl/>
              <w:numPr>
                <w:ilvl w:val="0"/>
                <w:numId w:val="3"/>
              </w:numPr>
              <w:adjustRightInd w:val="0"/>
              <w:snapToGrid w:val="0"/>
              <w:spacing w:line="480" w:lineRule="exact"/>
              <w:rPr>
                <w:rFonts w:hint="eastAsia" w:ascii="仿宋" w:hAnsi="仿宋" w:eastAsia="仿宋" w:cs="仿宋"/>
                <w:kern w:val="2"/>
                <w:sz w:val="28"/>
                <w:szCs w:val="28"/>
                <w:highlight w:val="none"/>
                <w:lang w:val="en-US" w:eastAsia="zh-CN"/>
              </w:rPr>
            </w:pPr>
            <w:r>
              <w:rPr>
                <w:rFonts w:hint="eastAsia" w:ascii="仿宋" w:hAnsi="仿宋" w:eastAsia="仿宋" w:cs="仿宋"/>
                <w:color w:val="auto"/>
                <w:sz w:val="28"/>
                <w:szCs w:val="28"/>
                <w:highlight w:val="none"/>
              </w:rPr>
              <w:t>特定资格条件：</w:t>
            </w:r>
            <w:r>
              <w:rPr>
                <w:rFonts w:hint="eastAsia" w:ascii="仿宋" w:hAnsi="仿宋" w:eastAsia="仿宋" w:cs="仿宋"/>
                <w:kern w:val="2"/>
                <w:sz w:val="28"/>
                <w:szCs w:val="28"/>
                <w:highlight w:val="none"/>
                <w:lang w:val="en-US" w:eastAsia="zh-CN"/>
              </w:rPr>
              <w:t>1、具有独立承担民事责任能力的法人、其他组织或自然人，并出具合法有效的营业执照或事业单位法人证书等国家规定的相关证明，自然人参与的提供其身份证明；</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 2、法定代表人直接参加磋商的，须出具法人身份证明及身份证；法定代表人授权代表参加磋商的，须出具法定代表人授权书及授权代表身份证；</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3、提供参加本次政府采购活动近三年内在经营活动中没有重大违法记录的书面声明及无不良信用记录查询结果（未被“信用中国”网站（www.creditchina.gov.cn）及“中国政府采购网（http://www.ccgp.gov.cn/）列入失信被执行人、重大税收违法案件当事人名单、政府采购严重失信行为记录名单。（提供“信用中国”“重大税收违法案件信息公布栏”“中国政府采购”完整的查询结果截图加盖投标人公章，最终查验以采购代理机构评审现场查询结果为准)。</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4、提供具备履行合同所必需的设备和专业技术能力的说明及承诺；</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5、参加政府采购活动近三年内，在经营活动中没有重大违法记录声明</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6、本项目不接受联合体磋商。</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注：1、依法免税或成立时间不满三个月的供应商，应提供相应文件证明其依法免税的证明文件；成立不满一年或开标前一年内零申报的则税收缴纳证明只需提供财务报表加盖供应商公章。</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      2、单位负责人为同一人或者存在控股、管理关系的不同单位不得同时投标。</w:t>
            </w:r>
          </w:p>
          <w:p>
            <w:pPr>
              <w:spacing w:line="480" w:lineRule="exact"/>
              <w:rPr>
                <w:rFonts w:hint="eastAsia" w:ascii="仿宋" w:hAnsi="仿宋" w:eastAsia="仿宋" w:cs="仿宋"/>
                <w:kern w:val="0"/>
                <w:sz w:val="28"/>
                <w:szCs w:val="28"/>
                <w:highlight w:val="none"/>
              </w:rPr>
            </w:pPr>
            <w:r>
              <w:rPr>
                <w:rFonts w:hint="eastAsia" w:ascii="仿宋" w:hAnsi="仿宋" w:eastAsia="仿宋" w:cs="仿宋"/>
                <w:b/>
                <w:bCs/>
                <w:color w:val="auto"/>
                <w:sz w:val="28"/>
                <w:szCs w:val="28"/>
                <w:highlight w:val="none"/>
              </w:rPr>
              <w:t>开标现场请单独携带以上资格原件，单独递交，进行资格审查，以上原件欠缺其中任何一项按无效文件处理。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7</w:t>
            </w:r>
          </w:p>
        </w:tc>
        <w:tc>
          <w:tcPr>
            <w:tcW w:w="2002"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现场踏勘</w:t>
            </w:r>
          </w:p>
        </w:tc>
        <w:tc>
          <w:tcPr>
            <w:tcW w:w="7297" w:type="dxa"/>
            <w:noWrap w:val="0"/>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highlight w:val="none"/>
                <w:lang w:val="zh-TW"/>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zh-TW"/>
              </w:rPr>
              <w:t>由供应商自行踏勘现场，以便查明或核实有关编制磋商响应文件和签订合同所必需的一切资料。</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zh-TW"/>
              </w:rPr>
              <w:t>供应商应承担踏勘现场的责任和风险以及期间发生的一切费用，供应商若因踏勘现场而发生的人身伤亡、财物或其它损失，不论何种原因所造成，采购人和采购代理机构均不负责任。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8</w:t>
            </w:r>
          </w:p>
        </w:tc>
        <w:tc>
          <w:tcPr>
            <w:tcW w:w="2002"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代理服务费</w:t>
            </w:r>
          </w:p>
        </w:tc>
        <w:tc>
          <w:tcPr>
            <w:tcW w:w="7297"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kern w:val="0"/>
                <w:sz w:val="28"/>
                <w:szCs w:val="28"/>
                <w:highlight w:val="none"/>
              </w:rPr>
            </w:pPr>
            <w:r>
              <w:rPr>
                <w:rFonts w:hint="eastAsia" w:ascii="仿宋" w:hAnsi="仿宋" w:eastAsia="仿宋" w:cs="仿宋"/>
                <w:color w:val="auto"/>
                <w:sz w:val="28"/>
                <w:szCs w:val="28"/>
                <w:highlight w:val="none"/>
                <w:lang w:val="en-US" w:eastAsia="zh-CN"/>
              </w:rPr>
              <w:t>由成交供应商支付代理服务费，代理服务费参照</w:t>
            </w:r>
            <w:r>
              <w:rPr>
                <w:rFonts w:hint="eastAsia" w:ascii="仿宋" w:hAnsi="仿宋" w:eastAsia="仿宋" w:cs="仿宋"/>
                <w:bCs/>
                <w:color w:val="auto"/>
                <w:sz w:val="28"/>
                <w:szCs w:val="28"/>
                <w:highlight w:val="none"/>
                <w:lang w:bidi="ar"/>
              </w:rPr>
              <w:t>《国家计委关于印发&lt;招标代理服务收费管理暂行办法&gt;的通知》（计价格【2002】1980号）的规定标准执行，按差额定率累进法收取费用，100万以下按1.5%收取，100万-500万按</w:t>
            </w:r>
            <w:r>
              <w:rPr>
                <w:rFonts w:hint="eastAsia" w:ascii="仿宋" w:hAnsi="仿宋" w:eastAsia="仿宋" w:cs="仿宋"/>
                <w:bCs/>
                <w:color w:val="auto"/>
                <w:sz w:val="28"/>
                <w:szCs w:val="28"/>
                <w:highlight w:val="none"/>
                <w:lang w:val="en-US" w:eastAsia="zh-CN" w:bidi="ar"/>
              </w:rPr>
              <w:t>0.8</w:t>
            </w:r>
            <w:r>
              <w:rPr>
                <w:rFonts w:hint="eastAsia" w:ascii="仿宋" w:hAnsi="仿宋" w:eastAsia="仿宋" w:cs="仿宋"/>
                <w:bCs/>
                <w:color w:val="auto"/>
                <w:sz w:val="28"/>
                <w:szCs w:val="28"/>
                <w:highlight w:val="none"/>
                <w:lang w:bidi="ar"/>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noWrap w:val="0"/>
            <w:vAlign w:val="center"/>
          </w:tcPr>
          <w:p>
            <w:pPr>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19</w:t>
            </w:r>
          </w:p>
        </w:tc>
        <w:tc>
          <w:tcPr>
            <w:tcW w:w="2002" w:type="dxa"/>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其他未尽事宜</w:t>
            </w:r>
          </w:p>
        </w:tc>
        <w:tc>
          <w:tcPr>
            <w:tcW w:w="7297" w:type="dxa"/>
            <w:noWrap w:val="0"/>
            <w:vAlign w:val="center"/>
          </w:tcPr>
          <w:p>
            <w:pPr>
              <w:spacing w:line="500" w:lineRule="exact"/>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按照《中华人民共和国政府采购法》及相关法律法规执行。</w:t>
            </w:r>
          </w:p>
        </w:tc>
      </w:tr>
    </w:tbl>
    <w:p>
      <w:pPr>
        <w:jc w:val="both"/>
        <w:outlineLvl w:val="0"/>
        <w:rPr>
          <w:rFonts w:hint="eastAsia" w:ascii="仿宋" w:hAnsi="仿宋" w:eastAsia="仿宋" w:cs="仿宋"/>
          <w:b/>
          <w:bCs/>
          <w:sz w:val="40"/>
          <w:szCs w:val="40"/>
          <w:highlight w:val="none"/>
        </w:rPr>
      </w:pPr>
    </w:p>
    <w:p>
      <w:pPr>
        <w:jc w:val="center"/>
        <w:outlineLvl w:val="0"/>
        <w:rPr>
          <w:rFonts w:hint="eastAsia" w:ascii="仿宋" w:hAnsi="仿宋" w:eastAsia="仿宋" w:cs="仿宋"/>
          <w:sz w:val="40"/>
          <w:szCs w:val="40"/>
          <w:highlight w:val="none"/>
        </w:rPr>
      </w:pPr>
      <w:r>
        <w:rPr>
          <w:rFonts w:hint="eastAsia" w:ascii="仿宋" w:hAnsi="仿宋" w:eastAsia="仿宋" w:cs="仿宋"/>
          <w:b/>
          <w:bCs/>
          <w:sz w:val="40"/>
          <w:szCs w:val="40"/>
          <w:highlight w:val="none"/>
        </w:rPr>
        <w:t>第三章  供应商须知</w:t>
      </w:r>
    </w:p>
    <w:p>
      <w:pPr>
        <w:pStyle w:val="22"/>
        <w:widowControl/>
        <w:numPr>
          <w:ilvl w:val="0"/>
          <w:numId w:val="0"/>
        </w:numPr>
        <w:tabs>
          <w:tab w:val="left" w:pos="1140"/>
          <w:tab w:val="clear" w:pos="851"/>
        </w:tabs>
        <w:spacing w:line="500" w:lineRule="exact"/>
        <w:outlineLvl w:val="9"/>
        <w:rPr>
          <w:rFonts w:ascii="仿宋" w:hAnsi="仿宋" w:eastAsia="仿宋" w:cs="仿宋"/>
          <w:b/>
          <w:color w:val="auto"/>
          <w:szCs w:val="28"/>
          <w:highlight w:val="none"/>
        </w:rPr>
      </w:pPr>
      <w:bookmarkStart w:id="5" w:name="_Hlt16619475"/>
      <w:bookmarkEnd w:id="5"/>
      <w:bookmarkStart w:id="6" w:name="_Toc20823276"/>
      <w:bookmarkStart w:id="7" w:name="_Toc16938520"/>
      <w:bookmarkStart w:id="8" w:name="_Toc513029204"/>
      <w:bookmarkStart w:id="9" w:name="_Toc30754"/>
      <w:bookmarkStart w:id="10" w:name="_Toc912"/>
      <w:bookmarkStart w:id="11" w:name="_Toc26960"/>
      <w:bookmarkStart w:id="12" w:name="_Toc14418"/>
      <w:bookmarkStart w:id="13" w:name="_Toc4316"/>
      <w:bookmarkStart w:id="14" w:name="_Toc5117"/>
      <w:bookmarkStart w:id="15" w:name="_Toc11217"/>
      <w:bookmarkStart w:id="16" w:name="_Toc9674"/>
      <w:r>
        <w:rPr>
          <w:rFonts w:ascii="仿宋" w:hAnsi="仿宋" w:eastAsia="仿宋" w:cs="仿宋"/>
          <w:b/>
          <w:color w:val="auto"/>
          <w:szCs w:val="28"/>
          <w:highlight w:val="none"/>
        </w:rPr>
        <w:t>一、采购方式</w:t>
      </w:r>
      <w:bookmarkEnd w:id="6"/>
      <w:bookmarkEnd w:id="7"/>
      <w:bookmarkEnd w:id="8"/>
      <w:r>
        <w:rPr>
          <w:rFonts w:ascii="仿宋" w:hAnsi="仿宋" w:eastAsia="仿宋" w:cs="仿宋"/>
          <w:b/>
          <w:color w:val="auto"/>
          <w:szCs w:val="28"/>
          <w:highlight w:val="none"/>
        </w:rPr>
        <w:t>及定义</w:t>
      </w:r>
      <w:bookmarkEnd w:id="9"/>
      <w:bookmarkEnd w:id="10"/>
      <w:bookmarkEnd w:id="11"/>
      <w:bookmarkEnd w:id="12"/>
      <w:bookmarkEnd w:id="13"/>
      <w:bookmarkEnd w:id="14"/>
      <w:bookmarkEnd w:id="15"/>
      <w:bookmarkEnd w:id="16"/>
    </w:p>
    <w:p>
      <w:pPr>
        <w:pStyle w:val="20"/>
        <w:widowControl/>
        <w:spacing w:line="500" w:lineRule="exact"/>
        <w:ind w:firstLine="560"/>
        <w:rPr>
          <w:rFonts w:ascii="仿宋" w:hAnsi="仿宋" w:cs="仿宋"/>
          <w:szCs w:val="28"/>
          <w:highlight w:val="none"/>
        </w:rPr>
      </w:pPr>
      <w:r>
        <w:rPr>
          <w:rFonts w:ascii="仿宋" w:hAnsi="仿宋" w:cs="仿宋"/>
          <w:szCs w:val="28"/>
          <w:highlight w:val="none"/>
        </w:rPr>
        <w:t>本次采购采用竞争性磋商方式（以下简称磋商），本磋商文件仅适用于磋商公告中所述项目。</w:t>
      </w:r>
    </w:p>
    <w:p>
      <w:pPr>
        <w:pStyle w:val="20"/>
        <w:widowControl/>
        <w:spacing w:line="500" w:lineRule="exact"/>
        <w:ind w:firstLine="560"/>
        <w:rPr>
          <w:rFonts w:hint="eastAsia" w:ascii="仿宋" w:hAnsi="仿宋" w:cs="仿宋"/>
          <w:szCs w:val="28"/>
          <w:highlight w:val="none"/>
          <w:lang w:val="en-US" w:eastAsia="zh-CN"/>
        </w:rPr>
      </w:pPr>
      <w:bookmarkStart w:id="17" w:name="_Toc16938522"/>
      <w:bookmarkStart w:id="18" w:name="_Toc513029206"/>
      <w:bookmarkStart w:id="19" w:name="_Toc20823278"/>
      <w:r>
        <w:rPr>
          <w:rFonts w:ascii="仿宋" w:hAnsi="仿宋" w:cs="仿宋"/>
          <w:szCs w:val="28"/>
          <w:highlight w:val="none"/>
        </w:rPr>
        <w:t>“采</w:t>
      </w:r>
      <w:r>
        <w:rPr>
          <w:rFonts w:hint="eastAsia" w:ascii="仿宋" w:hAnsi="仿宋" w:cs="仿宋"/>
          <w:szCs w:val="28"/>
          <w:highlight w:val="none"/>
          <w:lang w:val="en-US" w:eastAsia="zh-CN"/>
        </w:rPr>
        <w:t xml:space="preserve">   </w:t>
      </w:r>
      <w:r>
        <w:rPr>
          <w:rFonts w:ascii="仿宋" w:hAnsi="仿宋" w:cs="仿宋"/>
          <w:szCs w:val="28"/>
          <w:highlight w:val="none"/>
        </w:rPr>
        <w:t>购</w:t>
      </w:r>
      <w:r>
        <w:rPr>
          <w:rFonts w:hint="eastAsia" w:ascii="仿宋" w:hAnsi="仿宋" w:cs="仿宋"/>
          <w:szCs w:val="28"/>
          <w:highlight w:val="none"/>
          <w:lang w:val="en-US" w:eastAsia="zh-CN"/>
        </w:rPr>
        <w:t xml:space="preserve">   </w:t>
      </w:r>
      <w:r>
        <w:rPr>
          <w:rFonts w:ascii="仿宋" w:hAnsi="仿宋" w:cs="仿宋"/>
          <w:szCs w:val="28"/>
          <w:highlight w:val="none"/>
        </w:rPr>
        <w:t>人”系指</w:t>
      </w:r>
      <w:r>
        <w:rPr>
          <w:rFonts w:hint="eastAsia" w:ascii="仿宋" w:hAnsi="仿宋" w:cs="仿宋"/>
          <w:szCs w:val="28"/>
          <w:highlight w:val="none"/>
          <w:lang w:val="en-US" w:eastAsia="zh-CN"/>
        </w:rPr>
        <w:t>镇巴县残疾人联合会</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“采购管理机构”系指</w:t>
      </w:r>
      <w:r>
        <w:rPr>
          <w:rFonts w:hint="eastAsia" w:ascii="仿宋" w:hAnsi="仿宋" w:cs="仿宋"/>
          <w:szCs w:val="28"/>
          <w:highlight w:val="none"/>
          <w:lang w:val="en-US" w:eastAsia="zh-CN"/>
        </w:rPr>
        <w:t>镇巴县</w:t>
      </w:r>
      <w:r>
        <w:rPr>
          <w:rFonts w:hint="eastAsia" w:ascii="仿宋" w:hAnsi="仿宋" w:eastAsia="仿宋" w:cs="仿宋"/>
          <w:color w:val="auto"/>
          <w:spacing w:val="0"/>
          <w:sz w:val="28"/>
          <w:szCs w:val="28"/>
          <w:highlight w:val="none"/>
          <w:lang w:eastAsia="zh-CN"/>
        </w:rPr>
        <w:t>财政局</w:t>
      </w:r>
    </w:p>
    <w:p>
      <w:pPr>
        <w:pStyle w:val="20"/>
        <w:widowControl/>
        <w:spacing w:line="500" w:lineRule="exact"/>
        <w:ind w:firstLine="560"/>
        <w:rPr>
          <w:rFonts w:hint="default" w:ascii="仿宋" w:hAnsi="仿宋" w:eastAsia="仿宋" w:cs="仿宋"/>
          <w:szCs w:val="28"/>
          <w:highlight w:val="none"/>
          <w:lang w:val="en-US" w:eastAsia="zh-CN"/>
        </w:rPr>
      </w:pPr>
      <w:r>
        <w:rPr>
          <w:rFonts w:ascii="仿宋" w:hAnsi="仿宋" w:cs="仿宋"/>
          <w:szCs w:val="28"/>
          <w:highlight w:val="none"/>
        </w:rPr>
        <w:t>“采购代理机构”系指</w:t>
      </w:r>
      <w:r>
        <w:rPr>
          <w:rFonts w:hint="eastAsia" w:ascii="仿宋" w:hAnsi="仿宋" w:cs="仿宋"/>
          <w:szCs w:val="28"/>
          <w:highlight w:val="none"/>
          <w:lang w:val="en-US" w:eastAsia="zh-CN"/>
        </w:rPr>
        <w:t>陕西恒信项目管理有限公司</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“供应商”系指响应竞争性磋商文件并参加磋商的供应商</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1、适用法律</w:t>
      </w:r>
      <w:bookmarkEnd w:id="17"/>
      <w:bookmarkEnd w:id="18"/>
      <w:bookmarkEnd w:id="19"/>
    </w:p>
    <w:p>
      <w:pPr>
        <w:pStyle w:val="20"/>
        <w:widowControl/>
        <w:spacing w:line="500" w:lineRule="exact"/>
        <w:ind w:firstLine="560"/>
        <w:rPr>
          <w:rFonts w:ascii="仿宋" w:hAnsi="仿宋" w:cs="仿宋"/>
          <w:szCs w:val="28"/>
          <w:highlight w:val="none"/>
        </w:rPr>
      </w:pPr>
      <w:r>
        <w:rPr>
          <w:rFonts w:ascii="仿宋" w:hAnsi="仿宋" w:cs="仿宋"/>
          <w:szCs w:val="28"/>
          <w:highlight w:val="none"/>
        </w:rPr>
        <w:t>本次竞争性磋商文件及由此产生的合同受中华人民共和国有关的法律法规制约和保护。</w:t>
      </w:r>
      <w:bookmarkStart w:id="20" w:name="_Toc20823279"/>
      <w:bookmarkStart w:id="21" w:name="_Toc513029207"/>
      <w:bookmarkStart w:id="22" w:name="_Toc16938523"/>
      <w:bookmarkStart w:id="23" w:name="_Toc462564067"/>
    </w:p>
    <w:p>
      <w:pPr>
        <w:pStyle w:val="20"/>
        <w:widowControl/>
        <w:spacing w:line="500" w:lineRule="exact"/>
        <w:ind w:firstLine="560"/>
        <w:rPr>
          <w:rFonts w:ascii="仿宋" w:hAnsi="仿宋" w:cs="仿宋"/>
          <w:szCs w:val="28"/>
          <w:highlight w:val="none"/>
        </w:rPr>
      </w:pPr>
      <w:r>
        <w:rPr>
          <w:rFonts w:ascii="仿宋" w:hAnsi="仿宋" w:cs="仿宋"/>
          <w:szCs w:val="28"/>
          <w:highlight w:val="none"/>
        </w:rPr>
        <w:t>2、磋商费用</w:t>
      </w:r>
      <w:bookmarkEnd w:id="20"/>
      <w:bookmarkEnd w:id="21"/>
      <w:bookmarkEnd w:id="22"/>
      <w:bookmarkEnd w:id="23"/>
    </w:p>
    <w:p>
      <w:pPr>
        <w:pStyle w:val="20"/>
        <w:widowControl/>
        <w:spacing w:line="500" w:lineRule="exact"/>
        <w:ind w:firstLine="560"/>
        <w:rPr>
          <w:rFonts w:ascii="仿宋" w:hAnsi="仿宋" w:cs="仿宋"/>
          <w:szCs w:val="28"/>
          <w:highlight w:val="none"/>
        </w:rPr>
      </w:pPr>
      <w:r>
        <w:rPr>
          <w:rFonts w:ascii="仿宋" w:hAnsi="仿宋" w:cs="仿宋"/>
          <w:szCs w:val="28"/>
          <w:highlight w:val="none"/>
        </w:rPr>
        <w:t>供应商应自行承担所有与参加磋商活动有关的费用，无论磋商过程中的做法和结果如何，采购人、采购代理机构在任何情况下均无义务和责任承担这些费用。</w:t>
      </w:r>
      <w:bookmarkStart w:id="24" w:name="_Toc15043"/>
      <w:bookmarkStart w:id="25" w:name="_Toc16363"/>
      <w:bookmarkStart w:id="26" w:name="_Toc20431"/>
    </w:p>
    <w:p>
      <w:pPr>
        <w:pStyle w:val="20"/>
        <w:widowControl/>
        <w:spacing w:line="500" w:lineRule="exact"/>
        <w:ind w:firstLine="560"/>
        <w:rPr>
          <w:rFonts w:ascii="仿宋" w:hAnsi="仿宋" w:cs="仿宋"/>
          <w:szCs w:val="28"/>
          <w:highlight w:val="none"/>
        </w:rPr>
      </w:pPr>
      <w:r>
        <w:rPr>
          <w:rFonts w:ascii="仿宋" w:hAnsi="仿宋" w:cs="仿宋"/>
          <w:szCs w:val="28"/>
          <w:highlight w:val="none"/>
        </w:rPr>
        <w:t>3、竞争性磋商文件的约束力</w:t>
      </w:r>
      <w:bookmarkEnd w:id="24"/>
      <w:bookmarkEnd w:id="25"/>
      <w:bookmarkEnd w:id="26"/>
    </w:p>
    <w:p>
      <w:pPr>
        <w:pStyle w:val="20"/>
        <w:widowControl/>
        <w:spacing w:line="500" w:lineRule="exact"/>
        <w:ind w:firstLine="560"/>
        <w:rPr>
          <w:rFonts w:ascii="仿宋" w:hAnsi="仿宋" w:cs="仿宋"/>
          <w:szCs w:val="28"/>
          <w:highlight w:val="none"/>
        </w:rPr>
      </w:pPr>
      <w:r>
        <w:rPr>
          <w:rFonts w:ascii="仿宋" w:hAnsi="仿宋" w:cs="仿宋"/>
          <w:szCs w:val="28"/>
          <w:highlight w:val="none"/>
        </w:rPr>
        <w:t>供应商一旦购买了本磋商文件并决定参加磋商，即被认为接受了本磋商文件的规定和约束，并且视为自磋商公告期限届满之日起已经知道或应当知道自身权益是否受到了损害。</w:t>
      </w:r>
    </w:p>
    <w:p>
      <w:pPr>
        <w:pStyle w:val="23"/>
        <w:widowControl/>
        <w:numPr>
          <w:ilvl w:val="0"/>
          <w:numId w:val="4"/>
        </w:numPr>
        <w:tabs>
          <w:tab w:val="left" w:pos="720"/>
          <w:tab w:val="clear" w:pos="851"/>
        </w:tabs>
        <w:spacing w:line="500" w:lineRule="exact"/>
        <w:outlineLvl w:val="9"/>
        <w:rPr>
          <w:rFonts w:cs="仿宋"/>
          <w:szCs w:val="28"/>
          <w:highlight w:val="none"/>
        </w:rPr>
      </w:pPr>
      <w:bookmarkStart w:id="27" w:name="_Toc12442"/>
      <w:bookmarkStart w:id="28" w:name="_Toc22345"/>
      <w:bookmarkStart w:id="29" w:name="_Toc15653"/>
      <w:bookmarkStart w:id="30" w:name="_Toc20823281"/>
      <w:bookmarkStart w:id="31" w:name="_Toc12607"/>
      <w:bookmarkStart w:id="32" w:name="_Toc403987206"/>
      <w:bookmarkStart w:id="33" w:name="_Toc19750"/>
      <w:bookmarkStart w:id="34" w:name="_Toc4844"/>
      <w:bookmarkStart w:id="35" w:name="_Toc421604327"/>
      <w:bookmarkStart w:id="36" w:name="_Toc8649"/>
      <w:bookmarkStart w:id="37" w:name="_Toc20465"/>
      <w:bookmarkStart w:id="38" w:name="_Toc12480"/>
      <w:bookmarkStart w:id="39" w:name="_Toc513029209"/>
      <w:bookmarkStart w:id="40" w:name="_Toc16938525"/>
      <w:bookmarkStart w:id="41" w:name="_Toc10080"/>
      <w:bookmarkStart w:id="42" w:name="_Toc22915"/>
      <w:bookmarkStart w:id="43" w:name="_Toc15003"/>
      <w:bookmarkStart w:id="44" w:name="_Toc23412"/>
      <w:bookmarkStart w:id="45" w:name="_Toc11744"/>
      <w:bookmarkStart w:id="46" w:name="_Toc1532"/>
      <w:bookmarkStart w:id="47" w:name="_Toc2079"/>
      <w:bookmarkStart w:id="48" w:name="_Toc120614215"/>
      <w:bookmarkStart w:id="49" w:name="_Toc990"/>
      <w:bookmarkStart w:id="50" w:name="_Toc31403"/>
      <w:bookmarkStart w:id="51" w:name="_Toc18417"/>
      <w:bookmarkStart w:id="52" w:name="_Toc2615"/>
      <w:bookmarkStart w:id="53" w:name="_Toc17068"/>
      <w:bookmarkStart w:id="54" w:name="_Toc26215"/>
      <w:r>
        <w:rPr>
          <w:rFonts w:cs="仿宋"/>
          <w:szCs w:val="28"/>
          <w:highlight w:val="none"/>
        </w:rPr>
        <w:t>竞争性磋商文件</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pStyle w:val="22"/>
        <w:widowControl/>
        <w:numPr>
          <w:ilvl w:val="0"/>
          <w:numId w:val="5"/>
        </w:numPr>
        <w:tabs>
          <w:tab w:val="left" w:pos="1140"/>
          <w:tab w:val="clear" w:pos="851"/>
        </w:tabs>
        <w:spacing w:line="500" w:lineRule="exact"/>
        <w:ind w:firstLine="560" w:firstLineChars="200"/>
        <w:outlineLvl w:val="9"/>
        <w:rPr>
          <w:rFonts w:ascii="仿宋" w:hAnsi="仿宋" w:eastAsia="仿宋" w:cs="仿宋"/>
          <w:color w:val="auto"/>
          <w:kern w:val="2"/>
          <w:szCs w:val="28"/>
          <w:highlight w:val="none"/>
        </w:rPr>
      </w:pPr>
      <w:bookmarkStart w:id="55" w:name="_Toc22934"/>
      <w:bookmarkStart w:id="56" w:name="_Toc16823"/>
      <w:bookmarkStart w:id="57" w:name="_Toc20"/>
      <w:bookmarkStart w:id="58" w:name="_Toc24446"/>
      <w:bookmarkStart w:id="59" w:name="_Toc14464"/>
      <w:r>
        <w:rPr>
          <w:rFonts w:ascii="仿宋" w:hAnsi="仿宋" w:eastAsia="仿宋" w:cs="仿宋"/>
          <w:color w:val="auto"/>
          <w:kern w:val="2"/>
          <w:szCs w:val="28"/>
          <w:highlight w:val="none"/>
        </w:rPr>
        <w:t>磋商的内容与要求</w:t>
      </w:r>
      <w:bookmarkEnd w:id="55"/>
      <w:bookmarkEnd w:id="56"/>
      <w:bookmarkEnd w:id="57"/>
      <w:bookmarkEnd w:id="58"/>
      <w:bookmarkEnd w:id="59"/>
    </w:p>
    <w:p>
      <w:pPr>
        <w:pStyle w:val="22"/>
        <w:widowControl/>
        <w:numPr>
          <w:ilvl w:val="2"/>
          <w:numId w:val="0"/>
        </w:numPr>
        <w:tabs>
          <w:tab w:val="left" w:pos="1140"/>
          <w:tab w:val="clear" w:pos="851"/>
        </w:tabs>
        <w:spacing w:line="500" w:lineRule="exact"/>
        <w:ind w:leftChars="200" w:right="0" w:rightChars="0"/>
        <w:outlineLvl w:val="9"/>
        <w:rPr>
          <w:rFonts w:hint="eastAsia" w:ascii="仿宋" w:hAnsi="仿宋" w:eastAsia="仿宋" w:cs="仿宋"/>
          <w:color w:val="auto"/>
          <w:kern w:val="2"/>
          <w:szCs w:val="28"/>
          <w:highlight w:val="none"/>
        </w:rPr>
      </w:pPr>
      <w:r>
        <w:rPr>
          <w:rFonts w:hint="eastAsia" w:ascii="仿宋" w:hAnsi="仿宋" w:eastAsia="仿宋" w:cs="仿宋"/>
          <w:color w:val="auto"/>
          <w:kern w:val="2"/>
          <w:szCs w:val="28"/>
          <w:highlight w:val="none"/>
        </w:rPr>
        <w:t>（1）磋商内容：具体内容详见第四章采购内容），供应商应对所有内容进行响应，不得在其中选项，否则按无效文件处理。</w:t>
      </w:r>
    </w:p>
    <w:p>
      <w:pPr>
        <w:pStyle w:val="20"/>
        <w:widowControl/>
        <w:spacing w:line="500" w:lineRule="exact"/>
        <w:ind w:firstLine="560"/>
        <w:rPr>
          <w:rFonts w:ascii="仿宋" w:hAnsi="仿宋" w:cs="仿宋"/>
          <w:kern w:val="2"/>
          <w:szCs w:val="28"/>
          <w:highlight w:val="none"/>
        </w:rPr>
      </w:pPr>
      <w:r>
        <w:rPr>
          <w:rFonts w:ascii="仿宋" w:hAnsi="仿宋" w:cs="仿宋"/>
          <w:kern w:val="2"/>
          <w:szCs w:val="28"/>
          <w:highlight w:val="none"/>
        </w:rPr>
        <w:t>（2）供应商资格：</w:t>
      </w:r>
    </w:p>
    <w:p>
      <w:pPr>
        <w:pStyle w:val="20"/>
        <w:widowControl/>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基本资格条件：符合《中华人民共和国政府采购法》第二十二条的规定；</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sz w:val="28"/>
          <w:szCs w:val="28"/>
          <w:highlight w:val="none"/>
        </w:rPr>
        <w:t>特定资格条件：</w:t>
      </w:r>
      <w:r>
        <w:rPr>
          <w:rFonts w:hint="eastAsia" w:ascii="仿宋" w:hAnsi="仿宋" w:eastAsia="仿宋" w:cs="仿宋"/>
          <w:kern w:val="2"/>
          <w:sz w:val="28"/>
          <w:szCs w:val="28"/>
          <w:highlight w:val="none"/>
          <w:lang w:val="en-US" w:eastAsia="zh-CN"/>
        </w:rPr>
        <w:t>1、具有独立承担民事责任能力的法人、其他组织或自然人，并出具合法有效的营业执照或事业单位法人证书等国家规定的相关证明，自然人参与的提供其身份证明；</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 2、法定代表人直接参加磋商的，须出具法人身份证明及身份证；法定代表人授权代表参加磋商的，须出具法定代表人授权书及授权代表身份证；</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3、提供参加本次政府采购活动近三年内在经营活动中没有重大违法记录的书面声明及无不良信用记录查询结果（未被“信用中国”网站（www.creditchina.gov.cn）及“中国政府采购网（http://www.ccgp.gov.cn/）列入失信被执行人、重大税收违法案件当事人名单、政府采购严重失信行为记录名单。（提供“信用中国”“重大税收违法案件信息公布栏”“中国政府采购”完整的查询结果截图加盖投标人公章，最终查验以采购代理机构评审现场查询结果为准)。</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4、提供具备履行合同所必需的设备和专业技术能力的说明及承诺；</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5、参加政府采购活动近三年内，在经营活动中没有重大违法记录声明</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sz w:val="28"/>
          <w:szCs w:val="28"/>
          <w:highlight w:val="none"/>
          <w:lang w:val="en-US" w:eastAsia="zh-CN"/>
        </w:rPr>
        <w:t>6、投标保证金交纳凭证（供应商交纳凭证复印件并加盖公章</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7、本项目不接受联合体磋商。</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注：1、依法免税或成立时间不满三个月的供应商，应提供相应文件证明其依法免税的证明文件；成立不满一年或开标前一年内零申报的则税收缴纳证明只需提供财务报表加盖供应商公章。</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      2、单位负责人为同一人或者存在控股、管理关系的不同单位不得同时投标。</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562" w:firstLineChars="200"/>
        <w:jc w:val="left"/>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开标现场请单独携带以上资格原件，单独递交，进行资格审查，以上原件欠缺其中任何一项按无效文件处理</w:t>
      </w:r>
      <w:r>
        <w:rPr>
          <w:rFonts w:hint="eastAsia" w:ascii="仿宋" w:hAnsi="仿宋" w:eastAsia="仿宋" w:cs="仿宋"/>
          <w:b/>
          <w:bCs/>
          <w:color w:val="auto"/>
          <w:sz w:val="28"/>
          <w:szCs w:val="28"/>
          <w:highlight w:val="none"/>
        </w:rPr>
        <w:t>。</w:t>
      </w:r>
    </w:p>
    <w:p>
      <w:pPr>
        <w:pStyle w:val="22"/>
        <w:widowControl/>
        <w:numPr>
          <w:ilvl w:val="0"/>
          <w:numId w:val="0"/>
        </w:numPr>
        <w:tabs>
          <w:tab w:val="left" w:pos="1140"/>
          <w:tab w:val="clear" w:pos="851"/>
        </w:tabs>
        <w:spacing w:line="500" w:lineRule="exact"/>
        <w:ind w:firstLine="560" w:firstLineChars="200"/>
        <w:outlineLvl w:val="9"/>
        <w:rPr>
          <w:rFonts w:ascii="仿宋" w:hAnsi="仿宋" w:eastAsia="仿宋" w:cs="仿宋"/>
          <w:color w:val="auto"/>
          <w:szCs w:val="28"/>
          <w:highlight w:val="none"/>
        </w:rPr>
      </w:pPr>
      <w:bookmarkStart w:id="60" w:name="_Toc31383"/>
      <w:bookmarkStart w:id="61" w:name="_Toc28259"/>
      <w:bookmarkStart w:id="62" w:name="_Toc29047"/>
      <w:r>
        <w:rPr>
          <w:rFonts w:ascii="仿宋" w:hAnsi="仿宋" w:eastAsia="仿宋" w:cs="仿宋"/>
          <w:color w:val="auto"/>
          <w:szCs w:val="28"/>
          <w:highlight w:val="none"/>
        </w:rPr>
        <w:t>2、竞争性磋商文件构成:</w:t>
      </w:r>
      <w:bookmarkEnd w:id="60"/>
      <w:bookmarkEnd w:id="61"/>
      <w:bookmarkEnd w:id="62"/>
    </w:p>
    <w:p>
      <w:pPr>
        <w:pStyle w:val="20"/>
        <w:widowControl/>
        <w:spacing w:line="500" w:lineRule="exact"/>
        <w:ind w:firstLine="560"/>
        <w:rPr>
          <w:rFonts w:ascii="仿宋" w:hAnsi="仿宋" w:cs="仿宋"/>
          <w:szCs w:val="28"/>
          <w:highlight w:val="none"/>
        </w:rPr>
      </w:pPr>
      <w:r>
        <w:rPr>
          <w:rFonts w:ascii="仿宋" w:hAnsi="仿宋" w:cs="仿宋"/>
          <w:szCs w:val="28"/>
          <w:highlight w:val="none"/>
        </w:rPr>
        <w:t>（1）竞争性磋商公告</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（2）供应商须知前附表</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（3）供应商须知</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（4）采购内容</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（5）评审标准</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（6）合同范本</w:t>
      </w:r>
    </w:p>
    <w:p>
      <w:pPr>
        <w:pStyle w:val="20"/>
        <w:spacing w:line="500" w:lineRule="exact"/>
        <w:ind w:firstLine="560"/>
        <w:rPr>
          <w:rFonts w:ascii="仿宋" w:hAnsi="仿宋" w:cs="仿宋"/>
          <w:szCs w:val="28"/>
          <w:highlight w:val="none"/>
        </w:rPr>
      </w:pPr>
      <w:r>
        <w:rPr>
          <w:rFonts w:ascii="仿宋" w:hAnsi="仿宋" w:cs="仿宋"/>
          <w:szCs w:val="28"/>
          <w:highlight w:val="none"/>
        </w:rPr>
        <w:t>（7）竞争性磋商响应文件格式</w:t>
      </w:r>
    </w:p>
    <w:p>
      <w:pPr>
        <w:pStyle w:val="20"/>
        <w:spacing w:line="500" w:lineRule="exact"/>
        <w:ind w:firstLine="560"/>
        <w:rPr>
          <w:rFonts w:ascii="仿宋" w:hAnsi="仿宋" w:cs="仿宋"/>
          <w:szCs w:val="28"/>
          <w:highlight w:val="none"/>
        </w:rPr>
      </w:pPr>
      <w:r>
        <w:rPr>
          <w:rFonts w:ascii="仿宋" w:hAnsi="仿宋" w:cs="仿宋"/>
          <w:szCs w:val="28"/>
          <w:highlight w:val="none"/>
        </w:rPr>
        <w:t>（8）投标保证金退还申请表</w:t>
      </w:r>
    </w:p>
    <w:p>
      <w:pPr>
        <w:pStyle w:val="22"/>
        <w:widowControl/>
        <w:numPr>
          <w:ilvl w:val="0"/>
          <w:numId w:val="0"/>
        </w:numPr>
        <w:tabs>
          <w:tab w:val="left" w:pos="1140"/>
          <w:tab w:val="clear" w:pos="851"/>
        </w:tabs>
        <w:spacing w:line="500" w:lineRule="exact"/>
        <w:ind w:firstLine="560" w:firstLineChars="200"/>
        <w:outlineLvl w:val="9"/>
        <w:rPr>
          <w:rFonts w:ascii="仿宋" w:hAnsi="仿宋" w:eastAsia="仿宋" w:cs="仿宋"/>
          <w:color w:val="auto"/>
          <w:szCs w:val="28"/>
          <w:highlight w:val="none"/>
        </w:rPr>
      </w:pPr>
      <w:bookmarkStart w:id="63" w:name="_Toc20823283"/>
      <w:bookmarkStart w:id="64" w:name="_Toc16938527"/>
      <w:bookmarkStart w:id="65" w:name="_Toc513029211"/>
      <w:bookmarkStart w:id="66" w:name="_Toc462564070"/>
      <w:bookmarkStart w:id="67" w:name="_Toc11673"/>
      <w:bookmarkStart w:id="68" w:name="_Toc13264"/>
      <w:bookmarkStart w:id="69" w:name="_Toc13303"/>
      <w:bookmarkStart w:id="70" w:name="_Toc5134"/>
      <w:bookmarkStart w:id="71" w:name="_Toc3499"/>
      <w:bookmarkStart w:id="72" w:name="_Toc865"/>
      <w:bookmarkStart w:id="73" w:name="_Toc27225"/>
      <w:bookmarkStart w:id="74" w:name="_Toc16804"/>
      <w:r>
        <w:rPr>
          <w:rFonts w:ascii="仿宋" w:hAnsi="仿宋" w:eastAsia="仿宋" w:cs="仿宋"/>
          <w:color w:val="auto"/>
          <w:szCs w:val="28"/>
          <w:highlight w:val="none"/>
        </w:rPr>
        <w:t>3、竞争性磋商文件的澄清</w:t>
      </w:r>
      <w:bookmarkEnd w:id="63"/>
      <w:bookmarkEnd w:id="64"/>
      <w:bookmarkEnd w:id="65"/>
      <w:bookmarkEnd w:id="66"/>
      <w:r>
        <w:rPr>
          <w:rFonts w:ascii="仿宋" w:hAnsi="仿宋" w:eastAsia="仿宋" w:cs="仿宋"/>
          <w:color w:val="auto"/>
          <w:szCs w:val="28"/>
          <w:highlight w:val="none"/>
        </w:rPr>
        <w:t>或者修改</w:t>
      </w:r>
      <w:bookmarkEnd w:id="67"/>
      <w:bookmarkEnd w:id="68"/>
      <w:bookmarkEnd w:id="69"/>
      <w:bookmarkEnd w:id="70"/>
      <w:bookmarkEnd w:id="71"/>
      <w:bookmarkEnd w:id="72"/>
      <w:bookmarkEnd w:id="73"/>
      <w:bookmarkEnd w:id="74"/>
      <w:bookmarkStart w:id="75" w:name="_Toc23256"/>
      <w:bookmarkStart w:id="76" w:name="_Toc24507"/>
      <w:bookmarkStart w:id="77" w:name="_Toc7535"/>
    </w:p>
    <w:p>
      <w:pPr>
        <w:pStyle w:val="22"/>
        <w:widowControl/>
        <w:numPr>
          <w:ilvl w:val="0"/>
          <w:numId w:val="0"/>
        </w:numPr>
        <w:tabs>
          <w:tab w:val="left" w:pos="1140"/>
          <w:tab w:val="clear" w:pos="851"/>
        </w:tabs>
        <w:spacing w:line="500" w:lineRule="exact"/>
        <w:ind w:firstLine="560" w:firstLineChars="200"/>
        <w:outlineLvl w:val="9"/>
        <w:rPr>
          <w:rFonts w:hint="eastAsia" w:ascii="仿宋" w:hAnsi="仿宋" w:eastAsia="仿宋" w:cs="仿宋"/>
          <w:color w:val="auto"/>
          <w:szCs w:val="28"/>
          <w:highlight w:val="none"/>
          <w:lang w:eastAsia="zh-CN"/>
        </w:rPr>
      </w:pPr>
      <w:bookmarkStart w:id="78" w:name="_Toc24773"/>
      <w:bookmarkStart w:id="79" w:name="_Toc18387"/>
      <w:r>
        <w:rPr>
          <w:rFonts w:ascii="仿宋" w:hAnsi="仿宋" w:eastAsia="仿宋" w:cs="仿宋"/>
          <w:color w:val="auto"/>
          <w:szCs w:val="28"/>
          <w:highlight w:val="none"/>
        </w:rPr>
        <w:t>（1）递交首次响应文件截止之日前，采购人、采购代理机构可以对已发出的磋商文件进行必要的澄清或者修改，澄清或者修改的内容作为磋商文件的组成部分。澄清或者修改的内容可能影响响应文件编制的，采购人、采购代理机构将在提交首次响应文件截止时间至少5日前，以书面形式通知所有获取磋商文件的供应商；不足5日的，采购人、采购代理机构应当根据项目情况决定是否顺延提交首次响应文件截止时间</w:t>
      </w:r>
      <w:bookmarkEnd w:id="75"/>
      <w:bookmarkEnd w:id="76"/>
      <w:bookmarkEnd w:id="77"/>
      <w:bookmarkEnd w:id="78"/>
      <w:bookmarkEnd w:id="79"/>
      <w:r>
        <w:rPr>
          <w:rFonts w:hint="eastAsia" w:ascii="仿宋" w:hAnsi="仿宋" w:eastAsia="仿宋" w:cs="仿宋"/>
          <w:color w:val="auto"/>
          <w:szCs w:val="28"/>
          <w:highlight w:val="none"/>
          <w:lang w:eastAsia="zh-CN"/>
        </w:rPr>
        <w:t>；</w:t>
      </w:r>
    </w:p>
    <w:p>
      <w:pPr>
        <w:pStyle w:val="20"/>
        <w:widowControl/>
        <w:spacing w:line="500" w:lineRule="exact"/>
        <w:ind w:firstLine="560"/>
        <w:rPr>
          <w:rFonts w:hint="eastAsia" w:ascii="仿宋" w:hAnsi="仿宋" w:eastAsia="仿宋" w:cs="仿宋"/>
          <w:szCs w:val="28"/>
          <w:highlight w:val="none"/>
          <w:lang w:eastAsia="zh-CN"/>
        </w:rPr>
      </w:pPr>
      <w:r>
        <w:rPr>
          <w:rFonts w:ascii="仿宋" w:hAnsi="仿宋" w:cs="仿宋"/>
          <w:szCs w:val="28"/>
          <w:highlight w:val="none"/>
        </w:rPr>
        <w:t>（2）不组织统一踏勘,供应商可根据自身情况及需要，自行组织踏勘</w:t>
      </w:r>
      <w:r>
        <w:rPr>
          <w:rFonts w:hint="eastAsia" w:ascii="仿宋" w:hAnsi="仿宋" w:cs="仿宋"/>
          <w:szCs w:val="28"/>
          <w:highlight w:val="none"/>
          <w:lang w:eastAsia="zh-CN"/>
        </w:rPr>
        <w:t>；</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（3）供应商必须从采购代理机构购买磋商文件，供应商自行转让或复制磋商文件视为无效。磋商文件售后不退，仅作为本次磋商使用。</w:t>
      </w:r>
    </w:p>
    <w:p>
      <w:pPr>
        <w:pStyle w:val="23"/>
        <w:widowControl/>
        <w:numPr>
          <w:ilvl w:val="0"/>
          <w:numId w:val="0"/>
        </w:numPr>
        <w:tabs>
          <w:tab w:val="left" w:pos="720"/>
          <w:tab w:val="clear" w:pos="851"/>
        </w:tabs>
        <w:spacing w:line="500" w:lineRule="exact"/>
        <w:outlineLvl w:val="9"/>
        <w:rPr>
          <w:rFonts w:cs="仿宋"/>
          <w:szCs w:val="28"/>
          <w:highlight w:val="none"/>
        </w:rPr>
      </w:pPr>
      <w:bookmarkStart w:id="80" w:name="_Toc222"/>
      <w:bookmarkStart w:id="81" w:name="_Toc26041"/>
      <w:bookmarkStart w:id="82" w:name="_Toc27354"/>
      <w:bookmarkStart w:id="83" w:name="_Toc9319"/>
      <w:bookmarkStart w:id="84" w:name="_Toc17966"/>
      <w:bookmarkStart w:id="85" w:name="_Toc16941"/>
      <w:bookmarkStart w:id="86" w:name="_Toc403987207"/>
      <w:bookmarkStart w:id="87" w:name="_Toc11939"/>
      <w:bookmarkStart w:id="88" w:name="_Toc20823285"/>
      <w:bookmarkStart w:id="89" w:name="_Toc17271"/>
      <w:bookmarkStart w:id="90" w:name="_Toc281"/>
      <w:bookmarkStart w:id="91" w:name="_Toc3063"/>
      <w:bookmarkStart w:id="92" w:name="_Toc19219"/>
      <w:bookmarkStart w:id="93" w:name="_Toc30676"/>
      <w:bookmarkStart w:id="94" w:name="_Toc120614216"/>
      <w:bookmarkStart w:id="95" w:name="_Toc16938529"/>
      <w:bookmarkStart w:id="96" w:name="_Toc10059"/>
      <w:bookmarkStart w:id="97" w:name="_Toc2709"/>
      <w:bookmarkStart w:id="98" w:name="_Toc513029213"/>
      <w:bookmarkStart w:id="99" w:name="_Toc23338"/>
      <w:bookmarkStart w:id="100" w:name="_Toc5454"/>
      <w:bookmarkStart w:id="101" w:name="_Toc13587"/>
      <w:bookmarkStart w:id="102" w:name="_Toc9916"/>
      <w:bookmarkStart w:id="103" w:name="_Toc25508"/>
      <w:bookmarkStart w:id="104" w:name="_Toc462564072"/>
      <w:bookmarkStart w:id="105" w:name="_Toc9523"/>
      <w:bookmarkStart w:id="106" w:name="_Toc22631"/>
      <w:bookmarkStart w:id="107" w:name="_Toc421604328"/>
      <w:bookmarkStart w:id="108" w:name="_Toc31727"/>
      <w:r>
        <w:rPr>
          <w:rFonts w:cs="仿宋"/>
          <w:szCs w:val="28"/>
          <w:highlight w:val="none"/>
        </w:rPr>
        <w:t>三、竞争性磋商响应文件的递交及编制</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pStyle w:val="20"/>
        <w:widowControl/>
        <w:spacing w:line="500" w:lineRule="exact"/>
        <w:ind w:firstLine="560"/>
        <w:rPr>
          <w:rFonts w:ascii="仿宋" w:hAnsi="仿宋" w:cs="仿宋"/>
          <w:szCs w:val="28"/>
          <w:highlight w:val="none"/>
        </w:rPr>
      </w:pPr>
      <w:r>
        <w:rPr>
          <w:rFonts w:ascii="仿宋" w:hAnsi="仿宋" w:cs="仿宋"/>
          <w:szCs w:val="28"/>
          <w:highlight w:val="none"/>
        </w:rPr>
        <w:t>1、供应商应当在磋商文件要求的截止时间前，将响应文件密封递交指定地点。在截止时间后递交的响应文件为无效文件，采购代理机构将拒收。</w:t>
      </w:r>
    </w:p>
    <w:p>
      <w:pPr>
        <w:pStyle w:val="22"/>
        <w:widowControl/>
        <w:numPr>
          <w:ilvl w:val="0"/>
          <w:numId w:val="0"/>
        </w:numPr>
        <w:tabs>
          <w:tab w:val="left" w:pos="1140"/>
          <w:tab w:val="clear" w:pos="851"/>
        </w:tabs>
        <w:spacing w:line="500" w:lineRule="exact"/>
        <w:ind w:firstLine="560" w:firstLineChars="200"/>
        <w:outlineLvl w:val="9"/>
        <w:rPr>
          <w:rFonts w:ascii="仿宋" w:hAnsi="仿宋" w:eastAsia="仿宋" w:cs="仿宋"/>
          <w:color w:val="auto"/>
          <w:szCs w:val="28"/>
          <w:highlight w:val="none"/>
        </w:rPr>
      </w:pPr>
      <w:bookmarkStart w:id="109" w:name="_Toc6695"/>
      <w:bookmarkStart w:id="110" w:name="_Toc8565"/>
      <w:bookmarkStart w:id="111" w:name="_Toc20773"/>
      <w:r>
        <w:rPr>
          <w:rFonts w:ascii="仿宋" w:hAnsi="仿宋" w:eastAsia="仿宋" w:cs="仿宋"/>
          <w:color w:val="auto"/>
          <w:szCs w:val="28"/>
          <w:highlight w:val="none"/>
        </w:rPr>
        <w:t>2、供应商在递交响应文件截止时间前，可以对已递交的响应文件进行补充、修改或者撤回，并书面通知采购人、采购代理机构。补充、修改的内容作为响应文件的组成部分。补充、修改的内容与响应文件不一致的，以补充、修改的内容为准。</w:t>
      </w:r>
      <w:bookmarkEnd w:id="109"/>
      <w:bookmarkEnd w:id="110"/>
      <w:bookmarkEnd w:id="111"/>
    </w:p>
    <w:p>
      <w:pPr>
        <w:pStyle w:val="20"/>
        <w:widowControl/>
        <w:spacing w:line="500" w:lineRule="exact"/>
        <w:ind w:firstLine="560"/>
        <w:rPr>
          <w:rFonts w:ascii="仿宋" w:hAnsi="仿宋" w:cs="仿宋"/>
          <w:szCs w:val="28"/>
          <w:highlight w:val="none"/>
        </w:rPr>
      </w:pPr>
      <w:r>
        <w:rPr>
          <w:rFonts w:ascii="仿宋" w:hAnsi="仿宋" w:cs="仿宋"/>
          <w:szCs w:val="28"/>
          <w:highlight w:val="none"/>
        </w:rPr>
        <w:t>3、</w:t>
      </w:r>
      <w:r>
        <w:rPr>
          <w:rFonts w:ascii="仿宋" w:hAnsi="仿宋" w:cs="仿宋"/>
          <w:szCs w:val="28"/>
          <w:highlight w:val="none"/>
          <w:lang w:bidi="ar"/>
        </w:rPr>
        <w:t>各供应商应仔细阅读磋商文件中所有的事项、格式、条款和规范要求，在磋商响应文件中对磋商文件的各方面都做出实质性的响应，按照磋商文件中规定的格式编制响应文件并提供相关证明资料，各</w:t>
      </w:r>
      <w:r>
        <w:rPr>
          <w:rFonts w:ascii="仿宋" w:hAnsi="仿宋" w:cs="仿宋"/>
          <w:szCs w:val="28"/>
          <w:highlight w:val="none"/>
        </w:rPr>
        <w:t>供应商对其递交的响应文件的真实性、合法性承担法律责任。</w:t>
      </w:r>
      <w:r>
        <w:rPr>
          <w:rFonts w:ascii="仿宋" w:hAnsi="仿宋" w:cs="仿宋"/>
          <w:szCs w:val="28"/>
          <w:highlight w:val="none"/>
          <w:lang w:bidi="ar"/>
        </w:rPr>
        <w:t>未按磋商文件格式要求编写的，按无效磋商响应文件处理。</w:t>
      </w:r>
    </w:p>
    <w:p>
      <w:pPr>
        <w:pStyle w:val="20"/>
        <w:widowControl/>
        <w:spacing w:line="500" w:lineRule="exact"/>
        <w:ind w:firstLine="560"/>
        <w:rPr>
          <w:rFonts w:ascii="仿宋" w:hAnsi="仿宋" w:cs="仿宋"/>
          <w:szCs w:val="28"/>
          <w:highlight w:val="none"/>
        </w:rPr>
      </w:pPr>
      <w:bookmarkStart w:id="112" w:name="_Toc20823286"/>
      <w:bookmarkStart w:id="113" w:name="_Toc462564073"/>
      <w:bookmarkStart w:id="114" w:name="_Toc513029214"/>
      <w:bookmarkStart w:id="115" w:name="_Toc16938530"/>
      <w:r>
        <w:rPr>
          <w:rFonts w:ascii="仿宋" w:hAnsi="仿宋" w:cs="仿宋"/>
          <w:szCs w:val="28"/>
          <w:highlight w:val="none"/>
        </w:rPr>
        <w:t>4、响应文件的语言及度量衡单位</w:t>
      </w:r>
      <w:bookmarkEnd w:id="112"/>
      <w:bookmarkEnd w:id="113"/>
      <w:bookmarkEnd w:id="114"/>
      <w:bookmarkEnd w:id="115"/>
    </w:p>
    <w:p>
      <w:pPr>
        <w:pStyle w:val="20"/>
        <w:spacing w:line="500" w:lineRule="exact"/>
        <w:ind w:firstLine="560"/>
        <w:rPr>
          <w:rFonts w:hint="eastAsia" w:ascii="仿宋" w:hAnsi="仿宋" w:eastAsia="仿宋" w:cs="仿宋"/>
          <w:szCs w:val="28"/>
          <w:highlight w:val="none"/>
          <w:lang w:eastAsia="zh-CN"/>
        </w:rPr>
      </w:pPr>
      <w:r>
        <w:rPr>
          <w:rFonts w:ascii="仿宋" w:hAnsi="仿宋" w:cs="仿宋"/>
          <w:szCs w:val="28"/>
          <w:highlight w:val="none"/>
        </w:rPr>
        <w:t>（1）供应商递交的响应文件以及供应商与采购人、采购代理机构就有关磋商的所有来往通知、函件和文件均应使用简体中文</w:t>
      </w:r>
      <w:r>
        <w:rPr>
          <w:rFonts w:hint="eastAsia" w:ascii="仿宋" w:hAnsi="仿宋" w:cs="仿宋"/>
          <w:szCs w:val="28"/>
          <w:highlight w:val="none"/>
          <w:lang w:eastAsia="zh-CN"/>
        </w:rPr>
        <w:t>；</w:t>
      </w:r>
    </w:p>
    <w:p>
      <w:pPr>
        <w:pStyle w:val="20"/>
        <w:spacing w:line="500" w:lineRule="exact"/>
        <w:ind w:firstLine="560"/>
        <w:rPr>
          <w:rFonts w:ascii="仿宋" w:hAnsi="仿宋" w:cs="仿宋"/>
          <w:szCs w:val="28"/>
          <w:highlight w:val="none"/>
        </w:rPr>
      </w:pPr>
      <w:r>
        <w:rPr>
          <w:rFonts w:ascii="仿宋" w:hAnsi="仿宋" w:cs="仿宋"/>
          <w:szCs w:val="28"/>
          <w:highlight w:val="none"/>
        </w:rPr>
        <w:t>（2）除技术性能另有规定外，响应文件所使用的度量衡单位，均须采用国家法定计量单位。</w:t>
      </w:r>
    </w:p>
    <w:p>
      <w:pPr>
        <w:pStyle w:val="20"/>
        <w:widowControl/>
        <w:spacing w:line="500" w:lineRule="exact"/>
        <w:ind w:firstLine="560"/>
        <w:rPr>
          <w:rFonts w:ascii="仿宋" w:hAnsi="仿宋" w:cs="仿宋"/>
          <w:szCs w:val="28"/>
          <w:highlight w:val="none"/>
        </w:rPr>
      </w:pPr>
      <w:bookmarkStart w:id="116" w:name="_Toc20823287"/>
      <w:bookmarkStart w:id="117" w:name="_Toc16938531"/>
      <w:bookmarkStart w:id="118" w:name="_Toc462564074"/>
      <w:bookmarkStart w:id="119" w:name="_Toc513029215"/>
      <w:r>
        <w:rPr>
          <w:rFonts w:ascii="仿宋" w:hAnsi="仿宋" w:cs="仿宋"/>
          <w:szCs w:val="28"/>
          <w:highlight w:val="none"/>
        </w:rPr>
        <w:t>5、竞争性磋商响应文件</w:t>
      </w:r>
      <w:bookmarkEnd w:id="116"/>
      <w:bookmarkEnd w:id="117"/>
      <w:bookmarkEnd w:id="118"/>
      <w:bookmarkEnd w:id="119"/>
      <w:r>
        <w:rPr>
          <w:rFonts w:ascii="仿宋" w:hAnsi="仿宋" w:cs="仿宋"/>
          <w:szCs w:val="28"/>
          <w:highlight w:val="none"/>
        </w:rPr>
        <w:t>格式</w:t>
      </w:r>
    </w:p>
    <w:p>
      <w:pPr>
        <w:widowControl/>
        <w:spacing w:line="500" w:lineRule="exact"/>
        <w:ind w:firstLine="840" w:firstLineChars="3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bidi="ar"/>
        </w:rPr>
        <w:fldChar w:fldCharType="begin"/>
      </w:r>
      <w:r>
        <w:rPr>
          <w:rFonts w:hint="eastAsia" w:ascii="仿宋" w:hAnsi="仿宋" w:eastAsia="仿宋" w:cs="仿宋"/>
          <w:kern w:val="0"/>
          <w:sz w:val="28"/>
          <w:szCs w:val="28"/>
          <w:highlight w:val="none"/>
          <w:lang w:bidi="ar"/>
        </w:rPr>
        <w:instrText xml:space="preserve"> HYPERLINK "D:\\Documents\\Tencent Files\\2386277309\\FileRecv\\--渭南市南七卫生院2.doc" \l "_Toc15109" </w:instrText>
      </w:r>
      <w:r>
        <w:rPr>
          <w:rFonts w:hint="eastAsia" w:ascii="仿宋" w:hAnsi="仿宋" w:eastAsia="仿宋" w:cs="仿宋"/>
          <w:kern w:val="0"/>
          <w:sz w:val="28"/>
          <w:szCs w:val="28"/>
          <w:highlight w:val="none"/>
          <w:lang w:bidi="ar"/>
        </w:rPr>
        <w:fldChar w:fldCharType="separate"/>
      </w:r>
      <w:r>
        <w:rPr>
          <w:rFonts w:hint="eastAsia" w:ascii="仿宋" w:hAnsi="仿宋" w:eastAsia="仿宋" w:cs="仿宋"/>
          <w:kern w:val="0"/>
          <w:sz w:val="28"/>
          <w:szCs w:val="28"/>
          <w:highlight w:val="none"/>
          <w:lang w:bidi="ar"/>
        </w:rPr>
        <w:t>①竞争性</w:t>
      </w:r>
      <w:r>
        <w:rPr>
          <w:rStyle w:val="18"/>
          <w:rFonts w:hint="default" w:ascii="仿宋" w:hAnsi="仿宋" w:eastAsia="仿宋" w:cs="仿宋"/>
          <w:color w:val="auto"/>
          <w:kern w:val="0"/>
          <w:sz w:val="28"/>
          <w:szCs w:val="28"/>
          <w:highlight w:val="none"/>
          <w:lang w:bidi="ar"/>
        </w:rPr>
        <w:t>磋商响应函</w:t>
      </w:r>
      <w:r>
        <w:rPr>
          <w:rFonts w:hint="eastAsia" w:ascii="仿宋" w:hAnsi="仿宋" w:eastAsia="仿宋" w:cs="仿宋"/>
          <w:kern w:val="0"/>
          <w:sz w:val="28"/>
          <w:szCs w:val="28"/>
          <w:highlight w:val="none"/>
          <w:lang w:bidi="ar"/>
        </w:rPr>
        <w:fldChar w:fldCharType="end"/>
      </w:r>
      <w:r>
        <w:rPr>
          <w:rFonts w:hint="eastAsia" w:ascii="仿宋" w:hAnsi="仿宋" w:eastAsia="仿宋" w:cs="仿宋"/>
          <w:kern w:val="0"/>
          <w:sz w:val="28"/>
          <w:szCs w:val="28"/>
          <w:highlight w:val="none"/>
          <w:lang w:bidi="ar"/>
        </w:rPr>
        <w:t>；</w:t>
      </w:r>
    </w:p>
    <w:p>
      <w:pPr>
        <w:widowControl/>
        <w:spacing w:line="500" w:lineRule="exact"/>
        <w:ind w:firstLine="840" w:firstLineChars="3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fldChar w:fldCharType="begin"/>
      </w:r>
      <w:r>
        <w:rPr>
          <w:rFonts w:hint="eastAsia" w:ascii="仿宋" w:hAnsi="仿宋" w:eastAsia="仿宋" w:cs="仿宋"/>
          <w:kern w:val="0"/>
          <w:sz w:val="28"/>
          <w:szCs w:val="28"/>
          <w:highlight w:val="none"/>
          <w:lang w:bidi="ar"/>
        </w:rPr>
        <w:instrText xml:space="preserve"> HYPERLINK "D:\\Documents\\Tencent Files\\2386277309\\FileRecv\\--渭南市南七卫生院2.doc" \l "_Toc30925" </w:instrText>
      </w:r>
      <w:r>
        <w:rPr>
          <w:rFonts w:hint="eastAsia" w:ascii="仿宋" w:hAnsi="仿宋" w:eastAsia="仿宋" w:cs="仿宋"/>
          <w:kern w:val="0"/>
          <w:sz w:val="28"/>
          <w:szCs w:val="28"/>
          <w:highlight w:val="none"/>
          <w:lang w:bidi="ar"/>
        </w:rPr>
        <w:fldChar w:fldCharType="separate"/>
      </w:r>
      <w:r>
        <w:rPr>
          <w:rFonts w:hint="eastAsia" w:ascii="仿宋" w:hAnsi="仿宋" w:eastAsia="仿宋" w:cs="仿宋"/>
          <w:sz w:val="28"/>
          <w:szCs w:val="28"/>
          <w:highlight w:val="none"/>
        </w:rPr>
        <w:t>②报价一览表</w:t>
      </w:r>
      <w:r>
        <w:rPr>
          <w:rFonts w:hint="eastAsia" w:ascii="仿宋" w:hAnsi="仿宋" w:eastAsia="仿宋" w:cs="仿宋"/>
          <w:kern w:val="0"/>
          <w:sz w:val="28"/>
          <w:szCs w:val="28"/>
          <w:highlight w:val="none"/>
          <w:lang w:bidi="ar"/>
        </w:rPr>
        <w:fldChar w:fldCharType="end"/>
      </w:r>
      <w:r>
        <w:rPr>
          <w:rFonts w:hint="eastAsia" w:ascii="仿宋" w:hAnsi="仿宋" w:eastAsia="仿宋" w:cs="仿宋"/>
          <w:kern w:val="0"/>
          <w:sz w:val="28"/>
          <w:szCs w:val="28"/>
          <w:highlight w:val="none"/>
          <w:lang w:bidi="ar"/>
        </w:rPr>
        <w:t>；</w:t>
      </w:r>
    </w:p>
    <w:p>
      <w:pPr>
        <w:widowControl/>
        <w:spacing w:line="500" w:lineRule="exact"/>
        <w:ind w:firstLine="840" w:firstLineChars="3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fldChar w:fldCharType="begin"/>
      </w:r>
      <w:r>
        <w:rPr>
          <w:rFonts w:hint="eastAsia" w:ascii="仿宋" w:hAnsi="仿宋" w:eastAsia="仿宋" w:cs="仿宋"/>
          <w:kern w:val="0"/>
          <w:sz w:val="28"/>
          <w:szCs w:val="28"/>
          <w:highlight w:val="none"/>
          <w:lang w:bidi="ar"/>
        </w:rPr>
        <w:instrText xml:space="preserve"> HYPERLINK "D:\\Documents\\Tencent Files\\2386277309\\FileRecv\\--渭南市南七卫生院2.doc" \l "_Toc30247" </w:instrText>
      </w:r>
      <w:r>
        <w:rPr>
          <w:rFonts w:hint="eastAsia" w:ascii="仿宋" w:hAnsi="仿宋" w:eastAsia="仿宋" w:cs="仿宋"/>
          <w:kern w:val="0"/>
          <w:sz w:val="28"/>
          <w:szCs w:val="28"/>
          <w:highlight w:val="none"/>
          <w:lang w:bidi="ar"/>
        </w:rPr>
        <w:fldChar w:fldCharType="separate"/>
      </w:r>
      <w:r>
        <w:rPr>
          <w:rFonts w:hint="eastAsia" w:ascii="仿宋" w:hAnsi="仿宋" w:eastAsia="仿宋" w:cs="仿宋"/>
          <w:sz w:val="28"/>
          <w:szCs w:val="28"/>
          <w:highlight w:val="none"/>
        </w:rPr>
        <w:t>③法定代表人身份证明书和授权委托书</w:t>
      </w:r>
      <w:r>
        <w:rPr>
          <w:rFonts w:hint="eastAsia" w:ascii="仿宋" w:hAnsi="仿宋" w:eastAsia="仿宋" w:cs="仿宋"/>
          <w:kern w:val="0"/>
          <w:sz w:val="28"/>
          <w:szCs w:val="28"/>
          <w:highlight w:val="none"/>
          <w:lang w:bidi="ar"/>
        </w:rPr>
        <w:fldChar w:fldCharType="end"/>
      </w:r>
      <w:r>
        <w:rPr>
          <w:rFonts w:hint="eastAsia" w:ascii="仿宋" w:hAnsi="仿宋" w:eastAsia="仿宋" w:cs="仿宋"/>
          <w:kern w:val="0"/>
          <w:sz w:val="28"/>
          <w:szCs w:val="28"/>
          <w:highlight w:val="none"/>
          <w:lang w:bidi="ar"/>
        </w:rPr>
        <w:t>；</w:t>
      </w:r>
    </w:p>
    <w:p>
      <w:pPr>
        <w:widowControl/>
        <w:spacing w:line="500" w:lineRule="exact"/>
        <w:ind w:firstLine="840" w:firstLineChars="3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fldChar w:fldCharType="begin"/>
      </w:r>
      <w:r>
        <w:rPr>
          <w:rFonts w:hint="eastAsia" w:ascii="仿宋" w:hAnsi="仿宋" w:eastAsia="仿宋" w:cs="仿宋"/>
          <w:kern w:val="0"/>
          <w:sz w:val="28"/>
          <w:szCs w:val="28"/>
          <w:highlight w:val="none"/>
          <w:lang w:bidi="ar"/>
        </w:rPr>
        <w:instrText xml:space="preserve"> HYPERLINK "D:\\Documents\\Tencent Files\\2386277309\\FileRecv\\--渭南市南七卫生院2.doc" \l "_Toc22039" </w:instrText>
      </w:r>
      <w:r>
        <w:rPr>
          <w:rFonts w:hint="eastAsia" w:ascii="仿宋" w:hAnsi="仿宋" w:eastAsia="仿宋" w:cs="仿宋"/>
          <w:kern w:val="0"/>
          <w:sz w:val="28"/>
          <w:szCs w:val="28"/>
          <w:highlight w:val="none"/>
          <w:lang w:bidi="ar"/>
        </w:rPr>
        <w:fldChar w:fldCharType="separate"/>
      </w:r>
      <w:r>
        <w:rPr>
          <w:rFonts w:hint="eastAsia" w:ascii="仿宋" w:hAnsi="仿宋" w:eastAsia="仿宋" w:cs="仿宋"/>
          <w:sz w:val="28"/>
          <w:szCs w:val="28"/>
          <w:highlight w:val="none"/>
        </w:rPr>
        <w:t>④供应商资格声明文件；</w:t>
      </w:r>
      <w:r>
        <w:rPr>
          <w:rFonts w:hint="eastAsia" w:ascii="仿宋" w:hAnsi="仿宋" w:eastAsia="仿宋" w:cs="仿宋"/>
          <w:kern w:val="0"/>
          <w:sz w:val="28"/>
          <w:szCs w:val="28"/>
          <w:highlight w:val="none"/>
          <w:lang w:bidi="ar"/>
        </w:rPr>
        <w:fldChar w:fldCharType="end"/>
      </w:r>
    </w:p>
    <w:p>
      <w:pPr>
        <w:widowControl/>
        <w:spacing w:line="500" w:lineRule="exact"/>
        <w:ind w:firstLine="840" w:firstLineChars="3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fldChar w:fldCharType="begin"/>
      </w:r>
      <w:r>
        <w:rPr>
          <w:rFonts w:hint="eastAsia" w:ascii="仿宋" w:hAnsi="仿宋" w:eastAsia="仿宋" w:cs="仿宋"/>
          <w:kern w:val="0"/>
          <w:sz w:val="28"/>
          <w:szCs w:val="28"/>
          <w:highlight w:val="none"/>
          <w:lang w:bidi="ar"/>
        </w:rPr>
        <w:instrText xml:space="preserve"> HYPERLINK "D:\\Documents\\Tencent Files\\2386277309\\FileRecv\\--渭南市南七卫生院2.doc" \l "_Toc32289" </w:instrText>
      </w:r>
      <w:r>
        <w:rPr>
          <w:rFonts w:hint="eastAsia" w:ascii="仿宋" w:hAnsi="仿宋" w:eastAsia="仿宋" w:cs="仿宋"/>
          <w:kern w:val="0"/>
          <w:sz w:val="28"/>
          <w:szCs w:val="28"/>
          <w:highlight w:val="none"/>
          <w:lang w:bidi="ar"/>
        </w:rPr>
        <w:fldChar w:fldCharType="separate"/>
      </w:r>
      <w:r>
        <w:rPr>
          <w:rFonts w:hint="eastAsia" w:ascii="仿宋" w:hAnsi="仿宋" w:eastAsia="仿宋" w:cs="仿宋"/>
          <w:sz w:val="28"/>
          <w:szCs w:val="28"/>
          <w:highlight w:val="none"/>
        </w:rPr>
        <w:t>⑤供应商资格证明文件；</w:t>
      </w:r>
      <w:r>
        <w:rPr>
          <w:rFonts w:hint="eastAsia" w:ascii="仿宋" w:hAnsi="仿宋" w:eastAsia="仿宋" w:cs="仿宋"/>
          <w:kern w:val="0"/>
          <w:sz w:val="28"/>
          <w:szCs w:val="28"/>
          <w:highlight w:val="none"/>
          <w:lang w:bidi="ar"/>
        </w:rPr>
        <w:fldChar w:fldCharType="end"/>
      </w:r>
    </w:p>
    <w:p>
      <w:pPr>
        <w:widowControl/>
        <w:spacing w:line="500" w:lineRule="exact"/>
        <w:ind w:firstLine="840" w:firstLineChars="3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⑥</w:t>
      </w:r>
      <w:r>
        <w:rPr>
          <w:rFonts w:hint="eastAsia" w:ascii="仿宋" w:hAnsi="仿宋" w:eastAsia="仿宋" w:cs="仿宋"/>
          <w:sz w:val="28"/>
          <w:szCs w:val="28"/>
          <w:highlight w:val="none"/>
        </w:rPr>
        <w:t>业绩证明文件；</w:t>
      </w:r>
    </w:p>
    <w:p>
      <w:pPr>
        <w:widowControl/>
        <w:spacing w:line="500" w:lineRule="exact"/>
        <w:ind w:firstLine="840" w:firstLineChars="3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⑦</w:t>
      </w:r>
      <w:r>
        <w:rPr>
          <w:rFonts w:hint="eastAsia" w:ascii="仿宋" w:hAnsi="仿宋" w:eastAsia="仿宋" w:cs="仿宋"/>
          <w:sz w:val="28"/>
          <w:szCs w:val="28"/>
          <w:highlight w:val="none"/>
        </w:rPr>
        <w:t>供应商承诺书；</w:t>
      </w:r>
    </w:p>
    <w:p>
      <w:pPr>
        <w:widowControl/>
        <w:spacing w:line="500" w:lineRule="exact"/>
        <w:ind w:firstLine="840" w:firstLineChars="3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⑧投标保证金交纳凭证；</w:t>
      </w:r>
    </w:p>
    <w:p>
      <w:pPr>
        <w:widowControl/>
        <w:spacing w:line="500" w:lineRule="exact"/>
        <w:ind w:firstLine="840" w:firstLineChars="300"/>
        <w:jc w:val="left"/>
        <w:rPr>
          <w:rFonts w:hint="eastAsia" w:ascii="仿宋" w:hAnsi="仿宋" w:eastAsia="仿宋" w:cs="仿宋"/>
          <w:sz w:val="28"/>
          <w:szCs w:val="28"/>
          <w:highlight w:val="none"/>
          <w:lang w:eastAsia="zh-CN"/>
        </w:rPr>
      </w:pPr>
      <w:r>
        <w:rPr>
          <w:rFonts w:hint="eastAsia" w:ascii="仿宋" w:hAnsi="仿宋" w:eastAsia="仿宋" w:cs="仿宋"/>
          <w:kern w:val="0"/>
          <w:sz w:val="28"/>
          <w:szCs w:val="28"/>
          <w:highlight w:val="none"/>
          <w:lang w:bidi="ar"/>
        </w:rPr>
        <w:t>⑨投标方案说明</w:t>
      </w:r>
      <w:r>
        <w:rPr>
          <w:rFonts w:hint="eastAsia" w:ascii="仿宋" w:hAnsi="仿宋" w:eastAsia="仿宋" w:cs="仿宋"/>
          <w:kern w:val="0"/>
          <w:sz w:val="28"/>
          <w:szCs w:val="28"/>
          <w:highlight w:val="none"/>
          <w:lang w:eastAsia="zh-CN" w:bidi="ar"/>
        </w:rPr>
        <w:t>；</w:t>
      </w:r>
    </w:p>
    <w:p>
      <w:pPr>
        <w:widowControl/>
        <w:spacing w:line="500" w:lineRule="exact"/>
        <w:ind w:firstLine="840" w:firstLineChars="300"/>
        <w:jc w:val="left"/>
        <w:rPr>
          <w:rFonts w:hint="eastAsia"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⑩政府采购供应商拒绝政府采购领域商业贿赂承诺书；</w:t>
      </w:r>
    </w:p>
    <w:p>
      <w:pPr>
        <w:widowControl/>
        <w:spacing w:line="500" w:lineRule="exact"/>
        <w:ind w:firstLine="840" w:firstLineChars="300"/>
        <w:jc w:val="left"/>
        <w:rPr>
          <w:rFonts w:hint="eastAsia" w:ascii="仿宋" w:hAnsi="仿宋" w:eastAsia="仿宋" w:cs="仿宋"/>
          <w:sz w:val="28"/>
          <w:szCs w:val="28"/>
          <w:highlight w:val="none"/>
        </w:rPr>
      </w:pPr>
      <w:bookmarkStart w:id="120" w:name="_Hlt26670360"/>
      <w:bookmarkEnd w:id="120"/>
      <w:bookmarkStart w:id="121" w:name="_Hlt26954838"/>
      <w:bookmarkEnd w:id="121"/>
      <w:bookmarkStart w:id="122" w:name="_Hlt26668975"/>
      <w:bookmarkEnd w:id="122"/>
      <w:bookmarkStart w:id="123" w:name="_Toc513029219"/>
      <w:bookmarkStart w:id="124" w:name="_Toc14577357"/>
      <w:bookmarkStart w:id="125" w:name="_Toc49090509"/>
      <w:bookmarkStart w:id="126" w:name="_Toc14577354"/>
      <w:bookmarkStart w:id="127" w:name="_Toc49090507"/>
      <w:bookmarkStart w:id="128" w:name="_Toc513029216"/>
      <w:r>
        <w:rPr>
          <w:rFonts w:hint="eastAsia" w:ascii="仿宋" w:hAnsi="仿宋" w:eastAsia="仿宋" w:cs="仿宋"/>
          <w:sz w:val="28"/>
          <w:szCs w:val="28"/>
          <w:highlight w:val="none"/>
        </w:rPr>
        <w:t>⑪</w:t>
      </w:r>
      <w:r>
        <w:rPr>
          <w:rFonts w:hint="eastAsia" w:ascii="仿宋" w:hAnsi="仿宋" w:eastAsia="仿宋" w:cs="仿宋"/>
          <w:kern w:val="0"/>
          <w:sz w:val="28"/>
          <w:szCs w:val="28"/>
          <w:highlight w:val="none"/>
          <w:lang w:bidi="ar"/>
        </w:rPr>
        <w:t>附件。</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6、证明供应商资格及符合竞争性磋商文件规定的文件</w:t>
      </w:r>
      <w:bookmarkEnd w:id="123"/>
      <w:bookmarkEnd w:id="124"/>
      <w:bookmarkEnd w:id="125"/>
    </w:p>
    <w:p>
      <w:pPr>
        <w:pStyle w:val="20"/>
        <w:widowControl/>
        <w:spacing w:line="500" w:lineRule="exact"/>
        <w:ind w:firstLine="560"/>
        <w:rPr>
          <w:rFonts w:hint="eastAsia" w:ascii="仿宋" w:hAnsi="仿宋" w:eastAsia="仿宋" w:cs="仿宋"/>
          <w:szCs w:val="28"/>
          <w:highlight w:val="none"/>
          <w:lang w:eastAsia="zh-CN"/>
        </w:rPr>
      </w:pPr>
      <w:bookmarkStart w:id="129" w:name="_Hlt26668999"/>
      <w:bookmarkEnd w:id="129"/>
      <w:r>
        <w:rPr>
          <w:rFonts w:ascii="仿宋" w:hAnsi="仿宋" w:cs="仿宋"/>
          <w:szCs w:val="28"/>
          <w:highlight w:val="none"/>
        </w:rPr>
        <w:t>（1）供应商应按要求递交资格证明文件及符合竞争性磋商文件规定的文件</w:t>
      </w:r>
      <w:r>
        <w:rPr>
          <w:rFonts w:hint="eastAsia" w:ascii="仿宋" w:hAnsi="仿宋" w:cs="仿宋"/>
          <w:szCs w:val="28"/>
          <w:highlight w:val="none"/>
          <w:lang w:eastAsia="zh-CN"/>
        </w:rPr>
        <w:t>；</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（2）供应商除必须具有履行合同所需提供的服务的能力外，还必须具备相应的财务、技术方面的能力。</w:t>
      </w:r>
    </w:p>
    <w:bookmarkEnd w:id="126"/>
    <w:bookmarkEnd w:id="127"/>
    <w:bookmarkEnd w:id="128"/>
    <w:p>
      <w:pPr>
        <w:pStyle w:val="22"/>
        <w:widowControl/>
        <w:numPr>
          <w:ilvl w:val="0"/>
          <w:numId w:val="0"/>
        </w:numPr>
        <w:tabs>
          <w:tab w:val="clear" w:pos="851"/>
        </w:tabs>
        <w:spacing w:line="500" w:lineRule="exact"/>
        <w:ind w:firstLine="560" w:firstLineChars="200"/>
        <w:outlineLvl w:val="9"/>
        <w:rPr>
          <w:rFonts w:ascii="仿宋" w:hAnsi="仿宋" w:eastAsia="仿宋" w:cs="仿宋"/>
          <w:color w:val="auto"/>
          <w:szCs w:val="28"/>
          <w:highlight w:val="none"/>
        </w:rPr>
      </w:pPr>
      <w:bookmarkStart w:id="130" w:name="_Toc49090508"/>
      <w:bookmarkStart w:id="131" w:name="_Toc14577355"/>
      <w:bookmarkStart w:id="132" w:name="_Toc21406"/>
      <w:bookmarkStart w:id="133" w:name="_Toc22831"/>
      <w:bookmarkStart w:id="134" w:name="_Toc11267"/>
      <w:bookmarkStart w:id="135" w:name="_Toc20543"/>
      <w:bookmarkStart w:id="136" w:name="_Toc7285"/>
      <w:bookmarkStart w:id="137" w:name="_Toc32354"/>
      <w:bookmarkStart w:id="138" w:name="_Toc5936"/>
      <w:bookmarkStart w:id="139" w:name="_Toc7516"/>
      <w:r>
        <w:rPr>
          <w:rFonts w:ascii="仿宋" w:hAnsi="仿宋" w:eastAsia="仿宋" w:cs="仿宋"/>
          <w:color w:val="auto"/>
          <w:szCs w:val="28"/>
          <w:highlight w:val="none"/>
        </w:rPr>
        <w:t>7、</w:t>
      </w:r>
      <w:bookmarkEnd w:id="130"/>
      <w:bookmarkEnd w:id="131"/>
      <w:r>
        <w:rPr>
          <w:rFonts w:ascii="仿宋" w:hAnsi="仿宋" w:eastAsia="仿宋" w:cs="仿宋"/>
          <w:color w:val="auto"/>
          <w:szCs w:val="28"/>
          <w:highlight w:val="none"/>
        </w:rPr>
        <w:t>报价</w:t>
      </w:r>
      <w:bookmarkEnd w:id="132"/>
      <w:bookmarkEnd w:id="133"/>
      <w:bookmarkEnd w:id="134"/>
      <w:bookmarkEnd w:id="135"/>
      <w:bookmarkEnd w:id="136"/>
      <w:bookmarkEnd w:id="137"/>
      <w:bookmarkEnd w:id="138"/>
      <w:bookmarkEnd w:id="139"/>
    </w:p>
    <w:p>
      <w:pPr>
        <w:pStyle w:val="20"/>
        <w:widowControl/>
        <w:spacing w:line="500" w:lineRule="exact"/>
        <w:ind w:firstLine="560"/>
        <w:rPr>
          <w:rFonts w:hint="eastAsia" w:ascii="仿宋" w:hAnsi="仿宋" w:eastAsia="仿宋" w:cs="仿宋"/>
          <w:szCs w:val="28"/>
          <w:highlight w:val="none"/>
          <w:lang w:eastAsia="zh-CN"/>
        </w:rPr>
      </w:pPr>
      <w:r>
        <w:rPr>
          <w:rFonts w:ascii="仿宋" w:hAnsi="仿宋" w:cs="仿宋"/>
          <w:szCs w:val="28"/>
          <w:highlight w:val="none"/>
        </w:rPr>
        <w:t>（1）本次报价非一次性报价</w:t>
      </w:r>
      <w:r>
        <w:rPr>
          <w:rFonts w:hint="eastAsia" w:ascii="仿宋" w:hAnsi="仿宋" w:cs="仿宋"/>
          <w:szCs w:val="28"/>
          <w:highlight w:val="none"/>
          <w:lang w:eastAsia="zh-CN"/>
        </w:rPr>
        <w:t>；</w:t>
      </w:r>
    </w:p>
    <w:p>
      <w:p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（2）本项目报价采用固定总价承包方式，供应商的报价包括完成本项目竞争性磋商文件中所提出的工作范围及要求的全部内容，并达到采购人及国家规定的验收标准而产生的所有费用，包括</w:t>
      </w:r>
      <w:r>
        <w:rPr>
          <w:rFonts w:hint="eastAsia" w:ascii="仿宋" w:hAnsi="仿宋" w:eastAsia="仿宋" w:cs="仿宋"/>
          <w:b/>
          <w:bCs/>
          <w:sz w:val="28"/>
          <w:szCs w:val="28"/>
          <w:highlight w:val="none"/>
          <w:lang w:eastAsia="zh-CN"/>
        </w:rPr>
        <w:t>服务费、</w:t>
      </w:r>
      <w:r>
        <w:rPr>
          <w:rFonts w:hint="eastAsia" w:ascii="仿宋" w:hAnsi="仿宋" w:eastAsia="仿宋" w:cs="仿宋"/>
          <w:b/>
          <w:bCs/>
          <w:sz w:val="28"/>
          <w:szCs w:val="28"/>
          <w:highlight w:val="none"/>
        </w:rPr>
        <w:t>人工费、</w:t>
      </w:r>
      <w:r>
        <w:rPr>
          <w:rFonts w:hint="eastAsia" w:ascii="仿宋" w:hAnsi="仿宋" w:eastAsia="仿宋" w:cs="仿宋"/>
          <w:b/>
          <w:bCs/>
          <w:sz w:val="28"/>
          <w:szCs w:val="28"/>
          <w:highlight w:val="none"/>
          <w:lang w:eastAsia="zh-CN"/>
        </w:rPr>
        <w:t>管理费、</w:t>
      </w:r>
      <w:r>
        <w:rPr>
          <w:rFonts w:hint="eastAsia" w:ascii="仿宋" w:hAnsi="仿宋" w:eastAsia="仿宋" w:cs="仿宋"/>
          <w:b/>
          <w:bCs/>
          <w:sz w:val="28"/>
          <w:szCs w:val="28"/>
          <w:highlight w:val="none"/>
        </w:rPr>
        <w:t>完成准备阶段、实施阶段、成果交付</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税金、风险及验收</w:t>
      </w:r>
      <w:r>
        <w:rPr>
          <w:rFonts w:hint="eastAsia" w:ascii="仿宋" w:hAnsi="仿宋" w:eastAsia="仿宋" w:cs="仿宋"/>
          <w:b/>
          <w:bCs/>
          <w:color w:val="auto"/>
          <w:spacing w:val="0"/>
          <w:sz w:val="28"/>
          <w:szCs w:val="28"/>
          <w:highlight w:val="none"/>
        </w:rPr>
        <w:t>等所有费用</w:t>
      </w:r>
      <w:r>
        <w:rPr>
          <w:rFonts w:hint="eastAsia" w:ascii="仿宋" w:hAnsi="仿宋" w:eastAsia="仿宋" w:cs="仿宋"/>
          <w:b/>
          <w:bCs/>
          <w:color w:val="auto"/>
          <w:spacing w:val="0"/>
          <w:sz w:val="28"/>
          <w:szCs w:val="28"/>
          <w:highlight w:val="none"/>
          <w:lang w:val="en-US" w:eastAsia="zh-CN"/>
        </w:rPr>
        <w:t>,</w:t>
      </w:r>
      <w:r>
        <w:rPr>
          <w:rFonts w:hint="eastAsia" w:ascii="仿宋" w:hAnsi="仿宋" w:eastAsia="仿宋" w:cs="仿宋"/>
          <w:sz w:val="28"/>
          <w:szCs w:val="28"/>
          <w:highlight w:val="none"/>
        </w:rPr>
        <w:t>任何错报、漏报由供应商自行负责</w:t>
      </w:r>
      <w:r>
        <w:rPr>
          <w:rFonts w:hint="eastAsia" w:ascii="仿宋" w:hAnsi="仿宋" w:eastAsia="仿宋" w:cs="仿宋"/>
          <w:sz w:val="28"/>
          <w:szCs w:val="28"/>
          <w:highlight w:val="none"/>
          <w:lang w:eastAsia="zh-CN"/>
        </w:rPr>
        <w:t>；</w:t>
      </w:r>
    </w:p>
    <w:p>
      <w:pPr>
        <w:pStyle w:val="20"/>
        <w:widowControl/>
        <w:spacing w:line="500" w:lineRule="exact"/>
        <w:ind w:firstLine="560"/>
        <w:rPr>
          <w:rFonts w:hint="eastAsia" w:ascii="仿宋" w:hAnsi="仿宋" w:eastAsia="仿宋" w:cs="仿宋"/>
          <w:szCs w:val="28"/>
          <w:highlight w:val="none"/>
          <w:lang w:val="zh-TW" w:eastAsia="zh-CN"/>
        </w:rPr>
      </w:pPr>
      <w:r>
        <w:rPr>
          <w:rFonts w:ascii="仿宋" w:hAnsi="仿宋" w:cs="仿宋"/>
          <w:szCs w:val="28"/>
          <w:highlight w:val="none"/>
        </w:rPr>
        <w:t>（3）供应商自行勘察现场，</w:t>
      </w:r>
      <w:r>
        <w:rPr>
          <w:rFonts w:ascii="仿宋" w:hAnsi="仿宋" w:cs="仿宋"/>
          <w:szCs w:val="28"/>
          <w:highlight w:val="none"/>
          <w:lang w:val="zh-TW"/>
        </w:rPr>
        <w:t>以便查明或核实有关编制响应文件和签订合同所必需的一切资料；供应商应承担踏勘现场的责任和风险以及期间发生的一切费用，供应商若因踏勘现场而发生的人身伤亡、财物或其它损失，不论何种原因所造成，采购人和采购代理机构均不负责任</w:t>
      </w:r>
      <w:r>
        <w:rPr>
          <w:rFonts w:hint="eastAsia" w:ascii="仿宋" w:hAnsi="仿宋" w:cs="仿宋"/>
          <w:szCs w:val="28"/>
          <w:highlight w:val="none"/>
          <w:lang w:val="zh-TW" w:eastAsia="zh-CN"/>
        </w:rPr>
        <w:t>；</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bidi="ar"/>
        </w:rPr>
        <w:t>供应商须对本次采购项目进行完整报价，任何有选择的报价将不予接受。</w:t>
      </w:r>
    </w:p>
    <w:p>
      <w:p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（5）凡竞争性磋商文件要求的各项费用项目，若磋商时未报，采购人将按这些费用已包含在投标报价中对待</w:t>
      </w:r>
      <w:r>
        <w:rPr>
          <w:rFonts w:hint="eastAsia" w:ascii="仿宋" w:hAnsi="仿宋" w:eastAsia="仿宋" w:cs="仿宋"/>
          <w:sz w:val="28"/>
          <w:szCs w:val="28"/>
          <w:highlight w:val="none"/>
          <w:lang w:eastAsia="zh-CN"/>
        </w:rPr>
        <w:t>；</w:t>
      </w:r>
    </w:p>
    <w:p>
      <w:p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（6）竞争性磋商文件未列明，而供应商认为必需的费用也需列入报价</w:t>
      </w:r>
      <w:r>
        <w:rPr>
          <w:rFonts w:hint="eastAsia" w:ascii="仿宋" w:hAnsi="仿宋" w:eastAsia="仿宋" w:cs="仿宋"/>
          <w:sz w:val="28"/>
          <w:szCs w:val="28"/>
          <w:highlight w:val="none"/>
          <w:lang w:eastAsia="zh-CN"/>
        </w:rPr>
        <w:t>；</w:t>
      </w:r>
    </w:p>
    <w:p>
      <w:p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7）供应商不得以低于成本的报价参加投标。当磋商小组认为某个供应商的投标报价或者某些分项报价明显不合理或者低于成本，有可能影响服务质量和不能诚信履约的，可要求该供应商在规定的期限内提供书面文件予以解释说明，并提交相关证明材料；否则，磋商小组认定该供应商以低于成本报价竞标，其投标应作废标处理</w:t>
      </w:r>
      <w:r>
        <w:rPr>
          <w:rFonts w:hint="eastAsia" w:ascii="仿宋" w:hAnsi="仿宋" w:eastAsia="仿宋" w:cs="仿宋"/>
          <w:sz w:val="28"/>
          <w:szCs w:val="28"/>
          <w:highlight w:val="none"/>
          <w:lang w:eastAsia="zh-CN"/>
        </w:rPr>
        <w:t>；</w:t>
      </w:r>
    </w:p>
    <w:p>
      <w:pPr>
        <w:pStyle w:val="20"/>
        <w:widowControl/>
        <w:adjustRightInd/>
        <w:spacing w:line="500" w:lineRule="exact"/>
        <w:ind w:firstLine="560"/>
        <w:rPr>
          <w:rFonts w:ascii="仿宋" w:hAnsi="仿宋" w:cs="仿宋"/>
          <w:bCs/>
          <w:szCs w:val="28"/>
          <w:highlight w:val="none"/>
          <w:lang w:bidi="ar"/>
        </w:rPr>
      </w:pPr>
      <w:r>
        <w:rPr>
          <w:rFonts w:ascii="仿宋" w:hAnsi="仿宋" w:cs="仿宋"/>
          <w:bCs/>
          <w:kern w:val="2"/>
          <w:szCs w:val="28"/>
          <w:highlight w:val="none"/>
          <w:lang w:bidi="ar"/>
        </w:rPr>
        <w:t>（8）磋商期间一切费用自理。</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8、响应文件货币</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响应文件中的单价和总价均采用人民币报价，以元为单位标注。</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9、响应文件出现下列情况，修正原则为：</w:t>
      </w:r>
    </w:p>
    <w:p>
      <w:pPr>
        <w:pStyle w:val="20"/>
        <w:widowControl/>
        <w:spacing w:line="500" w:lineRule="exact"/>
        <w:ind w:firstLine="560"/>
        <w:rPr>
          <w:rFonts w:ascii="仿宋" w:hAnsi="仿宋" w:cs="仿宋"/>
          <w:kern w:val="2"/>
          <w:szCs w:val="28"/>
          <w:highlight w:val="none"/>
        </w:rPr>
      </w:pPr>
      <w:r>
        <w:rPr>
          <w:rFonts w:ascii="仿宋" w:hAnsi="仿宋" w:cs="仿宋"/>
          <w:kern w:val="2"/>
          <w:szCs w:val="28"/>
          <w:highlight w:val="none"/>
        </w:rPr>
        <w:t>（1）文字与图表不符以文字为准；</w:t>
      </w:r>
    </w:p>
    <w:p>
      <w:pPr>
        <w:pStyle w:val="20"/>
        <w:widowControl/>
        <w:spacing w:line="500" w:lineRule="exact"/>
        <w:ind w:firstLine="560"/>
        <w:rPr>
          <w:rFonts w:ascii="仿宋" w:hAnsi="仿宋" w:cs="仿宋"/>
          <w:szCs w:val="28"/>
          <w:highlight w:val="none"/>
        </w:rPr>
      </w:pPr>
      <w:r>
        <w:rPr>
          <w:rFonts w:ascii="仿宋" w:hAnsi="仿宋" w:cs="仿宋"/>
          <w:kern w:val="2"/>
          <w:szCs w:val="28"/>
          <w:highlight w:val="none"/>
        </w:rPr>
        <w:t>（2）</w:t>
      </w:r>
      <w:r>
        <w:rPr>
          <w:rFonts w:ascii="仿宋" w:hAnsi="仿宋" w:cs="仿宋"/>
          <w:szCs w:val="28"/>
          <w:highlight w:val="none"/>
        </w:rPr>
        <w:t>正本与副本不符以正本为准；</w:t>
      </w:r>
    </w:p>
    <w:p>
      <w:pPr>
        <w:pStyle w:val="20"/>
        <w:widowControl/>
        <w:spacing w:line="500" w:lineRule="exact"/>
        <w:ind w:firstLine="560"/>
        <w:rPr>
          <w:rFonts w:ascii="仿宋" w:hAnsi="仿宋" w:cs="仿宋"/>
          <w:szCs w:val="28"/>
          <w:highlight w:val="none"/>
        </w:rPr>
      </w:pPr>
      <w:r>
        <w:rPr>
          <w:rFonts w:ascii="仿宋" w:hAnsi="仿宋" w:cs="仿宋"/>
          <w:kern w:val="2"/>
          <w:szCs w:val="28"/>
          <w:highlight w:val="none"/>
        </w:rPr>
        <w:t>（3）</w:t>
      </w:r>
      <w:r>
        <w:rPr>
          <w:rFonts w:ascii="仿宋" w:hAnsi="仿宋" w:cs="仿宋"/>
          <w:szCs w:val="28"/>
          <w:highlight w:val="none"/>
        </w:rPr>
        <w:t>响应文件中开标一览表（报价表）内容与响应文件中相应内容不一致的，以开标一览表（报价表）为准；</w:t>
      </w:r>
    </w:p>
    <w:p>
      <w:pPr>
        <w:pStyle w:val="20"/>
        <w:widowControl/>
        <w:spacing w:line="500" w:lineRule="exact"/>
        <w:ind w:firstLine="560"/>
        <w:rPr>
          <w:rFonts w:ascii="仿宋" w:hAnsi="仿宋" w:cs="仿宋"/>
          <w:szCs w:val="28"/>
          <w:highlight w:val="none"/>
        </w:rPr>
      </w:pPr>
      <w:r>
        <w:rPr>
          <w:rFonts w:ascii="仿宋" w:hAnsi="仿宋" w:cs="仿宋"/>
          <w:kern w:val="2"/>
          <w:szCs w:val="28"/>
          <w:highlight w:val="none"/>
        </w:rPr>
        <w:t>（4）</w:t>
      </w:r>
      <w:r>
        <w:rPr>
          <w:rFonts w:ascii="仿宋" w:hAnsi="仿宋" w:cs="仿宋"/>
          <w:szCs w:val="28"/>
          <w:highlight w:val="none"/>
        </w:rPr>
        <w:t>大写金额和小写金额不一致的，以大写金额为准；</w:t>
      </w:r>
    </w:p>
    <w:p>
      <w:pPr>
        <w:pStyle w:val="20"/>
        <w:widowControl/>
        <w:spacing w:line="500" w:lineRule="exact"/>
        <w:ind w:firstLine="560"/>
        <w:rPr>
          <w:rFonts w:ascii="仿宋" w:hAnsi="仿宋" w:cs="仿宋"/>
          <w:szCs w:val="28"/>
          <w:highlight w:val="none"/>
        </w:rPr>
      </w:pPr>
      <w:r>
        <w:rPr>
          <w:rFonts w:ascii="仿宋" w:hAnsi="仿宋" w:cs="仿宋"/>
          <w:kern w:val="2"/>
          <w:szCs w:val="28"/>
          <w:highlight w:val="none"/>
        </w:rPr>
        <w:t>（5）</w:t>
      </w:r>
      <w:r>
        <w:rPr>
          <w:rFonts w:ascii="仿宋" w:hAnsi="仿宋" w:cs="仿宋"/>
          <w:szCs w:val="28"/>
          <w:highlight w:val="none"/>
        </w:rPr>
        <w:t>单价金额小数点或者百分比有明显错位的，以开标一览表的总价为准，并修改单价；</w:t>
      </w:r>
    </w:p>
    <w:p>
      <w:pPr>
        <w:pStyle w:val="20"/>
        <w:widowControl/>
        <w:spacing w:line="500" w:lineRule="exact"/>
        <w:ind w:firstLine="560"/>
        <w:rPr>
          <w:rFonts w:ascii="仿宋" w:hAnsi="仿宋" w:cs="仿宋"/>
          <w:szCs w:val="28"/>
          <w:highlight w:val="none"/>
        </w:rPr>
      </w:pPr>
      <w:r>
        <w:rPr>
          <w:rFonts w:ascii="仿宋" w:hAnsi="仿宋" w:cs="仿宋"/>
          <w:kern w:val="2"/>
          <w:szCs w:val="28"/>
          <w:highlight w:val="none"/>
        </w:rPr>
        <w:t>（6）</w:t>
      </w:r>
      <w:r>
        <w:rPr>
          <w:rFonts w:ascii="仿宋" w:hAnsi="仿宋" w:cs="仿宋"/>
          <w:szCs w:val="28"/>
          <w:highlight w:val="none"/>
        </w:rPr>
        <w:t>总价金额与按单价汇总金额不一致的，以单价金额计算结果为准。</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同时出现两种以上不一致的，按照前款规定的顺序修正。修正后的报价经供应商确认后产生约束力，供应商不确认的，其投标无效。</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10、响应方案</w:t>
      </w:r>
    </w:p>
    <w:p>
      <w:pPr>
        <w:pStyle w:val="20"/>
        <w:widowControl/>
        <w:adjustRightInd/>
        <w:spacing w:line="500" w:lineRule="exact"/>
        <w:ind w:firstLine="560"/>
        <w:rPr>
          <w:rFonts w:hint="eastAsia" w:ascii="仿宋" w:hAnsi="仿宋" w:eastAsia="仿宋" w:cs="仿宋"/>
          <w:szCs w:val="28"/>
          <w:highlight w:val="none"/>
          <w:lang w:eastAsia="zh-CN"/>
        </w:rPr>
      </w:pPr>
      <w:r>
        <w:rPr>
          <w:rFonts w:ascii="仿宋" w:hAnsi="仿宋" w:cs="仿宋"/>
          <w:szCs w:val="28"/>
          <w:highlight w:val="none"/>
        </w:rPr>
        <w:t>（1）对竞争性磋商文件中的技术方案及功能逐项作出响应</w:t>
      </w:r>
      <w:r>
        <w:rPr>
          <w:rFonts w:hint="eastAsia" w:ascii="仿宋" w:hAnsi="仿宋" w:cs="仿宋"/>
          <w:szCs w:val="28"/>
          <w:highlight w:val="none"/>
          <w:lang w:eastAsia="zh-CN"/>
        </w:rPr>
        <w:t>；</w:t>
      </w:r>
    </w:p>
    <w:p>
      <w:pPr>
        <w:pStyle w:val="20"/>
        <w:widowControl/>
        <w:adjustRightInd/>
        <w:spacing w:line="500" w:lineRule="exact"/>
        <w:ind w:firstLine="560"/>
        <w:rPr>
          <w:rFonts w:hint="eastAsia" w:ascii="仿宋" w:hAnsi="仿宋" w:eastAsia="仿宋" w:cs="仿宋"/>
          <w:szCs w:val="28"/>
          <w:highlight w:val="none"/>
          <w:lang w:eastAsia="zh-CN"/>
        </w:rPr>
      </w:pPr>
      <w:r>
        <w:rPr>
          <w:rFonts w:ascii="仿宋" w:hAnsi="仿宋" w:cs="仿宋"/>
          <w:szCs w:val="28"/>
          <w:highlight w:val="none"/>
        </w:rPr>
        <w:t>（2）供应商的承诺应按不低于竞争性磋商文件中的标准</w:t>
      </w:r>
      <w:r>
        <w:rPr>
          <w:rFonts w:hint="eastAsia" w:ascii="仿宋" w:hAnsi="仿宋" w:cs="仿宋"/>
          <w:szCs w:val="28"/>
          <w:highlight w:val="none"/>
          <w:lang w:eastAsia="zh-CN"/>
        </w:rPr>
        <w:t>；</w:t>
      </w:r>
    </w:p>
    <w:p>
      <w:pPr>
        <w:pStyle w:val="20"/>
        <w:widowControl/>
        <w:adjustRightInd/>
        <w:spacing w:line="500" w:lineRule="exact"/>
        <w:ind w:firstLine="560"/>
        <w:rPr>
          <w:rFonts w:hint="eastAsia" w:ascii="仿宋" w:hAnsi="仿宋" w:eastAsia="仿宋" w:cs="仿宋"/>
          <w:szCs w:val="28"/>
          <w:highlight w:val="none"/>
          <w:lang w:eastAsia="zh-CN"/>
        </w:rPr>
      </w:pPr>
      <w:r>
        <w:rPr>
          <w:rFonts w:ascii="仿宋" w:hAnsi="仿宋" w:cs="仿宋"/>
          <w:szCs w:val="28"/>
          <w:highlight w:val="none"/>
        </w:rPr>
        <w:t>（3）提供供应商有关本次采购的总体实施方案、服务方案、人员配置、技术水平及售后服务等内容</w:t>
      </w:r>
      <w:r>
        <w:rPr>
          <w:rFonts w:hint="eastAsia" w:ascii="仿宋" w:hAnsi="仿宋" w:cs="仿宋"/>
          <w:szCs w:val="28"/>
          <w:highlight w:val="none"/>
          <w:lang w:eastAsia="zh-CN"/>
        </w:rPr>
        <w:t>；</w:t>
      </w:r>
    </w:p>
    <w:p>
      <w:pPr>
        <w:pStyle w:val="20"/>
        <w:widowControl/>
        <w:adjustRightInd/>
        <w:spacing w:line="500" w:lineRule="exact"/>
        <w:ind w:firstLine="560"/>
        <w:rPr>
          <w:rFonts w:ascii="仿宋" w:hAnsi="仿宋" w:cs="仿宋"/>
          <w:szCs w:val="28"/>
          <w:highlight w:val="none"/>
        </w:rPr>
      </w:pPr>
      <w:r>
        <w:rPr>
          <w:rFonts w:ascii="仿宋" w:hAnsi="仿宋" w:cs="仿宋"/>
          <w:szCs w:val="28"/>
          <w:highlight w:val="none"/>
        </w:rPr>
        <w:t>（4）竞争性磋商响应函</w:t>
      </w:r>
    </w:p>
    <w:p>
      <w:pPr>
        <w:pStyle w:val="20"/>
        <w:widowControl/>
        <w:adjustRightInd/>
        <w:spacing w:line="500" w:lineRule="exact"/>
        <w:ind w:firstLine="560"/>
        <w:rPr>
          <w:rFonts w:ascii="仿宋" w:hAnsi="仿宋" w:cs="仿宋"/>
          <w:szCs w:val="28"/>
          <w:highlight w:val="none"/>
        </w:rPr>
      </w:pPr>
      <w:r>
        <w:rPr>
          <w:rFonts w:ascii="仿宋" w:hAnsi="仿宋" w:cs="仿宋"/>
          <w:szCs w:val="28"/>
          <w:highlight w:val="none"/>
        </w:rPr>
        <w:t>供应商应按照竞争性磋商文件中提供的格式完整、正确填写竞争性磋商响应函。</w:t>
      </w:r>
    </w:p>
    <w:p>
      <w:pPr>
        <w:pStyle w:val="20"/>
        <w:widowControl/>
        <w:spacing w:line="500" w:lineRule="exact"/>
        <w:ind w:firstLine="560"/>
        <w:rPr>
          <w:rFonts w:ascii="仿宋" w:hAnsi="仿宋" w:cs="仿宋"/>
          <w:szCs w:val="28"/>
          <w:highlight w:val="none"/>
        </w:rPr>
      </w:pPr>
      <w:bookmarkStart w:id="140" w:name="_Toc14577359"/>
      <w:bookmarkStart w:id="141" w:name="_Toc49090510"/>
      <w:r>
        <w:rPr>
          <w:rFonts w:ascii="仿宋" w:hAnsi="仿宋" w:cs="仿宋"/>
          <w:szCs w:val="28"/>
          <w:highlight w:val="none"/>
        </w:rPr>
        <w:t>11、投标保证金</w:t>
      </w:r>
      <w:bookmarkEnd w:id="140"/>
      <w:bookmarkEnd w:id="141"/>
    </w:p>
    <w:p>
      <w:pPr>
        <w:pStyle w:val="20"/>
        <w:widowControl/>
        <w:spacing w:line="500" w:lineRule="exact"/>
        <w:ind w:firstLine="560"/>
        <w:rPr>
          <w:rFonts w:ascii="仿宋" w:hAnsi="仿宋" w:cs="仿宋"/>
          <w:szCs w:val="28"/>
          <w:highlight w:val="none"/>
          <w:u w:val="single"/>
        </w:rPr>
      </w:pPr>
      <w:r>
        <w:rPr>
          <w:rFonts w:ascii="仿宋" w:hAnsi="仿宋" w:cs="仿宋"/>
          <w:szCs w:val="28"/>
          <w:highlight w:val="none"/>
        </w:rPr>
        <w:t>（1）投标保证金：</w:t>
      </w:r>
      <w:r>
        <w:rPr>
          <w:rFonts w:ascii="仿宋" w:hAnsi="仿宋" w:cs="仿宋"/>
          <w:szCs w:val="28"/>
          <w:highlight w:val="none"/>
          <w:u w:val="single"/>
        </w:rPr>
        <w:t>人民币</w:t>
      </w:r>
      <w:r>
        <w:rPr>
          <w:rFonts w:hint="eastAsia" w:ascii="仿宋" w:hAnsi="仿宋" w:cs="仿宋"/>
          <w:szCs w:val="28"/>
          <w:highlight w:val="none"/>
          <w:u w:val="single"/>
          <w:lang w:val="en-US" w:eastAsia="zh-CN"/>
        </w:rPr>
        <w:t>伍仟元整</w:t>
      </w:r>
      <w:r>
        <w:rPr>
          <w:rFonts w:ascii="仿宋" w:hAnsi="仿宋" w:cs="仿宋"/>
          <w:szCs w:val="28"/>
          <w:highlight w:val="none"/>
          <w:u w:val="single"/>
        </w:rPr>
        <w:t>（¥</w:t>
      </w:r>
      <w:r>
        <w:rPr>
          <w:rFonts w:hint="eastAsia" w:ascii="仿宋" w:hAnsi="仿宋" w:cs="仿宋"/>
          <w:szCs w:val="28"/>
          <w:highlight w:val="none"/>
          <w:u w:val="single"/>
          <w:lang w:val="en-US" w:eastAsia="zh-CN"/>
        </w:rPr>
        <w:t>5000</w:t>
      </w:r>
      <w:r>
        <w:rPr>
          <w:rFonts w:ascii="仿宋" w:hAnsi="仿宋" w:cs="仿宋"/>
          <w:szCs w:val="28"/>
          <w:highlight w:val="none"/>
          <w:u w:val="single"/>
        </w:rPr>
        <w:t>.00元）</w:t>
      </w:r>
    </w:p>
    <w:p>
      <w:pPr>
        <w:pStyle w:val="20"/>
        <w:widowControl/>
        <w:spacing w:line="500" w:lineRule="exact"/>
        <w:ind w:firstLine="560"/>
        <w:rPr>
          <w:rFonts w:ascii="仿宋" w:hAnsi="仿宋" w:cs="仿宋"/>
          <w:szCs w:val="28"/>
          <w:highlight w:val="none"/>
          <w:u w:val="single"/>
        </w:rPr>
      </w:pPr>
      <w:r>
        <w:rPr>
          <w:rFonts w:ascii="仿宋" w:hAnsi="仿宋" w:cs="仿宋"/>
          <w:szCs w:val="28"/>
          <w:highlight w:val="none"/>
        </w:rPr>
        <w:t>（2）供应商须在文件递交截止时间前向采购代理机构交纳投标保证金（以到账时间为准），</w:t>
      </w:r>
      <w:r>
        <w:rPr>
          <w:rFonts w:ascii="仿宋" w:hAnsi="仿宋" w:cs="仿宋"/>
          <w:b/>
          <w:bCs/>
          <w:szCs w:val="28"/>
          <w:highlight w:val="none"/>
        </w:rPr>
        <w:t>交纳时请注明</w:t>
      </w:r>
      <w:r>
        <w:rPr>
          <w:rFonts w:hint="eastAsia" w:ascii="仿宋" w:hAnsi="仿宋" w:eastAsia="仿宋" w:cs="仿宋"/>
          <w:b/>
          <w:bCs/>
          <w:sz w:val="28"/>
          <w:szCs w:val="28"/>
          <w:highlight w:val="none"/>
          <w:lang w:val="en-US" w:eastAsia="zh-CN"/>
        </w:rPr>
        <w:t>留坝县全民所有自然资源资产清查采购</w:t>
      </w:r>
      <w:r>
        <w:rPr>
          <w:rFonts w:hint="eastAsia" w:ascii="仿宋" w:hAnsi="仿宋" w:eastAsia="仿宋" w:cs="仿宋"/>
          <w:b/>
          <w:bCs/>
          <w:sz w:val="28"/>
          <w:szCs w:val="28"/>
          <w:highlight w:val="none"/>
        </w:rPr>
        <w:t>项目</w:t>
      </w:r>
      <w:r>
        <w:rPr>
          <w:rFonts w:ascii="仿宋" w:hAnsi="仿宋" w:cs="仿宋"/>
          <w:b/>
          <w:bCs/>
          <w:szCs w:val="28"/>
          <w:highlight w:val="none"/>
        </w:rPr>
        <w:t>保证金。</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（3）各供应商应按磋商文件规定的金额递交保证金，并作为其响应文件的组成部分。</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（4）保证金应为人民币，可采用下列任何一种形式支付：</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转账、支票、本票、电汇或金融机构、担保机构出具的保函,</w:t>
      </w:r>
      <w:r>
        <w:rPr>
          <w:rFonts w:hint="eastAsia" w:ascii="仿宋" w:hAnsi="仿宋" w:eastAsia="仿宋" w:cs="仿宋"/>
          <w:sz w:val="28"/>
          <w:szCs w:val="28"/>
          <w:highlight w:val="none"/>
          <w:lang w:val="zh-CN"/>
        </w:rPr>
        <w:t>以保函形式提交的必须是陕西省财政厅认定的具有开具投标保函资格的单位开具的保函。</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（5）凡没有随附保证金凭证的响应文件，视为非响应性投标，其响应文件无效。</w:t>
      </w:r>
    </w:p>
    <w:p>
      <w:pPr>
        <w:keepNext w:val="0"/>
        <w:keepLines w:val="0"/>
        <w:pageBreakBefore w:val="0"/>
        <w:kinsoku/>
        <w:wordWrap/>
        <w:overflowPunct/>
        <w:topLinePunct w:val="0"/>
        <w:autoSpaceDE/>
        <w:autoSpaceDN/>
        <w:bidi w:val="0"/>
        <w:snapToGrid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（6）未成交单位的保证金，在成交通知书发出后五个工作日内,根据所提供的《投标保证金退还申请表》（格式见磋商文件第八章）退还。</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（7）成交单位的保证金，在合同签订后五个工作日内，根据所提供的《投标保证金退还申请表》（格式见磋商文件第八章）无息退还。</w:t>
      </w:r>
      <w:r>
        <w:rPr>
          <w:rFonts w:hint="eastAsia" w:ascii="仿宋" w:hAnsi="仿宋" w:eastAsia="仿宋" w:cs="仿宋"/>
          <w:b/>
          <w:bCs/>
          <w:sz w:val="28"/>
          <w:szCs w:val="28"/>
          <w:highlight w:val="none"/>
        </w:rPr>
        <w:t>（合同签订后三个工作日内，须向采购代理机构提供两份合同原件，以便及时退还保证金）</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因供应商自身原因导致未及时退还的，由供应商自行负责。</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有下列情形之一的，投标保证金不予退还：</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1）供应商在递交响应文件截止时间后撤回响应文件的；</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2）供应商在响应文件中提供虚假材料的；</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3）除因不可抗力或磋商文件认可的情形以外，成交供应商不与采购人签订合同的；</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4）供应商与采购人、其他供应商或者采购代理机构恶意串通的；</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5）磋商文件规定的其他情形。</w:t>
      </w:r>
    </w:p>
    <w:p>
      <w:pPr>
        <w:pStyle w:val="20"/>
        <w:keepNext w:val="0"/>
        <w:keepLines w:val="0"/>
        <w:pageBreakBefore w:val="0"/>
        <w:widowControl/>
        <w:kinsoku/>
        <w:wordWrap/>
        <w:overflowPunct/>
        <w:topLinePunct w:val="0"/>
        <w:autoSpaceDE/>
        <w:autoSpaceDN/>
        <w:bidi w:val="0"/>
        <w:spacing w:line="500" w:lineRule="exact"/>
        <w:ind w:firstLine="0" w:firstLineChars="0"/>
        <w:textAlignment w:val="auto"/>
        <w:rPr>
          <w:rFonts w:ascii="仿宋" w:hAnsi="仿宋" w:cs="仿宋"/>
          <w:szCs w:val="28"/>
          <w:highlight w:val="none"/>
        </w:rPr>
      </w:pPr>
      <w:r>
        <w:rPr>
          <w:rFonts w:ascii="仿宋" w:hAnsi="仿宋" w:cs="仿宋"/>
          <w:szCs w:val="28"/>
          <w:highlight w:val="none"/>
        </w:rPr>
        <w:t>12、有下列情形之一的，视为供应商串通投标，其投标无效：</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（1）不同供应商的响应文件由同一单位或者个人编制；</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（2）不同供应商委托同一单位或者个人办理投标事宜；</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（3）不同供应商的响应文件载明的项目管理成员或者联系人员为同一人；</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（4）不同供应商的响应文件异常一致或者投标报价呈规律性差异；</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（5）不同供应商的响应文件相互混装；</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（6）不同供应商的投标保证金从同一单位或者个人的账户转出。</w:t>
      </w:r>
    </w:p>
    <w:p>
      <w:pPr>
        <w:pStyle w:val="20"/>
        <w:keepNext w:val="0"/>
        <w:keepLines w:val="0"/>
        <w:pageBreakBefore w:val="0"/>
        <w:widowControl/>
        <w:kinsoku/>
        <w:wordWrap/>
        <w:overflowPunct/>
        <w:topLinePunct w:val="0"/>
        <w:autoSpaceDE/>
        <w:autoSpaceDN/>
        <w:bidi w:val="0"/>
        <w:spacing w:line="500" w:lineRule="exact"/>
        <w:ind w:firstLine="0" w:firstLineChars="0"/>
        <w:textAlignment w:val="auto"/>
        <w:rPr>
          <w:rFonts w:ascii="仿宋" w:hAnsi="仿宋" w:cs="仿宋"/>
          <w:szCs w:val="28"/>
          <w:highlight w:val="none"/>
        </w:rPr>
      </w:pPr>
      <w:r>
        <w:rPr>
          <w:rFonts w:ascii="仿宋" w:hAnsi="仿宋" w:cs="仿宋"/>
          <w:b/>
          <w:bCs/>
          <w:szCs w:val="28"/>
          <w:highlight w:val="none"/>
        </w:rPr>
        <w:t>四、磋商响应文件的式样和签署</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1、各供应商应按照给定的式样，准备磋商响应文件正本一份、副本</w:t>
      </w:r>
      <w:r>
        <w:rPr>
          <w:rFonts w:hint="eastAsia" w:ascii="仿宋" w:hAnsi="仿宋" w:cs="仿宋"/>
          <w:szCs w:val="28"/>
          <w:highlight w:val="none"/>
          <w:lang w:val="en-US" w:eastAsia="zh-CN"/>
        </w:rPr>
        <w:t>二</w:t>
      </w:r>
      <w:r>
        <w:rPr>
          <w:rFonts w:ascii="仿宋" w:hAnsi="仿宋" w:cs="仿宋"/>
          <w:szCs w:val="28"/>
          <w:highlight w:val="none"/>
        </w:rPr>
        <w:t>份，电子文档一份，</w:t>
      </w:r>
      <w:r>
        <w:rPr>
          <w:rFonts w:hint="eastAsia" w:ascii="仿宋" w:hAnsi="仿宋" w:eastAsia="仿宋" w:cs="仿宋"/>
          <w:sz w:val="28"/>
          <w:szCs w:val="28"/>
          <w:highlight w:val="none"/>
          <w:lang w:val="zh-TW" w:eastAsia="zh-CN"/>
        </w:rPr>
        <w:t>“</w:t>
      </w:r>
      <w:r>
        <w:rPr>
          <w:rFonts w:hint="eastAsia" w:ascii="仿宋" w:hAnsi="仿宋" w:eastAsia="仿宋" w:cs="仿宋"/>
          <w:sz w:val="28"/>
          <w:szCs w:val="28"/>
          <w:highlight w:val="none"/>
          <w:lang w:val="en-US" w:eastAsia="zh-CN"/>
        </w:rPr>
        <w:t>开标一览表</w:t>
      </w:r>
      <w:r>
        <w:rPr>
          <w:rFonts w:hint="eastAsia" w:ascii="仿宋" w:hAnsi="仿宋" w:eastAsia="仿宋" w:cs="仿宋"/>
          <w:sz w:val="28"/>
          <w:szCs w:val="28"/>
          <w:highlight w:val="none"/>
          <w:lang w:val="zh-TW" w:eastAsia="zh-CN"/>
        </w:rPr>
        <w:t>”</w:t>
      </w:r>
      <w:r>
        <w:rPr>
          <w:rFonts w:hint="eastAsia" w:ascii="仿宋" w:hAnsi="仿宋" w:cs="仿宋"/>
          <w:sz w:val="28"/>
          <w:szCs w:val="28"/>
          <w:highlight w:val="none"/>
          <w:lang w:val="en-US" w:eastAsia="zh-CN"/>
        </w:rPr>
        <w:t>一</w:t>
      </w:r>
      <w:r>
        <w:rPr>
          <w:rFonts w:hint="eastAsia" w:ascii="仿宋" w:hAnsi="仿宋" w:eastAsia="仿宋" w:cs="仿宋"/>
          <w:sz w:val="28"/>
          <w:szCs w:val="28"/>
          <w:highlight w:val="none"/>
          <w:lang w:val="en-US" w:eastAsia="zh-CN"/>
        </w:rPr>
        <w:t>份</w:t>
      </w:r>
      <w:r>
        <w:rPr>
          <w:rFonts w:hint="eastAsia" w:ascii="仿宋" w:hAnsi="仿宋" w:cs="仿宋"/>
          <w:sz w:val="28"/>
          <w:szCs w:val="28"/>
          <w:highlight w:val="none"/>
          <w:lang w:val="en-US" w:eastAsia="zh-CN"/>
        </w:rPr>
        <w:t>，</w:t>
      </w:r>
      <w:r>
        <w:rPr>
          <w:rFonts w:ascii="仿宋" w:hAnsi="仿宋" w:cs="仿宋"/>
          <w:kern w:val="2"/>
          <w:szCs w:val="28"/>
          <w:highlight w:val="none"/>
          <w:lang w:bidi="ar"/>
        </w:rPr>
        <w:t>分别密封，</w:t>
      </w:r>
      <w:r>
        <w:rPr>
          <w:rFonts w:ascii="仿宋" w:hAnsi="仿宋" w:cs="仿宋"/>
          <w:szCs w:val="28"/>
          <w:highlight w:val="none"/>
        </w:rPr>
        <w:t>每套磋商响应文件须清楚地标明“正本”“副本”及</w:t>
      </w:r>
      <w:r>
        <w:rPr>
          <w:rFonts w:hint="eastAsia" w:ascii="仿宋" w:hAnsi="仿宋" w:eastAsia="仿宋" w:cs="仿宋"/>
          <w:sz w:val="28"/>
          <w:szCs w:val="28"/>
          <w:highlight w:val="none"/>
          <w:lang w:val="zh-TW" w:eastAsia="zh-CN"/>
        </w:rPr>
        <w:t>“</w:t>
      </w:r>
      <w:r>
        <w:rPr>
          <w:rFonts w:hint="eastAsia" w:ascii="仿宋" w:hAnsi="仿宋" w:eastAsia="仿宋" w:cs="仿宋"/>
          <w:sz w:val="28"/>
          <w:szCs w:val="28"/>
          <w:highlight w:val="none"/>
          <w:lang w:val="en-US" w:eastAsia="zh-CN"/>
        </w:rPr>
        <w:t>开标一览表</w:t>
      </w:r>
      <w:r>
        <w:rPr>
          <w:rFonts w:hint="eastAsia" w:ascii="仿宋" w:hAnsi="仿宋" w:eastAsia="仿宋" w:cs="仿宋"/>
          <w:sz w:val="28"/>
          <w:szCs w:val="28"/>
          <w:highlight w:val="none"/>
          <w:lang w:val="zh-TW" w:eastAsia="zh-CN"/>
        </w:rPr>
        <w:t>”</w:t>
      </w:r>
      <w:r>
        <w:rPr>
          <w:rFonts w:ascii="仿宋" w:hAnsi="仿宋" w:cs="仿宋"/>
          <w:szCs w:val="28"/>
          <w:highlight w:val="none"/>
        </w:rPr>
        <w:t>“电子文档”。一旦正本和副本不符，以正本为准。</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2、磋商响应文件的正本和所有的副本均需打印或用不褪色蓝（黑）墨水（汁）书写，统一装订、编码，在每一页的正下方清楚标明页码。</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ascii="仿宋" w:hAnsi="仿宋" w:cs="仿宋"/>
          <w:szCs w:val="28"/>
          <w:highlight w:val="none"/>
        </w:rPr>
      </w:pPr>
      <w:r>
        <w:rPr>
          <w:rFonts w:ascii="仿宋" w:hAnsi="仿宋" w:cs="仿宋"/>
          <w:szCs w:val="28"/>
          <w:highlight w:val="none"/>
        </w:rPr>
        <w:t>3、磋商响应文件必须加盖单位公章、其法定代表人或被授权委托人签字或盖章。</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ascii="仿宋" w:hAnsi="仿宋" w:cs="仿宋"/>
          <w:b/>
          <w:bCs/>
          <w:szCs w:val="28"/>
          <w:highlight w:val="none"/>
        </w:rPr>
      </w:pPr>
      <w:r>
        <w:rPr>
          <w:rFonts w:ascii="仿宋" w:hAnsi="仿宋" w:cs="仿宋"/>
          <w:szCs w:val="28"/>
          <w:highlight w:val="none"/>
        </w:rPr>
        <w:t>4、磋商响应文件除各供应商对错处做必要修改外，不得行间插字、涂改和增删，如有修改错漏处，必须由供应商法定代表人或被授权委托人签字并加盖公章。</w:t>
      </w:r>
    </w:p>
    <w:p>
      <w:pPr>
        <w:pStyle w:val="20"/>
        <w:keepNext w:val="0"/>
        <w:keepLines w:val="0"/>
        <w:pageBreakBefore w:val="0"/>
        <w:widowControl/>
        <w:kinsoku/>
        <w:wordWrap/>
        <w:overflowPunct/>
        <w:topLinePunct w:val="0"/>
        <w:autoSpaceDE/>
        <w:autoSpaceDN/>
        <w:bidi w:val="0"/>
        <w:spacing w:line="500" w:lineRule="exact"/>
        <w:ind w:firstLine="0" w:firstLineChars="0"/>
        <w:textAlignment w:val="auto"/>
        <w:rPr>
          <w:rFonts w:ascii="仿宋" w:hAnsi="仿宋" w:cs="仿宋"/>
          <w:szCs w:val="28"/>
          <w:highlight w:val="none"/>
        </w:rPr>
      </w:pPr>
      <w:r>
        <w:rPr>
          <w:rFonts w:ascii="仿宋" w:hAnsi="仿宋" w:cs="仿宋"/>
          <w:b/>
          <w:bCs/>
          <w:szCs w:val="28"/>
          <w:highlight w:val="none"/>
        </w:rPr>
        <w:t>五、磋商响应文件的密封和递交</w:t>
      </w:r>
    </w:p>
    <w:p>
      <w:pPr>
        <w:pStyle w:val="23"/>
        <w:keepNext w:val="0"/>
        <w:keepLines w:val="0"/>
        <w:pageBreakBefore w:val="0"/>
        <w:widowControl/>
        <w:numPr>
          <w:ilvl w:val="0"/>
          <w:numId w:val="0"/>
        </w:numPr>
        <w:tabs>
          <w:tab w:val="clear" w:pos="851"/>
        </w:tabs>
        <w:kinsoku/>
        <w:wordWrap/>
        <w:overflowPunct/>
        <w:topLinePunct w:val="0"/>
        <w:autoSpaceDE/>
        <w:autoSpaceDN/>
        <w:bidi w:val="0"/>
        <w:spacing w:line="500" w:lineRule="exact"/>
        <w:ind w:firstLine="560" w:firstLineChars="200"/>
        <w:textAlignment w:val="auto"/>
        <w:outlineLvl w:val="9"/>
        <w:rPr>
          <w:rFonts w:cs="仿宋"/>
          <w:b w:val="0"/>
          <w:bCs/>
          <w:szCs w:val="28"/>
          <w:highlight w:val="none"/>
        </w:rPr>
      </w:pPr>
      <w:bookmarkStart w:id="142" w:name="_Toc31378"/>
      <w:r>
        <w:rPr>
          <w:rFonts w:cs="仿宋"/>
          <w:b w:val="0"/>
          <w:bCs/>
          <w:szCs w:val="28"/>
          <w:highlight w:val="none"/>
        </w:rPr>
        <w:t>1.磋商响应文件的密封</w:t>
      </w:r>
      <w:bookmarkEnd w:id="142"/>
    </w:p>
    <w:p>
      <w:pPr>
        <w:pStyle w:val="23"/>
        <w:keepNext w:val="0"/>
        <w:keepLines w:val="0"/>
        <w:pageBreakBefore w:val="0"/>
        <w:widowControl/>
        <w:numPr>
          <w:ilvl w:val="0"/>
          <w:numId w:val="0"/>
        </w:numPr>
        <w:tabs>
          <w:tab w:val="clear" w:pos="851"/>
        </w:tabs>
        <w:kinsoku/>
        <w:wordWrap/>
        <w:overflowPunct/>
        <w:topLinePunct w:val="0"/>
        <w:autoSpaceDE/>
        <w:autoSpaceDN/>
        <w:bidi w:val="0"/>
        <w:spacing w:line="500" w:lineRule="exact"/>
        <w:ind w:firstLine="560" w:firstLineChars="200"/>
        <w:textAlignment w:val="auto"/>
        <w:outlineLvl w:val="9"/>
        <w:rPr>
          <w:rFonts w:hint="eastAsia" w:cs="仿宋"/>
          <w:b w:val="0"/>
          <w:bCs/>
          <w:szCs w:val="28"/>
          <w:highlight w:val="none"/>
          <w:lang w:eastAsia="zh-CN"/>
        </w:rPr>
      </w:pPr>
      <w:bookmarkStart w:id="143" w:name="_Toc24184"/>
      <w:r>
        <w:rPr>
          <w:rFonts w:cs="仿宋"/>
          <w:b w:val="0"/>
          <w:bCs/>
          <w:szCs w:val="28"/>
          <w:highlight w:val="none"/>
        </w:rPr>
        <w:t>（1）供应商应将磋商响应文件的正本、副本、电子文档，分别密封，且在封面上标明“正本”、“副本”、“电子文档”</w:t>
      </w:r>
      <w:r>
        <w:rPr>
          <w:rFonts w:hint="eastAsia" w:cs="仿宋"/>
          <w:b w:val="0"/>
          <w:bCs/>
          <w:szCs w:val="28"/>
          <w:highlight w:val="none"/>
          <w:lang w:eastAsia="zh-CN"/>
        </w:rPr>
        <w:t>、</w:t>
      </w:r>
      <w:r>
        <w:rPr>
          <w:rFonts w:hint="eastAsia" w:cs="仿宋"/>
          <w:b w:val="0"/>
          <w:bCs/>
          <w:szCs w:val="28"/>
          <w:highlight w:val="none"/>
          <w:lang w:val="zh-TW" w:eastAsia="zh-CN"/>
        </w:rPr>
        <w:t>“</w:t>
      </w:r>
      <w:r>
        <w:rPr>
          <w:rFonts w:hint="eastAsia" w:cs="仿宋"/>
          <w:b w:val="0"/>
          <w:bCs/>
          <w:szCs w:val="28"/>
          <w:highlight w:val="none"/>
          <w:lang w:val="en-US" w:eastAsia="zh-CN"/>
        </w:rPr>
        <w:t>开标一览表</w:t>
      </w:r>
      <w:r>
        <w:rPr>
          <w:rFonts w:hint="eastAsia" w:cs="仿宋"/>
          <w:b w:val="0"/>
          <w:bCs/>
          <w:szCs w:val="28"/>
          <w:highlight w:val="none"/>
          <w:lang w:val="zh-TW" w:eastAsia="zh-CN"/>
        </w:rPr>
        <w:t>”</w:t>
      </w:r>
      <w:r>
        <w:rPr>
          <w:rFonts w:cs="仿宋"/>
          <w:b w:val="0"/>
          <w:bCs/>
          <w:szCs w:val="28"/>
          <w:highlight w:val="none"/>
        </w:rPr>
        <w:t>字样</w:t>
      </w:r>
      <w:bookmarkEnd w:id="143"/>
      <w:r>
        <w:rPr>
          <w:rFonts w:hint="eastAsia" w:cs="仿宋"/>
          <w:b w:val="0"/>
          <w:bCs/>
          <w:szCs w:val="28"/>
          <w:highlight w:val="none"/>
          <w:lang w:eastAsia="zh-CN"/>
        </w:rPr>
        <w:t>；</w:t>
      </w:r>
    </w:p>
    <w:p>
      <w:pPr>
        <w:pStyle w:val="23"/>
        <w:keepNext w:val="0"/>
        <w:keepLines w:val="0"/>
        <w:pageBreakBefore w:val="0"/>
        <w:widowControl/>
        <w:numPr>
          <w:ilvl w:val="0"/>
          <w:numId w:val="0"/>
        </w:numPr>
        <w:tabs>
          <w:tab w:val="clear" w:pos="851"/>
        </w:tabs>
        <w:kinsoku/>
        <w:wordWrap/>
        <w:overflowPunct/>
        <w:topLinePunct w:val="0"/>
        <w:autoSpaceDE/>
        <w:autoSpaceDN/>
        <w:bidi w:val="0"/>
        <w:spacing w:line="500" w:lineRule="exact"/>
        <w:ind w:firstLine="560" w:firstLineChars="200"/>
        <w:textAlignment w:val="auto"/>
        <w:outlineLvl w:val="9"/>
        <w:rPr>
          <w:rFonts w:hint="eastAsia" w:eastAsia="仿宋" w:cs="仿宋"/>
          <w:b w:val="0"/>
          <w:bCs/>
          <w:szCs w:val="28"/>
          <w:highlight w:val="none"/>
          <w:lang w:eastAsia="zh-CN"/>
        </w:rPr>
      </w:pPr>
      <w:r>
        <w:rPr>
          <w:rFonts w:hint="eastAsia" w:cs="仿宋"/>
          <w:b w:val="0"/>
          <w:bCs/>
          <w:szCs w:val="28"/>
          <w:highlight w:val="none"/>
          <w:lang w:eastAsia="zh-CN"/>
        </w:rPr>
        <w:t>（</w:t>
      </w:r>
      <w:r>
        <w:rPr>
          <w:rFonts w:cs="仿宋"/>
          <w:b w:val="0"/>
          <w:bCs/>
          <w:szCs w:val="28"/>
          <w:highlight w:val="none"/>
        </w:rPr>
        <w:t>2）加封条密封，加盖单位公章、法定代表人或被授权委托人签字或盖章</w:t>
      </w:r>
      <w:r>
        <w:rPr>
          <w:rFonts w:hint="eastAsia" w:cs="仿宋"/>
          <w:b w:val="0"/>
          <w:bCs/>
          <w:szCs w:val="28"/>
          <w:highlight w:val="none"/>
          <w:lang w:eastAsia="zh-CN"/>
        </w:rPr>
        <w:t>；</w:t>
      </w:r>
    </w:p>
    <w:p>
      <w:pPr>
        <w:pStyle w:val="23"/>
        <w:keepNext w:val="0"/>
        <w:keepLines w:val="0"/>
        <w:pageBreakBefore w:val="0"/>
        <w:widowControl/>
        <w:numPr>
          <w:ilvl w:val="0"/>
          <w:numId w:val="0"/>
        </w:numPr>
        <w:tabs>
          <w:tab w:val="clear" w:pos="851"/>
        </w:tabs>
        <w:kinsoku/>
        <w:wordWrap/>
        <w:overflowPunct/>
        <w:topLinePunct w:val="0"/>
        <w:autoSpaceDE/>
        <w:autoSpaceDN/>
        <w:bidi w:val="0"/>
        <w:spacing w:line="500" w:lineRule="exact"/>
        <w:ind w:firstLine="560" w:firstLineChars="200"/>
        <w:textAlignment w:val="auto"/>
        <w:outlineLvl w:val="9"/>
        <w:rPr>
          <w:rFonts w:hint="eastAsia" w:eastAsia="仿宋" w:cs="仿宋"/>
          <w:b w:val="0"/>
          <w:bCs/>
          <w:szCs w:val="28"/>
          <w:highlight w:val="none"/>
          <w:lang w:eastAsia="zh-CN"/>
        </w:rPr>
      </w:pPr>
      <w:r>
        <w:rPr>
          <w:rFonts w:hint="eastAsia" w:cs="仿宋"/>
          <w:b w:val="0"/>
          <w:bCs/>
          <w:szCs w:val="28"/>
          <w:highlight w:val="none"/>
          <w:lang w:eastAsia="zh-CN"/>
        </w:rPr>
        <w:t>（</w:t>
      </w:r>
      <w:r>
        <w:rPr>
          <w:rFonts w:cs="仿宋"/>
          <w:b w:val="0"/>
          <w:bCs/>
          <w:szCs w:val="28"/>
          <w:highlight w:val="none"/>
        </w:rPr>
        <w:t>3）应标明项目编号、项目名称、供应商全称（并加盖公章）、在202</w:t>
      </w:r>
      <w:r>
        <w:rPr>
          <w:rFonts w:hint="eastAsia" w:cs="仿宋"/>
          <w:b w:val="0"/>
          <w:bCs/>
          <w:szCs w:val="28"/>
          <w:highlight w:val="none"/>
          <w:lang w:val="en-US" w:eastAsia="zh-CN"/>
        </w:rPr>
        <w:t>2</w:t>
      </w:r>
      <w:r>
        <w:rPr>
          <w:rFonts w:cs="仿宋"/>
          <w:b w:val="0"/>
          <w:bCs/>
          <w:szCs w:val="28"/>
          <w:highlight w:val="none"/>
        </w:rPr>
        <w:t>年</w:t>
      </w:r>
      <w:r>
        <w:rPr>
          <w:rFonts w:hint="eastAsia" w:cs="仿宋"/>
          <w:b w:val="0"/>
          <w:bCs/>
          <w:szCs w:val="28"/>
          <w:highlight w:val="none"/>
          <w:lang w:val="en-US" w:eastAsia="zh-CN"/>
        </w:rPr>
        <w:t>2022年08月11日 10时30分00秒</w:t>
      </w:r>
      <w:r>
        <w:rPr>
          <w:rFonts w:cs="仿宋"/>
          <w:b w:val="0"/>
          <w:bCs/>
          <w:szCs w:val="28"/>
          <w:highlight w:val="none"/>
        </w:rPr>
        <w:t>前不得开启等内容</w:t>
      </w:r>
      <w:r>
        <w:rPr>
          <w:rFonts w:hint="eastAsia" w:cs="仿宋"/>
          <w:b w:val="0"/>
          <w:bCs/>
          <w:szCs w:val="28"/>
          <w:highlight w:val="none"/>
          <w:lang w:eastAsia="zh-CN"/>
        </w:rPr>
        <w:t>；</w:t>
      </w:r>
    </w:p>
    <w:p>
      <w:pPr>
        <w:pStyle w:val="23"/>
        <w:keepNext w:val="0"/>
        <w:keepLines w:val="0"/>
        <w:pageBreakBefore w:val="0"/>
        <w:widowControl/>
        <w:numPr>
          <w:ilvl w:val="0"/>
          <w:numId w:val="0"/>
        </w:numPr>
        <w:tabs>
          <w:tab w:val="clear" w:pos="851"/>
        </w:tabs>
        <w:kinsoku/>
        <w:wordWrap/>
        <w:overflowPunct/>
        <w:topLinePunct w:val="0"/>
        <w:autoSpaceDE/>
        <w:autoSpaceDN/>
        <w:bidi w:val="0"/>
        <w:spacing w:line="500" w:lineRule="exact"/>
        <w:ind w:firstLine="560" w:firstLineChars="200"/>
        <w:textAlignment w:val="auto"/>
        <w:outlineLvl w:val="9"/>
        <w:rPr>
          <w:rFonts w:cs="仿宋"/>
          <w:b w:val="0"/>
          <w:bCs/>
          <w:szCs w:val="28"/>
          <w:highlight w:val="none"/>
        </w:rPr>
      </w:pPr>
      <w:bookmarkStart w:id="144" w:name="_Toc16319"/>
      <w:r>
        <w:rPr>
          <w:rFonts w:cs="仿宋"/>
          <w:b w:val="0"/>
          <w:bCs/>
          <w:szCs w:val="28"/>
          <w:highlight w:val="none"/>
        </w:rPr>
        <w:t>（4）如果磋商响应文件未按要求密封，采购代理机构将拒绝接收。</w:t>
      </w:r>
      <w:bookmarkEnd w:id="144"/>
    </w:p>
    <w:p>
      <w:pPr>
        <w:pStyle w:val="23"/>
        <w:keepNext w:val="0"/>
        <w:keepLines w:val="0"/>
        <w:pageBreakBefore w:val="0"/>
        <w:widowControl/>
        <w:numPr>
          <w:ilvl w:val="0"/>
          <w:numId w:val="6"/>
        </w:numPr>
        <w:tabs>
          <w:tab w:val="clear" w:pos="851"/>
        </w:tabs>
        <w:kinsoku/>
        <w:wordWrap/>
        <w:overflowPunct/>
        <w:topLinePunct w:val="0"/>
        <w:autoSpaceDE/>
        <w:autoSpaceDN/>
        <w:bidi w:val="0"/>
        <w:spacing w:line="500" w:lineRule="exact"/>
        <w:ind w:left="279" w:leftChars="133" w:firstLine="280" w:firstLineChars="100"/>
        <w:textAlignment w:val="auto"/>
        <w:outlineLvl w:val="9"/>
        <w:rPr>
          <w:rFonts w:cs="仿宋"/>
          <w:b w:val="0"/>
          <w:bCs/>
          <w:szCs w:val="28"/>
          <w:highlight w:val="none"/>
        </w:rPr>
      </w:pPr>
      <w:bookmarkStart w:id="145" w:name="_Toc31996"/>
      <w:r>
        <w:rPr>
          <w:rFonts w:cs="仿宋"/>
          <w:b w:val="0"/>
          <w:bCs/>
          <w:szCs w:val="28"/>
          <w:highlight w:val="none"/>
        </w:rPr>
        <w:t>磋商响应文件的递交：</w:t>
      </w:r>
      <w:bookmarkEnd w:id="145"/>
    </w:p>
    <w:p>
      <w:pPr>
        <w:pStyle w:val="23"/>
        <w:keepNext w:val="0"/>
        <w:keepLines w:val="0"/>
        <w:pageBreakBefore w:val="0"/>
        <w:widowControl/>
        <w:numPr>
          <w:ilvl w:val="0"/>
          <w:numId w:val="0"/>
        </w:numPr>
        <w:tabs>
          <w:tab w:val="clear" w:pos="851"/>
        </w:tabs>
        <w:kinsoku/>
        <w:wordWrap/>
        <w:overflowPunct/>
        <w:topLinePunct w:val="0"/>
        <w:autoSpaceDE/>
        <w:autoSpaceDN/>
        <w:bidi w:val="0"/>
        <w:spacing w:line="500" w:lineRule="exact"/>
        <w:ind w:firstLine="560" w:firstLineChars="200"/>
        <w:textAlignment w:val="auto"/>
        <w:outlineLvl w:val="9"/>
        <w:rPr>
          <w:rFonts w:hint="eastAsia" w:eastAsia="仿宋" w:cs="仿宋"/>
          <w:b w:val="0"/>
          <w:bCs/>
          <w:szCs w:val="28"/>
          <w:highlight w:val="none"/>
          <w:lang w:eastAsia="zh-CN"/>
        </w:rPr>
      </w:pPr>
      <w:bookmarkStart w:id="146" w:name="_Toc23237"/>
      <w:r>
        <w:rPr>
          <w:rFonts w:cs="仿宋"/>
          <w:b w:val="0"/>
          <w:bCs/>
          <w:szCs w:val="28"/>
          <w:highlight w:val="none"/>
        </w:rPr>
        <w:t>（1）供应商应将磋商响应文件的正本、副本、电子文档，分别递交，且在封面上标明“正本”、“副本”、“电子文档”</w:t>
      </w:r>
      <w:r>
        <w:rPr>
          <w:rFonts w:hint="eastAsia" w:cs="仿宋"/>
          <w:b w:val="0"/>
          <w:bCs/>
          <w:szCs w:val="28"/>
          <w:highlight w:val="none"/>
          <w:lang w:eastAsia="zh-CN"/>
        </w:rPr>
        <w:t>、</w:t>
      </w:r>
      <w:r>
        <w:rPr>
          <w:rFonts w:hint="eastAsia" w:cs="仿宋"/>
          <w:b w:val="0"/>
          <w:bCs/>
          <w:szCs w:val="28"/>
          <w:highlight w:val="none"/>
          <w:lang w:val="zh-TW" w:eastAsia="zh-CN"/>
        </w:rPr>
        <w:t>“</w:t>
      </w:r>
      <w:r>
        <w:rPr>
          <w:rFonts w:hint="eastAsia" w:cs="仿宋"/>
          <w:b w:val="0"/>
          <w:bCs/>
          <w:szCs w:val="28"/>
          <w:highlight w:val="none"/>
          <w:lang w:val="en-US" w:eastAsia="zh-CN"/>
        </w:rPr>
        <w:t>开标一览表</w:t>
      </w:r>
      <w:r>
        <w:rPr>
          <w:rFonts w:hint="eastAsia" w:cs="仿宋"/>
          <w:b w:val="0"/>
          <w:bCs/>
          <w:szCs w:val="28"/>
          <w:highlight w:val="none"/>
          <w:lang w:val="zh-TW" w:eastAsia="zh-CN"/>
        </w:rPr>
        <w:t>”</w:t>
      </w:r>
      <w:r>
        <w:rPr>
          <w:rFonts w:cs="仿宋"/>
          <w:b w:val="0"/>
          <w:bCs/>
          <w:szCs w:val="28"/>
          <w:highlight w:val="none"/>
        </w:rPr>
        <w:t>字样</w:t>
      </w:r>
      <w:bookmarkEnd w:id="146"/>
      <w:r>
        <w:rPr>
          <w:rFonts w:hint="eastAsia" w:cs="仿宋"/>
          <w:b w:val="0"/>
          <w:bCs/>
          <w:szCs w:val="28"/>
          <w:highlight w:val="none"/>
          <w:lang w:eastAsia="zh-CN"/>
        </w:rPr>
        <w:t>；</w:t>
      </w:r>
    </w:p>
    <w:p>
      <w:pPr>
        <w:pStyle w:val="23"/>
        <w:widowControl/>
        <w:numPr>
          <w:ilvl w:val="0"/>
          <w:numId w:val="0"/>
        </w:numPr>
        <w:tabs>
          <w:tab w:val="clear" w:pos="851"/>
        </w:tabs>
        <w:spacing w:line="500" w:lineRule="exact"/>
        <w:ind w:firstLine="560" w:firstLineChars="200"/>
        <w:outlineLvl w:val="9"/>
        <w:rPr>
          <w:rFonts w:hint="eastAsia" w:eastAsia="仿宋" w:cs="仿宋"/>
          <w:b w:val="0"/>
          <w:bCs/>
          <w:szCs w:val="28"/>
          <w:highlight w:val="none"/>
          <w:lang w:eastAsia="zh-CN"/>
        </w:rPr>
      </w:pPr>
      <w:bookmarkStart w:id="147" w:name="_Toc23434"/>
      <w:r>
        <w:rPr>
          <w:rFonts w:cs="仿宋"/>
          <w:b w:val="0"/>
          <w:bCs/>
          <w:szCs w:val="28"/>
          <w:highlight w:val="none"/>
        </w:rPr>
        <w:t>（2）在磋商响应文件递交截止期后，采购代理机构拒绝接收供应商递交的任何资料和文件</w:t>
      </w:r>
      <w:bookmarkEnd w:id="147"/>
      <w:r>
        <w:rPr>
          <w:rFonts w:hint="eastAsia" w:cs="仿宋"/>
          <w:b w:val="0"/>
          <w:bCs/>
          <w:szCs w:val="28"/>
          <w:highlight w:val="none"/>
          <w:lang w:eastAsia="zh-CN"/>
        </w:rPr>
        <w:t>；</w:t>
      </w:r>
    </w:p>
    <w:p>
      <w:pPr>
        <w:pStyle w:val="23"/>
        <w:widowControl/>
        <w:numPr>
          <w:ilvl w:val="0"/>
          <w:numId w:val="0"/>
        </w:numPr>
        <w:tabs>
          <w:tab w:val="clear" w:pos="851"/>
        </w:tabs>
        <w:spacing w:line="500" w:lineRule="exact"/>
        <w:ind w:firstLine="560" w:firstLineChars="200"/>
        <w:outlineLvl w:val="9"/>
        <w:rPr>
          <w:rFonts w:hint="eastAsia" w:eastAsia="仿宋" w:cs="仿宋"/>
          <w:b w:val="0"/>
          <w:bCs/>
          <w:szCs w:val="28"/>
          <w:highlight w:val="none"/>
          <w:lang w:eastAsia="zh-CN"/>
        </w:rPr>
      </w:pPr>
      <w:bookmarkStart w:id="148" w:name="_Toc12397"/>
      <w:r>
        <w:rPr>
          <w:rFonts w:cs="仿宋"/>
          <w:b w:val="0"/>
          <w:bCs/>
          <w:szCs w:val="28"/>
          <w:highlight w:val="none"/>
        </w:rPr>
        <w:t>（3）在磋商响应文件递交后到竞争性磋商文件规定的磋商响应文件递交截止期之间的这段时间内，经采购代理机构同意后供应商可以修改或撤回其磋商响应文件。修改或撤回的内容应按磋商文件的规定编制、密封、标记和递交，并在磋商响应文件的扉页上加注“修改”或“撤回”字样</w:t>
      </w:r>
      <w:bookmarkEnd w:id="148"/>
      <w:r>
        <w:rPr>
          <w:rFonts w:hint="eastAsia" w:cs="仿宋"/>
          <w:b w:val="0"/>
          <w:bCs/>
          <w:szCs w:val="28"/>
          <w:highlight w:val="none"/>
          <w:lang w:eastAsia="zh-CN"/>
        </w:rPr>
        <w:t>；</w:t>
      </w:r>
    </w:p>
    <w:p>
      <w:pPr>
        <w:pStyle w:val="23"/>
        <w:widowControl/>
        <w:numPr>
          <w:ilvl w:val="0"/>
          <w:numId w:val="0"/>
        </w:numPr>
        <w:tabs>
          <w:tab w:val="clear" w:pos="851"/>
        </w:tabs>
        <w:spacing w:line="500" w:lineRule="exact"/>
        <w:ind w:firstLine="560" w:firstLineChars="200"/>
        <w:outlineLvl w:val="9"/>
        <w:rPr>
          <w:rFonts w:hint="eastAsia" w:eastAsia="仿宋" w:cs="仿宋"/>
          <w:b w:val="0"/>
          <w:bCs/>
          <w:szCs w:val="28"/>
          <w:highlight w:val="none"/>
          <w:lang w:eastAsia="zh-CN"/>
        </w:rPr>
      </w:pPr>
      <w:bookmarkStart w:id="149" w:name="_Toc14367"/>
      <w:r>
        <w:rPr>
          <w:rFonts w:cs="仿宋"/>
          <w:b w:val="0"/>
          <w:bCs/>
          <w:szCs w:val="28"/>
          <w:highlight w:val="none"/>
        </w:rPr>
        <w:t>（4）在竞争性磋商文件规定的磋商响应文件递交截止期后，供应商不得对其磋商响应文件做任何修改</w:t>
      </w:r>
      <w:bookmarkEnd w:id="149"/>
      <w:r>
        <w:rPr>
          <w:rFonts w:hint="eastAsia" w:cs="仿宋"/>
          <w:b w:val="0"/>
          <w:bCs/>
          <w:szCs w:val="28"/>
          <w:highlight w:val="none"/>
          <w:lang w:eastAsia="zh-CN"/>
        </w:rPr>
        <w:t>；</w:t>
      </w:r>
    </w:p>
    <w:p>
      <w:pPr>
        <w:pStyle w:val="23"/>
        <w:widowControl/>
        <w:numPr>
          <w:ilvl w:val="0"/>
          <w:numId w:val="0"/>
        </w:numPr>
        <w:tabs>
          <w:tab w:val="clear" w:pos="851"/>
        </w:tabs>
        <w:spacing w:line="500" w:lineRule="exact"/>
        <w:ind w:firstLine="560" w:firstLineChars="200"/>
        <w:outlineLvl w:val="9"/>
        <w:rPr>
          <w:rFonts w:cs="仿宋"/>
          <w:b w:val="0"/>
          <w:bCs/>
          <w:szCs w:val="28"/>
          <w:highlight w:val="none"/>
        </w:rPr>
      </w:pPr>
      <w:bookmarkStart w:id="150" w:name="_Toc10796"/>
      <w:r>
        <w:rPr>
          <w:rFonts w:cs="仿宋"/>
          <w:b w:val="0"/>
          <w:bCs/>
          <w:szCs w:val="28"/>
          <w:highlight w:val="none"/>
        </w:rPr>
        <w:t>（5）在磋商响应文件递交截止时间后到磋商文件规定的磋商响应文件有效期满之间的这段时间内，供应商不得撤消其磋商响应文件，否则，保证金不予退还，同时，还应按政府采购法的有关规定处罚。</w:t>
      </w:r>
      <w:bookmarkEnd w:id="150"/>
    </w:p>
    <w:p>
      <w:pPr>
        <w:pStyle w:val="23"/>
        <w:widowControl/>
        <w:numPr>
          <w:ilvl w:val="0"/>
          <w:numId w:val="0"/>
        </w:numPr>
        <w:tabs>
          <w:tab w:val="clear" w:pos="851"/>
        </w:tabs>
        <w:spacing w:line="500" w:lineRule="exact"/>
        <w:outlineLvl w:val="9"/>
        <w:rPr>
          <w:rFonts w:cs="仿宋"/>
          <w:szCs w:val="28"/>
          <w:highlight w:val="none"/>
        </w:rPr>
      </w:pPr>
      <w:bookmarkStart w:id="151" w:name="_Toc9225"/>
      <w:r>
        <w:rPr>
          <w:rFonts w:cs="仿宋"/>
          <w:szCs w:val="28"/>
          <w:highlight w:val="none"/>
        </w:rPr>
        <w:t>六、磋商与评审</w:t>
      </w:r>
      <w:bookmarkEnd w:id="151"/>
    </w:p>
    <w:p>
      <w:pPr>
        <w:pStyle w:val="22"/>
        <w:widowControl/>
        <w:numPr>
          <w:ilvl w:val="0"/>
          <w:numId w:val="0"/>
        </w:numPr>
        <w:tabs>
          <w:tab w:val="left" w:pos="1140"/>
          <w:tab w:val="clear" w:pos="851"/>
        </w:tabs>
        <w:spacing w:line="500" w:lineRule="exact"/>
        <w:ind w:firstLine="560" w:firstLineChars="200"/>
        <w:outlineLvl w:val="9"/>
        <w:rPr>
          <w:rFonts w:ascii="仿宋" w:hAnsi="仿宋" w:eastAsia="仿宋" w:cs="仿宋"/>
          <w:color w:val="auto"/>
          <w:szCs w:val="28"/>
          <w:highlight w:val="none"/>
        </w:rPr>
      </w:pPr>
      <w:bookmarkStart w:id="152" w:name="_Toc23795"/>
      <w:bookmarkStart w:id="153" w:name="_Toc17205"/>
      <w:bookmarkStart w:id="154" w:name="_Toc19593"/>
      <w:bookmarkStart w:id="155" w:name="_Toc26667"/>
      <w:bookmarkStart w:id="156" w:name="_Toc17431"/>
      <w:bookmarkStart w:id="157" w:name="_Toc23773"/>
      <w:bookmarkStart w:id="158" w:name="_Toc13152"/>
      <w:bookmarkStart w:id="159" w:name="_Toc21014"/>
      <w:r>
        <w:rPr>
          <w:rFonts w:ascii="仿宋" w:hAnsi="仿宋" w:eastAsia="仿宋" w:cs="仿宋"/>
          <w:color w:val="auto"/>
          <w:szCs w:val="28"/>
          <w:highlight w:val="none"/>
        </w:rPr>
        <w:t>1、磋商</w:t>
      </w:r>
      <w:bookmarkEnd w:id="152"/>
      <w:bookmarkEnd w:id="153"/>
      <w:bookmarkEnd w:id="154"/>
      <w:r>
        <w:rPr>
          <w:rFonts w:ascii="仿宋" w:hAnsi="仿宋" w:eastAsia="仿宋" w:cs="仿宋"/>
          <w:color w:val="auto"/>
          <w:szCs w:val="28"/>
          <w:highlight w:val="none"/>
        </w:rPr>
        <w:t>会议</w:t>
      </w:r>
      <w:bookmarkEnd w:id="155"/>
      <w:bookmarkEnd w:id="156"/>
      <w:bookmarkEnd w:id="157"/>
      <w:bookmarkEnd w:id="158"/>
      <w:bookmarkEnd w:id="159"/>
    </w:p>
    <w:p>
      <w:pPr>
        <w:pStyle w:val="20"/>
        <w:widowControl/>
        <w:spacing w:line="500" w:lineRule="exact"/>
        <w:ind w:firstLine="560"/>
        <w:rPr>
          <w:rFonts w:hint="eastAsia" w:ascii="仿宋" w:hAnsi="仿宋" w:eastAsia="仿宋" w:cs="仿宋"/>
          <w:szCs w:val="28"/>
          <w:highlight w:val="none"/>
          <w:lang w:eastAsia="zh-CN"/>
        </w:rPr>
      </w:pPr>
      <w:r>
        <w:rPr>
          <w:rFonts w:ascii="仿宋" w:hAnsi="仿宋" w:cs="仿宋"/>
          <w:szCs w:val="28"/>
          <w:highlight w:val="none"/>
        </w:rPr>
        <w:t>（1）采购代理机构将在竞争性磋商公告中规定的时间和地点组织磋商。供应商应携带有效证件准时参加，并签名以证明其出席</w:t>
      </w:r>
      <w:r>
        <w:rPr>
          <w:rFonts w:hint="eastAsia" w:ascii="仿宋" w:hAnsi="仿宋" w:cs="仿宋"/>
          <w:szCs w:val="28"/>
          <w:highlight w:val="none"/>
          <w:lang w:eastAsia="zh-CN"/>
        </w:rPr>
        <w:t>；</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（2）磋商会议由采购代理机构主持，竞争性磋商小组成员、采购人代表、监督代表、供应商代表以及有关工作人员参加。</w:t>
      </w:r>
    </w:p>
    <w:p>
      <w:pPr>
        <w:pStyle w:val="22"/>
        <w:widowControl/>
        <w:numPr>
          <w:ilvl w:val="0"/>
          <w:numId w:val="0"/>
        </w:numPr>
        <w:tabs>
          <w:tab w:val="left" w:pos="1140"/>
          <w:tab w:val="clear" w:pos="851"/>
        </w:tabs>
        <w:spacing w:line="500" w:lineRule="exact"/>
        <w:ind w:firstLine="560" w:firstLineChars="200"/>
        <w:outlineLvl w:val="9"/>
        <w:rPr>
          <w:rFonts w:ascii="仿宋" w:hAnsi="仿宋" w:eastAsia="仿宋" w:cs="仿宋"/>
          <w:color w:val="auto"/>
          <w:szCs w:val="28"/>
          <w:highlight w:val="none"/>
        </w:rPr>
      </w:pPr>
      <w:bookmarkStart w:id="160" w:name="_Toc30132"/>
      <w:bookmarkStart w:id="161" w:name="_Toc2997"/>
      <w:bookmarkStart w:id="162" w:name="_Toc493"/>
      <w:bookmarkStart w:id="163" w:name="_Toc32629"/>
      <w:bookmarkStart w:id="164" w:name="_Toc11299"/>
      <w:bookmarkStart w:id="165" w:name="_Toc12852"/>
      <w:bookmarkStart w:id="166" w:name="_Toc14119"/>
      <w:bookmarkStart w:id="167" w:name="_Toc3886"/>
      <w:bookmarkStart w:id="168" w:name="_Toc16938547"/>
      <w:bookmarkStart w:id="169" w:name="_Toc513029231"/>
      <w:bookmarkStart w:id="170" w:name="_Toc20823303"/>
      <w:r>
        <w:rPr>
          <w:rFonts w:ascii="仿宋" w:hAnsi="仿宋" w:eastAsia="仿宋" w:cs="仿宋"/>
          <w:color w:val="auto"/>
          <w:szCs w:val="28"/>
          <w:highlight w:val="none"/>
        </w:rPr>
        <w:t>2、磋商小组</w:t>
      </w:r>
      <w:bookmarkEnd w:id="160"/>
      <w:bookmarkEnd w:id="161"/>
      <w:bookmarkEnd w:id="162"/>
      <w:bookmarkEnd w:id="163"/>
      <w:bookmarkEnd w:id="164"/>
      <w:bookmarkEnd w:id="165"/>
      <w:bookmarkEnd w:id="166"/>
      <w:bookmarkEnd w:id="167"/>
    </w:p>
    <w:p>
      <w:pPr>
        <w:pStyle w:val="22"/>
        <w:widowControl/>
        <w:numPr>
          <w:ilvl w:val="0"/>
          <w:numId w:val="0"/>
        </w:numPr>
        <w:tabs>
          <w:tab w:val="left" w:pos="1140"/>
          <w:tab w:val="clear" w:pos="851"/>
        </w:tabs>
        <w:spacing w:line="500" w:lineRule="exact"/>
        <w:ind w:firstLine="560" w:firstLineChars="200"/>
        <w:outlineLvl w:val="9"/>
        <w:rPr>
          <w:rFonts w:hint="eastAsia" w:ascii="仿宋" w:hAnsi="仿宋" w:eastAsia="仿宋" w:cs="仿宋"/>
          <w:color w:val="auto"/>
          <w:szCs w:val="28"/>
          <w:highlight w:val="none"/>
          <w:lang w:eastAsia="zh-CN"/>
        </w:rPr>
      </w:pPr>
      <w:bookmarkStart w:id="171" w:name="_Toc22938"/>
      <w:bookmarkStart w:id="172" w:name="_Toc16206"/>
      <w:bookmarkStart w:id="173" w:name="_Toc2546"/>
      <w:bookmarkStart w:id="174" w:name="_Toc31622"/>
      <w:bookmarkStart w:id="175" w:name="_Toc3817"/>
      <w:r>
        <w:rPr>
          <w:rFonts w:ascii="仿宋" w:hAnsi="仿宋" w:eastAsia="仿宋" w:cs="仿宋"/>
          <w:color w:val="auto"/>
          <w:szCs w:val="28"/>
          <w:highlight w:val="none"/>
        </w:rPr>
        <w:t>（1）磋商小组按规定由采购人代表和评审专家共3人以上单数组成，评审专家应当从政府采购评审专家库内相关专业的专家名单中随机抽取</w:t>
      </w:r>
      <w:bookmarkEnd w:id="171"/>
      <w:bookmarkEnd w:id="172"/>
      <w:bookmarkEnd w:id="173"/>
      <w:bookmarkEnd w:id="174"/>
      <w:bookmarkEnd w:id="175"/>
      <w:r>
        <w:rPr>
          <w:rFonts w:hint="eastAsia" w:ascii="仿宋" w:hAnsi="仿宋" w:eastAsia="仿宋" w:cs="仿宋"/>
          <w:color w:val="auto"/>
          <w:szCs w:val="28"/>
          <w:highlight w:val="none"/>
          <w:lang w:eastAsia="zh-CN"/>
        </w:rPr>
        <w:t>；</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（2）磋商会议结束后，采购代理机构立即组织磋商小组进行磋商文件评审。</w:t>
      </w:r>
    </w:p>
    <w:p>
      <w:pPr>
        <w:pStyle w:val="22"/>
        <w:widowControl/>
        <w:numPr>
          <w:ilvl w:val="0"/>
          <w:numId w:val="0"/>
        </w:numPr>
        <w:tabs>
          <w:tab w:val="left" w:pos="1140"/>
          <w:tab w:val="clear" w:pos="851"/>
        </w:tabs>
        <w:spacing w:line="500" w:lineRule="exact"/>
        <w:ind w:firstLine="560" w:firstLineChars="200"/>
        <w:outlineLvl w:val="9"/>
        <w:rPr>
          <w:rFonts w:ascii="仿宋" w:hAnsi="仿宋" w:eastAsia="仿宋" w:cs="仿宋"/>
          <w:color w:val="auto"/>
          <w:szCs w:val="28"/>
          <w:highlight w:val="none"/>
        </w:rPr>
      </w:pPr>
      <w:bookmarkStart w:id="176" w:name="_Toc7548"/>
      <w:bookmarkStart w:id="177" w:name="_Toc31686"/>
      <w:bookmarkStart w:id="178" w:name="_Toc14724"/>
      <w:bookmarkStart w:id="179" w:name="_Toc18856"/>
      <w:bookmarkStart w:id="180" w:name="_Toc8402"/>
      <w:bookmarkStart w:id="181" w:name="_Toc28921"/>
      <w:bookmarkStart w:id="182" w:name="_Toc24283"/>
      <w:bookmarkStart w:id="183" w:name="_Toc31244"/>
      <w:r>
        <w:rPr>
          <w:rFonts w:ascii="仿宋" w:hAnsi="仿宋" w:eastAsia="仿宋" w:cs="仿宋"/>
          <w:color w:val="auto"/>
          <w:szCs w:val="28"/>
          <w:highlight w:val="none"/>
        </w:rPr>
        <w:t>3、磋商工作纪律及保密</w:t>
      </w:r>
      <w:bookmarkEnd w:id="168"/>
      <w:bookmarkEnd w:id="169"/>
      <w:bookmarkEnd w:id="170"/>
      <w:bookmarkEnd w:id="176"/>
      <w:bookmarkEnd w:id="177"/>
      <w:bookmarkEnd w:id="178"/>
      <w:bookmarkEnd w:id="179"/>
      <w:bookmarkEnd w:id="180"/>
      <w:bookmarkEnd w:id="181"/>
      <w:bookmarkEnd w:id="182"/>
      <w:bookmarkEnd w:id="183"/>
    </w:p>
    <w:p>
      <w:pPr>
        <w:pStyle w:val="20"/>
        <w:widowControl/>
        <w:spacing w:line="500" w:lineRule="exact"/>
        <w:ind w:firstLine="536"/>
        <w:rPr>
          <w:rFonts w:ascii="仿宋" w:hAnsi="仿宋" w:cs="仿宋"/>
          <w:spacing w:val="-6"/>
          <w:szCs w:val="28"/>
          <w:highlight w:val="none"/>
        </w:rPr>
      </w:pPr>
      <w:r>
        <w:rPr>
          <w:rFonts w:ascii="仿宋" w:hAnsi="仿宋" w:cs="仿宋"/>
          <w:spacing w:val="-6"/>
          <w:szCs w:val="28"/>
          <w:highlight w:val="none"/>
        </w:rPr>
        <w:t>磋商小组应当遵守评审工作纪律，不得泄露评审情况和评审中获悉的商业秘密。</w:t>
      </w:r>
    </w:p>
    <w:p>
      <w:pPr>
        <w:pStyle w:val="22"/>
        <w:widowControl/>
        <w:numPr>
          <w:ilvl w:val="0"/>
          <w:numId w:val="0"/>
        </w:numPr>
        <w:tabs>
          <w:tab w:val="left" w:pos="1140"/>
          <w:tab w:val="clear" w:pos="851"/>
        </w:tabs>
        <w:spacing w:line="500" w:lineRule="exact"/>
        <w:ind w:firstLine="560" w:firstLineChars="200"/>
        <w:outlineLvl w:val="9"/>
        <w:rPr>
          <w:rFonts w:ascii="仿宋" w:hAnsi="仿宋" w:eastAsia="仿宋" w:cs="仿宋"/>
          <w:color w:val="auto"/>
          <w:szCs w:val="28"/>
          <w:highlight w:val="none"/>
        </w:rPr>
      </w:pPr>
      <w:bookmarkStart w:id="184" w:name="_Toc18244"/>
      <w:bookmarkStart w:id="185" w:name="_Toc29725"/>
      <w:bookmarkStart w:id="186" w:name="_Toc13768"/>
      <w:bookmarkStart w:id="187" w:name="_Toc19375"/>
      <w:bookmarkStart w:id="188" w:name="_Toc32177"/>
      <w:bookmarkStart w:id="189" w:name="_Toc4786"/>
      <w:bookmarkStart w:id="190" w:name="_Toc11890"/>
      <w:bookmarkStart w:id="191" w:name="_Toc3980"/>
      <w:r>
        <w:rPr>
          <w:rFonts w:ascii="仿宋" w:hAnsi="仿宋" w:eastAsia="仿宋" w:cs="仿宋"/>
          <w:color w:val="auto"/>
          <w:szCs w:val="28"/>
          <w:highlight w:val="none"/>
        </w:rPr>
        <w:t>4、磋商小组工作原则</w:t>
      </w:r>
      <w:bookmarkEnd w:id="184"/>
      <w:bookmarkEnd w:id="185"/>
      <w:bookmarkEnd w:id="186"/>
      <w:bookmarkEnd w:id="187"/>
      <w:bookmarkEnd w:id="188"/>
      <w:bookmarkEnd w:id="189"/>
      <w:bookmarkEnd w:id="190"/>
      <w:bookmarkEnd w:id="191"/>
    </w:p>
    <w:p>
      <w:pPr>
        <w:pStyle w:val="20"/>
        <w:widowControl/>
        <w:spacing w:line="500" w:lineRule="exact"/>
        <w:ind w:firstLine="560"/>
        <w:rPr>
          <w:rFonts w:ascii="仿宋" w:hAnsi="仿宋" w:cs="仿宋"/>
          <w:szCs w:val="28"/>
          <w:highlight w:val="none"/>
        </w:rPr>
      </w:pPr>
      <w:r>
        <w:rPr>
          <w:rFonts w:ascii="仿宋" w:hAnsi="仿宋" w:cs="仿宋"/>
          <w:szCs w:val="28"/>
          <w:highlight w:val="none"/>
        </w:rPr>
        <w:t>磋商小组成员应当按照客观、公正、公平、审慎的原则，根据磋商文件规定的评审程序、评审方法和评审标准进行独立评审。未实质性响应磋商文件的响应文件按无效响应文件处理，磋商小组应当告知递交响应文件的供应商。磋商文件内容违反国家有关强制性规定的，磋商小组应当停止评审并向采购人或者采购代理机构说明情况。</w:t>
      </w:r>
    </w:p>
    <w:p>
      <w:pPr>
        <w:pStyle w:val="20"/>
        <w:widowControl/>
        <w:numPr>
          <w:ilvl w:val="0"/>
          <w:numId w:val="7"/>
        </w:numPr>
        <w:spacing w:line="500" w:lineRule="exact"/>
        <w:ind w:firstLine="560"/>
        <w:rPr>
          <w:rFonts w:ascii="仿宋" w:hAnsi="仿宋" w:cs="仿宋"/>
          <w:szCs w:val="28"/>
          <w:highlight w:val="none"/>
        </w:rPr>
      </w:pPr>
      <w:r>
        <w:rPr>
          <w:rFonts w:ascii="仿宋" w:hAnsi="仿宋" w:cs="仿宋"/>
          <w:szCs w:val="28"/>
          <w:highlight w:val="none"/>
        </w:rPr>
        <w:t>符合性和有效性审查</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凡未通过符合性评审的磋商响应文件即作为无效文件，不得进入后续评审工作。内容如下：</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（1）供应商未经过正常渠道购买磋商文件的、供应商名称与登记领取磋商文件的单位名称不一致的；</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（2）磋商响应文件没有按磋商文件要求提供必备资格，资格的合法性或有效性不符合规定；</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（3）磋商响应文件、响应函未加盖供应商公章、未经法定代表人或被授权委托人签字或盖章的；</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（4）磋商响应文件无投标有效期或有效期达不到磋商文件的要求；</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（5）报价超过本项目采购预算的；</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（6）供应商针对同一服务和货物递交两份或多份内容不同的响应文件，未书面声明哪一份是有效的,出现选择性报价的；</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（7）未按要求交纳保证金的；</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（8）明显不符合商务、技术要求，存在重大负偏离的；</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（9）响应文件附有采购人不能接受的条件的；</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（10）不符合磋商文件规定的其他实质性要求的；</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（11）违反《中华人民共和国政府采购法》和其他相关法律、法规的规定。</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6、磋商程序：</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磋商的全过程分为供应商资格原件审查、响应文件密封情况查验、开启磋商响应文件、响应文件符合性审查、磋商过程、第二次报价及综合评审等阶段。</w:t>
      </w:r>
    </w:p>
    <w:p>
      <w:p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（1）供应商资格审查:由</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对供应商资格进行审查</w:t>
      </w:r>
      <w:r>
        <w:rPr>
          <w:rFonts w:hint="eastAsia" w:ascii="仿宋" w:hAnsi="仿宋" w:eastAsia="仿宋" w:cs="仿宋"/>
          <w:sz w:val="28"/>
          <w:szCs w:val="28"/>
          <w:highlight w:val="none"/>
          <w:lang w:eastAsia="zh-CN"/>
        </w:rPr>
        <w:t>；</w:t>
      </w:r>
    </w:p>
    <w:p>
      <w:p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（2）响应文件密封情况查验：采购人、供应商代表共同查验磋商响应文件密封情况</w:t>
      </w:r>
      <w:r>
        <w:rPr>
          <w:rFonts w:hint="eastAsia" w:ascii="仿宋" w:hAnsi="仿宋" w:eastAsia="仿宋" w:cs="仿宋"/>
          <w:sz w:val="28"/>
          <w:szCs w:val="28"/>
          <w:highlight w:val="none"/>
          <w:lang w:eastAsia="zh-CN"/>
        </w:rPr>
        <w:t>；</w:t>
      </w:r>
    </w:p>
    <w:p>
      <w:pPr>
        <w:spacing w:line="500" w:lineRule="exact"/>
        <w:ind w:firstLine="560" w:firstLineChars="200"/>
        <w:rPr>
          <w:rFonts w:hint="eastAsia" w:ascii="仿宋" w:hAnsi="仿宋" w:eastAsia="仿宋" w:cs="仿宋"/>
          <w:bCs/>
          <w:sz w:val="28"/>
          <w:szCs w:val="28"/>
          <w:highlight w:val="none"/>
          <w:lang w:eastAsia="zh-CN"/>
        </w:rPr>
      </w:pPr>
      <w:bookmarkStart w:id="192" w:name="_Toc6014"/>
      <w:r>
        <w:rPr>
          <w:rFonts w:hint="eastAsia" w:ascii="仿宋" w:hAnsi="仿宋" w:eastAsia="仿宋" w:cs="仿宋"/>
          <w:bCs/>
          <w:sz w:val="28"/>
          <w:szCs w:val="28"/>
          <w:highlight w:val="none"/>
        </w:rPr>
        <w:t>（3）开启磋商响应文件：依据陕财办采资[2016]53号</w:t>
      </w:r>
      <w:bookmarkEnd w:id="192"/>
      <w:r>
        <w:rPr>
          <w:rFonts w:hint="eastAsia" w:ascii="仿宋" w:hAnsi="仿宋" w:eastAsia="仿宋" w:cs="仿宋"/>
          <w:bCs/>
          <w:sz w:val="28"/>
          <w:szCs w:val="28"/>
          <w:highlight w:val="none"/>
        </w:rPr>
        <w:t>文件</w:t>
      </w:r>
      <w:r>
        <w:rPr>
          <w:rFonts w:hint="eastAsia" w:ascii="仿宋" w:hAnsi="仿宋" w:eastAsia="仿宋" w:cs="仿宋"/>
          <w:bCs/>
          <w:sz w:val="28"/>
          <w:szCs w:val="28"/>
          <w:highlight w:val="none"/>
          <w:lang w:eastAsia="zh-CN"/>
        </w:rPr>
        <w:t>；</w:t>
      </w:r>
    </w:p>
    <w:p>
      <w:p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bCs/>
          <w:sz w:val="28"/>
          <w:szCs w:val="28"/>
          <w:highlight w:val="none"/>
        </w:rPr>
        <w:t>（4）</w:t>
      </w:r>
      <w:r>
        <w:rPr>
          <w:rFonts w:hint="eastAsia" w:ascii="仿宋" w:hAnsi="仿宋" w:eastAsia="仿宋" w:cs="仿宋"/>
          <w:sz w:val="28"/>
          <w:szCs w:val="28"/>
          <w:highlight w:val="none"/>
        </w:rPr>
        <w:t>响应文件符合性审查：由磋商小组对资格审查合格供应商的响应文件进行符合性审查</w:t>
      </w:r>
      <w:r>
        <w:rPr>
          <w:rFonts w:hint="eastAsia" w:ascii="仿宋" w:hAnsi="仿宋" w:eastAsia="仿宋" w:cs="仿宋"/>
          <w:sz w:val="28"/>
          <w:szCs w:val="28"/>
          <w:highlight w:val="none"/>
          <w:lang w:eastAsia="zh-CN"/>
        </w:rPr>
        <w:t>；</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（5）磋商过程、第二次报价及综合评审</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①响应文件审查：</w:t>
      </w:r>
      <w:bookmarkStart w:id="193" w:name="_Toc513029232"/>
      <w:bookmarkStart w:id="194" w:name="_Toc20823304"/>
      <w:bookmarkStart w:id="195" w:name="_Toc16938548"/>
    </w:p>
    <w:p>
      <w:pPr>
        <w:pStyle w:val="20"/>
        <w:widowControl/>
        <w:spacing w:line="500" w:lineRule="exact"/>
        <w:ind w:firstLine="560"/>
        <w:rPr>
          <w:rFonts w:ascii="仿宋" w:hAnsi="仿宋" w:cs="仿宋"/>
          <w:szCs w:val="28"/>
          <w:highlight w:val="none"/>
        </w:rPr>
      </w:pPr>
      <w:r>
        <w:rPr>
          <w:rFonts w:ascii="仿宋" w:hAnsi="仿宋" w:cs="仿宋"/>
          <w:szCs w:val="28"/>
          <w:highlight w:val="none"/>
        </w:rPr>
        <w:t>磋商小组在对磋商响应文件的有效性、完整性和响应程度进行审查时，可以要求供应商对磋商响应文件中含义不明确、同类问题表述不一致或者有明显文字和计算错误的内容等作出必要的澄清、说明或者更正。供应商的澄清、说明或者更正不得超出响应文件的范围或者改变磋商响应文件的实质性内容。</w:t>
      </w:r>
    </w:p>
    <w:p>
      <w:pPr>
        <w:pStyle w:val="22"/>
        <w:widowControl/>
        <w:numPr>
          <w:ilvl w:val="0"/>
          <w:numId w:val="0"/>
        </w:numPr>
        <w:tabs>
          <w:tab w:val="clear" w:pos="851"/>
        </w:tabs>
        <w:adjustRightInd/>
        <w:spacing w:line="500" w:lineRule="exact"/>
        <w:ind w:firstLine="560" w:firstLineChars="200"/>
        <w:outlineLvl w:val="9"/>
        <w:rPr>
          <w:rFonts w:ascii="仿宋" w:hAnsi="仿宋" w:eastAsia="仿宋" w:cs="仿宋"/>
          <w:color w:val="auto"/>
          <w:szCs w:val="28"/>
          <w:highlight w:val="none"/>
        </w:rPr>
      </w:pPr>
      <w:bookmarkStart w:id="196" w:name="_Toc28781"/>
      <w:bookmarkStart w:id="197" w:name="_Toc1209"/>
      <w:bookmarkStart w:id="198" w:name="_Toc8413"/>
      <w:bookmarkStart w:id="199" w:name="_Toc23196"/>
      <w:bookmarkStart w:id="200" w:name="_Toc25757"/>
      <w:bookmarkStart w:id="201" w:name="_Toc13049"/>
      <w:bookmarkStart w:id="202" w:name="_Toc32504"/>
      <w:bookmarkStart w:id="203" w:name="_Toc14450"/>
      <w:r>
        <w:rPr>
          <w:rFonts w:ascii="仿宋" w:hAnsi="仿宋" w:eastAsia="仿宋" w:cs="仿宋"/>
          <w:color w:val="auto"/>
          <w:szCs w:val="28"/>
          <w:highlight w:val="none"/>
        </w:rPr>
        <w:t>②供应商澄清</w:t>
      </w:r>
      <w:bookmarkEnd w:id="193"/>
      <w:bookmarkEnd w:id="194"/>
      <w:bookmarkEnd w:id="195"/>
      <w:bookmarkEnd w:id="196"/>
      <w:bookmarkEnd w:id="197"/>
      <w:bookmarkEnd w:id="198"/>
      <w:bookmarkEnd w:id="199"/>
      <w:bookmarkEnd w:id="200"/>
      <w:bookmarkEnd w:id="201"/>
      <w:bookmarkEnd w:id="202"/>
      <w:bookmarkEnd w:id="203"/>
    </w:p>
    <w:p>
      <w:pPr>
        <w:pStyle w:val="20"/>
        <w:widowControl/>
        <w:spacing w:line="500" w:lineRule="exact"/>
        <w:ind w:left="141" w:leftChars="67" w:firstLine="420" w:firstLineChars="150"/>
        <w:rPr>
          <w:rFonts w:ascii="仿宋" w:hAnsi="仿宋" w:cs="仿宋"/>
          <w:szCs w:val="28"/>
          <w:highlight w:val="none"/>
        </w:rPr>
      </w:pPr>
      <w:bookmarkStart w:id="204" w:name="_Toc16938549"/>
      <w:bookmarkStart w:id="205" w:name="_Toc20823305"/>
      <w:bookmarkStart w:id="206" w:name="_Toc513029233"/>
      <w:r>
        <w:rPr>
          <w:rFonts w:ascii="仿宋" w:hAnsi="仿宋" w:cs="仿宋"/>
          <w:szCs w:val="28"/>
          <w:highlight w:val="none"/>
        </w:rPr>
        <w:t>磋商小组要求供应商澄清、说明或者更正响应文件将以书面形式作出。供应商的澄清、说明或者更正应当由法定代表人或被授权委托人签字或盖章。</w:t>
      </w:r>
    </w:p>
    <w:bookmarkEnd w:id="204"/>
    <w:bookmarkEnd w:id="205"/>
    <w:bookmarkEnd w:id="206"/>
    <w:p>
      <w:pPr>
        <w:pStyle w:val="20"/>
        <w:widowControl/>
        <w:spacing w:line="500" w:lineRule="exact"/>
        <w:ind w:firstLine="560"/>
        <w:rPr>
          <w:rFonts w:ascii="仿宋" w:hAnsi="仿宋" w:cs="仿宋"/>
          <w:szCs w:val="28"/>
          <w:highlight w:val="none"/>
        </w:rPr>
      </w:pPr>
      <w:r>
        <w:rPr>
          <w:rFonts w:ascii="仿宋" w:hAnsi="仿宋" w:cs="仿宋"/>
          <w:szCs w:val="28"/>
          <w:highlight w:val="none"/>
        </w:rPr>
        <w:t>③磋商小组所有成员集中与单一供应商分别进行磋商，并给予所有参加磋商的供应商平等的磋商机会。</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④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⑤磋商文件能够详细列明采购标的的技术、服务要求的，磋商结束后，磋商小组将要求所有实质性响应的供应商在规定时间内递交最后报价。磋商文件不能详细列明采购标的的技术、服务要求，需经磋商由供应商提供最终设计方案或解决方案的，磋商结束后磋商小组按照少数服从多数的原则投票推荐3家以上供应商的设计方案或解决方案，并要求其在规定时间内递交最后报价。最后报价是供应商响应文件的有效组成部分。</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⑥已递交磋商响应文件的供应商，在递交最后报价之前，可以根据磋商情况退出磋商。采购人、采购代理机构将退还退出磋商的供应商的投标保证金。</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⑦经磋商确定最终采购需求和递交最后报价的供应商后，由磋商小组采用综合评分法对递交最后报价的供应商的磋商响应文件和最后报价进行综合评分。综合评分法，是指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⑧</w:t>
      </w:r>
      <w:r>
        <w:rPr>
          <w:rFonts w:hint="eastAsia" w:ascii="仿宋" w:hAnsi="仿宋" w:eastAsia="仿宋" w:cs="仿宋"/>
          <w:kern w:val="0"/>
          <w:sz w:val="28"/>
          <w:szCs w:val="28"/>
          <w:highlight w:val="none"/>
        </w:rPr>
        <w:t>评审时，磋商小组各成员独立对每个有效磋商响应的文件进行评价、打分，然后汇总每个供应商每项评分因素的得分。</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⑨</w:t>
      </w:r>
      <w:r>
        <w:rPr>
          <w:rFonts w:hint="eastAsia" w:ascii="仿宋" w:hAnsi="仿宋" w:eastAsia="仿宋" w:cs="仿宋"/>
          <w:kern w:val="0"/>
          <w:sz w:val="28"/>
          <w:szCs w:val="28"/>
          <w:highlight w:val="none"/>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7、除资格性检查认定错误、分值汇总计算错误、分项评分超出评分标准范围、客观分评分不一致、经磋商小组一致认定评分畸高畸低的情形外，采购人或采购代理机构不得以任何理由组织重新评审。</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8、终止磋商活动条款</w:t>
      </w:r>
      <w:bookmarkStart w:id="207" w:name="_Toc20823307"/>
      <w:bookmarkStart w:id="208" w:name="_Toc16938551"/>
      <w:bookmarkStart w:id="209" w:name="_Toc513029235"/>
    </w:p>
    <w:p>
      <w:pPr>
        <w:adjustRightIn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出现下列情形之一的，将终止竞争性磋商采购活动，发布项目终止公告并说明原因，重新开展采购活动：</w:t>
      </w:r>
    </w:p>
    <w:p>
      <w:pPr>
        <w:adjustRightIn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（1）因情况变化，不再符合规定的竞争性磋商采购方式适用情形的；</w:t>
      </w:r>
    </w:p>
    <w:p>
      <w:pPr>
        <w:adjustRightIn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（2）出现影响采购公正的违法、违规行为的；</w:t>
      </w:r>
    </w:p>
    <w:p>
      <w:pPr>
        <w:spacing w:line="500" w:lineRule="exact"/>
        <w:ind w:right="-197" w:rightChars="-94"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（3）除【政府采购竞争性磋商采购方式管理暂行办法】第二十一条第三款规定的情形外，在采购过程中符合要求的供应商或者报价未超过采购预算的供应商不足3家的</w:t>
      </w:r>
      <w:r>
        <w:rPr>
          <w:rFonts w:hint="eastAsia" w:ascii="仿宋" w:hAnsi="仿宋" w:eastAsia="仿宋" w:cs="仿宋"/>
          <w:sz w:val="28"/>
          <w:szCs w:val="28"/>
          <w:highlight w:val="none"/>
          <w:lang w:eastAsia="zh-CN"/>
        </w:rPr>
        <w:t>；</w:t>
      </w:r>
    </w:p>
    <w:p>
      <w:pPr>
        <w:adjustRightIn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（4）采购人或采购代理机构发现磋商小组未按照磋商文件规定的评审标准进行评审的，应当重新开展采购活动，并同时书面报告本级财政部门。</w:t>
      </w:r>
    </w:p>
    <w:p>
      <w:pPr>
        <w:adjustRightInd w:val="0"/>
        <w:spacing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9、</w:t>
      </w:r>
      <w:r>
        <w:rPr>
          <w:rFonts w:hint="eastAsia" w:ascii="仿宋" w:hAnsi="仿宋" w:eastAsia="仿宋" w:cs="仿宋"/>
          <w:kern w:val="0"/>
          <w:sz w:val="28"/>
          <w:szCs w:val="28"/>
          <w:highlight w:val="none"/>
        </w:rPr>
        <w:t>关于小型、微型企业、监狱企业、残疾人福利性单位的说明：</w:t>
      </w:r>
    </w:p>
    <w:p>
      <w:pPr>
        <w:widowControl/>
        <w:spacing w:line="500" w:lineRule="exact"/>
        <w:ind w:right="-197" w:rightChars="-94"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根据</w:t>
      </w:r>
      <w:r>
        <w:rPr>
          <w:rFonts w:hint="eastAsia" w:ascii="仿宋" w:hAnsi="仿宋" w:eastAsia="仿宋" w:cs="仿宋"/>
          <w:sz w:val="28"/>
          <w:szCs w:val="28"/>
          <w:highlight w:val="none"/>
        </w:rPr>
        <w:t>《政府采购促进中小企业发展暂行办法》（财库〔2011〕181号）和</w:t>
      </w:r>
      <w:r>
        <w:rPr>
          <w:rFonts w:hint="eastAsia" w:ascii="仿宋" w:hAnsi="仿宋" w:eastAsia="仿宋" w:cs="仿宋"/>
          <w:kern w:val="0"/>
          <w:sz w:val="28"/>
          <w:szCs w:val="28"/>
          <w:highlight w:val="none"/>
        </w:rPr>
        <w:t>《工业和信息化部、国家统计局、国家发展和改革委员会、财政部关于印发中小企业划型标准规定的通知》（工信部联企业[2011]300号）规定的划分标准中规定：</w:t>
      </w:r>
    </w:p>
    <w:p>
      <w:pPr>
        <w:widowControl/>
        <w:numPr>
          <w:ilvl w:val="0"/>
          <w:numId w:val="8"/>
        </w:numPr>
        <w:spacing w:line="5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如供应商为小型、微型企业，对其所投货物（或服务）为小型和微型企业产品的价格给予6%的扣除，扣除后的价格为其评标价；</w:t>
      </w:r>
    </w:p>
    <w:p>
      <w:pPr>
        <w:widowControl/>
        <w:numPr>
          <w:ilvl w:val="0"/>
          <w:numId w:val="8"/>
        </w:numPr>
        <w:spacing w:line="5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供应商若属于小型、微型企业，按竞争性磋商响应文件格式要求填写声明函；</w:t>
      </w:r>
    </w:p>
    <w:p>
      <w:pPr>
        <w:widowControl/>
        <w:numPr>
          <w:ilvl w:val="0"/>
          <w:numId w:val="8"/>
        </w:numPr>
        <w:spacing w:line="5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对未填写“中小企业声明函”的或填写后未能够证实的，在价格评审时不予考虑；</w:t>
      </w:r>
    </w:p>
    <w:p>
      <w:pPr>
        <w:widowControl/>
        <w:spacing w:line="5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（4）关于监狱企业、残疾人福利性单位：视同小型、微型企业。</w:t>
      </w:r>
    </w:p>
    <w:bookmarkEnd w:id="207"/>
    <w:bookmarkEnd w:id="208"/>
    <w:bookmarkEnd w:id="209"/>
    <w:p>
      <w:pPr>
        <w:pStyle w:val="23"/>
        <w:widowControl/>
        <w:numPr>
          <w:ilvl w:val="0"/>
          <w:numId w:val="0"/>
        </w:numPr>
        <w:tabs>
          <w:tab w:val="left" w:pos="720"/>
          <w:tab w:val="clear" w:pos="851"/>
        </w:tabs>
        <w:spacing w:line="500" w:lineRule="exact"/>
        <w:outlineLvl w:val="9"/>
        <w:rPr>
          <w:rFonts w:cs="仿宋"/>
          <w:szCs w:val="28"/>
          <w:highlight w:val="none"/>
        </w:rPr>
      </w:pPr>
      <w:bookmarkStart w:id="210" w:name="_Toc20154"/>
      <w:bookmarkStart w:id="211" w:name="_Toc421604331"/>
      <w:bookmarkStart w:id="212" w:name="_Toc11323"/>
      <w:bookmarkStart w:id="213" w:name="_Toc29247"/>
      <w:bookmarkStart w:id="214" w:name="_Toc22997"/>
      <w:bookmarkStart w:id="215" w:name="_Toc24629"/>
      <w:bookmarkStart w:id="216" w:name="_Toc21336"/>
      <w:bookmarkStart w:id="217" w:name="_Toc17007"/>
      <w:bookmarkStart w:id="218" w:name="_Toc16265"/>
      <w:bookmarkStart w:id="219" w:name="_Toc32576"/>
      <w:bookmarkStart w:id="220" w:name="_Toc12961"/>
      <w:bookmarkStart w:id="221" w:name="_Toc4407"/>
      <w:bookmarkStart w:id="222" w:name="_Toc9011"/>
      <w:bookmarkStart w:id="223" w:name="_Toc26178"/>
      <w:bookmarkStart w:id="224" w:name="_Toc362"/>
      <w:bookmarkStart w:id="225" w:name="_Toc20559"/>
      <w:bookmarkStart w:id="226" w:name="_Toc18599"/>
      <w:bookmarkStart w:id="227" w:name="_Toc6284"/>
      <w:bookmarkStart w:id="228" w:name="_Toc15291"/>
      <w:bookmarkStart w:id="229" w:name="_Toc30887"/>
      <w:bookmarkStart w:id="230" w:name="_Toc15589"/>
      <w:bookmarkStart w:id="231" w:name="_Toc7653"/>
      <w:bookmarkStart w:id="232" w:name="_Toc10055"/>
      <w:r>
        <w:rPr>
          <w:rFonts w:cs="仿宋"/>
          <w:szCs w:val="28"/>
          <w:highlight w:val="none"/>
        </w:rPr>
        <w:t>七、成交、询问及质疑</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pStyle w:val="20"/>
        <w:widowControl/>
        <w:spacing w:line="500" w:lineRule="exact"/>
        <w:ind w:firstLine="700" w:firstLineChars="250"/>
        <w:rPr>
          <w:rFonts w:ascii="仿宋" w:hAnsi="仿宋" w:cs="仿宋"/>
          <w:szCs w:val="28"/>
          <w:highlight w:val="none"/>
        </w:rPr>
      </w:pPr>
      <w:bookmarkStart w:id="233" w:name="_Toc16938554"/>
      <w:bookmarkStart w:id="234" w:name="_Toc20823310"/>
      <w:r>
        <w:rPr>
          <w:rFonts w:ascii="仿宋" w:hAnsi="仿宋" w:cs="仿宋"/>
          <w:szCs w:val="28"/>
          <w:highlight w:val="none"/>
        </w:rPr>
        <w:t>1、确定</w:t>
      </w:r>
      <w:bookmarkEnd w:id="233"/>
      <w:bookmarkEnd w:id="234"/>
      <w:r>
        <w:rPr>
          <w:rFonts w:ascii="仿宋" w:hAnsi="仿宋" w:cs="仿宋"/>
          <w:szCs w:val="28"/>
          <w:highlight w:val="none"/>
        </w:rPr>
        <w:t>成交供应商</w:t>
      </w:r>
    </w:p>
    <w:p>
      <w:pPr>
        <w:adjustRightInd w:val="0"/>
        <w:spacing w:line="500" w:lineRule="exact"/>
        <w:ind w:firstLine="420" w:firstLineChars="1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（1）采购代理机构在评审结束后2个工作日内将评审报告送采购人确认。采购人在收到评审报告后5个工作日内，从评审报告提出的成交候选供应商中，按照排序由高到低的原则确定成交供应商</w:t>
      </w:r>
      <w:r>
        <w:rPr>
          <w:rFonts w:hint="eastAsia" w:ascii="仿宋" w:hAnsi="仿宋" w:eastAsia="仿宋" w:cs="仿宋"/>
          <w:sz w:val="28"/>
          <w:szCs w:val="28"/>
          <w:highlight w:val="none"/>
          <w:lang w:eastAsia="zh-CN"/>
        </w:rPr>
        <w:t>；</w:t>
      </w:r>
    </w:p>
    <w:p>
      <w:pPr>
        <w:adjustRightInd w:val="0"/>
        <w:spacing w:line="500" w:lineRule="exact"/>
        <w:ind w:firstLine="420" w:firstLineChars="1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（2）采购代理机构在成交供应商确定后2个工作日内在“陕西省政府采购网”公告成交结果</w:t>
      </w:r>
      <w:r>
        <w:rPr>
          <w:rFonts w:hint="eastAsia" w:ascii="仿宋" w:hAnsi="仿宋" w:eastAsia="仿宋" w:cs="仿宋"/>
          <w:sz w:val="28"/>
          <w:szCs w:val="28"/>
          <w:highlight w:val="none"/>
          <w:lang w:eastAsia="zh-CN"/>
        </w:rPr>
        <w:t>并</w:t>
      </w:r>
      <w:r>
        <w:rPr>
          <w:rFonts w:hint="eastAsia" w:ascii="仿宋" w:hAnsi="仿宋" w:eastAsia="仿宋" w:cs="仿宋"/>
          <w:sz w:val="28"/>
          <w:szCs w:val="28"/>
          <w:highlight w:val="none"/>
        </w:rPr>
        <w:t>发放《成交通知书》</w:t>
      </w:r>
      <w:r>
        <w:rPr>
          <w:rFonts w:hint="eastAsia" w:ascii="仿宋" w:hAnsi="仿宋" w:eastAsia="仿宋" w:cs="仿宋"/>
          <w:sz w:val="28"/>
          <w:szCs w:val="28"/>
          <w:highlight w:val="none"/>
          <w:lang w:eastAsia="zh-CN"/>
        </w:rPr>
        <w:t>，竞争性磋商文件随</w:t>
      </w:r>
      <w:r>
        <w:rPr>
          <w:rFonts w:hint="eastAsia" w:ascii="仿宋" w:hAnsi="仿宋" w:eastAsia="仿宋" w:cs="仿宋"/>
          <w:sz w:val="28"/>
          <w:szCs w:val="28"/>
          <w:highlight w:val="none"/>
        </w:rPr>
        <w:t>成交结果同时公告</w:t>
      </w:r>
      <w:r>
        <w:rPr>
          <w:rFonts w:hint="eastAsia" w:ascii="仿宋" w:hAnsi="仿宋" w:eastAsia="仿宋" w:cs="仿宋"/>
          <w:sz w:val="28"/>
          <w:szCs w:val="28"/>
          <w:highlight w:val="none"/>
          <w:lang w:eastAsia="zh-CN"/>
        </w:rPr>
        <w:t>。</w:t>
      </w:r>
    </w:p>
    <w:p>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询问及质疑依据《中华人民共和国政府采购法》、《中华人民共和国政府采购法实施条例》、《中华人民共和国财政部令第94号》及相关法律法规处理。供应商在法定质疑期内一次性提出针对同一采购程序环节的质疑。</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（1）质疑函应以书面方式递交。（格式见陕西省政府采购网政府采购供应商质疑函范本）</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（2）质疑函递交联系方式：</w:t>
      </w:r>
    </w:p>
    <w:p>
      <w:pPr>
        <w:pStyle w:val="20"/>
        <w:widowControl/>
        <w:spacing w:line="500" w:lineRule="exact"/>
        <w:ind w:firstLine="1260" w:firstLineChars="450"/>
        <w:rPr>
          <w:rFonts w:hint="default" w:ascii="仿宋" w:hAnsi="仿宋" w:eastAsia="仿宋" w:cs="仿宋"/>
          <w:szCs w:val="28"/>
          <w:highlight w:val="none"/>
          <w:lang w:val="en-US" w:eastAsia="zh-CN"/>
        </w:rPr>
      </w:pPr>
      <w:r>
        <w:rPr>
          <w:rFonts w:ascii="仿宋" w:hAnsi="仿宋" w:cs="仿宋"/>
          <w:szCs w:val="28"/>
          <w:highlight w:val="none"/>
        </w:rPr>
        <w:t>采购代理机构名称：</w:t>
      </w:r>
      <w:r>
        <w:rPr>
          <w:rFonts w:hint="eastAsia" w:ascii="仿宋" w:hAnsi="仿宋" w:cs="仿宋"/>
          <w:szCs w:val="28"/>
          <w:highlight w:val="none"/>
          <w:lang w:val="en-US" w:eastAsia="zh-CN"/>
        </w:rPr>
        <w:t>陕西恒信项目管理有限公司</w:t>
      </w:r>
    </w:p>
    <w:p>
      <w:pPr>
        <w:pStyle w:val="20"/>
        <w:widowControl/>
        <w:spacing w:line="500" w:lineRule="exact"/>
        <w:ind w:firstLine="1260" w:firstLineChars="450"/>
        <w:rPr>
          <w:rFonts w:hint="default" w:ascii="仿宋" w:hAnsi="仿宋" w:eastAsia="仿宋" w:cs="仿宋"/>
          <w:color w:val="FF0000"/>
          <w:szCs w:val="28"/>
          <w:highlight w:val="none"/>
          <w:lang w:val="en-US" w:eastAsia="zh-CN"/>
        </w:rPr>
      </w:pPr>
      <w:r>
        <w:rPr>
          <w:rFonts w:ascii="仿宋" w:hAnsi="仿宋" w:cs="仿宋"/>
          <w:szCs w:val="28"/>
          <w:highlight w:val="none"/>
        </w:rPr>
        <w:t>电话</w:t>
      </w:r>
      <w:r>
        <w:rPr>
          <w:rFonts w:ascii="仿宋" w:hAnsi="仿宋" w:cs="仿宋"/>
          <w:color w:val="000000"/>
          <w:szCs w:val="28"/>
          <w:highlight w:val="none"/>
        </w:rPr>
        <w:t>：</w:t>
      </w:r>
      <w:r>
        <w:rPr>
          <w:rFonts w:hint="eastAsia" w:ascii="仿宋" w:hAnsi="仿宋" w:cs="仿宋"/>
          <w:color w:val="000000"/>
          <w:szCs w:val="28"/>
          <w:highlight w:val="none"/>
          <w:lang w:val="en-US" w:eastAsia="zh-CN"/>
        </w:rPr>
        <w:t>0916-8833131</w:t>
      </w:r>
    </w:p>
    <w:p>
      <w:pPr>
        <w:pStyle w:val="20"/>
        <w:widowControl/>
        <w:spacing w:line="500" w:lineRule="exact"/>
        <w:ind w:firstLine="1260" w:firstLineChars="450"/>
        <w:rPr>
          <w:rFonts w:hint="default" w:ascii="仿宋" w:hAnsi="仿宋" w:eastAsia="仿宋" w:cs="仿宋"/>
          <w:szCs w:val="28"/>
          <w:highlight w:val="none"/>
          <w:lang w:val="en-US" w:eastAsia="zh-CN"/>
        </w:rPr>
      </w:pPr>
      <w:r>
        <w:rPr>
          <w:rFonts w:ascii="仿宋" w:hAnsi="仿宋" w:cs="仿宋"/>
          <w:szCs w:val="28"/>
          <w:highlight w:val="none"/>
        </w:rPr>
        <w:t>地址：</w:t>
      </w:r>
      <w:r>
        <w:rPr>
          <w:rFonts w:hint="eastAsia" w:ascii="仿宋" w:hAnsi="仿宋" w:cs="仿宋"/>
          <w:szCs w:val="28"/>
          <w:highlight w:val="none"/>
          <w:lang w:val="en-US" w:eastAsia="zh-CN"/>
        </w:rPr>
        <w:t>陕西省汉中市汉台区太白路西后城巷时代商务二楼</w:t>
      </w:r>
    </w:p>
    <w:p>
      <w:pPr>
        <w:pStyle w:val="20"/>
        <w:widowControl/>
        <w:spacing w:line="500" w:lineRule="exact"/>
        <w:ind w:firstLine="700" w:firstLineChars="250"/>
        <w:rPr>
          <w:rFonts w:ascii="仿宋" w:hAnsi="仿宋" w:cs="仿宋"/>
          <w:szCs w:val="28"/>
          <w:highlight w:val="none"/>
        </w:rPr>
      </w:pPr>
      <w:r>
        <w:rPr>
          <w:rFonts w:ascii="仿宋" w:hAnsi="仿宋" w:cs="仿宋"/>
          <w:szCs w:val="28"/>
          <w:highlight w:val="none"/>
        </w:rPr>
        <w:t>3、采购代理机构不做未成交原因的解释。</w:t>
      </w:r>
    </w:p>
    <w:p>
      <w:pPr>
        <w:pStyle w:val="23"/>
        <w:numPr>
          <w:ilvl w:val="0"/>
          <w:numId w:val="0"/>
        </w:numPr>
        <w:tabs>
          <w:tab w:val="left" w:pos="720"/>
          <w:tab w:val="clear" w:pos="851"/>
        </w:tabs>
        <w:spacing w:line="500" w:lineRule="exact"/>
        <w:outlineLvl w:val="9"/>
        <w:rPr>
          <w:rFonts w:cs="仿宋"/>
          <w:szCs w:val="28"/>
          <w:highlight w:val="none"/>
        </w:rPr>
      </w:pPr>
      <w:bookmarkStart w:id="235" w:name="_Toc19990"/>
      <w:bookmarkStart w:id="236" w:name="_Toc21980"/>
      <w:bookmarkStart w:id="237" w:name="_Toc15675"/>
      <w:bookmarkStart w:id="238" w:name="_Toc403987211"/>
      <w:bookmarkStart w:id="239" w:name="_Toc421604332"/>
      <w:bookmarkStart w:id="240" w:name="_Toc16964"/>
      <w:bookmarkStart w:id="241" w:name="_Toc17288"/>
      <w:bookmarkStart w:id="242" w:name="_Toc19670"/>
      <w:bookmarkStart w:id="243" w:name="_Toc27526"/>
      <w:bookmarkStart w:id="244" w:name="_Toc23307"/>
      <w:bookmarkStart w:id="245" w:name="_Toc5322"/>
      <w:bookmarkStart w:id="246" w:name="_Toc120614220"/>
      <w:bookmarkStart w:id="247" w:name="_Toc20770"/>
      <w:bookmarkStart w:id="248" w:name="_Toc26703"/>
      <w:bookmarkStart w:id="249" w:name="_Toc4207"/>
      <w:bookmarkStart w:id="250" w:name="_Toc18719"/>
      <w:bookmarkStart w:id="251" w:name="_Toc5160"/>
      <w:bookmarkStart w:id="252" w:name="_Toc18922"/>
      <w:bookmarkStart w:id="253" w:name="_Toc8054"/>
      <w:bookmarkStart w:id="254" w:name="_Toc145"/>
      <w:bookmarkStart w:id="255" w:name="_Toc11221"/>
      <w:bookmarkStart w:id="256" w:name="_Toc13489"/>
      <w:bookmarkStart w:id="257" w:name="_Toc12728"/>
      <w:bookmarkStart w:id="258" w:name="_Toc8553"/>
      <w:bookmarkStart w:id="259" w:name="_Toc775"/>
      <w:bookmarkStart w:id="260" w:name="_Toc16938552"/>
      <w:bookmarkStart w:id="261" w:name="_Toc513029236"/>
      <w:bookmarkStart w:id="262" w:name="_Toc20823308"/>
      <w:r>
        <w:rPr>
          <w:rFonts w:cs="仿宋"/>
          <w:szCs w:val="28"/>
          <w:highlight w:val="none"/>
        </w:rPr>
        <w:t>八、授予合同</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bookmarkEnd w:id="260"/>
    <w:bookmarkEnd w:id="261"/>
    <w:bookmarkEnd w:id="262"/>
    <w:p>
      <w:pPr>
        <w:pStyle w:val="20"/>
        <w:spacing w:line="500" w:lineRule="exact"/>
        <w:ind w:firstLine="700" w:firstLineChars="250"/>
        <w:rPr>
          <w:rFonts w:ascii="仿宋" w:hAnsi="仿宋" w:cs="仿宋"/>
          <w:szCs w:val="28"/>
          <w:highlight w:val="none"/>
        </w:rPr>
      </w:pPr>
      <w:bookmarkStart w:id="263" w:name="_Toc16938553"/>
      <w:bookmarkStart w:id="264" w:name="_Toc513029237"/>
      <w:bookmarkStart w:id="265" w:name="_Toc20823309"/>
      <w:r>
        <w:rPr>
          <w:rFonts w:ascii="仿宋" w:hAnsi="仿宋" w:cs="仿宋"/>
          <w:szCs w:val="28"/>
          <w:highlight w:val="none"/>
        </w:rPr>
        <w:t>1、签订合同</w:t>
      </w:r>
    </w:p>
    <w:p>
      <w:pPr>
        <w:pStyle w:val="20"/>
        <w:spacing w:line="500" w:lineRule="exact"/>
        <w:ind w:firstLine="560"/>
        <w:rPr>
          <w:rFonts w:hint="eastAsia" w:ascii="仿宋" w:hAnsi="仿宋" w:eastAsia="仿宋" w:cs="仿宋"/>
          <w:szCs w:val="28"/>
          <w:highlight w:val="none"/>
          <w:lang w:eastAsia="zh-CN"/>
        </w:rPr>
      </w:pPr>
      <w:r>
        <w:rPr>
          <w:rFonts w:ascii="仿宋" w:hAnsi="仿宋" w:cs="仿宋"/>
          <w:szCs w:val="28"/>
          <w:highlight w:val="none"/>
        </w:rPr>
        <w:t>（1）采购人与成交供应商应当在成交通知书发出之日起30日内，按照磋商文件确定的合同文本以及采购标的、成交金额、技术和服务要求等事项签订政府采购合同</w:t>
      </w:r>
      <w:r>
        <w:rPr>
          <w:rFonts w:hint="eastAsia" w:ascii="仿宋" w:hAnsi="仿宋" w:cs="仿宋"/>
          <w:szCs w:val="28"/>
          <w:highlight w:val="none"/>
          <w:lang w:eastAsia="zh-CN"/>
        </w:rPr>
        <w:t>；</w:t>
      </w:r>
    </w:p>
    <w:p>
      <w:pPr>
        <w:pStyle w:val="20"/>
        <w:spacing w:line="500" w:lineRule="exact"/>
        <w:ind w:firstLine="560"/>
        <w:rPr>
          <w:rFonts w:hint="eastAsia" w:ascii="仿宋" w:hAnsi="仿宋" w:eastAsia="仿宋" w:cs="仿宋"/>
          <w:szCs w:val="28"/>
          <w:highlight w:val="none"/>
          <w:lang w:eastAsia="zh-CN"/>
        </w:rPr>
      </w:pPr>
      <w:r>
        <w:rPr>
          <w:rFonts w:ascii="仿宋" w:hAnsi="仿宋" w:cs="仿宋"/>
          <w:szCs w:val="28"/>
          <w:highlight w:val="none"/>
        </w:rPr>
        <w:t>（2）采购人不得向成交供应商提出超出磋商文件以外的任何要求作为签订合同的条件，不得与成交供应商订立背离磋商文件确定的合同文本以及采购标的、成交金额、技术和服务要求等实质性内容的协议</w:t>
      </w:r>
      <w:r>
        <w:rPr>
          <w:rFonts w:hint="eastAsia" w:ascii="仿宋" w:hAnsi="仿宋" w:cs="仿宋"/>
          <w:szCs w:val="28"/>
          <w:highlight w:val="none"/>
          <w:lang w:eastAsia="zh-CN"/>
        </w:rPr>
        <w:t>；</w:t>
      </w:r>
    </w:p>
    <w:p>
      <w:pPr>
        <w:pStyle w:val="20"/>
        <w:spacing w:line="500" w:lineRule="exact"/>
        <w:ind w:firstLine="560"/>
        <w:rPr>
          <w:rFonts w:hint="eastAsia" w:ascii="仿宋" w:hAnsi="仿宋" w:eastAsia="仿宋" w:cs="仿宋"/>
          <w:szCs w:val="28"/>
          <w:highlight w:val="none"/>
          <w:lang w:eastAsia="zh-CN"/>
        </w:rPr>
      </w:pPr>
      <w:r>
        <w:rPr>
          <w:rFonts w:ascii="仿宋" w:hAnsi="仿宋" w:cs="仿宋"/>
          <w:szCs w:val="28"/>
          <w:highlight w:val="none"/>
        </w:rPr>
        <w:t>（3）成交供应商拒绝签订政府采购合同的，采购人可以按照从评审报告提出的成交候选供应商中，按照排序由高到低的原则重新确定其他供应商作为成交供应商并签订政府采购合同，也可以重新开展采购活动。拒绝签订政府采购合同的成交供应商不得参加对该项目重新开展的采购活动</w:t>
      </w:r>
      <w:r>
        <w:rPr>
          <w:rFonts w:hint="eastAsia" w:ascii="仿宋" w:hAnsi="仿宋" w:cs="仿宋"/>
          <w:szCs w:val="28"/>
          <w:highlight w:val="none"/>
          <w:lang w:eastAsia="zh-CN"/>
        </w:rPr>
        <w:t>；</w:t>
      </w:r>
    </w:p>
    <w:p>
      <w:pPr>
        <w:pStyle w:val="20"/>
        <w:widowControl/>
        <w:spacing w:line="500" w:lineRule="exact"/>
        <w:ind w:firstLine="560"/>
        <w:rPr>
          <w:rFonts w:hint="eastAsia" w:ascii="仿宋" w:hAnsi="仿宋" w:eastAsia="仿宋" w:cs="仿宋"/>
          <w:szCs w:val="28"/>
          <w:highlight w:val="none"/>
          <w:lang w:eastAsia="zh-CN"/>
        </w:rPr>
      </w:pPr>
      <w:r>
        <w:rPr>
          <w:rFonts w:ascii="仿宋" w:hAnsi="仿宋" w:cs="仿宋"/>
          <w:szCs w:val="28"/>
          <w:highlight w:val="none"/>
        </w:rPr>
        <w:t>（4）竞争性磋商文件、成交供应商的磋商响应文件及竞争性磋商过程中有关澄清、承诺文件均应作为合同附件</w:t>
      </w:r>
      <w:r>
        <w:rPr>
          <w:rFonts w:hint="eastAsia" w:ascii="仿宋" w:hAnsi="仿宋" w:cs="仿宋"/>
          <w:szCs w:val="28"/>
          <w:highlight w:val="none"/>
          <w:lang w:eastAsia="zh-CN"/>
        </w:rPr>
        <w:t>；</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5）签订合同后，成交供应商不得将货物及其他相关服务进行转包。未经采购人同意，成交供应商也不得采用分包的形式履行合同，否则采购人有权终止合同，转包或分包造成采购人损失的，成交供应商应承担相应赔偿责任。</w:t>
      </w:r>
    </w:p>
    <w:bookmarkEnd w:id="263"/>
    <w:bookmarkEnd w:id="264"/>
    <w:bookmarkEnd w:id="265"/>
    <w:p>
      <w:pPr>
        <w:pStyle w:val="23"/>
        <w:widowControl/>
        <w:numPr>
          <w:ilvl w:val="0"/>
          <w:numId w:val="0"/>
        </w:numPr>
        <w:tabs>
          <w:tab w:val="clear" w:pos="851"/>
        </w:tabs>
        <w:spacing w:line="500" w:lineRule="exact"/>
        <w:outlineLvl w:val="9"/>
        <w:rPr>
          <w:rFonts w:cs="仿宋"/>
          <w:szCs w:val="28"/>
          <w:highlight w:val="none"/>
        </w:rPr>
      </w:pPr>
      <w:bookmarkStart w:id="266" w:name="_Toc16313"/>
      <w:bookmarkStart w:id="267" w:name="_Toc19851"/>
      <w:bookmarkStart w:id="268" w:name="_Toc1156"/>
      <w:bookmarkStart w:id="269" w:name="_Toc7114"/>
      <w:bookmarkStart w:id="270" w:name="_Toc19109"/>
      <w:bookmarkStart w:id="271" w:name="_Toc3014"/>
      <w:bookmarkStart w:id="272" w:name="_Toc10985"/>
      <w:bookmarkStart w:id="273" w:name="_Toc8784"/>
      <w:bookmarkStart w:id="274" w:name="_Toc14798"/>
      <w:bookmarkStart w:id="275" w:name="_Toc17010"/>
      <w:bookmarkStart w:id="276" w:name="_Toc6428"/>
      <w:bookmarkStart w:id="277" w:name="_Toc18438"/>
      <w:bookmarkStart w:id="278" w:name="_Toc31720"/>
      <w:bookmarkStart w:id="279" w:name="_Toc25486"/>
      <w:bookmarkStart w:id="280" w:name="_Toc9234"/>
      <w:bookmarkStart w:id="281" w:name="_Toc20350"/>
      <w:bookmarkStart w:id="282" w:name="_Toc1513"/>
      <w:bookmarkStart w:id="283" w:name="_Toc29307"/>
      <w:bookmarkStart w:id="284" w:name="_Toc12070"/>
      <w:bookmarkStart w:id="285" w:name="_Toc26425"/>
      <w:bookmarkStart w:id="286" w:name="_Toc12605"/>
      <w:bookmarkStart w:id="287" w:name="_Toc17148"/>
      <w:bookmarkStart w:id="288" w:name="_Toc16938558"/>
      <w:bookmarkStart w:id="289" w:name="_Toc513029242"/>
      <w:bookmarkStart w:id="290" w:name="_Toc120614221"/>
      <w:bookmarkStart w:id="291" w:name="_Toc479757207"/>
      <w:bookmarkStart w:id="292" w:name="_Toc20823314"/>
      <w:r>
        <w:rPr>
          <w:rFonts w:cs="仿宋"/>
          <w:szCs w:val="28"/>
          <w:highlight w:val="none"/>
        </w:rPr>
        <w:t>九、代理服务费</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1、成交供应商在领取成交通知书时，须向采购代理机构支付代理服务费。</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2、代理服务费：</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代理服务费参照《国家计委关于印发&lt;招标代理服务收费管理暂行办法&gt;的通知》（计价格【2002】1980号）的规定标准执行，按差额定率累进法收取费用，100万以下按1.5%收取,</w:t>
      </w:r>
      <w:r>
        <w:rPr>
          <w:rFonts w:hint="eastAsia" w:ascii="仿宋" w:hAnsi="仿宋" w:eastAsia="仿宋" w:cs="仿宋"/>
          <w:bCs/>
          <w:sz w:val="28"/>
          <w:szCs w:val="28"/>
          <w:highlight w:val="none"/>
          <w:lang w:bidi="ar"/>
        </w:rPr>
        <w:t>100万-500万按0.8%收取。</w:t>
      </w:r>
    </w:p>
    <w:p>
      <w:pPr>
        <w:snapToGrid w:val="0"/>
        <w:spacing w:line="500" w:lineRule="exact"/>
        <w:ind w:firstLine="56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成交供应商如未按上述规定办理，其投标保证金不予退还。</w:t>
      </w:r>
      <w:bookmarkEnd w:id="288"/>
      <w:bookmarkEnd w:id="289"/>
      <w:bookmarkEnd w:id="290"/>
      <w:bookmarkEnd w:id="291"/>
      <w:bookmarkEnd w:id="292"/>
    </w:p>
    <w:p>
      <w:pPr>
        <w:pStyle w:val="3"/>
        <w:numPr>
          <w:ilvl w:val="0"/>
          <w:numId w:val="0"/>
        </w:numPr>
        <w:bidi w:val="0"/>
        <w:ind w:leftChars="0"/>
        <w:jc w:val="center"/>
        <w:rPr>
          <w:rFonts w:hint="eastAsia" w:ascii="仿宋" w:hAnsi="仿宋" w:eastAsia="仿宋" w:cs="仿宋"/>
          <w:b/>
          <w:bCs/>
          <w:kern w:val="0"/>
          <w:sz w:val="40"/>
          <w:szCs w:val="40"/>
          <w:highlight w:val="none"/>
          <w:lang w:val="en-US" w:eastAsia="zh-CN" w:bidi="ar-SA"/>
        </w:rPr>
      </w:pPr>
      <w:bookmarkStart w:id="293" w:name="_Toc30829"/>
      <w:bookmarkStart w:id="294" w:name="_Toc346"/>
      <w:bookmarkStart w:id="295" w:name="_Toc21090"/>
      <w:bookmarkStart w:id="296" w:name="_Toc16658_WPSOffice_Level1"/>
    </w:p>
    <w:p>
      <w:pPr>
        <w:rPr>
          <w:rFonts w:hint="eastAsia"/>
          <w:lang w:val="en-US" w:eastAsia="zh-CN"/>
        </w:rPr>
      </w:pPr>
    </w:p>
    <w:p>
      <w:pPr>
        <w:pStyle w:val="3"/>
        <w:numPr>
          <w:ilvl w:val="0"/>
          <w:numId w:val="0"/>
        </w:numPr>
        <w:bidi w:val="0"/>
        <w:ind w:leftChars="0"/>
        <w:jc w:val="center"/>
        <w:rPr>
          <w:rFonts w:hint="eastAsia" w:ascii="仿宋" w:hAnsi="仿宋" w:eastAsia="仿宋" w:cs="仿宋"/>
          <w:b/>
          <w:bCs/>
          <w:kern w:val="0"/>
          <w:sz w:val="40"/>
          <w:szCs w:val="40"/>
          <w:highlight w:val="none"/>
          <w:lang w:val="en-US" w:eastAsia="zh-CN" w:bidi="ar-SA"/>
        </w:rPr>
      </w:pPr>
      <w:r>
        <w:rPr>
          <w:rFonts w:hint="eastAsia" w:ascii="仿宋" w:hAnsi="仿宋" w:eastAsia="仿宋" w:cs="仿宋"/>
          <w:b/>
          <w:bCs/>
          <w:kern w:val="0"/>
          <w:sz w:val="40"/>
          <w:szCs w:val="40"/>
          <w:highlight w:val="none"/>
          <w:lang w:val="en-US" w:eastAsia="zh-CN" w:bidi="ar-SA"/>
        </w:rPr>
        <w:t>第四章 采购内容</w:t>
      </w:r>
      <w:bookmarkEnd w:id="293"/>
      <w:bookmarkEnd w:id="294"/>
      <w:bookmarkEnd w:id="295"/>
      <w:bookmarkEnd w:id="296"/>
    </w:p>
    <w:p>
      <w:pPr>
        <w:numPr>
          <w:ilvl w:val="0"/>
          <w:numId w:val="0"/>
        </w:numPr>
        <w:ind w:leftChars="0"/>
        <w:rPr>
          <w:rFonts w:hint="default" w:ascii="仿宋" w:hAnsi="仿宋" w:eastAsia="仿宋" w:cs="仿宋"/>
          <w:b/>
          <w:kern w:val="0"/>
          <w:sz w:val="28"/>
          <w:szCs w:val="28"/>
          <w:highlight w:val="none"/>
          <w:lang w:val="en-US" w:eastAsia="zh-CN" w:bidi="ar-SA"/>
        </w:rPr>
      </w:pPr>
      <w:r>
        <w:rPr>
          <w:rFonts w:hint="eastAsia" w:ascii="仿宋" w:hAnsi="仿宋" w:eastAsia="仿宋" w:cs="仿宋"/>
          <w:b/>
          <w:kern w:val="0"/>
          <w:sz w:val="28"/>
          <w:szCs w:val="28"/>
          <w:highlight w:val="none"/>
          <w:lang w:val="en-US" w:eastAsia="zh-CN" w:bidi="ar-SA"/>
        </w:rPr>
        <w:t>1、采购内容及技术规格要求</w:t>
      </w:r>
    </w:p>
    <w:p>
      <w:pPr>
        <w:bidi w:val="0"/>
        <w:ind w:firstLine="560" w:firstLineChars="200"/>
        <w:rPr>
          <w:rFonts w:hint="default"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采购内容是为不少于240名镇巴县户籍再就业年龄段（男：16-59周岁、女：16-54周岁）有托养服务需求的智力、稳定期的精神残疾人、重度肢体残疾人以及智力或精神同时存在的多重持证残疾人，通过机构服务人员，以上门服务的方式，为分散居住在家庭中，不适宜或不愿意到机构中托养的残疾人提供居家托养服务，居家服务每人次购买标准为2500元，且每人次服务不少于8次。机构承接的托养服务类型应按照《就业年龄段智力、精神及重度肢体残疾人托养服务规范》（GB/T37516-2019）,中国残联《政府购买残疾人服务技术标准及规范》和《残疾人服务机构管理办法》（民发【2018】31号）等相关规定，以政府购买服务的方式开展残疾人托养服务，项目期限4个月内实施结束在镇巴县残疾人联合会交付。</w:t>
      </w:r>
    </w:p>
    <w:p>
      <w:pPr>
        <w:pStyle w:val="14"/>
        <w:numPr>
          <w:ilvl w:val="0"/>
          <w:numId w:val="0"/>
        </w:numPr>
        <w:ind w:right="0" w:rightChars="0"/>
        <w:rPr>
          <w:rFonts w:hint="default" w:ascii="仿宋" w:hAnsi="仿宋" w:eastAsia="仿宋" w:cs="仿宋"/>
          <w:b/>
          <w:kern w:val="0"/>
          <w:sz w:val="28"/>
          <w:szCs w:val="28"/>
          <w:highlight w:val="none"/>
          <w:lang w:val="en-US" w:eastAsia="zh-CN" w:bidi="ar-SA"/>
        </w:rPr>
      </w:pPr>
      <w:r>
        <w:rPr>
          <w:rFonts w:hint="eastAsia" w:ascii="仿宋" w:hAnsi="仿宋" w:eastAsia="仿宋" w:cs="仿宋"/>
          <w:b/>
          <w:kern w:val="0"/>
          <w:sz w:val="28"/>
          <w:szCs w:val="28"/>
          <w:highlight w:val="none"/>
          <w:lang w:val="en-US" w:eastAsia="zh-CN" w:bidi="ar-SA"/>
        </w:rPr>
        <w:t>2、</w:t>
      </w:r>
      <w:r>
        <w:rPr>
          <w:rFonts w:hint="eastAsia" w:ascii="仿宋" w:hAnsi="仿宋" w:cs="仿宋"/>
          <w:b/>
          <w:kern w:val="0"/>
          <w:sz w:val="28"/>
          <w:szCs w:val="28"/>
          <w:highlight w:val="none"/>
          <w:lang w:val="en-US" w:eastAsia="zh-CN" w:bidi="ar-SA"/>
        </w:rPr>
        <w:t>验收方法及标准</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hint="default" w:ascii="仿宋" w:hAnsi="仿宋" w:cs="仿宋"/>
          <w:szCs w:val="28"/>
          <w:highlight w:val="none"/>
          <w:lang w:val="en-US" w:eastAsia="zh-CN"/>
        </w:rPr>
      </w:pPr>
      <w:r>
        <w:rPr>
          <w:rFonts w:hint="eastAsia" w:ascii="仿宋" w:hAnsi="仿宋" w:cs="仿宋"/>
          <w:szCs w:val="28"/>
          <w:highlight w:val="none"/>
          <w:lang w:val="en-US" w:eastAsia="zh-CN"/>
        </w:rPr>
        <w:t>项目实施结束交付后由镇巴县残联对照《就业年龄段智力、精神及重度肢体残疾人托养服务规范》（GB/T37516-2019）中国残联《政府购买残疾人服务技术标准与规范》相关服务标准实地或电话核实服务情况及残疾人满意度情况。</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hint="eastAsia" w:ascii="仿宋" w:hAnsi="仿宋" w:cs="仿宋"/>
          <w:szCs w:val="28"/>
          <w:highlight w:val="none"/>
          <w:lang w:val="en-US" w:eastAsia="zh-CN"/>
        </w:rPr>
      </w:pP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hint="eastAsia" w:ascii="仿宋" w:hAnsi="仿宋" w:cs="仿宋"/>
          <w:szCs w:val="28"/>
          <w:highlight w:val="none"/>
          <w:lang w:val="en-US" w:eastAsia="zh-CN"/>
        </w:rPr>
        <w:sectPr>
          <w:pgSz w:w="11906" w:h="16838"/>
          <w:pgMar w:top="1440" w:right="1800" w:bottom="1440" w:left="1800" w:header="851" w:footer="992" w:gutter="0"/>
          <w:cols w:space="425" w:num="1"/>
          <w:docGrid w:type="lines" w:linePitch="312" w:charSpace="0"/>
        </w:sectPr>
      </w:pPr>
    </w:p>
    <w:p>
      <w:pPr>
        <w:snapToGrid w:val="0"/>
        <w:spacing w:line="500" w:lineRule="exact"/>
        <w:ind w:firstLine="561"/>
        <w:jc w:val="center"/>
        <w:outlineLvl w:val="0"/>
        <w:rPr>
          <w:rFonts w:hint="eastAsia" w:ascii="仿宋" w:hAnsi="仿宋" w:eastAsia="仿宋" w:cs="仿宋"/>
          <w:b/>
          <w:bCs/>
          <w:kern w:val="0"/>
          <w:sz w:val="36"/>
          <w:szCs w:val="36"/>
          <w:highlight w:val="none"/>
        </w:rPr>
      </w:pPr>
      <w:bookmarkStart w:id="297" w:name="_Toc2359"/>
      <w:r>
        <w:rPr>
          <w:rFonts w:hint="eastAsia" w:ascii="仿宋" w:hAnsi="仿宋" w:eastAsia="仿宋" w:cs="仿宋"/>
          <w:b/>
          <w:bCs/>
          <w:kern w:val="0"/>
          <w:sz w:val="40"/>
          <w:szCs w:val="40"/>
          <w:highlight w:val="none"/>
        </w:rPr>
        <w:t>第五章  评审标准</w:t>
      </w:r>
      <w:bookmarkEnd w:id="297"/>
    </w:p>
    <w:p>
      <w:pPr>
        <w:pStyle w:val="20"/>
        <w:keepNext w:val="0"/>
        <w:keepLines w:val="0"/>
        <w:pageBreakBefore w:val="0"/>
        <w:widowControl/>
        <w:kinsoku/>
        <w:wordWrap/>
        <w:overflowPunct/>
        <w:topLinePunct w:val="0"/>
        <w:autoSpaceDE/>
        <w:autoSpaceDN/>
        <w:bidi w:val="0"/>
        <w:spacing w:line="500" w:lineRule="exact"/>
        <w:ind w:firstLine="560"/>
        <w:textAlignment w:val="auto"/>
        <w:rPr>
          <w:rFonts w:hint="eastAsia" w:ascii="仿宋" w:hAnsi="仿宋" w:cs="仿宋"/>
          <w:szCs w:val="28"/>
          <w:highlight w:val="none"/>
          <w:lang w:val="en-US" w:eastAsia="zh-CN"/>
        </w:rPr>
      </w:pP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根据《中华人民共和国政府采购法》及其实施条例和财政部《政府采购竞争性磋商采购方式管理暂行办法》（财库〔2014〕214号）等法律法规的规定，结合采购项目特点，制定本磋商办法。</w:t>
      </w:r>
    </w:p>
    <w:p>
      <w:pPr>
        <w:pStyle w:val="13"/>
        <w:numPr>
          <w:ilvl w:val="0"/>
          <w:numId w:val="0"/>
        </w:numPr>
        <w:ind w:leftChars="0" w:right="0" w:rightChars="0"/>
        <w:rPr>
          <w:rFonts w:hint="eastAsia" w:ascii="仿宋" w:hAnsi="仿宋" w:eastAsia="仿宋" w:cs="仿宋"/>
          <w:b/>
          <w:bCs/>
          <w:kern w:val="2"/>
          <w:sz w:val="28"/>
          <w:szCs w:val="28"/>
          <w:highlight w:val="none"/>
          <w:lang w:val="en-US" w:eastAsia="zh-CN" w:bidi="ar-SA"/>
        </w:rPr>
      </w:pPr>
      <w:bookmarkStart w:id="298" w:name="_Toc29743"/>
      <w:r>
        <w:rPr>
          <w:rFonts w:hint="eastAsia" w:ascii="仿宋" w:hAnsi="仿宋" w:eastAsia="仿宋" w:cs="仿宋"/>
          <w:b/>
          <w:bCs/>
          <w:kern w:val="2"/>
          <w:sz w:val="28"/>
          <w:szCs w:val="28"/>
          <w:highlight w:val="none"/>
          <w:lang w:val="en-US" w:eastAsia="zh-CN" w:bidi="ar-SA"/>
        </w:rPr>
        <w:t>1.磋商程序</w:t>
      </w:r>
      <w:bookmarkEnd w:id="298"/>
    </w:p>
    <w:p>
      <w:pPr>
        <w:pStyle w:val="13"/>
        <w:numPr>
          <w:ilvl w:val="0"/>
          <w:numId w:val="0"/>
        </w:numPr>
        <w:ind w:leftChars="0" w:right="0" w:rightChars="0"/>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1.1 磋商按下列程序进行：</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（1）响应文件初步评审；</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（2）响应文件的澄清；</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（3）磋商（包括</w:t>
      </w:r>
      <w:r>
        <w:rPr>
          <w:rFonts w:hint="eastAsia" w:ascii="仿宋" w:hAnsi="仿宋" w:eastAsia="仿宋" w:cs="仿宋"/>
          <w:sz w:val="28"/>
          <w:szCs w:val="28"/>
          <w:highlight w:val="none"/>
          <w:lang w:val="en-US" w:eastAsia="zh-CN"/>
        </w:rPr>
        <w:t>提交</w:t>
      </w:r>
      <w:r>
        <w:rPr>
          <w:rFonts w:hint="eastAsia" w:ascii="仿宋" w:hAnsi="仿宋" w:eastAsia="仿宋" w:cs="仿宋"/>
          <w:sz w:val="28"/>
          <w:szCs w:val="28"/>
          <w:highlight w:val="none"/>
        </w:rPr>
        <w:t>最后报价）；</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（4）响应文件详细评审；</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（5）复核与核对评审结果；</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（6）确定成交候选人名单；</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（7）编写评审报告。</w:t>
      </w:r>
    </w:p>
    <w:p>
      <w:pPr>
        <w:pStyle w:val="13"/>
        <w:numPr>
          <w:ilvl w:val="0"/>
          <w:numId w:val="0"/>
        </w:numPr>
        <w:ind w:leftChars="0" w:right="0" w:rightChars="0"/>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1.2 响应文件初步评审</w:t>
      </w:r>
    </w:p>
    <w:p>
      <w:pPr>
        <w:pStyle w:val="13"/>
        <w:numPr>
          <w:ilvl w:val="0"/>
          <w:numId w:val="0"/>
        </w:numPr>
        <w:ind w:leftChars="0" w:right="0" w:rightChars="0"/>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1.2.1 资格性审查</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1.2.1.1 磋商小组将依据供应商的响应文件之资格审查部分文件，按照磋商文件第二章</w:t>
      </w:r>
      <w:r>
        <w:rPr>
          <w:rFonts w:hint="eastAsia" w:ascii="仿宋" w:hAnsi="仿宋" w:eastAsia="仿宋" w:cs="仿宋"/>
          <w:sz w:val="28"/>
          <w:szCs w:val="28"/>
          <w:highlight w:val="none"/>
          <w:lang w:val="en-US" w:eastAsia="zh-CN"/>
        </w:rPr>
        <w:t>供应商须知前附表</w:t>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9款</w:t>
      </w:r>
      <w:r>
        <w:rPr>
          <w:rFonts w:hint="eastAsia" w:ascii="仿宋" w:hAnsi="仿宋" w:eastAsia="仿宋" w:cs="仿宋"/>
          <w:sz w:val="28"/>
          <w:szCs w:val="28"/>
          <w:highlight w:val="none"/>
        </w:rPr>
        <w:t>所述资格要求对供应商进行资格审查，以确定其是否具备相应资格。如果供应商不具备资格、不满足磋商文件所规定的资格条件,将被视为未实质性响应磋商文件,按无效响应文件处理。</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1.2.1.2 信用信息查询时间截至时点，见供应商须知前附表，其查询结果在供应商资格条件审查时使用。</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1.2.1.3 采购代理机构可协助磋商小组通过官网查询供应商相关信息。</w:t>
      </w:r>
    </w:p>
    <w:p>
      <w:pPr>
        <w:pStyle w:val="13"/>
        <w:numPr>
          <w:ilvl w:val="0"/>
          <w:numId w:val="0"/>
        </w:numPr>
        <w:ind w:leftChars="0" w:right="0" w:rightChars="0"/>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1.2.1.4基本资格条件的审查</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（一）审查方法如下：</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（1）供应商属企业法人的，其3证合1或多证合1的营业执照，不审查原件，通过国家企业信用信息公示系统（http://www.gsxt.gov.cn/index.html）进行相关信息的核实；</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（2）供应商属事业单位的，审查事业单位法人证书；</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（3）供应商属于其他组织的（包括但不限于民办非企业单位登记证书、社会团体法人登记证书、基金会法人登记证书），审查登记证书；</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（4）属于自然人的，审查身份证。</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（二）审查标准如下：</w:t>
      </w:r>
    </w:p>
    <w:p>
      <w:pPr>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磋商小组将按下表所列举的审查标准对供应商的基本资格条件进行审查，供应商若有一项不合格，即判定其基本资格条件审查结果为不合格，将不具备磋商资格，按无效响应文件处理。</w:t>
      </w:r>
    </w:p>
    <w:p>
      <w:pPr>
        <w:snapToGrid w:val="0"/>
        <w:spacing w:line="500" w:lineRule="exact"/>
        <w:ind w:firstLine="560" w:firstLineChars="200"/>
        <w:rPr>
          <w:rFonts w:hint="eastAsia" w:ascii="仿宋" w:hAnsi="仿宋" w:eastAsia="仿宋" w:cs="仿宋"/>
          <w:sz w:val="28"/>
          <w:szCs w:val="28"/>
          <w:highlight w:val="none"/>
          <w:lang w:val="en-US" w:eastAsia="zh-CN"/>
        </w:rPr>
      </w:pPr>
    </w:p>
    <w:tbl>
      <w:tblPr>
        <w:tblStyle w:val="15"/>
        <w:tblW w:w="49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5254"/>
        <w:gridCol w:w="967"/>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blHeader/>
        </w:trPr>
        <w:tc>
          <w:tcPr>
            <w:tcW w:w="883" w:type="dxa"/>
            <w:noWrap w:val="0"/>
            <w:vAlign w:val="center"/>
          </w:tcPr>
          <w:p>
            <w:pPr>
              <w:tabs>
                <w:tab w:val="left" w:pos="0"/>
              </w:tabs>
              <w:adjustRightInd w:val="0"/>
              <w:snapToGrid w:val="0"/>
              <w:jc w:val="center"/>
              <w:rPr>
                <w:rFonts w:hint="eastAsia" w:ascii="宋体" w:hAnsi="宋体" w:eastAsia="宋体" w:cs="宋体"/>
                <w:kern w:val="0"/>
                <w:sz w:val="21"/>
                <w:szCs w:val="21"/>
                <w:lang w:val="en-US" w:eastAsia="zh-CN" w:bidi="ar-SA"/>
              </w:rPr>
            </w:pPr>
            <w:r>
              <w:rPr>
                <w:rFonts w:hint="eastAsia" w:ascii="仿宋" w:hAnsi="仿宋" w:eastAsia="仿宋" w:cs="仿宋"/>
                <w:b/>
                <w:bCs/>
                <w:sz w:val="28"/>
                <w:szCs w:val="28"/>
                <w:highlight w:val="none"/>
              </w:rPr>
              <w:t>序号</w:t>
            </w:r>
          </w:p>
        </w:tc>
        <w:tc>
          <w:tcPr>
            <w:tcW w:w="5254" w:type="dxa"/>
            <w:noWrap w:val="0"/>
            <w:vAlign w:val="center"/>
          </w:tcPr>
          <w:p>
            <w:pPr>
              <w:tabs>
                <w:tab w:val="left" w:pos="0"/>
              </w:tabs>
              <w:adjustRightInd w:val="0"/>
              <w:snapToGrid w:val="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审查因素</w:t>
            </w:r>
          </w:p>
        </w:tc>
        <w:tc>
          <w:tcPr>
            <w:tcW w:w="967" w:type="dxa"/>
            <w:noWrap w:val="0"/>
            <w:vAlign w:val="center"/>
          </w:tcPr>
          <w:p>
            <w:pPr>
              <w:tabs>
                <w:tab w:val="left" w:pos="0"/>
              </w:tabs>
              <w:adjustRightInd w:val="0"/>
              <w:snapToGrid w:val="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审查标准</w:t>
            </w:r>
          </w:p>
        </w:tc>
        <w:tc>
          <w:tcPr>
            <w:tcW w:w="1352" w:type="dxa"/>
            <w:noWrap w:val="0"/>
            <w:vAlign w:val="center"/>
          </w:tcPr>
          <w:p>
            <w:pPr>
              <w:tabs>
                <w:tab w:val="left" w:pos="0"/>
              </w:tabs>
              <w:adjustRightInd w:val="0"/>
              <w:snapToGrid w:val="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883" w:type="dxa"/>
            <w:noWrap w:val="0"/>
            <w:vAlign w:val="center"/>
          </w:tcPr>
          <w:p>
            <w:pPr>
              <w:snapToGrid w:val="0"/>
              <w:spacing w:line="500" w:lineRule="exact"/>
              <w:ind w:firstLine="280" w:firstLineChars="1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w:t>
            </w:r>
          </w:p>
        </w:tc>
        <w:tc>
          <w:tcPr>
            <w:tcW w:w="5254" w:type="dxa"/>
            <w:noWrap w:val="0"/>
            <w:vAlign w:val="center"/>
          </w:tcPr>
          <w:p>
            <w:pPr>
              <w:snapToGrid w:val="0"/>
              <w:spacing w:line="500" w:lineRule="exact"/>
              <w:jc w:val="both"/>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rPr>
              <w:t>具有独立承担民事责任能力的法人、其他组织或自然人，并出具合法有效的营业执照或事业单位法人证书等国家规定的相关证明，自然人参与的提供其身份证明</w:t>
            </w:r>
          </w:p>
        </w:tc>
        <w:tc>
          <w:tcPr>
            <w:tcW w:w="967" w:type="dxa"/>
            <w:noWrap w:val="0"/>
            <w:vAlign w:val="center"/>
          </w:tcPr>
          <w:p>
            <w:pPr>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合法</w:t>
            </w:r>
          </w:p>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有效</w:t>
            </w:r>
          </w:p>
        </w:tc>
        <w:tc>
          <w:tcPr>
            <w:tcW w:w="1352"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883" w:type="dxa"/>
            <w:noWrap w:val="0"/>
            <w:vAlign w:val="center"/>
          </w:tcPr>
          <w:p>
            <w:pPr>
              <w:snapToGrid w:val="0"/>
              <w:spacing w:line="500" w:lineRule="exact"/>
              <w:ind w:left="279" w:leftChars="133" w:firstLine="280" w:firstLineChars="1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2</w:t>
            </w:r>
          </w:p>
        </w:tc>
        <w:tc>
          <w:tcPr>
            <w:tcW w:w="5254" w:type="dxa"/>
            <w:noWrap w:val="0"/>
            <w:vAlign w:val="center"/>
          </w:tcPr>
          <w:p>
            <w:pPr>
              <w:snapToGrid w:val="0"/>
              <w:spacing w:line="500" w:lineRule="exact"/>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法定代表人直接参加磋商的，须出具法人身份证明及身份证；法定代表人授权代表参加磋商的，须出具法定代表人授权书及授权代表身份证</w:t>
            </w:r>
          </w:p>
        </w:tc>
        <w:tc>
          <w:tcPr>
            <w:tcW w:w="967" w:type="dxa"/>
            <w:noWrap w:val="0"/>
            <w:vAlign w:val="center"/>
          </w:tcPr>
          <w:p>
            <w:pPr>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合法</w:t>
            </w:r>
          </w:p>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有效</w:t>
            </w:r>
          </w:p>
        </w:tc>
        <w:tc>
          <w:tcPr>
            <w:tcW w:w="1352"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883" w:type="dxa"/>
            <w:noWrap w:val="0"/>
            <w:vAlign w:val="center"/>
          </w:tcPr>
          <w:p>
            <w:pPr>
              <w:snapToGrid w:val="0"/>
              <w:spacing w:line="500" w:lineRule="exact"/>
              <w:ind w:left="279" w:leftChars="133" w:firstLine="280" w:firstLineChars="1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3</w:t>
            </w:r>
          </w:p>
        </w:tc>
        <w:tc>
          <w:tcPr>
            <w:tcW w:w="5254" w:type="dxa"/>
            <w:noWrap w:val="0"/>
            <w:vAlign w:val="center"/>
          </w:tcPr>
          <w:p>
            <w:pPr>
              <w:snapToGrid w:val="0"/>
              <w:spacing w:line="500" w:lineRule="exact"/>
              <w:jc w:val="both"/>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rPr>
              <w:t>提供参加本次政府采购活动近三年内在经营活动中没有重大违法记录的书面声明及无不良信用记录查询结果（未被“信用中国”网站（www.creditchina.gov.cn）及“中国政府采购网（http://www.ccgp.gov.cn/）列入失信被执行人、重大税收违法案件当事人名单、政府采购严重失信行为记录名单。（提供“信用中国”“重大税收违法案件信息公布栏”“中国政府采购”完整的查询结果截图加盖投标人公章，最终查验以采购代理机构评审现场查询结果为准)</w:t>
            </w:r>
          </w:p>
        </w:tc>
        <w:tc>
          <w:tcPr>
            <w:tcW w:w="967" w:type="dxa"/>
            <w:noWrap w:val="0"/>
            <w:vAlign w:val="center"/>
          </w:tcPr>
          <w:p>
            <w:pPr>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合法</w:t>
            </w:r>
          </w:p>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有效</w:t>
            </w:r>
          </w:p>
        </w:tc>
        <w:tc>
          <w:tcPr>
            <w:tcW w:w="1352"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883" w:type="dxa"/>
            <w:noWrap w:val="0"/>
            <w:vAlign w:val="center"/>
          </w:tcPr>
          <w:p>
            <w:pPr>
              <w:snapToGrid w:val="0"/>
              <w:spacing w:line="500" w:lineRule="exact"/>
              <w:ind w:firstLine="280" w:firstLineChars="1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4</w:t>
            </w:r>
          </w:p>
        </w:tc>
        <w:tc>
          <w:tcPr>
            <w:tcW w:w="5254"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提供具备履行合同所必需的设备和专业技术能力的说明及承诺；</w:t>
            </w:r>
          </w:p>
        </w:tc>
        <w:tc>
          <w:tcPr>
            <w:tcW w:w="967" w:type="dxa"/>
            <w:noWrap w:val="0"/>
            <w:vAlign w:val="center"/>
          </w:tcPr>
          <w:p>
            <w:pPr>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合法</w:t>
            </w:r>
          </w:p>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有效</w:t>
            </w:r>
          </w:p>
        </w:tc>
        <w:tc>
          <w:tcPr>
            <w:tcW w:w="1352"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883" w:type="dxa"/>
            <w:noWrap w:val="0"/>
            <w:vAlign w:val="center"/>
          </w:tcPr>
          <w:p>
            <w:pPr>
              <w:snapToGrid w:val="0"/>
              <w:spacing w:line="500" w:lineRule="exact"/>
              <w:ind w:firstLine="280" w:firstLineChars="1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5</w:t>
            </w:r>
          </w:p>
        </w:tc>
        <w:tc>
          <w:tcPr>
            <w:tcW w:w="5254"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rPr>
              <w:t>参加政府采购活动近三年内，在经营活动中没有重大违法记录声明</w:t>
            </w:r>
          </w:p>
        </w:tc>
        <w:tc>
          <w:tcPr>
            <w:tcW w:w="967" w:type="dxa"/>
            <w:noWrap w:val="0"/>
            <w:vAlign w:val="center"/>
          </w:tcPr>
          <w:p>
            <w:pPr>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合法</w:t>
            </w:r>
          </w:p>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有效</w:t>
            </w:r>
          </w:p>
        </w:tc>
        <w:tc>
          <w:tcPr>
            <w:tcW w:w="1352"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83" w:type="dxa"/>
            <w:noWrap w:val="0"/>
            <w:vAlign w:val="center"/>
          </w:tcPr>
          <w:p>
            <w:pPr>
              <w:snapToGrid w:val="0"/>
              <w:spacing w:line="500" w:lineRule="exact"/>
              <w:ind w:firstLine="280" w:firstLineChars="1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p>
        </w:tc>
        <w:tc>
          <w:tcPr>
            <w:tcW w:w="5254"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投标保证金交纳凭证（供应商交纳凭证复印件并加盖公章）</w:t>
            </w:r>
          </w:p>
        </w:tc>
        <w:tc>
          <w:tcPr>
            <w:tcW w:w="967" w:type="dxa"/>
            <w:noWrap w:val="0"/>
            <w:vAlign w:val="center"/>
          </w:tcPr>
          <w:p>
            <w:pPr>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合法</w:t>
            </w:r>
          </w:p>
          <w:p>
            <w:pPr>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有效</w:t>
            </w:r>
          </w:p>
        </w:tc>
        <w:tc>
          <w:tcPr>
            <w:tcW w:w="1352" w:type="dxa"/>
            <w:noWrap w:val="0"/>
            <w:vAlign w:val="center"/>
          </w:tcPr>
          <w:p>
            <w:pPr>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代理机构开具的原件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456" w:type="dxa"/>
            <w:gridSpan w:val="4"/>
            <w:noWrap w:val="0"/>
            <w:vAlign w:val="center"/>
          </w:tcPr>
          <w:p>
            <w:pPr>
              <w:snapToGrid w:val="0"/>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注：以上为必备资质，缺一项或某项达不到要求，按无效文件处理。资格审查时以磋商响应文件中所附证明材料为准，原件备查。</w:t>
            </w:r>
          </w:p>
        </w:tc>
      </w:tr>
    </w:tbl>
    <w:p>
      <w:pPr>
        <w:tabs>
          <w:tab w:val="left" w:pos="7036"/>
        </w:tabs>
        <w:bidi w:val="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2.1.5  未通过资格审查的供应商，不得进入后续磋商环节。</w:t>
      </w:r>
    </w:p>
    <w:p>
      <w:pPr>
        <w:tabs>
          <w:tab w:val="left" w:pos="0"/>
        </w:tabs>
        <w:adjustRightInd w:val="0"/>
        <w:snapToGrid w:val="0"/>
        <w:spacing w:before="240" w:beforeLines="100" w:line="360" w:lineRule="auto"/>
        <w:ind w:firstLine="829" w:firstLineChars="295"/>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1.2.2 符合性审查</w:t>
      </w:r>
    </w:p>
    <w:p>
      <w:pPr>
        <w:snapToGrid w:val="0"/>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1.2.2.1 磋商小组依法对符合资格条件的供应商的响应文件进行符合性审查。磋商小组从响应文件的有效性、完整性和对磋商文件的响应程度进行审查，以确定其是否对磋商文件实质性内容作出响应，有无恶意串通行为。</w:t>
      </w:r>
    </w:p>
    <w:p>
      <w:pPr>
        <w:snapToGrid w:val="0"/>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1.2.2.2 磋商小组将按下列评审标准对供应商的响应文件进行符合性审查，供应商若有一项不合格，即判定其符合性审查结果为不合格，将不具备磋商资格，按无效响应文件处理。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92"/>
        <w:gridCol w:w="3293"/>
        <w:gridCol w:w="3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0" w:type="auto"/>
            <w:noWrap w:val="0"/>
            <w:vAlign w:val="center"/>
          </w:tcPr>
          <w:p>
            <w:pPr>
              <w:tabs>
                <w:tab w:val="left" w:pos="0"/>
              </w:tabs>
              <w:adjustRightInd w:val="0"/>
              <w:snapToGrid w:val="0"/>
              <w:jc w:val="center"/>
              <w:rPr>
                <w:rFonts w:hint="eastAsia" w:ascii="宋体" w:hAnsi="宋体"/>
                <w:b/>
                <w:sz w:val="24"/>
              </w:rPr>
            </w:pPr>
            <w:r>
              <w:rPr>
                <w:rFonts w:hint="eastAsia" w:ascii="宋体" w:hAnsi="宋体"/>
                <w:b/>
                <w:sz w:val="24"/>
              </w:rPr>
              <w:t>序号</w:t>
            </w:r>
          </w:p>
        </w:tc>
        <w:tc>
          <w:tcPr>
            <w:tcW w:w="4085" w:type="dxa"/>
            <w:gridSpan w:val="2"/>
            <w:noWrap w:val="0"/>
            <w:vAlign w:val="center"/>
          </w:tcPr>
          <w:p>
            <w:pPr>
              <w:tabs>
                <w:tab w:val="left" w:pos="0"/>
              </w:tabs>
              <w:adjustRightInd w:val="0"/>
              <w:snapToGrid w:val="0"/>
              <w:jc w:val="center"/>
              <w:rPr>
                <w:rFonts w:hint="eastAsia" w:ascii="宋体" w:hAnsi="宋体"/>
                <w:b/>
                <w:sz w:val="24"/>
              </w:rPr>
            </w:pPr>
            <w:r>
              <w:rPr>
                <w:rFonts w:hint="eastAsia" w:ascii="宋体" w:hAnsi="宋体"/>
                <w:b/>
                <w:sz w:val="24"/>
              </w:rPr>
              <w:t>评审因素</w:t>
            </w:r>
          </w:p>
        </w:tc>
        <w:tc>
          <w:tcPr>
            <w:tcW w:w="3980" w:type="dxa"/>
            <w:noWrap w:val="0"/>
            <w:vAlign w:val="center"/>
          </w:tcPr>
          <w:p>
            <w:pPr>
              <w:tabs>
                <w:tab w:val="left" w:pos="0"/>
              </w:tabs>
              <w:adjustRightInd w:val="0"/>
              <w:snapToGrid w:val="0"/>
              <w:jc w:val="center"/>
              <w:rPr>
                <w:rFonts w:hint="eastAsia" w:ascii="宋体" w:hAnsi="宋体"/>
                <w:b/>
                <w:sz w:val="24"/>
              </w:rPr>
            </w:pPr>
            <w:r>
              <w:rPr>
                <w:rFonts w:hint="eastAsia" w:ascii="宋体" w:hAnsi="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vMerge w:val="restart"/>
            <w:noWrap w:val="0"/>
            <w:vAlign w:val="center"/>
          </w:tcPr>
          <w:p>
            <w:pPr>
              <w:snapToGrid w:val="0"/>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p>
        </w:tc>
        <w:tc>
          <w:tcPr>
            <w:tcW w:w="792" w:type="dxa"/>
            <w:vMerge w:val="restart"/>
            <w:noWrap w:val="0"/>
            <w:vAlign w:val="center"/>
          </w:tcPr>
          <w:p>
            <w:pPr>
              <w:snapToGrid w:val="0"/>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有效性审查</w:t>
            </w:r>
          </w:p>
        </w:tc>
        <w:tc>
          <w:tcPr>
            <w:tcW w:w="3293" w:type="dxa"/>
            <w:noWrap w:val="0"/>
            <w:vAlign w:val="center"/>
          </w:tcPr>
          <w:p>
            <w:pPr>
              <w:snapToGrid w:val="0"/>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（1）响应文件的签署盖章</w:t>
            </w:r>
          </w:p>
        </w:tc>
        <w:tc>
          <w:tcPr>
            <w:tcW w:w="3980" w:type="dxa"/>
            <w:noWrap w:val="0"/>
            <w:vAlign w:val="center"/>
          </w:tcPr>
          <w:p>
            <w:pPr>
              <w:snapToGrid w:val="0"/>
              <w:spacing w:line="50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响应文件上法定代表人或其委托代理人的签字齐全并加盖单位章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vMerge w:val="continue"/>
            <w:noWrap w:val="0"/>
            <w:vAlign w:val="top"/>
          </w:tcPr>
          <w:p>
            <w:pPr>
              <w:snapToGrid w:val="0"/>
              <w:spacing w:line="500" w:lineRule="exact"/>
              <w:ind w:firstLine="560" w:firstLineChars="200"/>
              <w:rPr>
                <w:rFonts w:hint="eastAsia" w:ascii="仿宋" w:hAnsi="仿宋" w:eastAsia="仿宋" w:cs="仿宋"/>
                <w:sz w:val="28"/>
                <w:szCs w:val="28"/>
                <w:highlight w:val="none"/>
                <w:lang w:val="en-US" w:eastAsia="zh-CN"/>
              </w:rPr>
            </w:pPr>
          </w:p>
        </w:tc>
        <w:tc>
          <w:tcPr>
            <w:tcW w:w="792" w:type="dxa"/>
            <w:vMerge w:val="continue"/>
            <w:noWrap w:val="0"/>
            <w:vAlign w:val="top"/>
          </w:tcPr>
          <w:p>
            <w:pPr>
              <w:snapToGrid w:val="0"/>
              <w:spacing w:line="500" w:lineRule="exact"/>
              <w:ind w:firstLine="560" w:firstLineChars="200"/>
              <w:rPr>
                <w:rFonts w:hint="eastAsia" w:ascii="仿宋" w:hAnsi="仿宋" w:eastAsia="仿宋" w:cs="仿宋"/>
                <w:sz w:val="28"/>
                <w:szCs w:val="28"/>
                <w:highlight w:val="none"/>
                <w:lang w:val="en-US" w:eastAsia="zh-CN"/>
              </w:rPr>
            </w:pPr>
          </w:p>
        </w:tc>
        <w:tc>
          <w:tcPr>
            <w:tcW w:w="3293"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（2）响应文件格式</w:t>
            </w:r>
          </w:p>
        </w:tc>
        <w:tc>
          <w:tcPr>
            <w:tcW w:w="3980"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应符合“响应文件格式”和响应文件要求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0" w:type="auto"/>
            <w:vMerge w:val="continue"/>
            <w:noWrap w:val="0"/>
            <w:vAlign w:val="top"/>
          </w:tcPr>
          <w:p>
            <w:pPr>
              <w:tabs>
                <w:tab w:val="left" w:pos="0"/>
              </w:tabs>
              <w:adjustRightInd w:val="0"/>
              <w:snapToGrid w:val="0"/>
              <w:spacing w:line="360" w:lineRule="auto"/>
              <w:rPr>
                <w:rFonts w:hint="eastAsia" w:ascii="宋体" w:hAnsi="宋体"/>
                <w:sz w:val="21"/>
                <w:szCs w:val="21"/>
              </w:rPr>
            </w:pPr>
          </w:p>
        </w:tc>
        <w:tc>
          <w:tcPr>
            <w:tcW w:w="792" w:type="dxa"/>
            <w:vMerge w:val="continue"/>
            <w:noWrap w:val="0"/>
            <w:vAlign w:val="top"/>
          </w:tcPr>
          <w:p>
            <w:pPr>
              <w:tabs>
                <w:tab w:val="left" w:pos="0"/>
              </w:tabs>
              <w:adjustRightInd w:val="0"/>
              <w:snapToGrid w:val="0"/>
              <w:spacing w:line="360" w:lineRule="auto"/>
              <w:rPr>
                <w:rFonts w:hint="eastAsia" w:ascii="宋体" w:hAnsi="宋体"/>
                <w:sz w:val="21"/>
                <w:szCs w:val="21"/>
              </w:rPr>
            </w:pPr>
          </w:p>
        </w:tc>
        <w:tc>
          <w:tcPr>
            <w:tcW w:w="3293"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（3）报价唯一</w:t>
            </w:r>
          </w:p>
        </w:tc>
        <w:tc>
          <w:tcPr>
            <w:tcW w:w="3980"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只能有一个有效报价，不得提交选择性报价，且报价不超过采购预算金额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0" w:type="auto"/>
            <w:vMerge w:val="continue"/>
            <w:noWrap w:val="0"/>
            <w:vAlign w:val="center"/>
          </w:tcPr>
          <w:p>
            <w:pPr>
              <w:tabs>
                <w:tab w:val="left" w:pos="0"/>
              </w:tabs>
              <w:adjustRightInd w:val="0"/>
              <w:snapToGrid w:val="0"/>
              <w:spacing w:line="360" w:lineRule="auto"/>
              <w:jc w:val="center"/>
              <w:rPr>
                <w:rFonts w:hint="eastAsia" w:ascii="宋体" w:hAnsi="宋体"/>
                <w:sz w:val="21"/>
                <w:szCs w:val="21"/>
              </w:rPr>
            </w:pPr>
          </w:p>
        </w:tc>
        <w:tc>
          <w:tcPr>
            <w:tcW w:w="792" w:type="dxa"/>
            <w:vMerge w:val="continue"/>
            <w:noWrap w:val="0"/>
            <w:vAlign w:val="center"/>
          </w:tcPr>
          <w:p>
            <w:pPr>
              <w:tabs>
                <w:tab w:val="left" w:pos="0"/>
              </w:tabs>
              <w:adjustRightInd w:val="0"/>
              <w:snapToGrid w:val="0"/>
              <w:jc w:val="center"/>
              <w:rPr>
                <w:rFonts w:hint="eastAsia" w:ascii="宋体" w:hAnsi="宋体"/>
                <w:sz w:val="21"/>
                <w:szCs w:val="21"/>
              </w:rPr>
            </w:pPr>
          </w:p>
        </w:tc>
        <w:tc>
          <w:tcPr>
            <w:tcW w:w="3293"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（4）电子文件</w:t>
            </w:r>
          </w:p>
        </w:tc>
        <w:tc>
          <w:tcPr>
            <w:tcW w:w="3980"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应符合磋商文件中的规定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0" w:type="auto"/>
            <w:vMerge w:val="restart"/>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792" w:type="dxa"/>
            <w:vMerge w:val="restart"/>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完整性审查</w:t>
            </w:r>
          </w:p>
        </w:tc>
        <w:tc>
          <w:tcPr>
            <w:tcW w:w="3293"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（5）响应文件份数</w:t>
            </w:r>
          </w:p>
        </w:tc>
        <w:tc>
          <w:tcPr>
            <w:tcW w:w="3980"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0" w:type="auto"/>
            <w:vMerge w:val="continue"/>
            <w:noWrap w:val="0"/>
            <w:vAlign w:val="top"/>
          </w:tcPr>
          <w:p>
            <w:pPr>
              <w:snapToGrid w:val="0"/>
              <w:spacing w:line="500" w:lineRule="exact"/>
              <w:rPr>
                <w:rFonts w:hint="eastAsia" w:ascii="仿宋" w:hAnsi="仿宋" w:eastAsia="仿宋" w:cs="仿宋"/>
                <w:sz w:val="28"/>
                <w:szCs w:val="28"/>
                <w:highlight w:val="none"/>
                <w:lang w:val="en-US" w:eastAsia="zh-CN"/>
              </w:rPr>
            </w:pPr>
          </w:p>
        </w:tc>
        <w:tc>
          <w:tcPr>
            <w:tcW w:w="792" w:type="dxa"/>
            <w:vMerge w:val="continue"/>
            <w:noWrap w:val="0"/>
            <w:vAlign w:val="top"/>
          </w:tcPr>
          <w:p>
            <w:pPr>
              <w:snapToGrid w:val="0"/>
              <w:spacing w:line="500" w:lineRule="exact"/>
              <w:rPr>
                <w:rFonts w:hint="eastAsia" w:ascii="仿宋" w:hAnsi="仿宋" w:eastAsia="仿宋" w:cs="仿宋"/>
                <w:sz w:val="28"/>
                <w:szCs w:val="28"/>
                <w:highlight w:val="none"/>
                <w:lang w:val="en-US" w:eastAsia="zh-CN"/>
              </w:rPr>
            </w:pPr>
          </w:p>
        </w:tc>
        <w:tc>
          <w:tcPr>
            <w:tcW w:w="3293"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（6）响应内容</w:t>
            </w:r>
          </w:p>
        </w:tc>
        <w:tc>
          <w:tcPr>
            <w:tcW w:w="3980"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0" w:type="auto"/>
            <w:vMerge w:val="restart"/>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tc>
        <w:tc>
          <w:tcPr>
            <w:tcW w:w="792" w:type="dxa"/>
            <w:vMerge w:val="restart"/>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响应性审查</w:t>
            </w:r>
          </w:p>
        </w:tc>
        <w:tc>
          <w:tcPr>
            <w:tcW w:w="3293"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（7）对磋商文件响应程度</w:t>
            </w:r>
          </w:p>
        </w:tc>
        <w:tc>
          <w:tcPr>
            <w:tcW w:w="3980"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0" w:type="auto"/>
            <w:vMerge w:val="continue"/>
            <w:noWrap w:val="0"/>
            <w:vAlign w:val="top"/>
          </w:tcPr>
          <w:p>
            <w:pPr>
              <w:snapToGrid w:val="0"/>
              <w:spacing w:line="500" w:lineRule="exact"/>
              <w:rPr>
                <w:rFonts w:hint="eastAsia" w:ascii="仿宋" w:hAnsi="仿宋" w:eastAsia="仿宋" w:cs="仿宋"/>
                <w:sz w:val="28"/>
                <w:szCs w:val="28"/>
                <w:highlight w:val="none"/>
                <w:lang w:val="en-US" w:eastAsia="zh-CN"/>
              </w:rPr>
            </w:pPr>
          </w:p>
        </w:tc>
        <w:tc>
          <w:tcPr>
            <w:tcW w:w="792" w:type="dxa"/>
            <w:vMerge w:val="continue"/>
            <w:noWrap w:val="0"/>
            <w:vAlign w:val="top"/>
          </w:tcPr>
          <w:p>
            <w:pPr>
              <w:snapToGrid w:val="0"/>
              <w:spacing w:line="500" w:lineRule="exact"/>
              <w:rPr>
                <w:rFonts w:hint="eastAsia" w:ascii="仿宋" w:hAnsi="仿宋" w:eastAsia="仿宋" w:cs="仿宋"/>
                <w:sz w:val="28"/>
                <w:szCs w:val="28"/>
                <w:highlight w:val="none"/>
                <w:lang w:val="en-US" w:eastAsia="zh-CN"/>
              </w:rPr>
            </w:pPr>
          </w:p>
        </w:tc>
        <w:tc>
          <w:tcPr>
            <w:tcW w:w="3293"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（8）磋商有效期</w:t>
            </w:r>
          </w:p>
        </w:tc>
        <w:tc>
          <w:tcPr>
            <w:tcW w:w="3980"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应满足磋商文件中的规定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0" w:type="auto"/>
            <w:vMerge w:val="continue"/>
            <w:noWrap w:val="0"/>
            <w:vAlign w:val="top"/>
          </w:tcPr>
          <w:p>
            <w:pPr>
              <w:snapToGrid w:val="0"/>
              <w:spacing w:line="500" w:lineRule="exact"/>
              <w:rPr>
                <w:rFonts w:hint="eastAsia" w:ascii="仿宋" w:hAnsi="仿宋" w:eastAsia="仿宋" w:cs="仿宋"/>
                <w:sz w:val="28"/>
                <w:szCs w:val="28"/>
                <w:highlight w:val="none"/>
                <w:lang w:val="en-US" w:eastAsia="zh-CN"/>
              </w:rPr>
            </w:pPr>
          </w:p>
        </w:tc>
        <w:tc>
          <w:tcPr>
            <w:tcW w:w="792" w:type="dxa"/>
            <w:vMerge w:val="continue"/>
            <w:noWrap w:val="0"/>
            <w:vAlign w:val="top"/>
          </w:tcPr>
          <w:p>
            <w:pPr>
              <w:snapToGrid w:val="0"/>
              <w:spacing w:line="500" w:lineRule="exact"/>
              <w:rPr>
                <w:rFonts w:hint="eastAsia" w:ascii="仿宋" w:hAnsi="仿宋" w:eastAsia="仿宋" w:cs="仿宋"/>
                <w:sz w:val="28"/>
                <w:szCs w:val="28"/>
                <w:highlight w:val="none"/>
                <w:lang w:val="en-US" w:eastAsia="zh-CN"/>
              </w:rPr>
            </w:pPr>
          </w:p>
        </w:tc>
        <w:tc>
          <w:tcPr>
            <w:tcW w:w="3293"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（9）服务期限</w:t>
            </w:r>
          </w:p>
        </w:tc>
        <w:tc>
          <w:tcPr>
            <w:tcW w:w="3980"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应满足磋商文件中要求的服务期限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0" w:type="auto"/>
            <w:vMerge w:val="continue"/>
            <w:noWrap w:val="0"/>
            <w:vAlign w:val="top"/>
          </w:tcPr>
          <w:p>
            <w:pPr>
              <w:snapToGrid w:val="0"/>
              <w:spacing w:line="500" w:lineRule="exact"/>
              <w:rPr>
                <w:rFonts w:hint="eastAsia" w:ascii="仿宋" w:hAnsi="仿宋" w:eastAsia="仿宋" w:cs="仿宋"/>
                <w:sz w:val="28"/>
                <w:szCs w:val="28"/>
                <w:highlight w:val="none"/>
                <w:lang w:val="en-US" w:eastAsia="zh-CN"/>
              </w:rPr>
            </w:pPr>
          </w:p>
        </w:tc>
        <w:tc>
          <w:tcPr>
            <w:tcW w:w="792" w:type="dxa"/>
            <w:vMerge w:val="continue"/>
            <w:noWrap w:val="0"/>
            <w:vAlign w:val="top"/>
          </w:tcPr>
          <w:p>
            <w:pPr>
              <w:snapToGrid w:val="0"/>
              <w:spacing w:line="500" w:lineRule="exact"/>
              <w:rPr>
                <w:rFonts w:hint="eastAsia" w:ascii="仿宋" w:hAnsi="仿宋" w:eastAsia="仿宋" w:cs="仿宋"/>
                <w:sz w:val="28"/>
                <w:szCs w:val="28"/>
                <w:highlight w:val="none"/>
                <w:lang w:val="en-US" w:eastAsia="zh-CN"/>
              </w:rPr>
            </w:pPr>
          </w:p>
        </w:tc>
        <w:tc>
          <w:tcPr>
            <w:tcW w:w="3293"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（10）拟提供服务要求</w:t>
            </w:r>
          </w:p>
        </w:tc>
        <w:tc>
          <w:tcPr>
            <w:tcW w:w="3980" w:type="dxa"/>
            <w:noWrap w:val="0"/>
            <w:vAlign w:val="center"/>
          </w:tcPr>
          <w:p>
            <w:pPr>
              <w:snapToGrid w:val="0"/>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应满足磋商文件提出的服务和技术实质性要求</w:t>
            </w:r>
          </w:p>
        </w:tc>
      </w:tr>
    </w:tbl>
    <w:p>
      <w:pPr>
        <w:pStyle w:val="9"/>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1.2.2.3 未通过符合性检查的供应商，不得进入后续磋商环节。</w:t>
      </w:r>
    </w:p>
    <w:p>
      <w:pPr>
        <w:pStyle w:val="9"/>
        <w:rPr>
          <w:rFonts w:hint="eastAsia" w:ascii="仿宋" w:hAnsi="仿宋" w:eastAsia="仿宋" w:cs="仿宋"/>
          <w:b/>
          <w:bCs/>
          <w:kern w:val="2"/>
          <w:sz w:val="28"/>
          <w:szCs w:val="28"/>
          <w:highlight w:val="none"/>
          <w:lang w:val="en-US" w:eastAsia="zh-CN" w:bidi="ar-SA"/>
        </w:rPr>
      </w:pPr>
    </w:p>
    <w:p>
      <w:pPr>
        <w:pStyle w:val="9"/>
        <w:spacing w:line="360" w:lineRule="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1.2.3综合评分明细表</w:t>
      </w:r>
    </w:p>
    <w:p>
      <w:pPr>
        <w:pStyle w:val="9"/>
        <w:spacing w:line="360" w:lineRule="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1.2.3.1</w:t>
      </w:r>
      <w:r>
        <w:rPr>
          <w:rFonts w:hint="default" w:ascii="仿宋" w:hAnsi="仿宋" w:eastAsia="仿宋" w:cs="仿宋"/>
          <w:kern w:val="2"/>
          <w:sz w:val="28"/>
          <w:szCs w:val="28"/>
          <w:highlight w:val="none"/>
          <w:lang w:val="en-US" w:eastAsia="zh-CN" w:bidi="ar-SA"/>
        </w:rPr>
        <w:t>综合评分明细表的制定以科学合理、降低磋商小组自由裁量权为原则。</w:t>
      </w:r>
    </w:p>
    <w:p>
      <w:pPr>
        <w:pStyle w:val="9"/>
        <w:spacing w:line="360" w:lineRule="auto"/>
        <w:rPr>
          <w:rFonts w:hint="default" w:ascii="宋体" w:hAnsi="宋体" w:eastAsia="宋体" w:cs="Times New Roman"/>
          <w:b/>
          <w:bCs/>
          <w:kern w:val="0"/>
          <w:sz w:val="24"/>
          <w:szCs w:val="24"/>
          <w:lang w:val="en-US" w:eastAsia="zh-CN" w:bidi="ar-SA"/>
        </w:rPr>
      </w:pPr>
      <w:r>
        <w:rPr>
          <w:rFonts w:hint="eastAsia" w:ascii="仿宋" w:hAnsi="仿宋" w:eastAsia="仿宋" w:cs="仿宋"/>
          <w:kern w:val="2"/>
          <w:sz w:val="28"/>
          <w:szCs w:val="28"/>
          <w:highlight w:val="none"/>
          <w:lang w:val="en-US" w:eastAsia="zh-CN" w:bidi="ar-SA"/>
        </w:rPr>
        <w:t>1.2.3.2</w:t>
      </w:r>
      <w:r>
        <w:rPr>
          <w:rFonts w:hint="default" w:ascii="仿宋" w:hAnsi="仿宋" w:eastAsia="仿宋" w:cs="仿宋"/>
          <w:kern w:val="2"/>
          <w:sz w:val="28"/>
          <w:szCs w:val="28"/>
          <w:highlight w:val="none"/>
          <w:lang w:val="en-US" w:eastAsia="zh-CN" w:bidi="ar-SA"/>
        </w:rPr>
        <w:t>综合评分明细表</w:t>
      </w:r>
    </w:p>
    <w:p>
      <w:pPr>
        <w:pStyle w:val="9"/>
        <w:jc w:val="center"/>
        <w:rPr>
          <w:rFonts w:hint="default" w:ascii="仿宋" w:hAnsi="仿宋" w:eastAsia="仿宋" w:cs="仿宋"/>
          <w:b/>
          <w:bCs/>
          <w:kern w:val="2"/>
          <w:sz w:val="28"/>
          <w:szCs w:val="28"/>
          <w:highlight w:val="none"/>
          <w:lang w:val="en-US" w:eastAsia="zh-CN" w:bidi="ar-SA"/>
        </w:rPr>
      </w:pPr>
      <w:r>
        <w:rPr>
          <w:rFonts w:hint="default" w:ascii="仿宋" w:hAnsi="仿宋" w:eastAsia="仿宋" w:cs="仿宋"/>
          <w:b/>
          <w:bCs/>
          <w:kern w:val="2"/>
          <w:sz w:val="28"/>
          <w:szCs w:val="28"/>
          <w:highlight w:val="none"/>
          <w:lang w:val="en-US" w:eastAsia="zh-CN" w:bidi="ar-SA"/>
        </w:rPr>
        <w:t>综合评分明细表（满分100分）</w:t>
      </w:r>
    </w:p>
    <w:tbl>
      <w:tblPr>
        <w:tblStyle w:val="15"/>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676"/>
        <w:gridCol w:w="6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3" w:type="pct"/>
            <w:noWrap w:val="0"/>
            <w:vAlign w:val="center"/>
          </w:tcPr>
          <w:p>
            <w:pPr>
              <w:keepNext w:val="0"/>
              <w:keepLines w:val="0"/>
              <w:pageBreakBefore w:val="0"/>
              <w:widowControl w:val="0"/>
              <w:kinsoku/>
              <w:wordWrap/>
              <w:overflowPunct/>
              <w:topLinePunct w:val="0"/>
              <w:autoSpaceDE/>
              <w:autoSpaceDN/>
              <w:bidi w:val="0"/>
              <w:spacing w:line="276" w:lineRule="auto"/>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项目</w:t>
            </w:r>
          </w:p>
        </w:tc>
        <w:tc>
          <w:tcPr>
            <w:tcW w:w="398" w:type="pct"/>
            <w:noWrap w:val="0"/>
            <w:vAlign w:val="center"/>
          </w:tcPr>
          <w:p>
            <w:pPr>
              <w:keepNext w:val="0"/>
              <w:keepLines w:val="0"/>
              <w:pageBreakBefore w:val="0"/>
              <w:widowControl w:val="0"/>
              <w:kinsoku/>
              <w:wordWrap/>
              <w:overflowPunct/>
              <w:topLinePunct w:val="0"/>
              <w:autoSpaceDE/>
              <w:autoSpaceDN/>
              <w:bidi w:val="0"/>
              <w:spacing w:line="276" w:lineRule="auto"/>
              <w:jc w:val="center"/>
              <w:rPr>
                <w:rFonts w:hint="eastAsia" w:ascii="宋体" w:hAnsi="宋体" w:eastAsia="宋体" w:cs="宋体"/>
                <w:b/>
                <w:bCs w:val="0"/>
                <w:color w:val="auto"/>
                <w:sz w:val="24"/>
                <w:szCs w:val="24"/>
                <w:lang w:eastAsia="zh-CN"/>
              </w:rPr>
            </w:pPr>
            <w:r>
              <w:rPr>
                <w:rFonts w:hint="eastAsia" w:ascii="宋体" w:hAnsi="宋体" w:cs="宋体"/>
                <w:b/>
                <w:bCs w:val="0"/>
                <w:color w:val="auto"/>
                <w:sz w:val="24"/>
                <w:szCs w:val="24"/>
                <w:lang w:eastAsia="zh-CN"/>
              </w:rPr>
              <w:t>总分</w:t>
            </w:r>
          </w:p>
        </w:tc>
        <w:tc>
          <w:tcPr>
            <w:tcW w:w="3888" w:type="pct"/>
            <w:noWrap w:val="0"/>
            <w:vAlign w:val="center"/>
          </w:tcPr>
          <w:p>
            <w:pPr>
              <w:keepNext w:val="0"/>
              <w:keepLines w:val="0"/>
              <w:pageBreakBefore w:val="0"/>
              <w:widowControl w:val="0"/>
              <w:kinsoku/>
              <w:wordWrap/>
              <w:overflowPunct/>
              <w:topLinePunct w:val="0"/>
              <w:autoSpaceDE/>
              <w:autoSpaceDN/>
              <w:bidi w:val="0"/>
              <w:spacing w:line="276" w:lineRule="auto"/>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713" w:type="pct"/>
            <w:noWrap w:val="0"/>
            <w:vAlign w:val="center"/>
          </w:tcPr>
          <w:p>
            <w:pPr>
              <w:keepNext w:val="0"/>
              <w:keepLines w:val="0"/>
              <w:pageBreakBefore w:val="0"/>
              <w:widowControl w:val="0"/>
              <w:kinsoku/>
              <w:wordWrap/>
              <w:overflowPunct/>
              <w:topLinePunct w:val="0"/>
              <w:autoSpaceDE/>
              <w:autoSpaceDN/>
              <w:bidi w:val="0"/>
              <w:spacing w:line="276" w:lineRule="auto"/>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投标报价</w:t>
            </w:r>
          </w:p>
        </w:tc>
        <w:tc>
          <w:tcPr>
            <w:tcW w:w="398" w:type="pct"/>
            <w:noWrap w:val="0"/>
            <w:vAlign w:val="center"/>
          </w:tcPr>
          <w:p>
            <w:pPr>
              <w:keepNext w:val="0"/>
              <w:keepLines w:val="0"/>
              <w:pageBreakBefore w:val="0"/>
              <w:widowControl w:val="0"/>
              <w:kinsoku/>
              <w:wordWrap/>
              <w:overflowPunct/>
              <w:topLinePunct w:val="0"/>
              <w:autoSpaceDE/>
              <w:autoSpaceDN/>
              <w:bidi w:val="0"/>
              <w:spacing w:line="252" w:lineRule="auto"/>
              <w:ind w:left="0" w:leftChars="0" w:right="0" w:rightChars="0" w:firstLine="0" w:firstLineChars="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20分</w:t>
            </w:r>
          </w:p>
        </w:tc>
        <w:tc>
          <w:tcPr>
            <w:tcW w:w="3888" w:type="pct"/>
            <w:noWrap w:val="0"/>
            <w:vAlign w:val="center"/>
          </w:tcPr>
          <w:p>
            <w:pPr>
              <w:keepNext w:val="0"/>
              <w:keepLines w:val="0"/>
              <w:pageBreakBefore w:val="0"/>
              <w:widowControl w:val="0"/>
              <w:kinsoku/>
              <w:wordWrap/>
              <w:overflowPunct/>
              <w:topLinePunct w:val="0"/>
              <w:autoSpaceDE/>
              <w:autoSpaceDN/>
              <w:bidi w:val="0"/>
              <w:spacing w:line="252"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价格分应当采用低价优先法计算，即满足磋商文件要求的最低投标报价为评标基准价，其价格分为满分。其他投标供应商的价格分统一按照下列公式计算：投标报价得分=（评标基准价/投标报价）×20%</w:t>
            </w:r>
          </w:p>
          <w:p>
            <w:pPr>
              <w:keepNext w:val="0"/>
              <w:keepLines w:val="0"/>
              <w:pageBreakBefore w:val="0"/>
              <w:widowControl w:val="0"/>
              <w:kinsoku/>
              <w:wordWrap/>
              <w:overflowPunct/>
              <w:topLinePunct w:val="0"/>
              <w:autoSpaceDE/>
              <w:autoSpaceDN/>
              <w:bidi w:val="0"/>
              <w:spacing w:line="252"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注：对小型、微型企业产品及残疾人福利性单位价格给予6%的扣除，用扣除后的价格计算投标报价得分，残疾人福利性单位属于小型、微型企业的，不重复享受政策。须提供《制造（生产）企业小型、微型企业声明函》、《从业人员声明函》和《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13" w:type="pct"/>
            <w:noWrap w:val="0"/>
            <w:vAlign w:val="center"/>
          </w:tcPr>
          <w:p>
            <w:pPr>
              <w:keepNext w:val="0"/>
              <w:keepLines w:val="0"/>
              <w:pageBreakBefore w:val="0"/>
              <w:widowControl w:val="0"/>
              <w:kinsoku/>
              <w:wordWrap/>
              <w:overflowPunct/>
              <w:topLinePunct w:val="0"/>
              <w:autoSpaceDE/>
              <w:autoSpaceDN/>
              <w:bidi w:val="0"/>
              <w:spacing w:line="276" w:lineRule="auto"/>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规范性</w:t>
            </w:r>
          </w:p>
        </w:tc>
        <w:tc>
          <w:tcPr>
            <w:tcW w:w="398" w:type="pct"/>
            <w:noWrap w:val="0"/>
            <w:vAlign w:val="center"/>
          </w:tcPr>
          <w:p>
            <w:pPr>
              <w:keepNext w:val="0"/>
              <w:keepLines w:val="0"/>
              <w:pageBreakBefore w:val="0"/>
              <w:widowControl w:val="0"/>
              <w:kinsoku/>
              <w:wordWrap/>
              <w:overflowPunct/>
              <w:topLinePunct w:val="0"/>
              <w:autoSpaceDE/>
              <w:autoSpaceDN/>
              <w:bidi w:val="0"/>
              <w:spacing w:line="252" w:lineRule="auto"/>
              <w:ind w:left="0" w:leftChars="0" w:right="0" w:rightChars="0" w:firstLine="0" w:firstLineChars="0"/>
              <w:jc w:val="center"/>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2分</w:t>
            </w:r>
          </w:p>
        </w:tc>
        <w:tc>
          <w:tcPr>
            <w:tcW w:w="3888" w:type="pct"/>
            <w:noWrap w:val="0"/>
            <w:vAlign w:val="center"/>
          </w:tcPr>
          <w:p>
            <w:pPr>
              <w:keepNext w:val="0"/>
              <w:keepLines w:val="0"/>
              <w:pageBreakBefore w:val="0"/>
              <w:widowControl w:val="0"/>
              <w:kinsoku/>
              <w:wordWrap/>
              <w:overflowPunct/>
              <w:topLinePunct w:val="0"/>
              <w:autoSpaceDE/>
              <w:autoSpaceDN/>
              <w:bidi w:val="0"/>
              <w:spacing w:line="252" w:lineRule="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响应文件制作完全符合竞争性磋商文件要求的规范，没有细微偏差，得2分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13" w:type="pct"/>
            <w:noWrap w:val="0"/>
            <w:vAlign w:val="center"/>
          </w:tcPr>
          <w:p>
            <w:pPr>
              <w:keepNext w:val="0"/>
              <w:keepLines w:val="0"/>
              <w:pageBreakBefore w:val="0"/>
              <w:widowControl w:val="0"/>
              <w:kinsoku/>
              <w:wordWrap/>
              <w:overflowPunct/>
              <w:topLinePunct w:val="0"/>
              <w:autoSpaceDE/>
              <w:autoSpaceDN/>
              <w:bidi w:val="0"/>
              <w:spacing w:line="252" w:lineRule="auto"/>
              <w:ind w:left="0" w:leftChars="0" w:right="0" w:rightChars="0" w:firstLine="0" w:firstLineChars="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类似业绩</w:t>
            </w:r>
          </w:p>
        </w:tc>
        <w:tc>
          <w:tcPr>
            <w:tcW w:w="398" w:type="pct"/>
            <w:noWrap w:val="0"/>
            <w:vAlign w:val="center"/>
          </w:tcPr>
          <w:p>
            <w:pPr>
              <w:keepNext w:val="0"/>
              <w:keepLines w:val="0"/>
              <w:pageBreakBefore w:val="0"/>
              <w:widowControl w:val="0"/>
              <w:kinsoku/>
              <w:wordWrap/>
              <w:overflowPunct/>
              <w:topLinePunct w:val="0"/>
              <w:autoSpaceDE/>
              <w:autoSpaceDN/>
              <w:bidi w:val="0"/>
              <w:spacing w:line="252" w:lineRule="auto"/>
              <w:ind w:left="0" w:leftChars="0" w:right="0" w:rightChars="0" w:firstLine="0" w:firstLineChars="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6分</w:t>
            </w:r>
          </w:p>
        </w:tc>
        <w:tc>
          <w:tcPr>
            <w:tcW w:w="3888" w:type="pct"/>
            <w:noWrap w:val="0"/>
            <w:vAlign w:val="center"/>
          </w:tcPr>
          <w:p>
            <w:pPr>
              <w:keepNext w:val="0"/>
              <w:keepLines w:val="0"/>
              <w:pageBreakBefore w:val="0"/>
              <w:widowControl w:val="0"/>
              <w:kinsoku/>
              <w:wordWrap/>
              <w:overflowPunct/>
              <w:topLinePunct w:val="0"/>
              <w:autoSpaceDE/>
              <w:autoSpaceDN/>
              <w:bidi w:val="0"/>
              <w:spacing w:line="252"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供应商2019年6月至今完成的项目业绩（以签订合同日期为准），每提供一个加2分，最高得6分。需提供合同的复印件或扫描件（包含合同首页、合同金额、合作内容、签字页等关键信息）。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13" w:type="pct"/>
            <w:noWrap w:val="0"/>
            <w:vAlign w:val="center"/>
          </w:tcPr>
          <w:p>
            <w:pPr>
              <w:keepNext w:val="0"/>
              <w:keepLines w:val="0"/>
              <w:pageBreakBefore w:val="0"/>
              <w:widowControl w:val="0"/>
              <w:kinsoku/>
              <w:wordWrap/>
              <w:overflowPunct/>
              <w:topLinePunct w:val="0"/>
              <w:autoSpaceDE/>
              <w:autoSpaceDN/>
              <w:bidi w:val="0"/>
              <w:spacing w:line="276" w:lineRule="auto"/>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内部管理</w:t>
            </w:r>
          </w:p>
        </w:tc>
        <w:tc>
          <w:tcPr>
            <w:tcW w:w="398" w:type="pct"/>
            <w:noWrap w:val="0"/>
            <w:vAlign w:val="center"/>
          </w:tcPr>
          <w:p>
            <w:pPr>
              <w:keepNext w:val="0"/>
              <w:keepLines w:val="0"/>
              <w:pageBreakBefore w:val="0"/>
              <w:widowControl w:val="0"/>
              <w:kinsoku/>
              <w:wordWrap/>
              <w:overflowPunct/>
              <w:topLinePunct w:val="0"/>
              <w:autoSpaceDE/>
              <w:autoSpaceDN/>
              <w:bidi w:val="0"/>
              <w:spacing w:line="252" w:lineRule="auto"/>
              <w:ind w:left="0" w:leftChars="0" w:right="0" w:rightChars="0" w:firstLine="0" w:firstLineChars="0"/>
              <w:jc w:val="center"/>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10分</w:t>
            </w:r>
          </w:p>
        </w:tc>
        <w:tc>
          <w:tcPr>
            <w:tcW w:w="3888" w:type="pct"/>
            <w:noWrap w:val="0"/>
            <w:vAlign w:val="center"/>
          </w:tcPr>
          <w:p>
            <w:pPr>
              <w:keepNext w:val="0"/>
              <w:keepLines w:val="0"/>
              <w:pageBreakBefore w:val="0"/>
              <w:widowControl w:val="0"/>
              <w:kinsoku/>
              <w:wordWrap/>
              <w:overflowPunct/>
              <w:topLinePunct w:val="0"/>
              <w:autoSpaceDE/>
              <w:autoSpaceDN/>
              <w:bidi w:val="0"/>
              <w:spacing w:line="252"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供应商内部管理正规，规章制度完整，信誉良好，具有健全的财务管理制度及完善的服务机制。根据响应文件的响应程度进行综合赋分，优秀得10-7分，良好得6-4分，一般得3-1分，没有不得分。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jc w:val="center"/>
        </w:trPr>
        <w:tc>
          <w:tcPr>
            <w:tcW w:w="713" w:type="pct"/>
            <w:noWrap w:val="0"/>
            <w:vAlign w:val="center"/>
          </w:tcPr>
          <w:p>
            <w:pPr>
              <w:keepNext w:val="0"/>
              <w:keepLines w:val="0"/>
              <w:pageBreakBefore w:val="0"/>
              <w:widowControl w:val="0"/>
              <w:kinsoku/>
              <w:wordWrap/>
              <w:overflowPunct/>
              <w:topLinePunct w:val="0"/>
              <w:autoSpaceDE/>
              <w:autoSpaceDN/>
              <w:bidi w:val="0"/>
              <w:spacing w:line="276" w:lineRule="auto"/>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组织机构</w:t>
            </w:r>
          </w:p>
        </w:tc>
        <w:tc>
          <w:tcPr>
            <w:tcW w:w="398" w:type="pct"/>
            <w:noWrap w:val="0"/>
            <w:vAlign w:val="center"/>
          </w:tcPr>
          <w:p>
            <w:pPr>
              <w:keepNext w:val="0"/>
              <w:keepLines w:val="0"/>
              <w:pageBreakBefore w:val="0"/>
              <w:widowControl w:val="0"/>
              <w:kinsoku/>
              <w:wordWrap/>
              <w:overflowPunct/>
              <w:topLinePunct w:val="0"/>
              <w:autoSpaceDE/>
              <w:autoSpaceDN/>
              <w:bidi w:val="0"/>
              <w:spacing w:line="252" w:lineRule="auto"/>
              <w:ind w:left="0" w:leftChars="0" w:right="0" w:rightChars="0" w:firstLine="0" w:firstLineChars="0"/>
              <w:jc w:val="center"/>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10分</w:t>
            </w:r>
          </w:p>
        </w:tc>
        <w:tc>
          <w:tcPr>
            <w:tcW w:w="3888" w:type="pct"/>
            <w:noWrap w:val="0"/>
            <w:vAlign w:val="center"/>
          </w:tcPr>
          <w:p>
            <w:pPr>
              <w:keepNext w:val="0"/>
              <w:keepLines w:val="0"/>
              <w:pageBreakBefore w:val="0"/>
              <w:widowControl w:val="0"/>
              <w:kinsoku/>
              <w:wordWrap/>
              <w:overflowPunct/>
              <w:topLinePunct w:val="0"/>
              <w:autoSpaceDE/>
              <w:autoSpaceDN/>
              <w:bidi w:val="0"/>
              <w:spacing w:line="252"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管理机构健全、职责明确，安排服务专业技术人员数量与机构服务量相匹配，</w:t>
            </w:r>
            <w:r>
              <w:rPr>
                <w:rFonts w:hint="default" w:ascii="仿宋" w:hAnsi="仿宋" w:eastAsia="仿宋" w:cs="仿宋"/>
                <w:kern w:val="2"/>
                <w:sz w:val="28"/>
                <w:szCs w:val="28"/>
                <w:highlight w:val="none"/>
                <w:lang w:val="en-US" w:eastAsia="zh-CN" w:bidi="ar-SA"/>
              </w:rPr>
              <w:t>根据供应商响应文件中</w:t>
            </w:r>
            <w:r>
              <w:rPr>
                <w:rFonts w:hint="eastAsia" w:ascii="仿宋" w:hAnsi="仿宋" w:eastAsia="仿宋" w:cs="仿宋"/>
                <w:kern w:val="2"/>
                <w:sz w:val="28"/>
                <w:szCs w:val="28"/>
                <w:highlight w:val="none"/>
                <w:lang w:val="en-US" w:eastAsia="zh-CN" w:bidi="ar-SA"/>
              </w:rPr>
              <w:t>提供的</w:t>
            </w:r>
            <w:r>
              <w:rPr>
                <w:rFonts w:hint="default" w:ascii="仿宋" w:hAnsi="仿宋" w:eastAsia="仿宋" w:cs="仿宋"/>
                <w:kern w:val="2"/>
                <w:sz w:val="28"/>
                <w:szCs w:val="28"/>
                <w:highlight w:val="none"/>
                <w:lang w:val="en-US" w:eastAsia="zh-CN" w:bidi="ar-SA"/>
              </w:rPr>
              <w:t>的服务人员</w:t>
            </w:r>
            <w:r>
              <w:rPr>
                <w:rFonts w:hint="eastAsia" w:ascii="仿宋" w:hAnsi="仿宋" w:eastAsia="仿宋" w:cs="仿宋"/>
                <w:kern w:val="2"/>
                <w:sz w:val="28"/>
                <w:szCs w:val="28"/>
                <w:highlight w:val="none"/>
                <w:lang w:val="en-US" w:eastAsia="zh-CN" w:bidi="ar-SA"/>
              </w:rPr>
              <w:t>资格证明文件</w:t>
            </w:r>
            <w:r>
              <w:rPr>
                <w:rFonts w:hint="default" w:ascii="仿宋" w:hAnsi="仿宋" w:eastAsia="仿宋" w:cs="仿宋"/>
                <w:kern w:val="2"/>
                <w:sz w:val="28"/>
                <w:szCs w:val="28"/>
                <w:highlight w:val="none"/>
                <w:lang w:val="en-US" w:eastAsia="zh-CN" w:bidi="ar-SA"/>
              </w:rPr>
              <w:t>进行横向比较赋分，</w:t>
            </w:r>
            <w:r>
              <w:rPr>
                <w:rFonts w:hint="eastAsia" w:ascii="仿宋" w:hAnsi="仿宋" w:eastAsia="仿宋" w:cs="仿宋"/>
                <w:kern w:val="2"/>
                <w:sz w:val="28"/>
                <w:szCs w:val="28"/>
                <w:highlight w:val="none"/>
                <w:lang w:val="en-US" w:eastAsia="zh-CN" w:bidi="ar-SA"/>
              </w:rPr>
              <w:t>优秀得10-7分，良好得6-4分，一般得3-1分，没有不得分。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13" w:type="pct"/>
            <w:noWrap w:val="0"/>
            <w:vAlign w:val="center"/>
          </w:tcPr>
          <w:p>
            <w:pPr>
              <w:keepNext w:val="0"/>
              <w:keepLines w:val="0"/>
              <w:pageBreakBefore w:val="0"/>
              <w:widowControl w:val="0"/>
              <w:kinsoku/>
              <w:wordWrap/>
              <w:overflowPunct/>
              <w:topLinePunct w:val="0"/>
              <w:autoSpaceDE/>
              <w:autoSpaceDN/>
              <w:bidi w:val="0"/>
              <w:spacing w:line="252" w:lineRule="auto"/>
              <w:ind w:left="0" w:leftChars="0" w:right="0" w:rightChars="0" w:firstLine="0" w:firstLineChars="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服务方案</w:t>
            </w:r>
          </w:p>
        </w:tc>
        <w:tc>
          <w:tcPr>
            <w:tcW w:w="398" w:type="pct"/>
            <w:noWrap w:val="0"/>
            <w:vAlign w:val="center"/>
          </w:tcPr>
          <w:p>
            <w:pPr>
              <w:keepNext w:val="0"/>
              <w:keepLines w:val="0"/>
              <w:pageBreakBefore w:val="0"/>
              <w:widowControl w:val="0"/>
              <w:kinsoku/>
              <w:wordWrap/>
              <w:overflowPunct/>
              <w:topLinePunct w:val="0"/>
              <w:autoSpaceDE/>
              <w:autoSpaceDN/>
              <w:bidi w:val="0"/>
              <w:spacing w:line="252" w:lineRule="auto"/>
              <w:ind w:left="0" w:leftChars="0" w:right="0" w:rightChars="0" w:firstLine="0" w:firstLineChars="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35分</w:t>
            </w:r>
          </w:p>
        </w:tc>
        <w:tc>
          <w:tcPr>
            <w:tcW w:w="3888" w:type="pct"/>
            <w:noWrap w:val="0"/>
            <w:vAlign w:val="center"/>
          </w:tcPr>
          <w:p>
            <w:pPr>
              <w:keepNext w:val="0"/>
              <w:keepLines w:val="0"/>
              <w:pageBreakBefore w:val="0"/>
              <w:widowControl w:val="0"/>
              <w:kinsoku/>
              <w:wordWrap/>
              <w:overflowPunct/>
              <w:topLinePunct w:val="0"/>
              <w:autoSpaceDE/>
              <w:autoSpaceDN/>
              <w:bidi w:val="0"/>
              <w:spacing w:line="252" w:lineRule="auto"/>
              <w:rPr>
                <w:rFonts w:hint="eastAsia" w:ascii="仿宋" w:hAnsi="仿宋" w:eastAsia="仿宋" w:cs="仿宋"/>
                <w:kern w:val="2"/>
                <w:sz w:val="28"/>
                <w:szCs w:val="28"/>
                <w:highlight w:val="none"/>
                <w:lang w:val="en-US" w:eastAsia="zh-CN" w:bidi="ar-SA"/>
              </w:rPr>
            </w:pPr>
            <w:r>
              <w:rPr>
                <w:rFonts w:hint="default" w:ascii="仿宋" w:hAnsi="仿宋" w:eastAsia="仿宋" w:cs="仿宋"/>
                <w:kern w:val="2"/>
                <w:sz w:val="28"/>
                <w:szCs w:val="28"/>
                <w:highlight w:val="none"/>
                <w:lang w:val="en-US" w:eastAsia="zh-CN" w:bidi="ar-SA"/>
              </w:rPr>
              <w:t>针对残疾人提供日间照看、生活照料、心理疏导、康复训练等服务</w:t>
            </w:r>
            <w:r>
              <w:rPr>
                <w:rFonts w:hint="eastAsia" w:ascii="仿宋" w:hAnsi="仿宋" w:eastAsia="仿宋" w:cs="仿宋"/>
                <w:kern w:val="2"/>
                <w:sz w:val="28"/>
                <w:szCs w:val="28"/>
                <w:highlight w:val="none"/>
                <w:lang w:val="en-US" w:eastAsia="zh-CN" w:bidi="ar-SA"/>
              </w:rPr>
              <w:t>，具有科学、合理、具体、可行的服务方案，根据优良程度进行</w:t>
            </w:r>
            <w:r>
              <w:rPr>
                <w:rFonts w:hint="default" w:ascii="仿宋" w:hAnsi="仿宋" w:eastAsia="仿宋" w:cs="仿宋"/>
                <w:kern w:val="2"/>
                <w:sz w:val="28"/>
                <w:szCs w:val="28"/>
                <w:highlight w:val="none"/>
                <w:lang w:val="en-US" w:eastAsia="zh-CN" w:bidi="ar-SA"/>
              </w:rPr>
              <w:t>横向比较赋分</w:t>
            </w:r>
            <w:r>
              <w:rPr>
                <w:rFonts w:hint="eastAsia" w:ascii="仿宋" w:hAnsi="仿宋" w:eastAsia="仿宋" w:cs="仿宋"/>
                <w:kern w:val="2"/>
                <w:sz w:val="28"/>
                <w:szCs w:val="28"/>
                <w:highlight w:val="none"/>
                <w:lang w:val="en-US" w:eastAsia="zh-CN" w:bidi="ar-SA"/>
              </w:rPr>
              <w:t>，优秀得35-26分，良好得25-16分，一般得15-5分，没有不得分。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13" w:type="pct"/>
            <w:noWrap w:val="0"/>
            <w:vAlign w:val="center"/>
          </w:tcPr>
          <w:p>
            <w:pPr>
              <w:keepNext w:val="0"/>
              <w:keepLines w:val="0"/>
              <w:pageBreakBefore w:val="0"/>
              <w:widowControl w:val="0"/>
              <w:kinsoku/>
              <w:wordWrap/>
              <w:overflowPunct/>
              <w:topLinePunct w:val="0"/>
              <w:autoSpaceDE/>
              <w:autoSpaceDN/>
              <w:bidi w:val="0"/>
              <w:spacing w:line="252" w:lineRule="auto"/>
              <w:ind w:left="0" w:leftChars="0" w:right="0" w:rightChars="0" w:firstLine="0" w:firstLineChars="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安全与应急</w:t>
            </w:r>
          </w:p>
        </w:tc>
        <w:tc>
          <w:tcPr>
            <w:tcW w:w="398" w:type="pct"/>
            <w:noWrap w:val="0"/>
            <w:vAlign w:val="center"/>
          </w:tcPr>
          <w:p>
            <w:pPr>
              <w:keepNext w:val="0"/>
              <w:keepLines w:val="0"/>
              <w:pageBreakBefore w:val="0"/>
              <w:widowControl w:val="0"/>
              <w:kinsoku/>
              <w:wordWrap/>
              <w:overflowPunct/>
              <w:topLinePunct w:val="0"/>
              <w:autoSpaceDE/>
              <w:autoSpaceDN/>
              <w:bidi w:val="0"/>
              <w:spacing w:line="252" w:lineRule="auto"/>
              <w:ind w:left="0" w:leftChars="0" w:right="0" w:rightChars="0" w:firstLine="0" w:firstLineChars="0"/>
              <w:jc w:val="center"/>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12分</w:t>
            </w:r>
          </w:p>
        </w:tc>
        <w:tc>
          <w:tcPr>
            <w:tcW w:w="3888" w:type="pct"/>
            <w:noWrap w:val="0"/>
            <w:vAlign w:val="center"/>
          </w:tcPr>
          <w:p>
            <w:pPr>
              <w:keepNext w:val="0"/>
              <w:keepLines w:val="0"/>
              <w:pageBreakBefore w:val="0"/>
              <w:widowControl w:val="0"/>
              <w:kinsoku/>
              <w:wordWrap/>
              <w:overflowPunct/>
              <w:topLinePunct w:val="0"/>
              <w:autoSpaceDE/>
              <w:autoSpaceDN/>
              <w:bidi w:val="0"/>
              <w:spacing w:line="252" w:lineRule="auto"/>
              <w:rPr>
                <w:rFonts w:hint="default" w:ascii="仿宋" w:hAnsi="仿宋" w:eastAsia="仿宋" w:cs="仿宋"/>
                <w:kern w:val="2"/>
                <w:sz w:val="28"/>
                <w:szCs w:val="28"/>
                <w:highlight w:val="none"/>
                <w:lang w:val="en-US" w:eastAsia="zh-CN" w:bidi="ar-SA"/>
              </w:rPr>
            </w:pPr>
            <w:r>
              <w:rPr>
                <w:rFonts w:hint="default" w:ascii="仿宋" w:hAnsi="仿宋" w:eastAsia="仿宋" w:cs="仿宋"/>
                <w:kern w:val="2"/>
                <w:sz w:val="28"/>
                <w:szCs w:val="28"/>
                <w:highlight w:val="none"/>
                <w:lang w:val="en-US" w:eastAsia="zh-CN" w:bidi="ar-SA"/>
              </w:rPr>
              <w:t>针对本项目托养过程中</w:t>
            </w:r>
            <w:r>
              <w:rPr>
                <w:rFonts w:hint="eastAsia" w:ascii="仿宋" w:hAnsi="仿宋" w:eastAsia="仿宋" w:cs="仿宋"/>
                <w:kern w:val="2"/>
                <w:sz w:val="28"/>
                <w:szCs w:val="28"/>
                <w:highlight w:val="none"/>
                <w:lang w:val="en-US" w:eastAsia="zh-CN" w:bidi="ar-SA"/>
              </w:rPr>
              <w:t>可能出现的</w:t>
            </w:r>
            <w:r>
              <w:rPr>
                <w:rFonts w:hint="default" w:ascii="仿宋" w:hAnsi="仿宋" w:eastAsia="仿宋" w:cs="仿宋"/>
                <w:kern w:val="2"/>
                <w:sz w:val="28"/>
                <w:szCs w:val="28"/>
                <w:highlight w:val="none"/>
                <w:lang w:val="en-US" w:eastAsia="zh-CN" w:bidi="ar-SA"/>
              </w:rPr>
              <w:t>突发疾病和意外受伤</w:t>
            </w:r>
            <w:r>
              <w:rPr>
                <w:rFonts w:hint="eastAsia" w:ascii="仿宋" w:hAnsi="仿宋" w:eastAsia="仿宋" w:cs="仿宋"/>
                <w:kern w:val="2"/>
                <w:sz w:val="28"/>
                <w:szCs w:val="28"/>
                <w:highlight w:val="none"/>
                <w:lang w:val="en-US" w:eastAsia="zh-CN" w:bidi="ar-SA"/>
              </w:rPr>
              <w:t>，</w:t>
            </w:r>
            <w:r>
              <w:rPr>
                <w:rFonts w:hint="default" w:ascii="仿宋" w:hAnsi="仿宋" w:eastAsia="仿宋" w:cs="仿宋"/>
                <w:kern w:val="2"/>
                <w:sz w:val="28"/>
                <w:szCs w:val="28"/>
                <w:highlight w:val="none"/>
                <w:lang w:val="en-US" w:eastAsia="zh-CN" w:bidi="ar-SA"/>
              </w:rPr>
              <w:t>根据供应商响应文件中以预防为主的应急预案，组织管理和服务人员进行培训和演习</w:t>
            </w:r>
            <w:r>
              <w:rPr>
                <w:rFonts w:hint="eastAsia" w:ascii="仿宋" w:hAnsi="仿宋" w:eastAsia="仿宋" w:cs="仿宋"/>
                <w:kern w:val="2"/>
                <w:sz w:val="28"/>
                <w:szCs w:val="28"/>
                <w:highlight w:val="none"/>
                <w:lang w:val="en-US" w:eastAsia="zh-CN" w:bidi="ar-SA"/>
              </w:rPr>
              <w:t>的优良程度进行</w:t>
            </w:r>
            <w:r>
              <w:rPr>
                <w:rFonts w:hint="default" w:ascii="仿宋" w:hAnsi="仿宋" w:eastAsia="仿宋" w:cs="仿宋"/>
                <w:kern w:val="2"/>
                <w:sz w:val="28"/>
                <w:szCs w:val="28"/>
                <w:highlight w:val="none"/>
                <w:lang w:val="en-US" w:eastAsia="zh-CN" w:bidi="ar-SA"/>
              </w:rPr>
              <w:t>横向比较</w:t>
            </w:r>
            <w:r>
              <w:rPr>
                <w:rFonts w:hint="eastAsia" w:ascii="仿宋" w:hAnsi="仿宋" w:eastAsia="仿宋" w:cs="仿宋"/>
                <w:kern w:val="2"/>
                <w:sz w:val="28"/>
                <w:szCs w:val="28"/>
                <w:highlight w:val="none"/>
                <w:lang w:val="en-US" w:eastAsia="zh-CN" w:bidi="ar-SA"/>
              </w:rPr>
              <w:t>赋分，优秀得12-9分，良好得8-5分，一般得4-1分，没有不得分</w:t>
            </w:r>
            <w:r>
              <w:rPr>
                <w:rFonts w:hint="default" w:ascii="仿宋" w:hAnsi="仿宋" w:eastAsia="仿宋" w:cs="仿宋"/>
                <w:kern w:val="2"/>
                <w:sz w:val="28"/>
                <w:szCs w:val="28"/>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13" w:type="pct"/>
            <w:noWrap w:val="0"/>
            <w:vAlign w:val="center"/>
          </w:tcPr>
          <w:p>
            <w:pPr>
              <w:keepNext w:val="0"/>
              <w:keepLines w:val="0"/>
              <w:pageBreakBefore w:val="0"/>
              <w:widowControl w:val="0"/>
              <w:kinsoku/>
              <w:wordWrap/>
              <w:overflowPunct/>
              <w:topLinePunct w:val="0"/>
              <w:autoSpaceDE/>
              <w:autoSpaceDN/>
              <w:bidi w:val="0"/>
              <w:spacing w:line="252" w:lineRule="auto"/>
              <w:ind w:left="0" w:leftChars="0" w:right="0" w:rightChars="0" w:firstLine="0" w:firstLineChars="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售后服务</w:t>
            </w:r>
          </w:p>
        </w:tc>
        <w:tc>
          <w:tcPr>
            <w:tcW w:w="398" w:type="pct"/>
            <w:noWrap w:val="0"/>
            <w:vAlign w:val="center"/>
          </w:tcPr>
          <w:p>
            <w:pPr>
              <w:keepNext w:val="0"/>
              <w:keepLines w:val="0"/>
              <w:pageBreakBefore w:val="0"/>
              <w:widowControl w:val="0"/>
              <w:kinsoku/>
              <w:wordWrap/>
              <w:overflowPunct/>
              <w:topLinePunct w:val="0"/>
              <w:autoSpaceDE/>
              <w:autoSpaceDN/>
              <w:bidi w:val="0"/>
              <w:spacing w:line="252" w:lineRule="auto"/>
              <w:ind w:left="0" w:leftChars="0" w:right="0" w:rightChars="0" w:firstLine="0" w:firstLineChars="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5分</w:t>
            </w:r>
          </w:p>
        </w:tc>
        <w:tc>
          <w:tcPr>
            <w:tcW w:w="3888" w:type="pct"/>
            <w:noWrap w:val="0"/>
            <w:vAlign w:val="center"/>
          </w:tcPr>
          <w:p>
            <w:pPr>
              <w:keepNext w:val="0"/>
              <w:keepLines w:val="0"/>
              <w:pageBreakBefore w:val="0"/>
              <w:widowControl w:val="0"/>
              <w:kinsoku/>
              <w:wordWrap/>
              <w:overflowPunct/>
              <w:topLinePunct w:val="0"/>
              <w:autoSpaceDE/>
              <w:autoSpaceDN/>
              <w:bidi w:val="0"/>
              <w:spacing w:line="252" w:lineRule="auto"/>
              <w:rPr>
                <w:rFonts w:hint="eastAsia" w:ascii="仿宋" w:hAnsi="仿宋" w:eastAsia="仿宋" w:cs="仿宋"/>
                <w:kern w:val="2"/>
                <w:sz w:val="28"/>
                <w:szCs w:val="28"/>
                <w:highlight w:val="none"/>
                <w:lang w:val="en-US" w:eastAsia="zh-CN" w:bidi="ar-SA"/>
              </w:rPr>
            </w:pPr>
            <w:r>
              <w:rPr>
                <w:rFonts w:hint="default" w:ascii="仿宋" w:hAnsi="仿宋" w:eastAsia="仿宋" w:cs="仿宋"/>
                <w:kern w:val="2"/>
                <w:sz w:val="28"/>
                <w:szCs w:val="28"/>
                <w:highlight w:val="none"/>
                <w:lang w:val="en-US" w:eastAsia="zh-CN" w:bidi="ar-SA"/>
              </w:rPr>
              <w:t>供应商响应文件中</w:t>
            </w:r>
            <w:r>
              <w:rPr>
                <w:rFonts w:hint="eastAsia" w:ascii="仿宋" w:hAnsi="仿宋" w:eastAsia="仿宋" w:cs="仿宋"/>
                <w:kern w:val="2"/>
                <w:sz w:val="28"/>
                <w:szCs w:val="28"/>
                <w:highlight w:val="none"/>
                <w:lang w:val="en-US" w:eastAsia="zh-CN" w:bidi="ar-SA"/>
              </w:rPr>
              <w:t>提供了后续跟踪服务方案，根据优良程度进行打分，优秀得5-4分，良好得3-2分，一般得1分，没有不得分。</w:t>
            </w:r>
          </w:p>
        </w:tc>
      </w:tr>
    </w:tbl>
    <w:p>
      <w:pPr>
        <w:pStyle w:val="9"/>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注：1）评委打分超过得分界限或未按本方法赋分时，该评委的打分按废票处理。</w:t>
      </w:r>
    </w:p>
    <w:p>
      <w:pPr>
        <w:pStyle w:val="9"/>
        <w:spacing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2）各种计算数字均保 留两位小数，第三位“四舍五入”。</w:t>
      </w:r>
    </w:p>
    <w:p>
      <w:pPr>
        <w:spacing w:line="480" w:lineRule="exact"/>
        <w:ind w:firstLine="562" w:firstLineChars="200"/>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2、特殊情况处理：</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a、若出现综合得分相同时，则依次比较报价得分，以得分高的排序在先。</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b、当供应商某评分项出现未报、漏报或零报价时，该分项得零分，并不参与磋商报价分的计算。</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c、评议过程中，若出现本评分方法以外的特殊情况时，将暂停评审，待磋商小组商榷后再进行复会。</w:t>
      </w:r>
    </w:p>
    <w:p>
      <w:pPr>
        <w:spacing w:line="480" w:lineRule="exact"/>
        <w:ind w:firstLine="482" w:firstLineChars="200"/>
        <w:rPr>
          <w:rFonts w:hint="eastAsia" w:ascii="宋体" w:hAnsi="宋体"/>
          <w:b/>
          <w:sz w:val="24"/>
          <w:highlight w:val="none"/>
        </w:rPr>
      </w:pPr>
      <w:r>
        <w:rPr>
          <w:rFonts w:hint="eastAsia" w:hAnsi="宋体"/>
          <w:b/>
          <w:sz w:val="24"/>
          <w:highlight w:val="none"/>
          <w:lang w:val="en-US" w:eastAsia="zh-CN"/>
        </w:rPr>
        <w:t>2.1</w:t>
      </w:r>
      <w:r>
        <w:rPr>
          <w:rFonts w:hint="eastAsia" w:ascii="宋体" w:hAnsi="宋体"/>
          <w:b/>
          <w:sz w:val="24"/>
          <w:highlight w:val="none"/>
        </w:rPr>
        <w:t>、政府采购政策评分标准</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2.1.1、小微企业的价格评分标准</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根据《政府采购促进中小企业发展管理办法》（财库〔2020〕46号）的办法，对于非专门面向中小企业的项目，对小型和微型企业的价格给予6%的扣除，用扣除后的价格参与评审，其评审价=最终磋商报价*（1-6%）。</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联合体共同参加非专门面向中小企业的政府采购活动，联合协议中约定，小型和微型企业的协议合同金额占到联合体协议合同金额的30%以上的，可给予联合体2%的价格扣除，用扣除后的价格参与评审，其评审价=最终磋商报价*（1-2%）。</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（3）中小企业参加政府采购活动，须提供《中小企业声明函》（式样见竞争性磋商响应文件格式），否则不得享受相关中小企业扶持政策。供应商须保证真实性，如有虚假，将依法承担相应责任。</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小微企业按《政府采购促进中小企业发展管理办法》（财库〔2020〕46号）和《工业和信息化部、国家统计局、国家发展和改革委员会、财政部关于印发&lt;中小企业划型标准规定&gt;的通知》（工信部联企业【2011】300号）文件规定标准确认。</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（5）在服务采购项目中，服务的承接商应当为中小企业，不对其中涉及的货物的制造商作出要求。</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2.1.2、监狱企业的价格评分标准</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（1）在政府采购活动中，监狱企业视同小型、微型企业，享受预留份额、评审中价格扣除等政府采购促进中小企业发展的政府采购政策。</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（2）监狱企业参加政府采购活动时，应当提供由省级以上监狱管理局、戒毒管理局（含新疆生产建设兵团）出具的属于监狱企业的证明文件。</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（3）监狱企业按《财政部、司法部关于政府采购支持监狱企业发展有关问题的通知》（财库〔2014〕68号）文件规定标准执行。</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2.1.3、残疾人福利性单位的价格评分标准</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（1）在政府采购活动中，残疾人福利性单位视同小型、微型企业，享受预留份额、评审中价格扣除等政府采购促进中小企业发展的政府采购政策。</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（2）残疾人福利性单位属于小型、微型企业的，不重复享受政策。</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3）符合条件的残疾人福利性单位在参加政府采购活动时，应当提供本通知规定的《残疾人福利性单位声明函》（式样见竞争性磋商响应文件格式），并对声明的真实性负责，未提供的不视为残疾人福利性单位。 </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2.1.4、节能产品、环境标志产品政策</w:t>
      </w:r>
    </w:p>
    <w:p>
      <w:pPr>
        <w:spacing w:line="48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pStyle w:val="20"/>
        <w:keepNext w:val="0"/>
        <w:keepLines w:val="0"/>
        <w:pageBreakBefore w:val="0"/>
        <w:widowControl/>
        <w:kinsoku/>
        <w:wordWrap/>
        <w:overflowPunct/>
        <w:topLinePunct w:val="0"/>
        <w:autoSpaceDE/>
        <w:autoSpaceDN/>
        <w:bidi w:val="0"/>
        <w:spacing w:line="500" w:lineRule="exact"/>
        <w:ind w:firstLine="560"/>
        <w:textAlignment w:val="auto"/>
        <w:rPr>
          <w:rFonts w:hint="default" w:ascii="仿宋" w:hAnsi="仿宋" w:cs="仿宋"/>
          <w:szCs w:val="28"/>
          <w:highlight w:val="none"/>
          <w:lang w:val="en-US" w:eastAsia="zh-CN"/>
        </w:rPr>
      </w:pPr>
    </w:p>
    <w:p>
      <w:pPr>
        <w:widowControl/>
        <w:spacing w:line="460" w:lineRule="exact"/>
        <w:ind w:firstLine="560" w:firstLineChars="200"/>
        <w:jc w:val="left"/>
        <w:rPr>
          <w:rFonts w:hint="eastAsia" w:ascii="仿宋" w:hAnsi="仿宋" w:eastAsia="仿宋" w:cs="仿宋"/>
          <w:sz w:val="28"/>
          <w:szCs w:val="28"/>
          <w:highlight w:val="none"/>
        </w:rPr>
      </w:pPr>
    </w:p>
    <w:p>
      <w:pPr>
        <w:sectPr>
          <w:pgSz w:w="11906" w:h="16838"/>
          <w:pgMar w:top="1440" w:right="1800" w:bottom="1440" w:left="1800" w:header="851" w:footer="992" w:gutter="0"/>
          <w:cols w:space="425" w:num="1"/>
          <w:docGrid w:type="lines" w:linePitch="312" w:charSpace="0"/>
        </w:sectPr>
      </w:pPr>
    </w:p>
    <w:p>
      <w:pPr>
        <w:pStyle w:val="3"/>
        <w:keepNext w:val="0"/>
        <w:keepLines/>
        <w:pageBreakBefore/>
        <w:spacing w:before="156" w:beforeLines="50" w:after="156" w:afterLines="50"/>
        <w:jc w:val="center"/>
        <w:rPr>
          <w:rFonts w:hint="eastAsia" w:ascii="宋体" w:hAnsi="宋体" w:eastAsia="宋体" w:cs="宋体"/>
          <w:bCs/>
          <w:sz w:val="44"/>
          <w:szCs w:val="44"/>
        </w:rPr>
      </w:pPr>
      <w:r>
        <w:rPr>
          <w:rFonts w:hint="eastAsia" w:ascii="宋体" w:hAnsi="宋体" w:eastAsia="宋体" w:cs="宋体"/>
          <w:bCs/>
          <w:sz w:val="44"/>
          <w:szCs w:val="44"/>
        </w:rPr>
        <w:t>竞争性磋商响应文件格式</w:t>
      </w:r>
    </w:p>
    <w:p>
      <w:pPr>
        <w:pStyle w:val="2"/>
        <w:rPr>
          <w:rFonts w:hint="eastAsia" w:ascii="宋体" w:hAnsi="宋体" w:eastAsia="宋体" w:cs="宋体"/>
          <w:b/>
          <w:bCs/>
          <w:sz w:val="32"/>
          <w:szCs w:val="32"/>
        </w:rPr>
      </w:pPr>
    </w:p>
    <w:p>
      <w:pPr>
        <w:pStyle w:val="2"/>
        <w:rPr>
          <w:rFonts w:hint="eastAsia" w:ascii="宋体" w:hAnsi="宋体" w:eastAsia="宋体" w:cs="宋体"/>
          <w:b/>
          <w:bCs/>
          <w:sz w:val="32"/>
          <w:szCs w:val="32"/>
        </w:rPr>
      </w:pPr>
    </w:p>
    <w:p>
      <w:pPr>
        <w:pStyle w:val="2"/>
        <w:rPr>
          <w:rFonts w:hint="eastAsia" w:ascii="宋体" w:hAnsi="宋体" w:eastAsia="宋体" w:cs="宋体"/>
          <w:b/>
          <w:bCs/>
          <w:sz w:val="32"/>
          <w:szCs w:val="32"/>
        </w:rPr>
      </w:pPr>
    </w:p>
    <w:p>
      <w:pPr>
        <w:rPr>
          <w:rFonts w:hint="eastAsia" w:ascii="宋体" w:hAnsi="宋体" w:eastAsia="宋体" w:cs="宋体"/>
          <w:b/>
          <w:sz w:val="32"/>
          <w:szCs w:val="32"/>
        </w:rPr>
      </w:pPr>
      <w:r>
        <w:rPr>
          <w:rFonts w:hint="eastAsia" w:ascii="宋体" w:hAnsi="宋体" w:eastAsia="宋体" w:cs="宋体"/>
          <w:b/>
          <w:bCs/>
          <w:sz w:val="32"/>
          <w:szCs w:val="32"/>
        </w:rPr>
        <w:t>项目编号：</w:t>
      </w:r>
      <w:r>
        <w:rPr>
          <w:rFonts w:hint="eastAsia" w:ascii="宋体" w:hAnsi="宋体" w:eastAsia="宋体" w:cs="宋体"/>
          <w:b/>
          <w:bCs/>
          <w:sz w:val="32"/>
          <w:szCs w:val="32"/>
          <w:lang w:val="en-US" w:eastAsia="zh-CN"/>
        </w:rPr>
        <w:t>HXHC-2022-0061B1</w:t>
      </w:r>
      <w:r>
        <w:rPr>
          <w:rFonts w:hint="eastAsia" w:eastAsia="宋体" w:cs="宋体"/>
          <w:b/>
          <w:bCs/>
          <w:sz w:val="32"/>
          <w:szCs w:val="32"/>
          <w:lang w:val="en-US" w:eastAsia="zh-CN"/>
        </w:rPr>
        <w:t xml:space="preserve">            </w:t>
      </w:r>
      <w:r>
        <w:rPr>
          <w:rFonts w:hint="eastAsia" w:ascii="宋体" w:hAnsi="宋体" w:eastAsia="宋体" w:cs="宋体"/>
          <w:b/>
          <w:sz w:val="32"/>
          <w:szCs w:val="32"/>
        </w:rPr>
        <w:t>（正本或副本）</w:t>
      </w:r>
    </w:p>
    <w:p>
      <w:pPr>
        <w:pStyle w:val="2"/>
        <w:rPr>
          <w:rFonts w:hint="default" w:eastAsia="宋体"/>
          <w:lang w:val="en-US" w:eastAsia="zh-CN"/>
        </w:rPr>
      </w:pPr>
    </w:p>
    <w:p>
      <w:pPr>
        <w:rPr>
          <w:rFonts w:hint="default" w:eastAsia="宋体"/>
          <w:lang w:val="en-US" w:eastAsia="zh-CN"/>
        </w:rPr>
      </w:pPr>
    </w:p>
    <w:p>
      <w:pPr>
        <w:pStyle w:val="2"/>
        <w:rPr>
          <w:rFonts w:hint="default" w:eastAsia="宋体"/>
          <w:lang w:val="en-US" w:eastAsia="zh-CN"/>
        </w:rPr>
      </w:pPr>
    </w:p>
    <w:p>
      <w:pPr>
        <w:rPr>
          <w:rFonts w:hint="default" w:eastAsia="宋体"/>
          <w:lang w:val="en-US" w:eastAsia="zh-CN"/>
        </w:rPr>
      </w:pPr>
    </w:p>
    <w:p>
      <w:pPr>
        <w:pStyle w:val="2"/>
        <w:rPr>
          <w:rFonts w:hint="default" w:eastAsia="宋体"/>
          <w:lang w:val="en-US" w:eastAsia="zh-CN"/>
        </w:rPr>
      </w:pPr>
    </w:p>
    <w:p>
      <w:pPr>
        <w:rPr>
          <w:rFonts w:hint="default" w:eastAsia="宋体"/>
          <w:lang w:val="en-US" w:eastAsia="zh-CN"/>
        </w:rPr>
      </w:pPr>
    </w:p>
    <w:p>
      <w:pPr>
        <w:pStyle w:val="2"/>
        <w:rPr>
          <w:rFonts w:hint="default" w:eastAsia="宋体"/>
          <w:lang w:val="en-US" w:eastAsia="zh-CN"/>
        </w:rPr>
      </w:pPr>
    </w:p>
    <w:p>
      <w:pPr>
        <w:jc w:val="center"/>
        <w:rPr>
          <w:rFonts w:hint="default" w:ascii="宋体" w:hAnsi="宋体" w:eastAsia="宋体" w:cs="宋体"/>
          <w:b/>
          <w:kern w:val="0"/>
          <w:sz w:val="48"/>
          <w:szCs w:val="48"/>
          <w:lang w:val="en-US" w:eastAsia="zh-CN"/>
        </w:rPr>
      </w:pPr>
      <w:r>
        <w:rPr>
          <w:rFonts w:hint="default" w:ascii="宋体" w:hAnsi="宋体" w:eastAsia="宋体" w:cs="宋体"/>
          <w:b/>
          <w:kern w:val="0"/>
          <w:sz w:val="48"/>
          <w:szCs w:val="48"/>
          <w:lang w:val="en-US" w:eastAsia="zh-CN"/>
        </w:rPr>
        <w:t>镇巴县残疾人联合会2022年政府购买残疾人托养服务项目</w:t>
      </w:r>
    </w:p>
    <w:p>
      <w:pPr>
        <w:pStyle w:val="2"/>
        <w:rPr>
          <w:rFonts w:hint="default" w:ascii="宋体" w:hAnsi="宋体" w:eastAsia="宋体" w:cs="宋体"/>
          <w:b/>
          <w:kern w:val="0"/>
          <w:sz w:val="48"/>
          <w:szCs w:val="48"/>
          <w:lang w:val="en-US" w:eastAsia="zh-CN"/>
        </w:rPr>
      </w:pPr>
    </w:p>
    <w:p>
      <w:pPr>
        <w:rPr>
          <w:rFonts w:hint="default" w:ascii="宋体" w:hAnsi="宋体" w:eastAsia="宋体" w:cs="宋体"/>
          <w:b/>
          <w:kern w:val="0"/>
          <w:sz w:val="48"/>
          <w:szCs w:val="48"/>
          <w:lang w:val="en-US" w:eastAsia="zh-CN"/>
        </w:rPr>
      </w:pPr>
    </w:p>
    <w:p>
      <w:pPr>
        <w:pStyle w:val="2"/>
        <w:rPr>
          <w:rFonts w:hint="default" w:ascii="宋体" w:hAnsi="宋体" w:eastAsia="宋体" w:cs="宋体"/>
          <w:b/>
          <w:kern w:val="0"/>
          <w:sz w:val="48"/>
          <w:szCs w:val="48"/>
          <w:lang w:val="en-US" w:eastAsia="zh-CN"/>
        </w:rPr>
      </w:pPr>
    </w:p>
    <w:p>
      <w:pPr>
        <w:rPr>
          <w:rFonts w:hint="default" w:ascii="宋体" w:hAnsi="宋体" w:eastAsia="宋体" w:cs="宋体"/>
          <w:b/>
          <w:kern w:val="0"/>
          <w:sz w:val="48"/>
          <w:szCs w:val="48"/>
          <w:lang w:val="en-US" w:eastAsia="zh-CN"/>
        </w:rPr>
      </w:pPr>
    </w:p>
    <w:p>
      <w:pPr>
        <w:pStyle w:val="2"/>
        <w:rPr>
          <w:rFonts w:hint="default" w:ascii="宋体" w:hAnsi="宋体" w:eastAsia="宋体" w:cs="宋体"/>
          <w:b/>
          <w:kern w:val="0"/>
          <w:sz w:val="48"/>
          <w:szCs w:val="48"/>
          <w:lang w:val="en-US" w:eastAsia="zh-CN"/>
        </w:rPr>
      </w:pPr>
    </w:p>
    <w:p>
      <w:pPr>
        <w:pStyle w:val="2"/>
        <w:rPr>
          <w:rFonts w:hint="default" w:ascii="宋体" w:hAnsi="宋体" w:eastAsia="宋体" w:cs="宋体"/>
          <w:b/>
          <w:kern w:val="0"/>
          <w:sz w:val="48"/>
          <w:szCs w:val="48"/>
          <w:lang w:val="en-US" w:eastAsia="zh-CN"/>
        </w:rPr>
      </w:pPr>
    </w:p>
    <w:p>
      <w:pPr>
        <w:pStyle w:val="2"/>
        <w:rPr>
          <w:rFonts w:hint="eastAsia"/>
        </w:rPr>
      </w:pPr>
    </w:p>
    <w:p>
      <w:pPr>
        <w:tabs>
          <w:tab w:val="center" w:pos="5346"/>
        </w:tabs>
        <w:spacing w:line="480" w:lineRule="auto"/>
        <w:jc w:val="center"/>
        <w:rPr>
          <w:rFonts w:hint="eastAsia" w:ascii="宋体" w:hAnsi="宋体" w:eastAsia="宋体" w:cs="宋体"/>
          <w:b/>
          <w:sz w:val="32"/>
          <w:szCs w:val="32"/>
        </w:rPr>
      </w:pPr>
      <w:r>
        <w:rPr>
          <w:rFonts w:hint="eastAsia" w:ascii="宋体" w:hAnsi="宋体" w:eastAsia="宋体" w:cs="宋体"/>
          <w:b/>
          <w:sz w:val="32"/>
          <w:szCs w:val="32"/>
        </w:rPr>
        <w:t>供应商名称（公章）</w:t>
      </w:r>
    </w:p>
    <w:p>
      <w:pPr>
        <w:jc w:val="center"/>
        <w:rPr>
          <w:rFonts w:hint="eastAsia" w:ascii="宋体" w:hAnsi="宋体" w:eastAsia="宋体" w:cs="宋体"/>
          <w:b/>
          <w:sz w:val="32"/>
          <w:szCs w:val="32"/>
        </w:rPr>
      </w:pPr>
      <w:r>
        <w:rPr>
          <w:rFonts w:hint="eastAsia" w:ascii="宋体" w:hAnsi="宋体" w:eastAsia="宋体" w:cs="宋体"/>
          <w:b/>
          <w:sz w:val="32"/>
          <w:szCs w:val="32"/>
        </w:rPr>
        <w:t xml:space="preserve"> 年   月  日</w:t>
      </w:r>
    </w:p>
    <w:p>
      <w:pPr>
        <w:jc w:val="center"/>
        <w:rPr>
          <w:rFonts w:hint="eastAsia" w:ascii="宋体" w:hAnsi="宋体" w:eastAsia="宋体" w:cs="宋体"/>
          <w:b/>
          <w:sz w:val="44"/>
        </w:rPr>
      </w:pPr>
      <w:r>
        <w:rPr>
          <w:rFonts w:hint="eastAsia" w:ascii="宋体" w:hAnsi="宋体" w:eastAsia="宋体" w:cs="宋体"/>
          <w:b/>
          <w:sz w:val="32"/>
          <w:szCs w:val="32"/>
        </w:rPr>
        <w:br w:type="page"/>
      </w:r>
      <w:r>
        <w:rPr>
          <w:rFonts w:hint="eastAsia" w:ascii="宋体" w:hAnsi="宋体" w:eastAsia="宋体" w:cs="宋体"/>
          <w:b/>
          <w:sz w:val="44"/>
        </w:rPr>
        <w:t>目  录</w:t>
      </w:r>
    </w:p>
    <w:p>
      <w:pPr>
        <w:pStyle w:val="2"/>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一</w:t>
      </w:r>
      <w:r>
        <w:rPr>
          <w:rFonts w:hint="eastAsia" w:hAnsi="宋体" w:cs="宋体"/>
          <w:b/>
          <w:sz w:val="24"/>
          <w:szCs w:val="24"/>
          <w:lang w:val="en-US" w:eastAsia="zh-CN"/>
        </w:rPr>
        <w:t xml:space="preserve">  </w:t>
      </w:r>
      <w:r>
        <w:rPr>
          <w:rFonts w:hint="eastAsia" w:ascii="宋体" w:hAnsi="宋体" w:eastAsia="宋体" w:cs="宋体"/>
          <w:b/>
          <w:sz w:val="24"/>
          <w:szCs w:val="24"/>
        </w:rPr>
        <w:t>磋商响应函</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二</w:t>
      </w:r>
      <w:r>
        <w:rPr>
          <w:rFonts w:hint="eastAsia" w:hAnsi="宋体" w:cs="宋体"/>
          <w:b/>
          <w:sz w:val="24"/>
          <w:szCs w:val="24"/>
          <w:lang w:val="en-US" w:eastAsia="zh-CN"/>
        </w:rPr>
        <w:t xml:space="preserve">  </w:t>
      </w:r>
      <w:r>
        <w:rPr>
          <w:rFonts w:hint="eastAsia" w:ascii="宋体" w:hAnsi="宋体" w:eastAsia="宋体" w:cs="宋体"/>
          <w:b/>
          <w:sz w:val="24"/>
          <w:szCs w:val="24"/>
          <w:lang w:val="en-US" w:eastAsia="zh-CN"/>
        </w:rPr>
        <w:t>法定代表人身份证明</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三</w:t>
      </w:r>
      <w:r>
        <w:rPr>
          <w:rFonts w:hint="eastAsia" w:hAnsi="宋体" w:cs="宋体"/>
          <w:b/>
          <w:sz w:val="24"/>
          <w:szCs w:val="24"/>
          <w:lang w:val="en-US" w:eastAsia="zh-CN"/>
        </w:rPr>
        <w:t xml:space="preserve">  </w:t>
      </w:r>
      <w:r>
        <w:rPr>
          <w:rFonts w:hint="eastAsia" w:ascii="宋体" w:hAnsi="宋体" w:eastAsia="宋体" w:cs="宋体"/>
          <w:b/>
          <w:sz w:val="24"/>
          <w:szCs w:val="24"/>
          <w:lang w:val="en-US" w:eastAsia="zh-CN"/>
        </w:rPr>
        <w:t>法定代表人授权书</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hAnsi="宋体" w:cs="宋体"/>
          <w:b/>
          <w:sz w:val="24"/>
          <w:szCs w:val="24"/>
          <w:lang w:val="en-US" w:eastAsia="zh-CN"/>
        </w:rPr>
        <w:t xml:space="preserve">  </w:t>
      </w:r>
      <w:r>
        <w:rPr>
          <w:rFonts w:hint="eastAsia" w:ascii="宋体" w:hAnsi="宋体" w:eastAsia="宋体" w:cs="宋体"/>
          <w:b/>
          <w:sz w:val="24"/>
          <w:szCs w:val="24"/>
          <w:lang w:val="en-US" w:eastAsia="zh-CN"/>
        </w:rPr>
        <w:t>磋商报价表</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hAnsi="宋体" w:cs="宋体"/>
          <w:b/>
          <w:sz w:val="24"/>
          <w:szCs w:val="24"/>
          <w:lang w:val="en-US" w:eastAsia="zh-CN"/>
        </w:rPr>
      </w:pPr>
      <w:r>
        <w:rPr>
          <w:rFonts w:hint="eastAsia" w:ascii="宋体" w:hAnsi="宋体" w:eastAsia="宋体" w:cs="宋体"/>
          <w:b/>
          <w:sz w:val="24"/>
          <w:szCs w:val="24"/>
          <w:lang w:val="en-US" w:eastAsia="zh-CN"/>
        </w:rPr>
        <w:t>五</w:t>
      </w:r>
      <w:r>
        <w:rPr>
          <w:rFonts w:hint="eastAsia" w:hAnsi="宋体" w:cs="宋体"/>
          <w:b/>
          <w:sz w:val="24"/>
          <w:szCs w:val="24"/>
          <w:lang w:val="en-US" w:eastAsia="zh-CN"/>
        </w:rPr>
        <w:t xml:space="preserve">  分项报价表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hAnsi="宋体" w:cs="宋体"/>
          <w:b/>
          <w:sz w:val="24"/>
          <w:szCs w:val="24"/>
          <w:lang w:val="en-US" w:eastAsia="zh-CN"/>
        </w:rPr>
      </w:pPr>
      <w:r>
        <w:rPr>
          <w:rFonts w:hint="eastAsia" w:ascii="宋体" w:hAnsi="宋体" w:eastAsia="宋体" w:cs="宋体"/>
          <w:b/>
          <w:sz w:val="24"/>
          <w:szCs w:val="24"/>
          <w:lang w:val="en-US" w:eastAsia="zh-CN"/>
        </w:rPr>
        <w:t>六</w:t>
      </w:r>
      <w:r>
        <w:rPr>
          <w:rFonts w:hint="eastAsia" w:hAnsi="宋体" w:cs="宋体"/>
          <w:b/>
          <w:sz w:val="24"/>
          <w:szCs w:val="24"/>
          <w:lang w:val="en-US" w:eastAsia="zh-CN"/>
        </w:rPr>
        <w:t xml:space="preserve">  资格证明文件</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七  项目人员配备情况</w:t>
      </w:r>
    </w:p>
    <w:p>
      <w:pPr>
        <w:pStyle w:val="2"/>
        <w:spacing w:line="480" w:lineRule="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八  业绩</w:t>
      </w:r>
    </w:p>
    <w:p>
      <w:pPr>
        <w:pStyle w:val="2"/>
        <w:spacing w:line="480" w:lineRule="auto"/>
        <w:rPr>
          <w:rFonts w:hint="eastAsia" w:ascii="宋体" w:hAnsi="宋体" w:cs="宋体"/>
          <w:b/>
          <w:bCs w:val="0"/>
          <w:sz w:val="24"/>
          <w:szCs w:val="24"/>
          <w:lang w:val="en-US" w:eastAsia="zh-CN"/>
        </w:rPr>
      </w:pPr>
      <w:r>
        <w:rPr>
          <w:rFonts w:hint="default" w:ascii="宋体" w:hAnsi="宋体" w:eastAsia="宋体" w:cs="宋体"/>
          <w:b/>
          <w:bCs w:val="0"/>
          <w:kern w:val="2"/>
          <w:sz w:val="24"/>
          <w:szCs w:val="24"/>
          <w:lang w:val="en-US" w:eastAsia="zh-CN" w:bidi="ar-SA"/>
        </w:rPr>
        <w:t>九  陕西省政府采购供应商拒绝政府采购领域商业贿赂承诺书</w:t>
      </w:r>
    </w:p>
    <w:p>
      <w:pPr>
        <w:spacing w:line="480" w:lineRule="auto"/>
        <w:rPr>
          <w:rFonts w:hint="default" w:ascii="宋体" w:hAnsi="宋体" w:eastAsia="宋体" w:cs="宋体"/>
          <w:b/>
          <w:bCs w:val="0"/>
          <w:kern w:val="2"/>
          <w:sz w:val="24"/>
          <w:szCs w:val="24"/>
          <w:lang w:val="en-US" w:eastAsia="zh-CN" w:bidi="ar-SA"/>
        </w:rPr>
      </w:pPr>
      <w:r>
        <w:rPr>
          <w:rFonts w:hint="eastAsia" w:ascii="宋体" w:hAnsi="宋体" w:eastAsia="宋体" w:cs="宋体"/>
          <w:b/>
          <w:bCs w:val="0"/>
          <w:sz w:val="24"/>
          <w:szCs w:val="24"/>
          <w:lang w:val="en-US" w:eastAsia="zh-CN"/>
        </w:rPr>
        <w:t>十  服务方案</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val="0"/>
          <w:sz w:val="24"/>
          <w:szCs w:val="24"/>
          <w:lang w:val="en-US" w:eastAsia="zh-CN"/>
        </w:rPr>
      </w:pPr>
      <w:r>
        <w:rPr>
          <w:rFonts w:hint="eastAsia" w:ascii="宋体" w:hAnsi="宋体" w:eastAsia="宋体" w:cs="宋体"/>
          <w:b/>
          <w:bCs w:val="0"/>
          <w:kern w:val="0"/>
          <w:sz w:val="24"/>
          <w:szCs w:val="24"/>
          <w:lang w:val="en-US" w:eastAsia="zh-CN" w:bidi="ar-SA"/>
        </w:rPr>
        <w:t>十一 服务承诺及合理化建议</w:t>
      </w:r>
    </w:p>
    <w:p>
      <w:pPr>
        <w:pStyle w:val="2"/>
        <w:spacing w:line="480" w:lineRule="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十二 其它说明</w:t>
      </w:r>
    </w:p>
    <w:p>
      <w:pPr>
        <w:pStyle w:val="2"/>
        <w:spacing w:line="480" w:lineRule="auto"/>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十三 供应商享受政府采购优惠政策的证明材料</w:t>
      </w:r>
    </w:p>
    <w:p>
      <w:pPr>
        <w:pStyle w:val="2"/>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附件</w:t>
      </w:r>
      <w:r>
        <w:rPr>
          <w:rFonts w:hint="eastAsia" w:ascii="宋体" w:hAnsi="宋体" w:cs="宋体"/>
          <w:b w:val="0"/>
          <w:bCs/>
          <w:sz w:val="24"/>
          <w:szCs w:val="24"/>
          <w:lang w:val="en-US" w:eastAsia="zh-CN"/>
        </w:rPr>
        <w:t>1</w:t>
      </w:r>
      <w:r>
        <w:rPr>
          <w:rFonts w:hint="eastAsia" w:ascii="宋体" w:hAnsi="宋体" w:eastAsia="宋体" w:cs="宋体"/>
          <w:b w:val="0"/>
          <w:bCs/>
          <w:sz w:val="24"/>
          <w:szCs w:val="24"/>
        </w:rPr>
        <w:t>：中小企业声明函（</w:t>
      </w:r>
      <w:r>
        <w:rPr>
          <w:rFonts w:hint="eastAsia" w:ascii="宋体" w:hAnsi="宋体" w:cs="宋体"/>
          <w:b w:val="0"/>
          <w:bCs/>
          <w:sz w:val="24"/>
          <w:szCs w:val="24"/>
          <w:lang w:val="en-US" w:eastAsia="zh-CN"/>
        </w:rPr>
        <w:t>工程、</w:t>
      </w:r>
      <w:r>
        <w:rPr>
          <w:rFonts w:hint="eastAsia" w:hAnsi="宋体" w:cs="宋体"/>
          <w:b w:val="0"/>
          <w:bCs/>
          <w:sz w:val="24"/>
          <w:szCs w:val="24"/>
          <w:lang w:val="en-US" w:eastAsia="zh-CN"/>
        </w:rPr>
        <w:t>服务</w:t>
      </w:r>
      <w:r>
        <w:rPr>
          <w:rFonts w:hint="eastAsia" w:ascii="宋体" w:hAnsi="宋体" w:eastAsia="宋体" w:cs="宋体"/>
          <w:b w:val="0"/>
          <w:bCs/>
          <w:sz w:val="24"/>
          <w:szCs w:val="24"/>
        </w:rPr>
        <w:t xml:space="preserve">） </w:t>
      </w:r>
    </w:p>
    <w:p>
      <w:pPr>
        <w:pStyle w:val="2"/>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附件</w:t>
      </w:r>
      <w:r>
        <w:rPr>
          <w:rFonts w:hint="eastAsia" w:ascii="宋体" w:hAnsi="宋体" w:cs="宋体"/>
          <w:b w:val="0"/>
          <w:bCs/>
          <w:sz w:val="24"/>
          <w:szCs w:val="24"/>
          <w:lang w:val="en-US" w:eastAsia="zh-CN"/>
        </w:rPr>
        <w:t>2</w:t>
      </w:r>
      <w:r>
        <w:rPr>
          <w:rFonts w:hint="eastAsia" w:ascii="宋体" w:hAnsi="宋体" w:eastAsia="宋体" w:cs="宋体"/>
          <w:b w:val="0"/>
          <w:bCs/>
          <w:sz w:val="24"/>
          <w:szCs w:val="24"/>
        </w:rPr>
        <w:t>：残疾人福利性单位声明函</w:t>
      </w:r>
    </w:p>
    <w:p>
      <w:pPr>
        <w:pStyle w:val="2"/>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附件</w:t>
      </w:r>
      <w:r>
        <w:rPr>
          <w:rFonts w:hint="eastAsia" w:ascii="宋体" w:hAnsi="宋体" w:cs="宋体"/>
          <w:b w:val="0"/>
          <w:bCs/>
          <w:sz w:val="24"/>
          <w:szCs w:val="24"/>
          <w:lang w:val="en-US" w:eastAsia="zh-CN"/>
        </w:rPr>
        <w:t>3</w:t>
      </w:r>
      <w:r>
        <w:rPr>
          <w:rFonts w:hint="eastAsia" w:ascii="宋体" w:hAnsi="宋体" w:eastAsia="宋体" w:cs="宋体"/>
          <w:b w:val="0"/>
          <w:bCs/>
          <w:sz w:val="24"/>
          <w:szCs w:val="24"/>
        </w:rPr>
        <w:t>：</w:t>
      </w:r>
      <w:r>
        <w:rPr>
          <w:rFonts w:hint="eastAsia" w:ascii="宋体" w:hAnsi="宋体" w:eastAsia="宋体" w:cs="宋体"/>
          <w:b w:val="0"/>
          <w:bCs/>
          <w:sz w:val="24"/>
          <w:szCs w:val="24"/>
          <w:lang w:val="zh-CN"/>
        </w:rPr>
        <w:t>供应商监狱企业声明函</w:t>
      </w:r>
    </w:p>
    <w:p>
      <w:pPr>
        <w:rPr>
          <w:rFonts w:hint="eastAsia" w:ascii="宋体" w:hAnsi="宋体" w:eastAsia="宋体" w:cs="宋体"/>
          <w:b/>
          <w:sz w:val="32"/>
          <w:szCs w:val="32"/>
        </w:rPr>
      </w:pPr>
      <w:r>
        <w:rPr>
          <w:rFonts w:hint="eastAsia" w:ascii="宋体" w:hAnsi="宋体" w:eastAsia="宋体" w:cs="宋体"/>
          <w:b/>
          <w:sz w:val="32"/>
          <w:szCs w:val="32"/>
        </w:rPr>
        <w:br w:type="page"/>
      </w:r>
    </w:p>
    <w:p>
      <w:pPr>
        <w:pStyle w:val="2"/>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1"/>
        <w:rPr>
          <w:rFonts w:ascii="仿宋" w:hAnsi="仿宋" w:cs="仿宋"/>
          <w:b/>
          <w:bCs/>
          <w:sz w:val="28"/>
          <w:szCs w:val="28"/>
          <w:highlight w:val="none"/>
        </w:rPr>
      </w:pPr>
      <w:bookmarkStart w:id="299" w:name="_Toc13405_WPSOffice_Level1"/>
      <w:bookmarkStart w:id="300" w:name="_Toc19526"/>
      <w:bookmarkStart w:id="301" w:name="_Toc5680"/>
      <w:bookmarkStart w:id="302" w:name="_Toc3443"/>
      <w:bookmarkStart w:id="303" w:name="_Toc438541313"/>
      <w:bookmarkStart w:id="304" w:name="_Toc25352_WPSOffice_Level1"/>
      <w:bookmarkStart w:id="305" w:name="_Toc120614284"/>
      <w:bookmarkStart w:id="306" w:name="_Toc204524343"/>
      <w:r>
        <w:rPr>
          <w:rFonts w:ascii="仿宋" w:hAnsi="仿宋" w:cs="仿宋"/>
          <w:b/>
          <w:bCs/>
          <w:sz w:val="36"/>
          <w:szCs w:val="36"/>
          <w:highlight w:val="none"/>
        </w:rPr>
        <w:t>第一部分  竞争性磋商响应函</w:t>
      </w:r>
      <w:bookmarkEnd w:id="299"/>
      <w:bookmarkEnd w:id="300"/>
      <w:bookmarkEnd w:id="301"/>
      <w:bookmarkEnd w:id="302"/>
      <w:bookmarkEnd w:id="303"/>
      <w:bookmarkEnd w:id="304"/>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highlight w:val="none"/>
          <w:u w:val="single"/>
        </w:rPr>
      </w:pPr>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 xml:space="preserve">              （采购代理机构）</w:t>
      </w:r>
      <w:r>
        <w:rPr>
          <w:rFonts w:hint="eastAsia" w:ascii="仿宋" w:hAnsi="仿宋" w:eastAsia="仿宋" w:cs="仿宋"/>
          <w:b/>
          <w:bCs/>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我公司收到贵单位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竞争性磋商文件，经详细研究，我们决定参加本次磋商活动。为此，我方郑重声明以下诸点，并负法律责任。</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我方承诺已经具备《中华人民共和国政府采购法》中规定的参加政府采购活动的报价人应当具备的全部条件，若经查实不具备本项目竞争性磋商公告要求条件则无条件的放弃成交结果并完全同意采购人由此而做出的处理决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2、愿意按照竞争性磋商文件中的一切要求，提供服务，完成合同的责任和义务。</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3、按竞争性磋商文件的规定，我公司的磋商总报价为：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（人民币）元；（小写）¥：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4、我方提交的磋商响应文件正本一份、副本三份、电子文档一份。</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5、已详细阅读了竞争性磋商文件，完全理解并放弃提出含糊不清或易形成歧义的表述和资料。</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6、在规定的投标有效期内撤回磋商响应文件，我们愿接受政府采购的有关处罚决定。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7、同意向贵方提供可能要求的，与本次磋商有关的任何证据或资料。我们完全理解最低报价不作为成交的唯一条件，且尊重磋商小组的结论和成交结果。</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8、我方的投标有效期为竞争性磋商响应文件递交截止之日起计</w:t>
      </w:r>
      <w:r>
        <w:rPr>
          <w:rFonts w:hint="default"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日历日。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9、有关于磋商响应文件的函电，请按下列地址联系。</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供应商全称：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开户银行：</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帐    号：</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传    真：</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邮    编：</w:t>
      </w:r>
      <w:r>
        <w:rPr>
          <w:rFonts w:hint="eastAsia" w:ascii="仿宋" w:hAnsi="仿宋" w:eastAsia="仿宋" w:cs="仿宋"/>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_____年_____月_____日</w:t>
      </w:r>
    </w:p>
    <w:p>
      <w:pPr>
        <w:spacing w:line="500" w:lineRule="atLeast"/>
        <w:jc w:val="center"/>
        <w:outlineLvl w:val="1"/>
        <w:rPr>
          <w:rFonts w:hint="eastAsia" w:ascii="仿宋" w:hAnsi="仿宋" w:eastAsia="仿宋" w:cs="仿宋"/>
          <w:b/>
          <w:bCs/>
          <w:sz w:val="36"/>
          <w:szCs w:val="36"/>
          <w:highlight w:val="none"/>
        </w:rPr>
      </w:pPr>
      <w:bookmarkStart w:id="307" w:name="_Toc27691"/>
      <w:bookmarkStart w:id="308" w:name="_Toc8963_WPSOffice_Level1"/>
      <w:bookmarkStart w:id="309" w:name="_Toc25052"/>
      <w:bookmarkStart w:id="310" w:name="_Toc1669_WPSOffice_Level1"/>
      <w:bookmarkStart w:id="311" w:name="_Toc438541314"/>
      <w:bookmarkStart w:id="312" w:name="_Toc21079"/>
      <w:bookmarkStart w:id="313" w:name="_Toc17278"/>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第二部分  报价一览表</w:t>
      </w:r>
      <w:bookmarkEnd w:id="307"/>
      <w:bookmarkEnd w:id="308"/>
      <w:bookmarkEnd w:id="309"/>
      <w:bookmarkEnd w:id="310"/>
      <w:bookmarkEnd w:id="311"/>
      <w:bookmarkEnd w:id="312"/>
      <w:bookmarkEnd w:id="313"/>
    </w:p>
    <w:p>
      <w:pPr>
        <w:spacing w:line="500" w:lineRule="atLeast"/>
        <w:jc w:val="center"/>
        <w:rPr>
          <w:rFonts w:hint="eastAsia" w:ascii="仿宋" w:hAnsi="仿宋" w:eastAsia="仿宋" w:cs="仿宋"/>
          <w:b/>
          <w:bCs/>
          <w:sz w:val="28"/>
          <w:szCs w:val="28"/>
          <w:highlight w:val="none"/>
        </w:rPr>
      </w:pPr>
    </w:p>
    <w:p>
      <w:pPr>
        <w:spacing w:line="500" w:lineRule="atLeast"/>
        <w:ind w:left="1400" w:hanging="1400" w:hangingChars="500"/>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val="en-US" w:eastAsia="zh-CN"/>
        </w:rPr>
        <w:t>镇巴县残疾人联合会2022年政府购买残疾人托养服务项目</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sz w:val="28"/>
          <w:szCs w:val="28"/>
          <w:highlight w:val="none"/>
        </w:rPr>
        <w:t>项目编号：</w:t>
      </w:r>
      <w:r>
        <w:rPr>
          <w:rFonts w:hint="eastAsia" w:ascii="仿宋" w:hAnsi="仿宋" w:eastAsia="仿宋" w:cs="仿宋"/>
          <w:kern w:val="2"/>
          <w:sz w:val="28"/>
          <w:szCs w:val="28"/>
          <w:highlight w:val="none"/>
          <w:lang w:val="en-US" w:eastAsia="zh-CN"/>
        </w:rPr>
        <w:t>HXHC-2022-0061B1</w:t>
      </w:r>
    </w:p>
    <w:p>
      <w:pPr>
        <w:spacing w:line="500" w:lineRule="atLeast"/>
        <w:ind w:left="1400" w:hanging="1400" w:hangingChars="500"/>
        <w:rPr>
          <w:rFonts w:hint="eastAsia" w:ascii="仿宋" w:hAnsi="仿宋" w:eastAsia="仿宋" w:cs="仿宋"/>
          <w:sz w:val="28"/>
          <w:szCs w:val="28"/>
          <w:highlight w:val="none"/>
        </w:rPr>
      </w:pPr>
      <w:r>
        <w:rPr>
          <w:rFonts w:hint="eastAsia" w:ascii="仿宋" w:hAnsi="仿宋" w:eastAsia="仿宋" w:cs="仿宋"/>
          <w:sz w:val="28"/>
          <w:szCs w:val="28"/>
          <w:highlight w:val="none"/>
        </w:rPr>
        <w:t>供 应 商：</w:t>
      </w:r>
    </w:p>
    <w:p>
      <w:pPr>
        <w:spacing w:line="500" w:lineRule="atLeast"/>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报价单位：人民币  元</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2554"/>
        <w:gridCol w:w="1785"/>
        <w:gridCol w:w="2295"/>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2415" w:type="dxa"/>
            <w:noWrap w:val="0"/>
            <w:vAlign w:val="center"/>
          </w:tcPr>
          <w:p>
            <w:pPr>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采购内容</w:t>
            </w:r>
          </w:p>
        </w:tc>
        <w:tc>
          <w:tcPr>
            <w:tcW w:w="2554" w:type="dxa"/>
            <w:noWrap w:val="0"/>
            <w:vAlign w:val="center"/>
          </w:tcPr>
          <w:p>
            <w:pPr>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总报价</w:t>
            </w:r>
          </w:p>
          <w:p>
            <w:pPr>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（元）</w:t>
            </w:r>
          </w:p>
        </w:tc>
        <w:tc>
          <w:tcPr>
            <w:tcW w:w="1785" w:type="dxa"/>
            <w:noWrap w:val="0"/>
            <w:vAlign w:val="center"/>
          </w:tcPr>
          <w:p>
            <w:pPr>
              <w:pStyle w:val="21"/>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 w:hAnsi="仿宋" w:eastAsia="仿宋" w:cs="仿宋"/>
                <w:highlight w:val="none"/>
              </w:rPr>
            </w:pPr>
            <w:r>
              <w:rPr>
                <w:rFonts w:hint="eastAsia" w:ascii="仿宋" w:hAnsi="仿宋" w:eastAsia="仿宋" w:cs="仿宋"/>
                <w:b w:val="0"/>
                <w:bCs/>
                <w:color w:val="auto"/>
                <w:kern w:val="2"/>
                <w:sz w:val="28"/>
                <w:szCs w:val="28"/>
                <w:highlight w:val="none"/>
                <w:lang w:val="zh-CN"/>
              </w:rPr>
              <w:t>服务期限</w:t>
            </w:r>
          </w:p>
        </w:tc>
        <w:tc>
          <w:tcPr>
            <w:tcW w:w="2295" w:type="dxa"/>
            <w:noWrap w:val="0"/>
            <w:vAlign w:val="center"/>
          </w:tcPr>
          <w:p>
            <w:pPr>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质量标准</w:t>
            </w:r>
          </w:p>
          <w:p>
            <w:pPr>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（合格/不合格）</w:t>
            </w:r>
          </w:p>
        </w:tc>
        <w:tc>
          <w:tcPr>
            <w:tcW w:w="843" w:type="dxa"/>
            <w:noWrap w:val="0"/>
            <w:vAlign w:val="center"/>
          </w:tcPr>
          <w:p>
            <w:pPr>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2415" w:type="dxa"/>
            <w:noWrap w:val="0"/>
            <w:vAlign w:val="center"/>
          </w:tcPr>
          <w:p>
            <w:pPr>
              <w:spacing w:line="500" w:lineRule="atLeast"/>
              <w:jc w:val="center"/>
              <w:rPr>
                <w:rFonts w:hint="eastAsia" w:ascii="仿宋" w:hAnsi="仿宋" w:eastAsia="仿宋" w:cs="仿宋"/>
                <w:sz w:val="28"/>
                <w:szCs w:val="28"/>
                <w:highlight w:val="none"/>
              </w:rPr>
            </w:pPr>
          </w:p>
        </w:tc>
        <w:tc>
          <w:tcPr>
            <w:tcW w:w="2554" w:type="dxa"/>
            <w:noWrap w:val="0"/>
            <w:vAlign w:val="center"/>
          </w:tcPr>
          <w:p>
            <w:pPr>
              <w:spacing w:line="500" w:lineRule="atLeast"/>
              <w:jc w:val="center"/>
              <w:rPr>
                <w:rFonts w:hint="eastAsia" w:ascii="仿宋" w:hAnsi="仿宋" w:eastAsia="仿宋" w:cs="仿宋"/>
                <w:sz w:val="28"/>
                <w:szCs w:val="28"/>
                <w:highlight w:val="none"/>
              </w:rPr>
            </w:pPr>
          </w:p>
        </w:tc>
        <w:tc>
          <w:tcPr>
            <w:tcW w:w="1785" w:type="dxa"/>
            <w:noWrap w:val="0"/>
            <w:vAlign w:val="center"/>
          </w:tcPr>
          <w:p>
            <w:pPr>
              <w:spacing w:line="500" w:lineRule="atLeast"/>
              <w:jc w:val="center"/>
              <w:rPr>
                <w:rFonts w:hint="eastAsia" w:ascii="仿宋" w:hAnsi="仿宋" w:eastAsia="仿宋" w:cs="仿宋"/>
                <w:sz w:val="28"/>
                <w:szCs w:val="28"/>
                <w:highlight w:val="none"/>
                <w:lang w:val="en-US" w:eastAsia="zh-CN"/>
              </w:rPr>
            </w:pPr>
            <w:r>
              <w:rPr>
                <w:rFonts w:hint="eastAsia" w:ascii="仿宋" w:hAnsi="仿宋" w:eastAsia="仿宋" w:cs="仿宋"/>
                <w:color w:val="FF0000"/>
                <w:sz w:val="28"/>
                <w:szCs w:val="28"/>
                <w:highlight w:val="none"/>
                <w:lang w:val="en-US" w:eastAsia="zh-CN"/>
              </w:rPr>
              <w:t xml:space="preserve"> </w:t>
            </w:r>
          </w:p>
        </w:tc>
        <w:tc>
          <w:tcPr>
            <w:tcW w:w="2295" w:type="dxa"/>
            <w:noWrap w:val="0"/>
            <w:vAlign w:val="center"/>
          </w:tcPr>
          <w:p>
            <w:pPr>
              <w:spacing w:line="500" w:lineRule="atLeast"/>
              <w:jc w:val="center"/>
              <w:rPr>
                <w:rFonts w:hint="eastAsia" w:ascii="仿宋" w:hAnsi="仿宋" w:eastAsia="仿宋" w:cs="仿宋"/>
                <w:sz w:val="28"/>
                <w:szCs w:val="28"/>
                <w:highlight w:val="none"/>
              </w:rPr>
            </w:pPr>
          </w:p>
        </w:tc>
        <w:tc>
          <w:tcPr>
            <w:tcW w:w="843" w:type="dxa"/>
            <w:noWrap w:val="0"/>
            <w:vAlign w:val="center"/>
          </w:tcPr>
          <w:p>
            <w:pPr>
              <w:spacing w:line="500" w:lineRule="atLeast"/>
              <w:jc w:val="center"/>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892" w:type="dxa"/>
            <w:gridSpan w:val="5"/>
            <w:noWrap w:val="0"/>
            <w:vAlign w:val="center"/>
          </w:tcPr>
          <w:p>
            <w:pPr>
              <w:spacing w:line="500" w:lineRule="atLeast"/>
              <w:rPr>
                <w:rFonts w:hint="eastAsia" w:ascii="仿宋" w:hAnsi="仿宋" w:eastAsia="仿宋" w:cs="仿宋"/>
                <w:sz w:val="28"/>
                <w:szCs w:val="28"/>
                <w:highlight w:val="none"/>
              </w:rPr>
            </w:pPr>
            <w:r>
              <w:rPr>
                <w:rFonts w:hint="eastAsia" w:ascii="仿宋" w:hAnsi="仿宋" w:eastAsia="仿宋" w:cs="仿宋"/>
                <w:sz w:val="28"/>
                <w:szCs w:val="28"/>
                <w:highlight w:val="none"/>
              </w:rPr>
              <w:t>总报价（大写）：</w:t>
            </w:r>
          </w:p>
        </w:tc>
      </w:tr>
    </w:tbl>
    <w:p>
      <w:pPr>
        <w:spacing w:line="500" w:lineRule="atLeast"/>
        <w:jc w:val="center"/>
        <w:rPr>
          <w:rFonts w:hint="eastAsia" w:ascii="仿宋" w:hAnsi="仿宋" w:eastAsia="仿宋" w:cs="仿宋"/>
          <w:b/>
          <w:bCs/>
          <w:color w:val="auto"/>
          <w:kern w:val="2"/>
          <w:sz w:val="28"/>
          <w:szCs w:val="28"/>
          <w:highlight w:val="none"/>
          <w:lang w:val="zh-CN"/>
        </w:rPr>
      </w:pPr>
    </w:p>
    <w:p>
      <w:pPr>
        <w:spacing w:line="500" w:lineRule="atLeast"/>
        <w:jc w:val="left"/>
        <w:rPr>
          <w:rFonts w:hint="eastAsia" w:ascii="仿宋" w:hAnsi="仿宋" w:eastAsia="仿宋" w:cs="仿宋"/>
          <w:sz w:val="28"/>
          <w:szCs w:val="28"/>
          <w:highlight w:val="none"/>
        </w:rPr>
      </w:pPr>
      <w:r>
        <w:rPr>
          <w:rFonts w:hint="eastAsia" w:ascii="仿宋" w:hAnsi="仿宋" w:eastAsia="仿宋" w:cs="仿宋"/>
          <w:b/>
          <w:bCs/>
          <w:color w:val="auto"/>
          <w:kern w:val="2"/>
          <w:sz w:val="28"/>
          <w:szCs w:val="28"/>
          <w:highlight w:val="none"/>
          <w:lang w:val="zh-CN"/>
        </w:rPr>
        <w:t>注：此报价</w:t>
      </w:r>
      <w:r>
        <w:rPr>
          <w:rFonts w:hint="eastAsia" w:ascii="仿宋" w:hAnsi="仿宋" w:eastAsia="仿宋" w:cs="仿宋"/>
          <w:b/>
          <w:bCs/>
          <w:color w:val="auto"/>
          <w:spacing w:val="0"/>
          <w:sz w:val="28"/>
          <w:szCs w:val="28"/>
          <w:highlight w:val="none"/>
        </w:rPr>
        <w:t>包括</w:t>
      </w:r>
      <w:r>
        <w:rPr>
          <w:rFonts w:hint="eastAsia" w:ascii="仿宋" w:hAnsi="仿宋" w:eastAsia="仿宋" w:cs="仿宋"/>
          <w:b/>
          <w:bCs/>
          <w:sz w:val="28"/>
          <w:szCs w:val="28"/>
          <w:highlight w:val="none"/>
          <w:lang w:eastAsia="zh-CN"/>
        </w:rPr>
        <w:t>服务费、</w:t>
      </w:r>
      <w:r>
        <w:rPr>
          <w:rFonts w:hint="eastAsia" w:ascii="仿宋" w:hAnsi="仿宋" w:eastAsia="仿宋" w:cs="仿宋"/>
          <w:b/>
          <w:bCs/>
          <w:sz w:val="28"/>
          <w:szCs w:val="28"/>
          <w:highlight w:val="none"/>
        </w:rPr>
        <w:t>人工费、</w:t>
      </w:r>
      <w:r>
        <w:rPr>
          <w:rFonts w:hint="eastAsia" w:ascii="仿宋" w:hAnsi="仿宋" w:eastAsia="仿宋" w:cs="仿宋"/>
          <w:b/>
          <w:bCs/>
          <w:sz w:val="28"/>
          <w:szCs w:val="28"/>
          <w:highlight w:val="none"/>
          <w:lang w:eastAsia="zh-CN"/>
        </w:rPr>
        <w:t>管理费、</w:t>
      </w:r>
      <w:r>
        <w:rPr>
          <w:rFonts w:hint="eastAsia" w:ascii="仿宋" w:hAnsi="仿宋" w:eastAsia="仿宋" w:cs="仿宋"/>
          <w:b/>
          <w:bCs/>
          <w:sz w:val="28"/>
          <w:szCs w:val="28"/>
          <w:highlight w:val="none"/>
        </w:rPr>
        <w:t>完成准备阶段、实施阶段、成果交付</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税金、风险及验收</w:t>
      </w:r>
      <w:r>
        <w:rPr>
          <w:rFonts w:hint="eastAsia" w:ascii="仿宋" w:hAnsi="仿宋" w:eastAsia="仿宋" w:cs="仿宋"/>
          <w:b/>
          <w:bCs/>
          <w:color w:val="auto"/>
          <w:spacing w:val="0"/>
          <w:sz w:val="28"/>
          <w:szCs w:val="28"/>
          <w:highlight w:val="none"/>
        </w:rPr>
        <w:t>等所有费用</w:t>
      </w:r>
      <w:r>
        <w:rPr>
          <w:rFonts w:hint="eastAsia" w:ascii="仿宋" w:hAnsi="仿宋" w:eastAsia="仿宋" w:cs="仿宋"/>
          <w:color w:val="auto"/>
          <w:sz w:val="28"/>
          <w:szCs w:val="28"/>
          <w:highlight w:val="none"/>
          <w:u w:val="none" w:color="000000"/>
        </w:rPr>
        <w:t>。</w:t>
      </w:r>
    </w:p>
    <w:p>
      <w:pPr>
        <w:spacing w:line="500" w:lineRule="atLeast"/>
        <w:jc w:val="right"/>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  应  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pStyle w:val="21"/>
        <w:spacing w:line="500" w:lineRule="exact"/>
        <w:jc w:val="both"/>
        <w:rPr>
          <w:rFonts w:hint="eastAsia" w:ascii="仿宋" w:hAnsi="仿宋" w:eastAsia="仿宋" w:cs="仿宋"/>
          <w:bCs/>
          <w:sz w:val="32"/>
          <w:szCs w:val="32"/>
          <w:highlight w:val="none"/>
        </w:rPr>
      </w:pPr>
      <w:bookmarkStart w:id="314" w:name="_Toc12941"/>
      <w:bookmarkStart w:id="315" w:name="_Toc16561"/>
      <w:bookmarkStart w:id="316" w:name="_Toc438541316"/>
    </w:p>
    <w:p>
      <w:pPr>
        <w:pStyle w:val="21"/>
        <w:spacing w:line="500" w:lineRule="exact"/>
        <w:rPr>
          <w:rFonts w:hint="eastAsia" w:ascii="仿宋" w:hAnsi="仿宋" w:eastAsia="仿宋" w:cs="仿宋"/>
          <w:bCs/>
          <w:sz w:val="32"/>
          <w:szCs w:val="32"/>
          <w:highlight w:val="none"/>
        </w:rPr>
      </w:pPr>
      <w:r>
        <w:rPr>
          <w:rFonts w:hint="eastAsia" w:ascii="仿宋" w:hAnsi="仿宋" w:eastAsia="仿宋" w:cs="仿宋"/>
          <w:bCs/>
          <w:sz w:val="32"/>
          <w:szCs w:val="32"/>
          <w:highlight w:val="none"/>
        </w:rPr>
        <w:t>分项报价表</w:t>
      </w:r>
    </w:p>
    <w:p>
      <w:pPr>
        <w:pStyle w:val="21"/>
        <w:spacing w:line="500" w:lineRule="exact"/>
        <w:jc w:val="right"/>
        <w:rPr>
          <w:rFonts w:hint="eastAsia" w:ascii="仿宋" w:hAnsi="仿宋" w:eastAsia="仿宋" w:cs="仿宋"/>
          <w:b w:val="0"/>
          <w:bCs/>
          <w:sz w:val="32"/>
          <w:szCs w:val="32"/>
          <w:highlight w:val="none"/>
        </w:rPr>
      </w:pPr>
      <w:r>
        <w:rPr>
          <w:rFonts w:hint="eastAsia" w:ascii="仿宋" w:hAnsi="仿宋" w:eastAsia="仿宋" w:cs="仿宋"/>
          <w:b w:val="0"/>
          <w:bCs/>
          <w:sz w:val="28"/>
          <w:szCs w:val="28"/>
          <w:highlight w:val="none"/>
        </w:rPr>
        <w:t>（报价单位人民币：元）</w:t>
      </w:r>
    </w:p>
    <w:tbl>
      <w:tblPr>
        <w:tblStyle w:val="15"/>
        <w:tblpPr w:leftFromText="180" w:rightFromText="180" w:vertAnchor="text" w:horzAnchor="page" w:tblpX="1080" w:tblpY="4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3168"/>
        <w:gridCol w:w="855"/>
        <w:gridCol w:w="915"/>
        <w:gridCol w:w="1350"/>
        <w:gridCol w:w="136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7" w:type="dxa"/>
            <w:noWrap w:val="0"/>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3168" w:type="dxa"/>
            <w:noWrap w:val="0"/>
            <w:vAlign w:val="center"/>
          </w:tcPr>
          <w:p>
            <w:pPr>
              <w:widowControl/>
              <w:jc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费用组成</w:t>
            </w:r>
          </w:p>
        </w:tc>
        <w:tc>
          <w:tcPr>
            <w:tcW w:w="855" w:type="dxa"/>
            <w:noWrap w:val="0"/>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单位</w:t>
            </w:r>
          </w:p>
        </w:tc>
        <w:tc>
          <w:tcPr>
            <w:tcW w:w="915" w:type="dxa"/>
            <w:noWrap w:val="0"/>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数量</w:t>
            </w:r>
          </w:p>
        </w:tc>
        <w:tc>
          <w:tcPr>
            <w:tcW w:w="1350" w:type="dxa"/>
            <w:noWrap w:val="0"/>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单价</w:t>
            </w:r>
          </w:p>
        </w:tc>
        <w:tc>
          <w:tcPr>
            <w:tcW w:w="1365" w:type="dxa"/>
            <w:noWrap w:val="0"/>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合价</w:t>
            </w:r>
          </w:p>
        </w:tc>
        <w:tc>
          <w:tcPr>
            <w:tcW w:w="1335" w:type="dxa"/>
            <w:noWrap w:val="0"/>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w:t>
            </w:r>
          </w:p>
        </w:tc>
        <w:tc>
          <w:tcPr>
            <w:tcW w:w="3168" w:type="dxa"/>
            <w:noWrap w:val="0"/>
            <w:vAlign w:val="center"/>
          </w:tcPr>
          <w:p>
            <w:pPr>
              <w:widowControl/>
              <w:jc w:val="left"/>
              <w:rPr>
                <w:rFonts w:hint="eastAsia" w:ascii="仿宋" w:hAnsi="仿宋" w:eastAsia="仿宋" w:cs="仿宋"/>
                <w:color w:val="auto"/>
                <w:kern w:val="0"/>
                <w:sz w:val="24"/>
                <w:szCs w:val="24"/>
                <w:highlight w:val="none"/>
              </w:rPr>
            </w:pPr>
          </w:p>
        </w:tc>
        <w:tc>
          <w:tcPr>
            <w:tcW w:w="855" w:type="dxa"/>
            <w:noWrap w:val="0"/>
            <w:vAlign w:val="center"/>
          </w:tcPr>
          <w:p>
            <w:pPr>
              <w:widowControl/>
              <w:jc w:val="center"/>
              <w:rPr>
                <w:rFonts w:hint="eastAsia" w:ascii="仿宋" w:hAnsi="仿宋" w:eastAsia="仿宋" w:cs="仿宋"/>
                <w:color w:val="auto"/>
                <w:kern w:val="0"/>
                <w:sz w:val="24"/>
                <w:szCs w:val="24"/>
                <w:highlight w:val="none"/>
              </w:rPr>
            </w:pPr>
          </w:p>
        </w:tc>
        <w:tc>
          <w:tcPr>
            <w:tcW w:w="915" w:type="dxa"/>
            <w:noWrap w:val="0"/>
            <w:vAlign w:val="center"/>
          </w:tcPr>
          <w:p>
            <w:pPr>
              <w:widowControl/>
              <w:jc w:val="center"/>
              <w:rPr>
                <w:rFonts w:hint="eastAsia" w:ascii="仿宋" w:hAnsi="仿宋" w:eastAsia="仿宋" w:cs="仿宋"/>
                <w:color w:val="auto"/>
                <w:kern w:val="0"/>
                <w:sz w:val="24"/>
                <w:szCs w:val="24"/>
                <w:highlight w:val="none"/>
              </w:rPr>
            </w:pPr>
          </w:p>
        </w:tc>
        <w:tc>
          <w:tcPr>
            <w:tcW w:w="1350" w:type="dxa"/>
            <w:noWrap w:val="0"/>
            <w:vAlign w:val="center"/>
          </w:tcPr>
          <w:p>
            <w:pPr>
              <w:widowControl/>
              <w:jc w:val="center"/>
              <w:rPr>
                <w:rFonts w:hint="eastAsia" w:ascii="仿宋" w:hAnsi="仿宋" w:eastAsia="仿宋" w:cs="仿宋"/>
                <w:color w:val="auto"/>
                <w:kern w:val="0"/>
                <w:sz w:val="24"/>
                <w:szCs w:val="24"/>
                <w:highlight w:val="none"/>
              </w:rPr>
            </w:pPr>
          </w:p>
        </w:tc>
        <w:tc>
          <w:tcPr>
            <w:tcW w:w="1365" w:type="dxa"/>
            <w:noWrap w:val="0"/>
            <w:vAlign w:val="center"/>
          </w:tcPr>
          <w:p>
            <w:pPr>
              <w:widowControl/>
              <w:jc w:val="left"/>
              <w:rPr>
                <w:rFonts w:hint="eastAsia" w:ascii="仿宋" w:hAnsi="仿宋" w:eastAsia="仿宋" w:cs="仿宋"/>
                <w:b/>
                <w:bCs/>
                <w:color w:val="auto"/>
                <w:kern w:val="0"/>
                <w:sz w:val="24"/>
                <w:szCs w:val="24"/>
                <w:highlight w:val="none"/>
              </w:rPr>
            </w:pPr>
          </w:p>
        </w:tc>
        <w:tc>
          <w:tcPr>
            <w:tcW w:w="1335" w:type="dxa"/>
            <w:noWrap w:val="0"/>
            <w:vAlign w:val="center"/>
          </w:tcPr>
          <w:p>
            <w:pPr>
              <w:widowControl/>
              <w:jc w:val="left"/>
              <w:rPr>
                <w:rFonts w:hint="eastAsia" w:ascii="仿宋" w:hAnsi="仿宋" w:eastAsia="仿宋" w:cs="仿宋"/>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2</w:t>
            </w:r>
          </w:p>
        </w:tc>
        <w:tc>
          <w:tcPr>
            <w:tcW w:w="3168" w:type="dxa"/>
            <w:noWrap w:val="0"/>
            <w:vAlign w:val="center"/>
          </w:tcPr>
          <w:p>
            <w:pPr>
              <w:widowControl/>
              <w:jc w:val="left"/>
              <w:rPr>
                <w:rFonts w:hint="eastAsia" w:ascii="仿宋" w:hAnsi="仿宋" w:eastAsia="仿宋" w:cs="仿宋"/>
                <w:b/>
                <w:bCs/>
                <w:color w:val="auto"/>
                <w:kern w:val="0"/>
                <w:sz w:val="24"/>
                <w:szCs w:val="24"/>
                <w:highlight w:val="none"/>
              </w:rPr>
            </w:pPr>
          </w:p>
        </w:tc>
        <w:tc>
          <w:tcPr>
            <w:tcW w:w="855" w:type="dxa"/>
            <w:noWrap w:val="0"/>
            <w:vAlign w:val="center"/>
          </w:tcPr>
          <w:p>
            <w:pPr>
              <w:widowControl/>
              <w:jc w:val="center"/>
              <w:rPr>
                <w:rFonts w:hint="eastAsia" w:ascii="仿宋" w:hAnsi="仿宋" w:eastAsia="仿宋" w:cs="仿宋"/>
                <w:color w:val="auto"/>
                <w:kern w:val="0"/>
                <w:sz w:val="24"/>
                <w:szCs w:val="24"/>
                <w:highlight w:val="none"/>
              </w:rPr>
            </w:pPr>
          </w:p>
        </w:tc>
        <w:tc>
          <w:tcPr>
            <w:tcW w:w="915" w:type="dxa"/>
            <w:noWrap w:val="0"/>
            <w:vAlign w:val="center"/>
          </w:tcPr>
          <w:p>
            <w:pPr>
              <w:widowControl/>
              <w:jc w:val="center"/>
              <w:rPr>
                <w:rFonts w:hint="eastAsia" w:ascii="仿宋" w:hAnsi="仿宋" w:eastAsia="仿宋" w:cs="仿宋"/>
                <w:color w:val="auto"/>
                <w:kern w:val="0"/>
                <w:sz w:val="24"/>
                <w:szCs w:val="24"/>
                <w:highlight w:val="none"/>
              </w:rPr>
            </w:pPr>
          </w:p>
        </w:tc>
        <w:tc>
          <w:tcPr>
            <w:tcW w:w="1350" w:type="dxa"/>
            <w:noWrap w:val="0"/>
            <w:vAlign w:val="center"/>
          </w:tcPr>
          <w:p>
            <w:pPr>
              <w:widowControl/>
              <w:jc w:val="center"/>
              <w:rPr>
                <w:rFonts w:hint="eastAsia" w:ascii="仿宋" w:hAnsi="仿宋" w:eastAsia="仿宋" w:cs="仿宋"/>
                <w:color w:val="auto"/>
                <w:kern w:val="0"/>
                <w:sz w:val="24"/>
                <w:szCs w:val="24"/>
                <w:highlight w:val="none"/>
              </w:rPr>
            </w:pPr>
          </w:p>
        </w:tc>
        <w:tc>
          <w:tcPr>
            <w:tcW w:w="1365" w:type="dxa"/>
            <w:noWrap w:val="0"/>
            <w:vAlign w:val="center"/>
          </w:tcPr>
          <w:p>
            <w:pPr>
              <w:widowControl/>
              <w:jc w:val="left"/>
              <w:rPr>
                <w:rFonts w:hint="eastAsia" w:ascii="仿宋" w:hAnsi="仿宋" w:eastAsia="仿宋" w:cs="仿宋"/>
                <w:b/>
                <w:bCs/>
                <w:color w:val="auto"/>
                <w:kern w:val="0"/>
                <w:sz w:val="24"/>
                <w:szCs w:val="24"/>
                <w:highlight w:val="none"/>
              </w:rPr>
            </w:pPr>
          </w:p>
        </w:tc>
        <w:tc>
          <w:tcPr>
            <w:tcW w:w="1335" w:type="dxa"/>
            <w:noWrap w:val="0"/>
            <w:vAlign w:val="center"/>
          </w:tcPr>
          <w:p>
            <w:pPr>
              <w:widowControl/>
              <w:jc w:val="left"/>
              <w:rPr>
                <w:rFonts w:hint="eastAsia" w:ascii="仿宋" w:hAnsi="仿宋" w:eastAsia="仿宋" w:cs="仿宋"/>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color w:val="auto"/>
                <w:kern w:val="0"/>
                <w:sz w:val="24"/>
                <w:szCs w:val="24"/>
                <w:highlight w:val="none"/>
              </w:rPr>
              <w:t>3</w:t>
            </w:r>
          </w:p>
        </w:tc>
        <w:tc>
          <w:tcPr>
            <w:tcW w:w="3168" w:type="dxa"/>
            <w:noWrap w:val="0"/>
            <w:vAlign w:val="center"/>
          </w:tcPr>
          <w:p>
            <w:pPr>
              <w:widowControl/>
              <w:jc w:val="left"/>
              <w:rPr>
                <w:rFonts w:hint="eastAsia" w:ascii="仿宋" w:hAnsi="仿宋" w:eastAsia="仿宋" w:cs="仿宋"/>
                <w:color w:val="auto"/>
                <w:kern w:val="0"/>
                <w:sz w:val="24"/>
                <w:szCs w:val="24"/>
                <w:highlight w:val="none"/>
              </w:rPr>
            </w:pPr>
          </w:p>
        </w:tc>
        <w:tc>
          <w:tcPr>
            <w:tcW w:w="855" w:type="dxa"/>
            <w:noWrap w:val="0"/>
            <w:vAlign w:val="center"/>
          </w:tcPr>
          <w:p>
            <w:pPr>
              <w:widowControl/>
              <w:jc w:val="center"/>
              <w:rPr>
                <w:rFonts w:hint="eastAsia" w:ascii="仿宋" w:hAnsi="仿宋" w:eastAsia="仿宋" w:cs="仿宋"/>
                <w:color w:val="auto"/>
                <w:kern w:val="0"/>
                <w:sz w:val="24"/>
                <w:szCs w:val="24"/>
                <w:highlight w:val="none"/>
              </w:rPr>
            </w:pPr>
          </w:p>
        </w:tc>
        <w:tc>
          <w:tcPr>
            <w:tcW w:w="915" w:type="dxa"/>
            <w:noWrap w:val="0"/>
            <w:vAlign w:val="center"/>
          </w:tcPr>
          <w:p>
            <w:pPr>
              <w:widowControl/>
              <w:jc w:val="center"/>
              <w:rPr>
                <w:rFonts w:hint="eastAsia" w:ascii="仿宋" w:hAnsi="仿宋" w:eastAsia="仿宋" w:cs="仿宋"/>
                <w:color w:val="auto"/>
                <w:kern w:val="0"/>
                <w:sz w:val="24"/>
                <w:szCs w:val="24"/>
                <w:highlight w:val="none"/>
              </w:rPr>
            </w:pPr>
          </w:p>
        </w:tc>
        <w:tc>
          <w:tcPr>
            <w:tcW w:w="1350" w:type="dxa"/>
            <w:noWrap w:val="0"/>
            <w:vAlign w:val="center"/>
          </w:tcPr>
          <w:p>
            <w:pPr>
              <w:widowControl/>
              <w:jc w:val="center"/>
              <w:rPr>
                <w:rFonts w:hint="eastAsia" w:ascii="仿宋" w:hAnsi="仿宋" w:eastAsia="仿宋" w:cs="仿宋"/>
                <w:color w:val="auto"/>
                <w:kern w:val="0"/>
                <w:sz w:val="24"/>
                <w:szCs w:val="24"/>
                <w:highlight w:val="none"/>
              </w:rPr>
            </w:pPr>
          </w:p>
        </w:tc>
        <w:tc>
          <w:tcPr>
            <w:tcW w:w="1365" w:type="dxa"/>
            <w:noWrap w:val="0"/>
            <w:vAlign w:val="center"/>
          </w:tcPr>
          <w:p>
            <w:pPr>
              <w:widowControl/>
              <w:rPr>
                <w:rFonts w:hint="eastAsia" w:ascii="仿宋" w:hAnsi="仿宋" w:eastAsia="仿宋" w:cs="仿宋"/>
                <w:color w:val="auto"/>
                <w:kern w:val="0"/>
                <w:sz w:val="24"/>
                <w:szCs w:val="24"/>
                <w:highlight w:val="none"/>
              </w:rPr>
            </w:pPr>
          </w:p>
        </w:tc>
        <w:tc>
          <w:tcPr>
            <w:tcW w:w="1335" w:type="dxa"/>
            <w:noWrap w:val="0"/>
            <w:vAlign w:val="center"/>
          </w:tcPr>
          <w:p>
            <w:pPr>
              <w:widowControl/>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997" w:type="dxa"/>
            <w:noWrap w:val="0"/>
            <w:vAlign w:val="center"/>
          </w:tcPr>
          <w:p>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bCs/>
                <w:color w:val="auto"/>
                <w:kern w:val="0"/>
                <w:sz w:val="24"/>
                <w:szCs w:val="24"/>
                <w:highlight w:val="none"/>
              </w:rPr>
              <w:t>4</w:t>
            </w:r>
          </w:p>
        </w:tc>
        <w:tc>
          <w:tcPr>
            <w:tcW w:w="3168" w:type="dxa"/>
            <w:noWrap w:val="0"/>
            <w:vAlign w:val="center"/>
          </w:tcPr>
          <w:p>
            <w:pPr>
              <w:widowControl/>
              <w:jc w:val="left"/>
              <w:rPr>
                <w:rFonts w:hint="eastAsia" w:ascii="仿宋" w:hAnsi="仿宋" w:eastAsia="仿宋" w:cs="仿宋"/>
                <w:color w:val="auto"/>
                <w:kern w:val="0"/>
                <w:sz w:val="24"/>
                <w:szCs w:val="24"/>
                <w:highlight w:val="none"/>
              </w:rPr>
            </w:pPr>
          </w:p>
        </w:tc>
        <w:tc>
          <w:tcPr>
            <w:tcW w:w="855" w:type="dxa"/>
            <w:noWrap w:val="0"/>
            <w:vAlign w:val="center"/>
          </w:tcPr>
          <w:p>
            <w:pPr>
              <w:widowControl/>
              <w:jc w:val="center"/>
              <w:rPr>
                <w:rFonts w:hint="eastAsia" w:ascii="仿宋" w:hAnsi="仿宋" w:eastAsia="仿宋" w:cs="仿宋"/>
                <w:color w:val="auto"/>
                <w:kern w:val="0"/>
                <w:sz w:val="24"/>
                <w:szCs w:val="24"/>
                <w:highlight w:val="none"/>
              </w:rPr>
            </w:pPr>
          </w:p>
        </w:tc>
        <w:tc>
          <w:tcPr>
            <w:tcW w:w="915" w:type="dxa"/>
            <w:noWrap w:val="0"/>
            <w:vAlign w:val="center"/>
          </w:tcPr>
          <w:p>
            <w:pPr>
              <w:widowControl/>
              <w:jc w:val="center"/>
              <w:rPr>
                <w:rFonts w:hint="eastAsia" w:ascii="仿宋" w:hAnsi="仿宋" w:eastAsia="仿宋" w:cs="仿宋"/>
                <w:color w:val="auto"/>
                <w:kern w:val="0"/>
                <w:sz w:val="24"/>
                <w:szCs w:val="24"/>
                <w:highlight w:val="none"/>
              </w:rPr>
            </w:pPr>
          </w:p>
        </w:tc>
        <w:tc>
          <w:tcPr>
            <w:tcW w:w="1350" w:type="dxa"/>
            <w:noWrap w:val="0"/>
            <w:vAlign w:val="center"/>
          </w:tcPr>
          <w:p>
            <w:pPr>
              <w:widowControl/>
              <w:jc w:val="center"/>
              <w:rPr>
                <w:rFonts w:hint="eastAsia" w:ascii="仿宋" w:hAnsi="仿宋" w:eastAsia="仿宋" w:cs="仿宋"/>
                <w:color w:val="auto"/>
                <w:kern w:val="0"/>
                <w:sz w:val="24"/>
                <w:szCs w:val="24"/>
                <w:highlight w:val="none"/>
              </w:rPr>
            </w:pPr>
          </w:p>
        </w:tc>
        <w:tc>
          <w:tcPr>
            <w:tcW w:w="1365" w:type="dxa"/>
            <w:noWrap w:val="0"/>
            <w:vAlign w:val="center"/>
          </w:tcPr>
          <w:p>
            <w:pPr>
              <w:widowControl/>
              <w:rPr>
                <w:rFonts w:hint="eastAsia" w:ascii="仿宋" w:hAnsi="仿宋" w:eastAsia="仿宋" w:cs="仿宋"/>
                <w:color w:val="auto"/>
                <w:kern w:val="0"/>
                <w:sz w:val="24"/>
                <w:szCs w:val="24"/>
                <w:highlight w:val="none"/>
              </w:rPr>
            </w:pPr>
          </w:p>
        </w:tc>
        <w:tc>
          <w:tcPr>
            <w:tcW w:w="1335" w:type="dxa"/>
            <w:noWrap w:val="0"/>
            <w:vAlign w:val="center"/>
          </w:tcPr>
          <w:p>
            <w:pPr>
              <w:widowControl/>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jc w:val="center"/>
              <w:rPr>
                <w:rFonts w:hint="eastAsia" w:ascii="仿宋" w:hAnsi="仿宋" w:eastAsia="仿宋" w:cs="仿宋"/>
                <w:b/>
                <w:bCs/>
                <w:color w:val="auto"/>
                <w:kern w:val="0"/>
                <w:sz w:val="24"/>
                <w:szCs w:val="24"/>
                <w:highlight w:val="none"/>
              </w:rPr>
            </w:pPr>
            <w:r>
              <w:rPr>
                <w:rFonts w:hint="eastAsia" w:ascii="仿宋" w:hAnsi="仿宋" w:eastAsia="仿宋" w:cs="仿宋"/>
                <w:b/>
                <w:color w:val="auto"/>
                <w:kern w:val="0"/>
                <w:sz w:val="24"/>
                <w:szCs w:val="24"/>
                <w:highlight w:val="none"/>
              </w:rPr>
              <w:t>5</w:t>
            </w:r>
          </w:p>
        </w:tc>
        <w:tc>
          <w:tcPr>
            <w:tcW w:w="3168" w:type="dxa"/>
            <w:noWrap w:val="0"/>
            <w:vAlign w:val="center"/>
          </w:tcPr>
          <w:p>
            <w:pPr>
              <w:widowControl/>
              <w:jc w:val="left"/>
              <w:rPr>
                <w:rFonts w:hint="eastAsia" w:ascii="仿宋" w:hAnsi="仿宋" w:eastAsia="仿宋" w:cs="仿宋"/>
                <w:b/>
                <w:bCs/>
                <w:color w:val="auto"/>
                <w:kern w:val="0"/>
                <w:sz w:val="24"/>
                <w:szCs w:val="24"/>
                <w:highlight w:val="none"/>
              </w:rPr>
            </w:pPr>
          </w:p>
        </w:tc>
        <w:tc>
          <w:tcPr>
            <w:tcW w:w="855" w:type="dxa"/>
            <w:noWrap w:val="0"/>
            <w:vAlign w:val="center"/>
          </w:tcPr>
          <w:p>
            <w:pPr>
              <w:widowControl/>
              <w:jc w:val="center"/>
              <w:rPr>
                <w:rFonts w:hint="eastAsia" w:ascii="仿宋" w:hAnsi="仿宋" w:eastAsia="仿宋" w:cs="仿宋"/>
                <w:color w:val="auto"/>
                <w:kern w:val="0"/>
                <w:sz w:val="24"/>
                <w:szCs w:val="24"/>
                <w:highlight w:val="none"/>
              </w:rPr>
            </w:pPr>
          </w:p>
        </w:tc>
        <w:tc>
          <w:tcPr>
            <w:tcW w:w="915" w:type="dxa"/>
            <w:noWrap w:val="0"/>
            <w:vAlign w:val="center"/>
          </w:tcPr>
          <w:p>
            <w:pPr>
              <w:widowControl/>
              <w:jc w:val="center"/>
              <w:rPr>
                <w:rFonts w:hint="eastAsia" w:ascii="仿宋" w:hAnsi="仿宋" w:eastAsia="仿宋" w:cs="仿宋"/>
                <w:color w:val="auto"/>
                <w:kern w:val="0"/>
                <w:sz w:val="24"/>
                <w:szCs w:val="24"/>
                <w:highlight w:val="none"/>
              </w:rPr>
            </w:pPr>
          </w:p>
        </w:tc>
        <w:tc>
          <w:tcPr>
            <w:tcW w:w="1350" w:type="dxa"/>
            <w:noWrap w:val="0"/>
            <w:vAlign w:val="center"/>
          </w:tcPr>
          <w:p>
            <w:pPr>
              <w:widowControl/>
              <w:jc w:val="center"/>
              <w:rPr>
                <w:rFonts w:hint="eastAsia" w:ascii="仿宋" w:hAnsi="仿宋" w:eastAsia="仿宋" w:cs="仿宋"/>
                <w:color w:val="auto"/>
                <w:kern w:val="0"/>
                <w:sz w:val="24"/>
                <w:szCs w:val="24"/>
                <w:highlight w:val="none"/>
              </w:rPr>
            </w:pPr>
          </w:p>
        </w:tc>
        <w:tc>
          <w:tcPr>
            <w:tcW w:w="1365" w:type="dxa"/>
            <w:noWrap w:val="0"/>
            <w:vAlign w:val="center"/>
          </w:tcPr>
          <w:p>
            <w:pPr>
              <w:widowControl/>
              <w:rPr>
                <w:rFonts w:hint="eastAsia" w:ascii="仿宋" w:hAnsi="仿宋" w:eastAsia="仿宋" w:cs="仿宋"/>
                <w:color w:val="auto"/>
                <w:kern w:val="0"/>
                <w:sz w:val="24"/>
                <w:szCs w:val="24"/>
                <w:highlight w:val="none"/>
              </w:rPr>
            </w:pPr>
          </w:p>
        </w:tc>
        <w:tc>
          <w:tcPr>
            <w:tcW w:w="1335" w:type="dxa"/>
            <w:noWrap w:val="0"/>
            <w:vAlign w:val="center"/>
          </w:tcPr>
          <w:p>
            <w:pPr>
              <w:widowControl/>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w:t>
            </w:r>
          </w:p>
        </w:tc>
        <w:tc>
          <w:tcPr>
            <w:tcW w:w="3168" w:type="dxa"/>
            <w:noWrap w:val="0"/>
            <w:vAlign w:val="center"/>
          </w:tcPr>
          <w:p>
            <w:pPr>
              <w:widowControl/>
              <w:jc w:val="left"/>
              <w:rPr>
                <w:rFonts w:hint="eastAsia" w:ascii="仿宋" w:hAnsi="仿宋" w:eastAsia="仿宋" w:cs="仿宋"/>
                <w:b/>
                <w:bCs/>
                <w:color w:val="auto"/>
                <w:kern w:val="0"/>
                <w:sz w:val="24"/>
                <w:szCs w:val="24"/>
                <w:highlight w:val="none"/>
              </w:rPr>
            </w:pPr>
          </w:p>
        </w:tc>
        <w:tc>
          <w:tcPr>
            <w:tcW w:w="855" w:type="dxa"/>
            <w:noWrap w:val="0"/>
            <w:vAlign w:val="center"/>
          </w:tcPr>
          <w:p>
            <w:pPr>
              <w:jc w:val="center"/>
              <w:rPr>
                <w:rFonts w:hint="eastAsia" w:ascii="仿宋" w:hAnsi="仿宋" w:eastAsia="仿宋" w:cs="仿宋"/>
                <w:color w:val="auto"/>
                <w:kern w:val="0"/>
                <w:sz w:val="24"/>
                <w:szCs w:val="24"/>
                <w:highlight w:val="none"/>
              </w:rPr>
            </w:pPr>
          </w:p>
        </w:tc>
        <w:tc>
          <w:tcPr>
            <w:tcW w:w="915" w:type="dxa"/>
            <w:noWrap w:val="0"/>
            <w:vAlign w:val="center"/>
          </w:tcPr>
          <w:p>
            <w:pPr>
              <w:jc w:val="center"/>
              <w:rPr>
                <w:rFonts w:hint="eastAsia" w:ascii="仿宋" w:hAnsi="仿宋" w:eastAsia="仿宋" w:cs="仿宋"/>
                <w:color w:val="auto"/>
                <w:kern w:val="0"/>
                <w:sz w:val="24"/>
                <w:szCs w:val="24"/>
                <w:highlight w:val="none"/>
              </w:rPr>
            </w:pPr>
          </w:p>
        </w:tc>
        <w:tc>
          <w:tcPr>
            <w:tcW w:w="1350" w:type="dxa"/>
            <w:noWrap w:val="0"/>
            <w:vAlign w:val="center"/>
          </w:tcPr>
          <w:p>
            <w:pPr>
              <w:jc w:val="center"/>
              <w:rPr>
                <w:rFonts w:hint="eastAsia" w:ascii="仿宋" w:hAnsi="仿宋" w:eastAsia="仿宋" w:cs="仿宋"/>
                <w:color w:val="auto"/>
                <w:kern w:val="0"/>
                <w:sz w:val="24"/>
                <w:szCs w:val="24"/>
                <w:highlight w:val="none"/>
              </w:rPr>
            </w:pPr>
          </w:p>
        </w:tc>
        <w:tc>
          <w:tcPr>
            <w:tcW w:w="1365" w:type="dxa"/>
            <w:noWrap w:val="0"/>
            <w:vAlign w:val="center"/>
          </w:tcPr>
          <w:p>
            <w:pPr>
              <w:rPr>
                <w:rFonts w:hint="eastAsia" w:ascii="仿宋" w:hAnsi="仿宋" w:eastAsia="仿宋" w:cs="仿宋"/>
                <w:color w:val="auto"/>
                <w:kern w:val="0"/>
                <w:sz w:val="24"/>
                <w:szCs w:val="24"/>
                <w:highlight w:val="none"/>
              </w:rPr>
            </w:pPr>
          </w:p>
        </w:tc>
        <w:tc>
          <w:tcPr>
            <w:tcW w:w="1335" w:type="dxa"/>
            <w:noWrap w:val="0"/>
            <w:vAlign w:val="center"/>
          </w:tcPr>
          <w:p>
            <w:pP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w:t>
            </w:r>
          </w:p>
        </w:tc>
        <w:tc>
          <w:tcPr>
            <w:tcW w:w="3168" w:type="dxa"/>
            <w:noWrap w:val="0"/>
            <w:vAlign w:val="center"/>
          </w:tcPr>
          <w:p>
            <w:pPr>
              <w:widowControl/>
              <w:jc w:val="left"/>
              <w:rPr>
                <w:rFonts w:hint="eastAsia" w:ascii="仿宋" w:hAnsi="仿宋" w:eastAsia="仿宋" w:cs="仿宋"/>
                <w:b/>
                <w:bCs/>
                <w:color w:val="auto"/>
                <w:kern w:val="0"/>
                <w:sz w:val="24"/>
                <w:szCs w:val="24"/>
                <w:highlight w:val="none"/>
              </w:rPr>
            </w:pPr>
          </w:p>
        </w:tc>
        <w:tc>
          <w:tcPr>
            <w:tcW w:w="855" w:type="dxa"/>
            <w:noWrap w:val="0"/>
            <w:vAlign w:val="center"/>
          </w:tcPr>
          <w:p>
            <w:pPr>
              <w:jc w:val="center"/>
              <w:rPr>
                <w:rFonts w:hint="eastAsia" w:ascii="仿宋" w:hAnsi="仿宋" w:eastAsia="仿宋" w:cs="仿宋"/>
                <w:color w:val="auto"/>
                <w:kern w:val="0"/>
                <w:sz w:val="24"/>
                <w:szCs w:val="24"/>
                <w:highlight w:val="none"/>
              </w:rPr>
            </w:pPr>
          </w:p>
        </w:tc>
        <w:tc>
          <w:tcPr>
            <w:tcW w:w="915" w:type="dxa"/>
            <w:noWrap w:val="0"/>
            <w:vAlign w:val="center"/>
          </w:tcPr>
          <w:p>
            <w:pPr>
              <w:jc w:val="center"/>
              <w:rPr>
                <w:rFonts w:hint="eastAsia" w:ascii="仿宋" w:hAnsi="仿宋" w:eastAsia="仿宋" w:cs="仿宋"/>
                <w:color w:val="auto"/>
                <w:kern w:val="0"/>
                <w:sz w:val="24"/>
                <w:szCs w:val="24"/>
                <w:highlight w:val="none"/>
              </w:rPr>
            </w:pPr>
          </w:p>
        </w:tc>
        <w:tc>
          <w:tcPr>
            <w:tcW w:w="1350" w:type="dxa"/>
            <w:noWrap w:val="0"/>
            <w:vAlign w:val="center"/>
          </w:tcPr>
          <w:p>
            <w:pPr>
              <w:jc w:val="center"/>
              <w:rPr>
                <w:rFonts w:hint="eastAsia" w:ascii="仿宋" w:hAnsi="仿宋" w:eastAsia="仿宋" w:cs="仿宋"/>
                <w:color w:val="auto"/>
                <w:kern w:val="0"/>
                <w:sz w:val="24"/>
                <w:szCs w:val="24"/>
                <w:highlight w:val="none"/>
              </w:rPr>
            </w:pPr>
          </w:p>
        </w:tc>
        <w:tc>
          <w:tcPr>
            <w:tcW w:w="1365" w:type="dxa"/>
            <w:noWrap w:val="0"/>
            <w:vAlign w:val="center"/>
          </w:tcPr>
          <w:p>
            <w:pPr>
              <w:rPr>
                <w:rFonts w:hint="eastAsia" w:ascii="仿宋" w:hAnsi="仿宋" w:eastAsia="仿宋" w:cs="仿宋"/>
                <w:color w:val="auto"/>
                <w:kern w:val="0"/>
                <w:sz w:val="24"/>
                <w:szCs w:val="24"/>
                <w:highlight w:val="none"/>
              </w:rPr>
            </w:pPr>
          </w:p>
        </w:tc>
        <w:tc>
          <w:tcPr>
            <w:tcW w:w="1335" w:type="dxa"/>
            <w:noWrap w:val="0"/>
            <w:vAlign w:val="center"/>
          </w:tcPr>
          <w:p>
            <w:pP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w:t>
            </w:r>
          </w:p>
        </w:tc>
        <w:tc>
          <w:tcPr>
            <w:tcW w:w="3168" w:type="dxa"/>
            <w:noWrap w:val="0"/>
            <w:vAlign w:val="center"/>
          </w:tcPr>
          <w:p>
            <w:pPr>
              <w:widowControl/>
              <w:jc w:val="left"/>
              <w:rPr>
                <w:rFonts w:hint="eastAsia" w:ascii="仿宋" w:hAnsi="仿宋" w:eastAsia="仿宋" w:cs="仿宋"/>
                <w:b/>
                <w:bCs/>
                <w:color w:val="auto"/>
                <w:kern w:val="0"/>
                <w:sz w:val="24"/>
                <w:szCs w:val="24"/>
                <w:highlight w:val="none"/>
              </w:rPr>
            </w:pPr>
          </w:p>
        </w:tc>
        <w:tc>
          <w:tcPr>
            <w:tcW w:w="855" w:type="dxa"/>
            <w:noWrap w:val="0"/>
            <w:vAlign w:val="center"/>
          </w:tcPr>
          <w:p>
            <w:pPr>
              <w:jc w:val="center"/>
              <w:rPr>
                <w:rFonts w:hint="eastAsia" w:ascii="仿宋" w:hAnsi="仿宋" w:eastAsia="仿宋" w:cs="仿宋"/>
                <w:color w:val="auto"/>
                <w:kern w:val="0"/>
                <w:sz w:val="24"/>
                <w:szCs w:val="24"/>
                <w:highlight w:val="none"/>
              </w:rPr>
            </w:pPr>
          </w:p>
        </w:tc>
        <w:tc>
          <w:tcPr>
            <w:tcW w:w="915" w:type="dxa"/>
            <w:noWrap w:val="0"/>
            <w:vAlign w:val="center"/>
          </w:tcPr>
          <w:p>
            <w:pPr>
              <w:jc w:val="center"/>
              <w:rPr>
                <w:rFonts w:hint="eastAsia" w:ascii="仿宋" w:hAnsi="仿宋" w:eastAsia="仿宋" w:cs="仿宋"/>
                <w:color w:val="auto"/>
                <w:kern w:val="0"/>
                <w:sz w:val="24"/>
                <w:szCs w:val="24"/>
                <w:highlight w:val="none"/>
              </w:rPr>
            </w:pPr>
          </w:p>
        </w:tc>
        <w:tc>
          <w:tcPr>
            <w:tcW w:w="1350" w:type="dxa"/>
            <w:noWrap w:val="0"/>
            <w:vAlign w:val="center"/>
          </w:tcPr>
          <w:p>
            <w:pPr>
              <w:jc w:val="center"/>
              <w:rPr>
                <w:rFonts w:hint="eastAsia" w:ascii="仿宋" w:hAnsi="仿宋" w:eastAsia="仿宋" w:cs="仿宋"/>
                <w:color w:val="auto"/>
                <w:kern w:val="0"/>
                <w:sz w:val="24"/>
                <w:szCs w:val="24"/>
                <w:highlight w:val="none"/>
              </w:rPr>
            </w:pPr>
          </w:p>
        </w:tc>
        <w:tc>
          <w:tcPr>
            <w:tcW w:w="1365" w:type="dxa"/>
            <w:noWrap w:val="0"/>
            <w:vAlign w:val="center"/>
          </w:tcPr>
          <w:p>
            <w:pPr>
              <w:rPr>
                <w:rFonts w:hint="eastAsia" w:ascii="仿宋" w:hAnsi="仿宋" w:eastAsia="仿宋" w:cs="仿宋"/>
                <w:color w:val="auto"/>
                <w:kern w:val="0"/>
                <w:sz w:val="24"/>
                <w:szCs w:val="24"/>
                <w:highlight w:val="none"/>
              </w:rPr>
            </w:pPr>
          </w:p>
        </w:tc>
        <w:tc>
          <w:tcPr>
            <w:tcW w:w="1335" w:type="dxa"/>
            <w:noWrap w:val="0"/>
            <w:vAlign w:val="center"/>
          </w:tcPr>
          <w:p>
            <w:pP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w:t>
            </w:r>
          </w:p>
        </w:tc>
        <w:tc>
          <w:tcPr>
            <w:tcW w:w="3168" w:type="dxa"/>
            <w:noWrap w:val="0"/>
            <w:vAlign w:val="center"/>
          </w:tcPr>
          <w:p>
            <w:pPr>
              <w:widowControl/>
              <w:jc w:val="left"/>
              <w:rPr>
                <w:rFonts w:hint="eastAsia" w:ascii="仿宋" w:hAnsi="仿宋" w:eastAsia="仿宋" w:cs="仿宋"/>
                <w:b/>
                <w:bCs/>
                <w:color w:val="auto"/>
                <w:kern w:val="0"/>
                <w:sz w:val="24"/>
                <w:szCs w:val="24"/>
                <w:highlight w:val="none"/>
              </w:rPr>
            </w:pPr>
          </w:p>
        </w:tc>
        <w:tc>
          <w:tcPr>
            <w:tcW w:w="855" w:type="dxa"/>
            <w:noWrap w:val="0"/>
            <w:vAlign w:val="center"/>
          </w:tcPr>
          <w:p>
            <w:pPr>
              <w:jc w:val="center"/>
              <w:rPr>
                <w:rFonts w:hint="eastAsia" w:ascii="仿宋" w:hAnsi="仿宋" w:eastAsia="仿宋" w:cs="仿宋"/>
                <w:color w:val="auto"/>
                <w:kern w:val="0"/>
                <w:sz w:val="24"/>
                <w:szCs w:val="24"/>
                <w:highlight w:val="none"/>
              </w:rPr>
            </w:pPr>
          </w:p>
        </w:tc>
        <w:tc>
          <w:tcPr>
            <w:tcW w:w="915" w:type="dxa"/>
            <w:noWrap w:val="0"/>
            <w:vAlign w:val="center"/>
          </w:tcPr>
          <w:p>
            <w:pPr>
              <w:jc w:val="center"/>
              <w:rPr>
                <w:rFonts w:hint="eastAsia" w:ascii="仿宋" w:hAnsi="仿宋" w:eastAsia="仿宋" w:cs="仿宋"/>
                <w:color w:val="auto"/>
                <w:kern w:val="0"/>
                <w:sz w:val="24"/>
                <w:szCs w:val="24"/>
                <w:highlight w:val="none"/>
              </w:rPr>
            </w:pPr>
          </w:p>
        </w:tc>
        <w:tc>
          <w:tcPr>
            <w:tcW w:w="1350" w:type="dxa"/>
            <w:noWrap w:val="0"/>
            <w:vAlign w:val="center"/>
          </w:tcPr>
          <w:p>
            <w:pPr>
              <w:jc w:val="center"/>
              <w:rPr>
                <w:rFonts w:hint="eastAsia" w:ascii="仿宋" w:hAnsi="仿宋" w:eastAsia="仿宋" w:cs="仿宋"/>
                <w:color w:val="auto"/>
                <w:kern w:val="0"/>
                <w:sz w:val="24"/>
                <w:szCs w:val="24"/>
                <w:highlight w:val="none"/>
              </w:rPr>
            </w:pPr>
          </w:p>
        </w:tc>
        <w:tc>
          <w:tcPr>
            <w:tcW w:w="1365" w:type="dxa"/>
            <w:noWrap w:val="0"/>
            <w:vAlign w:val="center"/>
          </w:tcPr>
          <w:p>
            <w:pPr>
              <w:rPr>
                <w:rFonts w:hint="eastAsia" w:ascii="仿宋" w:hAnsi="仿宋" w:eastAsia="仿宋" w:cs="仿宋"/>
                <w:color w:val="auto"/>
                <w:kern w:val="0"/>
                <w:sz w:val="24"/>
                <w:szCs w:val="24"/>
                <w:highlight w:val="none"/>
              </w:rPr>
            </w:pPr>
          </w:p>
        </w:tc>
        <w:tc>
          <w:tcPr>
            <w:tcW w:w="1335" w:type="dxa"/>
            <w:noWrap w:val="0"/>
            <w:vAlign w:val="center"/>
          </w:tcPr>
          <w:p>
            <w:pP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w:t>
            </w:r>
          </w:p>
        </w:tc>
        <w:tc>
          <w:tcPr>
            <w:tcW w:w="3168" w:type="dxa"/>
            <w:noWrap w:val="0"/>
            <w:vAlign w:val="center"/>
          </w:tcPr>
          <w:p>
            <w:pPr>
              <w:widowControl/>
              <w:jc w:val="left"/>
              <w:rPr>
                <w:rFonts w:hint="eastAsia" w:ascii="仿宋" w:hAnsi="仿宋" w:eastAsia="仿宋" w:cs="仿宋"/>
                <w:b/>
                <w:bCs/>
                <w:color w:val="auto"/>
                <w:kern w:val="0"/>
                <w:sz w:val="24"/>
                <w:szCs w:val="24"/>
                <w:highlight w:val="none"/>
              </w:rPr>
            </w:pPr>
          </w:p>
        </w:tc>
        <w:tc>
          <w:tcPr>
            <w:tcW w:w="855" w:type="dxa"/>
            <w:noWrap w:val="0"/>
            <w:vAlign w:val="center"/>
          </w:tcPr>
          <w:p>
            <w:pPr>
              <w:jc w:val="center"/>
              <w:rPr>
                <w:rFonts w:hint="eastAsia" w:ascii="仿宋" w:hAnsi="仿宋" w:eastAsia="仿宋" w:cs="仿宋"/>
                <w:color w:val="auto"/>
                <w:kern w:val="0"/>
                <w:sz w:val="24"/>
                <w:szCs w:val="24"/>
                <w:highlight w:val="none"/>
              </w:rPr>
            </w:pPr>
          </w:p>
        </w:tc>
        <w:tc>
          <w:tcPr>
            <w:tcW w:w="915" w:type="dxa"/>
            <w:noWrap w:val="0"/>
            <w:vAlign w:val="center"/>
          </w:tcPr>
          <w:p>
            <w:pPr>
              <w:jc w:val="center"/>
              <w:rPr>
                <w:rFonts w:hint="eastAsia" w:ascii="仿宋" w:hAnsi="仿宋" w:eastAsia="仿宋" w:cs="仿宋"/>
                <w:color w:val="auto"/>
                <w:kern w:val="0"/>
                <w:sz w:val="24"/>
                <w:szCs w:val="24"/>
                <w:highlight w:val="none"/>
              </w:rPr>
            </w:pPr>
          </w:p>
        </w:tc>
        <w:tc>
          <w:tcPr>
            <w:tcW w:w="1350" w:type="dxa"/>
            <w:noWrap w:val="0"/>
            <w:vAlign w:val="center"/>
          </w:tcPr>
          <w:p>
            <w:pPr>
              <w:jc w:val="center"/>
              <w:rPr>
                <w:rFonts w:hint="eastAsia" w:ascii="仿宋" w:hAnsi="仿宋" w:eastAsia="仿宋" w:cs="仿宋"/>
                <w:color w:val="auto"/>
                <w:kern w:val="0"/>
                <w:sz w:val="24"/>
                <w:szCs w:val="24"/>
                <w:highlight w:val="none"/>
              </w:rPr>
            </w:pPr>
          </w:p>
        </w:tc>
        <w:tc>
          <w:tcPr>
            <w:tcW w:w="1365" w:type="dxa"/>
            <w:noWrap w:val="0"/>
            <w:vAlign w:val="center"/>
          </w:tcPr>
          <w:p>
            <w:pPr>
              <w:rPr>
                <w:rFonts w:hint="eastAsia" w:ascii="仿宋" w:hAnsi="仿宋" w:eastAsia="仿宋" w:cs="仿宋"/>
                <w:color w:val="auto"/>
                <w:kern w:val="0"/>
                <w:sz w:val="24"/>
                <w:szCs w:val="24"/>
                <w:highlight w:val="none"/>
              </w:rPr>
            </w:pPr>
          </w:p>
        </w:tc>
        <w:tc>
          <w:tcPr>
            <w:tcW w:w="1335" w:type="dxa"/>
            <w:noWrap w:val="0"/>
            <w:vAlign w:val="center"/>
          </w:tcPr>
          <w:p>
            <w:pP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p>
        </w:tc>
        <w:tc>
          <w:tcPr>
            <w:tcW w:w="3168" w:type="dxa"/>
            <w:noWrap w:val="0"/>
            <w:vAlign w:val="center"/>
          </w:tcPr>
          <w:p>
            <w:pPr>
              <w:widowControl/>
              <w:jc w:val="left"/>
              <w:rPr>
                <w:rFonts w:hint="eastAsia" w:ascii="仿宋" w:hAnsi="仿宋" w:eastAsia="仿宋" w:cs="仿宋"/>
                <w:b/>
                <w:bCs/>
                <w:color w:val="auto"/>
                <w:kern w:val="0"/>
                <w:sz w:val="24"/>
                <w:szCs w:val="24"/>
                <w:highlight w:val="none"/>
              </w:rPr>
            </w:pPr>
          </w:p>
        </w:tc>
        <w:tc>
          <w:tcPr>
            <w:tcW w:w="855" w:type="dxa"/>
            <w:noWrap w:val="0"/>
            <w:vAlign w:val="center"/>
          </w:tcPr>
          <w:p>
            <w:pPr>
              <w:jc w:val="center"/>
              <w:rPr>
                <w:rFonts w:hint="eastAsia" w:ascii="仿宋" w:hAnsi="仿宋" w:eastAsia="仿宋" w:cs="仿宋"/>
                <w:color w:val="auto"/>
                <w:kern w:val="0"/>
                <w:sz w:val="24"/>
                <w:szCs w:val="24"/>
                <w:highlight w:val="none"/>
              </w:rPr>
            </w:pPr>
          </w:p>
        </w:tc>
        <w:tc>
          <w:tcPr>
            <w:tcW w:w="915" w:type="dxa"/>
            <w:noWrap w:val="0"/>
            <w:vAlign w:val="center"/>
          </w:tcPr>
          <w:p>
            <w:pPr>
              <w:jc w:val="center"/>
              <w:rPr>
                <w:rFonts w:hint="eastAsia" w:ascii="仿宋" w:hAnsi="仿宋" w:eastAsia="仿宋" w:cs="仿宋"/>
                <w:color w:val="auto"/>
                <w:kern w:val="0"/>
                <w:sz w:val="24"/>
                <w:szCs w:val="24"/>
                <w:highlight w:val="none"/>
              </w:rPr>
            </w:pPr>
          </w:p>
        </w:tc>
        <w:tc>
          <w:tcPr>
            <w:tcW w:w="1350" w:type="dxa"/>
            <w:noWrap w:val="0"/>
            <w:vAlign w:val="center"/>
          </w:tcPr>
          <w:p>
            <w:pPr>
              <w:jc w:val="center"/>
              <w:rPr>
                <w:rFonts w:hint="eastAsia" w:ascii="仿宋" w:hAnsi="仿宋" w:eastAsia="仿宋" w:cs="仿宋"/>
                <w:color w:val="auto"/>
                <w:kern w:val="0"/>
                <w:sz w:val="24"/>
                <w:szCs w:val="24"/>
                <w:highlight w:val="none"/>
              </w:rPr>
            </w:pPr>
          </w:p>
        </w:tc>
        <w:tc>
          <w:tcPr>
            <w:tcW w:w="1365" w:type="dxa"/>
            <w:noWrap w:val="0"/>
            <w:vAlign w:val="center"/>
          </w:tcPr>
          <w:p>
            <w:pPr>
              <w:rPr>
                <w:rFonts w:hint="eastAsia" w:ascii="仿宋" w:hAnsi="仿宋" w:eastAsia="仿宋" w:cs="仿宋"/>
                <w:color w:val="auto"/>
                <w:kern w:val="0"/>
                <w:sz w:val="24"/>
                <w:szCs w:val="24"/>
                <w:highlight w:val="none"/>
              </w:rPr>
            </w:pPr>
          </w:p>
        </w:tc>
        <w:tc>
          <w:tcPr>
            <w:tcW w:w="1335" w:type="dxa"/>
            <w:noWrap w:val="0"/>
            <w:vAlign w:val="center"/>
          </w:tcPr>
          <w:p>
            <w:pPr>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97" w:type="dxa"/>
            <w:noWrap w:val="0"/>
            <w:vAlign w:val="center"/>
          </w:tcPr>
          <w:p>
            <w:pPr>
              <w:widowControl/>
              <w:jc w:val="center"/>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lang w:eastAsia="zh-CN"/>
              </w:rPr>
              <w:t>总价</w:t>
            </w:r>
          </w:p>
        </w:tc>
        <w:tc>
          <w:tcPr>
            <w:tcW w:w="3168" w:type="dxa"/>
            <w:noWrap w:val="0"/>
            <w:vAlign w:val="center"/>
          </w:tcPr>
          <w:p>
            <w:pPr>
              <w:widowControl/>
              <w:jc w:val="left"/>
              <w:rPr>
                <w:rFonts w:hint="eastAsia" w:ascii="仿宋" w:hAnsi="仿宋" w:eastAsia="仿宋" w:cs="仿宋"/>
                <w:b/>
                <w:bCs/>
                <w:color w:val="auto"/>
                <w:kern w:val="0"/>
                <w:sz w:val="24"/>
                <w:szCs w:val="24"/>
                <w:highlight w:val="none"/>
              </w:rPr>
            </w:pPr>
          </w:p>
        </w:tc>
        <w:tc>
          <w:tcPr>
            <w:tcW w:w="855" w:type="dxa"/>
            <w:noWrap w:val="0"/>
            <w:vAlign w:val="center"/>
          </w:tcPr>
          <w:p>
            <w:pPr>
              <w:jc w:val="center"/>
              <w:rPr>
                <w:rFonts w:hint="eastAsia" w:ascii="仿宋" w:hAnsi="仿宋" w:eastAsia="仿宋" w:cs="仿宋"/>
                <w:color w:val="auto"/>
                <w:kern w:val="0"/>
                <w:sz w:val="24"/>
                <w:szCs w:val="24"/>
                <w:highlight w:val="none"/>
              </w:rPr>
            </w:pPr>
          </w:p>
        </w:tc>
        <w:tc>
          <w:tcPr>
            <w:tcW w:w="915" w:type="dxa"/>
            <w:noWrap w:val="0"/>
            <w:vAlign w:val="center"/>
          </w:tcPr>
          <w:p>
            <w:pPr>
              <w:jc w:val="center"/>
              <w:rPr>
                <w:rFonts w:hint="eastAsia" w:ascii="仿宋" w:hAnsi="仿宋" w:eastAsia="仿宋" w:cs="仿宋"/>
                <w:color w:val="auto"/>
                <w:kern w:val="0"/>
                <w:sz w:val="24"/>
                <w:szCs w:val="24"/>
                <w:highlight w:val="none"/>
              </w:rPr>
            </w:pPr>
          </w:p>
        </w:tc>
        <w:tc>
          <w:tcPr>
            <w:tcW w:w="1350" w:type="dxa"/>
            <w:noWrap w:val="0"/>
            <w:vAlign w:val="center"/>
          </w:tcPr>
          <w:p>
            <w:pPr>
              <w:jc w:val="center"/>
              <w:rPr>
                <w:rFonts w:hint="eastAsia" w:ascii="仿宋" w:hAnsi="仿宋" w:eastAsia="仿宋" w:cs="仿宋"/>
                <w:color w:val="auto"/>
                <w:kern w:val="0"/>
                <w:sz w:val="24"/>
                <w:szCs w:val="24"/>
                <w:highlight w:val="none"/>
              </w:rPr>
            </w:pPr>
          </w:p>
        </w:tc>
        <w:tc>
          <w:tcPr>
            <w:tcW w:w="1365" w:type="dxa"/>
            <w:noWrap w:val="0"/>
            <w:vAlign w:val="center"/>
          </w:tcPr>
          <w:p>
            <w:pPr>
              <w:rPr>
                <w:rFonts w:hint="eastAsia" w:ascii="仿宋" w:hAnsi="仿宋" w:eastAsia="仿宋" w:cs="仿宋"/>
                <w:color w:val="auto"/>
                <w:kern w:val="0"/>
                <w:sz w:val="24"/>
                <w:szCs w:val="24"/>
                <w:highlight w:val="none"/>
              </w:rPr>
            </w:pPr>
          </w:p>
        </w:tc>
        <w:tc>
          <w:tcPr>
            <w:tcW w:w="1335" w:type="dxa"/>
            <w:noWrap w:val="0"/>
            <w:vAlign w:val="center"/>
          </w:tcPr>
          <w:p>
            <w:pPr>
              <w:rPr>
                <w:rFonts w:hint="eastAsia" w:ascii="仿宋" w:hAnsi="仿宋" w:eastAsia="仿宋" w:cs="仿宋"/>
                <w:color w:val="auto"/>
                <w:kern w:val="0"/>
                <w:sz w:val="24"/>
                <w:szCs w:val="24"/>
                <w:highlight w:val="none"/>
              </w:rPr>
            </w:pPr>
          </w:p>
        </w:tc>
      </w:tr>
    </w:tbl>
    <w:p>
      <w:pPr>
        <w:spacing w:line="500" w:lineRule="exact"/>
        <w:jc w:val="left"/>
        <w:rPr>
          <w:rFonts w:hint="eastAsia" w:ascii="仿宋" w:hAnsi="仿宋" w:eastAsia="仿宋" w:cs="仿宋"/>
          <w:kern w:val="0"/>
          <w:sz w:val="28"/>
          <w:szCs w:val="28"/>
          <w:highlight w:val="none"/>
        </w:rPr>
      </w:pPr>
    </w:p>
    <w:p>
      <w:pPr>
        <w:spacing w:line="50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注：若表格不够用，各供应商可按此表复制。</w:t>
      </w:r>
    </w:p>
    <w:p>
      <w:pPr>
        <w:spacing w:line="500" w:lineRule="atLeast"/>
        <w:rPr>
          <w:rFonts w:hint="eastAsia" w:ascii="仿宋" w:hAnsi="仿宋" w:eastAsia="仿宋" w:cs="仿宋"/>
          <w:sz w:val="28"/>
          <w:szCs w:val="28"/>
          <w:highlight w:val="none"/>
        </w:rPr>
      </w:pPr>
    </w:p>
    <w:p>
      <w:pPr>
        <w:pStyle w:val="21"/>
        <w:keepNext w:val="0"/>
        <w:keepLines w:val="0"/>
        <w:pageBreakBefore w:val="0"/>
        <w:widowControl/>
        <w:kinsoku/>
        <w:wordWrap/>
        <w:overflowPunct/>
        <w:topLinePunct w:val="0"/>
        <w:autoSpaceDE/>
        <w:autoSpaceDN/>
        <w:bidi w:val="0"/>
        <w:adjustRightInd/>
        <w:snapToGrid/>
        <w:spacing w:line="500" w:lineRule="exact"/>
        <w:ind w:firstLine="1680" w:firstLineChars="600"/>
        <w:jc w:val="both"/>
        <w:textAlignment w:val="auto"/>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21"/>
        <w:keepNext w:val="0"/>
        <w:keepLines w:val="0"/>
        <w:pageBreakBefore w:val="0"/>
        <w:widowControl/>
        <w:kinsoku/>
        <w:wordWrap/>
        <w:overflowPunct/>
        <w:topLinePunct w:val="0"/>
        <w:autoSpaceDE/>
        <w:autoSpaceDN/>
        <w:bidi w:val="0"/>
        <w:adjustRightInd/>
        <w:snapToGrid/>
        <w:spacing w:line="500" w:lineRule="exact"/>
        <w:ind w:firstLine="1680" w:firstLineChars="600"/>
        <w:jc w:val="both"/>
        <w:textAlignment w:val="auto"/>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21"/>
        <w:keepNext w:val="0"/>
        <w:keepLines w:val="0"/>
        <w:pageBreakBefore w:val="0"/>
        <w:widowControl/>
        <w:kinsoku/>
        <w:wordWrap/>
        <w:overflowPunct/>
        <w:topLinePunct w:val="0"/>
        <w:autoSpaceDE/>
        <w:autoSpaceDN/>
        <w:bidi w:val="0"/>
        <w:adjustRightInd/>
        <w:snapToGrid/>
        <w:spacing w:line="500" w:lineRule="exact"/>
        <w:ind w:firstLine="2660" w:firstLineChars="950"/>
        <w:jc w:val="both"/>
        <w:textAlignment w:val="auto"/>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adjustRightInd w:val="0"/>
        <w:snapToGrid w:val="0"/>
        <w:spacing w:line="360" w:lineRule="auto"/>
        <w:jc w:val="both"/>
        <w:rPr>
          <w:rFonts w:hint="eastAsia" w:ascii="仿宋" w:hAnsi="仿宋" w:eastAsia="仿宋" w:cs="仿宋"/>
          <w:b/>
          <w:sz w:val="32"/>
          <w:szCs w:val="32"/>
          <w:highlight w:val="none"/>
        </w:rPr>
      </w:pPr>
    </w:p>
    <w:p>
      <w:pPr>
        <w:adjustRightInd w:val="0"/>
        <w:snapToGrid w:val="0"/>
        <w:spacing w:line="360" w:lineRule="auto"/>
        <w:jc w:val="center"/>
        <w:rPr>
          <w:rFonts w:hint="eastAsia" w:ascii="仿宋" w:hAnsi="仿宋" w:eastAsia="仿宋" w:cs="仿宋"/>
          <w:b/>
          <w:sz w:val="32"/>
          <w:szCs w:val="32"/>
          <w:highlight w:val="none"/>
        </w:rPr>
      </w:pPr>
    </w:p>
    <w:p>
      <w:pPr>
        <w:adjustRightInd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技术要求响应表</w:t>
      </w: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5"/>
        <w:gridCol w:w="2192"/>
        <w:gridCol w:w="2373"/>
        <w:gridCol w:w="2315"/>
        <w:gridCol w:w="1086"/>
        <w:gridCol w:w="11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705"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192" w:type="dxa"/>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名称</w:t>
            </w:r>
          </w:p>
        </w:tc>
        <w:tc>
          <w:tcPr>
            <w:tcW w:w="2373" w:type="dxa"/>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磋商文件技术要求</w:t>
            </w:r>
          </w:p>
        </w:tc>
        <w:tc>
          <w:tcPr>
            <w:tcW w:w="2315" w:type="dxa"/>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响应文件技术响应</w:t>
            </w:r>
          </w:p>
        </w:tc>
        <w:tc>
          <w:tcPr>
            <w:tcW w:w="1086" w:type="dxa"/>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偏离</w:t>
            </w:r>
          </w:p>
        </w:tc>
        <w:tc>
          <w:tcPr>
            <w:tcW w:w="1197" w:type="dxa"/>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w:t>
            </w:r>
          </w:p>
        </w:tc>
        <w:tc>
          <w:tcPr>
            <w:tcW w:w="2192" w:type="dxa"/>
            <w:noWrap w:val="0"/>
            <w:vAlign w:val="top"/>
          </w:tcPr>
          <w:p>
            <w:pPr>
              <w:spacing w:line="360" w:lineRule="auto"/>
              <w:jc w:val="center"/>
              <w:rPr>
                <w:rFonts w:hint="eastAsia" w:ascii="仿宋" w:hAnsi="仿宋" w:eastAsia="仿宋" w:cs="仿宋"/>
                <w:sz w:val="24"/>
                <w:szCs w:val="24"/>
                <w:highlight w:val="none"/>
              </w:rPr>
            </w:pPr>
          </w:p>
        </w:tc>
        <w:tc>
          <w:tcPr>
            <w:tcW w:w="2373" w:type="dxa"/>
            <w:noWrap w:val="0"/>
            <w:vAlign w:val="top"/>
          </w:tcPr>
          <w:p>
            <w:pPr>
              <w:spacing w:line="360" w:lineRule="auto"/>
              <w:jc w:val="center"/>
              <w:rPr>
                <w:rFonts w:hint="eastAsia" w:ascii="仿宋" w:hAnsi="仿宋" w:eastAsia="仿宋" w:cs="仿宋"/>
                <w:sz w:val="24"/>
                <w:szCs w:val="24"/>
                <w:highlight w:val="none"/>
              </w:rPr>
            </w:pPr>
          </w:p>
        </w:tc>
        <w:tc>
          <w:tcPr>
            <w:tcW w:w="2315" w:type="dxa"/>
            <w:noWrap w:val="0"/>
            <w:vAlign w:val="top"/>
          </w:tcPr>
          <w:p>
            <w:pPr>
              <w:spacing w:line="360" w:lineRule="auto"/>
              <w:jc w:val="center"/>
              <w:rPr>
                <w:rFonts w:hint="eastAsia" w:ascii="仿宋" w:hAnsi="仿宋" w:eastAsia="仿宋" w:cs="仿宋"/>
                <w:sz w:val="24"/>
                <w:szCs w:val="24"/>
                <w:highlight w:val="none"/>
              </w:rPr>
            </w:pPr>
          </w:p>
        </w:tc>
        <w:tc>
          <w:tcPr>
            <w:tcW w:w="1086" w:type="dxa"/>
            <w:noWrap w:val="0"/>
            <w:vAlign w:val="top"/>
          </w:tcPr>
          <w:p>
            <w:pPr>
              <w:spacing w:line="360" w:lineRule="auto"/>
              <w:jc w:val="center"/>
              <w:rPr>
                <w:rFonts w:hint="eastAsia" w:ascii="仿宋" w:hAnsi="仿宋" w:eastAsia="仿宋" w:cs="仿宋"/>
                <w:sz w:val="24"/>
                <w:szCs w:val="24"/>
                <w:highlight w:val="none"/>
              </w:rPr>
            </w:pPr>
          </w:p>
        </w:tc>
        <w:tc>
          <w:tcPr>
            <w:tcW w:w="1197" w:type="dxa"/>
            <w:noWrap w:val="0"/>
            <w:vAlign w:val="top"/>
          </w:tcPr>
          <w:p>
            <w:pPr>
              <w:spacing w:line="360" w:lineRule="auto"/>
              <w:jc w:val="center"/>
              <w:rPr>
                <w:rFonts w:hint="eastAsia"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w:t>
            </w:r>
          </w:p>
        </w:tc>
        <w:tc>
          <w:tcPr>
            <w:tcW w:w="2192" w:type="dxa"/>
            <w:noWrap w:val="0"/>
            <w:vAlign w:val="top"/>
          </w:tcPr>
          <w:p>
            <w:pPr>
              <w:spacing w:line="360" w:lineRule="auto"/>
              <w:jc w:val="center"/>
              <w:rPr>
                <w:rFonts w:hint="eastAsia" w:ascii="仿宋" w:hAnsi="仿宋" w:eastAsia="仿宋" w:cs="仿宋"/>
                <w:sz w:val="24"/>
                <w:szCs w:val="24"/>
                <w:highlight w:val="none"/>
              </w:rPr>
            </w:pPr>
          </w:p>
        </w:tc>
        <w:tc>
          <w:tcPr>
            <w:tcW w:w="2373" w:type="dxa"/>
            <w:noWrap w:val="0"/>
            <w:vAlign w:val="top"/>
          </w:tcPr>
          <w:p>
            <w:pPr>
              <w:spacing w:line="360" w:lineRule="auto"/>
              <w:jc w:val="center"/>
              <w:rPr>
                <w:rFonts w:hint="eastAsia" w:ascii="仿宋" w:hAnsi="仿宋" w:eastAsia="仿宋" w:cs="仿宋"/>
                <w:sz w:val="24"/>
                <w:szCs w:val="24"/>
                <w:highlight w:val="none"/>
              </w:rPr>
            </w:pPr>
          </w:p>
        </w:tc>
        <w:tc>
          <w:tcPr>
            <w:tcW w:w="2315" w:type="dxa"/>
            <w:noWrap w:val="0"/>
            <w:vAlign w:val="top"/>
          </w:tcPr>
          <w:p>
            <w:pPr>
              <w:spacing w:line="360" w:lineRule="auto"/>
              <w:jc w:val="center"/>
              <w:rPr>
                <w:rFonts w:hint="eastAsia" w:ascii="仿宋" w:hAnsi="仿宋" w:eastAsia="仿宋" w:cs="仿宋"/>
                <w:sz w:val="24"/>
                <w:szCs w:val="24"/>
                <w:highlight w:val="none"/>
              </w:rPr>
            </w:pPr>
          </w:p>
        </w:tc>
        <w:tc>
          <w:tcPr>
            <w:tcW w:w="1086" w:type="dxa"/>
            <w:noWrap w:val="0"/>
            <w:vAlign w:val="top"/>
          </w:tcPr>
          <w:p>
            <w:pPr>
              <w:spacing w:line="360" w:lineRule="auto"/>
              <w:jc w:val="center"/>
              <w:rPr>
                <w:rFonts w:hint="eastAsia" w:ascii="仿宋" w:hAnsi="仿宋" w:eastAsia="仿宋" w:cs="仿宋"/>
                <w:sz w:val="24"/>
                <w:szCs w:val="24"/>
                <w:highlight w:val="none"/>
              </w:rPr>
            </w:pPr>
          </w:p>
        </w:tc>
        <w:tc>
          <w:tcPr>
            <w:tcW w:w="1197" w:type="dxa"/>
            <w:noWrap w:val="0"/>
            <w:vAlign w:val="top"/>
          </w:tcPr>
          <w:p>
            <w:pPr>
              <w:spacing w:line="360" w:lineRule="auto"/>
              <w:jc w:val="center"/>
              <w:rPr>
                <w:rFonts w:hint="eastAsia"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0" w:hRule="atLeast"/>
          <w:jc w:val="center"/>
        </w:trPr>
        <w:tc>
          <w:tcPr>
            <w:tcW w:w="705"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w:t>
            </w:r>
          </w:p>
        </w:tc>
        <w:tc>
          <w:tcPr>
            <w:tcW w:w="2192" w:type="dxa"/>
            <w:noWrap w:val="0"/>
            <w:vAlign w:val="top"/>
          </w:tcPr>
          <w:p>
            <w:pPr>
              <w:spacing w:line="360" w:lineRule="auto"/>
              <w:jc w:val="center"/>
              <w:rPr>
                <w:rFonts w:hint="eastAsia" w:ascii="仿宋" w:hAnsi="仿宋" w:eastAsia="仿宋" w:cs="仿宋"/>
                <w:sz w:val="24"/>
                <w:szCs w:val="24"/>
                <w:highlight w:val="none"/>
              </w:rPr>
            </w:pPr>
          </w:p>
        </w:tc>
        <w:tc>
          <w:tcPr>
            <w:tcW w:w="2373" w:type="dxa"/>
            <w:noWrap w:val="0"/>
            <w:vAlign w:val="top"/>
          </w:tcPr>
          <w:p>
            <w:pPr>
              <w:spacing w:line="360" w:lineRule="auto"/>
              <w:jc w:val="center"/>
              <w:rPr>
                <w:rFonts w:hint="eastAsia" w:ascii="仿宋" w:hAnsi="仿宋" w:eastAsia="仿宋" w:cs="仿宋"/>
                <w:sz w:val="24"/>
                <w:szCs w:val="24"/>
                <w:highlight w:val="none"/>
              </w:rPr>
            </w:pPr>
          </w:p>
        </w:tc>
        <w:tc>
          <w:tcPr>
            <w:tcW w:w="2315" w:type="dxa"/>
            <w:noWrap w:val="0"/>
            <w:vAlign w:val="top"/>
          </w:tcPr>
          <w:p>
            <w:pPr>
              <w:spacing w:line="360" w:lineRule="auto"/>
              <w:jc w:val="center"/>
              <w:rPr>
                <w:rFonts w:hint="eastAsia" w:ascii="仿宋" w:hAnsi="仿宋" w:eastAsia="仿宋" w:cs="仿宋"/>
                <w:sz w:val="24"/>
                <w:szCs w:val="24"/>
                <w:highlight w:val="none"/>
              </w:rPr>
            </w:pPr>
          </w:p>
        </w:tc>
        <w:tc>
          <w:tcPr>
            <w:tcW w:w="1086" w:type="dxa"/>
            <w:noWrap w:val="0"/>
            <w:vAlign w:val="top"/>
          </w:tcPr>
          <w:p>
            <w:pPr>
              <w:spacing w:line="360" w:lineRule="auto"/>
              <w:jc w:val="center"/>
              <w:rPr>
                <w:rFonts w:hint="eastAsia" w:ascii="仿宋" w:hAnsi="仿宋" w:eastAsia="仿宋" w:cs="仿宋"/>
                <w:sz w:val="24"/>
                <w:szCs w:val="24"/>
                <w:highlight w:val="none"/>
              </w:rPr>
            </w:pPr>
          </w:p>
        </w:tc>
        <w:tc>
          <w:tcPr>
            <w:tcW w:w="1197" w:type="dxa"/>
            <w:noWrap w:val="0"/>
            <w:vAlign w:val="top"/>
          </w:tcPr>
          <w:p>
            <w:pPr>
              <w:spacing w:line="360" w:lineRule="auto"/>
              <w:jc w:val="center"/>
              <w:rPr>
                <w:rFonts w:hint="eastAsia"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w:t>
            </w:r>
          </w:p>
        </w:tc>
        <w:tc>
          <w:tcPr>
            <w:tcW w:w="2192" w:type="dxa"/>
            <w:noWrap w:val="0"/>
            <w:vAlign w:val="top"/>
          </w:tcPr>
          <w:p>
            <w:pPr>
              <w:spacing w:line="360" w:lineRule="auto"/>
              <w:jc w:val="center"/>
              <w:rPr>
                <w:rFonts w:hint="eastAsia" w:ascii="仿宋" w:hAnsi="仿宋" w:eastAsia="仿宋" w:cs="仿宋"/>
                <w:sz w:val="24"/>
                <w:szCs w:val="24"/>
                <w:highlight w:val="none"/>
              </w:rPr>
            </w:pPr>
          </w:p>
        </w:tc>
        <w:tc>
          <w:tcPr>
            <w:tcW w:w="2373" w:type="dxa"/>
            <w:noWrap w:val="0"/>
            <w:vAlign w:val="top"/>
          </w:tcPr>
          <w:p>
            <w:pPr>
              <w:spacing w:line="360" w:lineRule="auto"/>
              <w:jc w:val="center"/>
              <w:rPr>
                <w:rFonts w:hint="eastAsia" w:ascii="仿宋" w:hAnsi="仿宋" w:eastAsia="仿宋" w:cs="仿宋"/>
                <w:sz w:val="24"/>
                <w:szCs w:val="24"/>
                <w:highlight w:val="none"/>
              </w:rPr>
            </w:pPr>
          </w:p>
        </w:tc>
        <w:tc>
          <w:tcPr>
            <w:tcW w:w="2315" w:type="dxa"/>
            <w:noWrap w:val="0"/>
            <w:vAlign w:val="top"/>
          </w:tcPr>
          <w:p>
            <w:pPr>
              <w:spacing w:line="360" w:lineRule="auto"/>
              <w:jc w:val="center"/>
              <w:rPr>
                <w:rFonts w:hint="eastAsia" w:ascii="仿宋" w:hAnsi="仿宋" w:eastAsia="仿宋" w:cs="仿宋"/>
                <w:sz w:val="24"/>
                <w:szCs w:val="24"/>
                <w:highlight w:val="none"/>
              </w:rPr>
            </w:pPr>
          </w:p>
        </w:tc>
        <w:tc>
          <w:tcPr>
            <w:tcW w:w="1086" w:type="dxa"/>
            <w:noWrap w:val="0"/>
            <w:vAlign w:val="top"/>
          </w:tcPr>
          <w:p>
            <w:pPr>
              <w:spacing w:line="360" w:lineRule="auto"/>
              <w:jc w:val="center"/>
              <w:rPr>
                <w:rFonts w:hint="eastAsia" w:ascii="仿宋" w:hAnsi="仿宋" w:eastAsia="仿宋" w:cs="仿宋"/>
                <w:sz w:val="24"/>
                <w:szCs w:val="24"/>
                <w:highlight w:val="none"/>
              </w:rPr>
            </w:pPr>
          </w:p>
        </w:tc>
        <w:tc>
          <w:tcPr>
            <w:tcW w:w="1197" w:type="dxa"/>
            <w:noWrap w:val="0"/>
            <w:vAlign w:val="top"/>
          </w:tcPr>
          <w:p>
            <w:pPr>
              <w:spacing w:line="360" w:lineRule="auto"/>
              <w:jc w:val="center"/>
              <w:rPr>
                <w:rFonts w:hint="eastAsia"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w:t>
            </w:r>
          </w:p>
        </w:tc>
        <w:tc>
          <w:tcPr>
            <w:tcW w:w="2192" w:type="dxa"/>
            <w:noWrap w:val="0"/>
            <w:vAlign w:val="top"/>
          </w:tcPr>
          <w:p>
            <w:pPr>
              <w:spacing w:line="360" w:lineRule="auto"/>
              <w:jc w:val="center"/>
              <w:rPr>
                <w:rFonts w:hint="eastAsia" w:ascii="仿宋" w:hAnsi="仿宋" w:eastAsia="仿宋" w:cs="仿宋"/>
                <w:sz w:val="24"/>
                <w:szCs w:val="24"/>
                <w:highlight w:val="none"/>
              </w:rPr>
            </w:pPr>
          </w:p>
        </w:tc>
        <w:tc>
          <w:tcPr>
            <w:tcW w:w="2373" w:type="dxa"/>
            <w:noWrap w:val="0"/>
            <w:vAlign w:val="top"/>
          </w:tcPr>
          <w:p>
            <w:pPr>
              <w:spacing w:line="360" w:lineRule="auto"/>
              <w:jc w:val="center"/>
              <w:rPr>
                <w:rFonts w:hint="eastAsia" w:ascii="仿宋" w:hAnsi="仿宋" w:eastAsia="仿宋" w:cs="仿宋"/>
                <w:sz w:val="24"/>
                <w:szCs w:val="24"/>
                <w:highlight w:val="none"/>
              </w:rPr>
            </w:pPr>
          </w:p>
        </w:tc>
        <w:tc>
          <w:tcPr>
            <w:tcW w:w="2315" w:type="dxa"/>
            <w:noWrap w:val="0"/>
            <w:vAlign w:val="top"/>
          </w:tcPr>
          <w:p>
            <w:pPr>
              <w:spacing w:line="360" w:lineRule="auto"/>
              <w:jc w:val="center"/>
              <w:rPr>
                <w:rFonts w:hint="eastAsia" w:ascii="仿宋" w:hAnsi="仿宋" w:eastAsia="仿宋" w:cs="仿宋"/>
                <w:sz w:val="24"/>
                <w:szCs w:val="24"/>
                <w:highlight w:val="none"/>
              </w:rPr>
            </w:pPr>
          </w:p>
        </w:tc>
        <w:tc>
          <w:tcPr>
            <w:tcW w:w="1086" w:type="dxa"/>
            <w:noWrap w:val="0"/>
            <w:vAlign w:val="top"/>
          </w:tcPr>
          <w:p>
            <w:pPr>
              <w:spacing w:line="360" w:lineRule="auto"/>
              <w:jc w:val="center"/>
              <w:rPr>
                <w:rFonts w:hint="eastAsia" w:ascii="仿宋" w:hAnsi="仿宋" w:eastAsia="仿宋" w:cs="仿宋"/>
                <w:sz w:val="24"/>
                <w:szCs w:val="24"/>
                <w:highlight w:val="none"/>
              </w:rPr>
            </w:pPr>
          </w:p>
        </w:tc>
        <w:tc>
          <w:tcPr>
            <w:tcW w:w="1197" w:type="dxa"/>
            <w:noWrap w:val="0"/>
            <w:vAlign w:val="top"/>
          </w:tcPr>
          <w:p>
            <w:pPr>
              <w:spacing w:line="360" w:lineRule="auto"/>
              <w:jc w:val="center"/>
              <w:rPr>
                <w:rFonts w:hint="eastAsia"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6</w:t>
            </w:r>
          </w:p>
        </w:tc>
        <w:tc>
          <w:tcPr>
            <w:tcW w:w="2192" w:type="dxa"/>
            <w:noWrap w:val="0"/>
            <w:vAlign w:val="top"/>
          </w:tcPr>
          <w:p>
            <w:pPr>
              <w:spacing w:line="360" w:lineRule="auto"/>
              <w:jc w:val="center"/>
              <w:rPr>
                <w:rFonts w:hint="eastAsia" w:ascii="仿宋" w:hAnsi="仿宋" w:eastAsia="仿宋" w:cs="仿宋"/>
                <w:sz w:val="24"/>
                <w:szCs w:val="24"/>
                <w:highlight w:val="none"/>
              </w:rPr>
            </w:pPr>
          </w:p>
        </w:tc>
        <w:tc>
          <w:tcPr>
            <w:tcW w:w="2373" w:type="dxa"/>
            <w:noWrap w:val="0"/>
            <w:vAlign w:val="top"/>
          </w:tcPr>
          <w:p>
            <w:pPr>
              <w:spacing w:line="360" w:lineRule="auto"/>
              <w:jc w:val="center"/>
              <w:rPr>
                <w:rFonts w:hint="eastAsia" w:ascii="仿宋" w:hAnsi="仿宋" w:eastAsia="仿宋" w:cs="仿宋"/>
                <w:sz w:val="24"/>
                <w:szCs w:val="24"/>
                <w:highlight w:val="none"/>
              </w:rPr>
            </w:pPr>
          </w:p>
        </w:tc>
        <w:tc>
          <w:tcPr>
            <w:tcW w:w="2315" w:type="dxa"/>
            <w:noWrap w:val="0"/>
            <w:vAlign w:val="top"/>
          </w:tcPr>
          <w:p>
            <w:pPr>
              <w:spacing w:line="360" w:lineRule="auto"/>
              <w:jc w:val="center"/>
              <w:rPr>
                <w:rFonts w:hint="eastAsia" w:ascii="仿宋" w:hAnsi="仿宋" w:eastAsia="仿宋" w:cs="仿宋"/>
                <w:sz w:val="24"/>
                <w:szCs w:val="24"/>
                <w:highlight w:val="none"/>
              </w:rPr>
            </w:pPr>
          </w:p>
        </w:tc>
        <w:tc>
          <w:tcPr>
            <w:tcW w:w="1086" w:type="dxa"/>
            <w:noWrap w:val="0"/>
            <w:vAlign w:val="top"/>
          </w:tcPr>
          <w:p>
            <w:pPr>
              <w:spacing w:line="360" w:lineRule="auto"/>
              <w:jc w:val="center"/>
              <w:rPr>
                <w:rFonts w:hint="eastAsia" w:ascii="仿宋" w:hAnsi="仿宋" w:eastAsia="仿宋" w:cs="仿宋"/>
                <w:sz w:val="24"/>
                <w:szCs w:val="24"/>
                <w:highlight w:val="none"/>
              </w:rPr>
            </w:pPr>
          </w:p>
        </w:tc>
        <w:tc>
          <w:tcPr>
            <w:tcW w:w="1197" w:type="dxa"/>
            <w:noWrap w:val="0"/>
            <w:vAlign w:val="top"/>
          </w:tcPr>
          <w:p>
            <w:pPr>
              <w:spacing w:line="360" w:lineRule="auto"/>
              <w:jc w:val="center"/>
              <w:rPr>
                <w:rFonts w:hint="eastAsia"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7</w:t>
            </w:r>
          </w:p>
        </w:tc>
        <w:tc>
          <w:tcPr>
            <w:tcW w:w="2192" w:type="dxa"/>
            <w:noWrap w:val="0"/>
            <w:vAlign w:val="top"/>
          </w:tcPr>
          <w:p>
            <w:pPr>
              <w:spacing w:line="360" w:lineRule="auto"/>
              <w:jc w:val="center"/>
              <w:rPr>
                <w:rFonts w:hint="eastAsia" w:ascii="仿宋" w:hAnsi="仿宋" w:eastAsia="仿宋" w:cs="仿宋"/>
                <w:sz w:val="24"/>
                <w:szCs w:val="24"/>
                <w:highlight w:val="none"/>
              </w:rPr>
            </w:pPr>
          </w:p>
        </w:tc>
        <w:tc>
          <w:tcPr>
            <w:tcW w:w="2373" w:type="dxa"/>
            <w:noWrap w:val="0"/>
            <w:vAlign w:val="top"/>
          </w:tcPr>
          <w:p>
            <w:pPr>
              <w:spacing w:line="360" w:lineRule="auto"/>
              <w:jc w:val="center"/>
              <w:rPr>
                <w:rFonts w:hint="eastAsia" w:ascii="仿宋" w:hAnsi="仿宋" w:eastAsia="仿宋" w:cs="仿宋"/>
                <w:sz w:val="24"/>
                <w:szCs w:val="24"/>
                <w:highlight w:val="none"/>
              </w:rPr>
            </w:pPr>
          </w:p>
        </w:tc>
        <w:tc>
          <w:tcPr>
            <w:tcW w:w="2315" w:type="dxa"/>
            <w:noWrap w:val="0"/>
            <w:vAlign w:val="top"/>
          </w:tcPr>
          <w:p>
            <w:pPr>
              <w:spacing w:line="360" w:lineRule="auto"/>
              <w:jc w:val="center"/>
              <w:rPr>
                <w:rFonts w:hint="eastAsia" w:ascii="仿宋" w:hAnsi="仿宋" w:eastAsia="仿宋" w:cs="仿宋"/>
                <w:sz w:val="24"/>
                <w:szCs w:val="24"/>
                <w:highlight w:val="none"/>
              </w:rPr>
            </w:pPr>
          </w:p>
        </w:tc>
        <w:tc>
          <w:tcPr>
            <w:tcW w:w="1086" w:type="dxa"/>
            <w:noWrap w:val="0"/>
            <w:vAlign w:val="top"/>
          </w:tcPr>
          <w:p>
            <w:pPr>
              <w:spacing w:line="360" w:lineRule="auto"/>
              <w:jc w:val="center"/>
              <w:rPr>
                <w:rFonts w:hint="eastAsia" w:ascii="仿宋" w:hAnsi="仿宋" w:eastAsia="仿宋" w:cs="仿宋"/>
                <w:sz w:val="24"/>
                <w:szCs w:val="24"/>
                <w:highlight w:val="none"/>
              </w:rPr>
            </w:pPr>
          </w:p>
        </w:tc>
        <w:tc>
          <w:tcPr>
            <w:tcW w:w="1197" w:type="dxa"/>
            <w:noWrap w:val="0"/>
            <w:vAlign w:val="top"/>
          </w:tcPr>
          <w:p>
            <w:pPr>
              <w:spacing w:line="360" w:lineRule="auto"/>
              <w:jc w:val="center"/>
              <w:rPr>
                <w:rFonts w:hint="eastAsia"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8</w:t>
            </w:r>
          </w:p>
        </w:tc>
        <w:tc>
          <w:tcPr>
            <w:tcW w:w="2192" w:type="dxa"/>
            <w:noWrap w:val="0"/>
            <w:vAlign w:val="top"/>
          </w:tcPr>
          <w:p>
            <w:pPr>
              <w:spacing w:line="360" w:lineRule="auto"/>
              <w:jc w:val="center"/>
              <w:rPr>
                <w:rFonts w:hint="eastAsia" w:ascii="仿宋" w:hAnsi="仿宋" w:eastAsia="仿宋" w:cs="仿宋"/>
                <w:sz w:val="24"/>
                <w:szCs w:val="24"/>
                <w:highlight w:val="none"/>
              </w:rPr>
            </w:pPr>
          </w:p>
        </w:tc>
        <w:tc>
          <w:tcPr>
            <w:tcW w:w="2373" w:type="dxa"/>
            <w:noWrap w:val="0"/>
            <w:vAlign w:val="top"/>
          </w:tcPr>
          <w:p>
            <w:pPr>
              <w:spacing w:line="360" w:lineRule="auto"/>
              <w:jc w:val="center"/>
              <w:rPr>
                <w:rFonts w:hint="eastAsia" w:ascii="仿宋" w:hAnsi="仿宋" w:eastAsia="仿宋" w:cs="仿宋"/>
                <w:sz w:val="24"/>
                <w:szCs w:val="24"/>
                <w:highlight w:val="none"/>
              </w:rPr>
            </w:pPr>
          </w:p>
        </w:tc>
        <w:tc>
          <w:tcPr>
            <w:tcW w:w="2315" w:type="dxa"/>
            <w:noWrap w:val="0"/>
            <w:vAlign w:val="top"/>
          </w:tcPr>
          <w:p>
            <w:pPr>
              <w:spacing w:line="360" w:lineRule="auto"/>
              <w:jc w:val="center"/>
              <w:rPr>
                <w:rFonts w:hint="eastAsia" w:ascii="仿宋" w:hAnsi="仿宋" w:eastAsia="仿宋" w:cs="仿宋"/>
                <w:sz w:val="24"/>
                <w:szCs w:val="24"/>
                <w:highlight w:val="none"/>
              </w:rPr>
            </w:pPr>
          </w:p>
        </w:tc>
        <w:tc>
          <w:tcPr>
            <w:tcW w:w="1086" w:type="dxa"/>
            <w:noWrap w:val="0"/>
            <w:vAlign w:val="top"/>
          </w:tcPr>
          <w:p>
            <w:pPr>
              <w:spacing w:line="360" w:lineRule="auto"/>
              <w:jc w:val="center"/>
              <w:rPr>
                <w:rFonts w:hint="eastAsia" w:ascii="仿宋" w:hAnsi="仿宋" w:eastAsia="仿宋" w:cs="仿宋"/>
                <w:sz w:val="24"/>
                <w:szCs w:val="24"/>
                <w:highlight w:val="none"/>
              </w:rPr>
            </w:pPr>
          </w:p>
        </w:tc>
        <w:tc>
          <w:tcPr>
            <w:tcW w:w="1197" w:type="dxa"/>
            <w:noWrap w:val="0"/>
            <w:vAlign w:val="top"/>
          </w:tcPr>
          <w:p>
            <w:pPr>
              <w:spacing w:line="360" w:lineRule="auto"/>
              <w:jc w:val="center"/>
              <w:rPr>
                <w:rFonts w:hint="eastAsia"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9</w:t>
            </w:r>
          </w:p>
        </w:tc>
        <w:tc>
          <w:tcPr>
            <w:tcW w:w="2192" w:type="dxa"/>
            <w:noWrap w:val="0"/>
            <w:vAlign w:val="top"/>
          </w:tcPr>
          <w:p>
            <w:pPr>
              <w:spacing w:line="360" w:lineRule="auto"/>
              <w:jc w:val="center"/>
              <w:rPr>
                <w:rFonts w:hint="eastAsia" w:ascii="仿宋" w:hAnsi="仿宋" w:eastAsia="仿宋" w:cs="仿宋"/>
                <w:sz w:val="24"/>
                <w:szCs w:val="24"/>
                <w:highlight w:val="none"/>
              </w:rPr>
            </w:pPr>
          </w:p>
        </w:tc>
        <w:tc>
          <w:tcPr>
            <w:tcW w:w="2373" w:type="dxa"/>
            <w:noWrap w:val="0"/>
            <w:vAlign w:val="top"/>
          </w:tcPr>
          <w:p>
            <w:pPr>
              <w:spacing w:line="360" w:lineRule="auto"/>
              <w:jc w:val="center"/>
              <w:rPr>
                <w:rFonts w:hint="eastAsia" w:ascii="仿宋" w:hAnsi="仿宋" w:eastAsia="仿宋" w:cs="仿宋"/>
                <w:sz w:val="24"/>
                <w:szCs w:val="24"/>
                <w:highlight w:val="none"/>
              </w:rPr>
            </w:pPr>
          </w:p>
        </w:tc>
        <w:tc>
          <w:tcPr>
            <w:tcW w:w="2315" w:type="dxa"/>
            <w:noWrap w:val="0"/>
            <w:vAlign w:val="top"/>
          </w:tcPr>
          <w:p>
            <w:pPr>
              <w:spacing w:line="360" w:lineRule="auto"/>
              <w:jc w:val="center"/>
              <w:rPr>
                <w:rFonts w:hint="eastAsia" w:ascii="仿宋" w:hAnsi="仿宋" w:eastAsia="仿宋" w:cs="仿宋"/>
                <w:sz w:val="24"/>
                <w:szCs w:val="24"/>
                <w:highlight w:val="none"/>
              </w:rPr>
            </w:pPr>
          </w:p>
        </w:tc>
        <w:tc>
          <w:tcPr>
            <w:tcW w:w="1086" w:type="dxa"/>
            <w:noWrap w:val="0"/>
            <w:vAlign w:val="top"/>
          </w:tcPr>
          <w:p>
            <w:pPr>
              <w:spacing w:line="360" w:lineRule="auto"/>
              <w:jc w:val="center"/>
              <w:rPr>
                <w:rFonts w:hint="eastAsia" w:ascii="仿宋" w:hAnsi="仿宋" w:eastAsia="仿宋" w:cs="仿宋"/>
                <w:sz w:val="24"/>
                <w:szCs w:val="24"/>
                <w:highlight w:val="none"/>
              </w:rPr>
            </w:pPr>
          </w:p>
        </w:tc>
        <w:tc>
          <w:tcPr>
            <w:tcW w:w="1197" w:type="dxa"/>
            <w:noWrap w:val="0"/>
            <w:vAlign w:val="top"/>
          </w:tcPr>
          <w:p>
            <w:pPr>
              <w:spacing w:line="360" w:lineRule="auto"/>
              <w:jc w:val="center"/>
              <w:rPr>
                <w:rFonts w:hint="eastAsia"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10</w:t>
            </w:r>
          </w:p>
        </w:tc>
        <w:tc>
          <w:tcPr>
            <w:tcW w:w="2192" w:type="dxa"/>
            <w:noWrap w:val="0"/>
            <w:vAlign w:val="top"/>
          </w:tcPr>
          <w:p>
            <w:pPr>
              <w:spacing w:line="360" w:lineRule="auto"/>
              <w:jc w:val="center"/>
              <w:rPr>
                <w:rFonts w:hint="eastAsia" w:ascii="仿宋" w:hAnsi="仿宋" w:eastAsia="仿宋" w:cs="仿宋"/>
                <w:sz w:val="24"/>
                <w:szCs w:val="24"/>
                <w:highlight w:val="none"/>
              </w:rPr>
            </w:pPr>
          </w:p>
        </w:tc>
        <w:tc>
          <w:tcPr>
            <w:tcW w:w="2373" w:type="dxa"/>
            <w:noWrap w:val="0"/>
            <w:vAlign w:val="top"/>
          </w:tcPr>
          <w:p>
            <w:pPr>
              <w:spacing w:line="360" w:lineRule="auto"/>
              <w:jc w:val="center"/>
              <w:rPr>
                <w:rFonts w:hint="eastAsia" w:ascii="仿宋" w:hAnsi="仿宋" w:eastAsia="仿宋" w:cs="仿宋"/>
                <w:sz w:val="24"/>
                <w:szCs w:val="24"/>
                <w:highlight w:val="none"/>
              </w:rPr>
            </w:pPr>
          </w:p>
        </w:tc>
        <w:tc>
          <w:tcPr>
            <w:tcW w:w="2315" w:type="dxa"/>
            <w:noWrap w:val="0"/>
            <w:vAlign w:val="top"/>
          </w:tcPr>
          <w:p>
            <w:pPr>
              <w:spacing w:line="360" w:lineRule="auto"/>
              <w:jc w:val="center"/>
              <w:rPr>
                <w:rFonts w:hint="eastAsia" w:ascii="仿宋" w:hAnsi="仿宋" w:eastAsia="仿宋" w:cs="仿宋"/>
                <w:sz w:val="24"/>
                <w:szCs w:val="24"/>
                <w:highlight w:val="none"/>
              </w:rPr>
            </w:pPr>
          </w:p>
        </w:tc>
        <w:tc>
          <w:tcPr>
            <w:tcW w:w="1086" w:type="dxa"/>
            <w:noWrap w:val="0"/>
            <w:vAlign w:val="top"/>
          </w:tcPr>
          <w:p>
            <w:pPr>
              <w:spacing w:line="360" w:lineRule="auto"/>
              <w:jc w:val="center"/>
              <w:rPr>
                <w:rFonts w:hint="eastAsia" w:ascii="仿宋" w:hAnsi="仿宋" w:eastAsia="仿宋" w:cs="仿宋"/>
                <w:sz w:val="24"/>
                <w:szCs w:val="24"/>
                <w:highlight w:val="none"/>
              </w:rPr>
            </w:pPr>
          </w:p>
        </w:tc>
        <w:tc>
          <w:tcPr>
            <w:tcW w:w="1197" w:type="dxa"/>
            <w:noWrap w:val="0"/>
            <w:vAlign w:val="top"/>
          </w:tcPr>
          <w:p>
            <w:pPr>
              <w:spacing w:line="360" w:lineRule="auto"/>
              <w:jc w:val="center"/>
              <w:rPr>
                <w:rFonts w:hint="eastAsia"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p>
        </w:tc>
        <w:tc>
          <w:tcPr>
            <w:tcW w:w="2192" w:type="dxa"/>
            <w:noWrap w:val="0"/>
            <w:vAlign w:val="top"/>
          </w:tcPr>
          <w:p>
            <w:pPr>
              <w:spacing w:line="360" w:lineRule="auto"/>
              <w:jc w:val="center"/>
              <w:rPr>
                <w:rFonts w:hint="eastAsia" w:ascii="仿宋" w:hAnsi="仿宋" w:eastAsia="仿宋" w:cs="仿宋"/>
                <w:sz w:val="24"/>
                <w:szCs w:val="24"/>
                <w:highlight w:val="none"/>
              </w:rPr>
            </w:pPr>
          </w:p>
        </w:tc>
        <w:tc>
          <w:tcPr>
            <w:tcW w:w="2373" w:type="dxa"/>
            <w:noWrap w:val="0"/>
            <w:vAlign w:val="top"/>
          </w:tcPr>
          <w:p>
            <w:pPr>
              <w:spacing w:line="360" w:lineRule="auto"/>
              <w:jc w:val="center"/>
              <w:rPr>
                <w:rFonts w:hint="eastAsia" w:ascii="仿宋" w:hAnsi="仿宋" w:eastAsia="仿宋" w:cs="仿宋"/>
                <w:sz w:val="24"/>
                <w:szCs w:val="24"/>
                <w:highlight w:val="none"/>
              </w:rPr>
            </w:pPr>
          </w:p>
        </w:tc>
        <w:tc>
          <w:tcPr>
            <w:tcW w:w="2315" w:type="dxa"/>
            <w:noWrap w:val="0"/>
            <w:vAlign w:val="top"/>
          </w:tcPr>
          <w:p>
            <w:pPr>
              <w:spacing w:line="360" w:lineRule="auto"/>
              <w:jc w:val="center"/>
              <w:rPr>
                <w:rFonts w:hint="eastAsia" w:ascii="仿宋" w:hAnsi="仿宋" w:eastAsia="仿宋" w:cs="仿宋"/>
                <w:sz w:val="24"/>
                <w:szCs w:val="24"/>
                <w:highlight w:val="none"/>
              </w:rPr>
            </w:pPr>
          </w:p>
        </w:tc>
        <w:tc>
          <w:tcPr>
            <w:tcW w:w="1086" w:type="dxa"/>
            <w:noWrap w:val="0"/>
            <w:vAlign w:val="top"/>
          </w:tcPr>
          <w:p>
            <w:pPr>
              <w:spacing w:line="360" w:lineRule="auto"/>
              <w:jc w:val="center"/>
              <w:rPr>
                <w:rFonts w:hint="eastAsia" w:ascii="仿宋" w:hAnsi="仿宋" w:eastAsia="仿宋" w:cs="仿宋"/>
                <w:sz w:val="24"/>
                <w:szCs w:val="24"/>
                <w:highlight w:val="none"/>
              </w:rPr>
            </w:pPr>
          </w:p>
        </w:tc>
        <w:tc>
          <w:tcPr>
            <w:tcW w:w="1197" w:type="dxa"/>
            <w:noWrap w:val="0"/>
            <w:vAlign w:val="top"/>
          </w:tcPr>
          <w:p>
            <w:pPr>
              <w:spacing w:line="360" w:lineRule="auto"/>
              <w:jc w:val="center"/>
              <w:rPr>
                <w:rFonts w:hint="eastAsia" w:ascii="仿宋" w:hAnsi="仿宋" w:eastAsia="仿宋" w:cs="仿宋"/>
                <w:sz w:val="24"/>
                <w:szCs w:val="24"/>
                <w:highlight w:val="none"/>
              </w:rPr>
            </w:pPr>
          </w:p>
        </w:tc>
      </w:tr>
    </w:tbl>
    <w:p>
      <w:pPr>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注：</w:t>
      </w:r>
    </w:p>
    <w:p>
      <w:pPr>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1、磋商文件技术要求详见竞争性磋商文件第四章采购内容。</w:t>
      </w:r>
    </w:p>
    <w:p>
      <w:pPr>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2、偏离填写：有偏离（正/负）、无偏离。</w:t>
      </w:r>
    </w:p>
    <w:p>
      <w:pPr>
        <w:spacing w:line="360" w:lineRule="auto"/>
        <w:rPr>
          <w:rFonts w:hint="eastAsia" w:ascii="仿宋" w:hAnsi="仿宋" w:eastAsia="仿宋" w:cs="仿宋"/>
          <w:b/>
          <w:sz w:val="28"/>
          <w:szCs w:val="28"/>
          <w:highlight w:val="none"/>
        </w:rPr>
      </w:pPr>
      <w:r>
        <w:rPr>
          <w:rFonts w:hint="eastAsia" w:ascii="仿宋" w:hAnsi="仿宋" w:eastAsia="仿宋" w:cs="仿宋"/>
          <w:bCs/>
          <w:sz w:val="28"/>
          <w:szCs w:val="28"/>
          <w:highlight w:val="none"/>
        </w:rPr>
        <w:t>3、响应说明填写：优于、满足。</w:t>
      </w:r>
    </w:p>
    <w:p>
      <w:pPr>
        <w:spacing w:line="360" w:lineRule="auto"/>
        <w:rPr>
          <w:rFonts w:hint="eastAsia" w:ascii="仿宋" w:hAnsi="仿宋" w:eastAsia="仿宋" w:cs="仿宋"/>
          <w:b/>
          <w:sz w:val="28"/>
          <w:szCs w:val="28"/>
          <w:highlight w:val="none"/>
        </w:rPr>
      </w:pPr>
      <w:r>
        <w:rPr>
          <w:rFonts w:hint="eastAsia" w:ascii="仿宋" w:hAnsi="仿宋" w:eastAsia="仿宋" w:cs="仿宋"/>
          <w:bCs/>
          <w:sz w:val="28"/>
          <w:szCs w:val="28"/>
          <w:highlight w:val="none"/>
        </w:rPr>
        <w:t>4、表格不够用，各供应商可按此表复制。</w:t>
      </w:r>
    </w:p>
    <w:p>
      <w:pPr>
        <w:pStyle w:val="21"/>
        <w:spacing w:line="500" w:lineRule="atLeast"/>
        <w:ind w:firstLine="280" w:firstLineChars="100"/>
        <w:jc w:val="both"/>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21"/>
        <w:spacing w:line="500" w:lineRule="atLeast"/>
        <w:jc w:val="both"/>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21"/>
        <w:spacing w:line="500" w:lineRule="atLeast"/>
        <w:jc w:val="both"/>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pStyle w:val="21"/>
        <w:spacing w:line="500" w:lineRule="atLeast"/>
        <w:jc w:val="both"/>
        <w:rPr>
          <w:rFonts w:hint="eastAsia" w:ascii="仿宋" w:hAnsi="仿宋" w:eastAsia="仿宋" w:cs="仿宋"/>
          <w:b w:val="0"/>
          <w:kern w:val="2"/>
          <w:sz w:val="28"/>
          <w:szCs w:val="28"/>
          <w:highlight w:val="none"/>
          <w:lang w:val="zh-CN"/>
        </w:rPr>
      </w:pPr>
    </w:p>
    <w:p>
      <w:pPr>
        <w:adjustRightInd w:val="0"/>
        <w:snapToGrid w:val="0"/>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商务要求响应表</w:t>
      </w:r>
    </w:p>
    <w:tbl>
      <w:tblPr>
        <w:tblStyle w:val="15"/>
        <w:tblW w:w="97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08"/>
        <w:gridCol w:w="1427"/>
        <w:gridCol w:w="3952"/>
        <w:gridCol w:w="2091"/>
        <w:gridCol w:w="13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90" w:hRule="exact"/>
          <w:jc w:val="center"/>
        </w:trPr>
        <w:tc>
          <w:tcPr>
            <w:tcW w:w="908" w:type="dxa"/>
            <w:tcBorders>
              <w:top w:val="single" w:color="auto" w:sz="4" w:space="0"/>
              <w:left w:val="single" w:color="auto" w:sz="4" w:space="0"/>
              <w:bottom w:val="single" w:color="auto" w:sz="4" w:space="0"/>
            </w:tcBorders>
            <w:noWrap w:val="0"/>
            <w:vAlign w:val="center"/>
          </w:tcPr>
          <w:p>
            <w:pPr>
              <w:spacing w:line="50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1427" w:type="dxa"/>
            <w:noWrap w:val="0"/>
            <w:vAlign w:val="center"/>
          </w:tcPr>
          <w:p>
            <w:pPr>
              <w:spacing w:line="50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名称</w:t>
            </w:r>
          </w:p>
        </w:tc>
        <w:tc>
          <w:tcPr>
            <w:tcW w:w="3952" w:type="dxa"/>
            <w:noWrap w:val="0"/>
            <w:vAlign w:val="center"/>
          </w:tcPr>
          <w:p>
            <w:pPr>
              <w:spacing w:line="50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磋商文件商务要求</w:t>
            </w:r>
          </w:p>
        </w:tc>
        <w:tc>
          <w:tcPr>
            <w:tcW w:w="2091" w:type="dxa"/>
            <w:noWrap w:val="0"/>
            <w:vAlign w:val="center"/>
          </w:tcPr>
          <w:p>
            <w:pPr>
              <w:spacing w:line="50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响应文件</w:t>
            </w:r>
          </w:p>
          <w:p>
            <w:pPr>
              <w:spacing w:line="50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（响应/不响应）</w:t>
            </w:r>
          </w:p>
        </w:tc>
        <w:tc>
          <w:tcPr>
            <w:tcW w:w="1342" w:type="dxa"/>
            <w:noWrap w:val="0"/>
            <w:vAlign w:val="center"/>
          </w:tcPr>
          <w:p>
            <w:pPr>
              <w:spacing w:line="50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54" w:hRule="exact"/>
          <w:jc w:val="center"/>
        </w:trPr>
        <w:tc>
          <w:tcPr>
            <w:tcW w:w="908" w:type="dxa"/>
            <w:tcBorders>
              <w:top w:val="single" w:color="auto" w:sz="4" w:space="0"/>
              <w:left w:val="single" w:color="auto" w:sz="4" w:space="0"/>
              <w:bottom w:val="single" w:color="auto" w:sz="4" w:space="0"/>
            </w:tcBorders>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42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 xml:space="preserve"> </w:t>
            </w:r>
          </w:p>
        </w:tc>
        <w:tc>
          <w:tcPr>
            <w:tcW w:w="39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 xml:space="preserve"> </w:t>
            </w:r>
          </w:p>
        </w:tc>
        <w:tc>
          <w:tcPr>
            <w:tcW w:w="2091" w:type="dxa"/>
            <w:noWrap w:val="0"/>
            <w:vAlign w:val="top"/>
          </w:tcPr>
          <w:p>
            <w:pPr>
              <w:spacing w:line="500" w:lineRule="exact"/>
              <w:jc w:val="center"/>
              <w:rPr>
                <w:rFonts w:hint="eastAsia" w:ascii="仿宋" w:hAnsi="仿宋" w:eastAsia="仿宋" w:cs="仿宋"/>
                <w:sz w:val="28"/>
                <w:szCs w:val="28"/>
                <w:highlight w:val="none"/>
              </w:rPr>
            </w:pPr>
          </w:p>
        </w:tc>
        <w:tc>
          <w:tcPr>
            <w:tcW w:w="1342" w:type="dxa"/>
            <w:noWrap w:val="0"/>
            <w:vAlign w:val="top"/>
          </w:tcPr>
          <w:p>
            <w:pPr>
              <w:spacing w:line="500" w:lineRule="exact"/>
              <w:jc w:val="center"/>
              <w:rPr>
                <w:rFonts w:hint="eastAsia"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exact"/>
          <w:jc w:val="center"/>
        </w:trPr>
        <w:tc>
          <w:tcPr>
            <w:tcW w:w="908" w:type="dxa"/>
            <w:tcBorders>
              <w:top w:val="single" w:color="auto" w:sz="4" w:space="0"/>
              <w:left w:val="single" w:color="auto" w:sz="4" w:space="0"/>
              <w:bottom w:val="single" w:color="auto" w:sz="4" w:space="0"/>
            </w:tcBorders>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427" w:type="dxa"/>
            <w:noWrap w:val="0"/>
            <w:vAlign w:val="center"/>
          </w:tcPr>
          <w:p>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 xml:space="preserve"> </w:t>
            </w:r>
          </w:p>
        </w:tc>
        <w:tc>
          <w:tcPr>
            <w:tcW w:w="3952" w:type="dxa"/>
            <w:noWrap w:val="0"/>
            <w:vAlign w:val="center"/>
          </w:tcPr>
          <w:p>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 xml:space="preserve"> </w:t>
            </w:r>
          </w:p>
        </w:tc>
        <w:tc>
          <w:tcPr>
            <w:tcW w:w="2091" w:type="dxa"/>
            <w:noWrap w:val="0"/>
            <w:vAlign w:val="top"/>
          </w:tcPr>
          <w:p>
            <w:pPr>
              <w:spacing w:line="500" w:lineRule="exact"/>
              <w:jc w:val="center"/>
              <w:rPr>
                <w:rFonts w:hint="eastAsia" w:ascii="仿宋" w:hAnsi="仿宋" w:eastAsia="仿宋" w:cs="仿宋"/>
                <w:sz w:val="28"/>
                <w:szCs w:val="28"/>
                <w:highlight w:val="none"/>
              </w:rPr>
            </w:pPr>
          </w:p>
        </w:tc>
        <w:tc>
          <w:tcPr>
            <w:tcW w:w="1342" w:type="dxa"/>
            <w:noWrap w:val="0"/>
            <w:vAlign w:val="top"/>
          </w:tcPr>
          <w:p>
            <w:pPr>
              <w:spacing w:line="500" w:lineRule="exact"/>
              <w:jc w:val="center"/>
              <w:rPr>
                <w:rFonts w:hint="eastAsia"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111" w:hRule="exact"/>
          <w:jc w:val="center"/>
        </w:trPr>
        <w:tc>
          <w:tcPr>
            <w:tcW w:w="908" w:type="dxa"/>
            <w:tcBorders>
              <w:top w:val="single" w:color="auto" w:sz="4" w:space="0"/>
              <w:left w:val="single" w:color="auto" w:sz="4" w:space="0"/>
              <w:bottom w:val="single" w:color="auto" w:sz="4" w:space="0"/>
            </w:tcBorders>
            <w:noWrap w:val="0"/>
            <w:vAlign w:val="center"/>
          </w:tcPr>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142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 xml:space="preserve"> </w:t>
            </w:r>
          </w:p>
        </w:tc>
        <w:tc>
          <w:tcPr>
            <w:tcW w:w="39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highlight w:val="none"/>
                <w:lang w:eastAsia="zh-CN"/>
              </w:rPr>
            </w:pPr>
            <w:r>
              <w:rPr>
                <w:rFonts w:hint="eastAsia" w:ascii="仿宋" w:hAnsi="仿宋" w:eastAsia="仿宋" w:cs="仿宋"/>
                <w:color w:val="FF0000"/>
                <w:sz w:val="28"/>
                <w:szCs w:val="28"/>
                <w:highlight w:val="none"/>
                <w:lang w:val="en-US" w:eastAsia="zh-CN"/>
              </w:rPr>
              <w:t xml:space="preserve"> </w:t>
            </w:r>
          </w:p>
        </w:tc>
        <w:tc>
          <w:tcPr>
            <w:tcW w:w="2091" w:type="dxa"/>
            <w:noWrap w:val="0"/>
            <w:vAlign w:val="top"/>
          </w:tcPr>
          <w:p>
            <w:pPr>
              <w:spacing w:line="500" w:lineRule="exact"/>
              <w:jc w:val="center"/>
              <w:rPr>
                <w:rFonts w:hint="eastAsia" w:ascii="仿宋" w:hAnsi="仿宋" w:eastAsia="仿宋" w:cs="仿宋"/>
                <w:sz w:val="28"/>
                <w:szCs w:val="28"/>
                <w:highlight w:val="none"/>
              </w:rPr>
            </w:pPr>
          </w:p>
        </w:tc>
        <w:tc>
          <w:tcPr>
            <w:tcW w:w="1342" w:type="dxa"/>
            <w:noWrap w:val="0"/>
            <w:vAlign w:val="top"/>
          </w:tcPr>
          <w:p>
            <w:pPr>
              <w:spacing w:line="500" w:lineRule="exact"/>
              <w:jc w:val="center"/>
              <w:rPr>
                <w:rFonts w:hint="eastAsia"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exact"/>
          <w:jc w:val="center"/>
        </w:trPr>
        <w:tc>
          <w:tcPr>
            <w:tcW w:w="908" w:type="dxa"/>
            <w:tcBorders>
              <w:top w:val="single" w:color="auto" w:sz="4" w:space="0"/>
              <w:left w:val="single" w:color="auto" w:sz="4" w:space="0"/>
              <w:bottom w:val="single" w:color="auto" w:sz="4" w:space="0"/>
            </w:tcBorders>
            <w:noWrap w:val="0"/>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427" w:type="dxa"/>
            <w:noWrap w:val="0"/>
            <w:vAlign w:val="center"/>
          </w:tcPr>
          <w:p>
            <w:pP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 xml:space="preserve">  </w:t>
            </w:r>
          </w:p>
        </w:tc>
        <w:tc>
          <w:tcPr>
            <w:tcW w:w="3952" w:type="dxa"/>
            <w:noWrap w:val="0"/>
            <w:vAlign w:val="center"/>
          </w:tcPr>
          <w:p>
            <w:pP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 xml:space="preserve"> </w:t>
            </w:r>
          </w:p>
        </w:tc>
        <w:tc>
          <w:tcPr>
            <w:tcW w:w="2091" w:type="dxa"/>
            <w:noWrap w:val="0"/>
            <w:vAlign w:val="center"/>
          </w:tcPr>
          <w:p>
            <w:pPr>
              <w:spacing w:line="500" w:lineRule="exact"/>
              <w:jc w:val="center"/>
              <w:rPr>
                <w:rFonts w:hint="eastAsia" w:ascii="仿宋" w:hAnsi="仿宋" w:eastAsia="仿宋" w:cs="仿宋"/>
                <w:sz w:val="28"/>
                <w:szCs w:val="28"/>
                <w:highlight w:val="none"/>
              </w:rPr>
            </w:pPr>
          </w:p>
        </w:tc>
        <w:tc>
          <w:tcPr>
            <w:tcW w:w="1342" w:type="dxa"/>
            <w:noWrap w:val="0"/>
            <w:vAlign w:val="center"/>
          </w:tcPr>
          <w:p>
            <w:pPr>
              <w:spacing w:line="500" w:lineRule="exact"/>
              <w:jc w:val="center"/>
              <w:rPr>
                <w:rFonts w:hint="eastAsia"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exact"/>
          <w:jc w:val="center"/>
        </w:trPr>
        <w:tc>
          <w:tcPr>
            <w:tcW w:w="908" w:type="dxa"/>
            <w:tcBorders>
              <w:top w:val="single" w:color="auto" w:sz="4" w:space="0"/>
              <w:left w:val="single" w:color="auto" w:sz="4" w:space="0"/>
              <w:bottom w:val="single" w:color="auto" w:sz="4" w:space="0"/>
            </w:tcBorders>
            <w:noWrap w:val="0"/>
            <w:vAlign w:val="center"/>
          </w:tcPr>
          <w:p>
            <w:pPr>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427" w:type="dxa"/>
            <w:noWrap w:val="0"/>
            <w:vAlign w:val="center"/>
          </w:tcPr>
          <w:p>
            <w:pP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 xml:space="preserve"> </w:t>
            </w:r>
          </w:p>
        </w:tc>
        <w:tc>
          <w:tcPr>
            <w:tcW w:w="3952" w:type="dxa"/>
            <w:noWrap w:val="0"/>
            <w:vAlign w:val="center"/>
          </w:tcPr>
          <w:p>
            <w:pPr>
              <w:spacing w:line="360" w:lineRule="auto"/>
              <w:jc w:val="center"/>
              <w:rPr>
                <w:rFonts w:hint="eastAsia" w:ascii="仿宋" w:hAnsi="仿宋" w:eastAsia="仿宋" w:cs="仿宋"/>
                <w:sz w:val="28"/>
                <w:szCs w:val="28"/>
                <w:highlight w:val="none"/>
              </w:rPr>
            </w:pPr>
          </w:p>
        </w:tc>
        <w:tc>
          <w:tcPr>
            <w:tcW w:w="2091" w:type="dxa"/>
            <w:noWrap w:val="0"/>
            <w:vAlign w:val="center"/>
          </w:tcPr>
          <w:p>
            <w:pPr>
              <w:spacing w:line="500" w:lineRule="exact"/>
              <w:jc w:val="center"/>
              <w:rPr>
                <w:rFonts w:hint="eastAsia" w:ascii="仿宋" w:hAnsi="仿宋" w:eastAsia="仿宋" w:cs="仿宋"/>
                <w:sz w:val="28"/>
                <w:szCs w:val="28"/>
                <w:highlight w:val="none"/>
              </w:rPr>
            </w:pPr>
          </w:p>
        </w:tc>
        <w:tc>
          <w:tcPr>
            <w:tcW w:w="1342" w:type="dxa"/>
            <w:noWrap w:val="0"/>
            <w:vAlign w:val="center"/>
          </w:tcPr>
          <w:p>
            <w:pPr>
              <w:spacing w:line="500" w:lineRule="exact"/>
              <w:jc w:val="center"/>
              <w:rPr>
                <w:rFonts w:hint="eastAsia" w:ascii="仿宋" w:hAnsi="仿宋" w:eastAsia="仿宋" w:cs="仿宋"/>
                <w:sz w:val="28"/>
                <w:szCs w:val="28"/>
                <w:highlight w:val="none"/>
              </w:rPr>
            </w:pPr>
          </w:p>
        </w:tc>
      </w:tr>
    </w:tbl>
    <w:p>
      <w:pPr>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注：</w:t>
      </w:r>
    </w:p>
    <w:p>
      <w:pPr>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1、响应说明：若优于要求具体填写相关内容。</w:t>
      </w:r>
    </w:p>
    <w:p>
      <w:pPr>
        <w:spacing w:line="360" w:lineRule="auto"/>
        <w:rPr>
          <w:rFonts w:hint="eastAsia" w:ascii="仿宋" w:hAnsi="仿宋" w:eastAsia="仿宋" w:cs="仿宋"/>
          <w:b/>
          <w:sz w:val="28"/>
          <w:szCs w:val="28"/>
          <w:highlight w:val="none"/>
        </w:rPr>
      </w:pPr>
      <w:r>
        <w:rPr>
          <w:rFonts w:hint="eastAsia" w:ascii="仿宋" w:hAnsi="仿宋" w:eastAsia="仿宋" w:cs="仿宋"/>
          <w:bCs/>
          <w:sz w:val="28"/>
          <w:szCs w:val="28"/>
          <w:highlight w:val="none"/>
        </w:rPr>
        <w:t>2、表格不够用，各供应商可按此表复制。</w:t>
      </w:r>
    </w:p>
    <w:p>
      <w:pPr>
        <w:spacing w:line="360" w:lineRule="auto"/>
        <w:ind w:firstLine="2249" w:firstLineChars="800"/>
        <w:rPr>
          <w:rFonts w:hint="eastAsia" w:ascii="仿宋" w:hAnsi="仿宋" w:eastAsia="仿宋" w:cs="仿宋"/>
          <w:b/>
          <w:sz w:val="28"/>
          <w:szCs w:val="28"/>
          <w:highlight w:val="none"/>
        </w:rPr>
      </w:pPr>
    </w:p>
    <w:p>
      <w:pPr>
        <w:pStyle w:val="21"/>
        <w:spacing w:line="500" w:lineRule="atLeast"/>
        <w:jc w:val="both"/>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21"/>
        <w:spacing w:line="500" w:lineRule="atLeast"/>
        <w:jc w:val="both"/>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21"/>
        <w:spacing w:line="500" w:lineRule="atLeast"/>
        <w:ind w:firstLine="2660" w:firstLineChars="950"/>
        <w:jc w:val="both"/>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spacing w:line="500" w:lineRule="atLeast"/>
        <w:jc w:val="center"/>
        <w:outlineLvl w:val="1"/>
        <w:rPr>
          <w:rFonts w:hint="eastAsia" w:ascii="仿宋" w:hAnsi="仿宋" w:eastAsia="仿宋" w:cs="仿宋"/>
          <w:b/>
          <w:bCs/>
          <w:sz w:val="36"/>
          <w:szCs w:val="36"/>
          <w:highlight w:val="none"/>
        </w:rPr>
      </w:pPr>
      <w:bookmarkStart w:id="317" w:name="_Toc19691"/>
      <w:bookmarkStart w:id="318" w:name="_Toc4927"/>
      <w:bookmarkStart w:id="319" w:name="_Toc13008_WPSOffice_Level1"/>
      <w:bookmarkStart w:id="320" w:name="_Toc19272_WPSOffice_Level1"/>
      <w:bookmarkStart w:id="321" w:name="_Toc8498"/>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28"/>
          <w:szCs w:val="28"/>
          <w:highlight w:val="none"/>
        </w:rPr>
      </w:pPr>
      <w:r>
        <w:rPr>
          <w:rFonts w:hint="eastAsia" w:ascii="仿宋" w:hAnsi="仿宋" w:eastAsia="仿宋" w:cs="仿宋"/>
          <w:b/>
          <w:bCs/>
          <w:sz w:val="36"/>
          <w:szCs w:val="36"/>
          <w:highlight w:val="none"/>
        </w:rPr>
        <w:t>第三部分  法定代表人身份证明书</w:t>
      </w:r>
      <w:bookmarkEnd w:id="314"/>
      <w:bookmarkEnd w:id="315"/>
      <w:bookmarkEnd w:id="316"/>
      <w:bookmarkStart w:id="322" w:name="_Toc1467"/>
      <w:bookmarkStart w:id="323" w:name="_Toc438541317"/>
      <w:bookmarkStart w:id="324" w:name="_Toc435777712"/>
      <w:bookmarkStart w:id="325" w:name="_Toc437425964"/>
      <w:bookmarkStart w:id="326" w:name="_Toc437247472"/>
      <w:bookmarkStart w:id="327" w:name="_Toc435776425"/>
      <w:bookmarkStart w:id="328" w:name="_Toc437012218"/>
      <w:bookmarkStart w:id="329" w:name="_Toc435777812"/>
      <w:r>
        <w:rPr>
          <w:rFonts w:hint="eastAsia" w:ascii="仿宋" w:hAnsi="仿宋" w:eastAsia="仿宋" w:cs="仿宋"/>
          <w:b/>
          <w:bCs/>
          <w:sz w:val="36"/>
          <w:szCs w:val="36"/>
          <w:highlight w:val="none"/>
        </w:rPr>
        <w:t>和授权委托书</w:t>
      </w:r>
      <w:bookmarkEnd w:id="317"/>
      <w:bookmarkEnd w:id="318"/>
      <w:bookmarkEnd w:id="319"/>
      <w:bookmarkEnd w:id="320"/>
      <w:bookmarkEnd w:id="321"/>
      <w:bookmarkEnd w:id="322"/>
      <w:bookmarkEnd w:id="323"/>
      <w:bookmarkEnd w:id="324"/>
      <w:bookmarkEnd w:id="325"/>
      <w:bookmarkEnd w:id="326"/>
      <w:bookmarkEnd w:id="327"/>
      <w:bookmarkEnd w:id="328"/>
      <w:bookmarkEnd w:id="329"/>
    </w:p>
    <w:p>
      <w:pPr>
        <w:pStyle w:val="24"/>
        <w:spacing w:line="500" w:lineRule="atLeast"/>
        <w:jc w:val="center"/>
        <w:rPr>
          <w:rFonts w:hint="eastAsia" w:ascii="仿宋" w:hAnsi="仿宋" w:eastAsia="仿宋" w:cs="仿宋"/>
          <w:sz w:val="28"/>
          <w:szCs w:val="28"/>
          <w:highlight w:val="none"/>
        </w:rPr>
      </w:pPr>
      <w:r>
        <w:rPr>
          <w:rFonts w:hint="eastAsia" w:ascii="仿宋" w:hAnsi="仿宋" w:eastAsia="仿宋" w:cs="仿宋"/>
          <w:b/>
          <w:bCs/>
          <w:sz w:val="28"/>
          <w:szCs w:val="28"/>
          <w:highlight w:val="none"/>
        </w:rPr>
        <w:t>1、法定代表人身份证明书</w:t>
      </w:r>
    </w:p>
    <w:p>
      <w:pPr>
        <w:pStyle w:val="24"/>
        <w:spacing w:line="500" w:lineRule="atLeast"/>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 </w:t>
      </w:r>
    </w:p>
    <w:p>
      <w:pPr>
        <w:pStyle w:val="24"/>
        <w:spacing w:line="500" w:lineRule="atLeas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单位性质：</w:t>
      </w:r>
      <w:r>
        <w:rPr>
          <w:rFonts w:hint="eastAsia" w:ascii="仿宋" w:hAnsi="仿宋" w:eastAsia="仿宋" w:cs="仿宋"/>
          <w:sz w:val="28"/>
          <w:szCs w:val="28"/>
          <w:highlight w:val="none"/>
          <w:u w:val="single"/>
        </w:rPr>
        <w:t xml:space="preserve">                                  . </w:t>
      </w:r>
    </w:p>
    <w:p>
      <w:pPr>
        <w:pStyle w:val="24"/>
        <w:spacing w:line="5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 </w:t>
      </w:r>
    </w:p>
    <w:p>
      <w:pPr>
        <w:pStyle w:val="24"/>
        <w:spacing w:line="5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pStyle w:val="24"/>
        <w:spacing w:line="5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pPr>
        <w:pStyle w:val="24"/>
        <w:spacing w:line="5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         </w:t>
      </w:r>
    </w:p>
    <w:p>
      <w:pPr>
        <w:pStyle w:val="24"/>
        <w:spacing w:line="500" w:lineRule="atLeas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系</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的法定代表人。</w:t>
      </w:r>
    </w:p>
    <w:p>
      <w:pPr>
        <w:pStyle w:val="24"/>
        <w:spacing w:line="5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pPr>
        <w:pStyle w:val="24"/>
        <w:spacing w:line="5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8120" w:type="dxa"/>
            <w:noWrap w:val="0"/>
            <w:vAlign w:val="center"/>
          </w:tcPr>
          <w:p>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p>
            <w:pPr>
              <w:adjustRightInd w:val="0"/>
              <w:snapToGrid w:val="0"/>
              <w:spacing w:line="500" w:lineRule="atLeast"/>
              <w:jc w:val="center"/>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正反面</w:t>
            </w:r>
          </w:p>
          <w:p>
            <w:pPr>
              <w:adjustRightInd w:val="0"/>
              <w:snapToGrid w:val="0"/>
              <w:spacing w:line="500" w:lineRule="atLeast"/>
              <w:jc w:val="center"/>
              <w:rPr>
                <w:rFonts w:hint="eastAsia" w:ascii="仿宋" w:hAnsi="仿宋" w:eastAsia="仿宋" w:cs="仿宋"/>
                <w:sz w:val="28"/>
                <w:szCs w:val="28"/>
                <w:highlight w:val="none"/>
                <w:u w:val="single"/>
              </w:rPr>
            </w:pPr>
          </w:p>
        </w:tc>
      </w:tr>
    </w:tbl>
    <w:p>
      <w:pPr>
        <w:pStyle w:val="24"/>
        <w:spacing w:line="500" w:lineRule="atLeast"/>
        <w:rPr>
          <w:rFonts w:hint="eastAsia" w:ascii="仿宋" w:hAnsi="仿宋" w:eastAsia="仿宋" w:cs="仿宋"/>
          <w:sz w:val="28"/>
          <w:szCs w:val="28"/>
          <w:highlight w:val="none"/>
        </w:rPr>
      </w:pPr>
    </w:p>
    <w:p>
      <w:pPr>
        <w:pStyle w:val="24"/>
        <w:spacing w:line="500" w:lineRule="atLeast"/>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（公章）</w:t>
      </w:r>
    </w:p>
    <w:p>
      <w:pPr>
        <w:pStyle w:val="24"/>
        <w:spacing w:line="500" w:lineRule="atLeast"/>
        <w:jc w:val="both"/>
        <w:rPr>
          <w:rFonts w:hint="eastAsia" w:ascii="仿宋" w:hAnsi="仿宋" w:eastAsia="仿宋" w:cs="仿宋"/>
          <w:sz w:val="28"/>
          <w:szCs w:val="28"/>
          <w:highlight w:val="none"/>
        </w:rPr>
      </w:pPr>
    </w:p>
    <w:p>
      <w:pPr>
        <w:spacing w:line="500" w:lineRule="atLeast"/>
        <w:jc w:val="right"/>
        <w:rPr>
          <w:rFonts w:hint="eastAsia" w:ascii="仿宋" w:hAnsi="仿宋" w:eastAsia="仿宋" w:cs="仿宋"/>
          <w:b/>
          <w:bCs/>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500" w:lineRule="atLeast"/>
        <w:ind w:left="210" w:leftChars="100"/>
        <w:jc w:val="center"/>
        <w:rPr>
          <w:rFonts w:hint="eastAsia" w:ascii="仿宋" w:hAnsi="仿宋" w:eastAsia="仿宋" w:cs="仿宋"/>
          <w:b/>
          <w:bCs/>
          <w:sz w:val="28"/>
          <w:szCs w:val="28"/>
          <w:highlight w:val="none"/>
        </w:rPr>
      </w:pPr>
    </w:p>
    <w:p>
      <w:pPr>
        <w:spacing w:line="500" w:lineRule="atLeast"/>
        <w:ind w:left="210" w:leftChars="10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2、法定代表人授权委托书</w:t>
      </w:r>
    </w:p>
    <w:p>
      <w:pPr>
        <w:adjustRightInd w:val="0"/>
        <w:snapToGrid w:val="0"/>
        <w:spacing w:line="5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注册于</w:t>
      </w:r>
      <w:r>
        <w:rPr>
          <w:rFonts w:hint="eastAsia" w:ascii="仿宋" w:hAnsi="仿宋" w:eastAsia="仿宋" w:cs="仿宋"/>
          <w:sz w:val="28"/>
          <w:szCs w:val="28"/>
          <w:highlight w:val="none"/>
          <w:u w:val="single"/>
        </w:rPr>
        <w:t>（工商行政管理局名称）</w:t>
      </w:r>
      <w:r>
        <w:rPr>
          <w:rFonts w:hint="eastAsia" w:ascii="仿宋" w:hAnsi="仿宋" w:eastAsia="仿宋" w:cs="仿宋"/>
          <w:sz w:val="28"/>
          <w:szCs w:val="28"/>
          <w:highlight w:val="none"/>
        </w:rPr>
        <w:t>之</w:t>
      </w:r>
      <w:r>
        <w:rPr>
          <w:rFonts w:hint="eastAsia" w:ascii="仿宋" w:hAnsi="仿宋" w:eastAsia="仿宋" w:cs="仿宋"/>
          <w:sz w:val="28"/>
          <w:szCs w:val="28"/>
          <w:highlight w:val="none"/>
          <w:u w:val="single"/>
        </w:rPr>
        <w:t>（供应商全称）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（姓名、职务）</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（被授权委托人姓名、职务）</w:t>
      </w:r>
      <w:r>
        <w:rPr>
          <w:rFonts w:hint="eastAsia" w:ascii="仿宋" w:hAnsi="仿宋" w:eastAsia="仿宋" w:cs="仿宋"/>
          <w:sz w:val="28"/>
          <w:szCs w:val="28"/>
          <w:highlight w:val="none"/>
        </w:rPr>
        <w:t>为本公司的合法代理人，就</w:t>
      </w:r>
      <w:r>
        <w:rPr>
          <w:rFonts w:hint="eastAsia" w:ascii="仿宋" w:hAnsi="仿宋" w:eastAsia="仿宋" w:cs="仿宋"/>
          <w:sz w:val="28"/>
          <w:szCs w:val="28"/>
          <w:highlight w:val="none"/>
          <w:u w:val="single"/>
        </w:rPr>
        <w:t>（项目名称）</w:t>
      </w:r>
      <w:r>
        <w:rPr>
          <w:rFonts w:hint="eastAsia" w:ascii="仿宋" w:hAnsi="仿宋" w:eastAsia="仿宋" w:cs="仿宋"/>
          <w:sz w:val="28"/>
          <w:szCs w:val="28"/>
          <w:highlight w:val="none"/>
        </w:rPr>
        <w:t>的磋商及合同的执行和完成，以本公司的名义处理一切与之有关的事宜。</w:t>
      </w:r>
    </w:p>
    <w:p>
      <w:pPr>
        <w:adjustRightInd w:val="0"/>
        <w:snapToGrid w:val="0"/>
        <w:spacing w:line="500" w:lineRule="atLeas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附：被授权委托人姓名：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年龄：</w:t>
      </w:r>
      <w:r>
        <w:rPr>
          <w:rFonts w:hint="eastAsia" w:ascii="仿宋" w:hAnsi="仿宋" w:eastAsia="仿宋" w:cs="仿宋"/>
          <w:sz w:val="28"/>
          <w:szCs w:val="28"/>
          <w:highlight w:val="none"/>
          <w:u w:val="single"/>
        </w:rPr>
        <w:t xml:space="preserve">        .</w:t>
      </w:r>
    </w:p>
    <w:p>
      <w:pPr>
        <w:adjustRightInd w:val="0"/>
        <w:snapToGrid w:val="0"/>
        <w:spacing w:line="500" w:lineRule="atLeast"/>
        <w:ind w:firstLine="630"/>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p>
    <w:p>
      <w:pPr>
        <w:adjustRightInd w:val="0"/>
        <w:snapToGrid w:val="0"/>
        <w:spacing w:line="500" w:lineRule="atLeast"/>
        <w:ind w:firstLine="63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通讯地址：</w:t>
      </w:r>
      <w:r>
        <w:rPr>
          <w:rFonts w:hint="eastAsia" w:ascii="仿宋" w:hAnsi="仿宋" w:eastAsia="仿宋" w:cs="仿宋"/>
          <w:sz w:val="28"/>
          <w:szCs w:val="28"/>
          <w:highlight w:val="none"/>
          <w:u w:val="single"/>
        </w:rPr>
        <w:t xml:space="preserve">                                          .</w:t>
      </w:r>
    </w:p>
    <w:p>
      <w:pPr>
        <w:adjustRightInd w:val="0"/>
        <w:snapToGrid w:val="0"/>
        <w:spacing w:line="500" w:lineRule="atLeast"/>
        <w:ind w:firstLine="63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pPr>
        <w:adjustRightInd w:val="0"/>
        <w:snapToGrid w:val="0"/>
        <w:spacing w:line="500" w:lineRule="atLeast"/>
        <w:ind w:firstLine="63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pPr>
        <w:adjustRightInd w:val="0"/>
        <w:snapToGrid w:val="0"/>
        <w:spacing w:line="500" w:lineRule="atLeast"/>
        <w:ind w:firstLine="630"/>
        <w:rPr>
          <w:rFonts w:hint="eastAsia" w:ascii="仿宋" w:hAnsi="仿宋" w:eastAsia="仿宋" w:cs="仿宋"/>
          <w:sz w:val="28"/>
          <w:szCs w:val="28"/>
          <w:highlight w:val="none"/>
        </w:rPr>
      </w:pPr>
    </w:p>
    <w:p>
      <w:pPr>
        <w:adjustRightInd w:val="0"/>
        <w:snapToGrid w:val="0"/>
        <w:spacing w:line="500" w:lineRule="atLeast"/>
        <w:ind w:firstLine="63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法定代表人/被授权委托人身份证复印件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9"/>
        <w:gridCol w:w="4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4719" w:type="dxa"/>
            <w:noWrap w:val="0"/>
            <w:vAlign w:val="center"/>
          </w:tcPr>
          <w:p>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w:t>
            </w:r>
          </w:p>
          <w:p>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正反面</w:t>
            </w:r>
          </w:p>
          <w:p>
            <w:pPr>
              <w:adjustRightInd w:val="0"/>
              <w:snapToGrid w:val="0"/>
              <w:spacing w:line="500" w:lineRule="atLeast"/>
              <w:jc w:val="center"/>
              <w:rPr>
                <w:rFonts w:hint="eastAsia" w:ascii="仿宋" w:hAnsi="仿宋" w:eastAsia="仿宋" w:cs="仿宋"/>
                <w:sz w:val="28"/>
                <w:szCs w:val="28"/>
                <w:highlight w:val="none"/>
              </w:rPr>
            </w:pPr>
          </w:p>
        </w:tc>
        <w:tc>
          <w:tcPr>
            <w:tcW w:w="4721" w:type="dxa"/>
            <w:noWrap w:val="0"/>
            <w:vAlign w:val="center"/>
          </w:tcPr>
          <w:p>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被授权委托人身份证复印件</w:t>
            </w:r>
          </w:p>
          <w:p>
            <w:pPr>
              <w:adjustRightInd w:val="0"/>
              <w:snapToGrid w:val="0"/>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正反面</w:t>
            </w:r>
          </w:p>
          <w:p>
            <w:pPr>
              <w:adjustRightInd w:val="0"/>
              <w:snapToGrid w:val="0"/>
              <w:spacing w:line="500" w:lineRule="atLeast"/>
              <w:jc w:val="center"/>
              <w:rPr>
                <w:rFonts w:hint="eastAsia" w:ascii="仿宋" w:hAnsi="仿宋" w:eastAsia="仿宋" w:cs="仿宋"/>
                <w:sz w:val="28"/>
                <w:szCs w:val="28"/>
                <w:highlight w:val="none"/>
              </w:rPr>
            </w:pPr>
          </w:p>
        </w:tc>
      </w:tr>
    </w:tbl>
    <w:p>
      <w:pPr>
        <w:adjustRightInd w:val="0"/>
        <w:snapToGrid w:val="0"/>
        <w:spacing w:line="500" w:lineRule="atLeast"/>
        <w:ind w:firstLine="630"/>
        <w:rPr>
          <w:rFonts w:hint="eastAsia" w:ascii="仿宋" w:hAnsi="仿宋" w:eastAsia="仿宋" w:cs="仿宋"/>
          <w:sz w:val="28"/>
          <w:szCs w:val="28"/>
          <w:highlight w:val="none"/>
        </w:rPr>
      </w:pPr>
    </w:p>
    <w:p>
      <w:pPr>
        <w:adjustRightInd w:val="0"/>
        <w:snapToGrid w:val="0"/>
        <w:spacing w:line="500" w:lineRule="atLeast"/>
        <w:ind w:firstLine="630"/>
        <w:rPr>
          <w:rFonts w:hint="eastAsia" w:ascii="仿宋" w:hAnsi="仿宋" w:eastAsia="仿宋" w:cs="仿宋"/>
          <w:sz w:val="28"/>
          <w:szCs w:val="28"/>
          <w:highlight w:val="none"/>
        </w:rPr>
      </w:pPr>
    </w:p>
    <w:p>
      <w:pPr>
        <w:adjustRightInd w:val="0"/>
        <w:snapToGrid w:val="0"/>
        <w:spacing w:line="500" w:lineRule="atLeast"/>
        <w:ind w:firstLine="630"/>
        <w:rPr>
          <w:rFonts w:hint="eastAsia" w:ascii="仿宋" w:hAnsi="仿宋" w:eastAsia="仿宋" w:cs="仿宋"/>
          <w:sz w:val="28"/>
          <w:szCs w:val="28"/>
          <w:highlight w:val="none"/>
        </w:rPr>
      </w:pPr>
    </w:p>
    <w:p>
      <w:pPr>
        <w:adjustRightInd w:val="0"/>
        <w:snapToGrid w:val="0"/>
        <w:spacing w:line="500" w:lineRule="atLeast"/>
        <w:ind w:firstLine="630"/>
        <w:rPr>
          <w:rFonts w:hint="eastAsia" w:ascii="仿宋" w:hAnsi="仿宋" w:eastAsia="仿宋" w:cs="仿宋"/>
          <w:sz w:val="28"/>
          <w:szCs w:val="28"/>
          <w:highlight w:val="none"/>
        </w:rPr>
      </w:pPr>
    </w:p>
    <w:p>
      <w:pPr>
        <w:adjustRightInd w:val="0"/>
        <w:snapToGrid w:val="0"/>
        <w:spacing w:line="500" w:lineRule="atLeast"/>
        <w:ind w:firstLine="630"/>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pPr>
        <w:adjustRightInd w:val="0"/>
        <w:snapToGrid w:val="0"/>
        <w:spacing w:line="500" w:lineRule="atLeast"/>
        <w:ind w:firstLine="63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adjustRightInd w:val="0"/>
        <w:snapToGrid w:val="0"/>
        <w:spacing w:line="500" w:lineRule="atLeast"/>
        <w:ind w:firstLine="630"/>
        <w:rPr>
          <w:rFonts w:hint="eastAsia" w:ascii="仿宋" w:hAnsi="仿宋" w:eastAsia="仿宋" w:cs="仿宋"/>
          <w:sz w:val="28"/>
          <w:szCs w:val="28"/>
          <w:highlight w:val="none"/>
        </w:rPr>
      </w:pPr>
      <w:r>
        <w:rPr>
          <w:rFonts w:hint="eastAsia" w:ascii="仿宋" w:hAnsi="仿宋" w:eastAsia="仿宋" w:cs="仿宋"/>
          <w:sz w:val="28"/>
          <w:szCs w:val="28"/>
          <w:highlight w:val="none"/>
        </w:rPr>
        <w:t>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      字）</w:t>
      </w:r>
    </w:p>
    <w:p>
      <w:pPr>
        <w:spacing w:line="500" w:lineRule="atLeast"/>
        <w:ind w:firstLine="1124" w:firstLineChars="4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（注：本授权有效期为从授权之日起不少于120日历日）</w:t>
      </w: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highlight w:val="none"/>
        </w:rPr>
      </w:pPr>
    </w:p>
    <w:p>
      <w:pPr>
        <w:rPr>
          <w:rFonts w:hint="eastAsia"/>
          <w:highlight w:val="none"/>
        </w:rPr>
      </w:pPr>
    </w:p>
    <w:p>
      <w:pPr>
        <w:spacing w:line="480" w:lineRule="atLeast"/>
        <w:jc w:val="center"/>
        <w:outlineLvl w:val="1"/>
        <w:rPr>
          <w:rFonts w:hint="eastAsia" w:ascii="仿宋" w:hAnsi="仿宋" w:eastAsia="仿宋" w:cs="仿宋"/>
          <w:b/>
          <w:bCs/>
          <w:sz w:val="36"/>
          <w:szCs w:val="36"/>
          <w:highlight w:val="none"/>
        </w:rPr>
      </w:pPr>
      <w:bookmarkStart w:id="330" w:name="_Toc13935_WPSOffice_Level1"/>
      <w:bookmarkStart w:id="331" w:name="_Toc25934_WPSOffice_Level1"/>
      <w:bookmarkStart w:id="332" w:name="_Toc24736"/>
      <w:bookmarkStart w:id="333" w:name="_Toc438541318"/>
      <w:bookmarkStart w:id="334" w:name="_Toc1579"/>
      <w:bookmarkStart w:id="335" w:name="_Toc28870"/>
      <w:bookmarkStart w:id="336" w:name="_Toc15891"/>
      <w:r>
        <w:rPr>
          <w:rFonts w:hint="eastAsia" w:ascii="仿宋" w:hAnsi="仿宋" w:eastAsia="仿宋" w:cs="仿宋"/>
          <w:b/>
          <w:bCs/>
          <w:sz w:val="36"/>
          <w:szCs w:val="36"/>
          <w:highlight w:val="none"/>
        </w:rPr>
        <w:t>第四部分  供应商资格声明文件</w:t>
      </w:r>
      <w:bookmarkEnd w:id="330"/>
      <w:bookmarkEnd w:id="331"/>
      <w:bookmarkEnd w:id="332"/>
      <w:bookmarkEnd w:id="333"/>
      <w:bookmarkEnd w:id="334"/>
      <w:bookmarkEnd w:id="335"/>
      <w:bookmarkEnd w:id="336"/>
    </w:p>
    <w:tbl>
      <w:tblPr>
        <w:tblStyle w:val="15"/>
        <w:tblpPr w:leftFromText="180" w:rightFromText="180" w:vertAnchor="text" w:horzAnchor="page" w:tblpX="1268"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3"/>
        <w:gridCol w:w="1493"/>
        <w:gridCol w:w="1223"/>
        <w:gridCol w:w="1461"/>
        <w:gridCol w:w="1223"/>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bookmarkStart w:id="337" w:name="_Toc29267"/>
            <w:bookmarkStart w:id="338" w:name="_Toc4151"/>
            <w:bookmarkStart w:id="339" w:name="_Toc438541319"/>
            <w:bookmarkStart w:id="340" w:name="_Toc31355_WPSOffice_Level1"/>
            <w:bookmarkStart w:id="341" w:name="_Toc475"/>
            <w:bookmarkStart w:id="342" w:name="_Toc11076_WPSOffice_Level1"/>
            <w:r>
              <w:rPr>
                <w:rFonts w:hint="eastAsia" w:ascii="仿宋" w:hAnsi="仿宋" w:eastAsia="仿宋" w:cs="仿宋"/>
                <w:bCs/>
                <w:sz w:val="24"/>
                <w:szCs w:val="24"/>
                <w:highlight w:val="none"/>
              </w:rPr>
              <w:t>供应商名称</w:t>
            </w:r>
          </w:p>
        </w:tc>
        <w:tc>
          <w:tcPr>
            <w:tcW w:w="652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注册地址</w:t>
            </w:r>
          </w:p>
        </w:tc>
        <w:tc>
          <w:tcPr>
            <w:tcW w:w="652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成立时间</w:t>
            </w:r>
          </w:p>
        </w:tc>
        <w:tc>
          <w:tcPr>
            <w:tcW w:w="652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经营范围</w:t>
            </w:r>
          </w:p>
        </w:tc>
        <w:tc>
          <w:tcPr>
            <w:tcW w:w="652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开户银行</w:t>
            </w:r>
          </w:p>
        </w:tc>
        <w:tc>
          <w:tcPr>
            <w:tcW w:w="652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账号</w:t>
            </w:r>
          </w:p>
        </w:tc>
        <w:tc>
          <w:tcPr>
            <w:tcW w:w="652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w:t>
            </w:r>
          </w:p>
        </w:tc>
        <w:tc>
          <w:tcPr>
            <w:tcW w:w="652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近三年内在经营活动中有无重大违法纪录</w:t>
            </w:r>
          </w:p>
        </w:tc>
        <w:tc>
          <w:tcPr>
            <w:tcW w:w="652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是否依法缴纳税收</w:t>
            </w:r>
          </w:p>
        </w:tc>
        <w:tc>
          <w:tcPr>
            <w:tcW w:w="6526"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pacing w:line="40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是否依法缴纳社会保障资金</w:t>
            </w:r>
          </w:p>
        </w:tc>
        <w:tc>
          <w:tcPr>
            <w:tcW w:w="6526"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pacing w:line="40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0" w:hRule="atLeast"/>
        </w:trPr>
        <w:tc>
          <w:tcPr>
            <w:tcW w:w="3153" w:type="dxa"/>
            <w:tcBorders>
              <w:top w:val="single" w:color="auto" w:sz="4" w:space="0"/>
              <w:left w:val="single" w:color="auto" w:sz="4" w:space="0"/>
              <w:bottom w:val="single" w:color="auto" w:sz="4" w:space="0"/>
              <w:right w:val="single" w:color="auto" w:sz="4" w:space="0"/>
            </w:tcBorders>
            <w:noWrap w:val="0"/>
            <w:vAlign w:val="center"/>
          </w:tcPr>
          <w:p>
            <w:pPr>
              <w:wordWrap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是否被列入“信用中国”网站(www.creditchina.gov.cn)、中国政府采购网(www.ccgp.gov.cn)等渠道的失信被执行人、重大税收违法案件当事人名单、政府采购严重违法失信行为记录名单</w:t>
            </w:r>
          </w:p>
        </w:tc>
        <w:tc>
          <w:tcPr>
            <w:tcW w:w="6526"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pacing w:line="40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315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kern w:val="0"/>
                <w:sz w:val="24"/>
                <w:szCs w:val="24"/>
                <w:highlight w:val="none"/>
              </w:rPr>
              <w:t>单位概</w:t>
            </w:r>
            <w:r>
              <w:rPr>
                <w:rFonts w:hint="eastAsia" w:ascii="仿宋" w:hAnsi="仿宋" w:eastAsia="仿宋" w:cs="仿宋"/>
                <w:bCs/>
                <w:sz w:val="24"/>
                <w:szCs w:val="24"/>
                <w:highlight w:val="none"/>
              </w:rPr>
              <w:t>况</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注册资本</w:t>
            </w:r>
          </w:p>
        </w:tc>
        <w:tc>
          <w:tcPr>
            <w:tcW w:w="1223" w:type="dxa"/>
            <w:tcBorders>
              <w:top w:val="single" w:color="auto" w:sz="4" w:space="0"/>
              <w:left w:val="single" w:color="auto" w:sz="4" w:space="0"/>
              <w:bottom w:val="single" w:color="auto" w:sz="4" w:space="0"/>
              <w:right w:val="single" w:color="auto" w:sz="4" w:space="0"/>
            </w:tcBorders>
            <w:noWrap w:val="0"/>
            <w:vAlign w:val="top"/>
          </w:tcPr>
          <w:p>
            <w:pPr>
              <w:adjustRightInd w:val="0"/>
              <w:spacing w:line="40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占地面积</w:t>
            </w:r>
          </w:p>
        </w:tc>
        <w:tc>
          <w:tcPr>
            <w:tcW w:w="234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40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31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highlight w:val="none"/>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固定资产</w:t>
            </w:r>
          </w:p>
        </w:tc>
        <w:tc>
          <w:tcPr>
            <w:tcW w:w="1223" w:type="dxa"/>
            <w:tcBorders>
              <w:top w:val="single" w:color="auto" w:sz="4" w:space="0"/>
              <w:left w:val="single" w:color="auto" w:sz="4" w:space="0"/>
              <w:bottom w:val="single" w:color="auto" w:sz="4" w:space="0"/>
              <w:right w:val="single" w:color="auto" w:sz="4" w:space="0"/>
            </w:tcBorders>
            <w:noWrap w:val="0"/>
            <w:vAlign w:val="top"/>
          </w:tcPr>
          <w:p>
            <w:pPr>
              <w:adjustRightInd w:val="0"/>
              <w:spacing w:line="400" w:lineRule="exact"/>
              <w:ind w:left="960" w:hanging="960" w:hangingChars="400"/>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建筑面积</w:t>
            </w:r>
          </w:p>
        </w:tc>
        <w:tc>
          <w:tcPr>
            <w:tcW w:w="234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40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31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highlight w:val="none"/>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净资产</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职工总数</w:t>
            </w:r>
          </w:p>
        </w:tc>
        <w:tc>
          <w:tcPr>
            <w:tcW w:w="234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3153"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zh-TW"/>
              </w:rPr>
              <w:t>财务状况</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年份</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kern w:val="0"/>
                <w:sz w:val="24"/>
                <w:szCs w:val="24"/>
                <w:highlight w:val="none"/>
              </w:rPr>
              <w:t>主营收入</w:t>
            </w:r>
          </w:p>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kern w:val="0"/>
                <w:sz w:val="24"/>
                <w:szCs w:val="24"/>
                <w:highlight w:val="none"/>
              </w:rPr>
              <w:t>收入总额</w:t>
            </w:r>
          </w:p>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22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kern w:val="0"/>
                <w:sz w:val="24"/>
                <w:szCs w:val="24"/>
                <w:highlight w:val="none"/>
              </w:rPr>
              <w:t>利润总额</w:t>
            </w:r>
          </w:p>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12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kern w:val="0"/>
                <w:sz w:val="24"/>
                <w:szCs w:val="24"/>
                <w:highlight w:val="none"/>
              </w:rPr>
              <w:t>净利润</w:t>
            </w:r>
          </w:p>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3153" w:type="dxa"/>
            <w:vMerge w:val="continue"/>
            <w:tcBorders>
              <w:left w:val="single" w:color="auto" w:sz="4" w:space="0"/>
              <w:right w:val="single" w:color="auto" w:sz="4" w:space="0"/>
            </w:tcBorders>
            <w:noWrap w:val="0"/>
            <w:vAlign w:val="center"/>
          </w:tcPr>
          <w:p>
            <w:pPr>
              <w:spacing w:line="400" w:lineRule="exact"/>
              <w:jc w:val="center"/>
              <w:rPr>
                <w:rFonts w:hint="eastAsia" w:ascii="仿宋" w:hAnsi="仿宋" w:eastAsia="仿宋" w:cs="仿宋"/>
                <w:sz w:val="24"/>
                <w:szCs w:val="24"/>
                <w:highlight w:val="none"/>
              </w:rPr>
            </w:pPr>
          </w:p>
        </w:tc>
        <w:tc>
          <w:tcPr>
            <w:tcW w:w="1493" w:type="dxa"/>
            <w:tcBorders>
              <w:top w:val="single" w:color="auto" w:sz="4" w:space="0"/>
              <w:left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201</w:t>
            </w:r>
            <w:r>
              <w:rPr>
                <w:rFonts w:hint="eastAsia" w:ascii="仿宋" w:hAnsi="仿宋" w:eastAsia="仿宋" w:cs="仿宋"/>
                <w:bCs/>
                <w:sz w:val="24"/>
                <w:szCs w:val="24"/>
                <w:highlight w:val="none"/>
                <w:lang w:val="en-US" w:eastAsia="zh-CN"/>
              </w:rPr>
              <w:t>8</w:t>
            </w:r>
            <w:r>
              <w:rPr>
                <w:rFonts w:hint="eastAsia" w:ascii="仿宋" w:hAnsi="仿宋" w:eastAsia="仿宋" w:cs="仿宋"/>
                <w:bCs/>
                <w:sz w:val="24"/>
                <w:szCs w:val="24"/>
                <w:highlight w:val="none"/>
              </w:rPr>
              <w:t>年</w:t>
            </w:r>
          </w:p>
        </w:tc>
        <w:tc>
          <w:tcPr>
            <w:tcW w:w="1223" w:type="dxa"/>
            <w:tcBorders>
              <w:top w:val="single" w:color="auto" w:sz="4" w:space="0"/>
              <w:left w:val="single" w:color="auto" w:sz="4" w:space="0"/>
              <w:right w:val="single" w:color="auto" w:sz="4" w:space="0"/>
            </w:tcBorders>
            <w:noWrap w:val="0"/>
            <w:vAlign w:val="top"/>
          </w:tcPr>
          <w:p>
            <w:pPr>
              <w:adjustRightInd w:val="0"/>
              <w:spacing w:line="400" w:lineRule="exact"/>
              <w:rPr>
                <w:rFonts w:hint="eastAsia" w:ascii="仿宋" w:hAnsi="仿宋" w:eastAsia="仿宋" w:cs="仿宋"/>
                <w:bCs/>
                <w:sz w:val="24"/>
                <w:szCs w:val="24"/>
                <w:highlight w:val="none"/>
              </w:rPr>
            </w:pPr>
          </w:p>
        </w:tc>
        <w:tc>
          <w:tcPr>
            <w:tcW w:w="1461" w:type="dxa"/>
            <w:tcBorders>
              <w:top w:val="single" w:color="auto" w:sz="4" w:space="0"/>
              <w:left w:val="single" w:color="auto" w:sz="4" w:space="0"/>
              <w:right w:val="single" w:color="auto" w:sz="4" w:space="0"/>
            </w:tcBorders>
            <w:noWrap w:val="0"/>
            <w:vAlign w:val="top"/>
          </w:tcPr>
          <w:p>
            <w:pPr>
              <w:adjustRightInd w:val="0"/>
              <w:spacing w:line="400" w:lineRule="exact"/>
              <w:rPr>
                <w:rFonts w:hint="eastAsia" w:ascii="仿宋" w:hAnsi="仿宋" w:eastAsia="仿宋" w:cs="仿宋"/>
                <w:bCs/>
                <w:sz w:val="24"/>
                <w:szCs w:val="24"/>
                <w:highlight w:val="none"/>
              </w:rPr>
            </w:pPr>
          </w:p>
        </w:tc>
        <w:tc>
          <w:tcPr>
            <w:tcW w:w="1223" w:type="dxa"/>
            <w:tcBorders>
              <w:top w:val="single" w:color="auto" w:sz="4" w:space="0"/>
              <w:left w:val="single" w:color="auto" w:sz="4" w:space="0"/>
              <w:right w:val="single" w:color="auto" w:sz="4" w:space="0"/>
            </w:tcBorders>
            <w:noWrap w:val="0"/>
            <w:vAlign w:val="top"/>
          </w:tcPr>
          <w:p>
            <w:pPr>
              <w:adjustRightInd w:val="0"/>
              <w:spacing w:line="400" w:lineRule="exact"/>
              <w:rPr>
                <w:rFonts w:hint="eastAsia" w:ascii="仿宋" w:hAnsi="仿宋" w:eastAsia="仿宋" w:cs="仿宋"/>
                <w:bCs/>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top"/>
          </w:tcPr>
          <w:p>
            <w:pPr>
              <w:adjustRightInd w:val="0"/>
              <w:spacing w:line="40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3153" w:type="dxa"/>
            <w:vMerge w:val="continue"/>
            <w:tcBorders>
              <w:left w:val="single" w:color="auto" w:sz="4" w:space="0"/>
              <w:right w:val="single" w:color="auto" w:sz="4" w:space="0"/>
            </w:tcBorders>
            <w:noWrap w:val="0"/>
            <w:vAlign w:val="center"/>
          </w:tcPr>
          <w:p>
            <w:pPr>
              <w:spacing w:line="400" w:lineRule="exact"/>
              <w:jc w:val="center"/>
              <w:rPr>
                <w:rFonts w:hint="eastAsia" w:ascii="仿宋" w:hAnsi="仿宋" w:eastAsia="仿宋" w:cs="仿宋"/>
                <w:kern w:val="0"/>
                <w:sz w:val="24"/>
                <w:szCs w:val="24"/>
                <w:highlight w:val="none"/>
                <w:lang w:val="zh-TW"/>
              </w:rPr>
            </w:pPr>
          </w:p>
        </w:tc>
        <w:tc>
          <w:tcPr>
            <w:tcW w:w="1493" w:type="dxa"/>
            <w:tcBorders>
              <w:top w:val="single" w:color="auto" w:sz="4" w:space="0"/>
              <w:left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201</w:t>
            </w: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年</w:t>
            </w:r>
          </w:p>
        </w:tc>
        <w:tc>
          <w:tcPr>
            <w:tcW w:w="1223" w:type="dxa"/>
            <w:tcBorders>
              <w:top w:val="single" w:color="auto" w:sz="4" w:space="0"/>
              <w:left w:val="single" w:color="auto" w:sz="4" w:space="0"/>
              <w:right w:val="single" w:color="auto" w:sz="4" w:space="0"/>
            </w:tcBorders>
            <w:noWrap w:val="0"/>
            <w:vAlign w:val="top"/>
          </w:tcPr>
          <w:p>
            <w:pPr>
              <w:adjustRightInd w:val="0"/>
              <w:spacing w:line="400" w:lineRule="exact"/>
              <w:rPr>
                <w:rFonts w:hint="eastAsia" w:ascii="仿宋" w:hAnsi="仿宋" w:eastAsia="仿宋" w:cs="仿宋"/>
                <w:bCs/>
                <w:sz w:val="24"/>
                <w:szCs w:val="24"/>
                <w:highlight w:val="none"/>
              </w:rPr>
            </w:pPr>
          </w:p>
        </w:tc>
        <w:tc>
          <w:tcPr>
            <w:tcW w:w="1461" w:type="dxa"/>
            <w:tcBorders>
              <w:top w:val="single" w:color="auto" w:sz="4" w:space="0"/>
              <w:left w:val="single" w:color="auto" w:sz="4" w:space="0"/>
              <w:right w:val="single" w:color="auto" w:sz="4" w:space="0"/>
            </w:tcBorders>
            <w:noWrap w:val="0"/>
            <w:vAlign w:val="top"/>
          </w:tcPr>
          <w:p>
            <w:pPr>
              <w:adjustRightInd w:val="0"/>
              <w:spacing w:line="400" w:lineRule="exact"/>
              <w:rPr>
                <w:rFonts w:hint="eastAsia" w:ascii="仿宋" w:hAnsi="仿宋" w:eastAsia="仿宋" w:cs="仿宋"/>
                <w:bCs/>
                <w:sz w:val="24"/>
                <w:szCs w:val="24"/>
                <w:highlight w:val="none"/>
              </w:rPr>
            </w:pPr>
          </w:p>
        </w:tc>
        <w:tc>
          <w:tcPr>
            <w:tcW w:w="1223" w:type="dxa"/>
            <w:tcBorders>
              <w:top w:val="single" w:color="auto" w:sz="4" w:space="0"/>
              <w:left w:val="single" w:color="auto" w:sz="4" w:space="0"/>
              <w:right w:val="single" w:color="auto" w:sz="4" w:space="0"/>
            </w:tcBorders>
            <w:noWrap w:val="0"/>
            <w:vAlign w:val="top"/>
          </w:tcPr>
          <w:p>
            <w:pPr>
              <w:adjustRightInd w:val="0"/>
              <w:spacing w:line="400" w:lineRule="exact"/>
              <w:rPr>
                <w:rFonts w:hint="eastAsia" w:ascii="仿宋" w:hAnsi="仿宋" w:eastAsia="仿宋" w:cs="仿宋"/>
                <w:bCs/>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top"/>
          </w:tcPr>
          <w:p>
            <w:pPr>
              <w:adjustRightInd w:val="0"/>
              <w:spacing w:line="40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3153" w:type="dxa"/>
            <w:vMerge w:val="continue"/>
            <w:tcBorders>
              <w:left w:val="single" w:color="auto" w:sz="4" w:space="0"/>
              <w:right w:val="single" w:color="auto" w:sz="4" w:space="0"/>
            </w:tcBorders>
            <w:noWrap w:val="0"/>
            <w:vAlign w:val="center"/>
          </w:tcPr>
          <w:p>
            <w:pPr>
              <w:spacing w:line="400" w:lineRule="exact"/>
              <w:jc w:val="center"/>
              <w:rPr>
                <w:rFonts w:hint="eastAsia" w:ascii="仿宋" w:hAnsi="仿宋" w:eastAsia="仿宋" w:cs="仿宋"/>
                <w:kern w:val="0"/>
                <w:sz w:val="24"/>
                <w:szCs w:val="24"/>
                <w:highlight w:val="none"/>
                <w:lang w:val="zh-TW"/>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20</w:t>
            </w:r>
            <w:r>
              <w:rPr>
                <w:rFonts w:hint="eastAsia" w:ascii="仿宋" w:hAnsi="仿宋" w:eastAsia="仿宋" w:cs="仿宋"/>
                <w:bCs/>
                <w:sz w:val="24"/>
                <w:szCs w:val="24"/>
                <w:highlight w:val="none"/>
              </w:rPr>
              <w:t>年</w:t>
            </w:r>
          </w:p>
        </w:tc>
        <w:tc>
          <w:tcPr>
            <w:tcW w:w="1223" w:type="dxa"/>
            <w:tcBorders>
              <w:top w:val="single" w:color="auto" w:sz="4" w:space="0"/>
              <w:left w:val="single" w:color="auto" w:sz="4" w:space="0"/>
              <w:bottom w:val="single" w:color="auto" w:sz="4" w:space="0"/>
              <w:right w:val="single" w:color="auto" w:sz="4" w:space="0"/>
            </w:tcBorders>
            <w:noWrap w:val="0"/>
            <w:vAlign w:val="top"/>
          </w:tcPr>
          <w:p>
            <w:pPr>
              <w:adjustRightInd w:val="0"/>
              <w:spacing w:line="400" w:lineRule="exact"/>
              <w:rPr>
                <w:rFonts w:hint="eastAsia" w:ascii="仿宋" w:hAnsi="仿宋" w:eastAsia="仿宋" w:cs="仿宋"/>
                <w:bCs/>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adjustRightInd w:val="0"/>
              <w:spacing w:line="400" w:lineRule="exact"/>
              <w:rPr>
                <w:rFonts w:hint="eastAsia" w:ascii="仿宋" w:hAnsi="仿宋" w:eastAsia="仿宋" w:cs="仿宋"/>
                <w:bCs/>
                <w:sz w:val="24"/>
                <w:szCs w:val="24"/>
                <w:highlight w:val="none"/>
              </w:rPr>
            </w:pPr>
          </w:p>
        </w:tc>
        <w:tc>
          <w:tcPr>
            <w:tcW w:w="1223" w:type="dxa"/>
            <w:tcBorders>
              <w:top w:val="single" w:color="auto" w:sz="4" w:space="0"/>
              <w:left w:val="single" w:color="auto" w:sz="4" w:space="0"/>
              <w:bottom w:val="single" w:color="auto" w:sz="4" w:space="0"/>
              <w:right w:val="single" w:color="auto" w:sz="4" w:space="0"/>
            </w:tcBorders>
            <w:noWrap w:val="0"/>
            <w:vAlign w:val="top"/>
          </w:tcPr>
          <w:p>
            <w:pPr>
              <w:adjustRightInd w:val="0"/>
              <w:spacing w:line="400" w:lineRule="exact"/>
              <w:rPr>
                <w:rFonts w:hint="eastAsia" w:ascii="仿宋" w:hAnsi="仿宋" w:eastAsia="仿宋" w:cs="仿宋"/>
                <w:bCs/>
                <w:sz w:val="24"/>
                <w:szCs w:val="24"/>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top"/>
          </w:tcPr>
          <w:p>
            <w:pPr>
              <w:adjustRightInd w:val="0"/>
              <w:spacing w:line="40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3153" w:type="dxa"/>
            <w:tcBorders>
              <w:left w:val="single" w:color="auto" w:sz="4" w:space="0"/>
              <w:right w:val="single" w:color="auto" w:sz="4" w:space="0"/>
            </w:tcBorders>
            <w:noWrap w:val="0"/>
            <w:vAlign w:val="center"/>
          </w:tcPr>
          <w:p>
            <w:pPr>
              <w:spacing w:line="400" w:lineRule="exact"/>
              <w:jc w:val="center"/>
              <w:rPr>
                <w:rFonts w:hint="eastAsia"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其他补充说明</w:t>
            </w:r>
          </w:p>
        </w:tc>
        <w:tc>
          <w:tcPr>
            <w:tcW w:w="652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rPr>
                <w:rFonts w:hint="eastAsia" w:ascii="仿宋" w:hAnsi="仿宋" w:eastAsia="仿宋" w:cs="仿宋"/>
                <w:bCs/>
                <w:sz w:val="24"/>
                <w:szCs w:val="24"/>
                <w:highlight w:val="none"/>
              </w:rPr>
            </w:pPr>
          </w:p>
        </w:tc>
      </w:tr>
    </w:tbl>
    <w:p>
      <w:pPr>
        <w:pStyle w:val="20"/>
        <w:widowControl/>
        <w:spacing w:line="400" w:lineRule="exact"/>
        <w:ind w:left="0" w:leftChars="0" w:firstLine="560" w:firstLineChars="200"/>
        <w:rPr>
          <w:rFonts w:ascii="仿宋" w:hAnsi="仿宋" w:cs="仿宋"/>
          <w:szCs w:val="28"/>
          <w:highlight w:val="none"/>
        </w:rPr>
      </w:pPr>
      <w:r>
        <w:rPr>
          <w:rFonts w:ascii="仿宋" w:hAnsi="仿宋" w:cs="仿宋"/>
          <w:szCs w:val="28"/>
          <w:highlight w:val="none"/>
        </w:rPr>
        <w:t>我们保证上述声明中的资料和数据是真实的、正确的。如有虚假，我方愿承担相关法律责任。</w:t>
      </w:r>
    </w:p>
    <w:p>
      <w:pPr>
        <w:pStyle w:val="20"/>
        <w:widowControl/>
        <w:spacing w:line="400" w:lineRule="exact"/>
        <w:ind w:firstLine="560"/>
        <w:rPr>
          <w:rFonts w:ascii="仿宋" w:hAnsi="仿宋" w:cs="仿宋"/>
          <w:szCs w:val="28"/>
          <w:highlight w:val="none"/>
        </w:rPr>
      </w:pPr>
    </w:p>
    <w:p>
      <w:pPr>
        <w:pStyle w:val="20"/>
        <w:widowControl/>
        <w:spacing w:line="500" w:lineRule="exact"/>
        <w:ind w:firstLine="560"/>
        <w:rPr>
          <w:rFonts w:ascii="仿宋" w:hAnsi="仿宋" w:cs="仿宋"/>
          <w:szCs w:val="28"/>
          <w:highlight w:val="none"/>
        </w:rPr>
      </w:pPr>
      <w:r>
        <w:rPr>
          <w:rFonts w:ascii="仿宋" w:hAnsi="仿宋" w:cs="仿宋"/>
          <w:szCs w:val="28"/>
          <w:highlight w:val="none"/>
        </w:rPr>
        <w:t>供  应  商：</w:t>
      </w:r>
      <w:r>
        <w:rPr>
          <w:rFonts w:ascii="仿宋" w:hAnsi="仿宋" w:cs="仿宋"/>
          <w:szCs w:val="28"/>
          <w:highlight w:val="none"/>
          <w:u w:val="single"/>
        </w:rPr>
        <w:t xml:space="preserve">                （</w:t>
      </w:r>
      <w:r>
        <w:rPr>
          <w:rFonts w:ascii="仿宋" w:hAnsi="仿宋" w:cs="仿宋"/>
          <w:szCs w:val="28"/>
          <w:highlight w:val="none"/>
        </w:rPr>
        <w:t>公      章）</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法定代表人：</w:t>
      </w:r>
      <w:r>
        <w:rPr>
          <w:rFonts w:ascii="仿宋" w:hAnsi="仿宋" w:cs="仿宋"/>
          <w:szCs w:val="28"/>
          <w:highlight w:val="none"/>
          <w:u w:val="single"/>
        </w:rPr>
        <w:t xml:space="preserve">                （</w:t>
      </w:r>
      <w:r>
        <w:rPr>
          <w:rFonts w:ascii="仿宋" w:hAnsi="仿宋" w:cs="仿宋"/>
          <w:szCs w:val="28"/>
          <w:highlight w:val="none"/>
        </w:rPr>
        <w:t>签字或盖章）</w:t>
      </w:r>
    </w:p>
    <w:p>
      <w:pPr>
        <w:pStyle w:val="20"/>
        <w:widowControl/>
        <w:spacing w:line="500" w:lineRule="exact"/>
        <w:ind w:firstLine="560"/>
        <w:rPr>
          <w:rFonts w:ascii="仿宋" w:hAnsi="仿宋" w:cs="仿宋"/>
          <w:szCs w:val="28"/>
          <w:highlight w:val="none"/>
        </w:rPr>
      </w:pPr>
      <w:r>
        <w:rPr>
          <w:rFonts w:ascii="仿宋" w:hAnsi="仿宋" w:cs="仿宋"/>
          <w:szCs w:val="28"/>
          <w:highlight w:val="none"/>
        </w:rPr>
        <w:t>电话号码：</w:t>
      </w:r>
      <w:r>
        <w:rPr>
          <w:rFonts w:ascii="仿宋" w:hAnsi="仿宋" w:cs="仿宋"/>
          <w:szCs w:val="28"/>
          <w:highlight w:val="none"/>
          <w:u w:val="single"/>
        </w:rPr>
        <w:t xml:space="preserve">                              .</w:t>
      </w:r>
    </w:p>
    <w:p>
      <w:pPr>
        <w:pStyle w:val="20"/>
        <w:widowControl/>
        <w:spacing w:line="500" w:lineRule="exact"/>
        <w:ind w:firstLine="560"/>
        <w:rPr>
          <w:rFonts w:ascii="仿宋" w:hAnsi="仿宋" w:cs="仿宋"/>
          <w:szCs w:val="28"/>
          <w:highlight w:val="none"/>
          <w:u w:val="single"/>
        </w:rPr>
      </w:pPr>
      <w:r>
        <w:rPr>
          <w:rFonts w:ascii="仿宋" w:hAnsi="仿宋" w:cs="仿宋"/>
          <w:szCs w:val="28"/>
          <w:highlight w:val="none"/>
        </w:rPr>
        <w:t>传    真：</w:t>
      </w:r>
      <w:r>
        <w:rPr>
          <w:rFonts w:ascii="仿宋" w:hAnsi="仿宋" w:cs="仿宋"/>
          <w:szCs w:val="28"/>
          <w:highlight w:val="none"/>
          <w:u w:val="single"/>
        </w:rPr>
        <w:t xml:space="preserve">                              .</w:t>
      </w:r>
    </w:p>
    <w:p>
      <w:pPr>
        <w:spacing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日    期：</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pPr>
        <w:spacing w:line="500" w:lineRule="atLeast"/>
        <w:jc w:val="center"/>
        <w:outlineLvl w:val="1"/>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bookmarkStart w:id="343" w:name="_Toc26325"/>
      <w:r>
        <w:rPr>
          <w:rFonts w:hint="eastAsia" w:ascii="仿宋" w:hAnsi="仿宋" w:eastAsia="仿宋" w:cs="仿宋"/>
          <w:b/>
          <w:bCs/>
          <w:sz w:val="36"/>
          <w:szCs w:val="36"/>
          <w:highlight w:val="none"/>
        </w:rPr>
        <w:t>第五部分  供应商资格证明文件</w:t>
      </w:r>
      <w:bookmarkEnd w:id="337"/>
      <w:bookmarkEnd w:id="338"/>
      <w:bookmarkEnd w:id="339"/>
      <w:bookmarkEnd w:id="340"/>
      <w:bookmarkEnd w:id="341"/>
      <w:bookmarkEnd w:id="342"/>
      <w:bookmarkEnd w:id="343"/>
    </w:p>
    <w:p>
      <w:pPr>
        <w:spacing w:line="480" w:lineRule="exact"/>
        <w:ind w:firstLine="281" w:firstLineChars="1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供应商资格要求：</w:t>
      </w:r>
    </w:p>
    <w:p>
      <w:pPr>
        <w:pStyle w:val="12"/>
        <w:widowControl/>
        <w:spacing w:line="500" w:lineRule="exact"/>
        <w:ind w:firstLine="560" w:firstLineChars="200"/>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（1）基本资格条件：符合《中华人民共和国政府采购法》第二十二条的规定；</w:t>
      </w:r>
    </w:p>
    <w:p>
      <w:pPr>
        <w:pStyle w:val="12"/>
        <w:widowControl/>
        <w:spacing w:line="500" w:lineRule="exact"/>
        <w:ind w:firstLine="560" w:firstLineChars="200"/>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（2）特定资格条件：</w:t>
      </w:r>
    </w:p>
    <w:p>
      <w:pPr>
        <w:pStyle w:val="12"/>
        <w:widowControl/>
        <w:adjustRightInd w:val="0"/>
        <w:snapToGrid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（1）基本资格条件：符合《中华人民共和国政府采购法》第二十二条的规定；</w:t>
      </w:r>
    </w:p>
    <w:p>
      <w:pPr>
        <w:pStyle w:val="12"/>
        <w:keepNext w:val="0"/>
        <w:keepLines w:val="0"/>
        <w:pageBreakBefore w:val="0"/>
        <w:widowControl/>
        <w:suppressLineNumbers w:val="0"/>
        <w:kinsoku/>
        <w:wordWrap/>
        <w:overflowPunct/>
        <w:topLinePunct w:val="0"/>
        <w:autoSpaceDE/>
        <w:autoSpaceDN/>
        <w:bidi w:val="0"/>
        <w:spacing w:beforeAutospacing="0" w:afterAutospacing="0" w:line="480" w:lineRule="exact"/>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color w:val="auto"/>
          <w:sz w:val="28"/>
          <w:szCs w:val="28"/>
          <w:highlight w:val="none"/>
        </w:rPr>
        <w:t>（2）特定资格条件：</w:t>
      </w:r>
      <w:r>
        <w:rPr>
          <w:rFonts w:hint="eastAsia" w:ascii="仿宋" w:hAnsi="仿宋" w:eastAsia="仿宋" w:cs="仿宋"/>
          <w:kern w:val="2"/>
          <w:sz w:val="28"/>
          <w:szCs w:val="28"/>
          <w:highlight w:val="none"/>
          <w:lang w:val="en-US" w:eastAsia="zh-CN"/>
        </w:rPr>
        <w:t>1、具有独立承担民事责任能力的法人、其他组织或自然人，并出具合法有效的营业执照或事业单位法人证书等国家规定的相关证明，自然人参与的提供其身份证明；</w:t>
      </w:r>
    </w:p>
    <w:p>
      <w:pPr>
        <w:pStyle w:val="12"/>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480" w:lineRule="exact"/>
        <w:ind w:right="0" w:rightChars="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 2、法定代表人直接参加磋商的，须出具法人身份证明及身份证；法定代表人授权代表参加磋商的，须出具法定代表人授权书及授权代表身份证；</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3、提供参加本次政府采购活动近三年内在经营活动中没有重大违法记录的书面声明及无不良信用记录查询结果（未被“信用中国”网站（www.creditchina.gov.cn）及“中国政府采购网（http://www.ccgp.gov.cn/）列入失信被执行人、重大税收违法案件当事人名单、政府采购严重失信行为记录名单。（提供“信用中国”“重大税收违法案件信息公布栏”“中国政府采购”完整的查询结果截图加盖投标人公章，最终查验以采购代理机构评审现场查询结果为准)。</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4、提供具备履行合同所必需的设备和专业技术能力的说明及承诺；</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5、参加政府采购活动近三年内，在经营活动中没有重大违法记录声明</w:t>
      </w:r>
    </w:p>
    <w:p>
      <w:pPr>
        <w:pStyle w:val="12"/>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480" w:lineRule="exact"/>
        <w:ind w:right="0" w:rightChars="0"/>
        <w:jc w:val="both"/>
        <w:textAlignment w:val="auto"/>
        <w:rPr>
          <w:rFonts w:hint="eastAsia" w:ascii="仿宋" w:hAnsi="仿宋" w:eastAsia="仿宋" w:cs="仿宋"/>
          <w:kern w:val="2"/>
          <w:sz w:val="28"/>
          <w:szCs w:val="28"/>
          <w:highlight w:val="none"/>
          <w:lang w:val="en-US" w:eastAsia="zh-CN"/>
        </w:rPr>
      </w:pPr>
      <w:r>
        <w:rPr>
          <w:rFonts w:hint="eastAsia" w:ascii="仿宋" w:hAnsi="仿宋" w:eastAsia="仿宋" w:cs="仿宋"/>
          <w:sz w:val="28"/>
          <w:szCs w:val="28"/>
          <w:highlight w:val="none"/>
          <w:lang w:val="en-US" w:eastAsia="zh-CN"/>
        </w:rPr>
        <w:t>6、投标保证金交纳凭证（供应商交纳凭证复印件并加盖公章</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7、本项目不接受联合体磋商。</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注：1、依法免税或成立时间不满三个月的供应商，应提供相应文件证明其依法免税的证明文件；成立不满一年或开标前一年内零申报的则税收缴纳证明只需提供财务报表加盖供应商公章。</w:t>
      </w:r>
      <w:r>
        <w:rPr>
          <w:rFonts w:hint="eastAsia" w:ascii="仿宋" w:hAnsi="仿宋" w:eastAsia="仿宋" w:cs="仿宋"/>
          <w:kern w:val="2"/>
          <w:sz w:val="28"/>
          <w:szCs w:val="28"/>
          <w:highlight w:val="none"/>
          <w:lang w:val="en-US" w:eastAsia="zh-CN"/>
        </w:rPr>
        <w:br w:type="textWrapping"/>
      </w:r>
      <w:r>
        <w:rPr>
          <w:rFonts w:hint="eastAsia" w:ascii="仿宋" w:hAnsi="仿宋" w:eastAsia="仿宋" w:cs="仿宋"/>
          <w:kern w:val="2"/>
          <w:sz w:val="28"/>
          <w:szCs w:val="28"/>
          <w:highlight w:val="none"/>
          <w:lang w:val="en-US" w:eastAsia="zh-CN"/>
        </w:rPr>
        <w:t>      2、单位负责人为同一人或者存在控股、管理关系的不同单位不得同时投标。</w:t>
      </w:r>
    </w:p>
    <w:p>
      <w:pPr>
        <w:pStyle w:val="20"/>
        <w:widowControl/>
        <w:spacing w:line="500" w:lineRule="exact"/>
        <w:ind w:firstLine="560"/>
        <w:rPr>
          <w:rFonts w:ascii="仿宋" w:hAnsi="仿宋" w:cs="仿宋"/>
          <w:szCs w:val="28"/>
          <w:highlight w:val="none"/>
        </w:rPr>
      </w:pPr>
    </w:p>
    <w:p>
      <w:pPr>
        <w:pStyle w:val="20"/>
        <w:widowControl/>
        <w:spacing w:line="500" w:lineRule="exact"/>
        <w:ind w:firstLine="560"/>
        <w:rPr>
          <w:rFonts w:ascii="仿宋" w:hAnsi="仿宋" w:cs="仿宋"/>
          <w:szCs w:val="28"/>
          <w:highlight w:val="none"/>
        </w:rPr>
      </w:pPr>
    </w:p>
    <w:p>
      <w:pPr>
        <w:pStyle w:val="20"/>
        <w:widowControl/>
        <w:spacing w:line="500" w:lineRule="exact"/>
        <w:ind w:firstLine="560"/>
        <w:rPr>
          <w:rFonts w:ascii="仿宋" w:hAnsi="仿宋" w:cs="仿宋"/>
          <w:szCs w:val="28"/>
          <w:highlight w:val="none"/>
        </w:rPr>
      </w:pPr>
    </w:p>
    <w:p>
      <w:pPr>
        <w:pStyle w:val="20"/>
        <w:widowControl/>
        <w:spacing w:line="500" w:lineRule="exact"/>
        <w:ind w:firstLine="560"/>
        <w:rPr>
          <w:rFonts w:ascii="仿宋" w:hAnsi="仿宋" w:cs="仿宋"/>
          <w:szCs w:val="28"/>
          <w:highlight w:val="none"/>
        </w:rPr>
      </w:pPr>
    </w:p>
    <w:p>
      <w:pPr>
        <w:pStyle w:val="20"/>
        <w:widowControl/>
        <w:spacing w:line="500" w:lineRule="exact"/>
        <w:ind w:firstLine="560"/>
        <w:rPr>
          <w:rFonts w:ascii="仿宋" w:hAnsi="仿宋" w:cs="仿宋"/>
          <w:szCs w:val="28"/>
          <w:highlight w:val="none"/>
        </w:rPr>
      </w:pPr>
    </w:p>
    <w:p>
      <w:pPr>
        <w:pStyle w:val="20"/>
        <w:widowControl/>
        <w:spacing w:line="500" w:lineRule="exact"/>
        <w:ind w:firstLine="560"/>
        <w:rPr>
          <w:rFonts w:ascii="仿宋" w:hAnsi="仿宋" w:cs="仿宋"/>
          <w:szCs w:val="28"/>
          <w:highlight w:val="none"/>
        </w:rPr>
      </w:pPr>
    </w:p>
    <w:p>
      <w:pPr>
        <w:pStyle w:val="20"/>
        <w:widowControl/>
        <w:spacing w:line="500" w:lineRule="exact"/>
        <w:ind w:firstLine="560"/>
        <w:rPr>
          <w:rFonts w:ascii="仿宋" w:hAnsi="仿宋" w:cs="仿宋"/>
          <w:szCs w:val="28"/>
          <w:highlight w:val="none"/>
        </w:rPr>
      </w:pPr>
    </w:p>
    <w:p>
      <w:pPr>
        <w:pStyle w:val="20"/>
        <w:widowControl/>
        <w:spacing w:line="500" w:lineRule="exact"/>
        <w:ind w:firstLine="560"/>
        <w:rPr>
          <w:rFonts w:ascii="仿宋" w:hAnsi="仿宋" w:cs="仿宋"/>
          <w:szCs w:val="28"/>
          <w:highlight w:val="none"/>
        </w:rPr>
      </w:pPr>
    </w:p>
    <w:p>
      <w:pPr>
        <w:pStyle w:val="20"/>
        <w:widowControl/>
        <w:spacing w:line="500" w:lineRule="exact"/>
        <w:ind w:firstLine="560"/>
        <w:rPr>
          <w:rFonts w:ascii="仿宋" w:hAnsi="仿宋" w:cs="仿宋"/>
          <w:szCs w:val="28"/>
          <w:highlight w:val="none"/>
        </w:rPr>
      </w:pPr>
    </w:p>
    <w:p>
      <w:pPr>
        <w:pStyle w:val="20"/>
        <w:widowControl/>
        <w:spacing w:line="500" w:lineRule="exact"/>
        <w:ind w:firstLine="560"/>
        <w:rPr>
          <w:rFonts w:ascii="仿宋" w:hAnsi="仿宋" w:cs="仿宋"/>
          <w:szCs w:val="28"/>
          <w:highlight w:val="none"/>
        </w:rPr>
      </w:pPr>
    </w:p>
    <w:p>
      <w:pPr>
        <w:pStyle w:val="20"/>
        <w:widowControl/>
        <w:spacing w:line="500" w:lineRule="exact"/>
        <w:ind w:left="0" w:leftChars="0" w:firstLine="0" w:firstLineChars="0"/>
        <w:rPr>
          <w:rFonts w:ascii="仿宋" w:hAnsi="仿宋" w:cs="仿宋"/>
          <w:szCs w:val="28"/>
          <w:highlight w:val="none"/>
        </w:rPr>
      </w:pPr>
    </w:p>
    <w:p>
      <w:pPr>
        <w:pStyle w:val="20"/>
        <w:widowControl/>
        <w:spacing w:line="500" w:lineRule="exact"/>
        <w:ind w:left="0" w:leftChars="0" w:firstLine="0" w:firstLineChars="0"/>
        <w:rPr>
          <w:rFonts w:ascii="仿宋" w:hAnsi="仿宋" w:cs="仿宋"/>
          <w:szCs w:val="28"/>
          <w:highlight w:val="none"/>
        </w:rPr>
      </w:pPr>
    </w:p>
    <w:p>
      <w:pPr>
        <w:pStyle w:val="20"/>
        <w:widowControl/>
        <w:spacing w:line="500" w:lineRule="exact"/>
        <w:ind w:left="0" w:leftChars="0" w:firstLine="0" w:firstLineChars="0"/>
        <w:rPr>
          <w:rFonts w:ascii="仿宋" w:hAnsi="仿宋" w:cs="仿宋"/>
          <w:szCs w:val="28"/>
          <w:highlight w:val="none"/>
        </w:rPr>
      </w:pPr>
    </w:p>
    <w:p>
      <w:pPr>
        <w:pStyle w:val="20"/>
        <w:widowControl/>
        <w:spacing w:line="500" w:lineRule="exact"/>
        <w:ind w:left="0" w:leftChars="0" w:firstLine="0" w:firstLineChars="0"/>
        <w:rPr>
          <w:rFonts w:ascii="仿宋" w:hAnsi="仿宋" w:cs="仿宋"/>
          <w:szCs w:val="28"/>
          <w:highlight w:val="none"/>
        </w:rPr>
      </w:pPr>
    </w:p>
    <w:p>
      <w:pPr>
        <w:pStyle w:val="20"/>
        <w:widowControl/>
        <w:spacing w:line="500" w:lineRule="exact"/>
        <w:ind w:left="0" w:leftChars="0" w:firstLine="0" w:firstLineChars="0"/>
        <w:rPr>
          <w:rFonts w:ascii="仿宋" w:hAnsi="仿宋" w:cs="仿宋"/>
          <w:szCs w:val="28"/>
          <w:highlight w:val="none"/>
        </w:rPr>
      </w:pPr>
    </w:p>
    <w:p>
      <w:pPr>
        <w:pStyle w:val="20"/>
        <w:widowControl/>
        <w:spacing w:line="500" w:lineRule="exact"/>
        <w:ind w:left="0" w:leftChars="0" w:firstLine="0" w:firstLineChars="0"/>
        <w:rPr>
          <w:rFonts w:ascii="仿宋" w:hAnsi="仿宋" w:cs="仿宋"/>
          <w:szCs w:val="28"/>
          <w:highlight w:val="none"/>
        </w:rPr>
      </w:pPr>
    </w:p>
    <w:p>
      <w:pPr>
        <w:pStyle w:val="20"/>
        <w:widowControl/>
        <w:spacing w:line="500" w:lineRule="exact"/>
        <w:ind w:left="0" w:leftChars="0" w:firstLine="0" w:firstLineChars="0"/>
        <w:rPr>
          <w:rFonts w:ascii="仿宋" w:hAnsi="仿宋" w:cs="仿宋"/>
          <w:szCs w:val="28"/>
          <w:highlight w:val="none"/>
        </w:rPr>
      </w:pPr>
    </w:p>
    <w:p>
      <w:pPr>
        <w:pStyle w:val="20"/>
        <w:widowControl/>
        <w:spacing w:line="500" w:lineRule="exact"/>
        <w:ind w:left="0" w:leftChars="0" w:firstLine="0" w:firstLineChars="0"/>
        <w:rPr>
          <w:rFonts w:ascii="仿宋" w:hAnsi="仿宋" w:cs="仿宋"/>
          <w:szCs w:val="28"/>
          <w:highlight w:val="none"/>
        </w:rPr>
      </w:pPr>
    </w:p>
    <w:p>
      <w:pPr>
        <w:pStyle w:val="20"/>
        <w:widowControl/>
        <w:spacing w:line="500" w:lineRule="exact"/>
        <w:ind w:left="0" w:leftChars="0" w:firstLine="0" w:firstLineChars="0"/>
        <w:rPr>
          <w:rFonts w:ascii="仿宋" w:hAnsi="仿宋" w:cs="仿宋"/>
          <w:szCs w:val="28"/>
          <w:highlight w:val="none"/>
        </w:rPr>
      </w:pPr>
    </w:p>
    <w:p>
      <w:pPr>
        <w:pStyle w:val="20"/>
        <w:widowControl/>
        <w:spacing w:line="500" w:lineRule="exact"/>
        <w:ind w:left="0" w:leftChars="0" w:firstLine="0" w:firstLineChars="0"/>
        <w:rPr>
          <w:rFonts w:ascii="仿宋" w:hAnsi="仿宋" w:cs="仿宋"/>
          <w:szCs w:val="28"/>
          <w:highlight w:val="none"/>
        </w:rPr>
      </w:pPr>
    </w:p>
    <w:p>
      <w:pPr>
        <w:pStyle w:val="20"/>
        <w:widowControl/>
        <w:spacing w:line="500" w:lineRule="exact"/>
        <w:ind w:left="0" w:leftChars="0" w:firstLine="0" w:firstLineChars="0"/>
        <w:rPr>
          <w:rFonts w:ascii="仿宋" w:hAnsi="仿宋" w:cs="仿宋"/>
          <w:szCs w:val="28"/>
          <w:highlight w:val="none"/>
        </w:rPr>
      </w:pPr>
    </w:p>
    <w:p>
      <w:pPr>
        <w:pStyle w:val="20"/>
        <w:widowControl/>
        <w:spacing w:line="500" w:lineRule="exact"/>
        <w:ind w:left="0" w:leftChars="0" w:firstLine="0" w:firstLineChars="0"/>
        <w:rPr>
          <w:rFonts w:ascii="仿宋" w:hAnsi="仿宋" w:cs="仿宋"/>
          <w:szCs w:val="28"/>
          <w:highlight w:val="none"/>
        </w:rPr>
      </w:pPr>
    </w:p>
    <w:p>
      <w:pPr>
        <w:pStyle w:val="20"/>
        <w:widowControl/>
        <w:spacing w:line="500" w:lineRule="exact"/>
        <w:ind w:left="0" w:leftChars="0" w:firstLine="0" w:firstLineChars="0"/>
        <w:rPr>
          <w:rFonts w:ascii="仿宋" w:hAnsi="仿宋" w:cs="仿宋"/>
          <w:szCs w:val="28"/>
          <w:highlight w:val="none"/>
        </w:rPr>
      </w:pPr>
    </w:p>
    <w:p>
      <w:pPr>
        <w:pStyle w:val="20"/>
        <w:widowControl/>
        <w:spacing w:line="500" w:lineRule="exact"/>
        <w:ind w:left="0" w:leftChars="0" w:firstLine="0" w:firstLineChars="0"/>
        <w:rPr>
          <w:rFonts w:ascii="仿宋" w:hAnsi="仿宋" w:cs="仿宋"/>
          <w:szCs w:val="28"/>
          <w:highlight w:val="none"/>
        </w:rPr>
      </w:pPr>
    </w:p>
    <w:p>
      <w:pPr>
        <w:spacing w:line="500" w:lineRule="atLeast"/>
        <w:jc w:val="center"/>
        <w:outlineLvl w:val="1"/>
        <w:rPr>
          <w:rFonts w:hint="eastAsia" w:ascii="仿宋" w:hAnsi="仿宋" w:eastAsia="仿宋" w:cs="仿宋"/>
          <w:b/>
          <w:bCs/>
          <w:sz w:val="32"/>
          <w:szCs w:val="32"/>
          <w:highlight w:val="none"/>
        </w:rPr>
      </w:pPr>
      <w:bookmarkStart w:id="344" w:name="_Toc14488"/>
      <w:bookmarkStart w:id="345" w:name="_Toc4188"/>
      <w:bookmarkStart w:id="346" w:name="_Toc18984"/>
      <w:bookmarkStart w:id="347" w:name="_Toc14381_WPSOffice_Level1"/>
      <w:bookmarkStart w:id="348" w:name="_Toc438541323"/>
      <w:bookmarkStart w:id="349" w:name="_Toc28061"/>
      <w:bookmarkStart w:id="350" w:name="_Toc18268_WPSOffice_Level1"/>
      <w:bookmarkStart w:id="351" w:name="_Toc11782"/>
      <w:bookmarkStart w:id="352" w:name="_Toc438541320"/>
      <w:bookmarkStart w:id="353" w:name="_Toc5608"/>
      <w:r>
        <w:rPr>
          <w:rFonts w:hint="eastAsia" w:ascii="仿宋" w:hAnsi="仿宋" w:eastAsia="仿宋" w:cs="仿宋"/>
          <w:b/>
          <w:bCs/>
          <w:sz w:val="36"/>
          <w:szCs w:val="36"/>
          <w:highlight w:val="none"/>
        </w:rPr>
        <w:t>第六部分  业绩证明文件</w:t>
      </w:r>
      <w:bookmarkEnd w:id="344"/>
      <w:bookmarkEnd w:id="345"/>
      <w:bookmarkEnd w:id="346"/>
      <w:bookmarkEnd w:id="347"/>
      <w:bookmarkEnd w:id="348"/>
      <w:bookmarkEnd w:id="349"/>
      <w:bookmarkEnd w:id="350"/>
      <w:bookmarkEnd w:id="351"/>
    </w:p>
    <w:p>
      <w:pPr>
        <w:spacing w:line="360" w:lineRule="auto"/>
        <w:rPr>
          <w:rFonts w:hint="eastAsia" w:ascii="仿宋" w:hAnsi="仿宋" w:eastAsia="仿宋" w:cs="仿宋"/>
          <w:sz w:val="28"/>
          <w:szCs w:val="24"/>
          <w:highlight w:val="none"/>
          <w:u w:val="single"/>
        </w:rPr>
      </w:pPr>
      <w:r>
        <w:rPr>
          <w:rFonts w:hint="eastAsia" w:ascii="仿宋" w:hAnsi="仿宋" w:eastAsia="仿宋" w:cs="仿宋"/>
          <w:sz w:val="28"/>
          <w:szCs w:val="24"/>
          <w:highlight w:val="none"/>
        </w:rPr>
        <w:t>供应商名称：</w:t>
      </w:r>
      <w:r>
        <w:rPr>
          <w:rFonts w:hint="eastAsia" w:ascii="仿宋" w:hAnsi="仿宋" w:eastAsia="仿宋" w:cs="仿宋"/>
          <w:sz w:val="28"/>
          <w:szCs w:val="24"/>
          <w:highlight w:val="none"/>
          <w:u w:val="single"/>
        </w:rPr>
        <w:t xml:space="preserve">                     </w:t>
      </w:r>
      <w:r>
        <w:rPr>
          <w:rFonts w:hint="eastAsia" w:ascii="仿宋" w:hAnsi="仿宋" w:eastAsia="仿宋" w:cs="仿宋"/>
          <w:sz w:val="28"/>
          <w:szCs w:val="24"/>
          <w:highlight w:val="none"/>
        </w:rPr>
        <w:t xml:space="preserve"> 采购项目编号：</w:t>
      </w:r>
      <w:r>
        <w:rPr>
          <w:rFonts w:hint="eastAsia" w:ascii="仿宋" w:hAnsi="仿宋" w:eastAsia="仿宋" w:cs="仿宋"/>
          <w:sz w:val="28"/>
          <w:szCs w:val="24"/>
          <w:highlight w:val="none"/>
          <w:u w:val="single"/>
        </w:rPr>
        <w:t xml:space="preserve">           .</w:t>
      </w:r>
    </w:p>
    <w:tbl>
      <w:tblPr>
        <w:tblStyle w:val="15"/>
        <w:tblW w:w="97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3"/>
        <w:gridCol w:w="1554"/>
        <w:gridCol w:w="2697"/>
        <w:gridCol w:w="1123"/>
        <w:gridCol w:w="1203"/>
        <w:gridCol w:w="931"/>
        <w:gridCol w:w="15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noWrap w:val="0"/>
            <w:vAlign w:val="center"/>
          </w:tcPr>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1554" w:type="dxa"/>
            <w:noWrap w:val="0"/>
            <w:vAlign w:val="center"/>
          </w:tcPr>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项目名称</w:t>
            </w:r>
          </w:p>
        </w:tc>
        <w:tc>
          <w:tcPr>
            <w:tcW w:w="2697" w:type="dxa"/>
            <w:noWrap w:val="0"/>
            <w:vAlign w:val="center"/>
          </w:tcPr>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项目内容</w:t>
            </w:r>
          </w:p>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w:t>
            </w:r>
            <w:r>
              <w:rPr>
                <w:rFonts w:hint="eastAsia" w:ascii="仿宋" w:hAnsi="仿宋" w:eastAsia="仿宋" w:cs="仿宋"/>
                <w:b/>
                <w:bCs/>
                <w:sz w:val="24"/>
                <w:highlight w:val="none"/>
                <w:lang w:eastAsia="zh-CN"/>
              </w:rPr>
              <w:t>同类</w:t>
            </w:r>
            <w:r>
              <w:rPr>
                <w:rFonts w:hint="eastAsia" w:ascii="仿宋" w:hAnsi="仿宋" w:eastAsia="仿宋" w:cs="仿宋"/>
                <w:b/>
                <w:bCs/>
                <w:sz w:val="24"/>
                <w:highlight w:val="none"/>
              </w:rPr>
              <w:t>项目）</w:t>
            </w:r>
          </w:p>
        </w:tc>
        <w:tc>
          <w:tcPr>
            <w:tcW w:w="1123" w:type="dxa"/>
            <w:tcBorders>
              <w:left w:val="single" w:color="auto" w:sz="4" w:space="0"/>
              <w:right w:val="single" w:color="auto" w:sz="4" w:space="0"/>
            </w:tcBorders>
            <w:noWrap w:val="0"/>
            <w:vAlign w:val="center"/>
          </w:tcPr>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完成日期</w:t>
            </w:r>
          </w:p>
        </w:tc>
        <w:tc>
          <w:tcPr>
            <w:tcW w:w="1203" w:type="dxa"/>
            <w:noWrap w:val="0"/>
            <w:vAlign w:val="center"/>
          </w:tcPr>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质量</w:t>
            </w:r>
          </w:p>
        </w:tc>
        <w:tc>
          <w:tcPr>
            <w:tcW w:w="931" w:type="dxa"/>
            <w:noWrap w:val="0"/>
            <w:vAlign w:val="center"/>
          </w:tcPr>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金额</w:t>
            </w:r>
          </w:p>
        </w:tc>
        <w:tc>
          <w:tcPr>
            <w:tcW w:w="1579" w:type="dxa"/>
            <w:noWrap w:val="0"/>
            <w:vAlign w:val="center"/>
          </w:tcPr>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554" w:type="dxa"/>
            <w:noWrap w:val="0"/>
            <w:vAlign w:val="center"/>
          </w:tcPr>
          <w:p>
            <w:pPr>
              <w:jc w:val="center"/>
              <w:rPr>
                <w:rFonts w:hint="eastAsia" w:ascii="仿宋" w:hAnsi="仿宋" w:eastAsia="仿宋" w:cs="仿宋"/>
                <w:sz w:val="24"/>
                <w:highlight w:val="none"/>
              </w:rPr>
            </w:pPr>
          </w:p>
        </w:tc>
        <w:tc>
          <w:tcPr>
            <w:tcW w:w="2697" w:type="dxa"/>
            <w:noWrap w:val="0"/>
            <w:vAlign w:val="center"/>
          </w:tcPr>
          <w:p>
            <w:pPr>
              <w:jc w:val="center"/>
              <w:rPr>
                <w:rFonts w:hint="eastAsia" w:ascii="仿宋" w:hAnsi="仿宋" w:eastAsia="仿宋" w:cs="仿宋"/>
                <w:sz w:val="24"/>
                <w:highlight w:val="none"/>
              </w:rPr>
            </w:pPr>
          </w:p>
        </w:tc>
        <w:tc>
          <w:tcPr>
            <w:tcW w:w="1123" w:type="dxa"/>
            <w:tcBorders>
              <w:left w:val="single" w:color="auto" w:sz="4" w:space="0"/>
              <w:right w:val="single" w:color="auto" w:sz="4" w:space="0"/>
            </w:tcBorders>
            <w:noWrap w:val="0"/>
            <w:vAlign w:val="center"/>
          </w:tcPr>
          <w:p>
            <w:pPr>
              <w:jc w:val="center"/>
              <w:rPr>
                <w:rFonts w:hint="eastAsia" w:ascii="仿宋" w:hAnsi="仿宋" w:eastAsia="仿宋" w:cs="仿宋"/>
                <w:sz w:val="24"/>
                <w:highlight w:val="none"/>
              </w:rPr>
            </w:pPr>
          </w:p>
        </w:tc>
        <w:tc>
          <w:tcPr>
            <w:tcW w:w="1203" w:type="dxa"/>
            <w:noWrap w:val="0"/>
            <w:vAlign w:val="center"/>
          </w:tcPr>
          <w:p>
            <w:pPr>
              <w:jc w:val="center"/>
              <w:rPr>
                <w:rFonts w:hint="eastAsia" w:ascii="仿宋" w:hAnsi="仿宋" w:eastAsia="仿宋" w:cs="仿宋"/>
                <w:sz w:val="24"/>
                <w:highlight w:val="none"/>
              </w:rPr>
            </w:pPr>
          </w:p>
        </w:tc>
        <w:tc>
          <w:tcPr>
            <w:tcW w:w="931" w:type="dxa"/>
            <w:noWrap w:val="0"/>
            <w:vAlign w:val="top"/>
          </w:tcPr>
          <w:p>
            <w:pPr>
              <w:jc w:val="center"/>
              <w:rPr>
                <w:rFonts w:hint="eastAsia" w:ascii="仿宋" w:hAnsi="仿宋" w:eastAsia="仿宋" w:cs="仿宋"/>
                <w:sz w:val="24"/>
                <w:highlight w:val="none"/>
              </w:rPr>
            </w:pPr>
          </w:p>
        </w:tc>
        <w:tc>
          <w:tcPr>
            <w:tcW w:w="1579" w:type="dxa"/>
            <w:noWrap w:val="0"/>
            <w:vAlign w:val="top"/>
          </w:tcPr>
          <w:p>
            <w:pPr>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554" w:type="dxa"/>
            <w:noWrap w:val="0"/>
            <w:vAlign w:val="center"/>
          </w:tcPr>
          <w:p>
            <w:pPr>
              <w:jc w:val="center"/>
              <w:rPr>
                <w:rFonts w:hint="eastAsia" w:ascii="仿宋" w:hAnsi="仿宋" w:eastAsia="仿宋" w:cs="仿宋"/>
                <w:sz w:val="24"/>
                <w:highlight w:val="none"/>
              </w:rPr>
            </w:pPr>
          </w:p>
        </w:tc>
        <w:tc>
          <w:tcPr>
            <w:tcW w:w="2697" w:type="dxa"/>
            <w:noWrap w:val="0"/>
            <w:vAlign w:val="center"/>
          </w:tcPr>
          <w:p>
            <w:pPr>
              <w:jc w:val="center"/>
              <w:rPr>
                <w:rFonts w:hint="eastAsia" w:ascii="仿宋" w:hAnsi="仿宋" w:eastAsia="仿宋" w:cs="仿宋"/>
                <w:sz w:val="24"/>
                <w:highlight w:val="none"/>
              </w:rPr>
            </w:pPr>
          </w:p>
        </w:tc>
        <w:tc>
          <w:tcPr>
            <w:tcW w:w="1123" w:type="dxa"/>
            <w:tcBorders>
              <w:left w:val="single" w:color="auto" w:sz="4" w:space="0"/>
              <w:right w:val="single" w:color="auto" w:sz="4" w:space="0"/>
            </w:tcBorders>
            <w:noWrap w:val="0"/>
            <w:vAlign w:val="center"/>
          </w:tcPr>
          <w:p>
            <w:pPr>
              <w:jc w:val="center"/>
              <w:rPr>
                <w:rFonts w:hint="eastAsia" w:ascii="仿宋" w:hAnsi="仿宋" w:eastAsia="仿宋" w:cs="仿宋"/>
                <w:sz w:val="24"/>
                <w:highlight w:val="none"/>
              </w:rPr>
            </w:pPr>
          </w:p>
        </w:tc>
        <w:tc>
          <w:tcPr>
            <w:tcW w:w="1203" w:type="dxa"/>
            <w:noWrap w:val="0"/>
            <w:vAlign w:val="center"/>
          </w:tcPr>
          <w:p>
            <w:pPr>
              <w:jc w:val="center"/>
              <w:rPr>
                <w:rFonts w:hint="eastAsia" w:ascii="仿宋" w:hAnsi="仿宋" w:eastAsia="仿宋" w:cs="仿宋"/>
                <w:sz w:val="24"/>
                <w:highlight w:val="none"/>
              </w:rPr>
            </w:pPr>
          </w:p>
        </w:tc>
        <w:tc>
          <w:tcPr>
            <w:tcW w:w="931" w:type="dxa"/>
            <w:noWrap w:val="0"/>
            <w:vAlign w:val="top"/>
          </w:tcPr>
          <w:p>
            <w:pPr>
              <w:jc w:val="center"/>
              <w:rPr>
                <w:rFonts w:hint="eastAsia" w:ascii="仿宋" w:hAnsi="仿宋" w:eastAsia="仿宋" w:cs="仿宋"/>
                <w:sz w:val="24"/>
                <w:highlight w:val="none"/>
              </w:rPr>
            </w:pPr>
          </w:p>
        </w:tc>
        <w:tc>
          <w:tcPr>
            <w:tcW w:w="1579" w:type="dxa"/>
            <w:noWrap w:val="0"/>
            <w:vAlign w:val="top"/>
          </w:tcPr>
          <w:p>
            <w:pPr>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554" w:type="dxa"/>
            <w:noWrap w:val="0"/>
            <w:vAlign w:val="center"/>
          </w:tcPr>
          <w:p>
            <w:pPr>
              <w:jc w:val="center"/>
              <w:rPr>
                <w:rFonts w:hint="eastAsia" w:ascii="仿宋" w:hAnsi="仿宋" w:eastAsia="仿宋" w:cs="仿宋"/>
                <w:sz w:val="24"/>
                <w:highlight w:val="none"/>
              </w:rPr>
            </w:pPr>
          </w:p>
        </w:tc>
        <w:tc>
          <w:tcPr>
            <w:tcW w:w="2697" w:type="dxa"/>
            <w:noWrap w:val="0"/>
            <w:vAlign w:val="center"/>
          </w:tcPr>
          <w:p>
            <w:pPr>
              <w:jc w:val="center"/>
              <w:rPr>
                <w:rFonts w:hint="eastAsia" w:ascii="仿宋" w:hAnsi="仿宋" w:eastAsia="仿宋" w:cs="仿宋"/>
                <w:sz w:val="24"/>
                <w:highlight w:val="none"/>
              </w:rPr>
            </w:pPr>
          </w:p>
        </w:tc>
        <w:tc>
          <w:tcPr>
            <w:tcW w:w="1123" w:type="dxa"/>
            <w:tcBorders>
              <w:left w:val="single" w:color="auto" w:sz="4" w:space="0"/>
              <w:right w:val="single" w:color="auto" w:sz="4" w:space="0"/>
            </w:tcBorders>
            <w:noWrap w:val="0"/>
            <w:vAlign w:val="center"/>
          </w:tcPr>
          <w:p>
            <w:pPr>
              <w:jc w:val="center"/>
              <w:rPr>
                <w:rFonts w:hint="eastAsia" w:ascii="仿宋" w:hAnsi="仿宋" w:eastAsia="仿宋" w:cs="仿宋"/>
                <w:sz w:val="24"/>
                <w:highlight w:val="none"/>
              </w:rPr>
            </w:pPr>
          </w:p>
        </w:tc>
        <w:tc>
          <w:tcPr>
            <w:tcW w:w="1203" w:type="dxa"/>
            <w:noWrap w:val="0"/>
            <w:vAlign w:val="center"/>
          </w:tcPr>
          <w:p>
            <w:pPr>
              <w:jc w:val="center"/>
              <w:rPr>
                <w:rFonts w:hint="eastAsia" w:ascii="仿宋" w:hAnsi="仿宋" w:eastAsia="仿宋" w:cs="仿宋"/>
                <w:sz w:val="24"/>
                <w:highlight w:val="none"/>
              </w:rPr>
            </w:pPr>
          </w:p>
        </w:tc>
        <w:tc>
          <w:tcPr>
            <w:tcW w:w="931" w:type="dxa"/>
            <w:noWrap w:val="0"/>
            <w:vAlign w:val="top"/>
          </w:tcPr>
          <w:p>
            <w:pPr>
              <w:jc w:val="center"/>
              <w:rPr>
                <w:rFonts w:hint="eastAsia" w:ascii="仿宋" w:hAnsi="仿宋" w:eastAsia="仿宋" w:cs="仿宋"/>
                <w:sz w:val="24"/>
                <w:highlight w:val="none"/>
              </w:rPr>
            </w:pPr>
          </w:p>
        </w:tc>
        <w:tc>
          <w:tcPr>
            <w:tcW w:w="1579" w:type="dxa"/>
            <w:noWrap w:val="0"/>
            <w:vAlign w:val="top"/>
          </w:tcPr>
          <w:p>
            <w:pPr>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554" w:type="dxa"/>
            <w:noWrap w:val="0"/>
            <w:vAlign w:val="center"/>
          </w:tcPr>
          <w:p>
            <w:pPr>
              <w:jc w:val="center"/>
              <w:rPr>
                <w:rFonts w:hint="eastAsia" w:ascii="仿宋" w:hAnsi="仿宋" w:eastAsia="仿宋" w:cs="仿宋"/>
                <w:sz w:val="24"/>
                <w:highlight w:val="none"/>
              </w:rPr>
            </w:pPr>
          </w:p>
        </w:tc>
        <w:tc>
          <w:tcPr>
            <w:tcW w:w="2697" w:type="dxa"/>
            <w:noWrap w:val="0"/>
            <w:vAlign w:val="center"/>
          </w:tcPr>
          <w:p>
            <w:pPr>
              <w:jc w:val="center"/>
              <w:rPr>
                <w:rFonts w:hint="eastAsia" w:ascii="仿宋" w:hAnsi="仿宋" w:eastAsia="仿宋" w:cs="仿宋"/>
                <w:sz w:val="24"/>
                <w:highlight w:val="none"/>
              </w:rPr>
            </w:pPr>
          </w:p>
        </w:tc>
        <w:tc>
          <w:tcPr>
            <w:tcW w:w="1123" w:type="dxa"/>
            <w:tcBorders>
              <w:left w:val="single" w:color="auto" w:sz="4" w:space="0"/>
              <w:right w:val="single" w:color="auto" w:sz="4" w:space="0"/>
            </w:tcBorders>
            <w:noWrap w:val="0"/>
            <w:vAlign w:val="center"/>
          </w:tcPr>
          <w:p>
            <w:pPr>
              <w:jc w:val="center"/>
              <w:rPr>
                <w:rFonts w:hint="eastAsia" w:ascii="仿宋" w:hAnsi="仿宋" w:eastAsia="仿宋" w:cs="仿宋"/>
                <w:sz w:val="24"/>
                <w:highlight w:val="none"/>
              </w:rPr>
            </w:pPr>
          </w:p>
        </w:tc>
        <w:tc>
          <w:tcPr>
            <w:tcW w:w="1203" w:type="dxa"/>
            <w:noWrap w:val="0"/>
            <w:vAlign w:val="center"/>
          </w:tcPr>
          <w:p>
            <w:pPr>
              <w:jc w:val="center"/>
              <w:rPr>
                <w:rFonts w:hint="eastAsia" w:ascii="仿宋" w:hAnsi="仿宋" w:eastAsia="仿宋" w:cs="仿宋"/>
                <w:sz w:val="24"/>
                <w:highlight w:val="none"/>
              </w:rPr>
            </w:pPr>
          </w:p>
        </w:tc>
        <w:tc>
          <w:tcPr>
            <w:tcW w:w="931" w:type="dxa"/>
            <w:noWrap w:val="0"/>
            <w:vAlign w:val="top"/>
          </w:tcPr>
          <w:p>
            <w:pPr>
              <w:jc w:val="center"/>
              <w:rPr>
                <w:rFonts w:hint="eastAsia" w:ascii="仿宋" w:hAnsi="仿宋" w:eastAsia="仿宋" w:cs="仿宋"/>
                <w:sz w:val="24"/>
                <w:highlight w:val="none"/>
              </w:rPr>
            </w:pPr>
          </w:p>
        </w:tc>
        <w:tc>
          <w:tcPr>
            <w:tcW w:w="1579" w:type="dxa"/>
            <w:noWrap w:val="0"/>
            <w:vAlign w:val="top"/>
          </w:tcPr>
          <w:p>
            <w:pPr>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1554" w:type="dxa"/>
            <w:noWrap w:val="0"/>
            <w:vAlign w:val="center"/>
          </w:tcPr>
          <w:p>
            <w:pPr>
              <w:jc w:val="center"/>
              <w:rPr>
                <w:rFonts w:hint="eastAsia" w:ascii="仿宋" w:hAnsi="仿宋" w:eastAsia="仿宋" w:cs="仿宋"/>
                <w:sz w:val="24"/>
                <w:highlight w:val="none"/>
              </w:rPr>
            </w:pPr>
          </w:p>
        </w:tc>
        <w:tc>
          <w:tcPr>
            <w:tcW w:w="2697" w:type="dxa"/>
            <w:noWrap w:val="0"/>
            <w:vAlign w:val="center"/>
          </w:tcPr>
          <w:p>
            <w:pPr>
              <w:jc w:val="center"/>
              <w:rPr>
                <w:rFonts w:hint="eastAsia" w:ascii="仿宋" w:hAnsi="仿宋" w:eastAsia="仿宋" w:cs="仿宋"/>
                <w:sz w:val="24"/>
                <w:highlight w:val="none"/>
              </w:rPr>
            </w:pPr>
          </w:p>
        </w:tc>
        <w:tc>
          <w:tcPr>
            <w:tcW w:w="1123" w:type="dxa"/>
            <w:tcBorders>
              <w:left w:val="single" w:color="auto" w:sz="4" w:space="0"/>
              <w:right w:val="single" w:color="auto" w:sz="4" w:space="0"/>
            </w:tcBorders>
            <w:noWrap w:val="0"/>
            <w:vAlign w:val="center"/>
          </w:tcPr>
          <w:p>
            <w:pPr>
              <w:jc w:val="center"/>
              <w:rPr>
                <w:rFonts w:hint="eastAsia" w:ascii="仿宋" w:hAnsi="仿宋" w:eastAsia="仿宋" w:cs="仿宋"/>
                <w:sz w:val="24"/>
                <w:highlight w:val="none"/>
              </w:rPr>
            </w:pPr>
          </w:p>
        </w:tc>
        <w:tc>
          <w:tcPr>
            <w:tcW w:w="1203" w:type="dxa"/>
            <w:noWrap w:val="0"/>
            <w:vAlign w:val="center"/>
          </w:tcPr>
          <w:p>
            <w:pPr>
              <w:jc w:val="center"/>
              <w:rPr>
                <w:rFonts w:hint="eastAsia" w:ascii="仿宋" w:hAnsi="仿宋" w:eastAsia="仿宋" w:cs="仿宋"/>
                <w:sz w:val="24"/>
                <w:highlight w:val="none"/>
              </w:rPr>
            </w:pPr>
          </w:p>
        </w:tc>
        <w:tc>
          <w:tcPr>
            <w:tcW w:w="931" w:type="dxa"/>
            <w:noWrap w:val="0"/>
            <w:vAlign w:val="top"/>
          </w:tcPr>
          <w:p>
            <w:pPr>
              <w:jc w:val="center"/>
              <w:rPr>
                <w:rFonts w:hint="eastAsia" w:ascii="仿宋" w:hAnsi="仿宋" w:eastAsia="仿宋" w:cs="仿宋"/>
                <w:sz w:val="24"/>
                <w:highlight w:val="none"/>
              </w:rPr>
            </w:pPr>
          </w:p>
        </w:tc>
        <w:tc>
          <w:tcPr>
            <w:tcW w:w="1579" w:type="dxa"/>
            <w:noWrap w:val="0"/>
            <w:vAlign w:val="top"/>
          </w:tcPr>
          <w:p>
            <w:pPr>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noWrap w:val="0"/>
            <w:vAlign w:val="center"/>
          </w:tcPr>
          <w:p>
            <w:pPr>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1554" w:type="dxa"/>
            <w:noWrap w:val="0"/>
            <w:vAlign w:val="center"/>
          </w:tcPr>
          <w:p>
            <w:pPr>
              <w:jc w:val="center"/>
              <w:rPr>
                <w:rFonts w:hint="eastAsia" w:ascii="仿宋" w:hAnsi="仿宋" w:eastAsia="仿宋" w:cs="仿宋"/>
                <w:sz w:val="24"/>
                <w:highlight w:val="none"/>
              </w:rPr>
            </w:pPr>
          </w:p>
        </w:tc>
        <w:tc>
          <w:tcPr>
            <w:tcW w:w="2697" w:type="dxa"/>
            <w:noWrap w:val="0"/>
            <w:vAlign w:val="center"/>
          </w:tcPr>
          <w:p>
            <w:pPr>
              <w:jc w:val="center"/>
              <w:rPr>
                <w:rFonts w:hint="eastAsia" w:ascii="仿宋" w:hAnsi="仿宋" w:eastAsia="仿宋" w:cs="仿宋"/>
                <w:sz w:val="24"/>
                <w:highlight w:val="none"/>
              </w:rPr>
            </w:pPr>
          </w:p>
        </w:tc>
        <w:tc>
          <w:tcPr>
            <w:tcW w:w="1123" w:type="dxa"/>
            <w:tcBorders>
              <w:left w:val="single" w:color="auto" w:sz="4" w:space="0"/>
              <w:right w:val="single" w:color="auto" w:sz="4" w:space="0"/>
            </w:tcBorders>
            <w:noWrap w:val="0"/>
            <w:vAlign w:val="center"/>
          </w:tcPr>
          <w:p>
            <w:pPr>
              <w:jc w:val="center"/>
              <w:rPr>
                <w:rFonts w:hint="eastAsia" w:ascii="仿宋" w:hAnsi="仿宋" w:eastAsia="仿宋" w:cs="仿宋"/>
                <w:sz w:val="24"/>
                <w:highlight w:val="none"/>
              </w:rPr>
            </w:pPr>
          </w:p>
        </w:tc>
        <w:tc>
          <w:tcPr>
            <w:tcW w:w="1203" w:type="dxa"/>
            <w:noWrap w:val="0"/>
            <w:vAlign w:val="center"/>
          </w:tcPr>
          <w:p>
            <w:pPr>
              <w:jc w:val="center"/>
              <w:rPr>
                <w:rFonts w:hint="eastAsia" w:ascii="仿宋" w:hAnsi="仿宋" w:eastAsia="仿宋" w:cs="仿宋"/>
                <w:sz w:val="24"/>
                <w:highlight w:val="none"/>
              </w:rPr>
            </w:pPr>
          </w:p>
        </w:tc>
        <w:tc>
          <w:tcPr>
            <w:tcW w:w="931" w:type="dxa"/>
            <w:noWrap w:val="0"/>
            <w:vAlign w:val="top"/>
          </w:tcPr>
          <w:p>
            <w:pPr>
              <w:jc w:val="center"/>
              <w:rPr>
                <w:rFonts w:hint="eastAsia" w:ascii="仿宋" w:hAnsi="仿宋" w:eastAsia="仿宋" w:cs="仿宋"/>
                <w:sz w:val="24"/>
                <w:highlight w:val="none"/>
              </w:rPr>
            </w:pPr>
          </w:p>
        </w:tc>
        <w:tc>
          <w:tcPr>
            <w:tcW w:w="1579" w:type="dxa"/>
            <w:noWrap w:val="0"/>
            <w:vAlign w:val="top"/>
          </w:tcPr>
          <w:p>
            <w:pPr>
              <w:jc w:val="center"/>
              <w:rPr>
                <w:rFonts w:hint="eastAsia"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613" w:type="dxa"/>
            <w:noWrap w:val="0"/>
            <w:vAlign w:val="center"/>
          </w:tcPr>
          <w:p>
            <w:pPr>
              <w:ind w:left="120"/>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1554" w:type="dxa"/>
            <w:noWrap w:val="0"/>
            <w:vAlign w:val="center"/>
          </w:tcPr>
          <w:p>
            <w:pPr>
              <w:jc w:val="center"/>
              <w:rPr>
                <w:rFonts w:hint="eastAsia" w:ascii="仿宋" w:hAnsi="仿宋" w:eastAsia="仿宋" w:cs="仿宋"/>
                <w:sz w:val="24"/>
                <w:highlight w:val="none"/>
              </w:rPr>
            </w:pPr>
          </w:p>
        </w:tc>
        <w:tc>
          <w:tcPr>
            <w:tcW w:w="2697" w:type="dxa"/>
            <w:noWrap w:val="0"/>
            <w:vAlign w:val="center"/>
          </w:tcPr>
          <w:p>
            <w:pPr>
              <w:jc w:val="center"/>
              <w:rPr>
                <w:rFonts w:hint="eastAsia" w:ascii="仿宋" w:hAnsi="仿宋" w:eastAsia="仿宋" w:cs="仿宋"/>
                <w:sz w:val="24"/>
                <w:highlight w:val="none"/>
              </w:rPr>
            </w:pPr>
          </w:p>
        </w:tc>
        <w:tc>
          <w:tcPr>
            <w:tcW w:w="1123" w:type="dxa"/>
            <w:tcBorders>
              <w:left w:val="single" w:color="auto" w:sz="4" w:space="0"/>
              <w:right w:val="single" w:color="auto" w:sz="4" w:space="0"/>
            </w:tcBorders>
            <w:noWrap w:val="0"/>
            <w:vAlign w:val="center"/>
          </w:tcPr>
          <w:p>
            <w:pPr>
              <w:jc w:val="center"/>
              <w:rPr>
                <w:rFonts w:hint="eastAsia" w:ascii="仿宋" w:hAnsi="仿宋" w:eastAsia="仿宋" w:cs="仿宋"/>
                <w:sz w:val="24"/>
                <w:highlight w:val="none"/>
              </w:rPr>
            </w:pPr>
          </w:p>
        </w:tc>
        <w:tc>
          <w:tcPr>
            <w:tcW w:w="1203" w:type="dxa"/>
            <w:noWrap w:val="0"/>
            <w:vAlign w:val="center"/>
          </w:tcPr>
          <w:p>
            <w:pPr>
              <w:jc w:val="center"/>
              <w:rPr>
                <w:rFonts w:hint="eastAsia" w:ascii="仿宋" w:hAnsi="仿宋" w:eastAsia="仿宋" w:cs="仿宋"/>
                <w:sz w:val="24"/>
                <w:highlight w:val="none"/>
              </w:rPr>
            </w:pPr>
          </w:p>
        </w:tc>
        <w:tc>
          <w:tcPr>
            <w:tcW w:w="931" w:type="dxa"/>
            <w:noWrap w:val="0"/>
            <w:vAlign w:val="center"/>
          </w:tcPr>
          <w:p>
            <w:pPr>
              <w:jc w:val="center"/>
              <w:rPr>
                <w:rFonts w:hint="eastAsia" w:ascii="仿宋" w:hAnsi="仿宋" w:eastAsia="仿宋" w:cs="仿宋"/>
                <w:sz w:val="24"/>
                <w:highlight w:val="none"/>
              </w:rPr>
            </w:pPr>
          </w:p>
        </w:tc>
        <w:tc>
          <w:tcPr>
            <w:tcW w:w="1579" w:type="dxa"/>
            <w:noWrap w:val="0"/>
            <w:vAlign w:val="center"/>
          </w:tcPr>
          <w:p>
            <w:pPr>
              <w:jc w:val="center"/>
              <w:rPr>
                <w:rFonts w:hint="eastAsia" w:ascii="仿宋" w:hAnsi="仿宋" w:eastAsia="仿宋" w:cs="仿宋"/>
                <w:sz w:val="24"/>
                <w:highlight w:val="none"/>
              </w:rPr>
            </w:pPr>
          </w:p>
        </w:tc>
      </w:tr>
    </w:tbl>
    <w:p>
      <w:pPr>
        <w:spacing w:line="500" w:lineRule="atLeast"/>
        <w:rPr>
          <w:rFonts w:hint="eastAsia" w:ascii="仿宋" w:hAnsi="仿宋" w:eastAsia="仿宋" w:cs="仿宋"/>
          <w:bCs/>
          <w:sz w:val="28"/>
          <w:szCs w:val="24"/>
          <w:highlight w:val="none"/>
        </w:rPr>
      </w:pPr>
      <w:r>
        <w:rPr>
          <w:rFonts w:hint="eastAsia" w:ascii="仿宋" w:hAnsi="仿宋" w:eastAsia="仿宋" w:cs="仿宋"/>
          <w:bCs/>
          <w:sz w:val="28"/>
          <w:szCs w:val="24"/>
          <w:highlight w:val="none"/>
        </w:rPr>
        <w:t>注：</w:t>
      </w:r>
    </w:p>
    <w:p>
      <w:pPr>
        <w:spacing w:line="500" w:lineRule="exact"/>
        <w:rPr>
          <w:rFonts w:hint="eastAsia" w:ascii="仿宋" w:hAnsi="仿宋" w:eastAsia="仿宋" w:cs="仿宋"/>
          <w:bCs/>
          <w:sz w:val="28"/>
          <w:szCs w:val="24"/>
          <w:highlight w:val="none"/>
        </w:rPr>
      </w:pPr>
      <w:r>
        <w:rPr>
          <w:rFonts w:hint="eastAsia" w:ascii="仿宋" w:hAnsi="仿宋" w:eastAsia="仿宋" w:cs="仿宋"/>
          <w:bCs/>
          <w:sz w:val="28"/>
          <w:szCs w:val="24"/>
          <w:highlight w:val="none"/>
        </w:rPr>
        <w:t>1.若表格不够用，各供应商可按此表自行复制；</w:t>
      </w:r>
    </w:p>
    <w:p>
      <w:pPr>
        <w:spacing w:line="500" w:lineRule="atLeast"/>
        <w:rPr>
          <w:rFonts w:hint="eastAsia" w:ascii="仿宋" w:hAnsi="仿宋" w:eastAsia="仿宋" w:cs="仿宋"/>
          <w:bCs/>
          <w:sz w:val="28"/>
          <w:szCs w:val="24"/>
          <w:highlight w:val="none"/>
        </w:rPr>
      </w:pPr>
      <w:r>
        <w:rPr>
          <w:rFonts w:hint="eastAsia" w:ascii="仿宋" w:hAnsi="仿宋" w:eastAsia="仿宋" w:cs="仿宋"/>
          <w:bCs/>
          <w:sz w:val="28"/>
          <w:szCs w:val="24"/>
          <w:highlight w:val="none"/>
        </w:rPr>
        <w:t>2.</w:t>
      </w:r>
      <w:r>
        <w:rPr>
          <w:rFonts w:hint="eastAsia" w:ascii="仿宋" w:hAnsi="仿宋" w:eastAsia="仿宋" w:cs="仿宋"/>
          <w:color w:val="auto"/>
          <w:sz w:val="28"/>
          <w:szCs w:val="28"/>
          <w:highlight w:val="none"/>
          <w:lang w:val="en-US" w:eastAsia="zh-CN"/>
        </w:rPr>
        <w:t>提供2019年1月1日以来供应商同类项目的业绩合同。附业绩合同复印件，开标现场携带原件以备查验（以合同签订日期为准）。</w:t>
      </w:r>
    </w:p>
    <w:p>
      <w:pPr>
        <w:spacing w:line="360" w:lineRule="auto"/>
        <w:jc w:val="both"/>
        <w:rPr>
          <w:rFonts w:hint="eastAsia" w:ascii="仿宋" w:hAnsi="仿宋" w:eastAsia="仿宋" w:cs="仿宋"/>
          <w:sz w:val="28"/>
          <w:szCs w:val="28"/>
          <w:highlight w:val="none"/>
          <w:lang w:val="zh-CN"/>
        </w:rPr>
      </w:pPr>
    </w:p>
    <w:p>
      <w:pPr>
        <w:spacing w:line="360" w:lineRule="auto"/>
        <w:jc w:val="right"/>
        <w:rPr>
          <w:rFonts w:hint="eastAsia" w:ascii="仿宋" w:hAnsi="仿宋" w:eastAsia="仿宋" w:cs="仿宋"/>
          <w:sz w:val="28"/>
          <w:szCs w:val="28"/>
          <w:highlight w:val="none"/>
          <w:lang w:val="zh-CN"/>
        </w:rPr>
      </w:pPr>
    </w:p>
    <w:p>
      <w:pPr>
        <w:spacing w:line="360" w:lineRule="auto"/>
        <w:jc w:val="righ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应</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商：</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zh-CN"/>
        </w:rPr>
        <w:t>（公</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章）</w:t>
      </w:r>
    </w:p>
    <w:p>
      <w:pPr>
        <w:spacing w:line="360" w:lineRule="auto"/>
        <w:jc w:val="righ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法定代表人或被授权委托人：</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（签字或盖章）</w:t>
      </w:r>
    </w:p>
    <w:p>
      <w:pPr>
        <w:spacing w:line="440" w:lineRule="exact"/>
        <w:ind w:firstLine="560"/>
        <w:jc w:val="center"/>
        <w:rPr>
          <w:rFonts w:hint="eastAsia" w:ascii="仿宋" w:hAnsi="仿宋" w:eastAsia="仿宋" w:cs="仿宋"/>
          <w:b/>
          <w:bCs/>
          <w:sz w:val="36"/>
          <w:szCs w:val="36"/>
          <w:highlight w:val="none"/>
        </w:rPr>
      </w:pPr>
      <w:r>
        <w:rPr>
          <w:rFonts w:hint="eastAsia" w:ascii="仿宋" w:hAnsi="仿宋" w:eastAsia="仿宋" w:cs="仿宋"/>
          <w:bCs/>
          <w:sz w:val="28"/>
          <w:szCs w:val="28"/>
          <w:highlight w:val="none"/>
          <w:lang w:val="zh-CN"/>
        </w:rPr>
        <w:t xml:space="preserve">日   </w:t>
      </w: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none"/>
          <w:lang w:val="zh-CN"/>
        </w:rPr>
        <w:t xml:space="preserve">  期：</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年</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月</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日</w:t>
      </w:r>
      <w:bookmarkStart w:id="354" w:name="_Toc21147_WPSOffice_Level1"/>
      <w:bookmarkStart w:id="355" w:name="_Toc2497"/>
      <w:bookmarkStart w:id="356" w:name="_Toc12154"/>
      <w:bookmarkStart w:id="357" w:name="_Toc22077_WPSOffice_Level1"/>
      <w:bookmarkStart w:id="358" w:name="_Toc3626"/>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p>
    <w:p>
      <w:pPr>
        <w:spacing w:line="500" w:lineRule="atLeast"/>
        <w:jc w:val="center"/>
        <w:outlineLvl w:val="1"/>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 xml:space="preserve">第七部分  </w:t>
      </w:r>
      <w:bookmarkEnd w:id="352"/>
      <w:bookmarkStart w:id="359" w:name="_Toc438541321"/>
      <w:r>
        <w:rPr>
          <w:rFonts w:hint="eastAsia" w:ascii="仿宋" w:hAnsi="仿宋" w:eastAsia="仿宋" w:cs="仿宋"/>
          <w:b/>
          <w:bCs/>
          <w:sz w:val="36"/>
          <w:szCs w:val="36"/>
          <w:highlight w:val="none"/>
        </w:rPr>
        <w:t>供应商承诺书</w:t>
      </w:r>
      <w:bookmarkEnd w:id="353"/>
      <w:bookmarkEnd w:id="354"/>
      <w:bookmarkEnd w:id="355"/>
      <w:bookmarkEnd w:id="356"/>
      <w:bookmarkEnd w:id="357"/>
      <w:bookmarkEnd w:id="358"/>
      <w:bookmarkEnd w:id="359"/>
    </w:p>
    <w:p>
      <w:pPr>
        <w:spacing w:line="500" w:lineRule="atLeast"/>
        <w:rPr>
          <w:rFonts w:hint="eastAsia" w:ascii="仿宋" w:hAnsi="仿宋" w:eastAsia="仿宋" w:cs="仿宋"/>
          <w:sz w:val="28"/>
          <w:szCs w:val="28"/>
          <w:highlight w:val="none"/>
        </w:rPr>
      </w:pPr>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（采购代理机构）</w:t>
      </w:r>
      <w:r>
        <w:rPr>
          <w:rFonts w:hint="eastAsia" w:ascii="仿宋" w:hAnsi="仿宋" w:eastAsia="仿宋" w:cs="仿宋"/>
          <w:sz w:val="28"/>
          <w:szCs w:val="28"/>
          <w:highlight w:val="none"/>
        </w:rPr>
        <w:t>：</w:t>
      </w:r>
    </w:p>
    <w:p>
      <w:pPr>
        <w:spacing w:line="5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作为参加贵单位组织的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的投标供应商，本公司郑重承诺：</w:t>
      </w:r>
    </w:p>
    <w:p>
      <w:pPr>
        <w:spacing w:line="5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1、在参加本项目投标之前不存在被依法禁止经营行为、财产被接管或冻结的情况，如有隐瞒实情，愿承担一切责任及后果。</w:t>
      </w:r>
    </w:p>
    <w:p>
      <w:pPr>
        <w:spacing w:line="5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2、近三年受到有关行政主管部门的行政处理、不良行为记录为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次（没有填零），如有隐瞒实情，愿承担一切责任及后果。</w:t>
      </w:r>
    </w:p>
    <w:p>
      <w:pPr>
        <w:spacing w:line="5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3、参加本次投标提交的所有资格证明文件是真实的、有效的，如有隐瞒实情，愿承担一切责任及后果。</w:t>
      </w:r>
    </w:p>
    <w:p>
      <w:pPr>
        <w:spacing w:line="5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4、我方已阅读了《财政部关于在政府采购活动中查询及使用信用记录有关问题的通知-财库[2016]125号》文件，并领会了文件的精神。因违反文件规定所产生的后果由我方自行承担。</w:t>
      </w:r>
    </w:p>
    <w:p>
      <w:pPr>
        <w:spacing w:line="500" w:lineRule="atLeast"/>
        <w:ind w:firstLine="570"/>
        <w:rPr>
          <w:rFonts w:hint="eastAsia" w:ascii="仿宋" w:hAnsi="仿宋" w:eastAsia="仿宋" w:cs="仿宋"/>
          <w:sz w:val="28"/>
          <w:szCs w:val="28"/>
          <w:highlight w:val="none"/>
        </w:rPr>
      </w:pPr>
    </w:p>
    <w:p>
      <w:pPr>
        <w:spacing w:line="500" w:lineRule="atLeast"/>
        <w:ind w:firstLine="570"/>
        <w:rPr>
          <w:rFonts w:hint="eastAsia" w:ascii="仿宋" w:hAnsi="仿宋" w:eastAsia="仿宋" w:cs="仿宋"/>
          <w:sz w:val="28"/>
          <w:szCs w:val="28"/>
          <w:highlight w:val="none"/>
        </w:rPr>
      </w:pPr>
    </w:p>
    <w:p>
      <w:pPr>
        <w:spacing w:line="500" w:lineRule="atLeast"/>
        <w:ind w:firstLine="2660" w:firstLineChars="95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应</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商：</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zh-CN"/>
        </w:rPr>
        <w:t>（公</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章）</w:t>
      </w:r>
    </w:p>
    <w:p>
      <w:pPr>
        <w:pStyle w:val="21"/>
        <w:spacing w:line="500" w:lineRule="atLeast"/>
        <w:ind w:firstLine="2660" w:firstLineChars="950"/>
        <w:jc w:val="both"/>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21"/>
        <w:spacing w:line="500" w:lineRule="atLeast"/>
        <w:ind w:firstLine="2660" w:firstLineChars="950"/>
        <w:jc w:val="both"/>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spacing w:line="480" w:lineRule="auto"/>
        <w:jc w:val="right"/>
        <w:rPr>
          <w:rFonts w:hint="eastAsia" w:ascii="仿宋" w:hAnsi="仿宋" w:eastAsia="仿宋" w:cs="仿宋"/>
          <w:b/>
          <w:bCs/>
          <w:sz w:val="28"/>
          <w:szCs w:val="28"/>
          <w:highlight w:val="none"/>
        </w:rPr>
      </w:pPr>
    </w:p>
    <w:p>
      <w:pPr>
        <w:spacing w:line="500" w:lineRule="atLeast"/>
        <w:rPr>
          <w:rFonts w:hint="eastAsia" w:ascii="仿宋" w:hAnsi="仿宋" w:eastAsia="仿宋" w:cs="仿宋"/>
          <w:b/>
          <w:bCs/>
          <w:sz w:val="28"/>
          <w:szCs w:val="28"/>
          <w:highlight w:val="none"/>
        </w:rPr>
      </w:pPr>
      <w:bookmarkStart w:id="360" w:name="_Toc438541322"/>
    </w:p>
    <w:p>
      <w:pPr>
        <w:spacing w:line="500" w:lineRule="atLeast"/>
        <w:jc w:val="center"/>
        <w:outlineLvl w:val="1"/>
        <w:rPr>
          <w:rFonts w:hint="eastAsia" w:ascii="仿宋" w:hAnsi="仿宋" w:eastAsia="仿宋" w:cs="仿宋"/>
          <w:b/>
          <w:bCs/>
          <w:sz w:val="36"/>
          <w:szCs w:val="36"/>
          <w:highlight w:val="none"/>
        </w:rPr>
      </w:pPr>
      <w:bookmarkStart w:id="361" w:name="_Toc13736"/>
      <w:bookmarkStart w:id="362" w:name="_Toc31832"/>
      <w:bookmarkStart w:id="363" w:name="_Toc18258_WPSOffice_Level1"/>
      <w:bookmarkStart w:id="364" w:name="_Toc26416_WPSOffice_Level1"/>
      <w:bookmarkStart w:id="365" w:name="_Toc24582"/>
      <w:bookmarkStart w:id="366" w:name="_Toc2574"/>
      <w:r>
        <w:rPr>
          <w:rFonts w:hint="eastAsia" w:ascii="仿宋" w:hAnsi="仿宋" w:eastAsia="仿宋" w:cs="仿宋"/>
          <w:b/>
          <w:bCs/>
          <w:sz w:val="36"/>
          <w:szCs w:val="36"/>
          <w:highlight w:val="none"/>
        </w:rPr>
        <w:t>第八部分  投标保证金交纳凭证</w:t>
      </w:r>
      <w:bookmarkEnd w:id="360"/>
      <w:bookmarkEnd w:id="361"/>
      <w:bookmarkEnd w:id="362"/>
      <w:bookmarkEnd w:id="363"/>
      <w:bookmarkEnd w:id="364"/>
      <w:bookmarkEnd w:id="365"/>
      <w:bookmarkEnd w:id="366"/>
    </w:p>
    <w:p>
      <w:pPr>
        <w:spacing w:line="500" w:lineRule="atLeast"/>
        <w:rPr>
          <w:rFonts w:hint="eastAsia" w:ascii="仿宋" w:hAnsi="仿宋" w:eastAsia="仿宋" w:cs="仿宋"/>
          <w:i/>
          <w:iCs/>
          <w:sz w:val="28"/>
          <w:szCs w:val="28"/>
          <w:highlight w:val="none"/>
        </w:rPr>
      </w:pPr>
    </w:p>
    <w:p>
      <w:pPr>
        <w:spacing w:line="500" w:lineRule="atLeas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鉴于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（供应商）于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日参加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项目的竞争性磋商。供应商在此承担向采购代理机构交纳金额</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元的责任。</w:t>
      </w:r>
    </w:p>
    <w:p>
      <w:pPr>
        <w:spacing w:line="500" w:lineRule="atLeast"/>
        <w:ind w:firstLine="570"/>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投标保证金在投标有效期内保持有效。</w:t>
      </w:r>
    </w:p>
    <w:p>
      <w:pPr>
        <w:spacing w:line="500" w:lineRule="atLeast"/>
        <w:ind w:firstLine="570"/>
        <w:jc w:val="center"/>
        <w:rPr>
          <w:rFonts w:hint="eastAsia" w:ascii="仿宋" w:hAnsi="仿宋" w:eastAsia="仿宋" w:cs="仿宋"/>
          <w:sz w:val="28"/>
          <w:szCs w:val="28"/>
          <w:highlight w:val="none"/>
        </w:rPr>
      </w:pPr>
    </w:p>
    <w:tbl>
      <w:tblPr>
        <w:tblStyle w:val="15"/>
        <w:tblW w:w="0" w:type="auto"/>
        <w:jc w:val="center"/>
        <w:tblLayout w:type="fixed"/>
        <w:tblCellMar>
          <w:top w:w="0" w:type="dxa"/>
          <w:left w:w="108" w:type="dxa"/>
          <w:bottom w:w="0" w:type="dxa"/>
          <w:right w:w="108" w:type="dxa"/>
        </w:tblCellMar>
      </w:tblPr>
      <w:tblGrid>
        <w:gridCol w:w="8610"/>
      </w:tblGrid>
      <w:tr>
        <w:tblPrEx>
          <w:tblCellMar>
            <w:top w:w="0" w:type="dxa"/>
            <w:left w:w="108" w:type="dxa"/>
            <w:bottom w:w="0" w:type="dxa"/>
            <w:right w:w="108" w:type="dxa"/>
          </w:tblCellMar>
        </w:tblPrEx>
        <w:trPr>
          <w:trHeight w:val="3726" w:hRule="atLeast"/>
          <w:jc w:val="center"/>
        </w:trPr>
        <w:tc>
          <w:tcPr>
            <w:tcW w:w="8610" w:type="dxa"/>
            <w:tcBorders>
              <w:top w:val="single" w:color="auto" w:sz="8" w:space="0"/>
              <w:left w:val="single" w:color="auto" w:sz="8" w:space="0"/>
              <w:bottom w:val="single" w:color="auto" w:sz="8" w:space="0"/>
              <w:right w:val="single" w:color="auto" w:sz="8" w:space="0"/>
            </w:tcBorders>
            <w:noWrap w:val="0"/>
            <w:vAlign w:val="center"/>
          </w:tcPr>
          <w:p>
            <w:pPr>
              <w:spacing w:line="500" w:lineRule="atLeast"/>
              <w:ind w:firstLine="57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投标保证金证明（供应商交纳凭证复印件）</w:t>
            </w:r>
          </w:p>
          <w:p>
            <w:pPr>
              <w:spacing w:line="500" w:lineRule="atLeast"/>
              <w:ind w:firstLine="570"/>
              <w:jc w:val="center"/>
              <w:rPr>
                <w:rFonts w:hint="eastAsia" w:ascii="仿宋" w:hAnsi="仿宋" w:eastAsia="仿宋" w:cs="仿宋"/>
                <w:sz w:val="28"/>
                <w:szCs w:val="28"/>
                <w:highlight w:val="none"/>
              </w:rPr>
            </w:pPr>
          </w:p>
        </w:tc>
      </w:tr>
    </w:tbl>
    <w:p>
      <w:pPr>
        <w:spacing w:line="500" w:lineRule="atLeast"/>
        <w:ind w:firstLine="570"/>
        <w:jc w:val="center"/>
        <w:rPr>
          <w:rFonts w:hint="eastAsia" w:ascii="仿宋" w:hAnsi="仿宋" w:eastAsia="仿宋" w:cs="仿宋"/>
          <w:sz w:val="28"/>
          <w:szCs w:val="28"/>
          <w:highlight w:val="none"/>
        </w:rPr>
      </w:pPr>
    </w:p>
    <w:p>
      <w:pPr>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供  应  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pPr>
        <w:spacing w:line="500" w:lineRule="atLeast"/>
        <w:jc w:val="center"/>
        <w:rPr>
          <w:rFonts w:hint="eastAsia" w:ascii="仿宋" w:hAnsi="仿宋" w:eastAsia="仿宋" w:cs="仿宋"/>
          <w:sz w:val="28"/>
          <w:szCs w:val="28"/>
          <w:highlight w:val="none"/>
        </w:rPr>
      </w:pPr>
    </w:p>
    <w:p>
      <w:pPr>
        <w:spacing w:line="500" w:lineRule="atLeas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spacing w:line="500" w:lineRule="atLeast"/>
        <w:jc w:val="center"/>
        <w:rPr>
          <w:rFonts w:hint="eastAsia" w:ascii="仿宋" w:hAnsi="仿宋" w:eastAsia="仿宋" w:cs="仿宋"/>
          <w:sz w:val="28"/>
          <w:szCs w:val="28"/>
          <w:highlight w:val="none"/>
        </w:rPr>
      </w:pPr>
    </w:p>
    <w:p>
      <w:pPr>
        <w:spacing w:line="500" w:lineRule="atLeast"/>
        <w:ind w:firstLine="57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日      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500" w:lineRule="atLeast"/>
        <w:ind w:firstLine="570"/>
        <w:jc w:val="center"/>
        <w:rPr>
          <w:rFonts w:hint="eastAsia" w:ascii="仿宋" w:hAnsi="仿宋" w:eastAsia="仿宋" w:cs="仿宋"/>
          <w:sz w:val="28"/>
          <w:szCs w:val="28"/>
          <w:highlight w:val="none"/>
        </w:rPr>
      </w:pPr>
    </w:p>
    <w:p>
      <w:pPr>
        <w:spacing w:line="500" w:lineRule="atLeast"/>
        <w:ind w:firstLine="570"/>
        <w:jc w:val="center"/>
        <w:rPr>
          <w:rFonts w:hint="eastAsia" w:ascii="仿宋" w:hAnsi="仿宋" w:eastAsia="仿宋" w:cs="仿宋"/>
          <w:sz w:val="28"/>
          <w:szCs w:val="28"/>
          <w:highlight w:val="none"/>
        </w:rPr>
      </w:pPr>
    </w:p>
    <w:p>
      <w:pPr>
        <w:spacing w:line="500" w:lineRule="atLeast"/>
        <w:jc w:val="both"/>
        <w:rPr>
          <w:rFonts w:hint="eastAsia" w:ascii="仿宋" w:hAnsi="仿宋" w:eastAsia="仿宋" w:cs="仿宋"/>
          <w:sz w:val="28"/>
          <w:szCs w:val="28"/>
          <w:highlight w:val="none"/>
        </w:rPr>
      </w:pPr>
    </w:p>
    <w:p>
      <w:pPr>
        <w:spacing w:line="500" w:lineRule="atLeast"/>
        <w:jc w:val="center"/>
        <w:outlineLvl w:val="1"/>
        <w:rPr>
          <w:rFonts w:hint="eastAsia" w:ascii="仿宋" w:hAnsi="仿宋" w:eastAsia="仿宋" w:cs="仿宋"/>
          <w:b/>
          <w:bCs/>
          <w:sz w:val="36"/>
          <w:szCs w:val="36"/>
          <w:highlight w:val="none"/>
        </w:rPr>
      </w:pPr>
      <w:bookmarkStart w:id="367" w:name="_Toc1582"/>
      <w:bookmarkStart w:id="368" w:name="_Toc1371_WPSOffice_Level1"/>
      <w:bookmarkStart w:id="369" w:name="_Toc20394"/>
      <w:bookmarkStart w:id="370" w:name="_Toc27627"/>
      <w:bookmarkStart w:id="371" w:name="_Toc8829_WPSOffice_Level1"/>
      <w:bookmarkStart w:id="372" w:name="_Toc29179"/>
      <w:bookmarkStart w:id="373" w:name="_Toc438541324"/>
      <w:r>
        <w:rPr>
          <w:rFonts w:hint="eastAsia" w:ascii="仿宋" w:hAnsi="仿宋" w:eastAsia="仿宋" w:cs="仿宋"/>
          <w:b/>
          <w:bCs/>
          <w:sz w:val="36"/>
          <w:szCs w:val="36"/>
          <w:highlight w:val="none"/>
        </w:rPr>
        <w:t>第九部分  投标方案说明</w:t>
      </w:r>
      <w:bookmarkEnd w:id="367"/>
      <w:bookmarkEnd w:id="368"/>
      <w:bookmarkEnd w:id="369"/>
      <w:bookmarkEnd w:id="370"/>
      <w:bookmarkEnd w:id="371"/>
      <w:bookmarkEnd w:id="372"/>
      <w:bookmarkEnd w:id="373"/>
    </w:p>
    <w:p>
      <w:pPr>
        <w:spacing w:line="360" w:lineRule="auto"/>
        <w:ind w:firstLine="1400" w:firstLineChars="500"/>
        <w:rPr>
          <w:rFonts w:hint="eastAsia" w:ascii="仿宋" w:hAnsi="仿宋" w:eastAsia="仿宋" w:cs="仿宋"/>
          <w:sz w:val="28"/>
          <w:szCs w:val="28"/>
          <w:highlight w:val="none"/>
        </w:rPr>
      </w:pPr>
    </w:p>
    <w:p>
      <w:pPr>
        <w:numPr>
          <w:ilvl w:val="0"/>
          <w:numId w:val="9"/>
        </w:numPr>
        <w:spacing w:line="36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供应商企业简介；</w:t>
      </w:r>
    </w:p>
    <w:p>
      <w:pPr>
        <w:numPr>
          <w:ilvl w:val="0"/>
          <w:numId w:val="9"/>
        </w:numPr>
        <w:spacing w:line="36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商务部分响应；</w:t>
      </w:r>
    </w:p>
    <w:p>
      <w:pPr>
        <w:numPr>
          <w:ilvl w:val="0"/>
          <w:numId w:val="9"/>
        </w:numPr>
        <w:spacing w:line="360" w:lineRule="auto"/>
        <w:ind w:firstLine="840" w:firstLineChars="3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技术部分响应：</w:t>
      </w:r>
    </w:p>
    <w:p>
      <w:pPr>
        <w:spacing w:line="36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4、服务承诺；</w:t>
      </w:r>
    </w:p>
    <w:p>
      <w:pPr>
        <w:spacing w:line="360" w:lineRule="auto"/>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5、供应商认为有必要提供而增加其竞争性的其它资料。</w:t>
      </w:r>
    </w:p>
    <w:p>
      <w:pPr>
        <w:tabs>
          <w:tab w:val="left" w:pos="1755"/>
        </w:tabs>
        <w:spacing w:line="500" w:lineRule="atLeast"/>
        <w:jc w:val="center"/>
        <w:outlineLvl w:val="1"/>
        <w:rPr>
          <w:rFonts w:hint="eastAsia" w:ascii="仿宋" w:hAnsi="仿宋" w:eastAsia="仿宋" w:cs="仿宋"/>
          <w:b/>
          <w:bCs/>
          <w:sz w:val="32"/>
          <w:szCs w:val="32"/>
          <w:highlight w:val="none"/>
        </w:rPr>
      </w:pPr>
      <w:r>
        <w:rPr>
          <w:rFonts w:hint="eastAsia" w:ascii="仿宋" w:hAnsi="仿宋" w:eastAsia="仿宋" w:cs="仿宋"/>
          <w:sz w:val="28"/>
          <w:szCs w:val="28"/>
          <w:highlight w:val="none"/>
        </w:rPr>
        <w:br w:type="page"/>
      </w:r>
      <w:bookmarkStart w:id="374" w:name="_Toc438541325"/>
      <w:bookmarkStart w:id="375" w:name="_Toc31068"/>
      <w:bookmarkStart w:id="376" w:name="_Toc24209"/>
      <w:bookmarkStart w:id="377" w:name="_Toc22372_WPSOffice_Level1"/>
      <w:bookmarkStart w:id="378" w:name="_Toc31299"/>
      <w:bookmarkStart w:id="379" w:name="_Toc2569"/>
      <w:bookmarkStart w:id="380" w:name="_Toc31198"/>
      <w:bookmarkStart w:id="381" w:name="_Toc6166_WPSOffice_Level1"/>
      <w:r>
        <w:rPr>
          <w:rFonts w:hint="eastAsia" w:ascii="仿宋" w:hAnsi="仿宋" w:eastAsia="仿宋" w:cs="仿宋"/>
          <w:b/>
          <w:bCs/>
          <w:sz w:val="32"/>
          <w:szCs w:val="32"/>
          <w:highlight w:val="none"/>
        </w:rPr>
        <w:t>第十部分  政府采购供应商拒绝政府采购</w:t>
      </w:r>
      <w:bookmarkEnd w:id="374"/>
      <w:bookmarkEnd w:id="375"/>
      <w:bookmarkEnd w:id="376"/>
      <w:bookmarkStart w:id="382" w:name="_Toc438541326"/>
      <w:bookmarkStart w:id="383" w:name="_Toc435777821"/>
      <w:bookmarkStart w:id="384" w:name="_Toc28167"/>
      <w:bookmarkStart w:id="385" w:name="_Toc437425973"/>
      <w:bookmarkStart w:id="386" w:name="_Toc437247481"/>
      <w:r>
        <w:rPr>
          <w:rFonts w:hint="eastAsia" w:ascii="仿宋" w:hAnsi="仿宋" w:eastAsia="仿宋" w:cs="仿宋"/>
          <w:b/>
          <w:bCs/>
          <w:sz w:val="32"/>
          <w:szCs w:val="32"/>
          <w:highlight w:val="none"/>
        </w:rPr>
        <w:t>领域</w:t>
      </w:r>
      <w:bookmarkStart w:id="387" w:name="_Toc435777721"/>
      <w:bookmarkStart w:id="388" w:name="_Toc435776434"/>
      <w:r>
        <w:rPr>
          <w:rFonts w:hint="eastAsia" w:ascii="仿宋" w:hAnsi="仿宋" w:eastAsia="仿宋" w:cs="仿宋"/>
          <w:b/>
          <w:bCs/>
          <w:sz w:val="32"/>
          <w:szCs w:val="32"/>
          <w:highlight w:val="none"/>
        </w:rPr>
        <w:t>商业</w:t>
      </w:r>
      <w:bookmarkEnd w:id="382"/>
      <w:bookmarkEnd w:id="383"/>
      <w:bookmarkEnd w:id="384"/>
      <w:bookmarkEnd w:id="385"/>
      <w:bookmarkEnd w:id="386"/>
      <w:bookmarkEnd w:id="387"/>
      <w:bookmarkEnd w:id="388"/>
      <w:r>
        <w:rPr>
          <w:rFonts w:hint="eastAsia" w:ascii="仿宋" w:hAnsi="仿宋" w:eastAsia="仿宋" w:cs="仿宋"/>
          <w:b/>
          <w:bCs/>
          <w:sz w:val="32"/>
          <w:szCs w:val="32"/>
          <w:highlight w:val="none"/>
        </w:rPr>
        <w:t>贿赂承诺书</w:t>
      </w:r>
      <w:bookmarkEnd w:id="377"/>
      <w:bookmarkEnd w:id="378"/>
      <w:bookmarkEnd w:id="379"/>
      <w:bookmarkEnd w:id="380"/>
      <w:bookmarkEnd w:id="381"/>
    </w:p>
    <w:bookmarkEnd w:id="305"/>
    <w:bookmarkEnd w:id="306"/>
    <w:p>
      <w:pPr>
        <w:spacing w:line="480" w:lineRule="atLeast"/>
        <w:ind w:firstLine="560" w:firstLineChars="200"/>
        <w:rPr>
          <w:rFonts w:hint="eastAsia" w:ascii="仿宋" w:hAnsi="仿宋" w:eastAsia="仿宋" w:cs="仿宋"/>
          <w:sz w:val="28"/>
          <w:szCs w:val="28"/>
          <w:highlight w:val="none"/>
        </w:rPr>
      </w:pPr>
    </w:p>
    <w:p>
      <w:pPr>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为响应党中央、国务院关于治理政府采购领域商业贿赂行为的号召，我单位在此庄严承诺：</w:t>
      </w:r>
    </w:p>
    <w:p>
      <w:pPr>
        <w:numPr>
          <w:ilvl w:val="0"/>
          <w:numId w:val="10"/>
        </w:numPr>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在参与政府采购活动中遵纪守法、诚信经营、公平竞标。</w:t>
      </w:r>
    </w:p>
    <w:p>
      <w:pPr>
        <w:numPr>
          <w:ilvl w:val="0"/>
          <w:numId w:val="10"/>
        </w:numPr>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不向采购人、采购代理机构和政府采购磋商小组进行任何形式的商业贿赂以谋取交易机会。</w:t>
      </w:r>
    </w:p>
    <w:p>
      <w:pPr>
        <w:numPr>
          <w:ilvl w:val="0"/>
          <w:numId w:val="10"/>
        </w:numPr>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不向采购代理机构和采购人提供虚假资格文件或采用虚假应标方式参与政府采购市场竞争并谋取中标、成交。</w:t>
      </w:r>
    </w:p>
    <w:p>
      <w:pPr>
        <w:numPr>
          <w:ilvl w:val="0"/>
          <w:numId w:val="10"/>
        </w:numPr>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不采取“围标、陪标”等商业欺诈手段获得政府采购定单。</w:t>
      </w:r>
    </w:p>
    <w:p>
      <w:pPr>
        <w:numPr>
          <w:ilvl w:val="0"/>
          <w:numId w:val="10"/>
        </w:numPr>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不采取不正当手段低毁、排挤其他供应商。</w:t>
      </w:r>
    </w:p>
    <w:p>
      <w:pPr>
        <w:numPr>
          <w:ilvl w:val="0"/>
          <w:numId w:val="10"/>
        </w:numPr>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不在提供商品和服务时“偷梁换柱、以次充好”损害采购人的合法权益。</w:t>
      </w:r>
    </w:p>
    <w:p>
      <w:pPr>
        <w:numPr>
          <w:ilvl w:val="0"/>
          <w:numId w:val="10"/>
        </w:numPr>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不与采购人、采购代理机构、政府采购磋商小组或其它供应商恶意串通，进行质疑和投诉，维护政府采购市场秩序。</w:t>
      </w:r>
    </w:p>
    <w:p>
      <w:pPr>
        <w:numPr>
          <w:ilvl w:val="0"/>
          <w:numId w:val="10"/>
        </w:numPr>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尊重和接受政府采购监督管理部门的监督和采购代理机构的招标要求，承担因违约行为给采购人造成的损失。</w:t>
      </w:r>
    </w:p>
    <w:p>
      <w:pPr>
        <w:spacing w:line="48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9、不发生其他有悖于政府采购公开、公平、公正和诚信原则的行为。</w:t>
      </w:r>
    </w:p>
    <w:p>
      <w:pPr>
        <w:widowControl/>
        <w:tabs>
          <w:tab w:val="left" w:pos="2394"/>
        </w:tabs>
        <w:spacing w:line="500" w:lineRule="atLeas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承诺单位：</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公      章）</w:t>
      </w:r>
    </w:p>
    <w:p>
      <w:pPr>
        <w:widowControl/>
        <w:tabs>
          <w:tab w:val="left" w:pos="2394"/>
        </w:tabs>
        <w:spacing w:line="500" w:lineRule="atLeast"/>
        <w:ind w:firstLine="560" w:firstLineChars="200"/>
        <w:rPr>
          <w:rFonts w:hint="eastAsia" w:ascii="仿宋" w:hAnsi="仿宋" w:eastAsia="仿宋" w:cs="仿宋"/>
          <w:kern w:val="0"/>
          <w:sz w:val="28"/>
          <w:szCs w:val="28"/>
          <w:highlight w:val="none"/>
        </w:rPr>
      </w:pPr>
      <w:r>
        <w:rPr>
          <w:rFonts w:hint="eastAsia" w:ascii="仿宋" w:hAnsi="仿宋" w:eastAsia="仿宋" w:cs="仿宋"/>
          <w:sz w:val="28"/>
          <w:szCs w:val="28"/>
          <w:highlight w:val="none"/>
          <w:u w:val="none" w:color="000000"/>
          <w:lang w:val="zh-CN"/>
        </w:rPr>
        <w:t>法定代表人或被授权委托人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签字或盖章）</w:t>
      </w:r>
    </w:p>
    <w:p>
      <w:pPr>
        <w:widowControl/>
        <w:tabs>
          <w:tab w:val="left" w:pos="2394"/>
        </w:tabs>
        <w:spacing w:line="500" w:lineRule="atLeast"/>
        <w:ind w:firstLine="560" w:firstLineChars="20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地    址：</w:t>
      </w:r>
      <w:r>
        <w:rPr>
          <w:rFonts w:hint="eastAsia" w:ascii="仿宋" w:hAnsi="仿宋" w:eastAsia="仿宋" w:cs="仿宋"/>
          <w:kern w:val="0"/>
          <w:sz w:val="28"/>
          <w:szCs w:val="28"/>
          <w:highlight w:val="none"/>
          <w:u w:val="single"/>
        </w:rPr>
        <w:t xml:space="preserve">                               .</w:t>
      </w:r>
    </w:p>
    <w:p>
      <w:pPr>
        <w:widowControl/>
        <w:tabs>
          <w:tab w:val="left" w:pos="2394"/>
        </w:tabs>
        <w:spacing w:line="500" w:lineRule="atLeast"/>
        <w:ind w:firstLine="560" w:firstLineChars="20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邮    编：</w:t>
      </w:r>
      <w:r>
        <w:rPr>
          <w:rFonts w:hint="eastAsia" w:ascii="仿宋" w:hAnsi="仿宋" w:eastAsia="仿宋" w:cs="仿宋"/>
          <w:kern w:val="0"/>
          <w:sz w:val="28"/>
          <w:szCs w:val="28"/>
          <w:highlight w:val="none"/>
          <w:u w:val="single"/>
        </w:rPr>
        <w:t xml:space="preserve">                               .</w:t>
      </w:r>
    </w:p>
    <w:p>
      <w:pPr>
        <w:tabs>
          <w:tab w:val="left" w:pos="5580"/>
        </w:tabs>
        <w:adjustRightInd w:val="0"/>
        <w:spacing w:line="480" w:lineRule="exact"/>
        <w:ind w:firstLine="560" w:firstLineChars="200"/>
        <w:rPr>
          <w:rFonts w:hint="eastAsia" w:ascii="仿宋" w:hAnsi="仿宋" w:eastAsia="仿宋" w:cs="仿宋"/>
          <w:kern w:val="0"/>
          <w:sz w:val="28"/>
          <w:szCs w:val="28"/>
          <w:highlight w:val="none"/>
          <w:u w:val="single"/>
        </w:rPr>
      </w:pPr>
      <w:r>
        <w:rPr>
          <w:rFonts w:hint="eastAsia" w:ascii="仿宋" w:hAnsi="仿宋" w:eastAsia="仿宋" w:cs="仿宋"/>
          <w:kern w:val="0"/>
          <w:sz w:val="28"/>
          <w:szCs w:val="28"/>
          <w:highlight w:val="none"/>
        </w:rPr>
        <w:t>电    话：</w:t>
      </w:r>
      <w:r>
        <w:rPr>
          <w:rFonts w:hint="eastAsia" w:ascii="仿宋" w:hAnsi="仿宋" w:eastAsia="仿宋" w:cs="仿宋"/>
          <w:kern w:val="0"/>
          <w:sz w:val="28"/>
          <w:szCs w:val="28"/>
          <w:highlight w:val="none"/>
          <w:u w:val="single"/>
        </w:rPr>
        <w:t xml:space="preserve">                               .</w:t>
      </w:r>
    </w:p>
    <w:p>
      <w:pPr>
        <w:pStyle w:val="2"/>
        <w:rPr>
          <w:rFonts w:ascii="仿宋" w:hAnsi="仿宋" w:cs="仿宋"/>
          <w:sz w:val="28"/>
          <w:szCs w:val="28"/>
          <w:highlight w:val="none"/>
          <w:u w:val="single"/>
        </w:rPr>
      </w:pPr>
    </w:p>
    <w:p>
      <w:pPr>
        <w:tabs>
          <w:tab w:val="left" w:pos="1755"/>
        </w:tabs>
        <w:spacing w:line="500" w:lineRule="atLeast"/>
        <w:jc w:val="center"/>
        <w:outlineLvl w:val="1"/>
        <w:rPr>
          <w:rFonts w:hint="eastAsia" w:ascii="仿宋" w:hAnsi="仿宋" w:eastAsia="仿宋" w:cs="仿宋"/>
          <w:b/>
          <w:bCs/>
          <w:sz w:val="36"/>
          <w:szCs w:val="36"/>
          <w:highlight w:val="none"/>
        </w:rPr>
      </w:pPr>
      <w:bookmarkStart w:id="389" w:name="_Toc2004"/>
      <w:bookmarkStart w:id="390" w:name="_Toc14162_WPSOffice_Level1"/>
      <w:bookmarkStart w:id="391" w:name="_Toc25411"/>
      <w:bookmarkStart w:id="392" w:name="_Toc21078"/>
      <w:bookmarkStart w:id="393" w:name="_Toc20090_WPSOffice_Level1"/>
      <w:bookmarkStart w:id="394" w:name="_Toc28493"/>
    </w:p>
    <w:p>
      <w:pPr>
        <w:tabs>
          <w:tab w:val="left" w:pos="1755"/>
        </w:tabs>
        <w:spacing w:line="500" w:lineRule="atLeast"/>
        <w:jc w:val="center"/>
        <w:outlineLvl w:val="1"/>
        <w:rPr>
          <w:rFonts w:hint="eastAsia" w:ascii="仿宋" w:hAnsi="仿宋" w:eastAsia="仿宋" w:cs="仿宋"/>
          <w:b/>
          <w:bCs/>
          <w:sz w:val="36"/>
          <w:szCs w:val="36"/>
          <w:highlight w:val="none"/>
        </w:rPr>
      </w:pPr>
    </w:p>
    <w:p>
      <w:pPr>
        <w:tabs>
          <w:tab w:val="left" w:pos="1755"/>
        </w:tabs>
        <w:spacing w:line="500" w:lineRule="atLeast"/>
        <w:jc w:val="center"/>
        <w:outlineLvl w:val="1"/>
        <w:rPr>
          <w:rFonts w:hint="eastAsia" w:ascii="仿宋" w:hAnsi="仿宋" w:eastAsia="仿宋" w:cs="仿宋"/>
          <w:b/>
          <w:bCs/>
          <w:sz w:val="36"/>
          <w:szCs w:val="36"/>
          <w:highlight w:val="none"/>
        </w:rPr>
      </w:pPr>
    </w:p>
    <w:p>
      <w:pPr>
        <w:tabs>
          <w:tab w:val="left" w:pos="1755"/>
        </w:tabs>
        <w:spacing w:line="500" w:lineRule="atLeast"/>
        <w:jc w:val="center"/>
        <w:outlineLvl w:val="1"/>
        <w:rPr>
          <w:rFonts w:hint="eastAsia" w:ascii="仿宋" w:hAnsi="仿宋" w:eastAsia="仿宋" w:cs="仿宋"/>
          <w:b/>
          <w:bCs/>
          <w:sz w:val="36"/>
          <w:szCs w:val="36"/>
          <w:highlight w:val="none"/>
        </w:rPr>
      </w:pPr>
    </w:p>
    <w:p>
      <w:pPr>
        <w:tabs>
          <w:tab w:val="left" w:pos="1755"/>
        </w:tabs>
        <w:spacing w:line="500" w:lineRule="atLeast"/>
        <w:jc w:val="center"/>
        <w:outlineLvl w:val="1"/>
        <w:rPr>
          <w:rFonts w:hint="eastAsia" w:ascii="仿宋" w:hAnsi="仿宋" w:eastAsia="仿宋" w:cs="仿宋"/>
          <w:b/>
          <w:bCs/>
          <w:sz w:val="36"/>
          <w:szCs w:val="36"/>
          <w:highlight w:val="none"/>
        </w:rPr>
      </w:pPr>
    </w:p>
    <w:p>
      <w:pPr>
        <w:tabs>
          <w:tab w:val="left" w:pos="1755"/>
        </w:tabs>
        <w:spacing w:line="500" w:lineRule="atLeast"/>
        <w:jc w:val="center"/>
        <w:outlineLvl w:val="1"/>
        <w:rPr>
          <w:rFonts w:hint="eastAsia" w:ascii="仿宋" w:hAnsi="仿宋" w:eastAsia="仿宋" w:cs="仿宋"/>
          <w:b/>
          <w:bCs/>
          <w:sz w:val="36"/>
          <w:szCs w:val="36"/>
          <w:highlight w:val="none"/>
        </w:rPr>
      </w:pPr>
    </w:p>
    <w:p>
      <w:pPr>
        <w:tabs>
          <w:tab w:val="left" w:pos="1755"/>
        </w:tabs>
        <w:spacing w:line="500" w:lineRule="atLeast"/>
        <w:jc w:val="center"/>
        <w:outlineLvl w:val="1"/>
        <w:rPr>
          <w:rFonts w:hint="eastAsia" w:ascii="仿宋" w:hAnsi="仿宋" w:eastAsia="仿宋" w:cs="仿宋"/>
          <w:b/>
          <w:bCs/>
          <w:sz w:val="36"/>
          <w:szCs w:val="36"/>
          <w:highlight w:val="none"/>
        </w:rPr>
      </w:pPr>
    </w:p>
    <w:p>
      <w:pPr>
        <w:tabs>
          <w:tab w:val="left" w:pos="1755"/>
        </w:tabs>
        <w:spacing w:line="500" w:lineRule="atLeast"/>
        <w:jc w:val="center"/>
        <w:outlineLvl w:val="1"/>
        <w:rPr>
          <w:rFonts w:hint="eastAsia" w:ascii="仿宋" w:hAnsi="仿宋" w:eastAsia="仿宋" w:cs="仿宋"/>
          <w:b/>
          <w:bCs/>
          <w:sz w:val="36"/>
          <w:szCs w:val="36"/>
          <w:highlight w:val="none"/>
        </w:rPr>
      </w:pPr>
    </w:p>
    <w:p>
      <w:pPr>
        <w:tabs>
          <w:tab w:val="left" w:pos="1755"/>
        </w:tabs>
        <w:spacing w:line="500" w:lineRule="atLeast"/>
        <w:jc w:val="center"/>
        <w:outlineLvl w:val="1"/>
        <w:rPr>
          <w:rFonts w:hint="eastAsia" w:ascii="仿宋" w:hAnsi="仿宋" w:eastAsia="仿宋" w:cs="仿宋"/>
          <w:b/>
          <w:bCs/>
          <w:sz w:val="36"/>
          <w:szCs w:val="36"/>
          <w:highlight w:val="none"/>
        </w:rPr>
      </w:pPr>
    </w:p>
    <w:p>
      <w:pPr>
        <w:tabs>
          <w:tab w:val="left" w:pos="1755"/>
        </w:tabs>
        <w:spacing w:line="500" w:lineRule="atLeast"/>
        <w:jc w:val="center"/>
        <w:outlineLvl w:val="1"/>
        <w:rPr>
          <w:rFonts w:hint="eastAsia" w:ascii="仿宋" w:hAnsi="仿宋" w:eastAsia="仿宋" w:cs="仿宋"/>
          <w:b/>
          <w:bCs/>
          <w:sz w:val="36"/>
          <w:szCs w:val="36"/>
          <w:highlight w:val="none"/>
        </w:rPr>
      </w:pPr>
    </w:p>
    <w:p>
      <w:pPr>
        <w:tabs>
          <w:tab w:val="left" w:pos="1755"/>
        </w:tabs>
        <w:spacing w:line="500" w:lineRule="atLeast"/>
        <w:jc w:val="center"/>
        <w:outlineLvl w:val="1"/>
        <w:rPr>
          <w:rFonts w:hint="eastAsia" w:ascii="仿宋" w:hAnsi="仿宋" w:eastAsia="仿宋" w:cs="仿宋"/>
          <w:b/>
          <w:bCs/>
          <w:sz w:val="36"/>
          <w:szCs w:val="36"/>
          <w:highlight w:val="none"/>
        </w:rPr>
      </w:pPr>
    </w:p>
    <w:p>
      <w:pPr>
        <w:tabs>
          <w:tab w:val="left" w:pos="1755"/>
        </w:tabs>
        <w:spacing w:line="500" w:lineRule="atLeast"/>
        <w:jc w:val="center"/>
        <w:outlineLvl w:val="1"/>
        <w:rPr>
          <w:rFonts w:hint="eastAsia" w:ascii="仿宋" w:hAnsi="仿宋" w:eastAsia="仿宋" w:cs="仿宋"/>
          <w:b/>
          <w:bCs/>
          <w:sz w:val="36"/>
          <w:szCs w:val="36"/>
          <w:highlight w:val="none"/>
        </w:rPr>
      </w:pPr>
    </w:p>
    <w:p>
      <w:pPr>
        <w:tabs>
          <w:tab w:val="left" w:pos="1755"/>
        </w:tabs>
        <w:spacing w:line="500" w:lineRule="atLeast"/>
        <w:jc w:val="center"/>
        <w:outlineLvl w:val="1"/>
        <w:rPr>
          <w:rFonts w:hint="eastAsia" w:ascii="仿宋" w:hAnsi="仿宋" w:eastAsia="仿宋" w:cs="仿宋"/>
          <w:b/>
          <w:bCs/>
          <w:sz w:val="36"/>
          <w:szCs w:val="36"/>
          <w:highlight w:val="none"/>
        </w:rPr>
      </w:pPr>
    </w:p>
    <w:p>
      <w:pPr>
        <w:tabs>
          <w:tab w:val="left" w:pos="1755"/>
        </w:tabs>
        <w:spacing w:line="500" w:lineRule="atLeast"/>
        <w:jc w:val="center"/>
        <w:outlineLvl w:val="1"/>
        <w:rPr>
          <w:rFonts w:hint="eastAsia" w:ascii="仿宋" w:hAnsi="仿宋" w:eastAsia="仿宋" w:cs="仿宋"/>
          <w:b/>
          <w:bCs/>
          <w:sz w:val="36"/>
          <w:szCs w:val="36"/>
          <w:highlight w:val="none"/>
        </w:rPr>
      </w:pPr>
    </w:p>
    <w:p>
      <w:pPr>
        <w:tabs>
          <w:tab w:val="left" w:pos="1755"/>
        </w:tabs>
        <w:spacing w:line="500" w:lineRule="atLeast"/>
        <w:jc w:val="center"/>
        <w:outlineLvl w:val="1"/>
        <w:rPr>
          <w:rFonts w:hint="eastAsia" w:ascii="仿宋" w:hAnsi="仿宋" w:eastAsia="仿宋" w:cs="仿宋"/>
          <w:b/>
          <w:bCs/>
          <w:sz w:val="36"/>
          <w:szCs w:val="36"/>
          <w:highlight w:val="none"/>
        </w:rPr>
      </w:pPr>
    </w:p>
    <w:p>
      <w:pPr>
        <w:tabs>
          <w:tab w:val="left" w:pos="1755"/>
        </w:tabs>
        <w:spacing w:line="500" w:lineRule="atLeast"/>
        <w:jc w:val="center"/>
        <w:outlineLvl w:val="1"/>
        <w:rPr>
          <w:rFonts w:hint="eastAsia" w:ascii="仿宋" w:hAnsi="仿宋" w:eastAsia="仿宋" w:cs="仿宋"/>
          <w:b/>
          <w:bCs/>
          <w:sz w:val="36"/>
          <w:szCs w:val="36"/>
          <w:highlight w:val="none"/>
        </w:rPr>
      </w:pPr>
    </w:p>
    <w:p>
      <w:pPr>
        <w:tabs>
          <w:tab w:val="left" w:pos="1755"/>
        </w:tabs>
        <w:spacing w:line="500" w:lineRule="atLeast"/>
        <w:jc w:val="center"/>
        <w:outlineLvl w:val="1"/>
        <w:rPr>
          <w:rFonts w:hint="eastAsia" w:ascii="仿宋" w:hAnsi="仿宋" w:eastAsia="仿宋" w:cs="仿宋"/>
          <w:b/>
          <w:bCs/>
          <w:sz w:val="36"/>
          <w:szCs w:val="36"/>
          <w:highlight w:val="none"/>
        </w:rPr>
      </w:pPr>
    </w:p>
    <w:p>
      <w:pPr>
        <w:tabs>
          <w:tab w:val="left" w:pos="1755"/>
        </w:tabs>
        <w:spacing w:line="500" w:lineRule="atLeast"/>
        <w:jc w:val="center"/>
        <w:outlineLvl w:val="1"/>
        <w:rPr>
          <w:rFonts w:hint="eastAsia" w:ascii="仿宋" w:hAnsi="仿宋" w:eastAsia="仿宋" w:cs="仿宋"/>
          <w:b/>
          <w:bCs/>
          <w:sz w:val="36"/>
          <w:szCs w:val="36"/>
          <w:highlight w:val="none"/>
        </w:rPr>
      </w:pPr>
    </w:p>
    <w:p>
      <w:pPr>
        <w:tabs>
          <w:tab w:val="left" w:pos="1755"/>
        </w:tabs>
        <w:spacing w:line="500" w:lineRule="atLeast"/>
        <w:jc w:val="center"/>
        <w:outlineLvl w:val="1"/>
        <w:rPr>
          <w:rFonts w:hint="eastAsia" w:ascii="仿宋" w:hAnsi="仿宋" w:eastAsia="仿宋" w:cs="仿宋"/>
          <w:b/>
          <w:bCs/>
          <w:sz w:val="32"/>
          <w:szCs w:val="32"/>
          <w:highlight w:val="none"/>
        </w:rPr>
      </w:pPr>
      <w:r>
        <w:rPr>
          <w:rFonts w:hint="eastAsia" w:ascii="仿宋" w:hAnsi="仿宋" w:eastAsia="仿宋" w:cs="仿宋"/>
          <w:b/>
          <w:bCs/>
          <w:sz w:val="36"/>
          <w:szCs w:val="36"/>
          <w:highlight w:val="none"/>
        </w:rPr>
        <w:t>第十一部分  附件</w:t>
      </w:r>
      <w:bookmarkEnd w:id="389"/>
      <w:bookmarkEnd w:id="390"/>
      <w:bookmarkEnd w:id="391"/>
      <w:bookmarkEnd w:id="392"/>
      <w:bookmarkEnd w:id="393"/>
      <w:bookmarkEnd w:id="394"/>
    </w:p>
    <w:p>
      <w:pPr>
        <w:spacing w:line="500" w:lineRule="atLeast"/>
        <w:jc w:val="center"/>
        <w:outlineLvl w:val="2"/>
        <w:rPr>
          <w:rFonts w:hint="eastAsia" w:ascii="仿宋" w:hAnsi="仿宋" w:eastAsia="仿宋" w:cs="仿宋"/>
          <w:b/>
          <w:bCs/>
          <w:kern w:val="0"/>
          <w:sz w:val="28"/>
          <w:szCs w:val="28"/>
          <w:highlight w:val="none"/>
        </w:rPr>
      </w:pPr>
      <w:bookmarkStart w:id="395" w:name="_Toc20607"/>
      <w:bookmarkStart w:id="396" w:name="_Toc24063"/>
      <w:bookmarkStart w:id="397" w:name="_Toc8639"/>
      <w:bookmarkStart w:id="398" w:name="_Toc13622"/>
      <w:bookmarkStart w:id="399" w:name="_Toc27156"/>
      <w:r>
        <w:rPr>
          <w:rFonts w:hint="eastAsia" w:ascii="仿宋" w:hAnsi="仿宋" w:eastAsia="仿宋" w:cs="仿宋"/>
          <w:b/>
          <w:bCs/>
          <w:kern w:val="0"/>
          <w:sz w:val="32"/>
          <w:szCs w:val="32"/>
          <w:highlight w:val="none"/>
        </w:rPr>
        <w:t>一、</w:t>
      </w:r>
      <w:bookmarkEnd w:id="395"/>
      <w:bookmarkEnd w:id="396"/>
      <w:r>
        <w:rPr>
          <w:rFonts w:hint="eastAsia" w:ascii="仿宋" w:hAnsi="仿宋" w:eastAsia="仿宋" w:cs="仿宋"/>
          <w:b/>
          <w:bCs/>
          <w:kern w:val="0"/>
          <w:sz w:val="28"/>
          <w:szCs w:val="28"/>
          <w:highlight w:val="none"/>
        </w:rPr>
        <w:t>中小企业声明函</w:t>
      </w:r>
      <w:bookmarkEnd w:id="397"/>
      <w:bookmarkEnd w:id="398"/>
      <w:bookmarkEnd w:id="399"/>
    </w:p>
    <w:p>
      <w:pPr>
        <w:spacing w:line="500" w:lineRule="atLeast"/>
        <w:jc w:val="center"/>
        <w:rPr>
          <w:rFonts w:hint="eastAsia" w:ascii="仿宋" w:hAnsi="仿宋" w:eastAsia="仿宋" w:cs="仿宋"/>
          <w:b/>
          <w:bCs/>
          <w:kern w:val="0"/>
          <w:sz w:val="28"/>
          <w:szCs w:val="28"/>
          <w:highlight w:val="none"/>
        </w:rPr>
      </w:pPr>
    </w:p>
    <w:p>
      <w:pPr>
        <w:widowControl/>
        <w:spacing w:line="360" w:lineRule="auto"/>
        <w:ind w:firstLine="48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本公司郑重声明，根据《政府采购促进中小企业发展暂行办法》（财库[2011]181号）的规定，本公司为______（请填写：中型、小型、微型）企业。即，本公司同时满足以下条件：</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1.根据《工业和信息化部、国家统计局、国家发展和改革委员会、财政部关于印发中小企业划型标准规定的通知》（工信部联企业[2011]300号）规定的划分标准，本公司为______（请填写：中型、小型、微型）企业。</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widowControl/>
        <w:spacing w:line="360" w:lineRule="auto"/>
        <w:ind w:firstLine="48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本公司对上述声明的真实性负责。如有虚假，将依法承担相应责任。</w:t>
      </w:r>
    </w:p>
    <w:p>
      <w:pPr>
        <w:autoSpaceDN w:val="0"/>
        <w:ind w:firstLine="560" w:firstLineChars="200"/>
        <w:rPr>
          <w:rFonts w:hint="eastAsia" w:ascii="仿宋" w:hAnsi="仿宋" w:eastAsia="仿宋" w:cs="仿宋"/>
          <w:sz w:val="28"/>
          <w:szCs w:val="28"/>
          <w:highlight w:val="none"/>
        </w:rPr>
      </w:pPr>
    </w:p>
    <w:p>
      <w:pPr>
        <w:pStyle w:val="2"/>
        <w:spacing w:line="500" w:lineRule="exact"/>
        <w:rPr>
          <w:rFonts w:hint="eastAsia" w:ascii="仿宋" w:hAnsi="仿宋" w:eastAsia="仿宋" w:cs="仿宋"/>
          <w:sz w:val="28"/>
          <w:szCs w:val="28"/>
          <w:highlight w:val="none"/>
        </w:rPr>
      </w:pPr>
      <w:r>
        <w:rPr>
          <w:rFonts w:ascii="仿宋" w:hAnsi="仿宋" w:cs="仿宋"/>
          <w:b/>
          <w:bCs/>
          <w:sz w:val="28"/>
          <w:szCs w:val="28"/>
          <w:highlight w:val="none"/>
        </w:rPr>
        <w:t>注：非小型、微型企业可不填写此表。</w:t>
      </w:r>
    </w:p>
    <w:p>
      <w:pPr>
        <w:pStyle w:val="21"/>
        <w:spacing w:line="500" w:lineRule="atLeast"/>
        <w:jc w:val="both"/>
        <w:rPr>
          <w:rFonts w:hint="eastAsia" w:ascii="仿宋" w:hAnsi="仿宋" w:eastAsia="仿宋" w:cs="仿宋"/>
          <w:b w:val="0"/>
          <w:sz w:val="28"/>
          <w:szCs w:val="28"/>
          <w:highlight w:val="none"/>
          <w:lang w:val="zh-CN"/>
        </w:rPr>
      </w:pPr>
      <w:r>
        <w:rPr>
          <w:rFonts w:hint="eastAsia" w:ascii="仿宋" w:hAnsi="仿宋" w:eastAsia="仿宋" w:cs="仿宋"/>
          <w:b w:val="0"/>
          <w:sz w:val="28"/>
          <w:szCs w:val="28"/>
          <w:highlight w:val="none"/>
          <w:lang w:val="zh-CN"/>
        </w:rPr>
        <w:t>供</w:t>
      </w:r>
      <w:r>
        <w:rPr>
          <w:rFonts w:hint="eastAsia" w:ascii="仿宋" w:hAnsi="仿宋" w:eastAsia="仿宋" w:cs="仿宋"/>
          <w:b w:val="0"/>
          <w:sz w:val="28"/>
          <w:szCs w:val="28"/>
          <w:highlight w:val="none"/>
        </w:rPr>
        <w:t xml:space="preserve">  </w:t>
      </w:r>
      <w:r>
        <w:rPr>
          <w:rFonts w:hint="eastAsia" w:ascii="仿宋" w:hAnsi="仿宋" w:eastAsia="仿宋" w:cs="仿宋"/>
          <w:b w:val="0"/>
          <w:sz w:val="28"/>
          <w:szCs w:val="28"/>
          <w:highlight w:val="none"/>
          <w:lang w:val="zh-CN"/>
        </w:rPr>
        <w:t>应</w:t>
      </w:r>
      <w:r>
        <w:rPr>
          <w:rFonts w:hint="eastAsia" w:ascii="仿宋" w:hAnsi="仿宋" w:eastAsia="仿宋" w:cs="仿宋"/>
          <w:b w:val="0"/>
          <w:sz w:val="28"/>
          <w:szCs w:val="28"/>
          <w:highlight w:val="none"/>
        </w:rPr>
        <w:t xml:space="preserve">  </w:t>
      </w:r>
      <w:r>
        <w:rPr>
          <w:rFonts w:hint="eastAsia" w:ascii="仿宋" w:hAnsi="仿宋" w:eastAsia="仿宋" w:cs="仿宋"/>
          <w:b w:val="0"/>
          <w:sz w:val="28"/>
          <w:szCs w:val="28"/>
          <w:highlight w:val="none"/>
          <w:lang w:val="zh-CN"/>
        </w:rPr>
        <w:t>商：</w:t>
      </w:r>
      <w:r>
        <w:rPr>
          <w:rFonts w:hint="eastAsia" w:ascii="仿宋" w:hAnsi="仿宋" w:eastAsia="仿宋" w:cs="仿宋"/>
          <w:b w:val="0"/>
          <w:sz w:val="28"/>
          <w:szCs w:val="28"/>
          <w:highlight w:val="none"/>
          <w:u w:val="single"/>
          <w:lang w:val="zh-CN"/>
        </w:rPr>
        <w:t xml:space="preserve">          </w:t>
      </w:r>
      <w:r>
        <w:rPr>
          <w:rFonts w:hint="eastAsia" w:ascii="仿宋" w:hAnsi="仿宋" w:eastAsia="仿宋" w:cs="仿宋"/>
          <w:b w:val="0"/>
          <w:sz w:val="28"/>
          <w:szCs w:val="28"/>
          <w:highlight w:val="none"/>
          <w:u w:val="single"/>
        </w:rPr>
        <w:t xml:space="preserve">  </w:t>
      </w:r>
      <w:r>
        <w:rPr>
          <w:rFonts w:hint="eastAsia" w:ascii="仿宋" w:hAnsi="仿宋" w:eastAsia="仿宋" w:cs="仿宋"/>
          <w:b w:val="0"/>
          <w:sz w:val="28"/>
          <w:szCs w:val="28"/>
          <w:highlight w:val="none"/>
          <w:u w:val="single"/>
          <w:lang w:val="zh-CN"/>
        </w:rPr>
        <w:t xml:space="preserve">      </w:t>
      </w:r>
      <w:r>
        <w:rPr>
          <w:rFonts w:hint="eastAsia" w:ascii="仿宋" w:hAnsi="仿宋" w:eastAsia="仿宋" w:cs="仿宋"/>
          <w:b w:val="0"/>
          <w:sz w:val="28"/>
          <w:szCs w:val="28"/>
          <w:highlight w:val="none"/>
          <w:u w:val="single"/>
        </w:rPr>
        <w:t xml:space="preserve">  </w:t>
      </w:r>
      <w:r>
        <w:rPr>
          <w:rFonts w:hint="eastAsia" w:ascii="仿宋" w:hAnsi="仿宋" w:eastAsia="仿宋" w:cs="仿宋"/>
          <w:b w:val="0"/>
          <w:sz w:val="28"/>
          <w:szCs w:val="28"/>
          <w:highlight w:val="none"/>
          <w:lang w:val="zh-CN"/>
        </w:rPr>
        <w:t>（公</w:t>
      </w:r>
      <w:r>
        <w:rPr>
          <w:rFonts w:hint="eastAsia" w:ascii="仿宋" w:hAnsi="仿宋" w:eastAsia="仿宋" w:cs="仿宋"/>
          <w:b w:val="0"/>
          <w:sz w:val="28"/>
          <w:szCs w:val="28"/>
          <w:highlight w:val="none"/>
        </w:rPr>
        <w:t xml:space="preserve">      </w:t>
      </w:r>
      <w:r>
        <w:rPr>
          <w:rFonts w:hint="eastAsia" w:ascii="仿宋" w:hAnsi="仿宋" w:eastAsia="仿宋" w:cs="仿宋"/>
          <w:b w:val="0"/>
          <w:sz w:val="28"/>
          <w:szCs w:val="28"/>
          <w:highlight w:val="none"/>
          <w:lang w:val="zh-CN"/>
        </w:rPr>
        <w:t>章）</w:t>
      </w:r>
    </w:p>
    <w:p>
      <w:pPr>
        <w:pStyle w:val="21"/>
        <w:spacing w:line="500" w:lineRule="atLeast"/>
        <w:jc w:val="both"/>
        <w:rPr>
          <w:rFonts w:hint="eastAsia" w:ascii="仿宋" w:hAnsi="仿宋" w:eastAsia="仿宋" w:cs="仿宋"/>
          <w:b w:val="0"/>
          <w:sz w:val="28"/>
          <w:szCs w:val="28"/>
          <w:highlight w:val="none"/>
          <w:lang w:val="zh-CN"/>
        </w:rPr>
      </w:pPr>
      <w:r>
        <w:rPr>
          <w:rFonts w:hint="eastAsia" w:ascii="仿宋" w:hAnsi="仿宋" w:eastAsia="仿宋" w:cs="仿宋"/>
          <w:b w:val="0"/>
          <w:sz w:val="28"/>
          <w:szCs w:val="28"/>
          <w:highlight w:val="none"/>
          <w:lang w:val="zh-CN"/>
        </w:rPr>
        <w:t>法定代表人或被授权委托人：</w:t>
      </w:r>
      <w:r>
        <w:rPr>
          <w:rFonts w:hint="eastAsia" w:ascii="仿宋" w:hAnsi="仿宋" w:eastAsia="仿宋" w:cs="仿宋"/>
          <w:b w:val="0"/>
          <w:sz w:val="28"/>
          <w:szCs w:val="28"/>
          <w:highlight w:val="none"/>
          <w:u w:val="single"/>
          <w:lang w:val="zh-CN"/>
        </w:rPr>
        <w:t xml:space="preserve">      </w:t>
      </w:r>
      <w:r>
        <w:rPr>
          <w:rFonts w:hint="eastAsia" w:ascii="仿宋" w:hAnsi="仿宋" w:eastAsia="仿宋" w:cs="仿宋"/>
          <w:b w:val="0"/>
          <w:sz w:val="28"/>
          <w:szCs w:val="28"/>
          <w:highlight w:val="none"/>
          <w:lang w:val="zh-CN"/>
        </w:rPr>
        <w:t>（签字或盖章）</w:t>
      </w:r>
    </w:p>
    <w:p>
      <w:pPr>
        <w:pStyle w:val="21"/>
        <w:spacing w:line="500" w:lineRule="atLeast"/>
        <w:ind w:firstLine="2800" w:firstLineChars="1000"/>
        <w:jc w:val="both"/>
        <w:rPr>
          <w:rFonts w:hint="eastAsia" w:ascii="仿宋" w:hAnsi="仿宋" w:eastAsia="仿宋" w:cs="仿宋"/>
          <w:b w:val="0"/>
          <w:sz w:val="24"/>
          <w:szCs w:val="24"/>
          <w:highlight w:val="none"/>
          <w:lang w:val="zh-CN"/>
        </w:rPr>
      </w:pPr>
      <w:r>
        <w:rPr>
          <w:rFonts w:hint="eastAsia" w:ascii="仿宋" w:hAnsi="仿宋" w:eastAsia="仿宋" w:cs="仿宋"/>
          <w:b w:val="0"/>
          <w:sz w:val="28"/>
          <w:szCs w:val="28"/>
          <w:highlight w:val="none"/>
          <w:lang w:val="zh-CN"/>
        </w:rPr>
        <w:t xml:space="preserve">日   </w:t>
      </w:r>
      <w:r>
        <w:rPr>
          <w:rFonts w:hint="eastAsia" w:ascii="仿宋" w:hAnsi="仿宋" w:eastAsia="仿宋" w:cs="仿宋"/>
          <w:b w:val="0"/>
          <w:sz w:val="28"/>
          <w:szCs w:val="28"/>
          <w:highlight w:val="none"/>
        </w:rPr>
        <w:t xml:space="preserve"> </w:t>
      </w:r>
      <w:r>
        <w:rPr>
          <w:rFonts w:hint="eastAsia" w:ascii="仿宋" w:hAnsi="仿宋" w:eastAsia="仿宋" w:cs="仿宋"/>
          <w:b w:val="0"/>
          <w:sz w:val="28"/>
          <w:szCs w:val="28"/>
          <w:highlight w:val="none"/>
          <w:lang w:val="zh-CN"/>
        </w:rPr>
        <w:t xml:space="preserve">  期：</w:t>
      </w:r>
      <w:r>
        <w:rPr>
          <w:rFonts w:hint="eastAsia" w:ascii="仿宋" w:hAnsi="仿宋" w:eastAsia="仿宋" w:cs="仿宋"/>
          <w:b w:val="0"/>
          <w:sz w:val="28"/>
          <w:szCs w:val="28"/>
          <w:highlight w:val="none"/>
          <w:u w:val="single"/>
          <w:lang w:val="zh-CN"/>
        </w:rPr>
        <w:t xml:space="preserve">        </w:t>
      </w:r>
      <w:r>
        <w:rPr>
          <w:rFonts w:hint="eastAsia" w:ascii="仿宋" w:hAnsi="仿宋" w:eastAsia="仿宋" w:cs="仿宋"/>
          <w:b w:val="0"/>
          <w:sz w:val="28"/>
          <w:szCs w:val="28"/>
          <w:highlight w:val="none"/>
          <w:lang w:val="zh-CN"/>
        </w:rPr>
        <w:t>年</w:t>
      </w:r>
      <w:r>
        <w:rPr>
          <w:rFonts w:hint="eastAsia" w:ascii="仿宋" w:hAnsi="仿宋" w:eastAsia="仿宋" w:cs="仿宋"/>
          <w:b w:val="0"/>
          <w:sz w:val="28"/>
          <w:szCs w:val="28"/>
          <w:highlight w:val="none"/>
          <w:u w:val="single"/>
          <w:lang w:val="zh-CN"/>
        </w:rPr>
        <w:t xml:space="preserve">    </w:t>
      </w:r>
      <w:r>
        <w:rPr>
          <w:rFonts w:hint="eastAsia" w:ascii="仿宋" w:hAnsi="仿宋" w:eastAsia="仿宋" w:cs="仿宋"/>
          <w:b w:val="0"/>
          <w:sz w:val="28"/>
          <w:szCs w:val="28"/>
          <w:highlight w:val="none"/>
          <w:lang w:val="zh-CN"/>
        </w:rPr>
        <w:t>月</w:t>
      </w:r>
      <w:r>
        <w:rPr>
          <w:rFonts w:hint="eastAsia" w:ascii="仿宋" w:hAnsi="仿宋" w:eastAsia="仿宋" w:cs="仿宋"/>
          <w:b w:val="0"/>
          <w:sz w:val="28"/>
          <w:szCs w:val="28"/>
          <w:highlight w:val="none"/>
          <w:u w:val="single"/>
          <w:lang w:val="zh-CN"/>
        </w:rPr>
        <w:t xml:space="preserve">    </w:t>
      </w:r>
      <w:r>
        <w:rPr>
          <w:rFonts w:hint="eastAsia" w:ascii="仿宋" w:hAnsi="仿宋" w:eastAsia="仿宋" w:cs="仿宋"/>
          <w:b w:val="0"/>
          <w:sz w:val="28"/>
          <w:szCs w:val="28"/>
          <w:highlight w:val="none"/>
          <w:lang w:val="zh-CN"/>
        </w:rPr>
        <w:t>日</w:t>
      </w:r>
    </w:p>
    <w:p>
      <w:pPr>
        <w:pStyle w:val="21"/>
        <w:spacing w:line="500" w:lineRule="atLeast"/>
        <w:ind w:firstLine="2800" w:firstLineChars="1000"/>
        <w:jc w:val="both"/>
        <w:rPr>
          <w:rFonts w:hint="eastAsia" w:ascii="仿宋" w:hAnsi="仿宋" w:eastAsia="仿宋" w:cs="仿宋"/>
          <w:b w:val="0"/>
          <w:sz w:val="28"/>
          <w:szCs w:val="28"/>
          <w:highlight w:val="none"/>
          <w:lang w:val="zh-CN"/>
        </w:rPr>
      </w:pPr>
    </w:p>
    <w:p>
      <w:pPr>
        <w:tabs>
          <w:tab w:val="left" w:pos="1755"/>
        </w:tabs>
        <w:spacing w:line="500" w:lineRule="atLeast"/>
        <w:rPr>
          <w:rFonts w:hint="eastAsia" w:ascii="仿宋" w:hAnsi="仿宋" w:eastAsia="仿宋" w:cs="仿宋"/>
          <w:b/>
          <w:bCs/>
          <w:sz w:val="32"/>
          <w:szCs w:val="32"/>
          <w:highlight w:val="none"/>
        </w:rPr>
      </w:pPr>
    </w:p>
    <w:p>
      <w:pPr>
        <w:rPr>
          <w:rFonts w:hint="eastAsia"/>
          <w:highlight w:val="none"/>
        </w:rPr>
      </w:pPr>
    </w:p>
    <w:p>
      <w:pPr>
        <w:tabs>
          <w:tab w:val="left" w:pos="1755"/>
        </w:tabs>
        <w:spacing w:line="500" w:lineRule="atLeast"/>
        <w:ind w:left="-120"/>
        <w:jc w:val="center"/>
        <w:outlineLvl w:val="2"/>
        <w:rPr>
          <w:rFonts w:hint="eastAsia" w:ascii="仿宋" w:hAnsi="仿宋" w:eastAsia="仿宋" w:cs="仿宋"/>
          <w:b/>
          <w:bCs/>
          <w:sz w:val="32"/>
          <w:szCs w:val="32"/>
          <w:highlight w:val="none"/>
        </w:rPr>
      </w:pPr>
      <w:bookmarkStart w:id="400" w:name="_Toc32499"/>
      <w:bookmarkStart w:id="401" w:name="_Toc13115"/>
      <w:bookmarkStart w:id="402" w:name="_Toc26990"/>
      <w:bookmarkStart w:id="403" w:name="_Toc2399"/>
      <w:r>
        <w:rPr>
          <w:rFonts w:hint="eastAsia" w:ascii="仿宋" w:hAnsi="仿宋" w:eastAsia="仿宋" w:cs="仿宋"/>
          <w:b/>
          <w:bCs/>
          <w:sz w:val="32"/>
          <w:szCs w:val="32"/>
          <w:highlight w:val="none"/>
        </w:rPr>
        <w:t>二、监狱企业相关资格证明材料</w:t>
      </w:r>
      <w:bookmarkEnd w:id="400"/>
      <w:bookmarkEnd w:id="401"/>
      <w:bookmarkEnd w:id="402"/>
      <w:bookmarkEnd w:id="403"/>
    </w:p>
    <w:p>
      <w:pPr>
        <w:pStyle w:val="2"/>
        <w:ind w:left="-119"/>
        <w:jc w:val="center"/>
        <w:outlineLvl w:val="2"/>
        <w:rPr>
          <w:b/>
          <w:bCs/>
          <w:sz w:val="32"/>
          <w:szCs w:val="24"/>
          <w:highlight w:val="none"/>
        </w:rPr>
      </w:pPr>
      <w:r>
        <w:rPr>
          <w:highlight w:val="none"/>
        </w:rPr>
        <w:br w:type="page"/>
      </w:r>
      <w:bookmarkStart w:id="404" w:name="_Toc3723"/>
      <w:r>
        <w:rPr>
          <w:b/>
          <w:bCs/>
          <w:sz w:val="32"/>
          <w:szCs w:val="24"/>
          <w:highlight w:val="none"/>
        </w:rPr>
        <w:t>三、残疾人福利性单位声明函</w:t>
      </w:r>
      <w:bookmarkEnd w:id="404"/>
    </w:p>
    <w:p>
      <w:pPr>
        <w:spacing w:line="588"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
          <w:sz w:val="28"/>
          <w:szCs w:val="28"/>
          <w:highlight w:val="none"/>
        </w:rPr>
        <w:t>〔2017〕 141</w:t>
      </w:r>
      <w:r>
        <w:rPr>
          <w:rFonts w:hint="eastAsia" w:ascii="仿宋" w:hAnsi="仿宋" w:eastAsia="仿宋" w:cs="仿宋"/>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本单位对上述声明的真实性负责。如有虚假，将依法承担相应责任。</w:t>
      </w:r>
    </w:p>
    <w:p>
      <w:pPr>
        <w:spacing w:line="360" w:lineRule="auto"/>
        <w:ind w:firstLine="584" w:firstLineChars="200"/>
        <w:rPr>
          <w:rFonts w:hint="eastAsia" w:ascii="仿宋" w:hAnsi="仿宋" w:eastAsia="仿宋" w:cs="仿宋"/>
          <w:spacing w:val="6"/>
          <w:sz w:val="28"/>
          <w:szCs w:val="28"/>
          <w:highlight w:val="none"/>
        </w:rPr>
      </w:pPr>
    </w:p>
    <w:p>
      <w:pPr>
        <w:spacing w:line="360" w:lineRule="auto"/>
        <w:ind w:firstLine="584" w:firstLineChars="200"/>
        <w:rPr>
          <w:rFonts w:hint="eastAsia" w:ascii="仿宋" w:hAnsi="仿宋" w:eastAsia="仿宋" w:cs="仿宋"/>
          <w:spacing w:val="6"/>
          <w:sz w:val="28"/>
          <w:szCs w:val="28"/>
          <w:highlight w:val="none"/>
        </w:rPr>
      </w:pPr>
    </w:p>
    <w:p>
      <w:pPr>
        <w:tabs>
          <w:tab w:val="left" w:pos="4860"/>
        </w:tabs>
        <w:spacing w:line="360" w:lineRule="auto"/>
        <w:ind w:right="1560" w:firstLine="584" w:firstLineChars="200"/>
        <w:jc w:val="center"/>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单位名称（盖章）：</w:t>
      </w:r>
    </w:p>
    <w:p>
      <w:pPr>
        <w:tabs>
          <w:tab w:val="left" w:pos="4860"/>
        </w:tabs>
        <w:spacing w:line="360" w:lineRule="auto"/>
        <w:ind w:right="1560" w:firstLine="584" w:firstLineChars="200"/>
        <w:jc w:val="center"/>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日  期：</w:t>
      </w:r>
    </w:p>
    <w:p>
      <w:pPr>
        <w:spacing w:line="360" w:lineRule="auto"/>
        <w:jc w:val="center"/>
        <w:rPr>
          <w:rFonts w:hint="eastAsia" w:ascii="仿宋" w:hAnsi="仿宋" w:eastAsia="仿宋" w:cs="仿宋"/>
          <w:b/>
          <w:bCs/>
          <w:sz w:val="28"/>
          <w:szCs w:val="28"/>
          <w:highlight w:val="none"/>
        </w:rPr>
      </w:pPr>
    </w:p>
    <w:p>
      <w:pPr>
        <w:spacing w:line="360" w:lineRule="auto"/>
        <w:jc w:val="center"/>
        <w:rPr>
          <w:rFonts w:hint="eastAsia" w:ascii="仿宋" w:hAnsi="仿宋" w:eastAsia="仿宋" w:cs="仿宋"/>
          <w:kern w:val="0"/>
          <w:sz w:val="28"/>
          <w:szCs w:val="28"/>
          <w:highlight w:val="none"/>
        </w:rPr>
      </w:pPr>
    </w:p>
    <w:p>
      <w:pPr>
        <w:spacing w:line="360" w:lineRule="auto"/>
        <w:jc w:val="center"/>
        <w:rPr>
          <w:rFonts w:hint="eastAsia" w:ascii="仿宋" w:hAnsi="仿宋" w:eastAsia="仿宋" w:cs="仿宋"/>
          <w:kern w:val="0"/>
          <w:sz w:val="28"/>
          <w:szCs w:val="28"/>
          <w:highlight w:val="none"/>
        </w:rPr>
      </w:pPr>
    </w:p>
    <w:p>
      <w:pPr>
        <w:spacing w:line="360" w:lineRule="auto"/>
        <w:jc w:val="center"/>
        <w:rPr>
          <w:rStyle w:val="25"/>
          <w:rFonts w:hint="eastAsia" w:ascii="仿宋" w:hAnsi="仿宋" w:eastAsia="仿宋" w:cs="仿宋"/>
          <w:sz w:val="24"/>
          <w:szCs w:val="24"/>
          <w:highlight w:val="none"/>
        </w:rPr>
      </w:pPr>
    </w:p>
    <w:p>
      <w:pPr>
        <w:spacing w:line="400" w:lineRule="exact"/>
        <w:jc w:val="left"/>
        <w:rPr>
          <w:rFonts w:hint="eastAsia"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注：非残疾人福利性单位可不填写此表。</w:t>
      </w:r>
    </w:p>
    <w:p>
      <w:pPr>
        <w:spacing w:line="360" w:lineRule="auto"/>
        <w:jc w:val="center"/>
        <w:rPr>
          <w:rStyle w:val="25"/>
          <w:rFonts w:hint="eastAsia" w:ascii="仿宋" w:hAnsi="仿宋" w:eastAsia="仿宋" w:cs="仿宋"/>
          <w:sz w:val="24"/>
          <w:szCs w:val="24"/>
          <w:highlight w:val="none"/>
        </w:rPr>
      </w:pPr>
    </w:p>
    <w:p>
      <w:pPr>
        <w:pStyle w:val="2"/>
        <w:rPr>
          <w:rFonts w:ascii="仿宋" w:hAnsi="仿宋" w:cs="仿宋"/>
          <w:sz w:val="28"/>
          <w:szCs w:val="28"/>
          <w:highlight w:val="none"/>
        </w:rPr>
      </w:pPr>
    </w:p>
    <w:p>
      <w:pPr>
        <w:pStyle w:val="2"/>
        <w:rPr>
          <w:rFonts w:ascii="仿宋" w:hAnsi="仿宋" w:cs="仿宋"/>
          <w:sz w:val="28"/>
          <w:szCs w:val="28"/>
          <w:highlight w:val="none"/>
        </w:rPr>
      </w:pPr>
    </w:p>
    <w:p>
      <w:pPr>
        <w:pStyle w:val="2"/>
        <w:rPr>
          <w:rFonts w:ascii="仿宋" w:hAnsi="仿宋" w:cs="仿宋"/>
          <w:sz w:val="28"/>
          <w:szCs w:val="28"/>
          <w:highlight w:val="none"/>
        </w:rPr>
      </w:pPr>
    </w:p>
    <w:p>
      <w:pPr>
        <w:pStyle w:val="2"/>
        <w:rPr>
          <w:rFonts w:ascii="仿宋" w:hAnsi="仿宋" w:cs="仿宋"/>
          <w:sz w:val="28"/>
          <w:szCs w:val="28"/>
          <w:highlight w:val="none"/>
        </w:rPr>
      </w:pPr>
    </w:p>
    <w:p>
      <w:pPr>
        <w:pStyle w:val="2"/>
        <w:rPr>
          <w:rFonts w:ascii="仿宋" w:hAnsi="仿宋" w:cs="仿宋"/>
          <w:sz w:val="28"/>
          <w:szCs w:val="28"/>
          <w:highlight w:val="none"/>
        </w:rPr>
      </w:pPr>
    </w:p>
    <w:p>
      <w:pPr>
        <w:pStyle w:val="2"/>
        <w:jc w:val="center"/>
        <w:outlineLvl w:val="0"/>
        <w:rPr>
          <w:rFonts w:ascii="仿宋" w:hAnsi="仿宋" w:cs="仿宋"/>
          <w:b/>
          <w:kern w:val="2"/>
          <w:sz w:val="36"/>
          <w:szCs w:val="36"/>
          <w:highlight w:val="none"/>
        </w:rPr>
      </w:pPr>
      <w:bookmarkStart w:id="405" w:name="_Toc26999"/>
      <w:bookmarkStart w:id="406" w:name="_Toc30288"/>
      <w:r>
        <w:rPr>
          <w:rFonts w:ascii="仿宋" w:hAnsi="仿宋" w:cs="仿宋"/>
          <w:b/>
          <w:kern w:val="2"/>
          <w:sz w:val="36"/>
          <w:szCs w:val="36"/>
          <w:highlight w:val="none"/>
        </w:rPr>
        <w:t>第八章  投标保证金退还申请表</w:t>
      </w:r>
      <w:bookmarkEnd w:id="405"/>
      <w:bookmarkEnd w:id="406"/>
    </w:p>
    <w:tbl>
      <w:tblPr>
        <w:tblStyle w:val="15"/>
        <w:tblW w:w="0" w:type="auto"/>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524" w:type="dxa"/>
            <w:noWrap w:val="0"/>
            <w:vAlign w:val="center"/>
          </w:tcPr>
          <w:p>
            <w:pPr>
              <w:spacing w:line="500" w:lineRule="exact"/>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申请退款单位名称</w:t>
            </w:r>
          </w:p>
        </w:tc>
        <w:tc>
          <w:tcPr>
            <w:tcW w:w="7116" w:type="dxa"/>
            <w:noWrap w:val="0"/>
            <w:vAlign w:val="center"/>
          </w:tcPr>
          <w:p>
            <w:pPr>
              <w:spacing w:line="500" w:lineRule="exact"/>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524" w:type="dxa"/>
            <w:noWrap w:val="0"/>
            <w:vAlign w:val="center"/>
          </w:tcPr>
          <w:p>
            <w:pPr>
              <w:spacing w:line="500" w:lineRule="exact"/>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项目名称</w:t>
            </w:r>
          </w:p>
        </w:tc>
        <w:tc>
          <w:tcPr>
            <w:tcW w:w="7116" w:type="dxa"/>
            <w:noWrap w:val="0"/>
            <w:vAlign w:val="center"/>
          </w:tcPr>
          <w:p>
            <w:pPr>
              <w:spacing w:line="500" w:lineRule="exact"/>
              <w:jc w:val="center"/>
              <w:outlineLvl w:val="5"/>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24" w:type="dxa"/>
            <w:noWrap w:val="0"/>
            <w:vAlign w:val="center"/>
          </w:tcPr>
          <w:p>
            <w:pPr>
              <w:spacing w:line="500" w:lineRule="exact"/>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项目编号</w:t>
            </w:r>
          </w:p>
        </w:tc>
        <w:tc>
          <w:tcPr>
            <w:tcW w:w="7116" w:type="dxa"/>
            <w:noWrap w:val="0"/>
            <w:vAlign w:val="center"/>
          </w:tcPr>
          <w:p>
            <w:pPr>
              <w:spacing w:line="500" w:lineRule="exact"/>
              <w:jc w:val="center"/>
              <w:outlineLvl w:val="5"/>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524" w:type="dxa"/>
            <w:noWrap w:val="0"/>
            <w:vAlign w:val="center"/>
          </w:tcPr>
          <w:p>
            <w:pPr>
              <w:spacing w:line="500" w:lineRule="exact"/>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开标日期</w:t>
            </w:r>
          </w:p>
        </w:tc>
        <w:tc>
          <w:tcPr>
            <w:tcW w:w="7116" w:type="dxa"/>
            <w:noWrap w:val="0"/>
            <w:vAlign w:val="center"/>
          </w:tcPr>
          <w:p>
            <w:pPr>
              <w:spacing w:line="500" w:lineRule="exact"/>
              <w:jc w:val="center"/>
              <w:outlineLvl w:val="5"/>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24" w:type="dxa"/>
            <w:noWrap w:val="0"/>
            <w:vAlign w:val="center"/>
          </w:tcPr>
          <w:p>
            <w:pPr>
              <w:spacing w:line="500" w:lineRule="exact"/>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保证金交纳金额</w:t>
            </w:r>
          </w:p>
        </w:tc>
        <w:tc>
          <w:tcPr>
            <w:tcW w:w="7116" w:type="dxa"/>
            <w:noWrap w:val="0"/>
            <w:vAlign w:val="center"/>
          </w:tcPr>
          <w:p>
            <w:pPr>
              <w:spacing w:line="500" w:lineRule="exact"/>
              <w:jc w:val="center"/>
              <w:outlineLvl w:val="5"/>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24" w:type="dxa"/>
            <w:vMerge w:val="restart"/>
            <w:noWrap w:val="0"/>
            <w:vAlign w:val="center"/>
          </w:tcPr>
          <w:p>
            <w:pPr>
              <w:spacing w:line="500" w:lineRule="exact"/>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应退保证金金额</w:t>
            </w:r>
          </w:p>
        </w:tc>
        <w:tc>
          <w:tcPr>
            <w:tcW w:w="7116" w:type="dxa"/>
            <w:noWrap w:val="0"/>
            <w:vAlign w:val="center"/>
          </w:tcPr>
          <w:p>
            <w:pPr>
              <w:spacing w:line="500" w:lineRule="exact"/>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524" w:type="dxa"/>
            <w:vMerge w:val="continue"/>
            <w:noWrap w:val="0"/>
            <w:vAlign w:val="center"/>
          </w:tcPr>
          <w:p>
            <w:pPr>
              <w:spacing w:line="500" w:lineRule="exact"/>
              <w:jc w:val="center"/>
              <w:outlineLvl w:val="5"/>
              <w:rPr>
                <w:rFonts w:hint="eastAsia" w:ascii="仿宋" w:hAnsi="仿宋" w:eastAsia="仿宋" w:cs="仿宋"/>
                <w:b/>
                <w:sz w:val="24"/>
                <w:szCs w:val="24"/>
                <w:highlight w:val="none"/>
              </w:rPr>
            </w:pPr>
          </w:p>
        </w:tc>
        <w:tc>
          <w:tcPr>
            <w:tcW w:w="7116" w:type="dxa"/>
            <w:noWrap w:val="0"/>
            <w:vAlign w:val="center"/>
          </w:tcPr>
          <w:p>
            <w:pPr>
              <w:spacing w:line="500" w:lineRule="exact"/>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524" w:type="dxa"/>
            <w:noWrap w:val="0"/>
            <w:vAlign w:val="center"/>
          </w:tcPr>
          <w:p>
            <w:pPr>
              <w:spacing w:line="500" w:lineRule="exact"/>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收款单位名称</w:t>
            </w:r>
          </w:p>
        </w:tc>
        <w:tc>
          <w:tcPr>
            <w:tcW w:w="7116" w:type="dxa"/>
            <w:noWrap w:val="0"/>
            <w:vAlign w:val="top"/>
          </w:tcPr>
          <w:p>
            <w:pPr>
              <w:spacing w:line="500" w:lineRule="exact"/>
              <w:outlineLvl w:val="5"/>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524" w:type="dxa"/>
            <w:noWrap w:val="0"/>
            <w:vAlign w:val="center"/>
          </w:tcPr>
          <w:p>
            <w:pPr>
              <w:spacing w:line="500" w:lineRule="exact"/>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收款单位开户银行</w:t>
            </w:r>
          </w:p>
        </w:tc>
        <w:tc>
          <w:tcPr>
            <w:tcW w:w="7116" w:type="dxa"/>
            <w:noWrap w:val="0"/>
            <w:vAlign w:val="top"/>
          </w:tcPr>
          <w:p>
            <w:pPr>
              <w:spacing w:line="500" w:lineRule="exact"/>
              <w:outlineLvl w:val="5"/>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24" w:type="dxa"/>
            <w:noWrap w:val="0"/>
            <w:vAlign w:val="center"/>
          </w:tcPr>
          <w:p>
            <w:pPr>
              <w:spacing w:line="500" w:lineRule="exact"/>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收款单位账号</w:t>
            </w:r>
          </w:p>
        </w:tc>
        <w:tc>
          <w:tcPr>
            <w:tcW w:w="7116" w:type="dxa"/>
            <w:noWrap w:val="0"/>
            <w:vAlign w:val="top"/>
          </w:tcPr>
          <w:p>
            <w:pPr>
              <w:spacing w:line="500" w:lineRule="exact"/>
              <w:outlineLvl w:val="5"/>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24" w:type="dxa"/>
            <w:noWrap w:val="0"/>
            <w:vAlign w:val="center"/>
          </w:tcPr>
          <w:p>
            <w:pPr>
              <w:spacing w:line="500" w:lineRule="exact"/>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收款单位联系方式</w:t>
            </w:r>
          </w:p>
        </w:tc>
        <w:tc>
          <w:tcPr>
            <w:tcW w:w="7116" w:type="dxa"/>
            <w:noWrap w:val="0"/>
            <w:vAlign w:val="top"/>
          </w:tcPr>
          <w:p>
            <w:pPr>
              <w:spacing w:line="500" w:lineRule="exact"/>
              <w:outlineLvl w:val="5"/>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524" w:type="dxa"/>
            <w:noWrap w:val="0"/>
            <w:vAlign w:val="center"/>
          </w:tcPr>
          <w:p>
            <w:pPr>
              <w:spacing w:line="500" w:lineRule="exact"/>
              <w:jc w:val="center"/>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采购代理机构审核</w:t>
            </w:r>
          </w:p>
        </w:tc>
        <w:tc>
          <w:tcPr>
            <w:tcW w:w="7116" w:type="dxa"/>
            <w:noWrap w:val="0"/>
            <w:vAlign w:val="center"/>
          </w:tcPr>
          <w:p>
            <w:pPr>
              <w:spacing w:line="500" w:lineRule="exact"/>
              <w:outlineLvl w:val="5"/>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9640" w:type="dxa"/>
            <w:gridSpan w:val="2"/>
            <w:noWrap w:val="0"/>
            <w:vAlign w:val="top"/>
          </w:tcPr>
          <w:p>
            <w:pPr>
              <w:spacing w:line="500" w:lineRule="exact"/>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注：                                 </w:t>
            </w:r>
          </w:p>
          <w:p>
            <w:pPr>
              <w:spacing w:line="500" w:lineRule="exact"/>
              <w:jc w:val="left"/>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1.本表仅用于供应商退还保证金时使用。</w:t>
            </w:r>
          </w:p>
          <w:p>
            <w:pPr>
              <w:spacing w:line="500" w:lineRule="exact"/>
              <w:ind w:left="234" w:hanging="234" w:hangingChars="97"/>
              <w:jc w:val="left"/>
              <w:outlineLvl w:val="5"/>
              <w:rPr>
                <w:rFonts w:hint="eastAsia" w:ascii="仿宋" w:hAnsi="仿宋" w:eastAsia="仿宋" w:cs="仿宋"/>
                <w:b/>
                <w:sz w:val="24"/>
                <w:szCs w:val="24"/>
                <w:highlight w:val="none"/>
              </w:rPr>
            </w:pPr>
            <w:r>
              <w:rPr>
                <w:rFonts w:hint="eastAsia" w:ascii="仿宋" w:hAnsi="仿宋" w:eastAsia="仿宋" w:cs="仿宋"/>
                <w:b/>
                <w:sz w:val="24"/>
                <w:szCs w:val="24"/>
                <w:highlight w:val="none"/>
              </w:rPr>
              <w:t>2.请供应商在递交竞争性磋商响应文件的同时向代理机构工作人员单独递交本表，以便尽快退还供应商的保证金。</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6312C"/>
    <w:multiLevelType w:val="singleLevel"/>
    <w:tmpl w:val="A906312C"/>
    <w:lvl w:ilvl="0" w:tentative="0">
      <w:start w:val="1"/>
      <w:numFmt w:val="decimal"/>
      <w:suff w:val="nothing"/>
      <w:lvlText w:val="%1、"/>
      <w:lvlJc w:val="left"/>
    </w:lvl>
  </w:abstractNum>
  <w:abstractNum w:abstractNumId="1">
    <w:nsid w:val="AE82B192"/>
    <w:multiLevelType w:val="singleLevel"/>
    <w:tmpl w:val="AE82B192"/>
    <w:lvl w:ilvl="0" w:tentative="0">
      <w:start w:val="1"/>
      <w:numFmt w:val="decimal"/>
      <w:suff w:val="nothing"/>
      <w:lvlText w:val="（%1）"/>
      <w:lvlJc w:val="left"/>
    </w:lvl>
  </w:abstractNum>
  <w:abstractNum w:abstractNumId="2">
    <w:nsid w:val="DB95DB82"/>
    <w:multiLevelType w:val="singleLevel"/>
    <w:tmpl w:val="DB95DB82"/>
    <w:lvl w:ilvl="0" w:tentative="0">
      <w:start w:val="2"/>
      <w:numFmt w:val="chineseCounting"/>
      <w:suff w:val="nothing"/>
      <w:lvlText w:val="%1、"/>
      <w:lvlJc w:val="left"/>
      <w:rPr>
        <w:rFonts w:hint="eastAsia"/>
      </w:rPr>
    </w:lvl>
  </w:abstractNum>
  <w:abstractNum w:abstractNumId="3">
    <w:nsid w:val="DCE9898C"/>
    <w:multiLevelType w:val="singleLevel"/>
    <w:tmpl w:val="DCE9898C"/>
    <w:lvl w:ilvl="0" w:tentative="0">
      <w:start w:val="5"/>
      <w:numFmt w:val="decimal"/>
      <w:suff w:val="nothing"/>
      <w:lvlText w:val="%1、"/>
      <w:lvlJc w:val="left"/>
    </w:lvl>
  </w:abstractNum>
  <w:abstractNum w:abstractNumId="4">
    <w:nsid w:val="1A0A5CC1"/>
    <w:multiLevelType w:val="singleLevel"/>
    <w:tmpl w:val="1A0A5CC1"/>
    <w:lvl w:ilvl="0" w:tentative="0">
      <w:start w:val="2"/>
      <w:numFmt w:val="decimal"/>
      <w:suff w:val="nothing"/>
      <w:lvlText w:val="%1、"/>
      <w:lvlJc w:val="left"/>
    </w:lvl>
  </w:abstractNum>
  <w:abstractNum w:abstractNumId="5">
    <w:nsid w:val="2C0FF1F5"/>
    <w:multiLevelType w:val="singleLevel"/>
    <w:tmpl w:val="2C0FF1F5"/>
    <w:lvl w:ilvl="0" w:tentative="0">
      <w:start w:val="1"/>
      <w:numFmt w:val="chineseCounting"/>
      <w:suff w:val="space"/>
      <w:lvlText w:val="第%1章"/>
      <w:lvlJc w:val="left"/>
      <w:rPr>
        <w:rFonts w:hint="eastAsia"/>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pStyle w:val="23"/>
      <w:isLgl/>
      <w:lvlText w:val="%1.%2"/>
      <w:lvlJc w:val="left"/>
      <w:pPr>
        <w:tabs>
          <w:tab w:val="left" w:pos="851"/>
        </w:tabs>
        <w:ind w:left="0" w:firstLine="0"/>
      </w:pPr>
    </w:lvl>
    <w:lvl w:ilvl="2" w:tentative="0">
      <w:start w:val="1"/>
      <w:numFmt w:val="decimal"/>
      <w:pStyle w:val="22"/>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56650600"/>
    <w:multiLevelType w:val="singleLevel"/>
    <w:tmpl w:val="56650600"/>
    <w:lvl w:ilvl="0" w:tentative="0">
      <w:start w:val="1"/>
      <w:numFmt w:val="decimal"/>
      <w:suff w:val="nothing"/>
      <w:lvlText w:val="%1、"/>
      <w:lvlJc w:val="left"/>
    </w:lvl>
  </w:abstractNum>
  <w:abstractNum w:abstractNumId="8">
    <w:nsid w:val="649F699C"/>
    <w:multiLevelType w:val="singleLevel"/>
    <w:tmpl w:val="649F699C"/>
    <w:lvl w:ilvl="0" w:tentative="0">
      <w:start w:val="1"/>
      <w:numFmt w:val="decimal"/>
      <w:suff w:val="nothing"/>
      <w:lvlText w:val="（%1）"/>
      <w:lvlJc w:val="left"/>
    </w:lvl>
  </w:abstractNum>
  <w:abstractNum w:abstractNumId="9">
    <w:nsid w:val="7ED6AAFF"/>
    <w:multiLevelType w:val="singleLevel"/>
    <w:tmpl w:val="7ED6AAFF"/>
    <w:lvl w:ilvl="0" w:tentative="0">
      <w:start w:val="1"/>
      <w:numFmt w:val="decimal"/>
      <w:suff w:val="nothing"/>
      <w:lvlText w:val="%1、"/>
      <w:lvlJc w:val="left"/>
    </w:lvl>
  </w:abstractNum>
  <w:num w:numId="1">
    <w:abstractNumId w:val="6"/>
  </w:num>
  <w:num w:numId="2">
    <w:abstractNumId w:val="5"/>
  </w:num>
  <w:num w:numId="3">
    <w:abstractNumId w:val="8"/>
  </w:num>
  <w:num w:numId="4">
    <w:abstractNumId w:val="2"/>
  </w:num>
  <w:num w:numId="5">
    <w:abstractNumId w:val="9"/>
  </w:num>
  <w:num w:numId="6">
    <w:abstractNumId w:val="4"/>
  </w:num>
  <w:num w:numId="7">
    <w:abstractNumId w:val="3"/>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YThiYWNiOWQ0ZDMxMmUxYzNiYjI5MWEyMzRkY2MifQ=="/>
  </w:docVars>
  <w:rsids>
    <w:rsidRoot w:val="40886845"/>
    <w:rsid w:val="0F614609"/>
    <w:rsid w:val="1D296691"/>
    <w:rsid w:val="239C4864"/>
    <w:rsid w:val="34A225DF"/>
    <w:rsid w:val="36A67313"/>
    <w:rsid w:val="3A0051C8"/>
    <w:rsid w:val="40886845"/>
    <w:rsid w:val="45D7273C"/>
    <w:rsid w:val="7BF87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keepNext w:val="0"/>
      <w:keepLines w:val="0"/>
      <w:widowControl w:val="0"/>
      <w:suppressLineNumbers w:val="0"/>
      <w:spacing w:before="0" w:beforeAutospacing="0" w:after="120" w:afterAutospacing="0"/>
      <w:ind w:left="0" w:right="0"/>
      <w:jc w:val="both"/>
    </w:pPr>
    <w:rPr>
      <w:rFonts w:hint="eastAsia" w:ascii="宋体" w:hAnsi="宋体" w:eastAsia="仿宋" w:cs="宋体"/>
      <w:kern w:val="0"/>
      <w:sz w:val="24"/>
      <w:szCs w:val="21"/>
    </w:rPr>
  </w:style>
  <w:style w:type="paragraph" w:styleId="6">
    <w:name w:val="Normal Indent"/>
    <w:basedOn w:val="1"/>
    <w:qFormat/>
    <w:uiPriority w:val="0"/>
    <w:pPr>
      <w:spacing w:line="300" w:lineRule="auto"/>
      <w:ind w:firstLine="420" w:firstLineChars="200"/>
    </w:pPr>
    <w:rPr>
      <w:rFonts w:ascii="Times New Roman"/>
      <w:kern w:val="2"/>
      <w:sz w:val="21"/>
      <w:szCs w:val="24"/>
    </w:rPr>
  </w:style>
  <w:style w:type="paragraph" w:styleId="7">
    <w:name w:val="Body Text Indent"/>
    <w:basedOn w:val="1"/>
    <w:next w:val="8"/>
    <w:unhideWhenUsed/>
    <w:qFormat/>
    <w:uiPriority w:val="0"/>
    <w:pPr>
      <w:keepNext w:val="0"/>
      <w:keepLines w:val="0"/>
      <w:widowControl w:val="0"/>
      <w:suppressLineNumbers w:val="0"/>
      <w:adjustRightInd w:val="0"/>
      <w:spacing w:before="0" w:beforeAutospacing="0" w:after="120" w:afterAutospacing="0" w:line="360" w:lineRule="auto"/>
      <w:ind w:left="420" w:leftChars="200" w:right="0"/>
      <w:jc w:val="both"/>
    </w:pPr>
    <w:rPr>
      <w:rFonts w:hint="eastAsia" w:ascii="宋体" w:hAnsi="宋体" w:eastAsia="仿宋" w:cs="宋体"/>
      <w:kern w:val="0"/>
      <w:sz w:val="24"/>
      <w:szCs w:val="21"/>
    </w:rPr>
  </w:style>
  <w:style w:type="paragraph" w:styleId="8">
    <w:name w:val="envelope return"/>
    <w:basedOn w:val="1"/>
    <w:unhideWhenUsed/>
    <w:qFormat/>
    <w:uiPriority w:val="99"/>
    <w:pPr>
      <w:snapToGrid w:val="0"/>
    </w:pPr>
    <w:rPr>
      <w:rFonts w:ascii="Arial" w:hAnsi="Arial"/>
    </w:rPr>
  </w:style>
  <w:style w:type="paragraph" w:styleId="9">
    <w:name w:val="footer"/>
    <w:basedOn w:val="1"/>
    <w:qFormat/>
    <w:uiPriority w:val="99"/>
    <w:pPr>
      <w:tabs>
        <w:tab w:val="center" w:pos="4153"/>
        <w:tab w:val="right" w:pos="8306"/>
      </w:tabs>
      <w:snapToGrid w:val="0"/>
      <w:jc w:val="left"/>
    </w:pPr>
    <w:rPr>
      <w:rFonts w:ascii="Times New Roman"/>
      <w:kern w:val="2"/>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1">
    <w:name w:val="toc 1"/>
    <w:basedOn w:val="1"/>
    <w:next w:val="1"/>
    <w:qFormat/>
    <w:uiPriority w:val="0"/>
    <w:pPr>
      <w:spacing w:before="120" w:after="120"/>
      <w:jc w:val="left"/>
    </w:pPr>
    <w:rPr>
      <w:b/>
      <w:bCs/>
      <w:caps/>
      <w:sz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2"/>
    <w:next w:val="14"/>
    <w:qFormat/>
    <w:uiPriority w:val="0"/>
    <w:pPr>
      <w:spacing w:after="120"/>
      <w:ind w:right="0" w:rightChars="0" w:firstLine="420" w:firstLineChars="100"/>
      <w:jc w:val="both"/>
    </w:pPr>
    <w:rPr>
      <w:rFonts w:ascii="Times New Roman" w:hAnsi="Times New Roman" w:cs="Times New Roman"/>
      <w:szCs w:val="20"/>
    </w:rPr>
  </w:style>
  <w:style w:type="paragraph" w:styleId="14">
    <w:name w:val="Body Text First Indent 2"/>
    <w:basedOn w:val="7"/>
    <w:next w:val="1"/>
    <w:qFormat/>
    <w:uiPriority w:val="0"/>
    <w:pPr>
      <w:ind w:firstLine="420" w:firstLineChars="200"/>
    </w:pPr>
  </w:style>
  <w:style w:type="character" w:styleId="17">
    <w:name w:val="Strong"/>
    <w:basedOn w:val="16"/>
    <w:qFormat/>
    <w:uiPriority w:val="22"/>
    <w:rPr>
      <w:b/>
      <w:bCs/>
    </w:rPr>
  </w:style>
  <w:style w:type="character" w:styleId="18">
    <w:name w:val="Hyperlink"/>
    <w:unhideWhenUsed/>
    <w:qFormat/>
    <w:uiPriority w:val="99"/>
    <w:rPr>
      <w:rFonts w:hint="eastAsia" w:ascii="宋体" w:hAnsi="宋体" w:eastAsia="宋体" w:cs="宋体"/>
      <w:color w:val="000000"/>
      <w:sz w:val="14"/>
      <w:szCs w:val="14"/>
      <w:u w:val="none"/>
    </w:rPr>
  </w:style>
  <w:style w:type="paragraph" w:customStyle="1" w:styleId="19">
    <w:name w:val="title1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20">
    <w:name w:val="正文空2格  1."/>
    <w:basedOn w:val="1"/>
    <w:qFormat/>
    <w:uiPriority w:val="0"/>
    <w:pPr>
      <w:keepNext w:val="0"/>
      <w:keepLines w:val="0"/>
      <w:widowControl w:val="0"/>
      <w:suppressLineNumbers w:val="0"/>
      <w:adjustRightInd w:val="0"/>
      <w:spacing w:before="0" w:beforeAutospacing="0" w:after="0" w:afterAutospacing="0" w:line="360" w:lineRule="auto"/>
      <w:ind w:left="0" w:right="0" w:firstLine="480" w:firstLineChars="200"/>
      <w:jc w:val="both"/>
    </w:pPr>
    <w:rPr>
      <w:rFonts w:hint="eastAsia" w:ascii="宋体" w:hAnsi="Times New Roman" w:eastAsia="仿宋" w:cs="宋体"/>
      <w:kern w:val="0"/>
      <w:sz w:val="28"/>
      <w:szCs w:val="20"/>
      <w:lang w:val="en-US" w:eastAsia="zh-CN" w:bidi="ar-SA"/>
    </w:rPr>
  </w:style>
  <w:style w:type="paragraph" w:customStyle="1" w:styleId="21">
    <w:name w:val="目录"/>
    <w:basedOn w:val="1"/>
    <w:qFormat/>
    <w:uiPriority w:val="0"/>
    <w:pPr>
      <w:widowControl/>
      <w:jc w:val="center"/>
    </w:pPr>
    <w:rPr>
      <w:rFonts w:ascii="宋体"/>
      <w:b/>
      <w:kern w:val="0"/>
      <w:sz w:val="36"/>
      <w:szCs w:val="20"/>
    </w:rPr>
  </w:style>
  <w:style w:type="paragraph" w:customStyle="1" w:styleId="22">
    <w:name w:val="正文 1.1.1"/>
    <w:basedOn w:val="1"/>
    <w:next w:val="1"/>
    <w:qFormat/>
    <w:uiPriority w:val="0"/>
    <w:pPr>
      <w:keepNext w:val="0"/>
      <w:keepLines w:val="0"/>
      <w:widowControl w:val="0"/>
      <w:numPr>
        <w:ilvl w:val="2"/>
        <w:numId w:val="1"/>
      </w:numPr>
      <w:suppressLineNumbers w:val="0"/>
      <w:adjustRightInd w:val="0"/>
      <w:spacing w:before="0" w:beforeAutospacing="0" w:after="0" w:afterAutospacing="0" w:line="360" w:lineRule="auto"/>
      <w:ind w:left="0" w:right="0" w:firstLine="0"/>
      <w:jc w:val="both"/>
      <w:outlineLvl w:val="2"/>
    </w:pPr>
    <w:rPr>
      <w:rFonts w:hint="eastAsia" w:ascii="宋体" w:hAnsi="宋体" w:eastAsia="宋体" w:cs="Times New Roman"/>
      <w:color w:val="FF0000"/>
      <w:kern w:val="0"/>
      <w:sz w:val="28"/>
      <w:szCs w:val="21"/>
      <w:lang w:val="en-US" w:eastAsia="zh-CN" w:bidi="ar-SA"/>
    </w:rPr>
  </w:style>
  <w:style w:type="paragraph" w:customStyle="1" w:styleId="23">
    <w:name w:val="正文 1.1"/>
    <w:basedOn w:val="1"/>
    <w:next w:val="22"/>
    <w:qFormat/>
    <w:uiPriority w:val="0"/>
    <w:pPr>
      <w:numPr>
        <w:ilvl w:val="1"/>
        <w:numId w:val="1"/>
      </w:numPr>
      <w:adjustRightInd w:val="0"/>
      <w:spacing w:line="360" w:lineRule="auto"/>
      <w:outlineLvl w:val="1"/>
    </w:pPr>
    <w:rPr>
      <w:rFonts w:hint="eastAsia" w:ascii="仿宋" w:hAnsi="仿宋" w:eastAsia="仿宋" w:cs="Times New Roman"/>
      <w:b/>
      <w:kern w:val="0"/>
      <w:sz w:val="28"/>
      <w:szCs w:val="21"/>
      <w:lang w:val="en-US" w:eastAsia="zh-CN" w:bidi="ar-SA"/>
    </w:rPr>
  </w:style>
  <w:style w:type="paragraph" w:customStyle="1" w:styleId="24">
    <w:name w:val="正文 New"/>
    <w:qFormat/>
    <w:uiPriority w:val="0"/>
    <w:pPr>
      <w:widowControl w:val="0"/>
      <w:jc w:val="both"/>
    </w:pPr>
    <w:rPr>
      <w:rFonts w:ascii="Calibri" w:hAnsi="Calibri" w:eastAsia="宋体" w:cs="Times New Roman"/>
      <w:kern w:val="2"/>
      <w:sz w:val="21"/>
      <w:szCs w:val="21"/>
      <w:lang w:val="en-US" w:eastAsia="zh-CN" w:bidi="ar-SA"/>
    </w:rPr>
  </w:style>
  <w:style w:type="character" w:customStyle="1" w:styleId="25">
    <w:name w:val="标题 1 字符"/>
    <w:link w:val="3"/>
    <w:qFormat/>
    <w:uiPriority w:val="99"/>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21364</Words>
  <Characters>22590</Characters>
  <Lines>0</Lines>
  <Paragraphs>0</Paragraphs>
  <TotalTime>1563</TotalTime>
  <ScaleCrop>false</ScaleCrop>
  <LinksUpToDate>false</LinksUpToDate>
  <CharactersWithSpaces>24770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2022-07-07T02:44:00Z</dcterms:created>
  <dc:creator>理想三旬</dc:creator>
  <cp:lastModifiedBy>理想三旬</cp:lastModifiedBy>
  <dcterms:modified xsi:type="dcterms:W3CDTF">2022-08-15T01:10:14Z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8E74CD5FF78D443D99B76797E5A6A56C</vt:lpwstr>
  </property>
</Properties>
</file>