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320" w:firstLineChars="100"/>
        <w:jc w:val="right"/>
        <w:rPr>
          <w:rFonts w:hint="default"/>
          <w:sz w:val="32"/>
          <w:szCs w:val="40"/>
          <w:highlight w:val="yellow"/>
          <w:lang w:val="en-US" w:eastAsia="zh-CN"/>
        </w:rPr>
      </w:pPr>
      <w:bookmarkStart w:id="0" w:name="_Toc14693"/>
      <w:r>
        <w:rPr>
          <w:rFonts w:hint="eastAsia"/>
          <w:sz w:val="32"/>
          <w:szCs w:val="40"/>
          <w:highlight w:val="none"/>
        </w:rPr>
        <w:t>项目编号：</w:t>
      </w:r>
      <w:bookmarkEnd w:id="0"/>
      <w:r>
        <w:rPr>
          <w:rFonts w:hint="eastAsia"/>
          <w:sz w:val="32"/>
          <w:szCs w:val="40"/>
          <w:highlight w:val="none"/>
          <w:lang w:val="en-US" w:eastAsia="zh-CN"/>
        </w:rPr>
        <w:t>JHZB-2023-051</w:t>
      </w:r>
    </w:p>
    <w:p>
      <w:pPr>
        <w:ind w:firstLine="576" w:firstLineChars="200"/>
        <w:rPr>
          <w:rFonts w:hint="eastAsia" w:ascii="宋体" w:hAnsi="宋体" w:eastAsia="宋体" w:cs="宋体"/>
          <w:w w:val="90"/>
          <w:sz w:val="32"/>
          <w:szCs w:val="32"/>
          <w:highlight w:val="none"/>
        </w:rPr>
      </w:pPr>
    </w:p>
    <w:p>
      <w:pPr>
        <w:widowControl/>
        <w:spacing w:before="300" w:after="150" w:line="525" w:lineRule="atLeast"/>
        <w:jc w:val="center"/>
        <w:outlineLvl w:val="9"/>
        <w:rPr>
          <w:rFonts w:hint="eastAsia" w:ascii="宋体" w:hAnsi="宋体" w:eastAsia="宋体" w:cs="宋体"/>
          <w:b/>
          <w:bCs/>
          <w:w w:val="90"/>
          <w:sz w:val="44"/>
          <w:szCs w:val="44"/>
          <w:highlight w:val="none"/>
          <w:lang w:eastAsia="zh-CN"/>
        </w:rPr>
      </w:pPr>
    </w:p>
    <w:p>
      <w:pPr>
        <w:bidi w:val="0"/>
        <w:jc w:val="center"/>
        <w:rPr>
          <w:rFonts w:hint="eastAsia"/>
          <w:b/>
          <w:bCs/>
          <w:sz w:val="48"/>
          <w:szCs w:val="56"/>
        </w:rPr>
      </w:pPr>
      <w:r>
        <w:rPr>
          <w:rFonts w:hint="eastAsia"/>
          <w:b/>
          <w:bCs/>
          <w:sz w:val="48"/>
          <w:szCs w:val="56"/>
          <w:lang w:eastAsia="zh-CN"/>
        </w:rPr>
        <w:t>镇巴县粮库监管信息化系统建设项目</w:t>
      </w:r>
    </w:p>
    <w:p>
      <w:pPr>
        <w:bidi w:val="0"/>
        <w:jc w:val="center"/>
        <w:rPr>
          <w:rFonts w:hint="eastAsia" w:ascii="宋体" w:hAnsi="宋体" w:eastAsia="宋体" w:cs="宋体"/>
          <w:b/>
          <w:bCs/>
          <w:w w:val="90"/>
          <w:szCs w:val="44"/>
          <w:highlight w:val="none"/>
        </w:rPr>
      </w:pPr>
      <w:bookmarkStart w:id="1" w:name="_Toc4162"/>
      <w:bookmarkStart w:id="2" w:name="_Toc7108"/>
      <w:bookmarkStart w:id="3" w:name="_Toc24324"/>
      <w:bookmarkStart w:id="4" w:name="_Toc30793"/>
      <w:bookmarkStart w:id="5" w:name="_Toc14346"/>
      <w:bookmarkStart w:id="6" w:name="_Toc453"/>
      <w:bookmarkStart w:id="7" w:name="_Toc21621"/>
      <w:bookmarkStart w:id="8" w:name="_Toc25671"/>
      <w:bookmarkStart w:id="9" w:name="_Toc30732"/>
      <w:r>
        <w:rPr>
          <w:rFonts w:hint="eastAsia"/>
          <w:b/>
          <w:bCs/>
          <w:sz w:val="48"/>
          <w:szCs w:val="56"/>
        </w:rPr>
        <w:t>竞争性磋商文件</w:t>
      </w:r>
      <w:bookmarkEnd w:id="1"/>
      <w:bookmarkEnd w:id="2"/>
      <w:bookmarkEnd w:id="3"/>
      <w:bookmarkEnd w:id="4"/>
      <w:bookmarkEnd w:id="5"/>
    </w:p>
    <w:p>
      <w:pPr>
        <w:ind w:firstLine="720" w:firstLineChars="200"/>
        <w:jc w:val="center"/>
        <w:rPr>
          <w:rFonts w:hint="eastAsia" w:ascii="宋体" w:hAnsi="宋体" w:eastAsia="宋体" w:cs="宋体"/>
          <w:w w:val="90"/>
          <w:sz w:val="40"/>
          <w:szCs w:val="40"/>
          <w:highlight w:val="none"/>
        </w:rPr>
      </w:pPr>
      <w:r>
        <w:rPr>
          <w:rFonts w:hint="eastAsia" w:ascii="宋体" w:hAnsi="宋体" w:eastAsia="宋体" w:cs="宋体"/>
          <w:w w:val="90"/>
          <w:sz w:val="40"/>
          <w:szCs w:val="40"/>
          <w:highlight w:val="none"/>
        </w:rPr>
        <w:t xml:space="preserve"> </w:t>
      </w:r>
    </w:p>
    <w:p>
      <w:pPr>
        <w:ind w:firstLine="720" w:firstLineChars="200"/>
        <w:jc w:val="center"/>
        <w:rPr>
          <w:rFonts w:hint="eastAsia" w:ascii="宋体" w:hAnsi="宋体" w:eastAsia="宋体" w:cs="宋体"/>
          <w:w w:val="90"/>
          <w:sz w:val="40"/>
          <w:szCs w:val="40"/>
          <w:highlight w:val="none"/>
        </w:rPr>
      </w:pPr>
    </w:p>
    <w:p>
      <w:pPr>
        <w:ind w:firstLine="720" w:firstLineChars="200"/>
        <w:jc w:val="center"/>
        <w:rPr>
          <w:rFonts w:hint="eastAsia" w:ascii="宋体" w:hAnsi="宋体" w:eastAsia="宋体" w:cs="宋体"/>
          <w:w w:val="90"/>
          <w:sz w:val="40"/>
          <w:szCs w:val="40"/>
          <w:highlight w:val="none"/>
        </w:rPr>
      </w:pPr>
    </w:p>
    <w:p>
      <w:pPr>
        <w:ind w:firstLine="720" w:firstLineChars="200"/>
        <w:jc w:val="center"/>
        <w:rPr>
          <w:rFonts w:hint="eastAsia" w:ascii="宋体" w:hAnsi="宋体" w:eastAsia="宋体" w:cs="宋体"/>
          <w:w w:val="90"/>
          <w:sz w:val="40"/>
          <w:szCs w:val="40"/>
          <w:highlight w:val="none"/>
        </w:rPr>
      </w:pPr>
    </w:p>
    <w:p>
      <w:pPr>
        <w:ind w:firstLine="720" w:firstLineChars="200"/>
        <w:jc w:val="center"/>
        <w:rPr>
          <w:rFonts w:hint="eastAsia" w:ascii="宋体" w:hAnsi="宋体" w:eastAsia="宋体" w:cs="宋体"/>
          <w:w w:val="90"/>
          <w:sz w:val="40"/>
          <w:szCs w:val="40"/>
          <w:highlight w:val="none"/>
        </w:rPr>
      </w:pPr>
    </w:p>
    <w:p>
      <w:pPr>
        <w:jc w:val="both"/>
        <w:rPr>
          <w:rFonts w:hint="eastAsia" w:ascii="宋体" w:hAnsi="宋体" w:eastAsia="宋体" w:cs="宋体"/>
          <w:w w:val="90"/>
          <w:sz w:val="40"/>
          <w:szCs w:val="40"/>
          <w:highlight w:val="none"/>
        </w:rPr>
      </w:pPr>
    </w:p>
    <w:p>
      <w:pPr>
        <w:ind w:firstLine="720" w:firstLineChars="200"/>
        <w:rPr>
          <w:rFonts w:hint="eastAsia" w:ascii="宋体" w:hAnsi="宋体" w:eastAsia="宋体" w:cs="宋体"/>
          <w:w w:val="90"/>
          <w:sz w:val="40"/>
          <w:szCs w:val="40"/>
          <w:highlight w:val="none"/>
        </w:rPr>
      </w:pPr>
    </w:p>
    <w:p>
      <w:pPr>
        <w:ind w:firstLine="720" w:firstLineChars="200"/>
        <w:rPr>
          <w:rFonts w:hint="eastAsia" w:ascii="宋体" w:hAnsi="宋体" w:eastAsia="宋体" w:cs="宋体"/>
          <w:w w:val="90"/>
          <w:sz w:val="40"/>
          <w:szCs w:val="40"/>
          <w:highlight w:val="none"/>
        </w:rPr>
      </w:pPr>
    </w:p>
    <w:p>
      <w:pPr>
        <w:bidi w:val="0"/>
        <w:ind w:firstLine="1928" w:firstLineChars="600"/>
        <w:jc w:val="left"/>
        <w:rPr>
          <w:rFonts w:hint="eastAsia"/>
          <w:b/>
          <w:bCs/>
          <w:sz w:val="32"/>
          <w:szCs w:val="40"/>
          <w:lang w:eastAsia="zh-CN"/>
        </w:rPr>
      </w:pPr>
      <w:r>
        <w:rPr>
          <w:rFonts w:hint="eastAsia"/>
          <w:b/>
          <w:bCs/>
          <w:sz w:val="32"/>
          <w:szCs w:val="40"/>
        </w:rPr>
        <w:t>采购单位：</w:t>
      </w:r>
      <w:bookmarkEnd w:id="6"/>
      <w:bookmarkEnd w:id="7"/>
      <w:bookmarkEnd w:id="8"/>
      <w:r>
        <w:rPr>
          <w:rFonts w:hint="eastAsia"/>
          <w:b/>
          <w:bCs/>
          <w:sz w:val="32"/>
          <w:szCs w:val="40"/>
          <w:lang w:eastAsia="zh-CN"/>
        </w:rPr>
        <w:t>镇巴县发展和改革局</w:t>
      </w:r>
      <w:bookmarkEnd w:id="9"/>
    </w:p>
    <w:p>
      <w:pPr>
        <w:bidi w:val="0"/>
        <w:jc w:val="center"/>
        <w:rPr>
          <w:rFonts w:hint="eastAsia"/>
          <w:b/>
          <w:bCs/>
          <w:sz w:val="32"/>
          <w:szCs w:val="40"/>
        </w:rPr>
      </w:pPr>
    </w:p>
    <w:p>
      <w:pPr>
        <w:bidi w:val="0"/>
        <w:ind w:left="0" w:leftChars="0" w:firstLine="1886" w:firstLineChars="587"/>
        <w:jc w:val="left"/>
        <w:rPr>
          <w:rFonts w:hint="eastAsia" w:ascii="宋体" w:hAnsi="宋体" w:eastAsia="宋体" w:cs="宋体"/>
          <w:b/>
          <w:bCs/>
          <w:w w:val="90"/>
          <w:szCs w:val="40"/>
          <w:highlight w:val="none"/>
          <w:lang w:eastAsia="zh-CN"/>
        </w:rPr>
      </w:pPr>
      <w:bookmarkStart w:id="10" w:name="_Toc2405"/>
      <w:bookmarkStart w:id="11" w:name="_Toc24318"/>
      <w:bookmarkStart w:id="12" w:name="_Toc26782"/>
      <w:bookmarkStart w:id="13" w:name="_Toc27872"/>
      <w:r>
        <w:rPr>
          <w:rFonts w:hint="eastAsia"/>
          <w:b/>
          <w:bCs/>
          <w:sz w:val="32"/>
          <w:szCs w:val="40"/>
        </w:rPr>
        <w:t>代理机构：</w:t>
      </w:r>
      <w:bookmarkEnd w:id="10"/>
      <w:bookmarkEnd w:id="11"/>
      <w:bookmarkEnd w:id="12"/>
      <w:bookmarkEnd w:id="13"/>
      <w:r>
        <w:rPr>
          <w:rFonts w:hint="eastAsia"/>
          <w:b/>
          <w:bCs/>
          <w:sz w:val="32"/>
          <w:szCs w:val="40"/>
          <w:lang w:eastAsia="zh-CN"/>
        </w:rPr>
        <w:t>陕西巨和项目管理有限责任公司</w:t>
      </w:r>
    </w:p>
    <w:p>
      <w:pPr>
        <w:ind w:firstLine="723" w:firstLineChars="200"/>
        <w:jc w:val="center"/>
        <w:rPr>
          <w:rFonts w:hint="eastAsia" w:ascii="宋体" w:hAnsi="宋体" w:eastAsia="宋体" w:cs="宋体"/>
          <w:b/>
          <w:bCs/>
          <w:w w:val="90"/>
          <w:sz w:val="40"/>
          <w:szCs w:val="40"/>
          <w:highlight w:val="none"/>
        </w:rPr>
      </w:pPr>
    </w:p>
    <w:p>
      <w:pPr>
        <w:ind w:left="0" w:leftChars="0" w:firstLine="1905" w:firstLineChars="527"/>
        <w:jc w:val="both"/>
        <w:rPr>
          <w:rFonts w:hint="eastAsia" w:ascii="宋体" w:hAnsi="宋体" w:eastAsia="宋体" w:cs="宋体"/>
          <w:b/>
          <w:bCs/>
          <w:w w:val="90"/>
          <w:sz w:val="40"/>
          <w:szCs w:val="40"/>
          <w:highlight w:val="none"/>
          <w:lang w:val="en-US" w:eastAsia="zh-CN"/>
        </w:rPr>
      </w:pPr>
      <w:r>
        <w:rPr>
          <w:rFonts w:hint="eastAsia" w:ascii="宋体" w:hAnsi="宋体" w:eastAsia="宋体" w:cs="宋体"/>
          <w:b/>
          <w:bCs/>
          <w:w w:val="90"/>
          <w:sz w:val="40"/>
          <w:szCs w:val="40"/>
          <w:highlight w:val="none"/>
        </w:rPr>
        <w:t>时    间：</w:t>
      </w:r>
      <w:r>
        <w:rPr>
          <w:rFonts w:hint="eastAsia" w:ascii="宋体" w:hAnsi="宋体" w:eastAsia="宋体" w:cs="宋体"/>
          <w:b/>
          <w:bCs/>
          <w:w w:val="90"/>
          <w:sz w:val="40"/>
          <w:szCs w:val="40"/>
          <w:highlight w:val="none"/>
          <w:lang w:eastAsia="zh-CN"/>
        </w:rPr>
        <w:t>2023年</w:t>
      </w:r>
      <w:r>
        <w:rPr>
          <w:rFonts w:hint="eastAsia" w:ascii="宋体" w:hAnsi="宋体" w:cs="宋体"/>
          <w:b/>
          <w:bCs/>
          <w:w w:val="90"/>
          <w:sz w:val="40"/>
          <w:szCs w:val="40"/>
          <w:highlight w:val="none"/>
          <w:lang w:val="en-US" w:eastAsia="zh-CN"/>
        </w:rPr>
        <w:t>12</w:t>
      </w:r>
      <w:r>
        <w:rPr>
          <w:rFonts w:hint="eastAsia" w:ascii="宋体" w:hAnsi="宋体" w:eastAsia="宋体" w:cs="宋体"/>
          <w:b/>
          <w:bCs/>
          <w:w w:val="90"/>
          <w:sz w:val="40"/>
          <w:szCs w:val="40"/>
          <w:highlight w:val="none"/>
          <w:lang w:eastAsia="zh-CN"/>
        </w:rPr>
        <w:t>月</w:t>
      </w:r>
      <w:r>
        <w:rPr>
          <w:rFonts w:hint="eastAsia" w:ascii="宋体" w:hAnsi="宋体" w:eastAsia="宋体" w:cs="宋体"/>
          <w:b/>
          <w:bCs/>
          <w:w w:val="90"/>
          <w:sz w:val="40"/>
          <w:szCs w:val="40"/>
          <w:highlight w:val="none"/>
          <w:lang w:val="en-US" w:eastAsia="zh-CN"/>
        </w:rPr>
        <w:t>1</w:t>
      </w:r>
      <w:r>
        <w:rPr>
          <w:rFonts w:hint="eastAsia" w:ascii="宋体" w:hAnsi="宋体" w:cs="宋体"/>
          <w:b/>
          <w:bCs/>
          <w:w w:val="90"/>
          <w:sz w:val="40"/>
          <w:szCs w:val="40"/>
          <w:highlight w:val="none"/>
          <w:lang w:val="en-US" w:eastAsia="zh-CN"/>
        </w:rPr>
        <w:t>6</w:t>
      </w:r>
      <w:r>
        <w:rPr>
          <w:rFonts w:hint="eastAsia" w:ascii="宋体" w:hAnsi="宋体" w:eastAsia="宋体" w:cs="宋体"/>
          <w:b/>
          <w:bCs/>
          <w:w w:val="90"/>
          <w:sz w:val="40"/>
          <w:szCs w:val="40"/>
          <w:highlight w:val="none"/>
          <w:lang w:eastAsia="zh-CN"/>
        </w:rPr>
        <w:t>日</w:t>
      </w:r>
    </w:p>
    <w:p>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sectPr>
          <w:pgSz w:w="11906" w:h="16838"/>
          <w:pgMar w:top="1440" w:right="1080" w:bottom="1440" w:left="1080" w:header="851" w:footer="992" w:gutter="0"/>
          <w:pgNumType w:fmt="decimal" w:start="1"/>
          <w:cols w:space="720" w:num="1"/>
          <w:docGrid w:type="lines" w:linePitch="312" w:charSpace="0"/>
        </w:sectPr>
      </w:pPr>
    </w:p>
    <w:sdt>
      <w:sdtPr>
        <w:rPr>
          <w:rFonts w:hint="eastAsia" w:ascii="宋体" w:hAnsi="宋体" w:eastAsia="宋体" w:cs="宋体"/>
          <w:kern w:val="2"/>
          <w:sz w:val="32"/>
          <w:szCs w:val="32"/>
          <w:highlight w:val="none"/>
          <w:lang w:val="en-US" w:eastAsia="zh-CN" w:bidi="ar-SA"/>
        </w:rPr>
        <w:id w:val="147476826"/>
        <w15:color w:val="DBDBDB"/>
        <w:docPartObj>
          <w:docPartGallery w:val="Table of Contents"/>
          <w:docPartUnique/>
        </w:docPartObj>
      </w:sdtPr>
      <w:sdtEndPr>
        <w:rPr>
          <w:rFonts w:hint="eastAsia" w:ascii="宋体" w:hAnsi="宋体" w:eastAsia="宋体" w:cs="宋体"/>
          <w:bCs/>
          <w:w w:val="90"/>
          <w:kern w:val="2"/>
          <w:sz w:val="21"/>
          <w:szCs w:val="36"/>
          <w:highlight w:val="none"/>
          <w:lang w:val="en-US" w:eastAsia="zh-CN" w:bidi="ar-SA"/>
        </w:rPr>
      </w:sdtEndPr>
      <w:sdtContent>
        <w:p>
          <w:pPr>
            <w:spacing w:before="0" w:beforeLines="0" w:after="0" w:afterLines="0" w:line="72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录</w:t>
          </w:r>
        </w:p>
        <w:p>
          <w:pPr>
            <w:pStyle w:val="192"/>
            <w:tabs>
              <w:tab w:val="right" w:leader="dot" w:pos="9746"/>
            </w:tabs>
            <w:spacing w:line="720" w:lineRule="auto"/>
            <w:rPr>
              <w:rFonts w:hint="eastAsia" w:ascii="宋体" w:hAnsi="宋体" w:eastAsia="宋体" w:cs="宋体"/>
              <w:sz w:val="32"/>
              <w:szCs w:val="32"/>
              <w:highlight w:val="none"/>
            </w:rPr>
          </w:pPr>
          <w:r>
            <w:rPr>
              <w:rFonts w:hint="eastAsia" w:ascii="宋体" w:hAnsi="宋体" w:eastAsia="宋体" w:cs="宋体"/>
              <w:b/>
              <w:bCs/>
              <w:w w:val="90"/>
              <w:sz w:val="32"/>
              <w:szCs w:val="32"/>
              <w:highlight w:val="none"/>
            </w:rPr>
            <w:fldChar w:fldCharType="begin"/>
          </w:r>
          <w:r>
            <w:rPr>
              <w:rFonts w:hint="eastAsia" w:ascii="宋体" w:hAnsi="宋体" w:eastAsia="宋体" w:cs="宋体"/>
              <w:b/>
              <w:bCs/>
              <w:w w:val="90"/>
              <w:sz w:val="32"/>
              <w:szCs w:val="32"/>
              <w:highlight w:val="none"/>
            </w:rPr>
            <w:instrText xml:space="preserve">TOC \o "1-1" \h \u </w:instrText>
          </w:r>
          <w:r>
            <w:rPr>
              <w:rFonts w:hint="eastAsia" w:ascii="宋体" w:hAnsi="宋体" w:eastAsia="宋体" w:cs="宋体"/>
              <w:b/>
              <w:bCs/>
              <w:w w:val="90"/>
              <w:sz w:val="32"/>
              <w:szCs w:val="32"/>
              <w:highlight w:val="none"/>
            </w:rPr>
            <w:fldChar w:fldCharType="separate"/>
          </w:r>
          <w:r>
            <w:rPr>
              <w:rFonts w:hint="eastAsia" w:ascii="宋体" w:hAnsi="宋体" w:eastAsia="宋体" w:cs="宋体"/>
              <w:bCs/>
              <w:w w:val="90"/>
              <w:sz w:val="32"/>
              <w:szCs w:val="32"/>
              <w:highlight w:val="none"/>
            </w:rPr>
            <w:fldChar w:fldCharType="begin"/>
          </w:r>
          <w:r>
            <w:rPr>
              <w:rFonts w:hint="eastAsia" w:ascii="宋体" w:hAnsi="宋体" w:eastAsia="宋体" w:cs="宋体"/>
              <w:bCs/>
              <w:w w:val="90"/>
              <w:sz w:val="32"/>
              <w:szCs w:val="32"/>
              <w:highlight w:val="none"/>
            </w:rPr>
            <w:instrText xml:space="preserve"> HYPERLINK \l _Toc24757 </w:instrText>
          </w:r>
          <w:r>
            <w:rPr>
              <w:rFonts w:hint="eastAsia" w:ascii="宋体" w:hAnsi="宋体" w:eastAsia="宋体" w:cs="宋体"/>
              <w:bCs/>
              <w:w w:val="90"/>
              <w:sz w:val="32"/>
              <w:szCs w:val="32"/>
              <w:highlight w:val="none"/>
            </w:rPr>
            <w:fldChar w:fldCharType="separate"/>
          </w:r>
          <w:r>
            <w:rPr>
              <w:rFonts w:hint="eastAsia" w:ascii="宋体" w:hAnsi="宋体" w:eastAsia="宋体" w:cs="宋体"/>
              <w:bCs/>
              <w:w w:val="90"/>
              <w:sz w:val="32"/>
              <w:szCs w:val="32"/>
              <w:highlight w:val="none"/>
            </w:rPr>
            <w:t>第一章 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_Toc24757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bCs/>
              <w:w w:val="90"/>
              <w:sz w:val="32"/>
              <w:szCs w:val="32"/>
              <w:highlight w:val="none"/>
            </w:rPr>
            <w:fldChar w:fldCharType="end"/>
          </w:r>
        </w:p>
        <w:p>
          <w:pPr>
            <w:pStyle w:val="192"/>
            <w:tabs>
              <w:tab w:val="right" w:leader="dot" w:pos="9746"/>
            </w:tabs>
            <w:spacing w:line="720" w:lineRule="auto"/>
            <w:rPr>
              <w:rFonts w:hint="eastAsia" w:ascii="宋体" w:hAnsi="宋体" w:eastAsia="宋体" w:cs="宋体"/>
              <w:sz w:val="32"/>
              <w:szCs w:val="32"/>
              <w:highlight w:val="none"/>
            </w:rPr>
          </w:pPr>
          <w:r>
            <w:rPr>
              <w:rFonts w:hint="eastAsia" w:ascii="宋体" w:hAnsi="宋体" w:eastAsia="宋体" w:cs="宋体"/>
              <w:bCs/>
              <w:w w:val="90"/>
              <w:sz w:val="32"/>
              <w:szCs w:val="32"/>
              <w:highlight w:val="none"/>
            </w:rPr>
            <w:fldChar w:fldCharType="begin"/>
          </w:r>
          <w:r>
            <w:rPr>
              <w:rFonts w:hint="eastAsia" w:ascii="宋体" w:hAnsi="宋体" w:eastAsia="宋体" w:cs="宋体"/>
              <w:bCs/>
              <w:w w:val="90"/>
              <w:sz w:val="32"/>
              <w:szCs w:val="32"/>
              <w:highlight w:val="none"/>
            </w:rPr>
            <w:instrText xml:space="preserve"> HYPERLINK \l _Toc4568 </w:instrText>
          </w:r>
          <w:r>
            <w:rPr>
              <w:rFonts w:hint="eastAsia" w:ascii="宋体" w:hAnsi="宋体" w:eastAsia="宋体" w:cs="宋体"/>
              <w:bCs/>
              <w:w w:val="90"/>
              <w:sz w:val="32"/>
              <w:szCs w:val="32"/>
              <w:highlight w:val="none"/>
            </w:rPr>
            <w:fldChar w:fldCharType="separate"/>
          </w:r>
          <w:r>
            <w:rPr>
              <w:rFonts w:hint="eastAsia" w:ascii="宋体" w:hAnsi="宋体" w:eastAsia="宋体" w:cs="宋体"/>
              <w:bCs/>
              <w:w w:val="90"/>
              <w:sz w:val="32"/>
              <w:szCs w:val="32"/>
              <w:highlight w:val="none"/>
            </w:rPr>
            <w:t>第二章 竞争性磋商文件须知前附表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_Toc4568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w:t>
          </w:r>
          <w:r>
            <w:rPr>
              <w:rFonts w:hint="eastAsia" w:ascii="宋体" w:hAnsi="宋体" w:eastAsia="宋体" w:cs="宋体"/>
              <w:sz w:val="32"/>
              <w:szCs w:val="32"/>
              <w:highlight w:val="none"/>
            </w:rPr>
            <w:fldChar w:fldCharType="end"/>
          </w:r>
          <w:r>
            <w:rPr>
              <w:rFonts w:hint="eastAsia" w:ascii="宋体" w:hAnsi="宋体" w:eastAsia="宋体" w:cs="宋体"/>
              <w:bCs/>
              <w:w w:val="90"/>
              <w:sz w:val="32"/>
              <w:szCs w:val="32"/>
              <w:highlight w:val="none"/>
            </w:rPr>
            <w:fldChar w:fldCharType="end"/>
          </w:r>
        </w:p>
        <w:p>
          <w:pPr>
            <w:pStyle w:val="192"/>
            <w:tabs>
              <w:tab w:val="right" w:leader="dot" w:pos="9746"/>
            </w:tabs>
            <w:spacing w:line="720" w:lineRule="auto"/>
            <w:rPr>
              <w:rFonts w:hint="eastAsia" w:ascii="宋体" w:hAnsi="宋体" w:eastAsia="宋体" w:cs="宋体"/>
              <w:sz w:val="32"/>
              <w:szCs w:val="32"/>
              <w:highlight w:val="none"/>
            </w:rPr>
          </w:pPr>
          <w:r>
            <w:rPr>
              <w:rFonts w:hint="eastAsia" w:ascii="宋体" w:hAnsi="宋体" w:eastAsia="宋体" w:cs="宋体"/>
              <w:bCs/>
              <w:w w:val="90"/>
              <w:sz w:val="32"/>
              <w:szCs w:val="32"/>
              <w:highlight w:val="none"/>
            </w:rPr>
            <w:fldChar w:fldCharType="begin"/>
          </w:r>
          <w:r>
            <w:rPr>
              <w:rFonts w:hint="eastAsia" w:ascii="宋体" w:hAnsi="宋体" w:eastAsia="宋体" w:cs="宋体"/>
              <w:bCs/>
              <w:w w:val="90"/>
              <w:sz w:val="32"/>
              <w:szCs w:val="32"/>
              <w:highlight w:val="none"/>
            </w:rPr>
            <w:instrText xml:space="preserve"> HYPERLINK \l _Toc5460 </w:instrText>
          </w:r>
          <w:r>
            <w:rPr>
              <w:rFonts w:hint="eastAsia" w:ascii="宋体" w:hAnsi="宋体" w:eastAsia="宋体" w:cs="宋体"/>
              <w:bCs/>
              <w:w w:val="90"/>
              <w:sz w:val="32"/>
              <w:szCs w:val="32"/>
              <w:highlight w:val="none"/>
            </w:rPr>
            <w:fldChar w:fldCharType="separate"/>
          </w:r>
          <w:r>
            <w:rPr>
              <w:rFonts w:hint="eastAsia" w:ascii="宋体" w:hAnsi="宋体" w:eastAsia="宋体" w:cs="宋体"/>
              <w:bCs/>
              <w:w w:val="90"/>
              <w:sz w:val="32"/>
              <w:szCs w:val="32"/>
              <w:highlight w:val="none"/>
            </w:rPr>
            <w:t>第三章 磋商内容及技术要求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_Toc5460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18</w:t>
          </w:r>
          <w:r>
            <w:rPr>
              <w:rFonts w:hint="eastAsia" w:ascii="宋体" w:hAnsi="宋体" w:eastAsia="宋体" w:cs="宋体"/>
              <w:sz w:val="32"/>
              <w:szCs w:val="32"/>
              <w:highlight w:val="none"/>
            </w:rPr>
            <w:fldChar w:fldCharType="end"/>
          </w:r>
          <w:r>
            <w:rPr>
              <w:rFonts w:hint="eastAsia" w:ascii="宋体" w:hAnsi="宋体" w:eastAsia="宋体" w:cs="宋体"/>
              <w:bCs/>
              <w:w w:val="90"/>
              <w:sz w:val="32"/>
              <w:szCs w:val="32"/>
              <w:highlight w:val="none"/>
            </w:rPr>
            <w:fldChar w:fldCharType="end"/>
          </w:r>
        </w:p>
        <w:p>
          <w:pPr>
            <w:pStyle w:val="192"/>
            <w:tabs>
              <w:tab w:val="right" w:leader="dot" w:pos="9746"/>
            </w:tabs>
            <w:spacing w:line="720" w:lineRule="auto"/>
            <w:rPr>
              <w:rFonts w:hint="eastAsia" w:ascii="宋体" w:hAnsi="宋体" w:eastAsia="宋体" w:cs="宋体"/>
              <w:sz w:val="32"/>
              <w:szCs w:val="32"/>
              <w:highlight w:val="none"/>
            </w:rPr>
          </w:pPr>
          <w:r>
            <w:rPr>
              <w:rFonts w:hint="eastAsia" w:ascii="宋体" w:hAnsi="宋体" w:eastAsia="宋体" w:cs="宋体"/>
              <w:bCs/>
              <w:w w:val="90"/>
              <w:sz w:val="32"/>
              <w:szCs w:val="32"/>
              <w:highlight w:val="none"/>
            </w:rPr>
            <w:fldChar w:fldCharType="begin"/>
          </w:r>
          <w:r>
            <w:rPr>
              <w:rFonts w:hint="eastAsia" w:ascii="宋体" w:hAnsi="宋体" w:eastAsia="宋体" w:cs="宋体"/>
              <w:bCs/>
              <w:w w:val="90"/>
              <w:sz w:val="32"/>
              <w:szCs w:val="32"/>
              <w:highlight w:val="none"/>
            </w:rPr>
            <w:instrText xml:space="preserve"> HYPERLINK \l _Toc20557 </w:instrText>
          </w:r>
          <w:r>
            <w:rPr>
              <w:rFonts w:hint="eastAsia" w:ascii="宋体" w:hAnsi="宋体" w:eastAsia="宋体" w:cs="宋体"/>
              <w:bCs/>
              <w:w w:val="90"/>
              <w:sz w:val="32"/>
              <w:szCs w:val="32"/>
              <w:highlight w:val="none"/>
            </w:rPr>
            <w:fldChar w:fldCharType="separate"/>
          </w:r>
          <w:r>
            <w:rPr>
              <w:rFonts w:hint="eastAsia" w:ascii="宋体" w:hAnsi="宋体" w:eastAsia="宋体" w:cs="宋体"/>
              <w:bCs/>
              <w:w w:val="90"/>
              <w:sz w:val="32"/>
              <w:szCs w:val="32"/>
              <w:highlight w:val="none"/>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_Toc20557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27</w:t>
          </w:r>
          <w:r>
            <w:rPr>
              <w:rFonts w:hint="eastAsia" w:ascii="宋体" w:hAnsi="宋体" w:eastAsia="宋体" w:cs="宋体"/>
              <w:sz w:val="32"/>
              <w:szCs w:val="32"/>
              <w:highlight w:val="none"/>
            </w:rPr>
            <w:fldChar w:fldCharType="end"/>
          </w:r>
          <w:r>
            <w:rPr>
              <w:rFonts w:hint="eastAsia" w:ascii="宋体" w:hAnsi="宋体" w:eastAsia="宋体" w:cs="宋体"/>
              <w:bCs/>
              <w:w w:val="90"/>
              <w:sz w:val="32"/>
              <w:szCs w:val="32"/>
              <w:highlight w:val="none"/>
            </w:rPr>
            <w:fldChar w:fldCharType="end"/>
          </w:r>
        </w:p>
        <w:p>
          <w:pPr>
            <w:pStyle w:val="192"/>
            <w:tabs>
              <w:tab w:val="right" w:leader="dot" w:pos="9746"/>
            </w:tabs>
            <w:spacing w:line="720" w:lineRule="auto"/>
            <w:rPr>
              <w:rFonts w:hint="eastAsia" w:ascii="宋体" w:hAnsi="宋体" w:eastAsia="宋体" w:cs="宋体"/>
              <w:sz w:val="32"/>
              <w:szCs w:val="32"/>
              <w:highlight w:val="none"/>
            </w:rPr>
          </w:pPr>
          <w:r>
            <w:rPr>
              <w:rFonts w:hint="eastAsia" w:ascii="宋体" w:hAnsi="宋体" w:eastAsia="宋体" w:cs="宋体"/>
              <w:bCs/>
              <w:w w:val="90"/>
              <w:sz w:val="32"/>
              <w:szCs w:val="32"/>
              <w:highlight w:val="none"/>
            </w:rPr>
            <w:fldChar w:fldCharType="begin"/>
          </w:r>
          <w:r>
            <w:rPr>
              <w:rFonts w:hint="eastAsia" w:ascii="宋体" w:hAnsi="宋体" w:eastAsia="宋体" w:cs="宋体"/>
              <w:bCs/>
              <w:w w:val="90"/>
              <w:sz w:val="32"/>
              <w:szCs w:val="32"/>
              <w:highlight w:val="none"/>
            </w:rPr>
            <w:instrText xml:space="preserve"> HYPERLINK \l _Toc8070 </w:instrText>
          </w:r>
          <w:r>
            <w:rPr>
              <w:rFonts w:hint="eastAsia" w:ascii="宋体" w:hAnsi="宋体" w:eastAsia="宋体" w:cs="宋体"/>
              <w:bCs/>
              <w:w w:val="90"/>
              <w:sz w:val="32"/>
              <w:szCs w:val="32"/>
              <w:highlight w:val="none"/>
            </w:rPr>
            <w:fldChar w:fldCharType="separate"/>
          </w:r>
          <w:r>
            <w:rPr>
              <w:rFonts w:hint="eastAsia" w:ascii="宋体" w:hAnsi="宋体" w:eastAsia="宋体" w:cs="宋体"/>
              <w:bCs/>
              <w:w w:val="90"/>
              <w:sz w:val="32"/>
              <w:szCs w:val="32"/>
              <w:highlight w:val="none"/>
            </w:rPr>
            <w:t>第五章 响应文件构成及格式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_Toc8070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31</w:t>
          </w:r>
          <w:r>
            <w:rPr>
              <w:rFonts w:hint="eastAsia" w:ascii="宋体" w:hAnsi="宋体" w:eastAsia="宋体" w:cs="宋体"/>
              <w:sz w:val="32"/>
              <w:szCs w:val="32"/>
              <w:highlight w:val="none"/>
            </w:rPr>
            <w:fldChar w:fldCharType="end"/>
          </w:r>
          <w:r>
            <w:rPr>
              <w:rFonts w:hint="eastAsia" w:ascii="宋体" w:hAnsi="宋体" w:eastAsia="宋体" w:cs="宋体"/>
              <w:bCs/>
              <w:w w:val="90"/>
              <w:sz w:val="32"/>
              <w:szCs w:val="32"/>
              <w:highlight w:val="none"/>
            </w:rPr>
            <w:fldChar w:fldCharType="end"/>
          </w:r>
        </w:p>
        <w:p>
          <w:pPr>
            <w:pStyle w:val="192"/>
            <w:tabs>
              <w:tab w:val="right" w:leader="dot" w:pos="9746"/>
            </w:tabs>
            <w:spacing w:line="720" w:lineRule="auto"/>
            <w:rPr>
              <w:rFonts w:hint="eastAsia" w:ascii="宋体" w:hAnsi="宋体" w:eastAsia="宋体" w:cs="宋体"/>
              <w:sz w:val="32"/>
              <w:szCs w:val="32"/>
              <w:highlight w:val="none"/>
            </w:rPr>
          </w:pPr>
        </w:p>
        <w:p>
          <w:pPr>
            <w:spacing w:line="720" w:lineRule="auto"/>
            <w:jc w:val="both"/>
            <w:rPr>
              <w:rFonts w:hint="eastAsia" w:ascii="宋体" w:hAnsi="宋体" w:eastAsia="宋体" w:cs="宋体"/>
              <w:b/>
              <w:bCs/>
              <w:w w:val="90"/>
              <w:sz w:val="36"/>
              <w:szCs w:val="36"/>
              <w:highlight w:val="none"/>
            </w:rPr>
            <w:sectPr>
              <w:footerReference r:id="rId3"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eastAsia="宋体" w:cs="宋体"/>
              <w:bCs/>
              <w:w w:val="90"/>
              <w:sz w:val="32"/>
              <w:szCs w:val="32"/>
              <w:highlight w:val="none"/>
            </w:rPr>
            <w:fldChar w:fldCharType="end"/>
          </w:r>
        </w:p>
      </w:sdtContent>
    </w:sdt>
    <w:p>
      <w:pPr>
        <w:pStyle w:val="3"/>
        <w:bidi w:val="0"/>
        <w:rPr>
          <w:rFonts w:hint="eastAsia"/>
        </w:rPr>
      </w:pPr>
      <w:bookmarkStart w:id="14" w:name="_Toc14744"/>
      <w:bookmarkStart w:id="15" w:name="_Toc27562"/>
      <w:bookmarkStart w:id="16" w:name="_Toc12907"/>
      <w:bookmarkStart w:id="17" w:name="_Toc24757"/>
      <w:bookmarkStart w:id="18" w:name="_Toc13720"/>
      <w:r>
        <w:rPr>
          <w:rFonts w:hint="eastAsia"/>
        </w:rPr>
        <w:t>第一章 磋商公告</w:t>
      </w:r>
      <w:bookmarkEnd w:id="14"/>
      <w:bookmarkEnd w:id="15"/>
      <w:bookmarkEnd w:id="16"/>
      <w:bookmarkEnd w:id="17"/>
      <w:bookmarkEnd w:id="18"/>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项目概况</w:t>
      </w:r>
    </w:p>
    <w:p>
      <w:pPr>
        <w:spacing w:line="440" w:lineRule="exact"/>
        <w:ind w:firstLine="480" w:firstLineChars="200"/>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eastAsia="zh-CN"/>
        </w:rPr>
        <w:t>镇巴县粮库监管信息化系统建设项目</w:t>
      </w:r>
      <w:r>
        <w:rPr>
          <w:rFonts w:hint="eastAsia" w:ascii="宋体" w:hAnsi="宋体" w:eastAsia="宋体" w:cs="宋体"/>
          <w:b w:val="0"/>
          <w:bCs w:val="0"/>
          <w:color w:val="auto"/>
          <w:sz w:val="24"/>
          <w:highlight w:val="none"/>
        </w:rPr>
        <w:t>招标项目的潜在投标人应在</w:t>
      </w:r>
      <w:r>
        <w:rPr>
          <w:rFonts w:hint="eastAsia" w:ascii="宋体" w:hAnsi="宋体" w:cs="宋体"/>
          <w:color w:val="auto"/>
          <w:sz w:val="24"/>
          <w:highlight w:val="none"/>
          <w:lang w:eastAsia="zh-CN"/>
        </w:rPr>
        <w:t>陕西省汉中市镇巴县泾洋街道办河西路粮食局五楼</w:t>
      </w:r>
      <w:r>
        <w:rPr>
          <w:rFonts w:hint="eastAsia" w:ascii="宋体" w:hAnsi="宋体" w:eastAsia="宋体" w:cs="宋体"/>
          <w:b w:val="0"/>
          <w:bCs w:val="0"/>
          <w:color w:val="auto"/>
          <w:sz w:val="24"/>
          <w:highlight w:val="none"/>
        </w:rPr>
        <w:t>获取招标文件，并于</w:t>
      </w:r>
      <w:r>
        <w:rPr>
          <w:rFonts w:hint="eastAsia" w:ascii="宋体" w:hAnsi="宋体" w:eastAsia="宋体" w:cs="宋体"/>
          <w:b w:val="0"/>
          <w:bCs w:val="0"/>
          <w:color w:val="auto"/>
          <w:sz w:val="24"/>
          <w:highlight w:val="none"/>
          <w:lang w:eastAsia="zh-CN"/>
        </w:rPr>
        <w:t>202</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eastAsia="zh-CN"/>
        </w:rPr>
        <w:t>年</w:t>
      </w:r>
      <w:r>
        <w:rPr>
          <w:rFonts w:hint="eastAsia" w:ascii="宋体" w:hAnsi="宋体" w:cs="宋体"/>
          <w:b w:val="0"/>
          <w:bCs w:val="0"/>
          <w:color w:val="auto"/>
          <w:sz w:val="24"/>
          <w:highlight w:val="none"/>
          <w:lang w:val="en-US" w:eastAsia="zh-CN"/>
        </w:rPr>
        <w:t>12</w:t>
      </w:r>
      <w:r>
        <w:rPr>
          <w:rFonts w:hint="eastAsia" w:ascii="宋体" w:hAnsi="宋体" w:eastAsia="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26</w:t>
      </w:r>
      <w:r>
        <w:rPr>
          <w:rFonts w:hint="eastAsia" w:ascii="宋体" w:hAnsi="宋体" w:eastAsia="宋体" w:cs="宋体"/>
          <w:b w:val="0"/>
          <w:bCs w:val="0"/>
          <w:color w:val="auto"/>
          <w:sz w:val="24"/>
          <w:highlight w:val="none"/>
          <w:lang w:eastAsia="zh-CN"/>
        </w:rPr>
        <w:t>日</w:t>
      </w:r>
      <w:r>
        <w:rPr>
          <w:rFonts w:hint="eastAsia" w:ascii="宋体" w:hAnsi="宋体" w:eastAsia="宋体" w:cs="宋体"/>
          <w:b w:val="0"/>
          <w:bCs w:val="0"/>
          <w:color w:val="auto"/>
          <w:sz w:val="24"/>
          <w:highlight w:val="none"/>
        </w:rPr>
        <w:t xml:space="preserve"> </w:t>
      </w:r>
      <w:r>
        <w:rPr>
          <w:rFonts w:hint="eastAsia" w:ascii="宋体" w:hAnsi="宋体" w:cs="宋体"/>
          <w:b w:val="0"/>
          <w:bCs w:val="0"/>
          <w:color w:val="auto"/>
          <w:sz w:val="24"/>
          <w:highlight w:val="none"/>
          <w:lang w:eastAsia="zh-CN"/>
        </w:rPr>
        <w:t>14时30分（北京时间）</w:t>
      </w:r>
      <w:r>
        <w:rPr>
          <w:rFonts w:hint="eastAsia" w:ascii="宋体" w:hAnsi="宋体" w:eastAsia="宋体" w:cs="宋体"/>
          <w:b w:val="0"/>
          <w:bCs w:val="0"/>
          <w:color w:val="auto"/>
          <w:sz w:val="24"/>
          <w:highlight w:val="none"/>
        </w:rPr>
        <w:t>前递交投标文件。</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JHZB-2023-051</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镇巴县粮库监管信息化系统建设项目</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采购方式：</w:t>
      </w:r>
      <w:r>
        <w:rPr>
          <w:rFonts w:hint="eastAsia" w:ascii="宋体" w:hAnsi="宋体" w:eastAsia="宋体" w:cs="宋体"/>
          <w:color w:val="auto"/>
          <w:sz w:val="24"/>
          <w:highlight w:val="none"/>
          <w:lang w:eastAsia="zh-CN"/>
        </w:rPr>
        <w:t>竞争性磋商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700,000.00</w:t>
      </w:r>
      <w:r>
        <w:rPr>
          <w:rFonts w:hint="eastAsia" w:ascii="宋体" w:hAnsi="宋体" w:eastAsia="宋体" w:cs="宋体"/>
          <w:color w:val="auto"/>
          <w:sz w:val="24"/>
          <w:highlight w:val="none"/>
        </w:rPr>
        <w:t>元</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合同包1(</w:t>
      </w:r>
      <w:r>
        <w:rPr>
          <w:rFonts w:hint="eastAsia" w:ascii="宋体" w:hAnsi="宋体" w:cs="宋体"/>
          <w:color w:val="auto"/>
          <w:sz w:val="24"/>
          <w:highlight w:val="none"/>
          <w:lang w:eastAsia="zh-CN"/>
        </w:rPr>
        <w:t>镇巴县粮库监管信息化系统建设项目</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合同包预算金额：</w:t>
      </w:r>
      <w:r>
        <w:rPr>
          <w:rFonts w:hint="eastAsia" w:ascii="宋体" w:hAnsi="宋体" w:cs="宋体"/>
          <w:color w:val="auto"/>
          <w:sz w:val="24"/>
          <w:highlight w:val="none"/>
          <w:lang w:eastAsia="zh-CN"/>
        </w:rPr>
        <w:t>700,000.00</w:t>
      </w:r>
      <w:r>
        <w:rPr>
          <w:rFonts w:hint="eastAsia" w:ascii="宋体" w:hAnsi="宋体" w:eastAsia="宋体" w:cs="宋体"/>
          <w:color w:val="auto"/>
          <w:sz w:val="24"/>
          <w:highlight w:val="none"/>
        </w:rPr>
        <w:t>元</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合同包最高限价：</w:t>
      </w:r>
      <w:r>
        <w:rPr>
          <w:rFonts w:hint="eastAsia" w:ascii="宋体" w:hAnsi="宋体" w:cs="宋体"/>
          <w:color w:val="auto"/>
          <w:sz w:val="24"/>
          <w:highlight w:val="none"/>
          <w:lang w:eastAsia="zh-CN"/>
        </w:rPr>
        <w:t>571,700.00</w:t>
      </w:r>
      <w:r>
        <w:rPr>
          <w:rFonts w:hint="eastAsia" w:ascii="宋体" w:hAnsi="宋体" w:eastAsia="宋体" w:cs="宋体"/>
          <w:color w:val="auto"/>
          <w:sz w:val="24"/>
          <w:highlight w:val="none"/>
        </w:rPr>
        <w:t>元</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62"/>
        <w:gridCol w:w="1391"/>
        <w:gridCol w:w="1005"/>
        <w:gridCol w:w="1429"/>
        <w:gridCol w:w="174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品目号</w:t>
            </w:r>
          </w:p>
        </w:tc>
        <w:tc>
          <w:tcPr>
            <w:tcW w:w="1362"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品目名称</w:t>
            </w:r>
          </w:p>
        </w:tc>
        <w:tc>
          <w:tcPr>
            <w:tcW w:w="1391"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采购标的</w:t>
            </w:r>
          </w:p>
        </w:tc>
        <w:tc>
          <w:tcPr>
            <w:tcW w:w="1005" w:type="dxa"/>
            <w:noWrap w:val="0"/>
            <w:vAlign w:val="center"/>
          </w:tcPr>
          <w:p>
            <w:pPr>
              <w:widowControl/>
              <w:wordWrap w:val="0"/>
              <w:spacing w:line="360" w:lineRule="atLeast"/>
              <w:jc w:val="center"/>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数量</w:t>
            </w:r>
          </w:p>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（单位）</w:t>
            </w:r>
          </w:p>
        </w:tc>
        <w:tc>
          <w:tcPr>
            <w:tcW w:w="1429"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技术规格、参数及要求</w:t>
            </w:r>
          </w:p>
        </w:tc>
        <w:tc>
          <w:tcPr>
            <w:tcW w:w="1740"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品目预算(元)</w:t>
            </w:r>
          </w:p>
        </w:tc>
        <w:tc>
          <w:tcPr>
            <w:tcW w:w="1905" w:type="dxa"/>
            <w:noWrap w:val="0"/>
            <w:vAlign w:val="center"/>
          </w:tcPr>
          <w:p>
            <w:pPr>
              <w:widowControl/>
              <w:wordWrap w:val="0"/>
              <w:spacing w:line="360" w:lineRule="atLeast"/>
              <w:jc w:val="center"/>
              <w:rPr>
                <w:rFonts w:hint="eastAsia" w:ascii="宋体" w:hAnsi="宋体" w:eastAsia="宋体" w:cs="宋体"/>
                <w:color w:val="auto"/>
                <w:sz w:val="24"/>
                <w:highlight w:val="none"/>
                <w:vertAlign w:val="baseline"/>
              </w:rPr>
            </w:pPr>
            <w:r>
              <w:rPr>
                <w:rFonts w:hint="eastAsia" w:ascii="宋体" w:hAnsi="宋体" w:eastAsia="宋体" w:cs="宋体"/>
                <w:b/>
                <w:color w:val="auto"/>
                <w:kern w:val="0"/>
                <w:szCs w:val="21"/>
                <w:highlight w:val="none"/>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83"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362"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color w:val="auto"/>
                <w:sz w:val="24"/>
                <w:highlight w:val="none"/>
              </w:rPr>
              <w:t>平台运营服务</w:t>
            </w:r>
          </w:p>
        </w:tc>
        <w:tc>
          <w:tcPr>
            <w:tcW w:w="1391"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vertAlign w:val="baseline"/>
                <w:lang w:val="en-US" w:eastAsia="zh-CN" w:bidi="ar"/>
              </w:rPr>
              <w:t>服务</w:t>
            </w:r>
          </w:p>
        </w:tc>
        <w:tc>
          <w:tcPr>
            <w:tcW w:w="1005"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shd w:val="clear" w:color="auto" w:fill="FFFFFF"/>
                <w:lang w:val="en-US" w:eastAsia="zh-CN"/>
              </w:rPr>
              <w:t>项</w:t>
            </w:r>
            <w:r>
              <w:rPr>
                <w:rFonts w:hint="eastAsia" w:ascii="宋体" w:hAnsi="宋体" w:eastAsia="宋体" w:cs="宋体"/>
                <w:i w:val="0"/>
                <w:iCs w:val="0"/>
                <w:caps w:val="0"/>
                <w:color w:val="auto"/>
                <w:spacing w:val="0"/>
                <w:sz w:val="21"/>
                <w:szCs w:val="21"/>
                <w:highlight w:val="none"/>
                <w:shd w:val="clear" w:color="auto" w:fill="FFFFFF"/>
              </w:rPr>
              <w:t>)</w:t>
            </w:r>
          </w:p>
        </w:tc>
        <w:tc>
          <w:tcPr>
            <w:tcW w:w="14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详见采购</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文件</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righ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 xml:space="preserve">  </w:t>
            </w:r>
            <w:r>
              <w:rPr>
                <w:rFonts w:hint="eastAsia" w:ascii="宋体" w:hAnsi="宋体" w:cs="宋体"/>
                <w:i w:val="0"/>
                <w:iCs w:val="0"/>
                <w:caps w:val="0"/>
                <w:color w:val="auto"/>
                <w:spacing w:val="0"/>
                <w:kern w:val="0"/>
                <w:sz w:val="21"/>
                <w:szCs w:val="21"/>
                <w:highlight w:val="none"/>
                <w:vertAlign w:val="baseline"/>
                <w:lang w:val="en-US" w:eastAsia="zh-CN" w:bidi="ar"/>
              </w:rPr>
              <w:t>700,000.00</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right"/>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vertAlign w:val="baseline"/>
                <w:lang w:val="en-US" w:eastAsia="zh-CN" w:bidi="ar"/>
              </w:rPr>
              <w:t xml:space="preserve"> </w:t>
            </w:r>
            <w:r>
              <w:rPr>
                <w:rFonts w:hint="eastAsia" w:ascii="宋体" w:hAnsi="宋体" w:cs="宋体"/>
                <w:i w:val="0"/>
                <w:iCs w:val="0"/>
                <w:caps w:val="0"/>
                <w:color w:val="auto"/>
                <w:spacing w:val="0"/>
                <w:kern w:val="0"/>
                <w:sz w:val="21"/>
                <w:szCs w:val="21"/>
                <w:highlight w:val="none"/>
                <w:vertAlign w:val="baseline"/>
                <w:lang w:val="en-US" w:eastAsia="zh-CN" w:bidi="ar"/>
              </w:rPr>
              <w:t>571,700.00</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本合同包不接受联合体投标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二、申请人的资格要求：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合同包1(</w:t>
      </w:r>
      <w:r>
        <w:rPr>
          <w:rFonts w:hint="eastAsia" w:ascii="宋体" w:hAnsi="宋体" w:cs="宋体"/>
          <w:color w:val="auto"/>
          <w:sz w:val="24"/>
          <w:highlight w:val="none"/>
          <w:lang w:eastAsia="zh-CN"/>
        </w:rPr>
        <w:t>镇巴县粮库监管信息化系统建设项目</w:t>
      </w:r>
      <w:r>
        <w:rPr>
          <w:rFonts w:hint="eastAsia" w:ascii="宋体" w:hAnsi="宋体" w:eastAsia="宋体" w:cs="宋体"/>
          <w:color w:val="auto"/>
          <w:sz w:val="24"/>
          <w:highlight w:val="none"/>
        </w:rPr>
        <w:t>)落实政府采购政策需满足的资格要求如下:</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非</w:t>
      </w:r>
      <w:r>
        <w:rPr>
          <w:rFonts w:hint="eastAsia" w:ascii="宋体" w:hAnsi="宋体" w:eastAsia="宋体" w:cs="宋体"/>
          <w:color w:val="auto"/>
          <w:sz w:val="24"/>
          <w:highlight w:val="none"/>
        </w:rPr>
        <w:t>专门面向中小企业采购，依据《中华人民共和国政府采购法》和《中华人民共和国政府采购法实施条例》等有关规定，落实政府采购“优先购买节能环保产品、扶持小微企业、监狱企业、福利企业”等相关政策。</w:t>
      </w:r>
    </w:p>
    <w:p>
      <w:pPr>
        <w:spacing w:line="440" w:lineRule="exact"/>
        <w:ind w:firstLine="480" w:firstLineChars="20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（1）《政府采购促进中小企业发展管理办法》（财库〔2020〕46号）；（2）《财政部 司法部关于政府采购支持监狱企业发展有关问题的通知》（财库〔2014〕68号）；（3）《财政部 民政部 中国残疾人联合会关于促进残疾人就业政府采购政策的通知》（财库〔2017〕141号）；（4）《财政部 国家发展改革委关于印发(节能产品政府采购实施意见)的通知》(财库〔2004〕185号)；（5）《国务院办公厅关于建立政府强制采购节能产品制度的通知》(国办发〔2007〕51号)；（6）《财政部 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（13）其他需要落实的采购政策。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合同包1(</w:t>
      </w:r>
      <w:r>
        <w:rPr>
          <w:rFonts w:hint="eastAsia" w:ascii="宋体" w:hAnsi="宋体" w:cs="宋体"/>
          <w:color w:val="auto"/>
          <w:sz w:val="24"/>
          <w:highlight w:val="none"/>
          <w:lang w:eastAsia="zh-CN"/>
        </w:rPr>
        <w:t>镇巴县粮库监管信息化系统建设项目</w:t>
      </w:r>
      <w:r>
        <w:rPr>
          <w:rFonts w:hint="eastAsia" w:ascii="宋体" w:hAnsi="宋体" w:eastAsia="宋体" w:cs="宋体"/>
          <w:color w:val="auto"/>
          <w:sz w:val="24"/>
          <w:highlight w:val="none"/>
        </w:rPr>
        <w:t>)特定资格要求如下:</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具有独立承担民事责任能力的法人、其他组织或自然人，提供营业执照/事业单位法人证书/非企业专业服务机构执业许可证/自然人身份证。（2）法定代表人参加投标时，提供法定代表人证明书；授权代表参加投标时，提供法定代表人授权书；非法人单位参照执行。（3）财务状况报告：提供经审计的</w:t>
      </w:r>
      <w:r>
        <w:rPr>
          <w:rFonts w:hint="eastAsia" w:ascii="宋体" w:hAnsi="宋体" w:eastAsia="宋体" w:cs="宋体"/>
          <w:color w:val="auto"/>
          <w:sz w:val="24"/>
          <w:highlight w:val="none"/>
          <w:lang w:eastAsia="zh-CN"/>
        </w:rPr>
        <w:t>2021年度的财务报告或2022年度的财务报告</w:t>
      </w:r>
      <w:r>
        <w:rPr>
          <w:rFonts w:hint="eastAsia" w:ascii="宋体" w:hAnsi="宋体" w:eastAsia="宋体" w:cs="宋体"/>
          <w:color w:val="auto"/>
          <w:sz w:val="24"/>
          <w:highlight w:val="none"/>
        </w:rPr>
        <w:t>或提交投标文件截止时间前六个月内银行资信证明；或政府采购信用担保机构出具的投标担保函。（4）税收缴纳证明：提供投标文件递交截止时间前六个月内至少一个月已缴纳的纳税凭据或完税证明；依法免税的供应商应提供相关文件证明。（5）社会保障资金缴纳证明：提供投标文件截止时间前六个月内已缴存的至少一个月的社会保障资金缴存单据或社保机构开具的社会保险参保缴费情况证明，依法不需要缴纳社会保障资金的单位应提供相关证明材料。（6）提供具有履行本合同所必需的设备和专业技术能力的承诺。（7）提供参加政府采购活动前三年内在经营活动中没有重大违法记录的书面声明。（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至2023年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日，每天上午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:00:00至1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0:00，下午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0:00至1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:00:00（北京时间）</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途径：</w:t>
      </w:r>
      <w:r>
        <w:rPr>
          <w:rFonts w:hint="eastAsia" w:ascii="宋体" w:hAnsi="宋体" w:cs="宋体"/>
          <w:color w:val="auto"/>
          <w:sz w:val="24"/>
          <w:highlight w:val="none"/>
          <w:lang w:eastAsia="zh-CN"/>
        </w:rPr>
        <w:t>陕西省汉中市镇巴县泾洋街道办河西路粮食局五楼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方式：现场获取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售价：500元</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四、提交投标文件截止时间、开标时间和地点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lang w:eastAsia="zh-CN"/>
        </w:rPr>
        <w:t>时30分</w:t>
      </w:r>
      <w:r>
        <w:rPr>
          <w:rFonts w:hint="eastAsia" w:ascii="宋体" w:hAnsi="宋体" w:eastAsia="宋体" w:cs="宋体"/>
          <w:color w:val="auto"/>
          <w:sz w:val="24"/>
          <w:highlight w:val="none"/>
        </w:rPr>
        <w:t> （北京时间）</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提交投标文件地点：</w:t>
      </w:r>
      <w:r>
        <w:rPr>
          <w:rFonts w:hint="eastAsia" w:ascii="宋体" w:hAnsi="宋体" w:cs="宋体"/>
          <w:b w:val="0"/>
          <w:bCs w:val="0"/>
          <w:color w:val="auto"/>
          <w:sz w:val="24"/>
          <w:highlight w:val="none"/>
          <w:lang w:eastAsia="zh-CN"/>
        </w:rPr>
        <w:t>陕西省汉中市镇巴县泾洋街道办河西路粮食局五楼会议室</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cs="宋体"/>
          <w:b w:val="0"/>
          <w:bCs w:val="0"/>
          <w:color w:val="auto"/>
          <w:sz w:val="24"/>
          <w:highlight w:val="none"/>
          <w:lang w:eastAsia="zh-CN"/>
        </w:rPr>
        <w:t>陕西省汉中市镇巴县泾洋街道办河西路粮食局五楼会议室</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个工作日。</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六、其他补充事宜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1.携带有效的单位介绍信、经办人身份证原件、经办人身份证复印件加盖单位公章；售后不退。（发售时间：2023年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月1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日至2023年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lang w:val="en-US" w:eastAsia="zh-CN"/>
        </w:rPr>
        <w:t>日，上午08:00～12:00，下午14:00～18:00（法定节假日除外））</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pStyle w:val="2"/>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eastAsia="zh-CN"/>
        </w:rPr>
        <w:t xml:space="preserve">3. 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   </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镇巴县发展和改革局</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县政府大院内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13892614666</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陕西巨和项目管理有限责任公司</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陕西省汉中市镇巴县泾洋街道办河西路粮食局五楼</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0916-</w:t>
      </w:r>
      <w:r>
        <w:rPr>
          <w:rFonts w:hint="eastAsia" w:ascii="宋体" w:hAnsi="宋体" w:cs="宋体"/>
          <w:color w:val="auto"/>
          <w:sz w:val="24"/>
          <w:highlight w:val="none"/>
          <w:lang w:val="en-US" w:eastAsia="zh-CN"/>
        </w:rPr>
        <w:t>6733699</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pPr>
        <w:pStyle w:val="39"/>
        <w:widowControl/>
        <w:spacing w:before="0" w:beforeAutospacing="0" w:after="0" w:afterAutospacing="0" w:line="44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项目联系人：马女士</w:t>
      </w:r>
    </w:p>
    <w:p>
      <w:pPr>
        <w:pStyle w:val="39"/>
        <w:widowControl/>
        <w:spacing w:before="0" w:beforeAutospacing="0" w:after="0" w:afterAutospacing="0" w:line="440" w:lineRule="exact"/>
        <w:ind w:firstLine="480" w:firstLineChars="200"/>
        <w:jc w:val="both"/>
        <w:rPr>
          <w:rFonts w:hint="eastAsia" w:ascii="宋体" w:hAnsi="宋体" w:eastAsia="宋体" w:cs="宋体"/>
          <w:color w:val="000000"/>
          <w:w w:val="90"/>
          <w:sz w:val="28"/>
          <w:szCs w:val="28"/>
          <w:highlight w:val="none"/>
        </w:rPr>
      </w:pPr>
      <w:r>
        <w:rPr>
          <w:rFonts w:hint="eastAsia" w:ascii="宋体" w:hAnsi="宋体" w:eastAsia="宋体" w:cs="宋体"/>
          <w:color w:val="auto"/>
          <w:sz w:val="24"/>
          <w:highlight w:val="none"/>
        </w:rPr>
        <w:t>电话：17392028539</w:t>
      </w:r>
    </w:p>
    <w:p>
      <w:pPr>
        <w:rPr>
          <w:rFonts w:hint="eastAsia" w:ascii="宋体" w:hAnsi="宋体" w:eastAsia="宋体" w:cs="宋体"/>
          <w:b/>
          <w:bCs/>
          <w:w w:val="90"/>
          <w:sz w:val="32"/>
          <w:szCs w:val="40"/>
          <w:highlight w:val="none"/>
        </w:rPr>
      </w:pPr>
      <w:r>
        <w:rPr>
          <w:rFonts w:hint="eastAsia" w:ascii="宋体" w:hAnsi="宋体" w:eastAsia="宋体" w:cs="宋体"/>
          <w:b/>
          <w:bCs/>
          <w:w w:val="90"/>
          <w:sz w:val="32"/>
          <w:szCs w:val="40"/>
          <w:highlight w:val="none"/>
        </w:rPr>
        <w:br w:type="page"/>
      </w:r>
    </w:p>
    <w:p>
      <w:pPr>
        <w:pStyle w:val="3"/>
        <w:numPr>
          <w:ilvl w:val="0"/>
          <w:numId w:val="1"/>
        </w:numPr>
        <w:bidi w:val="0"/>
        <w:rPr>
          <w:rFonts w:hint="eastAsia"/>
        </w:rPr>
      </w:pPr>
      <w:bookmarkStart w:id="19" w:name="_Toc16113"/>
      <w:bookmarkStart w:id="20" w:name="_Toc4568"/>
      <w:bookmarkStart w:id="21" w:name="_Toc26587"/>
      <w:bookmarkStart w:id="22" w:name="_Toc6328"/>
      <w:bookmarkStart w:id="23" w:name="_Toc14981"/>
      <w:r>
        <w:rPr>
          <w:rFonts w:hint="eastAsia"/>
        </w:rPr>
        <w:t>竞争性磋商文件须知前附表</w:t>
      </w:r>
      <w:bookmarkEnd w:id="19"/>
      <w:bookmarkEnd w:id="20"/>
      <w:bookmarkEnd w:id="21"/>
      <w:bookmarkEnd w:id="22"/>
      <w:bookmarkEnd w:id="23"/>
    </w:p>
    <w:p>
      <w:pPr>
        <w:pStyle w:val="4"/>
        <w:bidi w:val="0"/>
        <w:jc w:val="left"/>
        <w:rPr>
          <w:rFonts w:hint="eastAsia" w:eastAsia="宋体"/>
          <w:lang w:eastAsia="zh-CN"/>
        </w:rPr>
      </w:pPr>
      <w:r>
        <w:rPr>
          <w:rFonts w:hint="eastAsia"/>
          <w:lang w:eastAsia="zh-CN"/>
        </w:rPr>
        <w:t>一、投标人须知前附表</w:t>
      </w:r>
    </w:p>
    <w:tbl>
      <w:tblPr>
        <w:tblStyle w:val="43"/>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26"/>
        <w:gridCol w:w="858"/>
        <w:gridCol w:w="1559"/>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序号</w:t>
            </w:r>
          </w:p>
        </w:tc>
        <w:tc>
          <w:tcPr>
            <w:tcW w:w="626"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章节</w:t>
            </w: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条款</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内容</w:t>
            </w:r>
          </w:p>
        </w:tc>
        <w:tc>
          <w:tcPr>
            <w:tcW w:w="6876"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要求与说明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w:t>
            </w:r>
          </w:p>
        </w:tc>
        <w:tc>
          <w:tcPr>
            <w:tcW w:w="626" w:type="dxa"/>
            <w:vMerge w:val="restart"/>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一</w:t>
            </w:r>
          </w:p>
        </w:tc>
        <w:tc>
          <w:tcPr>
            <w:tcW w:w="858" w:type="dxa"/>
            <w:vMerge w:val="restart"/>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采购人</w:t>
            </w:r>
          </w:p>
        </w:tc>
        <w:tc>
          <w:tcPr>
            <w:tcW w:w="6876" w:type="dxa"/>
            <w:shd w:val="clear" w:color="auto" w:fill="auto"/>
            <w:vAlign w:val="center"/>
          </w:tcPr>
          <w:p>
            <w:pPr>
              <w:rPr>
                <w:rFonts w:hint="eastAsia" w:ascii="宋体" w:hAnsi="宋体" w:eastAsia="宋体" w:cs="宋体"/>
                <w:color w:val="000000"/>
                <w:w w:val="90"/>
                <w:kern w:val="0"/>
                <w:sz w:val="24"/>
                <w:highlight w:val="none"/>
                <w:lang w:eastAsia="zh-CN" w:bidi="ar"/>
              </w:rPr>
            </w:pPr>
            <w:r>
              <w:rPr>
                <w:rFonts w:hint="eastAsia" w:ascii="宋体" w:hAnsi="宋体" w:eastAsia="宋体" w:cs="宋体"/>
                <w:color w:val="000000"/>
                <w:w w:val="90"/>
                <w:sz w:val="24"/>
                <w:highlight w:val="none"/>
                <w:lang w:eastAsia="zh-CN"/>
              </w:rPr>
              <w:t>镇巴县发展和改革局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2</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采购代理机构</w:t>
            </w:r>
          </w:p>
        </w:tc>
        <w:tc>
          <w:tcPr>
            <w:tcW w:w="6876" w:type="dxa"/>
            <w:shd w:val="clear" w:color="auto" w:fill="auto"/>
            <w:vAlign w:val="center"/>
          </w:tcPr>
          <w:p>
            <w:pPr>
              <w:pStyle w:val="56"/>
              <w:spacing w:line="440" w:lineRule="exact"/>
              <w:ind w:firstLine="0" w:firstLineChars="0"/>
              <w:rPr>
                <w:rFonts w:hint="eastAsia" w:ascii="宋体" w:hAnsi="宋体" w:eastAsia="宋体" w:cs="宋体"/>
                <w:color w:val="000000"/>
                <w:w w:val="90"/>
                <w:sz w:val="24"/>
                <w:highlight w:val="none"/>
                <w:lang w:eastAsia="zh-CN"/>
              </w:rPr>
            </w:pPr>
            <w:r>
              <w:rPr>
                <w:rFonts w:hint="eastAsia" w:ascii="宋体" w:hAnsi="宋体" w:cs="宋体"/>
                <w:w w:val="90"/>
                <w:sz w:val="24"/>
                <w:highlight w:val="none"/>
                <w:lang w:eastAsia="zh-CN"/>
              </w:rPr>
              <w:t>陕西巨和项目管理有限责任公司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监督机构</w:t>
            </w:r>
          </w:p>
        </w:tc>
        <w:tc>
          <w:tcPr>
            <w:tcW w:w="6876" w:type="dxa"/>
            <w:shd w:val="clear" w:color="auto" w:fill="auto"/>
            <w:vAlign w:val="center"/>
          </w:tcPr>
          <w:p>
            <w:pP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lang w:eastAsia="zh-CN"/>
              </w:rPr>
              <w:t>镇巴县</w:t>
            </w:r>
            <w:r>
              <w:rPr>
                <w:rFonts w:hint="eastAsia" w:ascii="宋体" w:hAnsi="宋体" w:eastAsia="宋体" w:cs="宋体"/>
                <w:color w:val="000000"/>
                <w:w w:val="90"/>
                <w:sz w:val="24"/>
                <w:highlight w:val="none"/>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4</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项目名称</w:t>
            </w:r>
          </w:p>
        </w:tc>
        <w:tc>
          <w:tcPr>
            <w:tcW w:w="6876" w:type="dxa"/>
            <w:shd w:val="clear" w:color="auto" w:fill="auto"/>
            <w:vAlign w:val="center"/>
          </w:tcPr>
          <w:p>
            <w:pPr>
              <w:rPr>
                <w:rFonts w:hint="eastAsia" w:ascii="宋体" w:hAnsi="宋体" w:eastAsia="宋体" w:cs="宋体"/>
                <w:color w:val="000000"/>
                <w:w w:val="90"/>
                <w:kern w:val="0"/>
                <w:sz w:val="24"/>
                <w:highlight w:val="none"/>
                <w:lang w:eastAsia="zh-CN" w:bidi="ar"/>
              </w:rPr>
            </w:pPr>
            <w:r>
              <w:rPr>
                <w:rFonts w:hint="eastAsia" w:ascii="宋体" w:hAnsi="宋体" w:cs="宋体"/>
                <w:color w:val="000000"/>
                <w:w w:val="90"/>
                <w:sz w:val="24"/>
                <w:highlight w:val="none"/>
                <w:lang w:eastAsia="zh-CN"/>
              </w:rPr>
              <w:t>镇巴县粮库监管信息化系统建设项目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5</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项目编号</w:t>
            </w:r>
          </w:p>
        </w:tc>
        <w:tc>
          <w:tcPr>
            <w:tcW w:w="6876" w:type="dxa"/>
            <w:shd w:val="clear" w:color="auto" w:fill="auto"/>
            <w:vAlign w:val="center"/>
          </w:tcPr>
          <w:p>
            <w:pPr>
              <w:pStyle w:val="39"/>
              <w:widowControl/>
              <w:spacing w:before="0" w:beforeAutospacing="0" w:after="0" w:afterAutospacing="0" w:line="440" w:lineRule="exact"/>
              <w:rPr>
                <w:rFonts w:hint="default" w:ascii="宋体" w:hAnsi="宋体" w:eastAsia="宋体" w:cs="宋体"/>
                <w:color w:val="000000"/>
                <w:w w:val="90"/>
                <w:highlight w:val="none"/>
                <w:lang w:val="en-US" w:eastAsia="zh-CN"/>
              </w:rPr>
            </w:pPr>
            <w:r>
              <w:rPr>
                <w:rFonts w:hint="eastAsia" w:ascii="宋体" w:hAnsi="宋体" w:cs="宋体"/>
                <w:color w:val="000000"/>
                <w:w w:val="90"/>
                <w:highlight w:val="none"/>
                <w:lang w:val="en-US" w:eastAsia="zh-CN"/>
              </w:rPr>
              <w:t>JHZB-2023-051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6</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采购内容</w:t>
            </w:r>
          </w:p>
        </w:tc>
        <w:tc>
          <w:tcPr>
            <w:tcW w:w="687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主要采购内容见第六章采购内容及具体要求。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7</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2</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供应商资格要求</w:t>
            </w:r>
          </w:p>
        </w:tc>
        <w:tc>
          <w:tcPr>
            <w:tcW w:w="6876" w:type="dxa"/>
            <w:shd w:val="clear" w:color="auto" w:fill="auto"/>
            <w:vAlign w:val="center"/>
          </w:tcPr>
          <w:p>
            <w:pPr>
              <w:numPr>
                <w:ilvl w:val="0"/>
                <w:numId w:val="0"/>
              </w:numPr>
              <w:spacing w:line="360" w:lineRule="auto"/>
              <w:ind w:leftChars="0"/>
              <w:rPr>
                <w:rFonts w:hint="eastAsia" w:ascii="宋体" w:hAnsi="宋体" w:eastAsia="宋体" w:cs="宋体"/>
                <w:color w:val="000000"/>
                <w:w w:val="90"/>
                <w:kern w:val="0"/>
                <w:sz w:val="24"/>
                <w:highlight w:val="none"/>
                <w:lang w:val="en-US" w:eastAsia="zh-CN" w:bidi="ar"/>
              </w:rPr>
            </w:pPr>
            <w:r>
              <w:rPr>
                <w:rFonts w:hint="eastAsia" w:ascii="宋体" w:hAnsi="宋体" w:eastAsia="宋体" w:cs="宋体"/>
                <w:color w:val="auto"/>
                <w:sz w:val="22"/>
                <w:szCs w:val="22"/>
                <w:highlight w:val="none"/>
              </w:rPr>
              <w:t>（1）具有独立承担民事责任能力的法人、其他组织或自然人，提供营业执照/事业单位法人证书/非企业专业服务机构执业许可证/自然人身份证。（2）法定代表人参加投标时，提供法定代表人证明书；授权代表参加投标时，提供法定代表人授权书；非法人单位参照执行。（3）财务状况报告：</w:t>
            </w:r>
            <w:r>
              <w:rPr>
                <w:rFonts w:hint="eastAsia" w:ascii="宋体" w:hAnsi="宋体" w:cs="宋体"/>
                <w:color w:val="auto"/>
                <w:sz w:val="22"/>
                <w:szCs w:val="22"/>
                <w:highlight w:val="none"/>
                <w:lang w:eastAsia="zh-CN"/>
              </w:rPr>
              <w:t>提供经审计的2021年度的财务报告或2022年度的财务报告或提交投标文件截止时间前六个月内银行资信证明</w:t>
            </w:r>
            <w:r>
              <w:rPr>
                <w:rFonts w:hint="eastAsia" w:ascii="宋体" w:hAnsi="宋体" w:eastAsia="宋体" w:cs="宋体"/>
                <w:color w:val="auto"/>
                <w:sz w:val="22"/>
                <w:szCs w:val="22"/>
                <w:highlight w:val="none"/>
              </w:rPr>
              <w:t>；或政府采购信用担保机构出具的投标担保函。（4）税收缴纳证明：提供投标文件递交截止时间前六个月内至少一个月已缴纳的纳税凭据或完税证明；依法免税的供应商应提供相关文件证明。（5）社会保障资金缴纳证明：提供投标文件截止时间前六个月内已缴存的至少一个月的社会保障资金缴存单据或社保机构开具的社会保险参保缴费情况证明，依法不需要缴纳社会保障资金的单位应提供相关证明材料。（6）提供具有履行本合同所必需的设备和专业技术能力的承诺。（7）提供参加政府采购活动前三年内在经营活动中没有重大违法记录的书面声明。（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投标保证金收据。</w:t>
            </w:r>
            <w:r>
              <w:rPr>
                <w:rFonts w:hint="eastAsia" w:ascii="宋体" w:hAnsi="宋体" w:eastAsia="宋体" w:cs="宋体"/>
                <w:b/>
                <w:bCs/>
                <w:color w:val="auto"/>
                <w:sz w:val="22"/>
                <w:szCs w:val="22"/>
                <w:highlight w:val="none"/>
                <w:lang w:val="en-US" w:eastAsia="zh-CN"/>
              </w:rPr>
              <w:t>注：以上资格要求需手持携带原件或复印件并加盖公章以备磋商核查。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8</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3.2</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保证金账户、交纳方式及注意事项</w:t>
            </w:r>
          </w:p>
        </w:tc>
        <w:tc>
          <w:tcPr>
            <w:tcW w:w="6876" w:type="dxa"/>
            <w:shd w:val="clear" w:color="auto" w:fill="auto"/>
            <w:vAlign w:val="center"/>
          </w:tcPr>
          <w:p>
            <w:pPr>
              <w:rPr>
                <w:rFonts w:hint="eastAsia" w:ascii="宋体" w:hAnsi="宋体" w:eastAsia="宋体" w:cs="宋体"/>
                <w:color w:val="000000"/>
                <w:w w:val="90"/>
                <w:kern w:val="0"/>
                <w:sz w:val="24"/>
                <w:highlight w:val="none"/>
                <w:lang w:eastAsia="zh-CN" w:bidi="ar"/>
              </w:rPr>
            </w:pPr>
            <w:r>
              <w:rPr>
                <w:rFonts w:hint="eastAsia" w:ascii="宋体" w:hAnsi="宋体" w:eastAsia="宋体" w:cs="宋体"/>
                <w:color w:val="000000"/>
                <w:w w:val="90"/>
                <w:kern w:val="0"/>
                <w:sz w:val="24"/>
                <w:highlight w:val="none"/>
                <w:lang w:bidi="ar"/>
              </w:rPr>
              <w:t>保证金：</w:t>
            </w:r>
            <w:r>
              <w:rPr>
                <w:rFonts w:hint="eastAsia" w:ascii="宋体" w:hAnsi="宋体" w:cs="宋体"/>
                <w:color w:val="auto"/>
                <w:szCs w:val="21"/>
                <w:highlight w:val="none"/>
                <w:lang w:eastAsia="zh-CN"/>
              </w:rPr>
              <w:t>捌仟元</w:t>
            </w:r>
            <w:r>
              <w:rPr>
                <w:rFonts w:hint="eastAsia" w:ascii="宋体" w:hAnsi="宋体" w:eastAsia="宋体" w:cs="宋体"/>
                <w:color w:val="auto"/>
                <w:szCs w:val="21"/>
                <w:highlight w:val="none"/>
                <w:lang w:eastAsia="zh-CN"/>
              </w:rPr>
              <w:t>整（￥</w:t>
            </w:r>
            <w:r>
              <w:rPr>
                <w:rFonts w:hint="eastAsia" w:ascii="宋体" w:hAnsi="宋体" w:cs="宋体"/>
                <w:color w:val="000000"/>
                <w:w w:val="90"/>
                <w:kern w:val="0"/>
                <w:sz w:val="24"/>
                <w:highlight w:val="none"/>
                <w:lang w:val="en-US" w:eastAsia="zh-CN" w:bidi="ar"/>
              </w:rPr>
              <w:t>8000</w:t>
            </w:r>
            <w:r>
              <w:rPr>
                <w:rFonts w:hint="eastAsia" w:ascii="宋体" w:hAnsi="宋体" w:eastAsia="宋体" w:cs="宋体"/>
                <w:color w:val="000000"/>
                <w:w w:val="90"/>
                <w:kern w:val="0"/>
                <w:sz w:val="24"/>
                <w:highlight w:val="none"/>
                <w:lang w:val="en-US" w:eastAsia="zh-CN" w:bidi="ar"/>
              </w:rPr>
              <w:t>.00</w:t>
            </w:r>
            <w:r>
              <w:rPr>
                <w:rFonts w:hint="eastAsia" w:ascii="宋体" w:hAnsi="宋体" w:eastAsia="宋体" w:cs="宋体"/>
                <w:color w:val="000000"/>
                <w:w w:val="90"/>
                <w:kern w:val="0"/>
                <w:sz w:val="24"/>
                <w:highlight w:val="none"/>
                <w:lang w:bidi="ar"/>
              </w:rPr>
              <w:t>元</w:t>
            </w:r>
            <w:r>
              <w:rPr>
                <w:rFonts w:hint="eastAsia" w:ascii="宋体" w:hAnsi="宋体" w:eastAsia="宋体" w:cs="宋体"/>
                <w:color w:val="000000"/>
                <w:w w:val="90"/>
                <w:kern w:val="0"/>
                <w:sz w:val="24"/>
                <w:highlight w:val="none"/>
                <w:lang w:eastAsia="zh-CN" w:bidi="ar"/>
              </w:rPr>
              <w:t>）</w:t>
            </w:r>
          </w:p>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缴纳方式：以转账形式从企业基本账户转出</w:t>
            </w:r>
          </w:p>
          <w:p>
            <w:pPr>
              <w:rPr>
                <w:rFonts w:hint="eastAsia" w:ascii="宋体" w:hAnsi="宋体" w:eastAsia="宋体" w:cs="宋体"/>
                <w:b/>
                <w:bCs/>
                <w:color w:val="000000"/>
                <w:w w:val="90"/>
                <w:kern w:val="0"/>
                <w:sz w:val="24"/>
                <w:highlight w:val="none"/>
                <w:lang w:bidi="ar"/>
              </w:rPr>
            </w:pPr>
            <w:r>
              <w:rPr>
                <w:rFonts w:hint="eastAsia" w:ascii="宋体" w:hAnsi="宋体" w:eastAsia="宋体" w:cs="宋体"/>
                <w:b/>
                <w:bCs/>
                <w:color w:val="000000"/>
                <w:w w:val="90"/>
                <w:kern w:val="0"/>
                <w:sz w:val="24"/>
                <w:highlight w:val="none"/>
                <w:lang w:bidi="ar"/>
              </w:rPr>
              <w:t>开户单位：</w:t>
            </w:r>
            <w:r>
              <w:rPr>
                <w:rFonts w:hint="eastAsia" w:ascii="宋体" w:hAnsi="宋体" w:cs="宋体"/>
                <w:b/>
                <w:bCs/>
                <w:color w:val="000000"/>
                <w:w w:val="90"/>
                <w:kern w:val="0"/>
                <w:sz w:val="24"/>
                <w:highlight w:val="none"/>
                <w:lang w:eastAsia="zh-CN" w:bidi="ar"/>
              </w:rPr>
              <w:t>陕西巨和项目管理有限责任公司</w:t>
            </w:r>
          </w:p>
          <w:p>
            <w:pPr>
              <w:rPr>
                <w:rFonts w:hint="eastAsia" w:ascii="宋体" w:hAnsi="宋体" w:eastAsia="宋体" w:cs="宋体"/>
                <w:b/>
                <w:bCs/>
                <w:color w:val="000000"/>
                <w:w w:val="90"/>
                <w:kern w:val="0"/>
                <w:sz w:val="24"/>
                <w:highlight w:val="none"/>
                <w:lang w:eastAsia="zh-CN" w:bidi="ar"/>
              </w:rPr>
            </w:pPr>
            <w:r>
              <w:rPr>
                <w:rFonts w:hint="eastAsia" w:ascii="宋体" w:hAnsi="宋体" w:eastAsia="宋体" w:cs="宋体"/>
                <w:b/>
                <w:bCs/>
                <w:color w:val="000000"/>
                <w:w w:val="90"/>
                <w:kern w:val="0"/>
                <w:sz w:val="24"/>
                <w:highlight w:val="none"/>
                <w:lang w:bidi="ar"/>
              </w:rPr>
              <w:t>开户行：</w:t>
            </w:r>
            <w:r>
              <w:rPr>
                <w:rFonts w:hint="eastAsia" w:ascii="宋体" w:hAnsi="宋体" w:eastAsia="宋体" w:cs="宋体"/>
                <w:b/>
                <w:bCs/>
                <w:color w:val="000000"/>
                <w:w w:val="90"/>
                <w:kern w:val="0"/>
                <w:sz w:val="24"/>
                <w:highlight w:val="none"/>
                <w:lang w:eastAsia="zh-CN" w:bidi="ar"/>
              </w:rPr>
              <w:t>长安银行股份有限公司镇巴县小微支行</w:t>
            </w:r>
          </w:p>
          <w:p>
            <w:pPr>
              <w:rPr>
                <w:rFonts w:hint="eastAsia" w:ascii="宋体" w:hAnsi="宋体" w:eastAsia="宋体" w:cs="宋体"/>
                <w:b/>
                <w:bCs/>
                <w:color w:val="000000"/>
                <w:w w:val="90"/>
                <w:kern w:val="0"/>
                <w:sz w:val="24"/>
                <w:highlight w:val="none"/>
                <w:lang w:eastAsia="zh-CN" w:bidi="ar"/>
              </w:rPr>
            </w:pPr>
            <w:r>
              <w:rPr>
                <w:rFonts w:hint="eastAsia" w:ascii="宋体" w:hAnsi="宋体" w:eastAsia="宋体" w:cs="宋体"/>
                <w:b/>
                <w:bCs/>
                <w:color w:val="000000"/>
                <w:w w:val="90"/>
                <w:kern w:val="0"/>
                <w:sz w:val="24"/>
                <w:highlight w:val="none"/>
                <w:lang w:bidi="ar"/>
              </w:rPr>
              <w:t>银行账户：</w:t>
            </w:r>
            <w:r>
              <w:rPr>
                <w:rFonts w:hint="eastAsia" w:ascii="宋体" w:hAnsi="宋体" w:eastAsia="宋体" w:cs="宋体"/>
                <w:b/>
                <w:bCs/>
                <w:color w:val="000000"/>
                <w:w w:val="90"/>
                <w:kern w:val="0"/>
                <w:sz w:val="24"/>
                <w:highlight w:val="none"/>
                <w:lang w:eastAsia="zh-CN" w:bidi="ar"/>
              </w:rPr>
              <w:t>806061701421002903</w:t>
            </w:r>
          </w:p>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注意事项：</w:t>
            </w:r>
          </w:p>
          <w:p>
            <w:pPr>
              <w:snapToGrid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保证金应在投标截止时间前，由投标人以银行转账、电汇、符合陕西省财政厅陕财办采资〔2013〕5号文件规定的投标担保函的形式足额缴纳，投标保证金不接受现金形式，投标人不得以个人名义交纳保证金，否则按未交纳保证金处理，转账备注栏须注明：</w:t>
            </w:r>
            <w:r>
              <w:rPr>
                <w:rFonts w:hint="eastAsia" w:ascii="宋体" w:hAnsi="宋体" w:cs="宋体"/>
                <w:color w:val="auto"/>
                <w:szCs w:val="21"/>
                <w:highlight w:val="none"/>
                <w:u w:val="single"/>
                <w:lang w:eastAsia="zh-CN"/>
              </w:rPr>
              <w:t>镇巴县粮库监管信息化系统建设项目</w:t>
            </w:r>
            <w:r>
              <w:rPr>
                <w:rFonts w:hint="eastAsia" w:ascii="宋体" w:hAnsi="宋体" w:eastAsia="宋体" w:cs="宋体"/>
                <w:color w:val="auto"/>
                <w:szCs w:val="21"/>
                <w:highlight w:val="none"/>
                <w:u w:val="single"/>
              </w:rPr>
              <w:t>投标保证金或</w:t>
            </w:r>
            <w:r>
              <w:rPr>
                <w:rFonts w:hint="eastAsia" w:ascii="宋体" w:hAnsi="宋体" w:cs="宋体"/>
                <w:color w:val="auto"/>
                <w:szCs w:val="21"/>
                <w:highlight w:val="none"/>
                <w:u w:val="single"/>
                <w:lang w:val="en-US" w:eastAsia="zh-CN"/>
              </w:rPr>
              <w:t>JHZB-2023-051</w:t>
            </w:r>
            <w:r>
              <w:rPr>
                <w:rFonts w:hint="eastAsia" w:ascii="宋体" w:hAnsi="宋体" w:eastAsia="宋体" w:cs="宋体"/>
                <w:color w:val="auto"/>
                <w:highlight w:val="none"/>
              </w:rPr>
              <w:t>投标保证金字样；</w:t>
            </w:r>
          </w:p>
          <w:p>
            <w:pPr>
              <w:snapToGrid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人应合理安排保证金缴纳时间，因异地转账、跨行转账、非工作日转账等原因导致保证金未能在规定时间内到达指定账户，视为未在规定时间内缴纳，投标人逾期未提交或逾期到账视为放弃投标，以银行实际到账时间为准。</w:t>
            </w:r>
          </w:p>
          <w:p>
            <w:pPr>
              <w:rPr>
                <w:rFonts w:hint="eastAsia" w:ascii="宋体" w:hAnsi="宋体" w:eastAsia="宋体" w:cs="宋体"/>
                <w:color w:val="000000"/>
                <w:w w:val="90"/>
                <w:kern w:val="0"/>
                <w:sz w:val="24"/>
                <w:highlight w:val="none"/>
                <w:lang w:bidi="ar"/>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、以保函形式提交的必须为陕西省财政厅认定的具有开具投标保函资格的单位开具的保函，保函原件须在投标截止时间前送达</w:t>
            </w:r>
            <w:r>
              <w:rPr>
                <w:rFonts w:hint="eastAsia" w:ascii="宋体" w:hAnsi="宋体" w:cs="宋体"/>
                <w:color w:val="auto"/>
                <w:highlight w:val="none"/>
                <w:lang w:eastAsia="zh-CN"/>
              </w:rPr>
              <w:t>陕西巨和项目管理有限责任公司</w:t>
            </w:r>
            <w:r>
              <w:rPr>
                <w:rFonts w:hint="eastAsia" w:ascii="宋体" w:hAnsi="宋体" w:eastAsia="宋体" w:cs="宋体"/>
                <w:color w:val="auto"/>
                <w:highlight w:val="none"/>
              </w:rPr>
              <w:t>换取收据，否则视为未提交保证金。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9</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3.5.7</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磋商文件有效期</w:t>
            </w:r>
          </w:p>
        </w:tc>
        <w:tc>
          <w:tcPr>
            <w:tcW w:w="687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有效期为 90 天（法人授权书、磋商函）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10</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3.5.8</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磋商响应文件份数</w:t>
            </w:r>
          </w:p>
        </w:tc>
        <w:tc>
          <w:tcPr>
            <w:tcW w:w="687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响应文件正本1份、副本2份、报价一览表1份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11</w:t>
            </w:r>
          </w:p>
        </w:tc>
        <w:tc>
          <w:tcPr>
            <w:tcW w:w="626" w:type="dxa"/>
            <w:vMerge w:val="continue"/>
            <w:shd w:val="clear" w:color="auto" w:fill="auto"/>
            <w:vAlign w:val="center"/>
          </w:tcPr>
          <w:p>
            <w:pPr>
              <w:jc w:val="cente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3.5.10</w:t>
            </w:r>
          </w:p>
        </w:tc>
        <w:tc>
          <w:tcPr>
            <w:tcW w:w="155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磋商截止时间及地点</w:t>
            </w:r>
          </w:p>
        </w:tc>
        <w:tc>
          <w:tcPr>
            <w:tcW w:w="687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时间：</w:t>
            </w:r>
            <w:r>
              <w:rPr>
                <w:rFonts w:hint="eastAsia" w:ascii="宋体" w:hAnsi="宋体" w:eastAsia="宋体" w:cs="宋体"/>
                <w:color w:val="000000"/>
                <w:w w:val="90"/>
                <w:kern w:val="0"/>
                <w:sz w:val="24"/>
                <w:highlight w:val="none"/>
                <w:u w:val="single"/>
                <w:lang w:bidi="ar"/>
              </w:rPr>
              <w:t>202</w:t>
            </w:r>
            <w:r>
              <w:rPr>
                <w:rFonts w:hint="eastAsia" w:ascii="宋体" w:hAnsi="宋体" w:cs="宋体"/>
                <w:color w:val="000000"/>
                <w:w w:val="90"/>
                <w:kern w:val="0"/>
                <w:sz w:val="24"/>
                <w:highlight w:val="none"/>
                <w:u w:val="single"/>
                <w:lang w:val="en-US" w:eastAsia="zh-CN" w:bidi="ar"/>
              </w:rPr>
              <w:t>3</w:t>
            </w:r>
            <w:r>
              <w:rPr>
                <w:rFonts w:hint="eastAsia" w:ascii="宋体" w:hAnsi="宋体" w:eastAsia="宋体" w:cs="宋体"/>
                <w:color w:val="000000"/>
                <w:w w:val="90"/>
                <w:kern w:val="0"/>
                <w:sz w:val="24"/>
                <w:highlight w:val="none"/>
                <w:u w:val="single"/>
                <w:lang w:bidi="ar"/>
              </w:rPr>
              <w:t xml:space="preserve"> </w:t>
            </w:r>
            <w:r>
              <w:rPr>
                <w:rFonts w:hint="eastAsia" w:ascii="宋体" w:hAnsi="宋体" w:eastAsia="宋体" w:cs="宋体"/>
                <w:color w:val="000000"/>
                <w:w w:val="90"/>
                <w:kern w:val="0"/>
                <w:sz w:val="24"/>
                <w:highlight w:val="none"/>
                <w:lang w:bidi="ar"/>
              </w:rPr>
              <w:t>年</w:t>
            </w:r>
            <w:r>
              <w:rPr>
                <w:rFonts w:hint="eastAsia" w:ascii="宋体" w:hAnsi="宋体" w:eastAsia="宋体" w:cs="宋体"/>
                <w:color w:val="000000"/>
                <w:w w:val="90"/>
                <w:kern w:val="0"/>
                <w:sz w:val="24"/>
                <w:highlight w:val="none"/>
                <w:u w:val="single"/>
                <w:lang w:bidi="ar"/>
              </w:rPr>
              <w:t xml:space="preserve"> </w:t>
            </w:r>
            <w:r>
              <w:rPr>
                <w:rFonts w:hint="eastAsia" w:ascii="宋体" w:hAnsi="宋体" w:cs="宋体"/>
                <w:color w:val="000000"/>
                <w:w w:val="90"/>
                <w:kern w:val="0"/>
                <w:sz w:val="24"/>
                <w:highlight w:val="none"/>
                <w:u w:val="single"/>
                <w:lang w:val="en-US" w:eastAsia="zh-CN" w:bidi="ar"/>
              </w:rPr>
              <w:t>12</w:t>
            </w:r>
            <w:r>
              <w:rPr>
                <w:rFonts w:hint="eastAsia" w:ascii="宋体" w:hAnsi="宋体" w:eastAsia="宋体" w:cs="宋体"/>
                <w:color w:val="000000"/>
                <w:w w:val="90"/>
                <w:kern w:val="0"/>
                <w:sz w:val="24"/>
                <w:highlight w:val="none"/>
                <w:u w:val="single"/>
                <w:lang w:bidi="ar"/>
              </w:rPr>
              <w:t xml:space="preserve"> </w:t>
            </w:r>
            <w:r>
              <w:rPr>
                <w:rFonts w:hint="eastAsia" w:ascii="宋体" w:hAnsi="宋体" w:eastAsia="宋体" w:cs="宋体"/>
                <w:color w:val="000000"/>
                <w:w w:val="90"/>
                <w:kern w:val="0"/>
                <w:sz w:val="24"/>
                <w:highlight w:val="none"/>
                <w:lang w:bidi="ar"/>
              </w:rPr>
              <w:t>月</w:t>
            </w:r>
            <w:r>
              <w:rPr>
                <w:rFonts w:hint="eastAsia" w:ascii="宋体" w:hAnsi="宋体" w:cs="宋体"/>
                <w:color w:val="000000"/>
                <w:w w:val="90"/>
                <w:kern w:val="0"/>
                <w:sz w:val="24"/>
                <w:highlight w:val="none"/>
                <w:u w:val="single"/>
                <w:lang w:val="en-US" w:eastAsia="zh-CN" w:bidi="ar"/>
              </w:rPr>
              <w:t>26</w:t>
            </w:r>
            <w:r>
              <w:rPr>
                <w:rFonts w:hint="eastAsia" w:ascii="宋体" w:hAnsi="宋体" w:eastAsia="宋体" w:cs="宋体"/>
                <w:color w:val="000000"/>
                <w:w w:val="90"/>
                <w:kern w:val="0"/>
                <w:sz w:val="24"/>
                <w:highlight w:val="none"/>
                <w:lang w:bidi="ar"/>
              </w:rPr>
              <w:t>日</w:t>
            </w:r>
            <w:r>
              <w:rPr>
                <w:rFonts w:hint="eastAsia" w:ascii="宋体" w:hAnsi="宋体" w:eastAsia="宋体" w:cs="宋体"/>
                <w:color w:val="000000"/>
                <w:w w:val="90"/>
                <w:kern w:val="0"/>
                <w:sz w:val="24"/>
                <w:highlight w:val="none"/>
                <w:u w:val="single"/>
                <w:lang w:bidi="ar"/>
              </w:rPr>
              <w:t xml:space="preserve"> </w:t>
            </w:r>
            <w:r>
              <w:rPr>
                <w:rFonts w:hint="eastAsia" w:ascii="宋体" w:hAnsi="宋体" w:cs="宋体"/>
                <w:color w:val="000000"/>
                <w:w w:val="90"/>
                <w:kern w:val="0"/>
                <w:sz w:val="24"/>
                <w:highlight w:val="none"/>
                <w:u w:val="single"/>
                <w:lang w:val="en-US" w:eastAsia="zh-CN" w:bidi="ar"/>
              </w:rPr>
              <w:t>14</w:t>
            </w:r>
            <w:r>
              <w:rPr>
                <w:rFonts w:hint="eastAsia" w:ascii="宋体" w:hAnsi="宋体" w:eastAsia="宋体" w:cs="宋体"/>
                <w:color w:val="000000"/>
                <w:w w:val="90"/>
                <w:kern w:val="0"/>
                <w:sz w:val="24"/>
                <w:highlight w:val="none"/>
                <w:u w:val="single"/>
                <w:lang w:bidi="ar"/>
              </w:rPr>
              <w:t>:</w:t>
            </w:r>
            <w:r>
              <w:rPr>
                <w:rFonts w:hint="eastAsia" w:ascii="宋体" w:hAnsi="宋体" w:eastAsia="宋体" w:cs="宋体"/>
                <w:color w:val="000000"/>
                <w:w w:val="90"/>
                <w:kern w:val="0"/>
                <w:sz w:val="24"/>
                <w:highlight w:val="none"/>
                <w:u w:val="single"/>
                <w:lang w:val="en-US" w:eastAsia="zh-CN" w:bidi="ar"/>
              </w:rPr>
              <w:t>3</w:t>
            </w:r>
            <w:r>
              <w:rPr>
                <w:rFonts w:hint="eastAsia" w:ascii="宋体" w:hAnsi="宋体" w:eastAsia="宋体" w:cs="宋体"/>
                <w:color w:val="000000"/>
                <w:w w:val="90"/>
                <w:kern w:val="0"/>
                <w:sz w:val="24"/>
                <w:highlight w:val="none"/>
                <w:u w:val="single"/>
                <w:lang w:bidi="ar"/>
              </w:rPr>
              <w:t xml:space="preserve">0 </w:t>
            </w:r>
            <w:r>
              <w:rPr>
                <w:rFonts w:hint="eastAsia" w:ascii="宋体" w:hAnsi="宋体" w:eastAsia="宋体" w:cs="宋体"/>
                <w:color w:val="000000"/>
                <w:w w:val="90"/>
                <w:kern w:val="0"/>
                <w:sz w:val="24"/>
                <w:highlight w:val="none"/>
                <w:lang w:bidi="ar"/>
              </w:rPr>
              <w:t>时</w:t>
            </w:r>
          </w:p>
          <w:p>
            <w:pPr>
              <w:rPr>
                <w:rFonts w:hint="eastAsia" w:ascii="宋体" w:hAnsi="宋体" w:eastAsia="宋体" w:cs="宋体"/>
                <w:color w:val="000000"/>
                <w:w w:val="90"/>
                <w:kern w:val="0"/>
                <w:sz w:val="24"/>
                <w:highlight w:val="none"/>
                <w:lang w:eastAsia="zh-CN" w:bidi="ar"/>
              </w:rPr>
            </w:pPr>
            <w:r>
              <w:rPr>
                <w:rFonts w:hint="eastAsia" w:ascii="宋体" w:hAnsi="宋体" w:eastAsia="宋体" w:cs="宋体"/>
                <w:color w:val="000000"/>
                <w:w w:val="90"/>
                <w:kern w:val="0"/>
                <w:sz w:val="24"/>
                <w:highlight w:val="none"/>
                <w:lang w:bidi="ar"/>
              </w:rPr>
              <w:t>地点：</w:t>
            </w:r>
            <w:r>
              <w:rPr>
                <w:rFonts w:hint="eastAsia" w:ascii="宋体" w:hAnsi="宋体" w:cs="宋体"/>
                <w:color w:val="000000"/>
                <w:w w:val="90"/>
                <w:kern w:val="0"/>
                <w:sz w:val="24"/>
                <w:highlight w:val="none"/>
                <w:lang w:eastAsia="zh-CN" w:bidi="ar"/>
              </w:rPr>
              <w:t>陕西省汉中市镇巴县泾洋街道办河西路粮食局五楼会议室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12</w:t>
            </w:r>
          </w:p>
        </w:tc>
        <w:tc>
          <w:tcPr>
            <w:tcW w:w="62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四</w:t>
            </w:r>
          </w:p>
        </w:tc>
        <w:tc>
          <w:tcPr>
            <w:tcW w:w="858"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w:t>
            </w:r>
          </w:p>
        </w:tc>
        <w:tc>
          <w:tcPr>
            <w:tcW w:w="1559" w:type="dxa"/>
            <w:shd w:val="clear" w:color="auto" w:fill="auto"/>
            <w:vAlign w:val="center"/>
          </w:tcPr>
          <w:p>
            <w:pPr>
              <w:rPr>
                <w:rFonts w:hint="eastAsia" w:ascii="宋体" w:hAnsi="宋体" w:eastAsia="宋体" w:cs="宋体"/>
                <w:w w:val="90"/>
                <w:kern w:val="0"/>
                <w:sz w:val="24"/>
                <w:highlight w:val="none"/>
                <w:lang w:bidi="ar"/>
              </w:rPr>
            </w:pPr>
            <w:r>
              <w:rPr>
                <w:rFonts w:hint="eastAsia" w:ascii="宋体" w:hAnsi="宋体" w:eastAsia="宋体" w:cs="宋体"/>
                <w:w w:val="90"/>
                <w:kern w:val="0"/>
                <w:sz w:val="24"/>
                <w:highlight w:val="none"/>
                <w:lang w:val="en-US" w:eastAsia="zh-CN" w:bidi="ar"/>
              </w:rPr>
              <w:t>服务</w:t>
            </w:r>
            <w:r>
              <w:rPr>
                <w:rFonts w:hint="eastAsia" w:ascii="宋体" w:hAnsi="宋体" w:eastAsia="宋体" w:cs="宋体"/>
                <w:w w:val="90"/>
                <w:kern w:val="0"/>
                <w:sz w:val="24"/>
                <w:highlight w:val="none"/>
                <w:lang w:bidi="ar"/>
              </w:rPr>
              <w:t>期</w:t>
            </w:r>
          </w:p>
        </w:tc>
        <w:tc>
          <w:tcPr>
            <w:tcW w:w="6876" w:type="dxa"/>
            <w:shd w:val="clear" w:color="auto" w:fill="auto"/>
            <w:vAlign w:val="center"/>
          </w:tcPr>
          <w:p>
            <w:pPr>
              <w:rPr>
                <w:rFonts w:hint="eastAsia" w:ascii="宋体" w:hAnsi="宋体" w:eastAsia="宋体" w:cs="宋体"/>
                <w:w w:val="90"/>
                <w:kern w:val="0"/>
                <w:sz w:val="24"/>
                <w:highlight w:val="none"/>
                <w:lang w:bidi="ar"/>
              </w:rPr>
            </w:pPr>
            <w:r>
              <w:rPr>
                <w:rFonts w:hint="eastAsia" w:ascii="宋体" w:hAnsi="宋体" w:cs="宋体"/>
                <w:w w:val="90"/>
                <w:kern w:val="0"/>
                <w:sz w:val="24"/>
                <w:highlight w:val="none"/>
                <w:lang w:val="en-US" w:eastAsia="zh-CN" w:bidi="ar"/>
              </w:rPr>
              <w:t>一</w:t>
            </w:r>
            <w:r>
              <w:rPr>
                <w:rFonts w:hint="eastAsia" w:ascii="宋体" w:hAnsi="宋体" w:eastAsia="宋体" w:cs="宋体"/>
                <w:w w:val="90"/>
                <w:kern w:val="0"/>
                <w:sz w:val="24"/>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13</w:t>
            </w:r>
          </w:p>
        </w:tc>
        <w:tc>
          <w:tcPr>
            <w:tcW w:w="62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五</w:t>
            </w:r>
          </w:p>
        </w:tc>
        <w:tc>
          <w:tcPr>
            <w:tcW w:w="858"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w:t>
            </w:r>
          </w:p>
        </w:tc>
        <w:tc>
          <w:tcPr>
            <w:tcW w:w="1559"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资格审查方式</w:t>
            </w:r>
          </w:p>
        </w:tc>
        <w:tc>
          <w:tcPr>
            <w:tcW w:w="6876" w:type="dxa"/>
            <w:shd w:val="clear" w:color="auto" w:fill="auto"/>
            <w:vAlign w:val="center"/>
          </w:tcPr>
          <w:p>
            <w:pPr>
              <w:rPr>
                <w:rFonts w:hint="eastAsia" w:ascii="宋体" w:hAnsi="宋体" w:eastAsia="宋体" w:cs="宋体"/>
                <w:color w:val="000000"/>
                <w:w w:val="90"/>
                <w:kern w:val="0"/>
                <w:sz w:val="24"/>
                <w:highlight w:val="none"/>
                <w:lang w:eastAsia="zh-CN" w:bidi="ar"/>
              </w:rPr>
            </w:pPr>
            <w:r>
              <w:rPr>
                <w:rFonts w:hint="eastAsia" w:ascii="宋体" w:hAnsi="宋体" w:cs="宋体"/>
                <w:color w:val="000000"/>
                <w:w w:val="90"/>
                <w:kern w:val="0"/>
                <w:sz w:val="24"/>
                <w:highlight w:val="none"/>
                <w:lang w:eastAsia="zh-CN" w:bidi="ar"/>
              </w:rPr>
              <w:t>现场资格审查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auto"/>
            <w:vAlign w:val="center"/>
          </w:tcPr>
          <w:p>
            <w:pPr>
              <w:jc w:val="cente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14</w:t>
            </w:r>
          </w:p>
        </w:tc>
        <w:tc>
          <w:tcPr>
            <w:tcW w:w="62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六</w:t>
            </w:r>
          </w:p>
        </w:tc>
        <w:tc>
          <w:tcPr>
            <w:tcW w:w="858"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1</w:t>
            </w:r>
          </w:p>
        </w:tc>
        <w:tc>
          <w:tcPr>
            <w:tcW w:w="1559"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评标方法</w:t>
            </w:r>
          </w:p>
        </w:tc>
        <w:tc>
          <w:tcPr>
            <w:tcW w:w="6876"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auto"/>
            <w:vAlign w:val="center"/>
          </w:tcPr>
          <w:p>
            <w:pPr>
              <w:rPr>
                <w:rFonts w:hint="eastAsia" w:ascii="宋体" w:hAnsi="宋体" w:eastAsia="宋体" w:cs="宋体"/>
                <w:color w:val="000000"/>
                <w:w w:val="90"/>
                <w:kern w:val="0"/>
                <w:sz w:val="24"/>
                <w:highlight w:val="none"/>
                <w:lang w:bidi="ar"/>
              </w:rPr>
            </w:pPr>
          </w:p>
        </w:tc>
        <w:tc>
          <w:tcPr>
            <w:tcW w:w="626" w:type="dxa"/>
            <w:shd w:val="clear" w:color="auto" w:fill="auto"/>
            <w:vAlign w:val="center"/>
          </w:tcPr>
          <w:p>
            <w:pP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2</w:t>
            </w:r>
          </w:p>
        </w:tc>
        <w:tc>
          <w:tcPr>
            <w:tcW w:w="1559" w:type="dxa"/>
            <w:shd w:val="clear" w:color="auto" w:fill="auto"/>
            <w:vAlign w:val="center"/>
          </w:tcPr>
          <w:p>
            <w:pPr>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最高限价</w:t>
            </w:r>
          </w:p>
        </w:tc>
        <w:tc>
          <w:tcPr>
            <w:tcW w:w="6876" w:type="dxa"/>
            <w:shd w:val="clear" w:color="auto" w:fill="auto"/>
            <w:vAlign w:val="center"/>
          </w:tcPr>
          <w:p>
            <w:pPr>
              <w:rPr>
                <w:rFonts w:hint="eastAsia" w:ascii="宋体" w:hAnsi="宋体" w:eastAsia="宋体" w:cs="宋体"/>
                <w:color w:val="000000"/>
                <w:w w:val="90"/>
                <w:kern w:val="0"/>
                <w:sz w:val="24"/>
                <w:highlight w:val="none"/>
                <w:lang w:eastAsia="zh-CN" w:bidi="ar"/>
              </w:rPr>
            </w:pPr>
            <w:r>
              <w:rPr>
                <w:rFonts w:hint="eastAsia" w:ascii="宋体" w:hAnsi="宋体" w:eastAsia="宋体" w:cs="宋体"/>
                <w:color w:val="000000"/>
                <w:w w:val="90"/>
                <w:kern w:val="0"/>
                <w:sz w:val="24"/>
                <w:highlight w:val="none"/>
                <w:u w:val="single"/>
                <w:lang w:bidi="ar"/>
              </w:rPr>
              <w:t xml:space="preserve"> </w:t>
            </w:r>
            <w:r>
              <w:rPr>
                <w:rFonts w:hint="eastAsia" w:ascii="宋体" w:hAnsi="宋体" w:eastAsia="宋体" w:cs="宋体"/>
                <w:i w:val="0"/>
                <w:iCs w:val="0"/>
                <w:caps w:val="0"/>
                <w:color w:val="333333"/>
                <w:spacing w:val="0"/>
                <w:sz w:val="21"/>
                <w:szCs w:val="21"/>
                <w:highlight w:val="none"/>
                <w:u w:val="single"/>
                <w:shd w:val="clear" w:fill="FFFFFF"/>
                <w:lang w:eastAsia="zh-CN"/>
              </w:rPr>
              <w:t xml:space="preserve"> </w:t>
            </w:r>
            <w:r>
              <w:rPr>
                <w:rFonts w:hint="eastAsia" w:ascii="宋体" w:hAnsi="宋体" w:cs="宋体"/>
                <w:i w:val="0"/>
                <w:iCs w:val="0"/>
                <w:caps w:val="0"/>
                <w:color w:val="333333"/>
                <w:spacing w:val="0"/>
                <w:sz w:val="21"/>
                <w:szCs w:val="21"/>
                <w:highlight w:val="none"/>
                <w:u w:val="single"/>
                <w:shd w:val="clear" w:fill="FFFFFF"/>
                <w:lang w:val="en-US" w:eastAsia="zh-CN"/>
              </w:rPr>
              <w:t>571700.00</w:t>
            </w:r>
            <w:r>
              <w:rPr>
                <w:rFonts w:hint="eastAsia" w:ascii="宋体" w:hAnsi="宋体" w:eastAsia="宋体" w:cs="宋体"/>
                <w:color w:val="000000"/>
                <w:w w:val="90"/>
                <w:kern w:val="0"/>
                <w:sz w:val="24"/>
                <w:highlight w:val="none"/>
                <w:u w:val="single"/>
                <w:lang w:bidi="ar"/>
              </w:rPr>
              <w:t>元</w:t>
            </w:r>
            <w:r>
              <w:rPr>
                <w:rFonts w:hint="eastAsia" w:ascii="宋体" w:hAnsi="宋体" w:cs="宋体"/>
                <w:color w:val="000000"/>
                <w:w w:val="90"/>
                <w:kern w:val="0"/>
                <w:sz w:val="24"/>
                <w:highlight w:val="none"/>
                <w:u w:val="single"/>
                <w:lang w:eastAsia="zh-CN" w:bidi="ar"/>
              </w:rPr>
              <w:t>（</w:t>
            </w:r>
            <w:r>
              <w:rPr>
                <w:rFonts w:hint="eastAsia" w:ascii="宋体" w:hAnsi="宋体" w:cs="宋体"/>
                <w:color w:val="auto"/>
                <w:sz w:val="24"/>
                <w:highlight w:val="none"/>
                <w:lang w:val="en-US" w:eastAsia="zh-CN"/>
              </w:rPr>
              <w:t>其中含系统对接费用,暂定价：</w:t>
            </w:r>
            <w:r>
              <w:rPr>
                <w:rFonts w:hint="eastAsia" w:ascii="宋体" w:hAnsi="宋体" w:cs="宋体"/>
                <w:color w:val="0000FF"/>
                <w:sz w:val="24"/>
                <w:highlight w:val="none"/>
                <w:lang w:val="en-US" w:eastAsia="zh-CN"/>
              </w:rPr>
              <w:t>310000.00元</w:t>
            </w:r>
            <w:r>
              <w:rPr>
                <w:rFonts w:hint="eastAsia" w:ascii="宋体" w:hAnsi="宋体" w:cs="宋体"/>
                <w:color w:val="000000"/>
                <w:w w:val="90"/>
                <w:kern w:val="0"/>
                <w:sz w:val="24"/>
                <w:highlight w:val="none"/>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shd w:val="clear" w:color="auto" w:fill="auto"/>
            <w:vAlign w:val="center"/>
          </w:tcPr>
          <w:p>
            <w:pPr>
              <w:rPr>
                <w:rFonts w:hint="eastAsia" w:ascii="宋体" w:hAnsi="宋体" w:eastAsia="宋体" w:cs="宋体"/>
                <w:color w:val="000000"/>
                <w:w w:val="90"/>
                <w:kern w:val="0"/>
                <w:sz w:val="24"/>
                <w:highlight w:val="none"/>
                <w:lang w:bidi="ar"/>
              </w:rPr>
            </w:pPr>
          </w:p>
        </w:tc>
        <w:tc>
          <w:tcPr>
            <w:tcW w:w="626" w:type="dxa"/>
            <w:shd w:val="clear" w:color="auto" w:fill="auto"/>
            <w:vAlign w:val="center"/>
          </w:tcPr>
          <w:p>
            <w:pPr>
              <w:rPr>
                <w:rFonts w:hint="eastAsia" w:ascii="宋体" w:hAnsi="宋体" w:eastAsia="宋体" w:cs="宋体"/>
                <w:color w:val="000000"/>
                <w:w w:val="90"/>
                <w:kern w:val="0"/>
                <w:sz w:val="24"/>
                <w:highlight w:val="none"/>
                <w:lang w:bidi="ar"/>
              </w:rPr>
            </w:pPr>
          </w:p>
        </w:tc>
        <w:tc>
          <w:tcPr>
            <w:tcW w:w="858" w:type="dxa"/>
            <w:shd w:val="clear" w:color="auto" w:fill="auto"/>
            <w:vAlign w:val="center"/>
          </w:tcPr>
          <w:p>
            <w:pPr>
              <w:rPr>
                <w:rFonts w:hint="eastAsia" w:ascii="宋体" w:hAnsi="宋体" w:eastAsia="宋体" w:cs="宋体"/>
                <w:color w:val="000000"/>
                <w:w w:val="90"/>
                <w:kern w:val="0"/>
                <w:sz w:val="24"/>
                <w:highlight w:val="none"/>
                <w:lang w:val="en-US" w:eastAsia="zh-CN" w:bidi="ar"/>
              </w:rPr>
            </w:pPr>
            <w:r>
              <w:rPr>
                <w:rFonts w:hint="eastAsia" w:ascii="宋体" w:hAnsi="宋体" w:cs="宋体"/>
                <w:color w:val="000000"/>
                <w:w w:val="90"/>
                <w:kern w:val="0"/>
                <w:sz w:val="24"/>
                <w:highlight w:val="none"/>
                <w:lang w:val="en-US" w:eastAsia="zh-CN" w:bidi="ar"/>
              </w:rPr>
              <w:t>3</w:t>
            </w:r>
          </w:p>
        </w:tc>
        <w:tc>
          <w:tcPr>
            <w:tcW w:w="1559" w:type="dxa"/>
            <w:shd w:val="clear" w:color="auto" w:fill="auto"/>
            <w:vAlign w:val="center"/>
          </w:tcPr>
          <w:p>
            <w:pPr>
              <w:rPr>
                <w:rFonts w:hint="default" w:ascii="宋体" w:hAnsi="宋体" w:eastAsia="宋体" w:cs="宋体"/>
                <w:color w:val="0000FF"/>
                <w:w w:val="90"/>
                <w:kern w:val="0"/>
                <w:sz w:val="24"/>
                <w:highlight w:val="none"/>
                <w:lang w:val="en-US" w:eastAsia="zh-CN" w:bidi="ar"/>
              </w:rPr>
            </w:pPr>
            <w:r>
              <w:rPr>
                <w:rFonts w:hint="eastAsia" w:ascii="宋体" w:hAnsi="宋体" w:cs="宋体"/>
                <w:color w:val="0000FF"/>
                <w:w w:val="90"/>
                <w:kern w:val="0"/>
                <w:sz w:val="24"/>
                <w:highlight w:val="none"/>
                <w:lang w:val="en-US" w:eastAsia="zh-CN" w:bidi="ar"/>
              </w:rPr>
              <w:t>其他补充说明</w:t>
            </w:r>
          </w:p>
        </w:tc>
        <w:tc>
          <w:tcPr>
            <w:tcW w:w="6876" w:type="dxa"/>
            <w:shd w:val="clear" w:color="auto" w:fill="auto"/>
            <w:vAlign w:val="center"/>
          </w:tcPr>
          <w:p>
            <w:pPr>
              <w:numPr>
                <w:ilvl w:val="0"/>
                <w:numId w:val="2"/>
              </w:numPr>
              <w:rPr>
                <w:rFonts w:hint="eastAsia" w:ascii="宋体" w:hAnsi="宋体" w:eastAsia="宋体" w:cs="宋体"/>
                <w:szCs w:val="21"/>
                <w:highlight w:val="none"/>
              </w:rPr>
            </w:pPr>
            <w:r>
              <w:rPr>
                <w:rFonts w:hint="eastAsia" w:ascii="宋体" w:hAnsi="宋体" w:eastAsia="宋体" w:cs="宋体"/>
                <w:color w:val="0000FF"/>
                <w:szCs w:val="21"/>
                <w:highlight w:val="none"/>
              </w:rPr>
              <w:t>磋商报价中已包含完成本项目所需的一切费用，即所需采购内容成果、现场踏勘、仪器设备使用、税金及其他所有施工图方案设计中</w:t>
            </w:r>
            <w:r>
              <w:rPr>
                <w:rFonts w:hint="eastAsia" w:ascii="宋体" w:hAnsi="宋体" w:cs="宋体"/>
                <w:color w:val="0000FF"/>
                <w:szCs w:val="21"/>
                <w:highlight w:val="none"/>
                <w:lang w:val="en-US" w:eastAsia="zh-CN"/>
              </w:rPr>
              <w:t>等</w:t>
            </w:r>
            <w:r>
              <w:rPr>
                <w:rFonts w:hint="eastAsia" w:ascii="宋体" w:hAnsi="宋体" w:eastAsia="宋体" w:cs="宋体"/>
                <w:color w:val="0000FF"/>
                <w:szCs w:val="21"/>
                <w:highlight w:val="none"/>
              </w:rPr>
              <w:t>费用的总和。在采购内容成果交付工作中出现的任何遗漏费用，均由成交供应商免费提供，采购人将不再支付任何费用</w:t>
            </w:r>
            <w:r>
              <w:rPr>
                <w:rFonts w:hint="eastAsia" w:ascii="宋体" w:hAnsi="宋体" w:eastAsia="宋体" w:cs="宋体"/>
                <w:szCs w:val="21"/>
                <w:highlight w:val="none"/>
              </w:rPr>
              <w:t>。</w:t>
            </w:r>
          </w:p>
          <w:p>
            <w:pPr>
              <w:pStyle w:val="2"/>
              <w:numPr>
                <w:ilvl w:val="0"/>
                <w:numId w:val="2"/>
              </w:numPr>
              <w:rPr>
                <w:rFonts w:hint="default"/>
                <w:lang w:val="en-US" w:eastAsia="zh-CN"/>
              </w:rPr>
            </w:pPr>
            <w:r>
              <w:rPr>
                <w:rFonts w:hint="eastAsia" w:ascii="宋体" w:hAnsi="宋体" w:cs="宋体"/>
                <w:color w:val="0000FF"/>
                <w:kern w:val="2"/>
                <w:sz w:val="21"/>
                <w:szCs w:val="21"/>
                <w:highlight w:val="none"/>
                <w:lang w:val="en-US" w:eastAsia="zh-CN" w:bidi="ar-SA"/>
              </w:rPr>
              <w:t>售后服务：</w:t>
            </w:r>
            <w:r>
              <w:rPr>
                <w:rFonts w:hint="default" w:ascii="宋体" w:hAnsi="宋体" w:eastAsia="宋体" w:cs="宋体"/>
                <w:color w:val="0000FF"/>
                <w:kern w:val="2"/>
                <w:sz w:val="21"/>
                <w:szCs w:val="21"/>
                <w:highlight w:val="none"/>
                <w:lang w:val="en-US" w:eastAsia="zh-CN" w:bidi="ar-SA"/>
              </w:rPr>
              <w:t>三年</w:t>
            </w:r>
            <w:r>
              <w:rPr>
                <w:rFonts w:hint="eastAsia" w:ascii="宋体" w:hAnsi="宋体" w:eastAsia="宋体" w:cs="宋体"/>
                <w:color w:val="0000FF"/>
                <w:kern w:val="2"/>
                <w:sz w:val="21"/>
                <w:szCs w:val="21"/>
                <w:highlight w:val="none"/>
                <w:lang w:val="en-US" w:eastAsia="zh-CN" w:bidi="ar-SA"/>
              </w:rPr>
              <w:t>内</w:t>
            </w:r>
            <w:r>
              <w:rPr>
                <w:rFonts w:hint="default" w:ascii="宋体" w:hAnsi="宋体" w:eastAsia="宋体" w:cs="宋体"/>
                <w:color w:val="0000FF"/>
                <w:kern w:val="2"/>
                <w:sz w:val="21"/>
                <w:szCs w:val="21"/>
                <w:highlight w:val="none"/>
                <w:lang w:val="en-US" w:eastAsia="zh-CN" w:bidi="ar-SA"/>
              </w:rPr>
              <w:t>无条件免费维修和确保与省平台联通</w:t>
            </w:r>
            <w:r>
              <w:rPr>
                <w:rFonts w:hint="eastAsia" w:ascii="宋体" w:hAnsi="宋体" w:eastAsia="宋体" w:cs="宋体"/>
                <w:color w:val="0000FF"/>
                <w:kern w:val="2"/>
                <w:sz w:val="21"/>
                <w:szCs w:val="21"/>
                <w:highlight w:val="none"/>
                <w:lang w:val="en-US" w:eastAsia="zh-CN" w:bidi="ar-SA"/>
              </w:rPr>
              <w:t>。</w:t>
            </w:r>
          </w:p>
        </w:tc>
      </w:tr>
    </w:tbl>
    <w:p>
      <w:pPr>
        <w:spacing w:line="360" w:lineRule="auto"/>
        <w:ind w:firstLine="542" w:firstLineChars="200"/>
        <w:jc w:val="center"/>
        <w:rPr>
          <w:rFonts w:hint="eastAsia" w:ascii="宋体" w:hAnsi="宋体" w:eastAsia="宋体" w:cs="宋体"/>
          <w:b/>
          <w:bCs/>
          <w:color w:val="000000"/>
          <w:w w:val="90"/>
          <w:sz w:val="30"/>
          <w:szCs w:val="30"/>
          <w:highlight w:val="none"/>
        </w:rPr>
      </w:pPr>
    </w:p>
    <w:p>
      <w:pPr>
        <w:spacing w:line="360" w:lineRule="auto"/>
        <w:ind w:firstLine="542" w:firstLineChars="200"/>
        <w:jc w:val="center"/>
        <w:rPr>
          <w:rFonts w:hint="eastAsia" w:ascii="宋体" w:hAnsi="宋体" w:eastAsia="宋体" w:cs="宋体"/>
          <w:b/>
          <w:bCs/>
          <w:color w:val="000000"/>
          <w:w w:val="90"/>
          <w:sz w:val="30"/>
          <w:szCs w:val="30"/>
          <w:highlight w:val="none"/>
        </w:rPr>
      </w:pPr>
    </w:p>
    <w:p>
      <w:pPr>
        <w:spacing w:line="360" w:lineRule="auto"/>
        <w:ind w:firstLine="542" w:firstLineChars="200"/>
        <w:jc w:val="center"/>
        <w:rPr>
          <w:rFonts w:hint="eastAsia" w:ascii="宋体" w:hAnsi="宋体" w:eastAsia="宋体" w:cs="宋体"/>
          <w:b/>
          <w:bCs/>
          <w:color w:val="000000"/>
          <w:w w:val="90"/>
          <w:sz w:val="30"/>
          <w:szCs w:val="30"/>
          <w:highlight w:val="none"/>
        </w:rPr>
      </w:pPr>
    </w:p>
    <w:p>
      <w:pPr>
        <w:spacing w:line="360" w:lineRule="auto"/>
        <w:ind w:firstLine="542" w:firstLineChars="200"/>
        <w:jc w:val="center"/>
        <w:rPr>
          <w:rFonts w:hint="eastAsia" w:ascii="宋体" w:hAnsi="宋体" w:eastAsia="宋体" w:cs="宋体"/>
          <w:b/>
          <w:bCs/>
          <w:color w:val="000000"/>
          <w:w w:val="90"/>
          <w:sz w:val="30"/>
          <w:szCs w:val="30"/>
          <w:highlight w:val="none"/>
        </w:rPr>
      </w:pPr>
    </w:p>
    <w:p>
      <w:pPr>
        <w:spacing w:line="360" w:lineRule="auto"/>
        <w:ind w:firstLine="542" w:firstLineChars="200"/>
        <w:jc w:val="center"/>
        <w:rPr>
          <w:rFonts w:hint="eastAsia" w:ascii="宋体" w:hAnsi="宋体" w:eastAsia="宋体" w:cs="宋体"/>
          <w:b/>
          <w:bCs/>
          <w:color w:val="000000"/>
          <w:w w:val="90"/>
          <w:sz w:val="30"/>
          <w:szCs w:val="30"/>
          <w:highlight w:val="none"/>
        </w:rPr>
      </w:pPr>
    </w:p>
    <w:p>
      <w:pPr>
        <w:spacing w:line="360" w:lineRule="auto"/>
        <w:ind w:firstLine="542" w:firstLineChars="200"/>
        <w:jc w:val="center"/>
        <w:rPr>
          <w:rFonts w:hint="eastAsia" w:ascii="宋体" w:hAnsi="宋体" w:eastAsia="宋体" w:cs="宋体"/>
          <w:b/>
          <w:bCs/>
          <w:color w:val="000000"/>
          <w:w w:val="90"/>
          <w:sz w:val="30"/>
          <w:szCs w:val="30"/>
          <w:highlight w:val="none"/>
        </w:rPr>
      </w:pPr>
    </w:p>
    <w:p>
      <w:pPr>
        <w:pStyle w:val="2"/>
        <w:rPr>
          <w:rFonts w:hint="eastAsia" w:ascii="宋体" w:hAnsi="宋体" w:eastAsia="宋体" w:cs="宋体"/>
          <w:b/>
          <w:bCs/>
          <w:color w:val="000000"/>
          <w:w w:val="90"/>
          <w:sz w:val="30"/>
          <w:szCs w:val="30"/>
          <w:highlight w:val="none"/>
        </w:rPr>
      </w:pPr>
    </w:p>
    <w:p>
      <w:pPr>
        <w:pStyle w:val="4"/>
        <w:bidi w:val="0"/>
        <w:jc w:val="both"/>
        <w:rPr>
          <w:rFonts w:hint="eastAsia"/>
        </w:rPr>
      </w:pPr>
      <w:r>
        <w:rPr>
          <w:rFonts w:hint="eastAsia"/>
        </w:rPr>
        <w:t>二、竞争性磋商文件</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（一）磋商文件包括下列内容</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第一章  磋商公告</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第二章  竞争性磋商文件须知</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第三章  磋商内容及技术要求</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第四章  合同条款</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第五章  响应文件构成及格式</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（二）磋商文件的检查及阅读</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供应商获取磋商文件后仔细检查磋商文件中的所有内容。参加磋商的供应商应仔细阅读磋商文件中所有的事项、条款和规范要求，在响应文件中对磋商文件的各方面均做出实质性的响应，并按照磋商文件的要求提交全部资料。</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（三）磋商文件的修改或者澄清</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澄清或者修改的内容可能影响响应文件编制的，采购人或者采购代理机构应当在首次提交响应文件截止之日至少3个工作日前，以书面形式通知所有获取磋商文件的潜在投标人;不足3个工作日的，采购人或者采购代理机构应当顺延提交首次响应文件的截止时间。</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供应商对磋商文件有质疑的，应在提交响应文件截止时间3个工作日前以书面形式提出，在此之后提出的针对磋商文件的质疑为无效质疑；招标代理机构以书面形式予以答复。答复的内容可能影响响应文件编制的，在财政部门指定的政府采购信息发布媒体上发布更正公告。</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3、招标代理机构可以视采购具体情况，延长提交响应文件截止时间(磋商时间），但至少在磋商文件要求的提交响应文件的截止时间3个工作日前，在财政部门指定的政府采购信息发布媒体上发布更正公告。</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（四）磋商文件的解释权归招标代理机构。</w:t>
      </w:r>
    </w:p>
    <w:p>
      <w:pPr>
        <w:pStyle w:val="4"/>
        <w:bidi w:val="0"/>
        <w:rPr>
          <w:rFonts w:hint="eastAsia"/>
        </w:rPr>
      </w:pPr>
      <w:r>
        <w:rPr>
          <w:rFonts w:hint="eastAsia"/>
        </w:rPr>
        <w:t>三、磋商的内容及要求</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（一）磋商内容</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本次磋商采购的内容为：</w:t>
      </w:r>
      <w:r>
        <w:rPr>
          <w:rFonts w:hint="eastAsia" w:ascii="宋体" w:hAnsi="宋体" w:cs="宋体"/>
          <w:color w:val="000000"/>
          <w:w w:val="90"/>
          <w:sz w:val="24"/>
          <w:highlight w:val="none"/>
          <w:lang w:eastAsia="zh-CN"/>
        </w:rPr>
        <w:t>镇巴县粮库监管信息化系统建设项目</w:t>
      </w:r>
      <w:r>
        <w:rPr>
          <w:rFonts w:hint="eastAsia" w:ascii="宋体" w:hAnsi="宋体" w:eastAsia="宋体" w:cs="宋体"/>
          <w:color w:val="000000"/>
          <w:w w:val="90"/>
          <w:sz w:val="24"/>
          <w:highlight w:val="none"/>
        </w:rPr>
        <w:t>，各供应商根据自身的资格条件及能力参加磋商活动。</w:t>
      </w:r>
    </w:p>
    <w:p>
      <w:pPr>
        <w:numPr>
          <w:ilvl w:val="0"/>
          <w:numId w:val="3"/>
        </w:num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磋商要求：供应商必须根据磋商文件要求，按照第三章《磋商内容及技术要求》进行全面响应。</w:t>
      </w:r>
    </w:p>
    <w:p>
      <w:pPr>
        <w:pStyle w:val="4"/>
        <w:numPr>
          <w:ilvl w:val="0"/>
          <w:numId w:val="4"/>
        </w:numPr>
        <w:bidi w:val="0"/>
        <w:rPr>
          <w:rFonts w:hint="eastAsia"/>
        </w:rPr>
      </w:pPr>
      <w:r>
        <w:rPr>
          <w:rFonts w:hint="eastAsia"/>
        </w:rPr>
        <w:t>响应文件构成</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供应商根据本磋商文件的要求，按照第五章《响应文件构成及格式））进行编制，对磋商文件做出全面实质性响应。</w:t>
      </w:r>
    </w:p>
    <w:p>
      <w:pPr>
        <w:pStyle w:val="4"/>
        <w:bidi w:val="0"/>
        <w:rPr>
          <w:rFonts w:hint="eastAsia"/>
        </w:rPr>
      </w:pPr>
      <w:r>
        <w:rPr>
          <w:rFonts w:hint="eastAsia"/>
        </w:rPr>
        <w:t>五、磋商保证金</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（一）磋商保证金应当在响应文件提交截止</w:t>
      </w:r>
      <w:r>
        <w:rPr>
          <w:rFonts w:hint="eastAsia" w:ascii="宋体" w:hAnsi="宋体" w:eastAsia="宋体" w:cs="宋体"/>
          <w:color w:val="000000"/>
          <w:w w:val="90"/>
          <w:sz w:val="24"/>
          <w:highlight w:val="none"/>
          <w:lang w:val="en-US" w:eastAsia="zh-CN"/>
        </w:rPr>
        <w:t>前一天</w:t>
      </w:r>
      <w:r>
        <w:rPr>
          <w:rFonts w:hint="eastAsia" w:ascii="宋体" w:hAnsi="宋体" w:eastAsia="宋体" w:cs="宋体"/>
          <w:color w:val="000000"/>
          <w:w w:val="90"/>
          <w:sz w:val="24"/>
          <w:highlight w:val="none"/>
        </w:rPr>
        <w:t>，通过</w:t>
      </w:r>
      <w:r>
        <w:rPr>
          <w:rFonts w:hint="eastAsia" w:ascii="宋体" w:hAnsi="宋体" w:eastAsia="宋体" w:cs="宋体"/>
          <w:color w:val="000000"/>
          <w:w w:val="90"/>
          <w:sz w:val="24"/>
          <w:highlight w:val="none"/>
          <w:lang w:val="en-US" w:eastAsia="zh-CN"/>
        </w:rPr>
        <w:t>保函、</w:t>
      </w:r>
      <w:r>
        <w:rPr>
          <w:rFonts w:hint="eastAsia" w:ascii="宋体" w:hAnsi="宋体" w:eastAsia="宋体" w:cs="宋体"/>
          <w:color w:val="000000"/>
          <w:w w:val="90"/>
          <w:sz w:val="24"/>
          <w:highlight w:val="none"/>
        </w:rPr>
        <w:t>倒存支票、电汇、网银方式的任何一种非现金形式交纳到帐。</w:t>
      </w:r>
    </w:p>
    <w:p>
      <w:pPr>
        <w:numPr>
          <w:ilvl w:val="0"/>
          <w:numId w:val="5"/>
        </w:num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磋商保证金按以下账户交纳：</w:t>
      </w:r>
    </w:p>
    <w:p>
      <w:pPr>
        <w:spacing w:line="360" w:lineRule="auto"/>
        <w:ind w:firstLine="434" w:firstLineChars="200"/>
        <w:rPr>
          <w:rFonts w:hint="eastAsia" w:ascii="宋体" w:hAnsi="宋体" w:eastAsia="宋体" w:cs="宋体"/>
          <w:b/>
          <w:bCs/>
          <w:color w:val="000000"/>
          <w:w w:val="90"/>
          <w:kern w:val="0"/>
          <w:sz w:val="24"/>
          <w:highlight w:val="none"/>
          <w:lang w:bidi="ar"/>
        </w:rPr>
      </w:pPr>
      <w:r>
        <w:rPr>
          <w:rFonts w:hint="eastAsia" w:ascii="宋体" w:hAnsi="宋体" w:eastAsia="宋体" w:cs="宋体"/>
          <w:b/>
          <w:bCs/>
          <w:color w:val="000000"/>
          <w:w w:val="90"/>
          <w:kern w:val="0"/>
          <w:sz w:val="24"/>
          <w:highlight w:val="none"/>
          <w:lang w:bidi="ar"/>
        </w:rPr>
        <w:t>开户单位：</w:t>
      </w:r>
      <w:r>
        <w:rPr>
          <w:rFonts w:hint="eastAsia" w:ascii="宋体" w:hAnsi="宋体" w:eastAsia="宋体" w:cs="宋体"/>
          <w:b/>
          <w:bCs/>
          <w:color w:val="000000"/>
          <w:w w:val="90"/>
          <w:kern w:val="0"/>
          <w:sz w:val="24"/>
          <w:highlight w:val="none"/>
          <w:lang w:eastAsia="zh-CN" w:bidi="ar"/>
        </w:rPr>
        <w:t>陕西巨和项目管理有限责任公司</w:t>
      </w:r>
    </w:p>
    <w:p>
      <w:pPr>
        <w:spacing w:line="360" w:lineRule="auto"/>
        <w:ind w:firstLine="434" w:firstLineChars="200"/>
        <w:rPr>
          <w:rFonts w:hint="eastAsia" w:ascii="宋体" w:hAnsi="宋体" w:eastAsia="宋体" w:cs="宋体"/>
          <w:b/>
          <w:bCs/>
          <w:color w:val="000000"/>
          <w:w w:val="90"/>
          <w:kern w:val="0"/>
          <w:sz w:val="24"/>
          <w:highlight w:val="none"/>
          <w:lang w:eastAsia="zh-CN" w:bidi="ar"/>
        </w:rPr>
      </w:pPr>
      <w:r>
        <w:rPr>
          <w:rFonts w:hint="eastAsia" w:ascii="宋体" w:hAnsi="宋体" w:eastAsia="宋体" w:cs="宋体"/>
          <w:b/>
          <w:bCs/>
          <w:color w:val="000000"/>
          <w:w w:val="90"/>
          <w:kern w:val="0"/>
          <w:sz w:val="24"/>
          <w:highlight w:val="none"/>
          <w:lang w:bidi="ar"/>
        </w:rPr>
        <w:t>开户行：</w:t>
      </w:r>
      <w:r>
        <w:rPr>
          <w:rFonts w:hint="eastAsia" w:ascii="宋体" w:hAnsi="宋体" w:eastAsia="宋体" w:cs="宋体"/>
          <w:b/>
          <w:bCs/>
          <w:color w:val="000000"/>
          <w:w w:val="90"/>
          <w:kern w:val="0"/>
          <w:sz w:val="24"/>
          <w:highlight w:val="none"/>
          <w:lang w:eastAsia="zh-CN" w:bidi="ar"/>
        </w:rPr>
        <w:t>长安银行股份有限公司镇巴县小微支行</w:t>
      </w:r>
    </w:p>
    <w:p>
      <w:pPr>
        <w:spacing w:line="360" w:lineRule="auto"/>
        <w:ind w:firstLine="434" w:firstLineChars="200"/>
        <w:rPr>
          <w:rFonts w:hint="eastAsia" w:ascii="宋体" w:hAnsi="宋体" w:eastAsia="宋体" w:cs="宋体"/>
          <w:b/>
          <w:bCs/>
          <w:color w:val="000000"/>
          <w:w w:val="90"/>
          <w:kern w:val="0"/>
          <w:sz w:val="24"/>
          <w:highlight w:val="none"/>
          <w:lang w:eastAsia="zh-CN" w:bidi="ar"/>
        </w:rPr>
      </w:pPr>
      <w:r>
        <w:rPr>
          <w:rFonts w:hint="eastAsia" w:ascii="宋体" w:hAnsi="宋体" w:eastAsia="宋体" w:cs="宋体"/>
          <w:b/>
          <w:bCs/>
          <w:color w:val="000000"/>
          <w:w w:val="90"/>
          <w:kern w:val="0"/>
          <w:sz w:val="24"/>
          <w:highlight w:val="none"/>
          <w:lang w:bidi="ar"/>
        </w:rPr>
        <w:t>银行账户：</w:t>
      </w:r>
      <w:r>
        <w:rPr>
          <w:rFonts w:hint="eastAsia" w:ascii="宋体" w:hAnsi="宋体" w:eastAsia="宋体" w:cs="宋体"/>
          <w:b/>
          <w:bCs/>
          <w:color w:val="000000"/>
          <w:w w:val="90"/>
          <w:kern w:val="0"/>
          <w:sz w:val="24"/>
          <w:highlight w:val="none"/>
          <w:lang w:eastAsia="zh-CN" w:bidi="ar"/>
        </w:rPr>
        <w:t>806061701421002903</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（三）磋商保证金交纳金额（人民币）：</w:t>
      </w:r>
      <w:r>
        <w:rPr>
          <w:rFonts w:hint="eastAsia" w:ascii="宋体" w:hAnsi="宋体" w:cs="宋体"/>
          <w:color w:val="000000"/>
          <w:w w:val="90"/>
          <w:kern w:val="0"/>
          <w:sz w:val="24"/>
          <w:highlight w:val="none"/>
          <w:lang w:val="en-US" w:eastAsia="zh-CN" w:bidi="ar"/>
        </w:rPr>
        <w:t>8000</w:t>
      </w:r>
      <w:r>
        <w:rPr>
          <w:rFonts w:hint="eastAsia" w:ascii="宋体" w:hAnsi="宋体" w:eastAsia="宋体" w:cs="宋体"/>
          <w:color w:val="000000"/>
          <w:w w:val="90"/>
          <w:kern w:val="0"/>
          <w:sz w:val="24"/>
          <w:highlight w:val="none"/>
          <w:lang w:bidi="ar"/>
        </w:rPr>
        <w:t>.00元。</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（四）供应商交纳保证金的注意事项：</w:t>
      </w:r>
    </w:p>
    <w:p>
      <w:pPr>
        <w:numPr>
          <w:ilvl w:val="0"/>
          <w:numId w:val="6"/>
        </w:numPr>
        <w:spacing w:line="360" w:lineRule="auto"/>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供应商应从其基本存款账户向招标代理机构交纳磋商保证金。</w:t>
      </w:r>
    </w:p>
    <w:p>
      <w:pPr>
        <w:spacing w:line="360" w:lineRule="auto"/>
        <w:ind w:firstLine="648" w:firstLineChars="3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2、换取保证金交纳票据时，供应商应向招标代理机构提供以下资料：</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 xml:space="preserve"> (1)交纳保证金的银行回单（进账单、电汇单、电子回单）加盖单位公章复印件；</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3、供应商未提供相关证明或经查实其交纳账户为非基本存款账户的，招标代理机构按该供应商未交纳保证金处理。</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 xml:space="preserve">  （五）供应商在确认保证金到账后，在响应文件提交截止时间1个工作日1 7：00前，凭以上相关资料到招标代理机构办理保证金换票手续。开标当天一律不予换票（外地供应商如需异地办理换票手续，可拨打联系电话咨询）。</w:t>
      </w:r>
    </w:p>
    <w:p>
      <w:pPr>
        <w:spacing w:line="360" w:lineRule="auto"/>
        <w:ind w:firstLine="648" w:firstLineChars="3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（六）磋商保证金的退还</w:t>
      </w:r>
    </w:p>
    <w:p>
      <w:pPr>
        <w:spacing w:line="360" w:lineRule="auto"/>
        <w:ind w:firstLine="216" w:firstLineChars="1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 xml:space="preserve">  1、成交供应商的磋商保证佥，在合同签订后5个工作日内无息退还。采购磋商验收合格后，持采购磋商验收单，到招标代理机构进行备案。</w:t>
      </w:r>
    </w:p>
    <w:p>
      <w:pPr>
        <w:spacing w:line="360" w:lineRule="auto"/>
        <w:ind w:firstLine="432" w:firstLineChars="200"/>
        <w:rPr>
          <w:rFonts w:hint="eastAsia" w:ascii="宋体" w:hAnsi="宋体" w:eastAsia="宋体" w:cs="宋体"/>
          <w:color w:val="000000"/>
          <w:w w:val="90"/>
          <w:kern w:val="0"/>
          <w:sz w:val="24"/>
          <w:highlight w:val="none"/>
          <w:lang w:bidi="ar"/>
        </w:rPr>
      </w:pPr>
      <w:r>
        <w:rPr>
          <w:rFonts w:hint="eastAsia" w:ascii="宋体" w:hAnsi="宋体" w:eastAsia="宋体" w:cs="宋体"/>
          <w:color w:val="000000"/>
          <w:w w:val="90"/>
          <w:kern w:val="0"/>
          <w:sz w:val="24"/>
          <w:highlight w:val="none"/>
          <w:lang w:bidi="ar"/>
        </w:rPr>
        <w:t xml:space="preserve"> 2、未成交供应商的磋商保证金、予成交通知书发出后，5个工作日内无息退还。</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kern w:val="0"/>
          <w:sz w:val="24"/>
          <w:highlight w:val="none"/>
          <w:lang w:bidi="ar"/>
        </w:rPr>
        <w:t xml:space="preserve"> 3、未换取保证金交纳票据、交纳账户为非基本存款账户、重复交纳等情况的，供应商持退款申请到招标代理机构办理退还保证金手续，5个工作日内无息</w:t>
      </w:r>
      <w:r>
        <w:rPr>
          <w:rFonts w:hint="eastAsia" w:ascii="宋体" w:hAnsi="宋体" w:eastAsia="宋体" w:cs="宋体"/>
          <w:color w:val="000000"/>
          <w:w w:val="90"/>
          <w:sz w:val="24"/>
          <w:highlight w:val="none"/>
        </w:rPr>
        <w:t>退还（退款申请应写明采购项目编号、保证金交纳时间、金额、事由及回款账户信息，并加盖单位公章）。</w:t>
      </w:r>
    </w:p>
    <w:p>
      <w:pPr>
        <w:spacing w:line="360" w:lineRule="auto"/>
        <w:ind w:firstLine="648" w:firstLineChars="3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（七）供应商有下列情形之一的，招标代理机构不予退还其交纳的磋商保证金，情节严重的，由财政部门将其列入不良行为纪录名单，在一至三年内禁止参加政府采购活动，并予以通报：</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1、供应商在提交响应文件截止时间后撤回响应文件的；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2、供应商在响应文件中提供虚假资料的；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3、除因不可抗力或磋商文件认呵昀情形以外，成交供应商不与采购人签订合同的；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4、供应商之间、供应商与采购人或者招标代理机构恶意串通的；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5、成交磋商转让给他人，或者在响应文件中未说明，且未经采购人、招标代理机构同意，将成交磋商分包给他人的；</w:t>
      </w:r>
    </w:p>
    <w:p>
      <w:pPr>
        <w:numPr>
          <w:ilvl w:val="0"/>
          <w:numId w:val="7"/>
        </w:num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拒绝履行合同义务的。</w:t>
      </w:r>
    </w:p>
    <w:p>
      <w:pPr>
        <w:pStyle w:val="4"/>
        <w:numPr>
          <w:ilvl w:val="0"/>
          <w:numId w:val="8"/>
        </w:numPr>
        <w:bidi w:val="0"/>
        <w:rPr>
          <w:rFonts w:hint="eastAsia"/>
        </w:rPr>
      </w:pPr>
      <w:r>
        <w:rPr>
          <w:rFonts w:hint="eastAsia"/>
        </w:rPr>
        <w:t>磋商报价</w:t>
      </w:r>
    </w:p>
    <w:p>
      <w:pPr>
        <w:numPr>
          <w:ilvl w:val="0"/>
          <w:numId w:val="9"/>
        </w:num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供应商应在响应文件中的磋商报价表上标明分类报价及合计、</w:t>
      </w:r>
      <w:r>
        <w:rPr>
          <w:rFonts w:hint="eastAsia" w:ascii="宋体" w:hAnsi="宋体" w:eastAsia="宋体" w:cs="宋体"/>
          <w:color w:val="000000"/>
          <w:w w:val="90"/>
          <w:sz w:val="24"/>
          <w:highlight w:val="none"/>
          <w:lang w:eastAsia="zh-CN"/>
        </w:rPr>
        <w:t>服务</w:t>
      </w:r>
      <w:r>
        <w:rPr>
          <w:rFonts w:hint="eastAsia" w:ascii="宋体" w:hAnsi="宋体" w:eastAsia="宋体" w:cs="宋体"/>
          <w:color w:val="000000"/>
          <w:w w:val="90"/>
          <w:sz w:val="24"/>
          <w:highlight w:val="none"/>
        </w:rPr>
        <w:t>期。</w:t>
      </w:r>
      <w:r>
        <w:rPr>
          <w:rFonts w:hint="eastAsia" w:ascii="宋体" w:hAnsi="宋体" w:eastAsia="宋体" w:cs="宋体"/>
          <w:b/>
          <w:bCs/>
          <w:color w:val="000000"/>
          <w:w w:val="90"/>
          <w:sz w:val="24"/>
          <w:highlight w:val="none"/>
        </w:rPr>
        <w:t>本次磋商采取</w:t>
      </w:r>
      <w:r>
        <w:rPr>
          <w:rFonts w:hint="eastAsia" w:ascii="宋体" w:hAnsi="宋体" w:eastAsia="宋体" w:cs="宋体"/>
          <w:b/>
          <w:bCs/>
          <w:color w:val="000000"/>
          <w:w w:val="90"/>
          <w:sz w:val="24"/>
          <w:highlight w:val="none"/>
          <w:lang w:val="en-US" w:eastAsia="zh-CN"/>
        </w:rPr>
        <w:t>二</w:t>
      </w:r>
      <w:r>
        <w:rPr>
          <w:rFonts w:hint="eastAsia" w:ascii="宋体" w:hAnsi="宋体" w:eastAsia="宋体" w:cs="宋体"/>
          <w:b/>
          <w:bCs/>
          <w:color w:val="000000"/>
          <w:w w:val="90"/>
          <w:sz w:val="24"/>
          <w:highlight w:val="none"/>
        </w:rPr>
        <w:t>次报价的办法</w:t>
      </w: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现场二次</w:t>
      </w:r>
      <w:r>
        <w:rPr>
          <w:rFonts w:hint="eastAsia" w:ascii="宋体" w:hAnsi="宋体" w:eastAsia="宋体" w:cs="宋体"/>
          <w:color w:val="000000"/>
          <w:w w:val="90"/>
          <w:sz w:val="24"/>
          <w:highlight w:val="none"/>
        </w:rPr>
        <w:t>磋商报价表上有效报价即作为价格权值计算的依据。</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（二）凡因供应商对竞争性磋商文件阅读不深、理解不透、误解、疏漏、或因市场行情了解不清造成的后果和风险，均由供应商自己负责。</w:t>
      </w:r>
    </w:p>
    <w:p>
      <w:pPr>
        <w:spacing w:line="360" w:lineRule="auto"/>
        <w:ind w:left="431"/>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（三）磋商报价金额的小写与大写不一致时，以大写为准。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（四）磋商报价货币：人民币；单位：元，精确到小数点后两位。</w:t>
      </w:r>
    </w:p>
    <w:p>
      <w:pPr>
        <w:pStyle w:val="4"/>
        <w:bidi w:val="0"/>
        <w:rPr>
          <w:rFonts w:hint="eastAsia"/>
        </w:rPr>
      </w:pPr>
      <w:r>
        <w:rPr>
          <w:rFonts w:hint="eastAsia"/>
        </w:rPr>
        <w:t>七、响应文件的式样和签署及有效期</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（一）响应文件式样</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1、供应商按照磋商文件第五章《响应文件构成及格式》，准备响应文件正本一套、副本二套，（并提交一份电子版磋商文件，单独密封。）并各自装订成册，每套响应文件须清楚地标明“正本”  “副本，一旦正本和副本不符，以正本为准。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2、响应文件装订方式：胶订（图纸及特殊文件除外）</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3、响应文件的正本和所有的副本均须打印或用不退色兰（黑）墨水（汁）书写，统一装订，标码。</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4、磋商的所有文件、资料、函电文字均使用中文。</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（二）响应文件签署</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1、响应文件加盖供应商公章，并有供应商的法定代表人或被授权人签字或盖章。</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2、除供应商对错、漏处作必要修改外，响应文件不得行间插字、涂改和增删，如有修改错、漏处，必须有供应商的法定代表人或被授权人签字或盖章。</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（三）响应文件有效期</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响应文件有效期为自磋商开标之日起九十(90)个日历天。如成交、延长至合同执行完毕时止。</w:t>
      </w:r>
    </w:p>
    <w:p>
      <w:pPr>
        <w:pStyle w:val="4"/>
        <w:bidi w:val="0"/>
        <w:rPr>
          <w:rFonts w:hint="eastAsia"/>
        </w:rPr>
      </w:pPr>
      <w:r>
        <w:rPr>
          <w:rFonts w:hint="eastAsia"/>
        </w:rPr>
        <w:t>八、响应文件的提交、修改和撤回</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（一）响应文件的提交</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供应商应将响应文件的正本和所有副本用单独的封袋分开密封，且在封袋上标明响应文件“正本”或“副本”字样，在响应文件提交截止时间前提交至磋商地点。</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（二）响应文件封袋按以下要求办理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1、加封条密封，在封线处加盖单位公章。</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2、封袋正面标明采购项目编号、磋商名称，供应商（公章）等内容。</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（三）响应文件提交时，出现下列情况之一的，其响应文件将被拒绝接收：</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1、参加磋商的供应商名称与保证金票据的供应商名称不相符的：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2、响应文件未按要求密封的；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3、误投的；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4、过早启封的；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5、已过响应文件提交截止时间的。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（四）响应文件出现下列情况之一的，按无效处理：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1、磋商供应商单位负责人为同一人或者存在直接控股、管理关系的不同供应商，参加同一合同项下的政府采购活动的；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2、响应文件没有全面响应磋商文件要求的；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3、响应文件未按要求装订的；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4、响应文件应盖章处未盖章的；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5、磋商报价与市场价偏离较大，低于成本，形成不正当竞争的。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（五）响应文件提交后，在响应文件提交截止时间前，经招标代理机构同意，供应商可修改或撤回其磋商响应文件。修改或撤回的内容应按要求编制、密封，标记，并在封套上加注“修改”字样。</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（六）在响应文件提交截止时间后到磋商文件规定的响应文件的有效期满之间的这段时间内，供应商不得撤回其响应文件，否则，其磋商保证金将不予退还。</w:t>
      </w:r>
    </w:p>
    <w:p>
      <w:pPr>
        <w:pStyle w:val="4"/>
        <w:bidi w:val="0"/>
        <w:rPr>
          <w:rFonts w:hint="eastAsia"/>
        </w:rPr>
      </w:pPr>
      <w:r>
        <w:rPr>
          <w:rFonts w:hint="eastAsia"/>
        </w:rPr>
        <w:t>九、组织磋商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（一）招标代理机构组织磋商大会、磋商、评审工作，整个过程受监管机构的监督、管理。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（二）为了确保磋商工作的公平、公正，依据政府采购法和政府采购相关法规、法令，成立磋商小组，小组成员由3人及以上的单数组成。专家从陕西省政府采购网上随机抽取。</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（三）招标代理机构在规定的时间和地点组织磋商，供应商可委派代表参加，参加磋商的代表应</w:t>
      </w:r>
      <w:r>
        <w:rPr>
          <w:rFonts w:hint="eastAsia" w:ascii="宋体" w:hAnsi="宋体" w:cs="宋体"/>
          <w:color w:val="000000"/>
          <w:w w:val="90"/>
          <w:sz w:val="24"/>
          <w:highlight w:val="none"/>
          <w:lang w:eastAsia="zh-CN"/>
        </w:rPr>
        <w:t>签字</w:t>
      </w:r>
      <w:r>
        <w:rPr>
          <w:rFonts w:hint="eastAsia" w:ascii="宋体" w:hAnsi="宋体" w:eastAsia="宋体" w:cs="宋体"/>
          <w:color w:val="000000"/>
          <w:w w:val="90"/>
          <w:sz w:val="24"/>
          <w:highlight w:val="none"/>
        </w:rPr>
        <w:t>报到以证明其出席。</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（四）磋商大会上，招标代理机构对经检查的有效响应文件，依据提交顺序，以公开唱价的形式，将磋商报价表的内容公布。</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（五）采购人与成交供应商正式签订政府采购合同前，凡与审查、磋商、澄清、评审过程中有关的所有资料和内容，磋商小组成员、招标代理机构工作人员及相关人员均负有保密责任，不得向外透露。</w:t>
      </w:r>
    </w:p>
    <w:p>
      <w:pPr>
        <w:pStyle w:val="4"/>
        <w:numPr>
          <w:ilvl w:val="0"/>
          <w:numId w:val="10"/>
        </w:numPr>
        <w:bidi w:val="0"/>
        <w:rPr>
          <w:rFonts w:hint="eastAsia"/>
        </w:rPr>
      </w:pPr>
      <w:r>
        <w:rPr>
          <w:rFonts w:hint="eastAsia"/>
        </w:rPr>
        <w:t>磋商方法及程序</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（一）磋商方法：综合评分法</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响应文件满足磋商文件全部实质性要求且按照评审因素的量化指标评审得分最高的供应商为成交候选人。</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二）磋商程序：供应商资格性审查通过后，磋商小组再对响应文件的有效性、完整性和响应程度等进行审查，全部评审合格的供应商进入最后的综合打分，按最后得分由高向低排序，推荐成交候选供应商。其程序如下：</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1、资格性审查</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依据法律法规和磋商文件的规定，对响应文件中的资格证明进行审查，以确定磋商供应商是否具备磋商资格。</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2、响应文件的有效性、完整性审查</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依据磋商文件的规定，对响应文件的有效性、完整性进行审查。响应文件缺少其中一项按无效文件处理，响应文件应包含以下内容：</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（1）法定代表人证明书及法定代表人授权书</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（2）投标函</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（3）开标一览表</w:t>
      </w:r>
    </w:p>
    <w:p>
      <w:pPr>
        <w:spacing w:line="360" w:lineRule="auto"/>
        <w:ind w:firstLine="864" w:firstLineChars="4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4</w:t>
      </w:r>
      <w:r>
        <w:rPr>
          <w:rFonts w:hint="eastAsia" w:ascii="宋体" w:hAnsi="宋体" w:eastAsia="宋体" w:cs="宋体"/>
          <w:color w:val="000000"/>
          <w:w w:val="90"/>
          <w:sz w:val="24"/>
          <w:highlight w:val="none"/>
        </w:rPr>
        <w:t>）技术投标方案</w:t>
      </w:r>
    </w:p>
    <w:p>
      <w:pPr>
        <w:spacing w:line="360" w:lineRule="auto"/>
        <w:ind w:firstLine="864" w:firstLineChars="4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5</w:t>
      </w:r>
      <w:r>
        <w:rPr>
          <w:rFonts w:hint="eastAsia" w:ascii="宋体" w:hAnsi="宋体" w:eastAsia="宋体" w:cs="宋体"/>
          <w:color w:val="000000"/>
          <w:w w:val="90"/>
          <w:sz w:val="24"/>
          <w:highlight w:val="none"/>
        </w:rPr>
        <w:t>）商务投标方案</w:t>
      </w:r>
    </w:p>
    <w:p>
      <w:pPr>
        <w:spacing w:line="360" w:lineRule="auto"/>
        <w:ind w:firstLine="864" w:firstLineChars="4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6</w:t>
      </w:r>
      <w:r>
        <w:rPr>
          <w:rFonts w:hint="eastAsia" w:ascii="宋体" w:hAnsi="宋体" w:eastAsia="宋体" w:cs="宋体"/>
          <w:color w:val="000000"/>
          <w:w w:val="90"/>
          <w:sz w:val="24"/>
          <w:highlight w:val="none"/>
        </w:rPr>
        <w:t>）供应商承诺</w:t>
      </w:r>
    </w:p>
    <w:p>
      <w:pPr>
        <w:spacing w:line="360" w:lineRule="auto"/>
        <w:ind w:firstLine="864" w:firstLineChars="4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7</w:t>
      </w:r>
      <w:r>
        <w:rPr>
          <w:rFonts w:hint="eastAsia" w:ascii="宋体" w:hAnsi="宋体" w:eastAsia="宋体" w:cs="宋体"/>
          <w:color w:val="000000"/>
          <w:w w:val="90"/>
          <w:sz w:val="24"/>
          <w:highlight w:val="none"/>
        </w:rPr>
        <w:t>）磋商保证金复印凭证</w:t>
      </w:r>
    </w:p>
    <w:p>
      <w:pPr>
        <w:spacing w:line="360" w:lineRule="exact"/>
        <w:ind w:firstLine="864" w:firstLineChars="4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w:t>
      </w:r>
      <w:r>
        <w:rPr>
          <w:rFonts w:hint="eastAsia" w:ascii="宋体" w:hAnsi="宋体" w:eastAsia="宋体" w:cs="宋体"/>
          <w:color w:val="000000"/>
          <w:w w:val="90"/>
          <w:sz w:val="24"/>
          <w:highlight w:val="none"/>
          <w:lang w:val="en-US" w:eastAsia="zh-CN"/>
        </w:rPr>
        <w:t>8</w:t>
      </w:r>
      <w:r>
        <w:rPr>
          <w:rFonts w:hint="eastAsia" w:ascii="宋体" w:hAnsi="宋体" w:eastAsia="宋体" w:cs="宋体"/>
          <w:color w:val="000000"/>
          <w:w w:val="90"/>
          <w:sz w:val="24"/>
          <w:highlight w:val="none"/>
        </w:rPr>
        <w:t>）资格证明文件</w:t>
      </w:r>
    </w:p>
    <w:p>
      <w:pPr>
        <w:spacing w:line="360" w:lineRule="auto"/>
        <w:ind w:firstLine="648" w:firstLineChars="3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3、合同草案条款符合性审查</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（三）磋商澄清</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磋商小组可以要求供应商对响应文件中含义不明确、同类问题表述不一致或者有明显文字和计算错误的内容等需作出必要的澄清、说明或者更正。供应商的澄清、说明或者更正不得超出响应文件的范围或者改变响应文件的实质性内容，有关澄清的内容应以书面形式（包括电传、传真）提交，并由其法定代表人或被授权人签字。供应商在规定的澄清时限内，未能答复或者拒绝答复澄清的，取消其磋商资格。</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2、以上澄清内容作为供应商响应文件的组成部分。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（四）磋商文件的实质性变更</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pPr>
        <w:spacing w:line="500" w:lineRule="exact"/>
        <w:ind w:firstLine="216" w:firstLineChars="100"/>
        <w:rPr>
          <w:rFonts w:hint="eastAsia" w:ascii="宋体" w:hAnsi="宋体" w:eastAsia="宋体" w:cs="宋体"/>
          <w:w w:val="90"/>
          <w:sz w:val="24"/>
          <w:highlight w:val="none"/>
        </w:rPr>
      </w:pPr>
      <w:r>
        <w:rPr>
          <w:rFonts w:hint="eastAsia" w:ascii="宋体" w:hAnsi="宋体" w:eastAsia="宋体" w:cs="宋体"/>
          <w:color w:val="000000"/>
          <w:w w:val="90"/>
          <w:sz w:val="24"/>
          <w:highlight w:val="none"/>
        </w:rPr>
        <w:t xml:space="preserve"> （2）</w:t>
      </w:r>
      <w:r>
        <w:rPr>
          <w:rFonts w:hint="eastAsia" w:ascii="宋体" w:hAnsi="宋体" w:eastAsia="宋体" w:cs="宋体"/>
          <w:w w:val="90"/>
          <w:sz w:val="24"/>
          <w:highlight w:val="none"/>
        </w:rPr>
        <w:t>对磋商文件作出的实质性变动是磋商文件的有效组成部分，磋商小组将及时以书面形式同时通知所有参与磋商的供应商。</w:t>
      </w:r>
    </w:p>
    <w:p>
      <w:pPr>
        <w:spacing w:line="500" w:lineRule="exact"/>
        <w:ind w:firstLine="432" w:firstLineChars="200"/>
        <w:rPr>
          <w:rFonts w:hint="eastAsia" w:ascii="宋体" w:hAnsi="宋体" w:eastAsia="宋体" w:cs="宋体"/>
          <w:w w:val="90"/>
          <w:sz w:val="24"/>
          <w:highlight w:val="none"/>
        </w:rPr>
      </w:pPr>
      <w:r>
        <w:rPr>
          <w:rFonts w:hint="eastAsia" w:ascii="宋体" w:hAnsi="宋体" w:eastAsia="宋体" w:cs="宋体"/>
          <w:w w:val="90"/>
          <w:sz w:val="24"/>
          <w:highlight w:val="none"/>
        </w:rPr>
        <w:t>（3）供应商应当按照磋商文件的变动情况和磋商小组的要求重新提交响应文件，并由其法定代表人或授权代表签字或者加盖公章。</w:t>
      </w:r>
    </w:p>
    <w:p>
      <w:pPr>
        <w:spacing w:line="500" w:lineRule="exact"/>
        <w:ind w:firstLine="432" w:firstLineChars="200"/>
        <w:rPr>
          <w:rFonts w:hint="eastAsia" w:ascii="宋体" w:hAnsi="宋体" w:eastAsia="宋体" w:cs="宋体"/>
          <w:w w:val="90"/>
          <w:sz w:val="24"/>
          <w:highlight w:val="none"/>
        </w:rPr>
      </w:pPr>
      <w:r>
        <w:rPr>
          <w:rFonts w:hint="eastAsia" w:ascii="宋体" w:hAnsi="宋体" w:eastAsia="宋体" w:cs="宋体"/>
          <w:w w:val="90"/>
          <w:sz w:val="24"/>
          <w:highlight w:val="none"/>
        </w:rPr>
        <w:t>（五）报价</w:t>
      </w:r>
    </w:p>
    <w:p>
      <w:pPr>
        <w:spacing w:line="500" w:lineRule="exact"/>
        <w:ind w:firstLine="378" w:firstLineChars="200"/>
        <w:rPr>
          <w:rFonts w:hint="eastAsia" w:ascii="宋体" w:hAnsi="宋体" w:eastAsia="宋体" w:cs="宋体"/>
          <w:w w:val="90"/>
          <w:sz w:val="24"/>
          <w:highlight w:val="none"/>
        </w:rPr>
      </w:pPr>
      <w:r>
        <w:rPr>
          <w:rFonts w:hint="eastAsia" w:ascii="宋体" w:hAnsi="宋体" w:eastAsia="宋体" w:cs="宋体"/>
          <w:w w:val="90"/>
          <w:highlight w:val="none"/>
        </w:rPr>
        <w:t>（1）</w:t>
      </w:r>
      <w:r>
        <w:rPr>
          <w:rFonts w:hint="eastAsia" w:ascii="宋体" w:hAnsi="宋体" w:eastAsia="宋体" w:cs="宋体"/>
          <w:w w:val="90"/>
          <w:sz w:val="24"/>
          <w:highlight w:val="none"/>
        </w:rPr>
        <w:t>在对所有供应商进行有效性、完整性、符合性审查时，通过必要的澄清，从质量和技术、服务均能满足磋商文件实质性响应要求的基础上，筛选出合格供应商。不合格供应商的响应文件按无效处理，磋商小组要告知有关供应商。</w:t>
      </w:r>
    </w:p>
    <w:p>
      <w:pPr>
        <w:spacing w:line="500" w:lineRule="exact"/>
        <w:ind w:firstLine="432" w:firstLineChars="200"/>
        <w:rPr>
          <w:rFonts w:hint="eastAsia" w:ascii="宋体" w:hAnsi="宋体" w:eastAsia="宋体" w:cs="宋体"/>
          <w:w w:val="90"/>
          <w:sz w:val="24"/>
          <w:highlight w:val="none"/>
        </w:rPr>
      </w:pPr>
      <w:r>
        <w:rPr>
          <w:rFonts w:hint="eastAsia" w:ascii="宋体" w:hAnsi="宋体" w:eastAsia="宋体" w:cs="宋体"/>
          <w:w w:val="90"/>
          <w:sz w:val="24"/>
          <w:highlight w:val="none"/>
        </w:rPr>
        <w:t>（2）有效报价为低于采购预算的报价，高于采购预算的报价均为无效报价。按废标处理，磋商小组要告知有关供应商。</w:t>
      </w:r>
    </w:p>
    <w:p>
      <w:pPr>
        <w:numPr>
          <w:ilvl w:val="0"/>
          <w:numId w:val="11"/>
        </w:numPr>
        <w:spacing w:line="500" w:lineRule="exact"/>
        <w:ind w:firstLine="432" w:firstLineChars="200"/>
        <w:rPr>
          <w:rFonts w:hint="eastAsia" w:ascii="宋体" w:hAnsi="宋体" w:eastAsia="宋体" w:cs="宋体"/>
          <w:w w:val="90"/>
          <w:sz w:val="24"/>
          <w:highlight w:val="none"/>
        </w:rPr>
      </w:pPr>
      <w:r>
        <w:rPr>
          <w:rFonts w:hint="eastAsia" w:ascii="宋体" w:hAnsi="宋体" w:eastAsia="宋体" w:cs="宋体"/>
          <w:w w:val="90"/>
          <w:sz w:val="24"/>
          <w:highlight w:val="none"/>
        </w:rPr>
        <w:t>综合比较评价</w:t>
      </w:r>
    </w:p>
    <w:p>
      <w:pPr>
        <w:bidi w:val="0"/>
        <w:ind w:firstLine="420" w:firstLineChars="200"/>
        <w:rPr>
          <w:rFonts w:hint="eastAsia" w:ascii="宋体" w:hAnsi="宋体" w:eastAsia="宋体" w:cs="宋体"/>
          <w:w w:val="90"/>
          <w:highlight w:val="none"/>
        </w:rPr>
      </w:pPr>
      <w:bookmarkStart w:id="24" w:name="_Toc3529"/>
      <w:bookmarkStart w:id="25" w:name="_Toc20465"/>
      <w:bookmarkStart w:id="26" w:name="_Toc4808"/>
      <w:bookmarkStart w:id="27" w:name="_Toc18599"/>
      <w:bookmarkStart w:id="28" w:name="_Toc24012"/>
      <w:r>
        <w:rPr>
          <w:rFonts w:hint="eastAsia"/>
        </w:rPr>
        <w:t>磋商小组按“评审要素及分值一览表”中规定的评审方法和标准，对有效性、完整性、符合性检查合格的响应文件进行评估，综合比较与评价。</w:t>
      </w:r>
      <w:bookmarkEnd w:id="24"/>
      <w:bookmarkEnd w:id="25"/>
      <w:bookmarkEnd w:id="26"/>
      <w:bookmarkEnd w:id="27"/>
      <w:bookmarkEnd w:id="28"/>
    </w:p>
    <w:p>
      <w:pPr>
        <w:widowControl/>
        <w:jc w:val="center"/>
        <w:rPr>
          <w:rFonts w:hint="eastAsia" w:ascii="宋体" w:hAnsi="宋体" w:eastAsia="宋体" w:cs="宋体"/>
          <w:b/>
          <w:bCs/>
          <w:w w:val="90"/>
          <w:sz w:val="32"/>
          <w:szCs w:val="32"/>
          <w:highlight w:val="none"/>
        </w:rPr>
      </w:pPr>
    </w:p>
    <w:p>
      <w:pPr>
        <w:widowControl/>
        <w:jc w:val="center"/>
        <w:rPr>
          <w:rFonts w:hint="eastAsia" w:ascii="宋体" w:hAnsi="宋体" w:eastAsia="宋体" w:cs="宋体"/>
          <w:b/>
          <w:bCs/>
          <w:w w:val="90"/>
          <w:sz w:val="32"/>
          <w:szCs w:val="32"/>
          <w:highlight w:val="none"/>
        </w:rPr>
      </w:pPr>
      <w:r>
        <w:rPr>
          <w:rFonts w:hint="eastAsia" w:ascii="宋体" w:hAnsi="宋体" w:eastAsia="宋体" w:cs="宋体"/>
          <w:b/>
          <w:bCs/>
          <w:w w:val="90"/>
          <w:sz w:val="32"/>
          <w:szCs w:val="32"/>
          <w:highlight w:val="none"/>
        </w:rPr>
        <w:t>评审要素一览表（综合评分法）</w:t>
      </w:r>
    </w:p>
    <w:p>
      <w:pPr>
        <w:pStyle w:val="2"/>
        <w:rPr>
          <w:rFonts w:hint="eastAsia"/>
          <w:highlight w:val="none"/>
        </w:rPr>
      </w:pPr>
    </w:p>
    <w:tbl>
      <w:tblPr>
        <w:tblStyle w:val="44"/>
        <w:tblW w:w="10363"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46"/>
        <w:gridCol w:w="8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84" w:type="dxa"/>
            <w:vAlign w:val="center"/>
          </w:tcPr>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评标</w:t>
            </w:r>
            <w:r>
              <w:rPr>
                <w:rFonts w:hint="eastAsia" w:ascii="宋体" w:hAnsi="宋体" w:eastAsia="宋体" w:cs="宋体"/>
                <w:b/>
                <w:bCs w:val="0"/>
                <w:color w:val="000000" w:themeColor="text1"/>
                <w:sz w:val="21"/>
                <w:szCs w:val="21"/>
                <w14:textFill>
                  <w14:solidFill>
                    <w14:schemeClr w14:val="tx1"/>
                  </w14:solidFill>
                </w14:textFill>
              </w:rPr>
              <w:t>因素</w:t>
            </w:r>
          </w:p>
        </w:tc>
        <w:tc>
          <w:tcPr>
            <w:tcW w:w="846" w:type="dxa"/>
            <w:vAlign w:val="center"/>
          </w:tcPr>
          <w:p>
            <w:pPr>
              <w:spacing w:line="240" w:lineRule="auto"/>
              <w:jc w:val="center"/>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分值</w:t>
            </w:r>
          </w:p>
        </w:tc>
        <w:tc>
          <w:tcPr>
            <w:tcW w:w="8333" w:type="dxa"/>
            <w:vAlign w:val="center"/>
          </w:tcPr>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评标</w:t>
            </w:r>
            <w:r>
              <w:rPr>
                <w:rFonts w:hint="eastAsia" w:ascii="宋体" w:hAnsi="宋体" w:eastAsia="宋体" w:cs="宋体"/>
                <w:b/>
                <w:bCs w:val="0"/>
                <w:color w:val="000000" w:themeColor="text1"/>
                <w:sz w:val="21"/>
                <w:szCs w:val="21"/>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184" w:type="dxa"/>
            <w:vAlign w:val="center"/>
          </w:tcPr>
          <w:p>
            <w:pPr>
              <w:snapToGrid w:val="0"/>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napToGrid w:val="0"/>
              <w:spacing w:line="240" w:lineRule="auto"/>
              <w:jc w:val="center"/>
              <w:rPr>
                <w:rFonts w:hint="eastAsia" w:ascii="宋体" w:hAnsi="宋体" w:eastAsia="宋体" w:cs="宋体"/>
                <w:b/>
                <w:bCs w:val="0"/>
                <w:color w:val="000000" w:themeColor="text1"/>
                <w:sz w:val="21"/>
                <w:szCs w:val="21"/>
                <w:lang w:eastAsia="zh-CN"/>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报价</w:t>
            </w:r>
            <w:r>
              <w:rPr>
                <w:rFonts w:hint="eastAsia" w:ascii="宋体" w:hAnsi="宋体" w:eastAsia="宋体" w:cs="宋体"/>
                <w:b/>
                <w:bCs w:val="0"/>
                <w:color w:val="000000" w:themeColor="text1"/>
                <w:sz w:val="21"/>
                <w:szCs w:val="21"/>
                <w14:textFill>
                  <w14:solidFill>
                    <w14:schemeClr w14:val="tx1"/>
                  </w14:solidFill>
                </w14:textFill>
              </w:rPr>
              <w:br w:type="textWrapping"/>
            </w: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hint="eastAsia" w:ascii="宋体" w:hAnsi="宋体" w:cs="宋体"/>
                <w:b/>
                <w:bCs w:val="0"/>
                <w:color w:val="000000" w:themeColor="text1"/>
                <w:sz w:val="21"/>
                <w:szCs w:val="21"/>
                <w:lang w:val="en-US" w:eastAsia="zh-CN"/>
                <w14:textFill>
                  <w14:solidFill>
                    <w14:schemeClr w14:val="tx1"/>
                  </w14:solidFill>
                </w14:textFill>
              </w:rPr>
              <w:t>1</w:t>
            </w:r>
            <w:r>
              <w:rPr>
                <w:rFonts w:hint="eastAsia" w:ascii="宋体" w:hAnsi="宋体" w:eastAsia="宋体" w:cs="宋体"/>
                <w:b/>
                <w:bCs w:val="0"/>
                <w:color w:val="000000" w:themeColor="text1"/>
                <w:sz w:val="21"/>
                <w:szCs w:val="21"/>
                <w:lang w:val="en-US" w:eastAsia="zh-CN"/>
                <w14:textFill>
                  <w14:solidFill>
                    <w14:schemeClr w14:val="tx1"/>
                  </w14:solidFill>
                </w14:textFill>
              </w:rPr>
              <w:t>0</w:t>
            </w:r>
            <w:r>
              <w:rPr>
                <w:rFonts w:hint="eastAsia" w:ascii="宋体" w:hAnsi="宋体" w:eastAsia="宋体" w:cs="宋体"/>
                <w:b/>
                <w:bCs w:val="0"/>
                <w:color w:val="000000" w:themeColor="text1"/>
                <w:sz w:val="21"/>
                <w:szCs w:val="21"/>
                <w14:textFill>
                  <w14:solidFill>
                    <w14:schemeClr w14:val="tx1"/>
                  </w14:solidFill>
                </w14:textFill>
              </w:rPr>
              <w:t>分</w:t>
            </w:r>
            <w:r>
              <w:rPr>
                <w:rFonts w:hint="eastAsia" w:ascii="宋体" w:hAnsi="宋体" w:eastAsia="宋体" w:cs="宋体"/>
                <w:b/>
                <w:bCs w:val="0"/>
                <w:color w:val="000000" w:themeColor="text1"/>
                <w:sz w:val="21"/>
                <w:szCs w:val="21"/>
                <w:lang w:eastAsia="zh-CN"/>
                <w14:textFill>
                  <w14:solidFill>
                    <w14:schemeClr w14:val="tx1"/>
                  </w14:solidFill>
                </w14:textFill>
              </w:rPr>
              <w:t>）</w:t>
            </w:r>
          </w:p>
        </w:tc>
        <w:tc>
          <w:tcPr>
            <w:tcW w:w="846" w:type="dxa"/>
            <w:vAlign w:val="center"/>
          </w:tcPr>
          <w:p>
            <w:pPr>
              <w:spacing w:line="240" w:lineRule="auto"/>
              <w:jc w:val="both"/>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w:t>
            </w:r>
            <w:r>
              <w:rPr>
                <w:rFonts w:hint="eastAsia" w:ascii="宋体" w:hAnsi="宋体" w:eastAsia="宋体" w:cs="宋体"/>
                <w:b/>
                <w:bCs w:val="0"/>
                <w:color w:val="000000" w:themeColor="text1"/>
                <w:sz w:val="21"/>
                <w:szCs w:val="21"/>
                <w:lang w:val="en-US" w:eastAsia="zh-CN"/>
                <w14:textFill>
                  <w14:solidFill>
                    <w14:schemeClr w14:val="tx1"/>
                  </w14:solidFill>
                </w14:textFill>
              </w:rPr>
              <w:t>0</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top"/>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报价得分=（评审基准价/最后报价）×10</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报价得分采用低价优先法计算，即满足公开招标文件要求且最后报价最低的供应商的价格为评审基准价，其价格分为满分</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供应商满足政府采购政策的，用扣除后的价格参加评审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184" w:type="dxa"/>
            <w:vMerge w:val="restart"/>
            <w:vAlign w:val="top"/>
          </w:tcPr>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p>
            <w:pPr>
              <w:spacing w:line="240" w:lineRule="auto"/>
              <w:ind w:firstLine="211" w:firstLineChars="100"/>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技术</w:t>
            </w:r>
          </w:p>
          <w:p>
            <w:pPr>
              <w:spacing w:line="240" w:lineRule="auto"/>
              <w:rPr>
                <w:rFonts w:hint="eastAsia"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（50分）</w:t>
            </w:r>
          </w:p>
        </w:tc>
        <w:tc>
          <w:tcPr>
            <w:tcW w:w="846" w:type="dxa"/>
            <w:vAlign w:val="center"/>
          </w:tcPr>
          <w:p>
            <w:pPr>
              <w:tabs>
                <w:tab w:val="left" w:pos="547"/>
              </w:tabs>
              <w:spacing w:line="240" w:lineRule="auto"/>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20</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center"/>
          </w:tcPr>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所投产品的技术参数、配置和功能需求</w:t>
            </w:r>
            <w:r>
              <w:rPr>
                <w:rFonts w:hint="eastAsia" w:ascii="宋体" w:hAnsi="宋体" w:eastAsia="宋体" w:cs="宋体"/>
                <w:b w:val="0"/>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①</w:t>
            </w:r>
            <w:r>
              <w:rPr>
                <w:rFonts w:hint="eastAsia" w:ascii="宋体" w:hAnsi="宋体" w:eastAsia="宋体" w:cs="宋体"/>
                <w:b w:val="0"/>
                <w:bCs/>
                <w:color w:val="000000" w:themeColor="text1"/>
                <w:sz w:val="21"/>
                <w:szCs w:val="21"/>
                <w14:textFill>
                  <w14:solidFill>
                    <w14:schemeClr w14:val="tx1"/>
                  </w14:solidFill>
                </w14:textFill>
              </w:rPr>
              <w:t>投标人所投标产品完全满足招标文件技术参数要求</w:t>
            </w:r>
            <w:r>
              <w:rPr>
                <w:rFonts w:hint="eastAsia" w:ascii="宋体" w:hAnsi="宋体" w:eastAsia="宋体" w:cs="宋体"/>
                <w:b w:val="0"/>
                <w:bCs/>
                <w:color w:val="000000" w:themeColor="text1"/>
                <w:sz w:val="21"/>
                <w:szCs w:val="21"/>
                <w:lang w:val="en-US" w:eastAsia="zh-CN"/>
                <w14:textFill>
                  <w14:solidFill>
                    <w14:schemeClr w14:val="tx1"/>
                  </w14:solidFill>
                </w14:textFill>
              </w:rPr>
              <w:t>且标</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”号技术</w:t>
            </w:r>
            <w:r>
              <w:rPr>
                <w:rFonts w:hint="eastAsia" w:ascii="宋体" w:hAnsi="宋体" w:eastAsia="宋体" w:cs="宋体"/>
                <w:b w:val="0"/>
                <w:bCs/>
                <w:color w:val="000000" w:themeColor="text1"/>
                <w:sz w:val="21"/>
                <w:szCs w:val="21"/>
                <w:lang w:val="en-US" w:eastAsia="zh-CN"/>
                <w14:textFill>
                  <w14:solidFill>
                    <w14:schemeClr w14:val="tx1"/>
                  </w14:solidFill>
                </w14:textFill>
              </w:rPr>
              <w:t>参数均提供了有效的证明材料与之对应，</w:t>
            </w:r>
            <w:r>
              <w:rPr>
                <w:rFonts w:hint="eastAsia" w:ascii="宋体" w:hAnsi="宋体" w:eastAsia="宋体" w:cs="宋体"/>
                <w:b w:val="0"/>
                <w:bCs/>
                <w:color w:val="000000" w:themeColor="text1"/>
                <w:sz w:val="21"/>
                <w:szCs w:val="21"/>
                <w14:textFill>
                  <w14:solidFill>
                    <w14:schemeClr w14:val="tx1"/>
                  </w14:solidFill>
                </w14:textFill>
              </w:rPr>
              <w:t>得</w:t>
            </w:r>
            <w:r>
              <w:rPr>
                <w:rFonts w:hint="eastAsia" w:ascii="宋体" w:hAnsi="宋体" w:eastAsia="宋体" w:cs="宋体"/>
                <w:b w:val="0"/>
                <w:bCs/>
                <w:color w:val="000000" w:themeColor="text1"/>
                <w:sz w:val="21"/>
                <w:szCs w:val="21"/>
                <w:lang w:val="en-US" w:eastAsia="zh-CN"/>
                <w14:textFill>
                  <w14:solidFill>
                    <w14:schemeClr w14:val="tx1"/>
                  </w14:solidFill>
                </w14:textFill>
              </w:rPr>
              <w:t>20</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②标</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号技术参数每偏离一项扣2分</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标</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”号技术</w:t>
            </w:r>
            <w:r>
              <w:rPr>
                <w:rFonts w:hint="eastAsia" w:ascii="宋体" w:hAnsi="宋体" w:eastAsia="宋体" w:cs="宋体"/>
                <w:b w:val="0"/>
                <w:bCs/>
                <w:color w:val="000000" w:themeColor="text1"/>
                <w:sz w:val="21"/>
                <w:szCs w:val="21"/>
                <w:lang w:val="en-US" w:eastAsia="zh-CN"/>
                <w14:textFill>
                  <w14:solidFill>
                    <w14:schemeClr w14:val="tx1"/>
                  </w14:solidFill>
                </w14:textFill>
              </w:rPr>
              <w:t>参数未提供相对应的证明材料视为负偏离</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非</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号技术参数每偏离一项扣1分，扣完为止</w:t>
            </w:r>
            <w:r>
              <w:rPr>
                <w:rFonts w:hint="eastAsia" w:ascii="宋体" w:hAnsi="宋体" w:eastAsia="宋体" w:cs="宋体"/>
                <w:b w:val="0"/>
                <w:bCs/>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4" w:type="dxa"/>
            <w:vMerge w:val="continue"/>
            <w:vAlign w:val="top"/>
          </w:tcPr>
          <w:p>
            <w:pPr>
              <w:spacing w:line="240" w:lineRule="auto"/>
              <w:rPr>
                <w:rFonts w:hint="eastAsia" w:ascii="宋体" w:hAnsi="宋体" w:eastAsia="宋体" w:cs="宋体"/>
                <w:b/>
                <w:bCs w:val="0"/>
                <w:color w:val="000000" w:themeColor="text1"/>
                <w:sz w:val="21"/>
                <w:szCs w:val="21"/>
                <w:lang w:eastAsia="zh-CN"/>
                <w14:textFill>
                  <w14:solidFill>
                    <w14:schemeClr w14:val="tx1"/>
                  </w14:solidFill>
                </w14:textFill>
              </w:rPr>
            </w:pPr>
          </w:p>
        </w:tc>
        <w:tc>
          <w:tcPr>
            <w:tcW w:w="846" w:type="dxa"/>
            <w:vAlign w:val="center"/>
          </w:tcPr>
          <w:p>
            <w:pPr>
              <w:tabs>
                <w:tab w:val="left" w:pos="547"/>
              </w:tabs>
              <w:spacing w:line="240" w:lineRule="auto"/>
              <w:jc w:val="cente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30</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根据各投标人技术方案的完整性、合理性及可行性赋分：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1、项目整体</w:t>
            </w:r>
            <w:r>
              <w:rPr>
                <w:rFonts w:hint="eastAsia" w:ascii="宋体" w:hAnsi="宋体" w:eastAsia="宋体" w:cs="宋体"/>
                <w:b/>
                <w:bCs/>
                <w:color w:val="000000" w:themeColor="text1"/>
                <w:sz w:val="21"/>
                <w:szCs w:val="21"/>
                <w:lang w:eastAsia="zh-CN"/>
                <w14:textFill>
                  <w14:solidFill>
                    <w14:schemeClr w14:val="tx1"/>
                  </w14:solidFill>
                </w14:textFill>
              </w:rPr>
              <w:t>服务计划</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eastAsia="zh-CN"/>
                <w14:textFill>
                  <w14:solidFill>
                    <w14:schemeClr w14:val="tx1"/>
                  </w14:solidFill>
                </w14:textFill>
              </w:rPr>
              <w:t>计划</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详细完善，</w:t>
            </w:r>
            <w:r>
              <w:rPr>
                <w:rFonts w:hint="eastAsia" w:ascii="宋体" w:hAnsi="宋体" w:eastAsia="宋体" w:cs="宋体"/>
                <w:color w:val="000000" w:themeColor="text1"/>
                <w:sz w:val="21"/>
                <w:szCs w:val="21"/>
                <w:lang w:eastAsia="zh-CN"/>
                <w14:textFill>
                  <w14:solidFill>
                    <w14:schemeClr w14:val="tx1"/>
                  </w14:solidFill>
                </w14:textFill>
              </w:rPr>
              <w:t>满足</w:t>
            </w:r>
            <w:r>
              <w:rPr>
                <w:rFonts w:hint="eastAsia" w:ascii="宋体" w:hAnsi="宋体" w:eastAsia="宋体" w:cs="宋体"/>
                <w:color w:val="000000" w:themeColor="text1"/>
                <w:sz w:val="21"/>
                <w:szCs w:val="21"/>
                <w14:textFill>
                  <w14:solidFill>
                    <w14:schemeClr w14:val="tx1"/>
                  </w14:solidFill>
                </w14:textFill>
              </w:rPr>
              <w:t>采购人实际需求，描述条理清晰，根据响应情况得</w:t>
            </w:r>
            <w:r>
              <w:rPr>
                <w:rFonts w:hint="eastAsia" w:ascii="宋体" w:hAnsi="宋体" w:eastAsia="宋体" w:cs="宋体"/>
                <w:color w:val="000000" w:themeColor="text1"/>
                <w:sz w:val="21"/>
                <w:szCs w:val="21"/>
                <w:lang w:val="en-US" w:eastAsia="zh-CN"/>
                <w14:textFill>
                  <w14:solidFill>
                    <w14:schemeClr w14:val="tx1"/>
                  </w14:solidFill>
                </w14:textFill>
              </w:rPr>
              <w:t>4.1-5</w:t>
            </w:r>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eastAsia="zh-CN"/>
                <w14:textFill>
                  <w14:solidFill>
                    <w14:schemeClr w14:val="tx1"/>
                  </w14:solidFill>
                </w14:textFill>
              </w:rPr>
              <w:t>计划</w:t>
            </w:r>
            <w:r>
              <w:rPr>
                <w:rFonts w:hint="eastAsia" w:ascii="宋体" w:hAnsi="宋体" w:eastAsia="宋体" w:cs="宋体"/>
                <w:color w:val="000000" w:themeColor="text1"/>
                <w:sz w:val="21"/>
                <w:szCs w:val="21"/>
                <w14:textFill>
                  <w14:solidFill>
                    <w14:schemeClr w14:val="tx1"/>
                  </w14:solidFill>
                </w14:textFill>
              </w:rPr>
              <w:t>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，基本满足采购人实际需求，根据响应情况得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计划</w:t>
            </w:r>
            <w:r>
              <w:rPr>
                <w:rFonts w:hint="eastAsia" w:ascii="宋体" w:hAnsi="宋体" w:eastAsia="宋体" w:cs="宋体"/>
                <w:color w:val="000000" w:themeColor="text1"/>
                <w:sz w:val="21"/>
                <w:szCs w:val="21"/>
                <w14:textFill>
                  <w14:solidFill>
                    <w14:schemeClr w14:val="tx1"/>
                  </w14:solidFill>
                </w14:textFill>
              </w:rPr>
              <w:t>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w:t>
            </w:r>
            <w:r>
              <w:rPr>
                <w:rFonts w:hint="eastAsia" w:ascii="宋体" w:hAnsi="宋体" w:eastAsia="宋体" w:cs="宋体"/>
                <w:b/>
                <w:bCs/>
                <w:color w:val="000000" w:themeColor="text1"/>
                <w:sz w:val="21"/>
                <w:szCs w:val="21"/>
                <w:lang w:eastAsia="zh-CN"/>
                <w14:textFill>
                  <w14:solidFill>
                    <w14:schemeClr w14:val="tx1"/>
                  </w14:solidFill>
                </w14:textFill>
              </w:rPr>
              <w:t>服务规划及合理安排方案</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eastAsia="zh-CN"/>
                <w14:textFill>
                  <w14:solidFill>
                    <w14:schemeClr w14:val="tx1"/>
                  </w14:solidFill>
                </w14:textFill>
              </w:rPr>
              <w:t>方案详细完善</w:t>
            </w:r>
            <w:r>
              <w:rPr>
                <w:rFonts w:hint="eastAsia" w:ascii="宋体" w:hAnsi="宋体" w:eastAsia="宋体" w:cs="宋体"/>
                <w:color w:val="000000" w:themeColor="text1"/>
                <w:sz w:val="21"/>
                <w:szCs w:val="21"/>
                <w14:textFill>
                  <w14:solidFill>
                    <w14:schemeClr w14:val="tx1"/>
                  </w14:solidFill>
                </w14:textFill>
              </w:rPr>
              <w:t>，描述条理清晰，根据响应情况得</w:t>
            </w:r>
            <w:r>
              <w:rPr>
                <w:rFonts w:hint="eastAsia" w:ascii="宋体" w:hAnsi="宋体" w:eastAsia="宋体" w:cs="宋体"/>
                <w:color w:val="000000" w:themeColor="text1"/>
                <w:sz w:val="21"/>
                <w:szCs w:val="21"/>
                <w:lang w:val="en-US" w:eastAsia="zh-CN"/>
                <w14:textFill>
                  <w14:solidFill>
                    <w14:schemeClr w14:val="tx1"/>
                  </w14:solidFill>
                </w14:textFill>
              </w:rPr>
              <w:t>4.1-5</w:t>
            </w:r>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w:t>
            </w:r>
            <w:r>
              <w:rPr>
                <w:rFonts w:hint="eastAsia" w:ascii="宋体" w:hAnsi="宋体" w:eastAsia="宋体" w:cs="宋体"/>
                <w:b/>
                <w:bCs/>
                <w:color w:val="000000" w:themeColor="text1"/>
                <w:sz w:val="21"/>
                <w:szCs w:val="21"/>
                <w:lang w:eastAsia="zh-CN"/>
                <w14:textFill>
                  <w14:solidFill>
                    <w14:schemeClr w14:val="tx1"/>
                  </w14:solidFill>
                </w14:textFill>
              </w:rPr>
              <w:t>系统</w:t>
            </w:r>
            <w:r>
              <w:rPr>
                <w:rFonts w:hint="eastAsia" w:ascii="宋体" w:hAnsi="宋体" w:eastAsia="宋体" w:cs="宋体"/>
                <w:b/>
                <w:bCs/>
                <w:color w:val="000000" w:themeColor="text1"/>
                <w:sz w:val="21"/>
                <w:szCs w:val="21"/>
                <w14:textFill>
                  <w14:solidFill>
                    <w14:schemeClr w14:val="tx1"/>
                  </w14:solidFill>
                </w14:textFill>
              </w:rPr>
              <w:t>安装调试。</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①满足采购人实际需求，描述条理清晰，根据响应情况得</w:t>
            </w:r>
            <w:r>
              <w:rPr>
                <w:rFonts w:hint="eastAsia" w:ascii="宋体" w:hAnsi="宋体" w:eastAsia="宋体" w:cs="宋体"/>
                <w:color w:val="000000" w:themeColor="text1"/>
                <w:sz w:val="21"/>
                <w:szCs w:val="21"/>
                <w:lang w:val="en-US" w:eastAsia="zh-CN"/>
                <w14:textFill>
                  <w14:solidFill>
                    <w14:schemeClr w14:val="tx1"/>
                  </w14:solidFill>
                </w14:textFill>
              </w:rPr>
              <w:t>4.1-5</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，基本满足采购人实际需求，根据响应情况得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4</w:t>
            </w:r>
            <w:r>
              <w:rPr>
                <w:rFonts w:hint="eastAsia" w:ascii="宋体" w:hAnsi="宋体" w:eastAsia="宋体" w:cs="宋体"/>
                <w:b/>
                <w:bCs/>
                <w:color w:val="000000" w:themeColor="text1"/>
                <w:sz w:val="21"/>
                <w:szCs w:val="21"/>
                <w14:textFill>
                  <w14:solidFill>
                    <w14:schemeClr w14:val="tx1"/>
                  </w14:solidFill>
                </w14:textFill>
              </w:rPr>
              <w:t>、项目实施进度</w:t>
            </w:r>
            <w:r>
              <w:rPr>
                <w:rFonts w:hint="eastAsia" w:ascii="宋体" w:hAnsi="宋体" w:eastAsia="宋体" w:cs="宋体"/>
                <w:b/>
                <w:bCs/>
                <w:color w:val="000000" w:themeColor="text1"/>
                <w:sz w:val="21"/>
                <w:szCs w:val="21"/>
                <w:lang w:eastAsia="zh-CN"/>
                <w14:textFill>
                  <w14:solidFill>
                    <w14:schemeClr w14:val="tx1"/>
                  </w14:solidFill>
                </w14:textFill>
              </w:rPr>
              <w:t>计</w:t>
            </w:r>
            <w:r>
              <w:rPr>
                <w:rFonts w:hint="eastAsia" w:ascii="宋体" w:hAnsi="宋体" w:eastAsia="宋体" w:cs="宋体"/>
                <w:b/>
                <w:bCs/>
                <w:color w:val="000000" w:themeColor="text1"/>
                <w:sz w:val="21"/>
                <w:szCs w:val="21"/>
                <w14:textFill>
                  <w14:solidFill>
                    <w14:schemeClr w14:val="tx1"/>
                  </w14:solidFill>
                </w14:textFill>
              </w:rPr>
              <w:t>划。</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eastAsia="zh-CN"/>
                <w14:textFill>
                  <w14:solidFill>
                    <w14:schemeClr w14:val="tx1"/>
                  </w14:solidFill>
                </w14:textFill>
              </w:rPr>
              <w:t>计划详细完善，</w:t>
            </w:r>
            <w:r>
              <w:rPr>
                <w:rFonts w:hint="eastAsia" w:ascii="宋体" w:hAnsi="宋体" w:eastAsia="宋体" w:cs="宋体"/>
                <w:color w:val="000000" w:themeColor="text1"/>
                <w:sz w:val="21"/>
                <w:szCs w:val="21"/>
                <w14:textFill>
                  <w14:solidFill>
                    <w14:schemeClr w14:val="tx1"/>
                  </w14:solidFill>
                </w14:textFill>
              </w:rPr>
              <w:t>满足采购人实际需求，描述条理清晰，根据响应情况得</w:t>
            </w:r>
            <w:r>
              <w:rPr>
                <w:rFonts w:hint="eastAsia" w:ascii="宋体" w:hAnsi="宋体" w:eastAsia="宋体" w:cs="宋体"/>
                <w:color w:val="000000" w:themeColor="text1"/>
                <w:sz w:val="21"/>
                <w:szCs w:val="21"/>
                <w:lang w:val="en-US" w:eastAsia="zh-CN"/>
                <w14:textFill>
                  <w14:solidFill>
                    <w14:schemeClr w14:val="tx1"/>
                  </w14:solidFill>
                </w14:textFill>
              </w:rPr>
              <w:t>4.1-5</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eastAsia="zh-CN"/>
                <w14:textFill>
                  <w14:solidFill>
                    <w14:schemeClr w14:val="tx1"/>
                  </w14:solidFill>
                </w14:textFill>
              </w:rPr>
              <w:t>计划</w:t>
            </w:r>
            <w:r>
              <w:rPr>
                <w:rFonts w:hint="eastAsia" w:ascii="宋体" w:hAnsi="宋体" w:eastAsia="宋体" w:cs="宋体"/>
                <w:color w:val="000000" w:themeColor="text1"/>
                <w:sz w:val="21"/>
                <w:szCs w:val="21"/>
                <w14:textFill>
                  <w14:solidFill>
                    <w14:schemeClr w14:val="tx1"/>
                  </w14:solidFill>
                </w14:textFill>
              </w:rPr>
              <w:t>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，基本满足采购人实际需求，根据响应情况得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计划</w:t>
            </w:r>
            <w:r>
              <w:rPr>
                <w:rFonts w:hint="eastAsia" w:ascii="宋体" w:hAnsi="宋体" w:eastAsia="宋体" w:cs="宋体"/>
                <w:color w:val="000000" w:themeColor="text1"/>
                <w:sz w:val="21"/>
                <w:szCs w:val="21"/>
                <w14:textFill>
                  <w14:solidFill>
                    <w14:schemeClr w14:val="tx1"/>
                  </w14:solidFill>
                </w14:textFill>
              </w:rPr>
              <w:t>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交付</w:t>
            </w:r>
            <w:r>
              <w:rPr>
                <w:rFonts w:hint="eastAsia" w:ascii="宋体" w:hAnsi="宋体" w:eastAsia="宋体" w:cs="宋体"/>
                <w:b/>
                <w:bCs/>
                <w:color w:val="000000" w:themeColor="text1"/>
                <w:sz w:val="21"/>
                <w:szCs w:val="21"/>
                <w14:textFill>
                  <w14:solidFill>
                    <w14:schemeClr w14:val="tx1"/>
                  </w14:solidFill>
                </w14:textFill>
              </w:rPr>
              <w:t>验收方案。</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eastAsia="zh-CN"/>
                <w14:textFill>
                  <w14:solidFill>
                    <w14:schemeClr w14:val="tx1"/>
                  </w14:solidFill>
                </w14:textFill>
              </w:rPr>
              <w:t>方案详细完善，</w:t>
            </w:r>
            <w:r>
              <w:rPr>
                <w:rFonts w:hint="eastAsia" w:ascii="宋体" w:hAnsi="宋体" w:eastAsia="宋体" w:cs="宋体"/>
                <w:color w:val="000000" w:themeColor="text1"/>
                <w:sz w:val="21"/>
                <w:szCs w:val="21"/>
                <w14:textFill>
                  <w14:solidFill>
                    <w14:schemeClr w14:val="tx1"/>
                  </w14:solidFill>
                </w14:textFill>
              </w:rPr>
              <w:t>满足采购人实际需求，描述条理清晰，根据响应情况得</w:t>
            </w:r>
            <w:r>
              <w:rPr>
                <w:rFonts w:hint="eastAsia" w:ascii="宋体" w:hAnsi="宋体" w:eastAsia="宋体" w:cs="宋体"/>
                <w:color w:val="000000" w:themeColor="text1"/>
                <w:sz w:val="21"/>
                <w:szCs w:val="21"/>
                <w:lang w:val="en-US" w:eastAsia="zh-CN"/>
                <w14:textFill>
                  <w14:solidFill>
                    <w14:schemeClr w14:val="tx1"/>
                  </w14:solidFill>
                </w14:textFill>
              </w:rPr>
              <w:t>4.1-5</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，基本满足采购人实际需求，根据响应情况得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p>
            <w:pPr>
              <w:pStyle w:val="17"/>
              <w:keepNext w:val="0"/>
              <w:keepLines w:val="0"/>
              <w:pageBreakBefore w:val="0"/>
              <w:widowControl w:val="0"/>
              <w:numPr>
                <w:ilvl w:val="0"/>
                <w:numId w:val="12"/>
              </w:numPr>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管理体系、制度：</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针对本项目有完善的管理体系，项目规划合理，制定有效的管理制度、实施流程得</w:t>
            </w:r>
            <w:r>
              <w:rPr>
                <w:rFonts w:hint="eastAsia" w:ascii="宋体" w:hAnsi="宋体" w:eastAsia="宋体" w:cs="宋体"/>
                <w:color w:val="000000" w:themeColor="text1"/>
                <w:sz w:val="21"/>
                <w:szCs w:val="21"/>
                <w:lang w:val="en-US" w:eastAsia="zh-CN"/>
                <w14:textFill>
                  <w14:solidFill>
                    <w14:schemeClr w14:val="tx1"/>
                  </w14:solidFill>
                </w14:textFill>
              </w:rPr>
              <w:t>4.1-5分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②较</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根据响应情况得</w:t>
            </w:r>
            <w:r>
              <w:rPr>
                <w:rFonts w:hint="eastAsia" w:ascii="宋体" w:hAnsi="宋体" w:eastAsia="宋体" w:cs="宋体"/>
                <w:color w:val="000000" w:themeColor="text1"/>
                <w:sz w:val="21"/>
                <w:szCs w:val="21"/>
                <w:lang w:val="en-US" w:eastAsia="zh-CN"/>
                <w14:textFill>
                  <w14:solidFill>
                    <w14:schemeClr w14:val="tx1"/>
                  </w14:solidFill>
                </w14:textFill>
              </w:rPr>
              <w:t>2.1-4</w:t>
            </w:r>
            <w:r>
              <w:rPr>
                <w:rFonts w:hint="eastAsia" w:ascii="宋体" w:hAnsi="宋体" w:eastAsia="宋体" w:cs="宋体"/>
                <w:color w:val="000000" w:themeColor="text1"/>
                <w:sz w:val="21"/>
                <w:szCs w:val="21"/>
                <w14:textFill>
                  <w14:solidFill>
                    <w14:schemeClr w14:val="tx1"/>
                  </w14:solidFill>
                </w14:textFill>
              </w:rPr>
              <w:t>分；</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③基本</w:t>
            </w:r>
            <w:r>
              <w:rPr>
                <w:rFonts w:hint="eastAsia" w:ascii="宋体" w:hAnsi="宋体" w:eastAsia="宋体" w:cs="宋体"/>
                <w:color w:val="000000" w:themeColor="text1"/>
                <w:sz w:val="21"/>
                <w:szCs w:val="21"/>
                <w:lang w:eastAsia="zh-CN"/>
                <w14:textFill>
                  <w14:solidFill>
                    <w14:schemeClr w14:val="tx1"/>
                  </w14:solidFill>
                </w14:textFill>
              </w:rPr>
              <w:t>完善</w:t>
            </w:r>
            <w:r>
              <w:rPr>
                <w:rFonts w:hint="eastAsia" w:ascii="宋体" w:hAnsi="宋体" w:eastAsia="宋体" w:cs="宋体"/>
                <w:color w:val="000000" w:themeColor="text1"/>
                <w:sz w:val="21"/>
                <w:szCs w:val="21"/>
                <w14:textFill>
                  <w14:solidFill>
                    <w14:schemeClr w14:val="tx1"/>
                  </w14:solidFill>
                </w14:textFill>
              </w:rPr>
              <w:t>，针对性不强，根据响应情况得</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184" w:type="dxa"/>
            <w:vMerge w:val="restart"/>
            <w:vAlign w:val="top"/>
          </w:tcPr>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p>
          <w:p>
            <w:pPr>
              <w:pStyle w:val="2"/>
              <w:spacing w:line="240" w:lineRule="auto"/>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rPr>
                <w:rFonts w:hint="eastAsia" w:ascii="宋体" w:hAnsi="宋体" w:eastAsia="宋体" w:cs="宋体"/>
                <w:b/>
                <w:bCs w:val="0"/>
                <w:color w:val="000000" w:themeColor="text1"/>
                <w:sz w:val="21"/>
                <w:szCs w:val="21"/>
                <w14:textFill>
                  <w14:solidFill>
                    <w14:schemeClr w14:val="tx1"/>
                  </w14:solidFill>
                </w14:textFill>
              </w:rPr>
            </w:pPr>
          </w:p>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商务</w:t>
            </w:r>
          </w:p>
          <w:p>
            <w:pPr>
              <w:spacing w:line="240" w:lineRule="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w:t>
            </w:r>
            <w:r>
              <w:rPr>
                <w:rFonts w:hint="eastAsia" w:ascii="宋体" w:hAnsi="宋体" w:eastAsia="宋体" w:cs="宋体"/>
                <w:b/>
                <w:bCs w:val="0"/>
                <w:color w:val="000000" w:themeColor="text1"/>
                <w:sz w:val="21"/>
                <w:szCs w:val="21"/>
                <w:lang w:val="en-US" w:eastAsia="zh-CN"/>
                <w14:textFill>
                  <w14:solidFill>
                    <w14:schemeClr w14:val="tx1"/>
                  </w14:solidFill>
                </w14:textFill>
              </w:rPr>
              <w:t>40</w:t>
            </w:r>
            <w:r>
              <w:rPr>
                <w:rFonts w:hint="eastAsia" w:ascii="宋体" w:hAnsi="宋体" w:eastAsia="宋体" w:cs="宋体"/>
                <w:b/>
                <w:bCs w:val="0"/>
                <w:color w:val="000000" w:themeColor="text1"/>
                <w:sz w:val="21"/>
                <w:szCs w:val="21"/>
                <w14:textFill>
                  <w14:solidFill>
                    <w14:schemeClr w14:val="tx1"/>
                  </w14:solidFill>
                </w14:textFill>
              </w:rPr>
              <w:t>分）</w:t>
            </w:r>
          </w:p>
        </w:tc>
        <w:tc>
          <w:tcPr>
            <w:tcW w:w="846" w:type="dxa"/>
            <w:vAlign w:val="center"/>
          </w:tcPr>
          <w:p>
            <w:pPr>
              <w:spacing w:line="240" w:lineRule="auto"/>
              <w:jc w:val="center"/>
              <w:rPr>
                <w:rFonts w:hint="default" w:ascii="宋体" w:hAnsi="宋体" w:eastAsia="宋体" w:cs="宋体"/>
                <w:b/>
                <w:bCs w:val="0"/>
                <w:color w:val="000000" w:themeColor="text1"/>
                <w:sz w:val="21"/>
                <w:szCs w:val="21"/>
                <w:lang w:val="en-US" w:eastAsia="zh-CN"/>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13分</w:t>
            </w:r>
          </w:p>
        </w:tc>
        <w:tc>
          <w:tcPr>
            <w:tcW w:w="8333" w:type="dxa"/>
            <w:vAlign w:val="center"/>
          </w:tcPr>
          <w:p>
            <w:pPr>
              <w:keepNext w:val="0"/>
              <w:keepLines w:val="0"/>
              <w:pageBreakBefore w:val="0"/>
              <w:widowControl w:val="0"/>
              <w:tabs>
                <w:tab w:val="left" w:pos="547"/>
              </w:tabs>
              <w:kinsoku/>
              <w:wordWrap/>
              <w:overflowPunct/>
              <w:topLinePunct w:val="0"/>
              <w:autoSpaceDE/>
              <w:autoSpaceDN/>
              <w:bidi w:val="0"/>
              <w:adjustRightInd/>
              <w:snapToGrid/>
              <w:spacing w:line="336" w:lineRule="auto"/>
              <w:jc w:val="left"/>
              <w:textAlignment w:val="auto"/>
              <w:rPr>
                <w:rFonts w:hint="eastAsia"/>
                <w:b/>
                <w:bCs/>
                <w:lang w:eastAsia="zh-CN"/>
              </w:rPr>
            </w:pPr>
            <w:r>
              <w:rPr>
                <w:rFonts w:hint="eastAsia"/>
                <w:b/>
                <w:bCs/>
              </w:rPr>
              <w:t>团队实力</w:t>
            </w:r>
            <w:r>
              <w:rPr>
                <w:rFonts w:hint="eastAsia"/>
                <w:b/>
                <w:bCs/>
                <w:lang w:eastAsia="zh-CN"/>
              </w:rPr>
              <w:t>：</w:t>
            </w:r>
          </w:p>
          <w:p>
            <w:pPr>
              <w:pStyle w:val="2"/>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1、项目负责人：拟派项目负责人至少具有网络/通信/软件/计算机等其中 1 个专业高级职称及以上资格认证等证明材料，满足得 3 分。</w:t>
            </w:r>
          </w:p>
          <w:p>
            <w:pPr>
              <w:pStyle w:val="2"/>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2、项目团队：服务团队成员不少于 10 人，所有成员需提供(包括姓名、工作职责、联系方式、具有网络工程师/通信工程师/安全工程师/信息系统项目管理师/软件测评师等专业资格/技能证书）等证明材料，材料不全不能算做团队成员，完全满足得 10 分，缺少 1 人扣 1分，扣完为止；</w:t>
            </w:r>
          </w:p>
          <w:p>
            <w:pPr>
              <w:pStyle w:val="2"/>
              <w:rPr>
                <w:rFonts w:hint="eastAsia"/>
                <w:lang w:eastAsia="zh-CN"/>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评审依据：供应商需提供相关专业证书复印件加盖公章；项目负责人需为本单位人员并提供开标截止时间前一年内连续三个月社保缴纳证明，未提供不得分。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184" w:type="dxa"/>
            <w:vMerge w:val="continue"/>
            <w:vAlign w:val="top"/>
          </w:tcPr>
          <w:p>
            <w:pPr>
              <w:spacing w:line="240" w:lineRule="auto"/>
              <w:rPr>
                <w:rFonts w:hint="eastAsia" w:ascii="宋体" w:hAnsi="宋体" w:eastAsia="宋体" w:cs="宋体"/>
                <w:b/>
                <w:bCs w:val="0"/>
                <w:color w:val="000000" w:themeColor="text1"/>
                <w:sz w:val="21"/>
                <w:szCs w:val="21"/>
                <w14:textFill>
                  <w14:solidFill>
                    <w14:schemeClr w14:val="tx1"/>
                  </w14:solidFill>
                </w14:textFill>
              </w:rPr>
            </w:pPr>
          </w:p>
        </w:tc>
        <w:tc>
          <w:tcPr>
            <w:tcW w:w="846" w:type="dxa"/>
            <w:vAlign w:val="center"/>
          </w:tcPr>
          <w:p>
            <w:pPr>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center"/>
          </w:tcPr>
          <w:p>
            <w:pPr>
              <w:keepNext w:val="0"/>
              <w:keepLines w:val="0"/>
              <w:pageBreakBefore w:val="0"/>
              <w:widowControl w:val="0"/>
              <w:tabs>
                <w:tab w:val="left" w:pos="547"/>
              </w:tabs>
              <w:kinsoku/>
              <w:wordWrap/>
              <w:overflowPunct/>
              <w:topLinePunct w:val="0"/>
              <w:autoSpaceDE/>
              <w:autoSpaceDN/>
              <w:bidi w:val="0"/>
              <w:adjustRightInd/>
              <w:snapToGrid/>
              <w:spacing w:line="336" w:lineRule="auto"/>
              <w:jc w:val="left"/>
              <w:textAlignment w:val="auto"/>
              <w:rPr>
                <w:rFonts w:hint="eastAsia" w:ascii="宋体" w:hAnsi="宋体" w:eastAsia="宋体" w:cs="宋体"/>
                <w:b/>
                <w:bCs w:val="0"/>
                <w:color w:val="000000" w:themeColor="text1"/>
                <w:sz w:val="21"/>
                <w:szCs w:val="21"/>
                <w:lang w:eastAsia="zh-CN"/>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产品供货渠道合法，无假货、水货、翻新货且无产权纠纷，质量合格</w:t>
            </w:r>
            <w:r>
              <w:rPr>
                <w:rFonts w:hint="eastAsia" w:ascii="宋体" w:hAnsi="宋体" w:eastAsia="宋体" w:cs="宋体"/>
                <w:b/>
                <w:bCs w:val="0"/>
                <w:color w:val="000000" w:themeColor="text1"/>
                <w:sz w:val="21"/>
                <w:szCs w:val="21"/>
                <w:lang w:eastAsia="zh-CN"/>
                <w14:textFill>
                  <w14:solidFill>
                    <w14:schemeClr w14:val="tx1"/>
                  </w14:solidFill>
                </w14:textFill>
              </w:rPr>
              <w:t>：</w:t>
            </w:r>
          </w:p>
          <w:p>
            <w:pPr>
              <w:keepNext w:val="0"/>
              <w:keepLines w:val="0"/>
              <w:pageBreakBefore w:val="0"/>
              <w:widowControl w:val="0"/>
              <w:tabs>
                <w:tab w:val="left" w:pos="547"/>
              </w:tabs>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b w:val="0"/>
                <w:bCs/>
                <w:color w:val="000000" w:themeColor="text1"/>
                <w:sz w:val="21"/>
                <w:szCs w:val="21"/>
                <w14:textFill>
                  <w14:solidFill>
                    <w14:schemeClr w14:val="tx1"/>
                  </w14:solidFill>
                </w14:textFill>
              </w:rPr>
              <w:t>合法来源渠道</w:t>
            </w:r>
            <w:r>
              <w:rPr>
                <w:rFonts w:hint="eastAsia" w:ascii="宋体" w:hAnsi="宋体" w:eastAsia="宋体" w:cs="宋体"/>
                <w:b w:val="0"/>
                <w:bCs/>
                <w:color w:val="000000" w:themeColor="text1"/>
                <w:sz w:val="21"/>
                <w:szCs w:val="21"/>
                <w:lang w:val="en-US" w:eastAsia="zh-CN"/>
                <w14:textFill>
                  <w14:solidFill>
                    <w14:schemeClr w14:val="tx1"/>
                  </w14:solidFill>
                </w14:textFill>
              </w:rPr>
              <w:t>或</w:t>
            </w:r>
            <w:r>
              <w:rPr>
                <w:rFonts w:hint="eastAsia" w:ascii="宋体" w:hAnsi="宋体" w:eastAsia="宋体" w:cs="宋体"/>
                <w:b w:val="0"/>
                <w:bCs/>
                <w:color w:val="000000" w:themeColor="text1"/>
                <w:sz w:val="21"/>
                <w:szCs w:val="21"/>
                <w14:textFill>
                  <w14:solidFill>
                    <w14:schemeClr w14:val="tx1"/>
                  </w14:solidFill>
                </w14:textFill>
              </w:rPr>
              <w:t>产品质量相关证明等材料种类齐全、详细、充分，</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14:textFill>
                  <w14:solidFill>
                    <w14:schemeClr w14:val="tx1"/>
                  </w14:solidFill>
                </w14:textFill>
              </w:rPr>
              <w:t>分；</w:t>
            </w:r>
          </w:p>
          <w:p>
            <w:pPr>
              <w:keepNext w:val="0"/>
              <w:keepLines w:val="0"/>
              <w:pageBreakBefore w:val="0"/>
              <w:widowControl w:val="0"/>
              <w:tabs>
                <w:tab w:val="left" w:pos="547"/>
              </w:tabs>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b w:val="0"/>
                <w:bCs/>
                <w:color w:val="000000" w:themeColor="text1"/>
                <w:sz w:val="21"/>
                <w:szCs w:val="21"/>
                <w14:textFill>
                  <w14:solidFill>
                    <w14:schemeClr w14:val="tx1"/>
                  </w14:solidFill>
                </w14:textFill>
              </w:rPr>
              <w:t>合法来源渠道</w:t>
            </w:r>
            <w:r>
              <w:rPr>
                <w:rFonts w:hint="eastAsia" w:ascii="宋体" w:hAnsi="宋体" w:eastAsia="宋体" w:cs="宋体"/>
                <w:b w:val="0"/>
                <w:bCs/>
                <w:color w:val="000000" w:themeColor="text1"/>
                <w:sz w:val="21"/>
                <w:szCs w:val="21"/>
                <w:lang w:val="en-US" w:eastAsia="zh-CN"/>
                <w14:textFill>
                  <w14:solidFill>
                    <w14:schemeClr w14:val="tx1"/>
                  </w14:solidFill>
                </w14:textFill>
              </w:rPr>
              <w:t>或</w:t>
            </w:r>
            <w:r>
              <w:rPr>
                <w:rFonts w:hint="eastAsia" w:ascii="宋体" w:hAnsi="宋体" w:eastAsia="宋体" w:cs="宋体"/>
                <w:b w:val="0"/>
                <w:bCs/>
                <w:color w:val="000000" w:themeColor="text1"/>
                <w:sz w:val="21"/>
                <w:szCs w:val="21"/>
                <w14:textFill>
                  <w14:solidFill>
                    <w14:schemeClr w14:val="tx1"/>
                  </w14:solidFill>
                </w14:textFill>
              </w:rPr>
              <w:t>产品质量相关证明等材料较齐全、详细、充分，</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cs="宋体"/>
                <w:b w:val="0"/>
                <w:bCs/>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8</w:t>
            </w:r>
            <w:r>
              <w:rPr>
                <w:rFonts w:hint="eastAsia" w:ascii="宋体" w:hAnsi="宋体" w:eastAsia="宋体" w:cs="宋体"/>
                <w:b w:val="0"/>
                <w:bCs/>
                <w:color w:val="000000" w:themeColor="text1"/>
                <w:sz w:val="21"/>
                <w:szCs w:val="21"/>
                <w14:textFill>
                  <w14:solidFill>
                    <w14:schemeClr w14:val="tx1"/>
                  </w14:solidFill>
                </w14:textFill>
              </w:rPr>
              <w:t>分，</w:t>
            </w:r>
          </w:p>
          <w:p>
            <w:pPr>
              <w:keepNext w:val="0"/>
              <w:keepLines w:val="0"/>
              <w:pageBreakBefore w:val="0"/>
              <w:widowControl w:val="0"/>
              <w:tabs>
                <w:tab w:val="left" w:pos="547"/>
              </w:tabs>
              <w:kinsoku/>
              <w:wordWrap/>
              <w:overflowPunct/>
              <w:topLinePunct w:val="0"/>
              <w:autoSpaceDE/>
              <w:autoSpaceDN/>
              <w:bidi w:val="0"/>
              <w:adjustRightInd/>
              <w:snapToGrid/>
              <w:spacing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b w:val="0"/>
                <w:bCs/>
                <w:color w:val="000000" w:themeColor="text1"/>
                <w:sz w:val="21"/>
                <w:szCs w:val="21"/>
                <w14:textFill>
                  <w14:solidFill>
                    <w14:schemeClr w14:val="tx1"/>
                  </w14:solidFill>
                </w14:textFill>
              </w:rPr>
              <w:t>合法来源渠道</w:t>
            </w:r>
            <w:r>
              <w:rPr>
                <w:rFonts w:hint="eastAsia" w:ascii="宋体" w:hAnsi="宋体" w:eastAsia="宋体" w:cs="宋体"/>
                <w:b w:val="0"/>
                <w:bCs/>
                <w:color w:val="000000" w:themeColor="text1"/>
                <w:sz w:val="21"/>
                <w:szCs w:val="21"/>
                <w:lang w:val="en-US" w:eastAsia="zh-CN"/>
                <w14:textFill>
                  <w14:solidFill>
                    <w14:schemeClr w14:val="tx1"/>
                  </w14:solidFill>
                </w14:textFill>
              </w:rPr>
              <w:t>或</w:t>
            </w:r>
            <w:r>
              <w:rPr>
                <w:rFonts w:hint="eastAsia" w:ascii="宋体" w:hAnsi="宋体" w:eastAsia="宋体" w:cs="宋体"/>
                <w:b w:val="0"/>
                <w:bCs/>
                <w:color w:val="000000" w:themeColor="text1"/>
                <w:sz w:val="21"/>
                <w:szCs w:val="21"/>
                <w14:textFill>
                  <w14:solidFill>
                    <w14:schemeClr w14:val="tx1"/>
                  </w14:solidFill>
                </w14:textFill>
              </w:rPr>
              <w:t>产品质量相关证明等材料</w:t>
            </w:r>
            <w:r>
              <w:rPr>
                <w:rFonts w:hint="eastAsia" w:ascii="宋体" w:hAnsi="宋体" w:eastAsia="宋体" w:cs="宋体"/>
                <w:b w:val="0"/>
                <w:bCs/>
                <w:color w:val="000000" w:themeColor="text1"/>
                <w:sz w:val="21"/>
                <w:szCs w:val="21"/>
                <w:lang w:eastAsia="zh-CN"/>
                <w14:textFill>
                  <w14:solidFill>
                    <w14:schemeClr w14:val="tx1"/>
                  </w14:solidFill>
                </w14:textFill>
              </w:rPr>
              <w:t>基本</w:t>
            </w:r>
            <w:r>
              <w:rPr>
                <w:rFonts w:hint="eastAsia" w:ascii="宋体" w:hAnsi="宋体" w:eastAsia="宋体" w:cs="宋体"/>
                <w:b w:val="0"/>
                <w:bCs/>
                <w:color w:val="000000" w:themeColor="text1"/>
                <w:sz w:val="21"/>
                <w:szCs w:val="21"/>
                <w14:textFill>
                  <w14:solidFill>
                    <w14:schemeClr w14:val="tx1"/>
                  </w14:solidFill>
                </w14:textFill>
              </w:rPr>
              <w:t>齐全、详细、充分</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1-</w:t>
            </w:r>
            <w:r>
              <w:rPr>
                <w:rFonts w:hint="eastAsia" w:ascii="宋体" w:hAnsi="宋体" w:cs="宋体"/>
                <w:b w:val="0"/>
                <w:bCs/>
                <w:color w:val="000000" w:themeColor="text1"/>
                <w:sz w:val="21"/>
                <w:szCs w:val="21"/>
                <w:lang w:val="en-US" w:eastAsia="zh-CN"/>
                <w14:textFill>
                  <w14:solidFill>
                    <w14:schemeClr w14:val="tx1"/>
                  </w14:solidFill>
                </w14:textFill>
              </w:rPr>
              <w:t>5</w:t>
            </w:r>
            <w:r>
              <w:rPr>
                <w:rFonts w:hint="eastAsia" w:ascii="宋体" w:hAnsi="宋体" w:eastAsia="宋体" w:cs="宋体"/>
                <w:b w:val="0"/>
                <w:bCs/>
                <w:color w:val="000000" w:themeColor="text1"/>
                <w:sz w:val="21"/>
                <w:szCs w:val="21"/>
                <w14:textFill>
                  <w14:solidFill>
                    <w14:schemeClr w14:val="tx1"/>
                  </w14:solidFill>
                </w14:textFill>
              </w:rPr>
              <w:t>分，未提供不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184" w:type="dxa"/>
            <w:vMerge w:val="continue"/>
            <w:vAlign w:val="top"/>
          </w:tcPr>
          <w:p>
            <w:pPr>
              <w:spacing w:line="240" w:lineRule="auto"/>
              <w:rPr>
                <w:rFonts w:hint="eastAsia" w:ascii="宋体" w:hAnsi="宋体" w:eastAsia="宋体" w:cs="宋体"/>
                <w:b/>
                <w:bCs w:val="0"/>
                <w:color w:val="000000" w:themeColor="text1"/>
                <w:sz w:val="21"/>
                <w:szCs w:val="21"/>
                <w14:textFill>
                  <w14:solidFill>
                    <w14:schemeClr w14:val="tx1"/>
                  </w14:solidFill>
                </w14:textFill>
              </w:rPr>
            </w:pPr>
          </w:p>
        </w:tc>
        <w:tc>
          <w:tcPr>
            <w:tcW w:w="846" w:type="dxa"/>
            <w:vAlign w:val="center"/>
          </w:tcPr>
          <w:p>
            <w:pPr>
              <w:tabs>
                <w:tab w:val="left" w:pos="547"/>
              </w:tabs>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10</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center"/>
          </w:tcPr>
          <w:p>
            <w:pPr>
              <w:pStyle w:val="2"/>
              <w:keepNext w:val="0"/>
              <w:keepLines w:val="0"/>
              <w:pageBreakBefore w:val="0"/>
              <w:widowControl w:val="0"/>
              <w:kinsoku/>
              <w:wordWrap/>
              <w:overflowPunct/>
              <w:topLinePunct w:val="0"/>
              <w:autoSpaceDE/>
              <w:autoSpaceDN/>
              <w:bidi w:val="0"/>
              <w:adjustRightInd/>
              <w:snapToGrid/>
              <w:spacing w:after="0" w:line="336" w:lineRule="auto"/>
              <w:jc w:val="left"/>
              <w:textAlignment w:val="auto"/>
              <w:rPr>
                <w:rFonts w:hint="eastAsia" w:ascii="宋体" w:hAnsi="宋体" w:eastAsia="宋体" w:cs="宋体"/>
                <w:b/>
                <w:bCs w:val="0"/>
                <w:color w:val="000000" w:themeColor="text1"/>
                <w:sz w:val="21"/>
                <w:szCs w:val="21"/>
                <w:lang w:eastAsia="zh-CN"/>
                <w14:textFill>
                  <w14:solidFill>
                    <w14:schemeClr w14:val="tx1"/>
                  </w14:solidFill>
                </w14:textFill>
              </w:rPr>
            </w:pPr>
            <w:r>
              <w:rPr>
                <w:rFonts w:hint="eastAsia" w:ascii="宋体" w:hAnsi="宋体" w:eastAsia="宋体" w:cs="宋体"/>
                <w:b/>
                <w:bCs w:val="0"/>
                <w:color w:val="000000" w:themeColor="text1"/>
                <w:sz w:val="21"/>
                <w:szCs w:val="21"/>
                <w:lang w:eastAsia="zh-CN"/>
                <w14:textFill>
                  <w14:solidFill>
                    <w14:schemeClr w14:val="tx1"/>
                  </w14:solidFill>
                </w14:textFill>
              </w:rPr>
              <w:t>投标人根据项目情况提供相关保障措施方案：</w:t>
            </w:r>
          </w:p>
          <w:p>
            <w:pPr>
              <w:pStyle w:val="2"/>
              <w:keepNext w:val="0"/>
              <w:keepLines w:val="0"/>
              <w:pageBreakBefore w:val="0"/>
              <w:widowControl w:val="0"/>
              <w:kinsoku/>
              <w:wordWrap/>
              <w:overflowPunct/>
              <w:topLinePunct w:val="0"/>
              <w:autoSpaceDE/>
              <w:autoSpaceDN/>
              <w:bidi w:val="0"/>
              <w:adjustRightInd/>
              <w:snapToGrid/>
              <w:spacing w:after="0" w:line="336" w:lineRule="auto"/>
              <w:jc w:val="left"/>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①根据售后运维服务方案设计情况进行赋分：方案完善、科学合理，针对性强、服务承诺明确，计 5.1-7 分，方案较完整、合理可行、特点和承诺不明确，计 2.1-5分，方案笼统、针对性及可操作性差，计0-2分，未提供不计分；</w:t>
            </w:r>
          </w:p>
          <w:p>
            <w:pPr>
              <w:pStyle w:val="2"/>
              <w:keepNext w:val="0"/>
              <w:keepLines w:val="0"/>
              <w:pageBreakBefore w:val="0"/>
              <w:widowControl w:val="0"/>
              <w:kinsoku/>
              <w:wordWrap/>
              <w:overflowPunct/>
              <w:topLinePunct w:val="0"/>
              <w:autoSpaceDE/>
              <w:autoSpaceDN/>
              <w:bidi w:val="0"/>
              <w:adjustRightInd/>
              <w:snapToGrid/>
              <w:spacing w:after="0"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②根据投标供应商售后服务机构情况进行赋分，机构在采购人所在县内得3分，市内得2分，省内得1分，省外不得分；投标人需提供属地机构营业执照复印件加盖公章。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4" w:type="dxa"/>
            <w:vMerge w:val="continue"/>
            <w:vAlign w:val="top"/>
          </w:tcPr>
          <w:p>
            <w:pPr>
              <w:spacing w:line="240" w:lineRule="auto"/>
              <w:rPr>
                <w:rFonts w:hint="eastAsia" w:ascii="宋体" w:hAnsi="宋体" w:eastAsia="宋体" w:cs="宋体"/>
                <w:b/>
                <w:bCs w:val="0"/>
                <w:color w:val="000000" w:themeColor="text1"/>
                <w:sz w:val="21"/>
                <w:szCs w:val="21"/>
                <w14:textFill>
                  <w14:solidFill>
                    <w14:schemeClr w14:val="tx1"/>
                  </w14:solidFill>
                </w14:textFill>
              </w:rPr>
            </w:pPr>
          </w:p>
        </w:tc>
        <w:tc>
          <w:tcPr>
            <w:tcW w:w="846" w:type="dxa"/>
            <w:vAlign w:val="center"/>
          </w:tcPr>
          <w:p>
            <w:pPr>
              <w:tabs>
                <w:tab w:val="left" w:pos="547"/>
              </w:tabs>
              <w:spacing w:line="240" w:lineRule="auto"/>
              <w:jc w:val="center"/>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cs="宋体"/>
                <w:b/>
                <w:bCs w:val="0"/>
                <w:color w:val="000000" w:themeColor="text1"/>
                <w:sz w:val="21"/>
                <w:szCs w:val="21"/>
                <w:lang w:val="en-US" w:eastAsia="zh-CN"/>
                <w14:textFill>
                  <w14:solidFill>
                    <w14:schemeClr w14:val="tx1"/>
                  </w14:solidFill>
                </w14:textFill>
              </w:rPr>
              <w:t>7</w:t>
            </w:r>
            <w:r>
              <w:rPr>
                <w:rFonts w:hint="eastAsia" w:ascii="宋体" w:hAnsi="宋体" w:eastAsia="宋体" w:cs="宋体"/>
                <w:b/>
                <w:bCs w:val="0"/>
                <w:color w:val="000000" w:themeColor="text1"/>
                <w:sz w:val="21"/>
                <w:szCs w:val="21"/>
                <w14:textFill>
                  <w14:solidFill>
                    <w14:schemeClr w14:val="tx1"/>
                  </w14:solidFill>
                </w14:textFill>
              </w:rPr>
              <w:t>分</w:t>
            </w:r>
          </w:p>
        </w:tc>
        <w:tc>
          <w:tcPr>
            <w:tcW w:w="8333" w:type="dxa"/>
            <w:vAlign w:val="center"/>
          </w:tcPr>
          <w:p>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培训方案及培训计划：</w:t>
            </w:r>
            <w:r>
              <w:rPr>
                <w:rFonts w:hint="eastAsia" w:ascii="宋体" w:hAnsi="宋体" w:eastAsia="宋体" w:cs="宋体"/>
                <w:color w:val="000000" w:themeColor="text1"/>
                <w:szCs w:val="21"/>
                <w:highlight w:val="none"/>
                <w:lang w:val="en-US" w:eastAsia="zh-CN"/>
                <w14:textFill>
                  <w14:solidFill>
                    <w14:schemeClr w14:val="tx1"/>
                  </w14:solidFill>
                </w14:textFill>
              </w:rPr>
              <w:t>提供详尽的培训方案及培训计划，并列出培训的具体内容及方式，确保使用人员能够独立操作，并进行简单故障排查处理（包括：培训人数、培训时间、培训内容等）覆盖全部内容，设计合理。</w:t>
            </w:r>
          </w:p>
          <w:p>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lang w:eastAsia="zh-CN"/>
                <w14:textFill>
                  <w14:solidFill>
                    <w14:schemeClr w14:val="tx1"/>
                  </w14:solidFill>
                </w14:textFill>
              </w:rPr>
              <w:t>方案、计划</w:t>
            </w:r>
            <w:r>
              <w:rPr>
                <w:rFonts w:hint="eastAsia" w:ascii="宋体" w:hAnsi="宋体" w:eastAsia="宋体" w:cs="宋体"/>
                <w:color w:val="000000" w:themeColor="text1"/>
                <w:szCs w:val="21"/>
                <w:highlight w:val="none"/>
                <w:lang w:val="en-US" w:eastAsia="zh-CN"/>
                <w14:textFill>
                  <w14:solidFill>
                    <w14:schemeClr w14:val="tx1"/>
                  </w14:solidFill>
                </w14:textFill>
              </w:rPr>
              <w:t>详细完善，</w:t>
            </w:r>
            <w:r>
              <w:rPr>
                <w:rFonts w:hint="eastAsia" w:ascii="宋体" w:hAnsi="宋体" w:eastAsia="宋体" w:cs="宋体"/>
                <w:color w:val="000000" w:themeColor="text1"/>
                <w:sz w:val="21"/>
                <w:szCs w:val="21"/>
                <w14:textFill>
                  <w14:solidFill>
                    <w14:schemeClr w14:val="tx1"/>
                  </w14:solidFill>
                </w14:textFill>
              </w:rPr>
              <w:t>满足采购人实际需求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根据响应情况得</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tabs>
                <w:tab w:val="left" w:pos="547"/>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lang w:eastAsia="zh-CN"/>
                <w14:textFill>
                  <w14:solidFill>
                    <w14:schemeClr w14:val="tx1"/>
                  </w14:solidFill>
                </w14:textFill>
              </w:rPr>
              <w:t>方案、计划较完善，较</w:t>
            </w:r>
            <w:r>
              <w:rPr>
                <w:rFonts w:hint="eastAsia" w:ascii="宋体" w:hAnsi="宋体" w:eastAsia="宋体" w:cs="宋体"/>
                <w:color w:val="000000" w:themeColor="text1"/>
                <w:sz w:val="21"/>
                <w:szCs w:val="21"/>
                <w14:textFill>
                  <w14:solidFill>
                    <w14:schemeClr w14:val="tx1"/>
                  </w14:solidFill>
                </w14:textFill>
              </w:rPr>
              <w:t>满足采购人实际需求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根据响应情况得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p>
          <w:p>
            <w:pPr>
              <w:pStyle w:val="2"/>
              <w:keepNext w:val="0"/>
              <w:keepLines w:val="0"/>
              <w:pageBreakBefore w:val="0"/>
              <w:widowControl w:val="0"/>
              <w:kinsoku/>
              <w:wordWrap/>
              <w:overflowPunct/>
              <w:topLinePunct w:val="0"/>
              <w:autoSpaceDE/>
              <w:autoSpaceDN/>
              <w:bidi w:val="0"/>
              <w:adjustRightInd/>
              <w:snapToGrid/>
              <w:spacing w:after="0" w:line="336" w:lineRule="auto"/>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lang w:eastAsia="zh-CN"/>
                <w14:textFill>
                  <w14:solidFill>
                    <w14:schemeClr w14:val="tx1"/>
                  </w14:solidFill>
                </w14:textFill>
              </w:rPr>
              <w:t>方案、计划基本</w:t>
            </w:r>
            <w:r>
              <w:rPr>
                <w:rFonts w:hint="eastAsia" w:ascii="宋体" w:hAnsi="宋体" w:eastAsia="宋体" w:cs="宋体"/>
                <w:color w:val="000000" w:themeColor="text1"/>
                <w:szCs w:val="21"/>
                <w:highlight w:val="none"/>
                <w:lang w:val="en-US" w:eastAsia="zh-CN"/>
                <w14:textFill>
                  <w14:solidFill>
                    <w14:schemeClr w14:val="tx1"/>
                  </w14:solidFill>
                </w14:textFill>
              </w:rPr>
              <w:t>完善，基本</w:t>
            </w:r>
            <w:r>
              <w:rPr>
                <w:rFonts w:hint="eastAsia" w:ascii="宋体" w:hAnsi="宋体" w:eastAsia="宋体" w:cs="宋体"/>
                <w:color w:val="000000" w:themeColor="text1"/>
                <w:sz w:val="21"/>
                <w:szCs w:val="21"/>
                <w14:textFill>
                  <w14:solidFill>
                    <w14:schemeClr w14:val="tx1"/>
                  </w14:solidFill>
                </w14:textFill>
              </w:rPr>
              <w:t>满足采购人实际需求</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根据响应情况得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14:textFill>
                  <w14:solidFill>
                    <w14:schemeClr w14:val="tx1"/>
                  </w14:solidFill>
                </w14:textFill>
              </w:rPr>
              <w:t>未提供不</w:t>
            </w:r>
            <w:r>
              <w:rPr>
                <w:rFonts w:hint="eastAsia" w:ascii="宋体" w:hAnsi="宋体" w:eastAsia="宋体" w:cs="宋体"/>
                <w:b w:val="0"/>
                <w:bCs/>
                <w:color w:val="000000" w:themeColor="text1"/>
                <w:sz w:val="21"/>
                <w:szCs w:val="21"/>
                <w:lang w:eastAsia="zh-CN"/>
                <w14:textFill>
                  <w14:solidFill>
                    <w14:schemeClr w14:val="tx1"/>
                  </w14:solidFill>
                </w14:textFill>
              </w:rPr>
              <w:t>得</w:t>
            </w:r>
            <w:r>
              <w:rPr>
                <w:rFonts w:hint="eastAsia" w:ascii="宋体" w:hAnsi="宋体" w:eastAsia="宋体" w:cs="宋体"/>
                <w:b w:val="0"/>
                <w:bCs/>
                <w:color w:val="000000" w:themeColor="text1"/>
                <w:sz w:val="21"/>
                <w:szCs w:val="21"/>
                <w14:textFill>
                  <w14:solidFill>
                    <w14:schemeClr w14:val="tx1"/>
                  </w14:solidFill>
                </w14:textFill>
              </w:rPr>
              <w:t>分</w:t>
            </w:r>
            <w:r>
              <w:rPr>
                <w:rFonts w:hint="eastAsia" w:ascii="宋体" w:hAnsi="宋体" w:eastAsia="宋体" w:cs="宋体"/>
                <w:b w:val="0"/>
                <w:bCs/>
                <w:color w:val="000000" w:themeColor="text1"/>
                <w:sz w:val="21"/>
                <w:szCs w:val="21"/>
                <w:lang w:eastAsia="zh-CN"/>
                <w14:textFill>
                  <w14:solidFill>
                    <w14:schemeClr w14:val="tx1"/>
                  </w14:solidFill>
                </w14:textFill>
              </w:rPr>
              <w:t>。</w:t>
            </w:r>
          </w:p>
        </w:tc>
      </w:tr>
    </w:tbl>
    <w:p>
      <w:pPr>
        <w:rPr>
          <w:rFonts w:hint="eastAsia"/>
        </w:rPr>
      </w:pP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（七）在评审过程中，出现下列情况之一的，响应文件视为无效：</w:t>
      </w:r>
    </w:p>
    <w:p>
      <w:pPr>
        <w:spacing w:line="360" w:lineRule="auto"/>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（1）未按照磋商文件要求装订、签署、盖章的；</w:t>
      </w:r>
    </w:p>
    <w:p>
      <w:pPr>
        <w:spacing w:line="360" w:lineRule="auto"/>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不具备磋商文件中规定的资格要求的。如果磋商小组认为供应商的资格证明文件复印件存在疑点，可以要求其现场提供原件进行核查，两者出现不同或在规定的时间内未能及时提供原件的，响应文件视为无效；</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（3）响应文件中无投标有效期或有效期达不到磋商文件要求的；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（4）响应文件的构成缺少其中一项或某项达不到磋商文件要求的；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（5）供应商单位负责人为同一人或者存在直接控股、管理关系的不同供应商，参如同一合同项下的政府采购活动的；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（6）磋商最后报价与市场价偏离较大，低于成本，形成不正当竞争的：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（7）响应文件没有全面响应磋商文件要求的；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（8）政府采购法律法规规定的其他情形。</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（八）定标</w:t>
      </w:r>
    </w:p>
    <w:p>
      <w:pPr>
        <w:spacing w:line="360" w:lineRule="auto"/>
        <w:ind w:firstLine="540" w:firstLineChars="2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（1）招标代理机构在评审工作结束后，对评审报告进行审核，在2个工作日内，将评审报告送采购人确认。</w:t>
      </w:r>
    </w:p>
    <w:p>
      <w:pPr>
        <w:spacing w:line="360" w:lineRule="auto"/>
        <w:ind w:firstLine="540" w:firstLineChars="2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采购人在收到评审报告后5个工作日内，按照评审报告中推荐的成交候选供应商排序第一的确定为成交供应商，也可以书面授权磋商小组直接确定成交供应商。采购人逾期未确定成交供应商且不提出异议的，视为确定评审报告提出的排序第一的供应商为成交供应商。</w:t>
      </w:r>
    </w:p>
    <w:p>
      <w:pPr>
        <w:spacing w:line="360" w:lineRule="auto"/>
        <w:ind w:firstLine="540" w:firstLineChars="2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（3）在确定成交供应商后，招标代理机构依此在陕西省政府采购网上发布成交公告，向确定的成交供应商发送“成交通知书”。</w:t>
      </w:r>
    </w:p>
    <w:p>
      <w:pPr>
        <w:spacing w:line="360" w:lineRule="auto"/>
        <w:ind w:firstLine="540" w:firstLineChars="2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（4）招标代理机构按照相关规定将评审报告送监管机构备案。</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（九）签订政府采购合同</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（1）采购人与成交供应商应当在成交通知书发出之日起3 0日内，按照磋商文件确定的合同文本签订政府采购合同。</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（2）采购人不得向成交供应商提出超出磋商文件以外的任何要求作为签订合同的条件，不得与成交供应商订立背离磋商文件确定的合同文本以及采购服务要求实质性内容的协议。</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（3）成交供应商拒绝与采购人签订合同的，采购人可以按照评审报缶推荐的成交候选人名单排序，确定下一候选人为成交供应商，也可以重新开展政府采购活动。</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（4）政府采购合同在执行过程中，确需修改、变更时，应当按照相应的审核批准程序办理。</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（5）磋商文件、响应文件、澄清等为政府采购合同的组成部分，具有同等法律效力。</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（6）采购人按有关规定将政府采购合同报送监管机构备案。</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（十）其他</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pPr>
        <w:spacing w:line="360" w:lineRule="auto"/>
        <w:ind w:firstLine="216" w:firstLineChars="1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1、因情况变化，不再符合规定的竞争性磋商采购方式适用情形的：</w:t>
      </w:r>
    </w:p>
    <w:p>
      <w:pPr>
        <w:spacing w:line="360" w:lineRule="auto"/>
        <w:ind w:firstLine="216" w:firstLineChars="1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2、出现影响采购公正的违法、违规行为的；</w:t>
      </w:r>
    </w:p>
    <w:p>
      <w:pPr>
        <w:spacing w:line="360" w:lineRule="auto"/>
        <w:ind w:firstLine="324" w:firstLineChars="1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pPr>
        <w:spacing w:line="360" w:lineRule="auto"/>
        <w:ind w:firstLine="324" w:firstLineChars="15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4、因重大变故，采购任务取消的。</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（2）磋商失败后，除采购任务取消外，将重新组织采购。</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（3）陕西省财政厅关于政府采购有关问题的通知（陕财办采资f2016153号）的有关规定，采用竞争性磋商采购方式的，在采购过程中符合要求的供应商（社会资本）只有2家的，竞争性磋商采购活动可以继续进行。 其他项目符合要求的供应商或者报价末超过采购预算的供应商不足3家的参照上述通知的有关规定，由采购人提出，经监管机构批准同意，只有2家供应商时继续进行磋商，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432" w:firstLineChars="200"/>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 xml:space="preserve"> （十一）中标服务费按国家发展与改革委员会《招标代理服务收费暂行办法》</w:t>
      </w:r>
    </w:p>
    <w:p>
      <w:pPr>
        <w:spacing w:line="360" w:lineRule="auto"/>
        <w:ind w:firstLine="432" w:firstLineChars="200"/>
        <w:rPr>
          <w:rFonts w:hint="default" w:ascii="宋体" w:hAnsi="宋体" w:eastAsia="宋体" w:cs="宋体"/>
          <w:color w:val="0000FF"/>
          <w:w w:val="90"/>
          <w:sz w:val="24"/>
          <w:highlight w:val="none"/>
          <w:lang w:val="en-US" w:eastAsia="zh-CN"/>
        </w:rPr>
      </w:pPr>
      <w:r>
        <w:rPr>
          <w:rFonts w:hint="eastAsia" w:ascii="宋体" w:hAnsi="宋体" w:eastAsia="宋体" w:cs="宋体"/>
          <w:color w:val="0000FF"/>
          <w:w w:val="90"/>
          <w:sz w:val="24"/>
          <w:highlight w:val="none"/>
        </w:rPr>
        <w:t>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w:t>
      </w:r>
      <w:r>
        <w:rPr>
          <w:rFonts w:hint="eastAsia" w:ascii="宋体" w:hAnsi="宋体" w:cs="宋体"/>
          <w:color w:val="0000FF"/>
          <w:w w:val="90"/>
          <w:sz w:val="24"/>
          <w:highlight w:val="none"/>
          <w:lang w:eastAsia="zh-CN"/>
        </w:rPr>
        <w:t>，</w:t>
      </w:r>
      <w:r>
        <w:rPr>
          <w:rFonts w:hint="eastAsia" w:ascii="宋体" w:hAnsi="宋体" w:cs="宋体"/>
          <w:color w:val="0000FF"/>
          <w:w w:val="90"/>
          <w:sz w:val="24"/>
          <w:highlight w:val="none"/>
          <w:lang w:val="en-US" w:eastAsia="zh-CN"/>
        </w:rPr>
        <w:t>由采购人支付。</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069"/>
        <w:gridCol w:w="2711"/>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070" w:type="dxa"/>
            <w:shd w:val="clear" w:color="auto" w:fill="auto"/>
            <w:vAlign w:val="center"/>
          </w:tcPr>
          <w:p>
            <w:pPr>
              <w:spacing w:line="360" w:lineRule="auto"/>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中标金额（万元）</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货物招标</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服务招标</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cs="宋体"/>
                <w:color w:val="000000"/>
                <w:w w:val="90"/>
                <w:sz w:val="24"/>
                <w:highlight w:val="none"/>
                <w:lang w:val="en-US" w:eastAsia="zh-CN"/>
              </w:rPr>
              <w:t>工程</w:t>
            </w:r>
            <w:r>
              <w:rPr>
                <w:rFonts w:hint="eastAsia" w:ascii="宋体" w:hAnsi="宋体" w:eastAsia="宋体" w:cs="宋体"/>
                <w:color w:val="000000"/>
                <w:w w:val="90"/>
                <w:sz w:val="24"/>
                <w:highlight w:val="none"/>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100以下</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1.5%</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1.5%</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100-500</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1.1%</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0.8%</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500-1000</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0.8%</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0.45%</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1000-5000</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0.5%</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0.25%</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5000-10000</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0.25%</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0.1%</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10000-100000</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0.05%</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0.05%</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70"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100000以上</w:t>
            </w:r>
          </w:p>
        </w:tc>
        <w:tc>
          <w:tcPr>
            <w:tcW w:w="2069"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0.01%</w:t>
            </w:r>
          </w:p>
        </w:tc>
        <w:tc>
          <w:tcPr>
            <w:tcW w:w="2711"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0.01%</w:t>
            </w:r>
          </w:p>
        </w:tc>
        <w:tc>
          <w:tcPr>
            <w:tcW w:w="2955" w:type="dxa"/>
            <w:shd w:val="clear" w:color="auto" w:fill="auto"/>
            <w:vAlign w:val="center"/>
          </w:tcPr>
          <w:p>
            <w:pPr>
              <w:spacing w:line="360" w:lineRule="auto"/>
              <w:ind w:firstLine="432" w:firstLineChars="200"/>
              <w:jc w:val="center"/>
              <w:rPr>
                <w:rFonts w:hint="eastAsia" w:ascii="宋体" w:hAnsi="宋体" w:eastAsia="宋体" w:cs="宋体"/>
                <w:color w:val="000000"/>
                <w:w w:val="90"/>
                <w:sz w:val="24"/>
                <w:highlight w:val="none"/>
              </w:rPr>
            </w:pPr>
            <w:r>
              <w:rPr>
                <w:rFonts w:hint="eastAsia" w:ascii="宋体" w:hAnsi="宋体" w:eastAsia="宋体" w:cs="宋体"/>
                <w:color w:val="000000"/>
                <w:w w:val="90"/>
                <w:sz w:val="24"/>
                <w:highlight w:val="none"/>
              </w:rPr>
              <w:t>0.01%</w:t>
            </w:r>
          </w:p>
        </w:tc>
      </w:tr>
    </w:tbl>
    <w:p>
      <w:pPr>
        <w:spacing w:line="360" w:lineRule="auto"/>
        <w:ind w:firstLine="432" w:firstLineChars="200"/>
        <w:rPr>
          <w:rFonts w:hint="eastAsia" w:ascii="宋体" w:hAnsi="宋体" w:eastAsia="宋体" w:cs="宋体"/>
          <w:b/>
          <w:bCs/>
          <w:w w:val="90"/>
          <w:sz w:val="36"/>
          <w:szCs w:val="36"/>
          <w:highlight w:val="none"/>
        </w:rPr>
      </w:pPr>
      <w:r>
        <w:rPr>
          <w:rFonts w:hint="eastAsia" w:ascii="宋体" w:hAnsi="宋体" w:eastAsia="宋体" w:cs="宋体"/>
          <w:color w:val="000000"/>
          <w:w w:val="90"/>
          <w:sz w:val="24"/>
          <w:highlight w:val="none"/>
          <w:lang w:eastAsia="zh-CN"/>
        </w:rPr>
        <w:t>竞争性磋商</w:t>
      </w:r>
      <w:r>
        <w:rPr>
          <w:rFonts w:hint="eastAsia" w:ascii="宋体" w:hAnsi="宋体" w:eastAsia="宋体" w:cs="宋体"/>
          <w:color w:val="000000"/>
          <w:w w:val="90"/>
          <w:sz w:val="24"/>
          <w:highlight w:val="none"/>
        </w:rPr>
        <w:t>代理服务收费按差额定率累进法计算。</w:t>
      </w:r>
      <w:bookmarkStart w:id="29" w:name="_Toc28571"/>
      <w:bookmarkStart w:id="30" w:name="_Toc20448"/>
    </w:p>
    <w:p>
      <w:pPr>
        <w:bidi w:val="0"/>
        <w:rPr>
          <w:rFonts w:hint="eastAsia"/>
        </w:rPr>
      </w:pPr>
      <w:bookmarkStart w:id="31" w:name="_Toc23333"/>
      <w:bookmarkStart w:id="32" w:name="_Toc5460"/>
      <w:bookmarkStart w:id="33" w:name="_Toc31678"/>
    </w:p>
    <w:p>
      <w:pPr>
        <w:bidi w:val="0"/>
        <w:rPr>
          <w:rFonts w:hint="eastAsia"/>
        </w:rPr>
      </w:pPr>
    </w:p>
    <w:p>
      <w:pPr>
        <w:pStyle w:val="3"/>
        <w:bidi w:val="0"/>
        <w:rPr>
          <w:rFonts w:hint="eastAsia"/>
        </w:rPr>
      </w:pPr>
      <w:r>
        <w:rPr>
          <w:rFonts w:hint="eastAsia"/>
        </w:rPr>
        <w:t>第三章 磋商内容及技术要求</w:t>
      </w:r>
      <w:bookmarkEnd w:id="29"/>
      <w:bookmarkEnd w:id="30"/>
      <w:bookmarkEnd w:id="31"/>
      <w:bookmarkEnd w:id="32"/>
      <w:bookmarkEnd w:id="33"/>
    </w:p>
    <w:p>
      <w:pPr>
        <w:numPr>
          <w:ilvl w:val="0"/>
          <w:numId w:val="13"/>
        </w:numPr>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项目内容</w:t>
      </w:r>
    </w:p>
    <w:p>
      <w:pPr>
        <w:numPr>
          <w:ilvl w:val="0"/>
          <w:numId w:val="0"/>
        </w:numPr>
        <w:spacing w:line="360" w:lineRule="auto"/>
        <w:ind w:firstLine="480" w:firstLineChars="200"/>
        <w:rPr>
          <w:rFonts w:hint="eastAsia"/>
          <w:sz w:val="24"/>
          <w:szCs w:val="24"/>
          <w:highlight w:val="none"/>
        </w:rPr>
      </w:pPr>
      <w:r>
        <w:rPr>
          <w:rFonts w:hint="eastAsia"/>
          <w:sz w:val="24"/>
          <w:szCs w:val="24"/>
          <w:highlight w:val="none"/>
        </w:rPr>
        <w:t>“十三五”以来，粮食行业信息化取得长足发展，中央储备粮智能粮库信息系统建设、“粮安工程”粮库智能化升级改造等项目相继实施，中央和地方政府事权粮食承储库点信息化水平大幅提升，省、市级粮食行政管理部门和有关涉粮央企粮食信息化平台功能不断完善。</w:t>
      </w:r>
    </w:p>
    <w:p>
      <w:pPr>
        <w:numPr>
          <w:ilvl w:val="0"/>
          <w:numId w:val="0"/>
        </w:numPr>
        <w:spacing w:line="360" w:lineRule="auto"/>
        <w:ind w:firstLine="480" w:firstLineChars="200"/>
        <w:rPr>
          <w:rFonts w:hint="eastAsia"/>
          <w:sz w:val="24"/>
          <w:szCs w:val="24"/>
          <w:highlight w:val="none"/>
        </w:rPr>
      </w:pPr>
      <w:r>
        <w:rPr>
          <w:rFonts w:hint="eastAsia"/>
          <w:sz w:val="24"/>
          <w:szCs w:val="24"/>
          <w:highlight w:val="none"/>
        </w:rPr>
        <w:t>镇巴县是位于中国陕西省的一个县级行政区，农业发展较为重要。粮库作为农产品储存和管理的重要场所，对保障粮食安全、提高农产品管理效率具有重要意义。</w:t>
      </w:r>
    </w:p>
    <w:p>
      <w:pPr>
        <w:numPr>
          <w:ilvl w:val="0"/>
          <w:numId w:val="0"/>
        </w:numPr>
        <w:spacing w:line="360" w:lineRule="auto"/>
        <w:ind w:firstLine="480" w:firstLineChars="200"/>
        <w:rPr>
          <w:rFonts w:hint="eastAsia"/>
          <w:sz w:val="24"/>
          <w:szCs w:val="24"/>
          <w:highlight w:val="none"/>
        </w:rPr>
      </w:pPr>
      <w:r>
        <w:rPr>
          <w:rFonts w:hint="eastAsia"/>
          <w:sz w:val="24"/>
          <w:szCs w:val="24"/>
          <w:highlight w:val="none"/>
        </w:rPr>
        <w:t>镇巴县目前粮库监管方式存在一些问题。首先，由于监管工作主要依赖人工操作，存在人力成本较高、工作效率低下的问题。其次，人工操作容易出现数据错误和遗漏，给粮食储存和管理带来一定的风险。此外，监管工作的整体效率也不高，如无法实时获取粮库信息，无法快速处理异常情况等。</w:t>
      </w:r>
    </w:p>
    <w:p>
      <w:pPr>
        <w:numPr>
          <w:ilvl w:val="0"/>
          <w:numId w:val="0"/>
        </w:numPr>
        <w:spacing w:line="360" w:lineRule="auto"/>
        <w:ind w:firstLine="480" w:firstLineChars="200"/>
        <w:rPr>
          <w:rFonts w:hint="eastAsia"/>
          <w:sz w:val="24"/>
          <w:szCs w:val="24"/>
          <w:highlight w:val="none"/>
        </w:rPr>
      </w:pPr>
      <w:r>
        <w:rPr>
          <w:rFonts w:hint="eastAsia"/>
          <w:sz w:val="24"/>
          <w:szCs w:val="24"/>
          <w:highlight w:val="none"/>
        </w:rPr>
        <w:t>为解决上述问题，镇巴县决定进行粮库监管信息化系统建设。这一项目的目标是通过引入信息技术手段，实现粮库监管的数字化、智能化和网络化，提高监管工作的效率和准确性。通过该系统，可以实现对粮食进出库、存放情况、质量检测等信息的实时监控和记录，提供数据分析和处理功能，以优化粮库管理，保障粮食安全。</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库点基本情况：</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0" w:firstLine="0" w:firstLineChars="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原粮库：镇巴县粮食购销公司</w:t>
      </w:r>
      <w:r>
        <w:rPr>
          <w:rFonts w:hint="eastAsia" w:cs="Times New Roman"/>
          <w:kern w:val="2"/>
          <w:sz w:val="24"/>
          <w:szCs w:val="24"/>
          <w:highlight w:val="none"/>
          <w:lang w:val="en-US" w:eastAsia="zh-CN" w:bidi="ar-SA"/>
        </w:rPr>
        <w:t>。</w:t>
      </w:r>
    </w:p>
    <w:p>
      <w:pPr>
        <w:pStyle w:val="2"/>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0" w:firstLine="0" w:firstLineChars="0"/>
        <w:textAlignment w:val="auto"/>
        <w:rPr>
          <w:rFonts w:hint="default"/>
          <w:lang w:val="en-US" w:eastAsia="zh-CN"/>
        </w:rPr>
      </w:pPr>
      <w:r>
        <w:rPr>
          <w:rFonts w:hint="eastAsia" w:ascii="Calibri" w:hAnsi="Calibri" w:eastAsia="宋体" w:cs="Times New Roman"/>
          <w:kern w:val="2"/>
          <w:sz w:val="24"/>
          <w:szCs w:val="24"/>
          <w:highlight w:val="none"/>
          <w:lang w:val="en-US" w:eastAsia="zh-CN" w:bidi="ar-SA"/>
        </w:rPr>
        <w:t>成品库：陕西天天香粮油有限公司（产业园）、陕西天天香粮油有限公司（鹿子坝）、镇巴县梦农缘公司、汉中秦南秋实生态农业科技有限公司、镇巴县宏源林农公司、西乡利民粮油。</w:t>
      </w:r>
    </w:p>
    <w:p>
      <w:pPr>
        <w:pStyle w:val="2"/>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numPr>
          <w:ilvl w:val="0"/>
          <w:numId w:val="0"/>
        </w:numPr>
        <w:rPr>
          <w:rFonts w:hint="eastAsia" w:ascii="宋体" w:hAnsi="宋体" w:eastAsia="宋体" w:cs="宋体"/>
          <w:sz w:val="28"/>
          <w:szCs w:val="28"/>
          <w:highlight w:val="none"/>
        </w:rPr>
      </w:pPr>
      <w:r>
        <w:rPr>
          <w:rFonts w:hint="eastAsia"/>
          <w:highlight w:val="none"/>
          <w:lang w:val="en-US" w:eastAsia="zh-CN"/>
        </w:rPr>
        <w:t>二、</w:t>
      </w:r>
      <w:r>
        <w:rPr>
          <w:rFonts w:hint="eastAsia" w:ascii="宋体" w:hAnsi="宋体" w:eastAsia="宋体" w:cs="宋体"/>
          <w:sz w:val="28"/>
          <w:szCs w:val="28"/>
          <w:highlight w:val="none"/>
        </w:rPr>
        <w:t>具体采购内容和技术规格要求</w:t>
      </w:r>
    </w:p>
    <w:tbl>
      <w:tblPr>
        <w:tblStyle w:val="4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289"/>
        <w:gridCol w:w="4777"/>
        <w:gridCol w:w="815"/>
        <w:gridCol w:w="672"/>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采购内容</w:t>
            </w:r>
          </w:p>
        </w:tc>
        <w:tc>
          <w:tcPr>
            <w:tcW w:w="264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功能参数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一、1个原粮库建设内容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车牌识别摄像机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主码流支持2560×1440@25fps，子码流支持704×576@25fps，第三码流支持1920×1080@25fps</w:t>
            </w:r>
            <w:r>
              <w:rPr>
                <w:rFonts w:hint="eastAsia"/>
                <w:lang w:val="en-US" w:eastAsia="zh-CN"/>
              </w:rPr>
              <w:br w:type="textWrapping"/>
            </w:r>
            <w:r>
              <w:rPr>
                <w:rFonts w:hint="eastAsia"/>
                <w:lang w:val="en-US" w:eastAsia="zh-CN"/>
              </w:rPr>
              <w:t>具有不小于1/1.8"英寸传感器。</w:t>
            </w:r>
            <w:r>
              <w:rPr>
                <w:rFonts w:hint="eastAsia"/>
                <w:lang w:val="en-US" w:eastAsia="zh-CN"/>
              </w:rPr>
              <w:br w:type="textWrapping"/>
            </w:r>
            <w:r>
              <w:rPr>
                <w:rFonts w:hint="eastAsia"/>
                <w:lang w:val="en-US" w:eastAsia="zh-CN"/>
              </w:rPr>
              <w:t>最低照度彩色不大于0.0002lx，黑白不大于0.0001 lx。</w:t>
            </w:r>
            <w:r>
              <w:rPr>
                <w:rFonts w:hint="eastAsia"/>
                <w:lang w:val="en-US" w:eastAsia="zh-CN"/>
              </w:rPr>
              <w:br w:type="textWrapping"/>
            </w:r>
            <w:r>
              <w:rPr>
                <w:rFonts w:hint="eastAsia"/>
                <w:lang w:val="en-US" w:eastAsia="zh-CN"/>
              </w:rPr>
              <w:t>内置2.7~13.5mm镜头，支持电动变焦。</w:t>
            </w:r>
            <w:r>
              <w:rPr>
                <w:rFonts w:hint="eastAsia"/>
                <w:lang w:val="en-US" w:eastAsia="zh-CN"/>
              </w:rPr>
              <w:br w:type="textWrapping"/>
            </w:r>
            <w:r>
              <w:rPr>
                <w:rFonts w:hint="eastAsia"/>
                <w:lang w:val="en-US" w:eastAsia="zh-CN"/>
              </w:rPr>
              <w:t>支持H.264、H.265、MJPEG视频编码格式，且具有High Profile编码能力。</w:t>
            </w:r>
            <w:r>
              <w:rPr>
                <w:rFonts w:hint="eastAsia"/>
                <w:lang w:val="en-US" w:eastAsia="zh-CN"/>
              </w:rPr>
              <w:br w:type="textWrapping"/>
            </w:r>
            <w:r>
              <w:rPr>
                <w:rFonts w:hint="eastAsia"/>
                <w:lang w:val="en-US" w:eastAsia="zh-CN"/>
              </w:rPr>
              <w:t>同一场景相同图像质量下设备在H.264或H.265编码时，开启智能编码和不开启智能编码相比，码率节约≥90%</w:t>
            </w:r>
            <w:r>
              <w:rPr>
                <w:rFonts w:hint="eastAsia"/>
                <w:lang w:val="en-US" w:eastAsia="zh-CN"/>
              </w:rPr>
              <w:br w:type="textWrapping"/>
            </w:r>
            <w:r>
              <w:rPr>
                <w:rFonts w:hint="eastAsia"/>
                <w:lang w:val="en-US" w:eastAsia="zh-CN"/>
              </w:rPr>
              <w:t>在分辨率1920x1080 @ 25fps，码流设置为1Mbps时，视频图像传输延时不大于60ms。</w:t>
            </w:r>
            <w:r>
              <w:rPr>
                <w:rFonts w:hint="eastAsia"/>
                <w:lang w:val="en-US" w:eastAsia="zh-CN"/>
              </w:rPr>
              <w:br w:type="textWrapping"/>
            </w:r>
            <w:r>
              <w:rPr>
                <w:rFonts w:hint="eastAsia"/>
                <w:lang w:val="en-US" w:eastAsia="zh-CN"/>
              </w:rPr>
              <w:t>★内置GPU芯片。</w:t>
            </w:r>
            <w:r>
              <w:rPr>
                <w:rFonts w:hint="eastAsia"/>
                <w:lang w:val="en-US" w:eastAsia="zh-CN"/>
              </w:rPr>
              <w:br w:type="textWrapping"/>
            </w:r>
            <w:r>
              <w:rPr>
                <w:rFonts w:hint="eastAsia"/>
                <w:lang w:val="en-US" w:eastAsia="zh-CN"/>
              </w:rPr>
              <w:t>支持周界防范功能，当区域入侵、越界侦测、进入区域、离开区域报警布防开启后，出现行人、非机动车、机动车目标时能触发报警，当检测区域中篮球滚动、小狗移动、树叶晃动及光线明暗变化时不会触发报警。</w:t>
            </w:r>
            <w:r>
              <w:rPr>
                <w:rFonts w:hint="eastAsia"/>
                <w:lang w:val="en-US" w:eastAsia="zh-CN"/>
              </w:rPr>
              <w:br w:type="textWrapping"/>
            </w:r>
            <w:r>
              <w:rPr>
                <w:rFonts w:hint="eastAsia"/>
                <w:lang w:val="en-US" w:eastAsia="zh-CN"/>
              </w:rPr>
              <w:t>支持对两眼瞳距不小于40像素的人脸进行检验。</w:t>
            </w:r>
            <w:r>
              <w:rPr>
                <w:rFonts w:hint="eastAsia"/>
                <w:lang w:val="en-US" w:eastAsia="zh-CN"/>
              </w:rPr>
              <w:br w:type="textWrapping"/>
            </w:r>
            <w:r>
              <w:rPr>
                <w:rFonts w:hint="eastAsia"/>
                <w:lang w:val="en-US" w:eastAsia="zh-CN"/>
              </w:rPr>
              <w:t>支持侧脸过滤功能，可过滤与样机镜头呈上下、左右角度达到预设值的人脸。</w:t>
            </w:r>
            <w:r>
              <w:rPr>
                <w:rFonts w:hint="eastAsia"/>
                <w:lang w:val="en-US" w:eastAsia="zh-CN"/>
              </w:rPr>
              <w:br w:type="textWrapping"/>
            </w:r>
            <w:r>
              <w:rPr>
                <w:rFonts w:hint="eastAsia"/>
                <w:lang w:val="en-US" w:eastAsia="zh-CN"/>
              </w:rPr>
              <w:t>支持抓拍、识别新能源汽车号牌。</w:t>
            </w:r>
            <w:r>
              <w:rPr>
                <w:rFonts w:hint="eastAsia"/>
                <w:lang w:val="en-US" w:eastAsia="zh-CN"/>
              </w:rPr>
              <w:br w:type="textWrapping"/>
            </w:r>
            <w:r>
              <w:rPr>
                <w:rFonts w:hint="eastAsia"/>
                <w:lang w:val="en-US" w:eastAsia="zh-CN"/>
              </w:rPr>
              <w:t>支持声光报警功能，当报警产生时，可在布防时间内联动声音警报和/或白光闪烁。报警声音类型不小于11种，报警音量和重复次数可设置</w:t>
            </w:r>
            <w:r>
              <w:rPr>
                <w:rFonts w:hint="eastAsia"/>
                <w:lang w:val="en-US" w:eastAsia="zh-CN"/>
              </w:rPr>
              <w:br w:type="textWrapping"/>
            </w:r>
            <w:r>
              <w:rPr>
                <w:rFonts w:hint="eastAsia"/>
              </w:rPr>
              <w:t>★</w:t>
            </w:r>
            <w:r>
              <w:rPr>
                <w:rFonts w:hint="eastAsia"/>
                <w:lang w:val="en-US" w:eastAsia="zh-CN"/>
              </w:rPr>
              <w:t>在IE浏览器下，具有设备重启和布防动态报警数据感知与记录功能，布防动态报警数据包括异常掉线、历史布防、实时布防3种类型；可记录报警的开始时间、结束时间、布防类型、报警链路地址、端口、链路续传。</w:t>
            </w:r>
            <w:r>
              <w:rPr>
                <w:rFonts w:hint="eastAsia"/>
                <w:lang w:val="en-US" w:eastAsia="zh-CN"/>
              </w:rPr>
              <w:br w:type="textWrapping"/>
            </w:r>
            <w:r>
              <w:rPr>
                <w:rFonts w:hint="eastAsia"/>
                <w:lang w:val="en-US" w:eastAsia="zh-CN"/>
              </w:rPr>
              <w:t>设备具有耀光抑制功能，耀光区域≤1%。</w:t>
            </w:r>
            <w:r>
              <w:rPr>
                <w:rFonts w:hint="eastAsia"/>
                <w:lang w:val="en-US" w:eastAsia="zh-CN"/>
              </w:rPr>
              <w:br w:type="textWrapping"/>
            </w:r>
            <w:r>
              <w:rPr>
                <w:rFonts w:hint="eastAsia"/>
              </w:rPr>
              <w:t>★</w:t>
            </w:r>
            <w:r>
              <w:rPr>
                <w:rFonts w:hint="eastAsia"/>
                <w:lang w:val="en-US" w:eastAsia="zh-CN"/>
              </w:rPr>
              <w:t>采用鳞镜式补光灯，灯杯为半弧形网格鳞片状，其中2颗近光灯、2颗远光灯</w:t>
            </w:r>
          </w:p>
          <w:p>
            <w:pPr>
              <w:pStyle w:val="2"/>
              <w:rPr>
                <w:rFonts w:hint="eastAsia"/>
              </w:rPr>
            </w:pPr>
            <w:r>
              <w:rPr>
                <w:rFonts w:hint="eastAsia" w:ascii="宋体" w:hAnsi="宋体" w:eastAsia="宋体" w:cs="宋体"/>
                <w:color w:val="000000"/>
                <w:sz w:val="22"/>
                <w:szCs w:val="22"/>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97"/>
                <w:lang w:val="en-US" w:eastAsia="zh-CN" w:bidi="ar"/>
              </w:rPr>
              <w:t>PC</w:t>
            </w:r>
            <w:r>
              <w:rPr>
                <w:rFonts w:hint="eastAsia" w:ascii="宋体" w:hAnsi="宋体" w:eastAsia="宋体" w:cs="宋体"/>
                <w:i w:val="0"/>
                <w:iCs w:val="0"/>
                <w:color w:val="000000"/>
                <w:kern w:val="0"/>
                <w:sz w:val="22"/>
                <w:szCs w:val="22"/>
                <w:u w:val="none"/>
                <w:lang w:val="en-US" w:eastAsia="zh-CN" w:bidi="ar"/>
              </w:rPr>
              <w:t>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lang w:bidi="ar"/>
              </w:rPr>
              <w:t>处理器：X86国产化处理器，主频≥2.7Ghz，8核8线程。</w:t>
            </w:r>
            <w:r>
              <w:rPr>
                <w:rFonts w:hint="eastAsia" w:ascii="宋体" w:hAnsi="宋体" w:eastAsia="宋体" w:cs="宋体"/>
                <w:color w:val="000000"/>
                <w:lang w:bidi="ar"/>
              </w:rPr>
              <w:br w:type="textWrapping"/>
            </w:r>
            <w:r>
              <w:rPr>
                <w:rFonts w:hint="eastAsia" w:ascii="宋体" w:hAnsi="宋体" w:eastAsia="宋体" w:cs="宋体"/>
                <w:color w:val="000000"/>
                <w:lang w:bidi="ar"/>
              </w:rPr>
              <w:t>主板：为维护机主合法权益，需支持自定义开机画面显示机主名字或单位名称。</w:t>
            </w:r>
            <w:r>
              <w:rPr>
                <w:rFonts w:hint="eastAsia" w:ascii="宋体" w:hAnsi="宋体" w:eastAsia="宋体" w:cs="宋体"/>
                <w:color w:val="000000"/>
                <w:lang w:bidi="ar"/>
              </w:rPr>
              <w:br w:type="textWrapping"/>
            </w:r>
            <w:r>
              <w:rPr>
                <w:rFonts w:hint="eastAsia" w:ascii="宋体" w:hAnsi="宋体" w:eastAsia="宋体" w:cs="宋体"/>
                <w:color w:val="000000"/>
                <w:lang w:bidi="ar"/>
              </w:rPr>
              <w:t>内存：≥16GB DDR4，≥512G SATA SSD，硬盘需与主机同一品牌。</w:t>
            </w:r>
            <w:r>
              <w:rPr>
                <w:rFonts w:hint="eastAsia" w:ascii="宋体" w:hAnsi="宋体" w:eastAsia="宋体" w:cs="宋体"/>
                <w:color w:val="000000"/>
                <w:lang w:bidi="ar"/>
              </w:rPr>
              <w:br w:type="textWrapping"/>
            </w:r>
            <w:r>
              <w:rPr>
                <w:rFonts w:hint="eastAsia" w:ascii="宋体" w:hAnsi="宋体" w:eastAsia="宋体" w:cs="宋体"/>
                <w:color w:val="000000"/>
                <w:lang w:bidi="ar"/>
              </w:rPr>
              <w:t>USB接口≥8个，其中USB3.0接口≥4个，机箱后置USB接口≥4个；≥1个VGA+1个HDMI；≥2个千兆自适应以太网口。</w:t>
            </w:r>
            <w:r>
              <w:rPr>
                <w:rFonts w:hint="eastAsia" w:ascii="宋体" w:hAnsi="宋体" w:eastAsia="宋体" w:cs="宋体"/>
                <w:color w:val="000000"/>
                <w:lang w:bidi="ar"/>
              </w:rPr>
              <w:br w:type="textWrapping"/>
            </w:r>
            <w:r>
              <w:rPr>
                <w:rFonts w:hint="eastAsia" w:ascii="宋体" w:hAnsi="宋体" w:eastAsia="宋体" w:cs="宋体"/>
                <w:color w:val="000000"/>
                <w:lang w:bidi="ar"/>
              </w:rPr>
              <w:t>支持集成显卡，配置≥23.8寸显示器支持1920*1080分辨率。</w:t>
            </w:r>
            <w:r>
              <w:rPr>
                <w:rFonts w:hint="eastAsia" w:ascii="宋体" w:hAnsi="宋体" w:eastAsia="宋体" w:cs="宋体"/>
                <w:color w:val="000000"/>
                <w:lang w:bidi="ar"/>
              </w:rPr>
              <w:br w:type="textWrapping"/>
            </w:r>
            <w:r>
              <w:rPr>
                <w:rFonts w:hint="eastAsia" w:ascii="宋体" w:hAnsi="宋体" w:eastAsia="宋体" w:cs="宋体"/>
                <w:color w:val="000000"/>
                <w:lang w:bidi="ar"/>
              </w:rPr>
              <w:t>操作系统兼容性：支持windows系统、UOS系统、麒麟系统、CentOS系统、Windows 7系统、LINUX系统安装；支持双系统、三系统、四系统安装。</w:t>
            </w:r>
            <w:r>
              <w:rPr>
                <w:rFonts w:hint="eastAsia" w:ascii="宋体" w:hAnsi="宋体" w:eastAsia="宋体" w:cs="宋体"/>
                <w:color w:val="000000"/>
                <w:lang w:bidi="ar"/>
              </w:rPr>
              <w:br w:type="textWrapping"/>
            </w:r>
            <w:r>
              <w:rPr>
                <w:rFonts w:hint="eastAsia" w:ascii="宋体" w:hAnsi="宋体" w:eastAsia="宋体" w:cs="宋体"/>
                <w:color w:val="000000"/>
                <w:lang w:bidi="ar"/>
              </w:rPr>
              <w:t>硬盘断电保护：可支持硬盘数据及时还原，还原到指定还原点;支持硬盘断电保护;支持双网口绑定、双网口使用。</w:t>
            </w:r>
            <w:r>
              <w:rPr>
                <w:rFonts w:hint="eastAsia" w:ascii="宋体" w:hAnsi="宋体" w:eastAsia="宋体" w:cs="宋体"/>
                <w:color w:val="000000"/>
                <w:lang w:bidi="ar"/>
              </w:rPr>
              <w:br w:type="textWrapping"/>
            </w:r>
            <w:r>
              <w:rPr>
                <w:rFonts w:hint="eastAsia" w:ascii="宋体" w:hAnsi="宋体" w:eastAsia="宋体" w:cs="宋体"/>
                <w:color w:val="000000"/>
                <w:lang w:bidi="ar"/>
              </w:rPr>
              <w:t>开机速度、远程唤醒：设备支持控制开机速度在10秒内，可支持远程开关机，支持远程唤醒。</w:t>
            </w:r>
            <w:r>
              <w:rPr>
                <w:rFonts w:hint="eastAsia" w:ascii="宋体" w:hAnsi="宋体" w:eastAsia="宋体" w:cs="宋体"/>
                <w:color w:val="000000"/>
                <w:lang w:bidi="ar"/>
              </w:rPr>
              <w:br w:type="textWrapping"/>
            </w:r>
            <w:r>
              <w:rPr>
                <w:rFonts w:hint="eastAsia" w:ascii="宋体" w:hAnsi="宋体" w:eastAsia="宋体" w:cs="宋体"/>
                <w:color w:val="000000"/>
                <w:lang w:bidi="ar"/>
              </w:rPr>
              <w:t>整机品牌：支持硬盘拆卸安装;支持存储硬盘与主机同一品牌，主机与播放器同一品牌。</w:t>
            </w:r>
            <w:r>
              <w:rPr>
                <w:rFonts w:hint="eastAsia" w:ascii="宋体" w:hAnsi="宋体" w:eastAsia="宋体" w:cs="宋体"/>
                <w:color w:val="000000"/>
                <w:lang w:bidi="ar"/>
              </w:rPr>
              <w:br w:type="textWrapping"/>
            </w:r>
            <w:r>
              <w:rPr>
                <w:rFonts w:hint="eastAsia" w:ascii="宋体" w:hAnsi="宋体" w:eastAsia="宋体" w:cs="宋体"/>
                <w:color w:val="000000"/>
                <w:lang w:bidi="ar"/>
              </w:rPr>
              <w:t>★视频功能：支持超高清4K、8K解码实景播放，支持3600W鹰眼前端解码播放;支持多显卡调度，可在相同应用里使用双显卡，双显卡同时工作；可通过视频客户端进行画中画显示，把二个IPC的画面合并成一个画面，在一个大画面叠加一个小画面，也可以分二个窗口显示。</w:t>
            </w:r>
            <w:r>
              <w:rPr>
                <w:rFonts w:hint="eastAsia" w:ascii="宋体" w:hAnsi="宋体" w:eastAsia="宋体" w:cs="宋体"/>
                <w:color w:val="000000"/>
                <w:lang w:bidi="ar"/>
              </w:rPr>
              <w:br w:type="textWrapping"/>
            </w:r>
            <w:r>
              <w:rPr>
                <w:rFonts w:hint="eastAsia" w:ascii="宋体" w:hAnsi="宋体" w:eastAsia="宋体" w:cs="宋体"/>
                <w:color w:val="000000"/>
                <w:lang w:bidi="ar"/>
              </w:rPr>
              <w:t>安防配套：支持应用软件向导式启动，支持更新升级;支持应用软件打开即全屏显示;支持windows应用虚拟化;支持双系统同时开机同时使用;支持安装云盘软件，对指定目录进行增备、全备、双向同步;支持对操作系统进行镜像备份和恢复;使用视图播放器对文件进行播放。</w:t>
            </w:r>
            <w:r>
              <w:rPr>
                <w:rFonts w:hint="eastAsia" w:ascii="宋体" w:hAnsi="宋体" w:eastAsia="宋体" w:cs="宋体"/>
                <w:color w:val="000000"/>
                <w:lang w:bidi="ar"/>
              </w:rPr>
              <w:br w:type="textWrapping"/>
            </w:r>
            <w:r>
              <w:rPr>
                <w:rFonts w:hint="eastAsia" w:ascii="宋体" w:hAnsi="宋体" w:eastAsia="宋体" w:cs="宋体"/>
                <w:color w:val="000000"/>
                <w:lang w:bidi="ar"/>
              </w:rPr>
              <w:t>★倍速播放：支持多窗口播放：可进行16个窗口同时1或2倍速播放，9个窗口同时4倍速播放，4个窗口同时8倍速或16倍速播放。</w:t>
            </w:r>
            <w:r>
              <w:rPr>
                <w:rFonts w:hint="eastAsia" w:ascii="宋体" w:hAnsi="宋体" w:eastAsia="宋体" w:cs="宋体"/>
                <w:color w:val="000000"/>
                <w:lang w:bidi="ar"/>
              </w:rPr>
              <w:br w:type="textWrapping"/>
            </w:r>
            <w:r>
              <w:rPr>
                <w:rFonts w:hint="eastAsia" w:ascii="宋体" w:hAnsi="宋体" w:eastAsia="宋体" w:cs="宋体"/>
                <w:color w:val="000000"/>
                <w:lang w:bidi="ar"/>
              </w:rPr>
              <w:t>分屏播放：系统需支持GA/T1154.2-2014中4.4.2.1规定的70种视频格式文件等多种安防视频格式文件功能，支持全屏、单屏、2分屏、4分屏、9分屏、16分屏播放。</w:t>
            </w:r>
            <w:r>
              <w:rPr>
                <w:rFonts w:hint="eastAsia" w:ascii="宋体" w:hAnsi="宋体" w:eastAsia="宋体" w:cs="宋体"/>
                <w:color w:val="000000"/>
                <w:lang w:bidi="ar"/>
              </w:rPr>
              <w:br w:type="textWrapping"/>
            </w:r>
            <w:r>
              <w:rPr>
                <w:rFonts w:hint="eastAsia" w:ascii="宋体" w:hAnsi="宋体" w:eastAsia="宋体" w:cs="宋体"/>
                <w:color w:val="000000"/>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Style w:val="197"/>
                <w:lang w:val="en-US" w:eastAsia="zh-CN" w:bidi="ar"/>
              </w:rPr>
              <w:t>RFID</w:t>
            </w:r>
            <w:r>
              <w:rPr>
                <w:rFonts w:hint="eastAsia" w:ascii="宋体" w:hAnsi="宋体" w:eastAsia="宋体" w:cs="宋体"/>
                <w:i w:val="0"/>
                <w:iCs w:val="0"/>
                <w:color w:val="000000"/>
                <w:kern w:val="0"/>
                <w:sz w:val="22"/>
                <w:szCs w:val="22"/>
                <w:u w:val="none"/>
                <w:lang w:val="en-US" w:eastAsia="zh-CN" w:bidi="ar"/>
              </w:rPr>
              <w:t>读写器</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IC 卡标准： 符合 ISO7816、ISO14443、ISO15693、ISO7811、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GA 450 标 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接触式卡片支持： 接触式 CPU 卡， 逻辑加密卡(4442/28)，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Memory 卡 (24C01~128)；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非接工作频率： 13.56MHz ，非接卡支持：非接触式 CPU TYPE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A/B， Mifare(S50,S70)， 15693，M1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身份证； 阅读距离： 0-3cm；阅读时间： &lt;0.5s；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磁条卡支持：支持 1/2/3 全轨道数据读取，支持正反刷操作模式；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6）扫码头支持：二维码、条码等；) 同时支持 USB 与串口通信；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USB 支持 HID 与 SDT (公安部安全模组专用协议，如果有需要可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以定制 含 CCID/PCSC 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串口通信支持 TTL 电平与 232 电平(二选一，默认 232 电平)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适用平台及二次开发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适用于 WinXP/Win7/Win8/Win8. 1/Win10/Linux 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可用二次开发工具： VC/DEPHI/VB/PB 等；1) 具有电源自动保护设计；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电源： USB 供电， DC5V/500mA(±5%)；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 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IC 卡触点寿命： ≥30 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磁头寿命：大约 30 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 使用环境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工作温度： 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相对湿度： 20%~90%RH；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大气压力： 60KPa ~ 110 KPa；</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针式打印机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用于打印检验单，平推式，</w:t>
            </w:r>
            <w:r>
              <w:rPr>
                <w:rStyle w:val="197"/>
                <w:lang w:val="en-US" w:eastAsia="zh-CN" w:bidi="ar"/>
              </w:rPr>
              <w:t>24</w:t>
            </w:r>
            <w:r>
              <w:rPr>
                <w:rFonts w:hint="eastAsia" w:ascii="宋体" w:hAnsi="宋体" w:eastAsia="宋体" w:cs="宋体"/>
                <w:i w:val="0"/>
                <w:iCs w:val="0"/>
                <w:color w:val="000000"/>
                <w:kern w:val="0"/>
                <w:sz w:val="22"/>
                <w:szCs w:val="22"/>
                <w:u w:val="none"/>
                <w:lang w:val="en-US" w:eastAsia="zh-CN" w:bidi="ar"/>
              </w:rPr>
              <w:t>针，汉字超高速</w:t>
            </w:r>
            <w:r>
              <w:rPr>
                <w:rStyle w:val="197"/>
                <w:lang w:val="en-US" w:eastAsia="zh-CN" w:bidi="ar"/>
              </w:rPr>
              <w:t>: 168</w:t>
            </w:r>
            <w:r>
              <w:rPr>
                <w:rFonts w:hint="eastAsia" w:ascii="宋体" w:hAnsi="宋体" w:eastAsia="宋体" w:cs="宋体"/>
                <w:i w:val="0"/>
                <w:iCs w:val="0"/>
                <w:color w:val="000000"/>
                <w:kern w:val="0"/>
                <w:sz w:val="22"/>
                <w:szCs w:val="22"/>
                <w:u w:val="none"/>
                <w:lang w:val="en-US" w:eastAsia="zh-CN" w:bidi="ar"/>
              </w:rPr>
              <w:t>汉字</w:t>
            </w:r>
            <w:r>
              <w:rPr>
                <w:rStyle w:val="197"/>
                <w:lang w:val="en-US" w:eastAsia="zh-CN" w:bidi="ar"/>
              </w:rPr>
              <w:t>/</w:t>
            </w:r>
            <w:r>
              <w:rPr>
                <w:rFonts w:hint="eastAsia" w:ascii="宋体" w:hAnsi="宋体" w:eastAsia="宋体" w:cs="宋体"/>
                <w:i w:val="0"/>
                <w:iCs w:val="0"/>
                <w:color w:val="000000"/>
                <w:kern w:val="0"/>
                <w:sz w:val="22"/>
                <w:szCs w:val="22"/>
                <w:u w:val="none"/>
                <w:lang w:val="en-US" w:eastAsia="zh-CN" w:bidi="ar"/>
              </w:rPr>
              <w:t>秒，</w:t>
            </w:r>
            <w:r>
              <w:rPr>
                <w:rStyle w:val="197"/>
                <w:lang w:val="en-US" w:eastAsia="zh-CN" w:bidi="ar"/>
              </w:rPr>
              <w:t>USB</w:t>
            </w:r>
            <w:r>
              <w:rPr>
                <w:rFonts w:hint="eastAsia" w:ascii="宋体" w:hAnsi="宋体" w:eastAsia="宋体" w:cs="宋体"/>
                <w:i w:val="0"/>
                <w:iCs w:val="0"/>
                <w:color w:val="000000"/>
                <w:kern w:val="0"/>
                <w:sz w:val="22"/>
                <w:szCs w:val="22"/>
                <w:u w:val="none"/>
                <w:lang w:val="en-US" w:eastAsia="zh-CN" w:bidi="ar"/>
              </w:rPr>
              <w:t>接口，复写能力</w:t>
            </w:r>
            <w:r>
              <w:rPr>
                <w:rStyle w:val="197"/>
                <w:lang w:val="en-US" w:eastAsia="zh-CN" w:bidi="ar"/>
              </w:rPr>
              <w:t>≥5</w:t>
            </w:r>
            <w:r>
              <w:rPr>
                <w:rFonts w:hint="eastAsia" w:ascii="宋体" w:hAnsi="宋体" w:eastAsia="宋体" w:cs="宋体"/>
                <w:i w:val="0"/>
                <w:iCs w:val="0"/>
                <w:color w:val="000000"/>
                <w:kern w:val="0"/>
                <w:sz w:val="22"/>
                <w:szCs w:val="22"/>
                <w:u w:val="none"/>
                <w:lang w:val="en-US" w:eastAsia="zh-CN" w:bidi="ar"/>
              </w:rPr>
              <w:t>份，能适配国产环境。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道闸</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人行、车辆道闸、红绿灯等，用于控制车辆上磅。支持</w:t>
            </w:r>
            <w:r>
              <w:rPr>
                <w:rStyle w:val="197"/>
                <w:lang w:val="en-US" w:eastAsia="zh-CN" w:bidi="ar"/>
              </w:rPr>
              <w:t>MQTT</w:t>
            </w:r>
            <w:r>
              <w:rPr>
                <w:rFonts w:hint="eastAsia" w:ascii="宋体" w:hAnsi="宋体" w:eastAsia="宋体" w:cs="宋体"/>
                <w:i w:val="0"/>
                <w:iCs w:val="0"/>
                <w:color w:val="000000"/>
                <w:kern w:val="0"/>
                <w:sz w:val="22"/>
                <w:szCs w:val="22"/>
                <w:u w:val="none"/>
                <w:lang w:val="en-US" w:eastAsia="zh-CN" w:bidi="ar"/>
              </w:rPr>
              <w:t>、</w:t>
            </w:r>
            <w:r>
              <w:rPr>
                <w:rStyle w:val="197"/>
                <w:lang w:val="en-US" w:eastAsia="zh-CN" w:bidi="ar"/>
              </w:rPr>
              <w:t>mdbus</w:t>
            </w:r>
            <w:r>
              <w:rPr>
                <w:rFonts w:hint="eastAsia" w:ascii="宋体" w:hAnsi="宋体" w:eastAsia="宋体" w:cs="宋体"/>
                <w:i w:val="0"/>
                <w:iCs w:val="0"/>
                <w:color w:val="000000"/>
                <w:kern w:val="0"/>
                <w:sz w:val="22"/>
                <w:szCs w:val="22"/>
                <w:u w:val="none"/>
                <w:lang w:val="en-US" w:eastAsia="zh-CN" w:bidi="ar"/>
              </w:rPr>
              <w:t>、</w:t>
            </w:r>
            <w:r>
              <w:rPr>
                <w:rStyle w:val="197"/>
                <w:lang w:val="en-US" w:eastAsia="zh-CN" w:bidi="ar"/>
              </w:rPr>
              <w:t>CoAP</w:t>
            </w:r>
            <w:r>
              <w:rPr>
                <w:rFonts w:hint="eastAsia" w:ascii="宋体" w:hAnsi="宋体" w:eastAsia="宋体" w:cs="宋体"/>
                <w:i w:val="0"/>
                <w:iCs w:val="0"/>
                <w:color w:val="000000"/>
                <w:kern w:val="0"/>
                <w:sz w:val="22"/>
                <w:szCs w:val="22"/>
                <w:u w:val="none"/>
                <w:lang w:val="en-US" w:eastAsia="zh-CN" w:bidi="ar"/>
              </w:rPr>
              <w:t>、</w:t>
            </w:r>
            <w:r>
              <w:rPr>
                <w:rStyle w:val="197"/>
                <w:lang w:val="en-US" w:eastAsia="zh-CN" w:bidi="ar"/>
              </w:rPr>
              <w:t>TCP</w:t>
            </w:r>
            <w:r>
              <w:rPr>
                <w:rFonts w:hint="eastAsia" w:ascii="宋体" w:hAnsi="宋体" w:eastAsia="宋体" w:cs="宋体"/>
                <w:i w:val="0"/>
                <w:iCs w:val="0"/>
                <w:color w:val="000000"/>
                <w:kern w:val="0"/>
                <w:sz w:val="22"/>
                <w:szCs w:val="22"/>
                <w:u w:val="none"/>
                <w:lang w:val="en-US" w:eastAsia="zh-CN" w:bidi="ar"/>
              </w:rPr>
              <w:t>、</w:t>
            </w:r>
            <w:r>
              <w:rPr>
                <w:rStyle w:val="197"/>
                <w:lang w:val="en-US" w:eastAsia="zh-CN" w:bidi="ar"/>
              </w:rPr>
              <w:t>HTTP</w:t>
            </w:r>
            <w:r>
              <w:rPr>
                <w:rFonts w:hint="eastAsia" w:ascii="宋体" w:hAnsi="宋体" w:eastAsia="宋体" w:cs="宋体"/>
                <w:i w:val="0"/>
                <w:iCs w:val="0"/>
                <w:color w:val="000000"/>
                <w:kern w:val="0"/>
                <w:sz w:val="22"/>
                <w:szCs w:val="22"/>
                <w:u w:val="none"/>
                <w:lang w:val="en-US" w:eastAsia="zh-CN" w:bidi="ar"/>
              </w:rPr>
              <w:t>任意一种接口协议，协议包含设备状态、开启、关闭等远程控制指令。</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语音设备</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包含麦克风、音柱等，用于播报称重信息等。</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计量质检显示系统</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像素10MM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模组尺寸160MM*320MM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扫描方式1/4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模组功率13W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恒流驱动方式动态恒流驱动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模组亮度3000CD/㎡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模组点数长32点*高16点=512点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模组角度水平≥80°垂直≥75°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接口型号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HUB75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亮度比例1R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100000MIN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模组像素512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最大功耗小于15W/每个模组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每平点数100000点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观看视距10米以外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平均功率12W/每个模组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工作电压直流5A5%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身份证、银行卡读卡器</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符合ISO/IEC 14443 Type A/B标准符合《GA450-2013台式居民身份证阅读机具技术要求》，《GA1012-2012居民身份证指纹采集和比对技术规范》《GAT1011-2012居民身份证指纹采集器技术要求》；读卡时间＜1S，阅读间距0~3cm,USB数据接口*1、USB拓展接口*1、USB1.0/2.0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5VUSB供电,支持外接5V-1A直流电源13.56MHz士7kHz(fc)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天线表面电磁场强度(Hmx)S7.5A/m rms;天线表面法线方向在最大阅读距离处电磁场强度(Hmh)&gt;1.5A/m 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指示灯,蜂鸣器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WIN XP/7/8/8.1/10国产操作化系统(银河麒麟、中标麒麟、统信操作系统(鲤鹏、龙芯飞腾、海光、兆芯平台)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SDK支持VC/VB/DEPH/PB等0-+50°C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-40-+60°C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&lt;90%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137*100*24mm(L*W*H)</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摄像头（及配套摄像头组网设备）</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lang w:bidi="ar"/>
              </w:rPr>
              <w:t>具有400万像素 CMOS传感器。</w:t>
            </w:r>
            <w:r>
              <w:rPr>
                <w:rFonts w:hint="eastAsia" w:ascii="宋体" w:hAnsi="宋体" w:eastAsia="宋体" w:cs="宋体"/>
                <w:color w:val="000000"/>
                <w:lang w:bidi="ar"/>
              </w:rPr>
              <w:br w:type="textWrapping"/>
            </w:r>
            <w:r>
              <w:rPr>
                <w:rFonts w:hint="eastAsia" w:ascii="宋体" w:hAnsi="宋体" w:eastAsia="宋体" w:cs="宋体"/>
                <w:color w:val="000000"/>
                <w:lang w:bidi="ar"/>
              </w:rPr>
              <w:t>★最低照度彩色不大于0.005 lx，黑白不大于0.0005 lx。</w:t>
            </w:r>
            <w:r>
              <w:rPr>
                <w:rFonts w:hint="eastAsia" w:ascii="宋体" w:hAnsi="宋体" w:eastAsia="宋体" w:cs="宋体"/>
                <w:color w:val="000000"/>
                <w:lang w:bidi="ar"/>
              </w:rPr>
              <w:br w:type="textWrapping"/>
            </w:r>
            <w:r>
              <w:rPr>
                <w:rFonts w:hint="eastAsia" w:ascii="宋体" w:hAnsi="宋体" w:eastAsia="宋体" w:cs="宋体"/>
                <w:color w:val="000000"/>
                <w:lang w:bidi="ar"/>
              </w:rPr>
              <w:t>动态范围不小于106dB。</w:t>
            </w:r>
            <w:r>
              <w:rPr>
                <w:rFonts w:hint="eastAsia" w:ascii="宋体" w:hAnsi="宋体" w:eastAsia="宋体" w:cs="宋体"/>
                <w:color w:val="000000"/>
                <w:lang w:bidi="ar"/>
              </w:rPr>
              <w:br w:type="textWrapping"/>
            </w:r>
            <w:r>
              <w:rPr>
                <w:rFonts w:hint="eastAsia" w:ascii="宋体" w:hAnsi="宋体" w:eastAsia="宋体" w:cs="宋体"/>
                <w:color w:val="000000"/>
                <w:lang w:bidi="ar"/>
              </w:rPr>
              <w:t>信噪比不小于62dB。</w:t>
            </w:r>
            <w:r>
              <w:rPr>
                <w:rFonts w:hint="eastAsia" w:ascii="宋体" w:hAnsi="宋体" w:eastAsia="宋体" w:cs="宋体"/>
                <w:color w:val="000000"/>
                <w:lang w:bidi="ar"/>
              </w:rPr>
              <w:br w:type="textWrapping"/>
            </w:r>
            <w:r>
              <w:rPr>
                <w:rFonts w:hint="eastAsia" w:ascii="宋体" w:hAnsi="宋体" w:eastAsia="宋体" w:cs="宋体"/>
                <w:color w:val="000000"/>
                <w:lang w:bidi="ar"/>
              </w:rPr>
              <w:t>需支持IP67防尘防水。</w:t>
            </w:r>
            <w:r>
              <w:rPr>
                <w:rFonts w:hint="eastAsia" w:ascii="宋体" w:hAnsi="宋体" w:eastAsia="宋体" w:cs="宋体"/>
                <w:color w:val="000000"/>
                <w:lang w:bidi="ar"/>
              </w:rPr>
              <w:br w:type="textWrapping"/>
            </w:r>
            <w:r>
              <w:rPr>
                <w:rFonts w:hint="eastAsia" w:ascii="宋体" w:hAnsi="宋体" w:eastAsia="宋体" w:cs="宋体"/>
                <w:color w:val="000000"/>
                <w:lang w:bidi="ar"/>
              </w:rPr>
              <w:t>需支持DC12V供电，且在不小于DC12V±30%范围内变化时可以正常工作。</w:t>
            </w:r>
            <w:r>
              <w:rPr>
                <w:rFonts w:hint="eastAsia" w:ascii="宋体" w:hAnsi="宋体" w:eastAsia="宋体" w:cs="宋体"/>
                <w:color w:val="000000"/>
                <w:lang w:bidi="ar"/>
              </w:rPr>
              <w:br w:type="textWrapping"/>
            </w:r>
            <w:r>
              <w:rPr>
                <w:rFonts w:hint="eastAsia" w:ascii="宋体" w:hAnsi="宋体" w:eastAsia="宋体" w:cs="宋体"/>
                <w:color w:val="000000"/>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录像存储时长不低于90天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原粮库信息系统软件部署</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粮库信息系统软件终端部署安装: 读卡制卡模块、打印终端配置、票据模版制作、软件模块配置调试、权限配置、单位组织架构初始化、仓库油罐数据初始化、数据上报接口调试、系统培训等。</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二、6个成品库建设内容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lang w:bidi="ar"/>
              </w:rPr>
              <w:t>处理器：X86国产化处理器，主频≥2.7Ghz，8核8线程。</w:t>
            </w:r>
            <w:r>
              <w:rPr>
                <w:rFonts w:hint="eastAsia" w:ascii="宋体" w:hAnsi="宋体" w:eastAsia="宋体" w:cs="宋体"/>
                <w:color w:val="000000"/>
                <w:lang w:bidi="ar"/>
              </w:rPr>
              <w:br w:type="textWrapping"/>
            </w:r>
            <w:r>
              <w:rPr>
                <w:rFonts w:hint="eastAsia" w:ascii="宋体" w:hAnsi="宋体" w:eastAsia="宋体" w:cs="宋体"/>
                <w:color w:val="000000"/>
                <w:lang w:bidi="ar"/>
              </w:rPr>
              <w:t>主板：为维护机主合法权益，需支持自定义开机画面显示机主名字或单位名称。</w:t>
            </w:r>
            <w:r>
              <w:rPr>
                <w:rFonts w:hint="eastAsia" w:ascii="宋体" w:hAnsi="宋体" w:eastAsia="宋体" w:cs="宋体"/>
                <w:color w:val="000000"/>
                <w:lang w:bidi="ar"/>
              </w:rPr>
              <w:br w:type="textWrapping"/>
            </w:r>
            <w:r>
              <w:rPr>
                <w:rFonts w:hint="eastAsia" w:ascii="宋体" w:hAnsi="宋体" w:eastAsia="宋体" w:cs="宋体"/>
                <w:color w:val="000000"/>
                <w:lang w:bidi="ar"/>
              </w:rPr>
              <w:t>内存：≥16GB DDR4，≥512G SATA SSD，硬盘需与主机同一品牌。</w:t>
            </w:r>
            <w:r>
              <w:rPr>
                <w:rFonts w:hint="eastAsia" w:ascii="宋体" w:hAnsi="宋体" w:eastAsia="宋体" w:cs="宋体"/>
                <w:color w:val="000000"/>
                <w:lang w:bidi="ar"/>
              </w:rPr>
              <w:br w:type="textWrapping"/>
            </w:r>
            <w:r>
              <w:rPr>
                <w:rFonts w:hint="eastAsia" w:ascii="宋体" w:hAnsi="宋体" w:eastAsia="宋体" w:cs="宋体"/>
                <w:color w:val="000000"/>
                <w:lang w:bidi="ar"/>
              </w:rPr>
              <w:t>USB接口≥8个，其中USB3.0接口≥4个，机箱后置USB接口≥4个；≥1个VGA+1个HDMI；≥2个千兆自适应以太网口。</w:t>
            </w:r>
            <w:r>
              <w:rPr>
                <w:rFonts w:hint="eastAsia" w:ascii="宋体" w:hAnsi="宋体" w:eastAsia="宋体" w:cs="宋体"/>
                <w:color w:val="000000"/>
                <w:lang w:bidi="ar"/>
              </w:rPr>
              <w:br w:type="textWrapping"/>
            </w:r>
            <w:r>
              <w:rPr>
                <w:rFonts w:hint="eastAsia" w:ascii="宋体" w:hAnsi="宋体" w:eastAsia="宋体" w:cs="宋体"/>
                <w:color w:val="000000"/>
                <w:lang w:bidi="ar"/>
              </w:rPr>
              <w:t>支持集成显卡，配置≥23.8寸显示器支持1920*1080分辨率。</w:t>
            </w:r>
            <w:r>
              <w:rPr>
                <w:rFonts w:hint="eastAsia" w:ascii="宋体" w:hAnsi="宋体" w:eastAsia="宋体" w:cs="宋体"/>
                <w:color w:val="000000"/>
                <w:lang w:bidi="ar"/>
              </w:rPr>
              <w:br w:type="textWrapping"/>
            </w:r>
            <w:r>
              <w:rPr>
                <w:rFonts w:hint="eastAsia" w:ascii="宋体" w:hAnsi="宋体" w:eastAsia="宋体" w:cs="宋体"/>
                <w:color w:val="000000"/>
                <w:lang w:bidi="ar"/>
              </w:rPr>
              <w:t>操作系统兼容性：支持windows系统、UOS系统、麒麟系统、CentOS系统、Windows 7系统、LINUX系统安装；支持双系统、三系统、四系统安装。</w:t>
            </w:r>
            <w:r>
              <w:rPr>
                <w:rFonts w:hint="eastAsia" w:ascii="宋体" w:hAnsi="宋体" w:eastAsia="宋体" w:cs="宋体"/>
                <w:color w:val="000000"/>
                <w:lang w:bidi="ar"/>
              </w:rPr>
              <w:br w:type="textWrapping"/>
            </w:r>
            <w:r>
              <w:rPr>
                <w:rFonts w:hint="eastAsia" w:ascii="宋体" w:hAnsi="宋体" w:eastAsia="宋体" w:cs="宋体"/>
                <w:color w:val="000000"/>
                <w:lang w:bidi="ar"/>
              </w:rPr>
              <w:t>硬盘断电保护：可支持硬盘数据及时还原，还原到指定还原点;支持硬盘断电保护;支持双网口绑定、双网口使用。</w:t>
            </w:r>
            <w:r>
              <w:rPr>
                <w:rFonts w:hint="eastAsia" w:ascii="宋体" w:hAnsi="宋体" w:eastAsia="宋体" w:cs="宋体"/>
                <w:color w:val="000000"/>
                <w:lang w:bidi="ar"/>
              </w:rPr>
              <w:br w:type="textWrapping"/>
            </w:r>
            <w:r>
              <w:rPr>
                <w:rFonts w:hint="eastAsia" w:ascii="宋体" w:hAnsi="宋体" w:eastAsia="宋体" w:cs="宋体"/>
                <w:color w:val="000000"/>
                <w:lang w:bidi="ar"/>
              </w:rPr>
              <w:t>开机速度、远程唤醒：设备支持控制开机速度在10秒内，可支持远程开关机，支持远程唤醒。</w:t>
            </w:r>
            <w:r>
              <w:rPr>
                <w:rFonts w:hint="eastAsia" w:ascii="宋体" w:hAnsi="宋体" w:eastAsia="宋体" w:cs="宋体"/>
                <w:color w:val="000000"/>
                <w:lang w:bidi="ar"/>
              </w:rPr>
              <w:br w:type="textWrapping"/>
            </w:r>
            <w:r>
              <w:rPr>
                <w:rFonts w:hint="eastAsia" w:ascii="宋体" w:hAnsi="宋体" w:eastAsia="宋体" w:cs="宋体"/>
                <w:color w:val="000000"/>
                <w:lang w:bidi="ar"/>
              </w:rPr>
              <w:t>整机品牌：支持硬盘拆卸安装;支持存储硬盘与主机同一品牌，主机与播放器同一品牌。</w:t>
            </w:r>
            <w:r>
              <w:rPr>
                <w:rFonts w:hint="eastAsia" w:ascii="宋体" w:hAnsi="宋体" w:eastAsia="宋体" w:cs="宋体"/>
                <w:color w:val="000000"/>
                <w:lang w:bidi="ar"/>
              </w:rPr>
              <w:br w:type="textWrapping"/>
            </w:r>
            <w:r>
              <w:rPr>
                <w:rFonts w:hint="eastAsia" w:ascii="宋体" w:hAnsi="宋体" w:eastAsia="宋体" w:cs="宋体"/>
                <w:color w:val="000000"/>
                <w:lang w:bidi="ar"/>
              </w:rPr>
              <w:t>★视频功能：支持超高清4K、8K解码实景播放，支持3600W鹰眼前端解码播放;支持多显卡调度，可在相同应用里使用双显卡，双显卡同时工作；可通过视频客户端进行画中画显示，把二个IPC的画面合并成一个画面，在一个大画面叠加一个小画面，也可以分二个窗口显示。</w:t>
            </w:r>
            <w:r>
              <w:rPr>
                <w:rFonts w:hint="eastAsia" w:ascii="宋体" w:hAnsi="宋体" w:eastAsia="宋体" w:cs="宋体"/>
                <w:color w:val="000000"/>
                <w:lang w:bidi="ar"/>
              </w:rPr>
              <w:br w:type="textWrapping"/>
            </w:r>
            <w:r>
              <w:rPr>
                <w:rFonts w:hint="eastAsia" w:ascii="宋体" w:hAnsi="宋体" w:eastAsia="宋体" w:cs="宋体"/>
                <w:color w:val="000000"/>
                <w:lang w:bidi="ar"/>
              </w:rPr>
              <w:t>安防配套：支持应用软件向导式启动，支持更新升级;支持应用软件打开即全屏显示;支持windows应用虚拟化;支持双系统同时开机同时使用;支持安装云盘软件，对指定目录进行增备、全备、双向同步;支持对操作系统进行镜像备份和恢复;使用视图播放器对文件进行播放。</w:t>
            </w:r>
            <w:r>
              <w:rPr>
                <w:rFonts w:hint="eastAsia" w:ascii="宋体" w:hAnsi="宋体" w:eastAsia="宋体" w:cs="宋体"/>
                <w:color w:val="000000"/>
                <w:lang w:bidi="ar"/>
              </w:rPr>
              <w:br w:type="textWrapping"/>
            </w:r>
            <w:r>
              <w:rPr>
                <w:rFonts w:hint="eastAsia" w:ascii="宋体" w:hAnsi="宋体" w:eastAsia="宋体" w:cs="宋体"/>
                <w:color w:val="000000"/>
                <w:lang w:bidi="ar"/>
              </w:rPr>
              <w:t>★倍速播放：支持多窗口播放：可进行16个窗口同时1或2倍速播放，9个窗口同时4倍速播放，4个窗口同时8倍速或16倍速播放。</w:t>
            </w:r>
            <w:r>
              <w:rPr>
                <w:rFonts w:hint="eastAsia" w:ascii="宋体" w:hAnsi="宋体" w:eastAsia="宋体" w:cs="宋体"/>
                <w:color w:val="000000"/>
                <w:lang w:bidi="ar"/>
              </w:rPr>
              <w:br w:type="textWrapping"/>
            </w:r>
            <w:r>
              <w:rPr>
                <w:rFonts w:hint="eastAsia" w:ascii="宋体" w:hAnsi="宋体" w:eastAsia="宋体" w:cs="宋体"/>
                <w:color w:val="000000"/>
                <w:lang w:bidi="ar"/>
              </w:rPr>
              <w:t>分屏播放：系统需支持GA/T1154.2-2014中4.4.2.1规定的70种视频格式文件等多种安防视频格式文件功能，支持全屏、单屏、2分屏、4分屏、9分屏、16分屏播放。</w:t>
            </w:r>
            <w:r>
              <w:rPr>
                <w:rFonts w:hint="eastAsia" w:ascii="宋体" w:hAnsi="宋体" w:eastAsia="宋体" w:cs="宋体"/>
                <w:color w:val="000000"/>
                <w:lang w:bidi="ar"/>
              </w:rPr>
              <w:br w:type="textWrapping"/>
            </w:r>
            <w:r>
              <w:rPr>
                <w:rFonts w:hint="eastAsia" w:ascii="宋体" w:hAnsi="宋体" w:eastAsia="宋体" w:cs="宋体"/>
                <w:color w:val="000000"/>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3"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高清球机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lang w:bidi="ar"/>
              </w:rPr>
              <w:t>主码流支持1920x1080，子码流支持704x576，第三码流支持1920x1080。</w:t>
            </w:r>
            <w:r>
              <w:rPr>
                <w:rFonts w:hint="eastAsia" w:ascii="宋体" w:hAnsi="宋体" w:eastAsia="宋体" w:cs="宋体"/>
                <w:color w:val="000000"/>
                <w:lang w:bidi="ar"/>
              </w:rPr>
              <w:br w:type="textWrapping"/>
            </w:r>
            <w:r>
              <w:rPr>
                <w:rFonts w:hint="eastAsia" w:ascii="宋体" w:hAnsi="宋体" w:eastAsia="宋体" w:cs="宋体"/>
                <w:color w:val="000000"/>
                <w:lang w:bidi="ar"/>
              </w:rPr>
              <w:t>设备支持23倍光学变倍、16倍数字变倍。</w:t>
            </w:r>
            <w:r>
              <w:rPr>
                <w:rFonts w:hint="eastAsia" w:ascii="宋体" w:hAnsi="宋体" w:eastAsia="宋体" w:cs="宋体"/>
                <w:color w:val="000000"/>
                <w:lang w:bidi="ar"/>
              </w:rPr>
              <w:br w:type="textWrapping"/>
            </w:r>
            <w:r>
              <w:rPr>
                <w:rFonts w:hint="eastAsia" w:ascii="宋体" w:hAnsi="宋体" w:eastAsia="宋体" w:cs="宋体"/>
                <w:color w:val="000000"/>
                <w:lang w:bidi="ar"/>
              </w:rPr>
              <w:t>设备靶面尺寸为1/2.8英寸。</w:t>
            </w:r>
            <w:r>
              <w:rPr>
                <w:rFonts w:hint="eastAsia" w:ascii="宋体" w:hAnsi="宋体" w:eastAsia="宋体" w:cs="宋体"/>
                <w:color w:val="000000"/>
                <w:lang w:bidi="ar"/>
              </w:rPr>
              <w:br w:type="textWrapping"/>
            </w:r>
            <w:r>
              <w:rPr>
                <w:rFonts w:hint="eastAsia" w:ascii="宋体" w:hAnsi="宋体" w:eastAsia="宋体" w:cs="宋体"/>
                <w:color w:val="000000"/>
                <w:lang w:bidi="ar"/>
              </w:rPr>
              <w:t>最低照度彩色不大于0.005 lx，黑白不大于0.001 lx。</w:t>
            </w:r>
            <w:r>
              <w:rPr>
                <w:rFonts w:hint="eastAsia" w:ascii="宋体" w:hAnsi="宋体" w:eastAsia="宋体" w:cs="宋体"/>
                <w:color w:val="000000"/>
                <w:lang w:bidi="ar"/>
              </w:rPr>
              <w:br w:type="textWrapping"/>
            </w:r>
            <w:r>
              <w:rPr>
                <w:rFonts w:hint="eastAsia" w:ascii="宋体" w:hAnsi="宋体" w:eastAsia="宋体" w:cs="宋体"/>
                <w:color w:val="000000"/>
                <w:lang w:bidi="ar"/>
              </w:rPr>
              <w:t>支持水平0° ~ 360°，连续旋转；垂直 -15° ~ 90°。</w:t>
            </w:r>
            <w:r>
              <w:rPr>
                <w:rFonts w:hint="eastAsia" w:ascii="宋体" w:hAnsi="宋体" w:eastAsia="宋体" w:cs="宋体"/>
                <w:color w:val="000000"/>
                <w:lang w:bidi="ar"/>
              </w:rPr>
              <w:br w:type="textWrapping"/>
            </w:r>
            <w:r>
              <w:rPr>
                <w:rFonts w:hint="eastAsia" w:ascii="宋体" w:hAnsi="宋体" w:eastAsia="宋体" w:cs="宋体"/>
                <w:color w:val="000000"/>
                <w:lang w:bidi="ar"/>
              </w:rPr>
              <w:t>支持300个预置位，可按照所设置的预置位完成大于8条巡航路径。支持预置位视频冻结功能。</w:t>
            </w:r>
            <w:r>
              <w:rPr>
                <w:rFonts w:hint="eastAsia" w:ascii="宋体" w:hAnsi="宋体" w:eastAsia="宋体" w:cs="宋体"/>
                <w:color w:val="000000"/>
                <w:lang w:bidi="ar"/>
              </w:rPr>
              <w:br w:type="textWrapping"/>
            </w:r>
            <w:r>
              <w:rPr>
                <w:rFonts w:hint="eastAsia" w:ascii="宋体" w:hAnsi="宋体" w:eastAsia="宋体" w:cs="宋体"/>
                <w:color w:val="000000"/>
                <w:lang w:bidi="ar"/>
              </w:rPr>
              <w:t>具有H.264、H.265、MJPEG设置选项，可将H.264、H.265格式设置为High Profile/Main/Baseline。</w:t>
            </w:r>
            <w:r>
              <w:rPr>
                <w:rFonts w:hint="eastAsia" w:ascii="宋体" w:hAnsi="宋体" w:eastAsia="宋体" w:cs="宋体"/>
                <w:color w:val="000000"/>
                <w:lang w:bidi="ar"/>
              </w:rPr>
              <w:br w:type="textWrapping"/>
            </w:r>
            <w:r>
              <w:rPr>
                <w:rFonts w:hint="eastAsia" w:ascii="宋体" w:hAnsi="宋体" w:eastAsia="宋体" w:cs="宋体"/>
                <w:color w:val="000000"/>
                <w:lang w:bidi="ar"/>
              </w:rPr>
              <w:t>★设备支持接入壁装和吊装警戒配件，警戒配件支持声光警戒功能，当人或车辆进入警戒区域后，警戒配件可发出红蓝灯警示，蜂鸣器报警。</w:t>
            </w:r>
            <w:r>
              <w:rPr>
                <w:rFonts w:hint="eastAsia" w:ascii="宋体" w:hAnsi="宋体" w:eastAsia="宋体" w:cs="宋体"/>
                <w:color w:val="000000"/>
                <w:lang w:bidi="ar"/>
              </w:rPr>
              <w:br w:type="textWrapping"/>
            </w:r>
            <w:r>
              <w:rPr>
                <w:rFonts w:hint="eastAsia" w:ascii="宋体" w:hAnsi="宋体" w:eastAsia="宋体" w:cs="宋体"/>
                <w:color w:val="000000"/>
                <w:lang w:bidi="ar"/>
              </w:rPr>
              <w:t>夜间天气晴朗无遮挡，红外补光灯开启，可识别距离设备150m处的人体轮廓。</w:t>
            </w:r>
            <w:r>
              <w:rPr>
                <w:rFonts w:hint="eastAsia" w:ascii="宋体" w:hAnsi="宋体" w:eastAsia="宋体" w:cs="宋体"/>
                <w:color w:val="000000"/>
                <w:lang w:bidi="ar"/>
              </w:rPr>
              <w:br w:type="textWrapping"/>
            </w:r>
            <w:r>
              <w:rPr>
                <w:rFonts w:hint="eastAsia" w:ascii="宋体" w:hAnsi="宋体" w:eastAsia="宋体" w:cs="宋体"/>
                <w:color w:val="000000"/>
                <w:lang w:bidi="ar"/>
              </w:rPr>
              <w:t>★设备内置8颗补光灯和防雨帽檐、1个RJ45网络接口、1路音频输入接口、1路音频输出接口、2路报警输入接口、1个SD卡插槽。</w:t>
            </w:r>
            <w:r>
              <w:rPr>
                <w:rFonts w:hint="eastAsia" w:ascii="宋体" w:hAnsi="宋体" w:eastAsia="宋体" w:cs="宋体"/>
                <w:color w:val="000000"/>
                <w:lang w:bidi="ar"/>
              </w:rPr>
              <w:br w:type="textWrapping"/>
            </w:r>
            <w:r>
              <w:rPr>
                <w:rFonts w:hint="eastAsia" w:ascii="宋体" w:hAnsi="宋体" w:eastAsia="宋体" w:cs="宋体"/>
                <w:color w:val="000000"/>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高清枪机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具有400万像素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★最低照度彩色不大于0.005 lx，黑白不大于0.0005 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动态范围不小于106dB。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信噪比不小于62dB。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需支持IP67防尘防水。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需支持DC12V供电，且在不小于DC12V±30%范围内变化时可以正常工作。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lang w:bidi="ar"/>
              </w:rPr>
              <w:t>具有1个HDMI接口、1个VGA接口、2个千兆以太网口、3个USB2.0接口、内置8个SATA硬盘接口；1路RCA音频输入接口、1路RCA音频输出接口；16路报警输入接口、4路报警输出接口。</w:t>
            </w:r>
            <w:r>
              <w:rPr>
                <w:rFonts w:hint="eastAsia" w:ascii="宋体" w:hAnsi="宋体" w:eastAsia="宋体" w:cs="宋体"/>
                <w:color w:val="000000"/>
                <w:lang w:bidi="ar"/>
              </w:rPr>
              <w:br w:type="textWrapping"/>
            </w:r>
            <w:r>
              <w:rPr>
                <w:rFonts w:hint="eastAsia" w:ascii="宋体" w:hAnsi="宋体" w:eastAsia="宋体" w:cs="宋体"/>
                <w:color w:val="000000"/>
                <w:lang w:bidi="ar"/>
              </w:rPr>
              <w:t>★最大接入路数：8路。满负载条件下的最大接入带宽80Mbps、最大存储带宽128Mbps、最大转发带宽128Mbps。</w:t>
            </w:r>
            <w:r>
              <w:rPr>
                <w:rFonts w:hint="eastAsia" w:ascii="宋体" w:hAnsi="宋体" w:eastAsia="宋体" w:cs="宋体"/>
                <w:color w:val="000000"/>
                <w:lang w:bidi="ar"/>
              </w:rPr>
              <w:br w:type="textWrapping"/>
            </w:r>
            <w:r>
              <w:rPr>
                <w:rFonts w:hint="eastAsia" w:ascii="宋体" w:hAnsi="宋体" w:eastAsia="宋体" w:cs="宋体"/>
                <w:color w:val="000000"/>
                <w:lang w:bidi="ar"/>
              </w:rPr>
              <w:t>显示输出分辨率具有1024×768/60Hz、1280×720/60Hz、1280×1024/60Hz、1600×1200/60Hz、1920×1080/60Hz、2560×1440/60Hz、4K(3840×2160)/30Hz、4K(4096×2160)/30Hz设置选项。</w:t>
            </w:r>
            <w:r>
              <w:rPr>
                <w:rFonts w:hint="eastAsia" w:ascii="宋体" w:hAnsi="宋体" w:eastAsia="宋体" w:cs="宋体"/>
                <w:color w:val="000000"/>
                <w:lang w:bidi="ar"/>
              </w:rPr>
              <w:br w:type="textWrapping"/>
            </w:r>
            <w:r>
              <w:rPr>
                <w:rFonts w:hint="eastAsia" w:ascii="宋体" w:hAnsi="宋体" w:eastAsia="宋体" w:cs="宋体"/>
                <w:color w:val="000000"/>
                <w:lang w:bidi="ar"/>
              </w:rPr>
              <w:t>可同时显示输出10路H.265/H.264编码、25fps、1920×1080格式的视频图像。</w:t>
            </w:r>
            <w:r>
              <w:rPr>
                <w:rFonts w:hint="eastAsia" w:ascii="宋体" w:hAnsi="宋体" w:eastAsia="宋体" w:cs="宋体"/>
                <w:color w:val="000000"/>
                <w:lang w:bidi="ar"/>
              </w:rPr>
              <w:br w:type="textWrapping"/>
            </w:r>
            <w:r>
              <w:rPr>
                <w:rFonts w:hint="eastAsia" w:ascii="宋体" w:hAnsi="宋体" w:eastAsia="宋体" w:cs="宋体"/>
                <w:color w:val="000000"/>
                <w:lang w:bidi="ar"/>
              </w:rPr>
              <w:t>★录像文件自带水印，水印包括设备的序列号、MAC地址、录像时间等。</w:t>
            </w:r>
            <w:r>
              <w:rPr>
                <w:rFonts w:hint="eastAsia" w:ascii="宋体" w:hAnsi="宋体" w:eastAsia="宋体" w:cs="宋体"/>
                <w:color w:val="000000"/>
                <w:lang w:bidi="ar"/>
              </w:rPr>
              <w:br w:type="textWrapping"/>
            </w:r>
            <w:r>
              <w:rPr>
                <w:rFonts w:hint="eastAsia" w:ascii="宋体" w:hAnsi="宋体" w:eastAsia="宋体" w:cs="宋体"/>
                <w:color w:val="000000"/>
                <w:lang w:bidi="ar"/>
              </w:rPr>
              <w:t>网络容错：可将多个网口设置同一IP地址，其中任一网口损坏时，仍能正常工作。</w:t>
            </w:r>
            <w:r>
              <w:rPr>
                <w:rFonts w:hint="eastAsia" w:ascii="宋体" w:hAnsi="宋体" w:eastAsia="宋体" w:cs="宋体"/>
                <w:color w:val="000000"/>
                <w:lang w:bidi="ar"/>
              </w:rPr>
              <w:br w:type="textWrapping"/>
            </w:r>
            <w:r>
              <w:rPr>
                <w:rFonts w:hint="eastAsia" w:ascii="宋体" w:hAnsi="宋体" w:eastAsia="宋体" w:cs="宋体"/>
                <w:color w:val="000000"/>
                <w:lang w:bidi="ar"/>
              </w:rPr>
              <w:t>支持接入高级移动侦测的相机，移动侦测报警能够区分是人、车还是其它目标产生，可录像和记录报警信息。</w:t>
            </w:r>
            <w:r>
              <w:rPr>
                <w:rFonts w:hint="eastAsia" w:ascii="宋体" w:hAnsi="宋体" w:eastAsia="宋体" w:cs="宋体"/>
                <w:color w:val="000000"/>
                <w:lang w:bidi="ar"/>
              </w:rPr>
              <w:br w:type="textWrapping"/>
            </w:r>
            <w:r>
              <w:rPr>
                <w:rFonts w:hint="eastAsia" w:ascii="宋体" w:hAnsi="宋体" w:eastAsia="宋体" w:cs="宋体"/>
                <w:color w:val="000000"/>
                <w:lang w:bidi="ar"/>
              </w:rPr>
              <w:t>接入警戒摄像机，支持对IPC的声音和闪光参数进行配置， 支持通过移动侦测、区域入侵、越界侦测、进入区域和离开区域事件联动一个或多个IPC的声光报警，可以对声光联动一键撤防。</w:t>
            </w:r>
            <w:r>
              <w:rPr>
                <w:rFonts w:hint="eastAsia" w:ascii="宋体" w:hAnsi="宋体" w:eastAsia="宋体" w:cs="宋体"/>
                <w:color w:val="000000"/>
                <w:lang w:bidi="ar"/>
              </w:rPr>
              <w:br w:type="textWrapping"/>
            </w:r>
            <w:r>
              <w:rPr>
                <w:rFonts w:hint="eastAsia" w:ascii="宋体" w:hAnsi="宋体" w:eastAsia="宋体" w:cs="宋体"/>
                <w:color w:val="000000"/>
                <w:lang w:bidi="ar"/>
              </w:rPr>
              <w:t>标★号项参数需提供设备检测报告复印件，并加盖原厂商公章。</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监控专用硬盘</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尺寸：3.5寸 容量：8000GB 接口：SATA3/串口 缓存：256MB 转速：7200转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适用：监控NVR DVR 台式机，移动硬盘座，NAS柜，服务器，存储磁盘阵列等</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ø25国标穿线管</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6"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护套：柔性聚氯乙烯混合料（PVC），灰色（RAL7001）。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芯线标识：≤5芯，彩色芯线；黑色芯线白色数字编号，可含黄绿地线。芯线数：2—24芯。截面积： 0.5—25mm2。测试电压：2000V，5min。绝缘电阻：&gt;20M欧姆×KM。使用温度（固定安装）：-30~ 70℃。使用温度（移动安装）：-5~ 70℃。弯曲半径：15×电缆外径。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阻燃特性：IEC 60 332.1。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参考标准：JB8734, VDE 0281。包装规格：100m、500m、1000m</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监控专用超五类网线</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提供8个千兆PoE电口、2个千兆光口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支持IEEE 802.3at/af标准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支持IEEE 802.3、IEEE 802.3u、IEEE 802.3x、IEEE 802.3ab、IEEE 802.3z标准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支持iVMS-4200客户端管理，支持海康云管APP管理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支持安防网络拓扑管理、链路聚合、端口管理，支持远程升级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支持6 KV防浪涌（PoE口）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支持PoE输出功率管理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千兆网络接入设计，线速转发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存储转发交换方式，坚固式高强度金属外壳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无风扇设计，高可靠性，整机最大POE供电功率：110 W</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信息箱</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智能云网关</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包转发率不小于0.54Mpps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内存容量不小于1GB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WAN以太口：1GE(电)+1GE(光)；LAN以太口：4GE(电)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USB接口不小于2个USB2.0，支持3G/4G-Modem扩展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SD卡接口不小于1个存储MicroSD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支持包过滤防火墙、状态防火墙、基于域的防火墙等安全过滤功能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支持IPsec、L2TP、GRE、ADVPN、MPLS VPN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支持802.1X/Portal认证、MAC地址认证的端口安全机制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支持U盘零配置部署</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数据接口开发与调试集成</w:t>
            </w:r>
          </w:p>
        </w:tc>
        <w:tc>
          <w:tcPr>
            <w:tcW w:w="2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集成出入库、粮情、视频监控、车牌识别等物联网接口，按照国家规范要求开发数据接口与省平台对接</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成品库传输线路</w:t>
            </w:r>
          </w:p>
        </w:tc>
        <w:tc>
          <w:tcPr>
            <w:tcW w:w="2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20M互联网专线</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rPr>
      </w:pPr>
    </w:p>
    <w:p>
      <w:pPr>
        <w:pStyle w:val="3"/>
        <w:numPr>
          <w:ilvl w:val="0"/>
          <w:numId w:val="15"/>
        </w:numPr>
        <w:bidi w:val="0"/>
        <w:rPr>
          <w:rFonts w:hint="eastAsia"/>
        </w:rPr>
      </w:pPr>
      <w:bookmarkStart w:id="34" w:name="_Toc30962"/>
      <w:bookmarkStart w:id="35" w:name="_Toc14843"/>
      <w:bookmarkStart w:id="36" w:name="_Toc27162"/>
      <w:bookmarkStart w:id="37" w:name="_Toc7276"/>
      <w:r>
        <w:rPr>
          <w:rFonts w:hint="eastAsia"/>
        </w:rPr>
        <w:t xml:space="preserve"> </w:t>
      </w:r>
      <w:bookmarkStart w:id="38" w:name="_Toc20557"/>
      <w:r>
        <w:rPr>
          <w:rFonts w:hint="eastAsia"/>
        </w:rPr>
        <w:t>合同条款</w:t>
      </w:r>
      <w:bookmarkEnd w:id="34"/>
      <w:bookmarkEnd w:id="35"/>
      <w:bookmarkEnd w:id="36"/>
      <w:bookmarkEnd w:id="37"/>
      <w:bookmarkEnd w:id="38"/>
    </w:p>
    <w:p>
      <w:pPr>
        <w:pStyle w:val="2"/>
        <w:numPr>
          <w:ilvl w:val="0"/>
          <w:numId w:val="0"/>
        </w:numPr>
        <w:jc w:val="center"/>
        <w:rPr>
          <w:rFonts w:hint="eastAsia"/>
          <w:sz w:val="30"/>
          <w:szCs w:val="30"/>
          <w:highlight w:val="none"/>
        </w:rPr>
      </w:pPr>
      <w:r>
        <w:rPr>
          <w:rFonts w:hint="eastAsia" w:ascii="宋体" w:hAnsi="宋体" w:eastAsia="宋体" w:cs="宋体"/>
          <w:color w:val="auto"/>
          <w:sz w:val="30"/>
          <w:szCs w:val="30"/>
          <w:highlight w:val="none"/>
        </w:rPr>
        <w:t>政府采购合同格式</w:t>
      </w:r>
    </w:p>
    <w:p>
      <w:pPr>
        <w:pStyle w:val="195"/>
        <w:spacing w:beforeLines="100" w:line="360" w:lineRule="auto"/>
        <w:ind w:firstLine="480"/>
        <w:rPr>
          <w:rFonts w:hint="eastAsia" w:ascii="宋体" w:hAnsi="宋体" w:eastAsia="宋体" w:cs="宋体"/>
          <w:color w:val="auto"/>
          <w:highlight w:val="none"/>
        </w:rPr>
      </w:pPr>
      <w:bookmarkStart w:id="39" w:name="_Toc12966"/>
      <w:bookmarkStart w:id="40" w:name="_Toc18721"/>
      <w:bookmarkStart w:id="41" w:name="_Toc14653"/>
      <w:bookmarkStart w:id="42" w:name="_Toc27102"/>
      <w:r>
        <w:rPr>
          <w:rFonts w:hint="eastAsia" w:ascii="宋体" w:hAnsi="宋体" w:eastAsia="宋体" w:cs="宋体"/>
          <w:color w:val="auto"/>
          <w:highlight w:val="none"/>
        </w:rPr>
        <w:t xml:space="preserve">合同编号： </w:t>
      </w:r>
    </w:p>
    <w:p>
      <w:pPr>
        <w:pStyle w:val="19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签订地点： </w:t>
      </w:r>
    </w:p>
    <w:p>
      <w:pPr>
        <w:pStyle w:val="19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签订时间:</w:t>
      </w:r>
    </w:p>
    <w:p>
      <w:pPr>
        <w:pStyle w:val="19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采购人（甲方）：</w:t>
      </w:r>
    </w:p>
    <w:p>
      <w:pPr>
        <w:pStyle w:val="195"/>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供应商（乙方）：</w:t>
      </w:r>
    </w:p>
    <w:p>
      <w:pPr>
        <w:pStyle w:val="195"/>
        <w:spacing w:beforeLines="5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根据《中华人民共和国政府采购法》及实施条例、《中华人民共和国</w:t>
      </w:r>
      <w:r>
        <w:rPr>
          <w:rFonts w:hint="eastAsia" w:ascii="宋体" w:hAnsi="宋体" w:cs="宋体"/>
          <w:color w:val="auto"/>
          <w:highlight w:val="none"/>
          <w:lang w:val="en-US" w:eastAsia="zh-CN"/>
        </w:rPr>
        <w:t>民法典</w:t>
      </w:r>
      <w:r>
        <w:rPr>
          <w:rFonts w:hint="eastAsia" w:ascii="宋体" w:hAnsi="宋体" w:eastAsia="宋体" w:cs="宋体"/>
          <w:color w:val="auto"/>
          <w:highlight w:val="none"/>
        </w:rPr>
        <w:t>》和甲方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采购项目（采购项目编号：xxxxxxx）的</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文件、响应文件等有关规定，为确保甲方采购项目的顺利实施，甲、乙双方在平等自愿原则下签订本合同，并共同遵守如下条款：</w:t>
      </w:r>
    </w:p>
    <w:p>
      <w:pPr>
        <w:numPr>
          <w:ilvl w:val="0"/>
          <w:numId w:val="16"/>
        </w:numPr>
        <w:tabs>
          <w:tab w:val="left" w:pos="1379"/>
          <w:tab w:val="clear" w:pos="1521"/>
        </w:tabs>
        <w:spacing w:beforeLines="50" w:afterLines="50" w:line="360" w:lineRule="auto"/>
        <w:ind w:left="1519" w:hanging="1094"/>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项目基本情况</w:t>
      </w:r>
    </w:p>
    <w:p>
      <w:pPr>
        <w:numPr>
          <w:ilvl w:val="0"/>
          <w:numId w:val="16"/>
        </w:numPr>
        <w:tabs>
          <w:tab w:val="left" w:pos="1379"/>
          <w:tab w:val="clear" w:pos="1521"/>
        </w:tabs>
        <w:spacing w:beforeLines="50" w:afterLines="50" w:line="360" w:lineRule="auto"/>
        <w:ind w:left="1519" w:hanging="1094"/>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合同期限</w:t>
      </w:r>
    </w:p>
    <w:p>
      <w:pPr>
        <w:numPr>
          <w:ilvl w:val="0"/>
          <w:numId w:val="16"/>
        </w:numPr>
        <w:tabs>
          <w:tab w:val="left" w:pos="1379"/>
          <w:tab w:val="clear" w:pos="1521"/>
        </w:tabs>
        <w:spacing w:beforeLines="50" w:afterLines="50" w:line="360" w:lineRule="auto"/>
        <w:ind w:left="1519" w:hanging="1094"/>
        <w:rPr>
          <w:rFonts w:hint="eastAsia" w:ascii="宋体" w:hAnsi="宋体" w:eastAsia="宋体" w:cs="宋体"/>
          <w:b/>
          <w:color w:val="auto"/>
          <w:sz w:val="30"/>
          <w:szCs w:val="30"/>
          <w:highlight w:val="none"/>
        </w:rPr>
      </w:pPr>
      <w:bookmarkStart w:id="43" w:name="_Toc251768862"/>
      <w:bookmarkStart w:id="44" w:name="_Toc283019214"/>
      <w:bookmarkStart w:id="45" w:name="_Toc232492928"/>
      <w:bookmarkStart w:id="46" w:name="_Toc225654644"/>
      <w:bookmarkStart w:id="47" w:name="_Toc241833903"/>
      <w:bookmarkStart w:id="48" w:name="_Toc286993786"/>
      <w:bookmarkStart w:id="49" w:name="_Toc238984975"/>
      <w:bookmarkStart w:id="50" w:name="_Toc225244852"/>
      <w:bookmarkStart w:id="51" w:name="_Toc239233914"/>
      <w:bookmarkStart w:id="52" w:name="_Toc237145406"/>
      <w:bookmarkStart w:id="53" w:name="_Toc211911348"/>
      <w:bookmarkStart w:id="54" w:name="_Toc282696226"/>
      <w:bookmarkStart w:id="55" w:name="_Toc247334841"/>
      <w:bookmarkStart w:id="56" w:name="_Toc225670751"/>
      <w:bookmarkStart w:id="57" w:name="_Toc211854449"/>
      <w:bookmarkStart w:id="58" w:name="_Toc212019594"/>
      <w:bookmarkStart w:id="59" w:name="_Toc239568418"/>
      <w:bookmarkStart w:id="60" w:name="_Toc185395249"/>
      <w:r>
        <w:rPr>
          <w:rFonts w:hint="eastAsia" w:ascii="宋体" w:hAnsi="宋体" w:eastAsia="宋体" w:cs="宋体"/>
          <w:b/>
          <w:color w:val="auto"/>
          <w:sz w:val="30"/>
          <w:szCs w:val="30"/>
          <w:highlight w:val="none"/>
        </w:rPr>
        <w:t>服务内容与质量标准</w:t>
      </w:r>
    </w:p>
    <w:p>
      <w:pPr>
        <w:spacing w:line="360" w:lineRule="auto"/>
        <w:ind w:left="567"/>
        <w:rPr>
          <w:rFonts w:hint="eastAsia" w:ascii="宋体" w:hAnsi="宋体" w:eastAsia="宋体" w:cs="宋体"/>
          <w:color w:val="auto"/>
          <w:sz w:val="24"/>
          <w:highlight w:val="none"/>
        </w:rPr>
      </w:pPr>
      <w:r>
        <w:rPr>
          <w:rFonts w:hint="eastAsia" w:ascii="宋体" w:hAnsi="宋体" w:eastAsia="宋体" w:cs="宋体"/>
          <w:color w:val="auto"/>
          <w:sz w:val="24"/>
          <w:highlight w:val="none"/>
        </w:rPr>
        <w:t>1.XXXX；</w:t>
      </w:r>
    </w:p>
    <w:p>
      <w:pPr>
        <w:spacing w:line="360" w:lineRule="auto"/>
        <w:ind w:left="567"/>
        <w:rPr>
          <w:rFonts w:hint="eastAsia" w:ascii="宋体" w:hAnsi="宋体" w:eastAsia="宋体" w:cs="宋体"/>
          <w:color w:val="auto"/>
          <w:sz w:val="24"/>
          <w:highlight w:val="none"/>
        </w:rPr>
      </w:pPr>
      <w:r>
        <w:rPr>
          <w:rFonts w:hint="eastAsia" w:ascii="宋体" w:hAnsi="宋体" w:eastAsia="宋体" w:cs="宋体"/>
          <w:color w:val="auto"/>
          <w:sz w:val="24"/>
          <w:highlight w:val="none"/>
        </w:rPr>
        <w:t>2.XXXX；</w:t>
      </w:r>
    </w:p>
    <w:p>
      <w:pPr>
        <w:spacing w:line="360" w:lineRule="auto"/>
        <w:ind w:left="567"/>
        <w:rPr>
          <w:rFonts w:hint="eastAsia" w:ascii="宋体" w:hAnsi="宋体" w:eastAsia="宋体" w:cs="宋体"/>
          <w:color w:val="auto"/>
          <w:sz w:val="24"/>
          <w:highlight w:val="none"/>
        </w:rPr>
      </w:pPr>
      <w:r>
        <w:rPr>
          <w:rFonts w:hint="eastAsia" w:ascii="宋体" w:hAnsi="宋体" w:eastAsia="宋体" w:cs="宋体"/>
          <w:color w:val="auto"/>
          <w:sz w:val="24"/>
          <w:highlight w:val="none"/>
        </w:rPr>
        <w:t>3.XXXX．</w:t>
      </w:r>
    </w:p>
    <w:p>
      <w:pPr>
        <w:spacing w:line="360" w:lineRule="auto"/>
        <w:ind w:firstLine="63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numPr>
          <w:ilvl w:val="0"/>
          <w:numId w:val="16"/>
        </w:numPr>
        <w:tabs>
          <w:tab w:val="left" w:pos="1379"/>
          <w:tab w:val="clear" w:pos="1521"/>
        </w:tabs>
        <w:spacing w:beforeLines="50" w:afterLines="50" w:line="360" w:lineRule="auto"/>
        <w:ind w:left="1661" w:hanging="1094"/>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服务费用</w:t>
      </w:r>
    </w:p>
    <w:p>
      <w:pPr>
        <w:bidi w:val="0"/>
        <w:ind w:firstLine="720" w:firstLineChars="3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1.服务总费用为人民币（大写）：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2.本项目服务费用由以下组成：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（1）XX万元；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（2）XX万元；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（3）XX万元。</w:t>
      </w:r>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4.本合同执行期间服务总费用不变，甲方无须另向乙方支付本合同规定之外的其他任何费用。</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第五条 </w:t>
      </w:r>
      <w:r>
        <w:rPr>
          <w:rFonts w:hint="eastAsia" w:ascii="宋体" w:hAnsi="宋体" w:eastAsia="宋体" w:cs="宋体"/>
          <w:b/>
          <w:color w:val="auto"/>
          <w:szCs w:val="21"/>
          <w:highlight w:val="none"/>
        </w:rPr>
        <w:t xml:space="preserve"> </w:t>
      </w:r>
      <w:r>
        <w:rPr>
          <w:rFonts w:hint="eastAsia" w:ascii="宋体" w:hAnsi="宋体" w:eastAsia="宋体" w:cs="宋体"/>
          <w:b/>
          <w:color w:val="auto"/>
          <w:sz w:val="30"/>
          <w:szCs w:val="30"/>
          <w:highlight w:val="none"/>
        </w:rPr>
        <w:t>服务费支付方式</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第六条   知识产权</w:t>
      </w:r>
    </w:p>
    <w:p>
      <w:pPr>
        <w:tabs>
          <w:tab w:val="left" w:pos="14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乙方应保证所提供的服务或其任何一部分均不会侵犯任何第三方的专利权、商标权或著作权。</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第七条  无产权瑕疵条款</w:t>
      </w:r>
    </w:p>
    <w:p>
      <w:pPr>
        <w:tabs>
          <w:tab w:val="left" w:pos="144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乙方保证所提供的服务的所有权完全属于乙方且无任何抵押、查封等产权瑕疵。如有产权瑕疵的，视为乙方违约。乙方应负担由此而产生的一切损失。</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第八条  甲方的权利和义务</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3.负责检查监督乙方管理工作的实施及制度的执行情况。</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4.根据本合同规定，按时向乙方支付应付服务费用。</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5.国家法律、法规所规定由甲方承担的其它责任。</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第九条  乙方的权利和义务</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1.对本合同规定的委托服务范围内的项目享有管理权及服务义务。</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Cs/>
          <w:color w:val="auto"/>
          <w:sz w:val="24"/>
          <w:highlight w:val="none"/>
        </w:rPr>
        <w:t>接受项目行业管理部门及政府有关部门的指导，接受甲方的监督。</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5.国家法律、法规所规定由乙方承担的其它责任。</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第十条  违约责任</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1.甲乙双方必须遵守本合同并执行合同中的各项规定，保证本合同的正常履行。</w:t>
      </w:r>
    </w:p>
    <w:p>
      <w:pPr>
        <w:adjustRightInd w:val="0"/>
        <w:spacing w:line="360" w:lineRule="auto"/>
        <w:ind w:firstLine="480" w:firstLineChars="200"/>
        <w:jc w:val="left"/>
        <w:textAlignment w:val="baseline"/>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beforeLines="5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第十一条  不可抗力事件处理</w:t>
      </w:r>
    </w:p>
    <w:p>
      <w:pPr>
        <w:tabs>
          <w:tab w:val="left" w:pos="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2.不可抗力事件发生后，应立即通知对方，并寄送有关权威机构出具的证明。</w:t>
      </w:r>
    </w:p>
    <w:p>
      <w:pPr>
        <w:tabs>
          <w:tab w:val="left" w:pos="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3.不可抗力事件延续XX天以上，双方应通过友好协商，确定是否继续履行合同。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widowControl/>
        <w:spacing w:beforeLines="50" w:afterLines="50" w:line="360" w:lineRule="auto"/>
        <w:jc w:val="left"/>
        <w:rPr>
          <w:rFonts w:hint="eastAsia" w:ascii="宋体" w:hAnsi="宋体" w:eastAsia="宋体" w:cs="宋体"/>
          <w:color w:val="auto"/>
          <w:kern w:val="0"/>
          <w:sz w:val="30"/>
          <w:szCs w:val="30"/>
          <w:highlight w:val="none"/>
        </w:rPr>
      </w:pPr>
      <w:bookmarkStart w:id="61" w:name="_Toc211911353"/>
      <w:bookmarkStart w:id="62" w:name="_Toc251768867"/>
      <w:bookmarkStart w:id="63" w:name="_Toc239568423"/>
      <w:bookmarkStart w:id="64" w:name="_Toc239233919"/>
      <w:bookmarkStart w:id="65" w:name="_Toc212019599"/>
      <w:bookmarkStart w:id="66" w:name="_Toc237145411"/>
      <w:bookmarkStart w:id="67" w:name="_Toc238984980"/>
      <w:bookmarkStart w:id="68" w:name="_Toc225670756"/>
      <w:bookmarkStart w:id="69" w:name="_Toc241833908"/>
      <w:bookmarkStart w:id="70" w:name="_Toc232492933"/>
      <w:bookmarkStart w:id="71" w:name="_Toc225244857"/>
      <w:bookmarkStart w:id="72" w:name="_Toc211854454"/>
      <w:bookmarkStart w:id="73" w:name="_Toc286993792"/>
      <w:bookmarkStart w:id="74" w:name="_Toc225654649"/>
      <w:bookmarkStart w:id="75" w:name="_Toc247334846"/>
      <w:bookmarkStart w:id="76" w:name="_Toc185395254"/>
      <w:r>
        <w:rPr>
          <w:rFonts w:hint="eastAsia" w:ascii="宋体" w:hAnsi="宋体" w:eastAsia="宋体" w:cs="宋体"/>
          <w:b/>
          <w:color w:val="auto"/>
          <w:sz w:val="30"/>
          <w:szCs w:val="30"/>
          <w:highlight w:val="none"/>
        </w:rPr>
        <w:t xml:space="preserve">  第十二条  </w:t>
      </w:r>
      <w:r>
        <w:rPr>
          <w:rFonts w:hint="eastAsia" w:ascii="宋体" w:hAnsi="宋体" w:eastAsia="宋体" w:cs="宋体"/>
          <w:b/>
          <w:color w:val="auto"/>
          <w:kern w:val="0"/>
          <w:sz w:val="30"/>
          <w:szCs w:val="30"/>
          <w:highlight w:val="none"/>
        </w:rPr>
        <w:t>合同的变更和终止</w:t>
      </w:r>
    </w:p>
    <w:p>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除《中华人民共和国政府采购法》第49条、第50条第二款规定的情形外，本合同一经签订，甲乙双方不得擅自变更、中止或终止合同。</w:t>
      </w:r>
    </w:p>
    <w:p>
      <w:pPr>
        <w:spacing w:beforeLines="50" w:afterLines="50" w:line="360" w:lineRule="auto"/>
        <w:ind w:left="425"/>
        <w:rPr>
          <w:rFonts w:hint="eastAsia" w:ascii="宋体" w:hAnsi="宋体" w:eastAsia="宋体" w:cs="宋体"/>
          <w:b/>
          <w:color w:val="auto"/>
          <w:szCs w:val="21"/>
          <w:highlight w:val="none"/>
        </w:rPr>
      </w:pPr>
      <w:r>
        <w:rPr>
          <w:rFonts w:hint="eastAsia" w:ascii="宋体" w:hAnsi="宋体" w:eastAsia="宋体" w:cs="宋体"/>
          <w:b/>
          <w:color w:val="auto"/>
          <w:sz w:val="30"/>
          <w:szCs w:val="30"/>
          <w:highlight w:val="none"/>
        </w:rPr>
        <w:t>第十三条  解决合同纠纷的方式</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pStyle w:val="195"/>
        <w:spacing w:line="360" w:lineRule="auto"/>
        <w:ind w:firstLine="480"/>
        <w:rPr>
          <w:rFonts w:hint="eastAsia" w:ascii="宋体" w:hAnsi="宋体" w:eastAsia="宋体" w:cs="宋体"/>
          <w:color w:val="auto"/>
          <w:kern w:val="0"/>
          <w:highlight w:val="none"/>
        </w:rPr>
      </w:pPr>
      <w:r>
        <w:rPr>
          <w:rFonts w:hint="eastAsia" w:ascii="宋体" w:hAnsi="宋体" w:eastAsia="宋体" w:cs="宋体"/>
          <w:color w:val="auto"/>
          <w:highlight w:val="none"/>
        </w:rPr>
        <w:t>1.在执行本合同中发生的或与本合同有关的争端，双方应通过友好协商解决，经协商在XX天内不能达成协议时，</w:t>
      </w:r>
      <w:r>
        <w:rPr>
          <w:rFonts w:hint="eastAsia" w:ascii="宋体" w:hAnsi="宋体" w:eastAsia="宋体" w:cs="宋体"/>
          <w:color w:val="auto"/>
          <w:kern w:val="0"/>
          <w:highlight w:val="none"/>
        </w:rPr>
        <w:t>则采取以下第____种方式解决争议：</w:t>
      </w:r>
    </w:p>
    <w:p>
      <w:pPr>
        <w:pStyle w:val="195"/>
        <w:spacing w:line="360" w:lineRule="auto"/>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（1）向甲方所在地有管辖权的人民法院提起诉讼；</w:t>
      </w:r>
    </w:p>
    <w:p>
      <w:pPr>
        <w:pStyle w:val="195"/>
        <w:spacing w:line="360" w:lineRule="auto"/>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（2）向____________仲裁委员会按其仲裁规则申请仲裁。</w:t>
      </w:r>
    </w:p>
    <w:p>
      <w:pPr>
        <w:tabs>
          <w:tab w:val="left" w:pos="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2.在仲裁期间，本合同应继续履行。</w:t>
      </w:r>
    </w:p>
    <w:p>
      <w:pPr>
        <w:spacing w:beforeLines="50" w:afterLines="50" w:line="360" w:lineRule="auto"/>
        <w:ind w:left="425"/>
        <w:rPr>
          <w:rFonts w:hint="eastAsia" w:ascii="宋体" w:hAnsi="宋体" w:eastAsia="宋体" w:cs="宋体"/>
          <w:b/>
          <w:color w:val="auto"/>
          <w:sz w:val="30"/>
          <w:szCs w:val="30"/>
          <w:highlight w:val="none"/>
        </w:rPr>
      </w:pPr>
      <w:bookmarkStart w:id="77" w:name="_Toc239568424"/>
      <w:bookmarkStart w:id="78" w:name="_Toc282696231"/>
      <w:bookmarkStart w:id="79" w:name="_Toc237145412"/>
      <w:bookmarkStart w:id="80" w:name="_Toc185395255"/>
      <w:bookmarkStart w:id="81" w:name="_Toc247334847"/>
      <w:bookmarkStart w:id="82" w:name="_Toc232492934"/>
      <w:bookmarkStart w:id="83" w:name="_Toc211854455"/>
      <w:bookmarkStart w:id="84" w:name="_Toc283019219"/>
      <w:bookmarkStart w:id="85" w:name="_Toc241833909"/>
      <w:bookmarkStart w:id="86" w:name="_Toc286993793"/>
      <w:bookmarkStart w:id="87" w:name="_Toc225244858"/>
      <w:bookmarkStart w:id="88" w:name="_Toc239233920"/>
      <w:bookmarkStart w:id="89" w:name="_Toc225670757"/>
      <w:bookmarkStart w:id="90" w:name="_Toc238984981"/>
      <w:bookmarkStart w:id="91" w:name="_Toc211911354"/>
      <w:bookmarkStart w:id="92" w:name="_Toc212019600"/>
      <w:bookmarkStart w:id="93" w:name="_Toc225654650"/>
      <w:bookmarkStart w:id="94" w:name="_Toc251768868"/>
      <w:r>
        <w:rPr>
          <w:rFonts w:hint="eastAsia" w:ascii="宋体" w:hAnsi="宋体" w:eastAsia="宋体" w:cs="宋体"/>
          <w:b/>
          <w:color w:val="auto"/>
          <w:sz w:val="30"/>
          <w:szCs w:val="30"/>
          <w:highlight w:val="none"/>
        </w:rPr>
        <w:t>第十四条  合同</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b/>
          <w:color w:val="auto"/>
          <w:sz w:val="30"/>
          <w:szCs w:val="30"/>
          <w:highlight w:val="none"/>
        </w:rPr>
        <w:t>生效及其他</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1.合同经双方法定代表人或授权委托代理人签字并加盖单位公章后生效。</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3.本合同一式XX份，自双方</w:t>
      </w:r>
      <w:r>
        <w:rPr>
          <w:rFonts w:hint="eastAsia" w:ascii="宋体" w:hAnsi="宋体" w:cs="宋体"/>
          <w:color w:val="auto"/>
          <w:sz w:val="24"/>
          <w:szCs w:val="24"/>
          <w:highlight w:val="none"/>
          <w:lang w:eastAsia="zh-CN"/>
        </w:rPr>
        <w:t>盖章</w:t>
      </w:r>
      <w:r>
        <w:rPr>
          <w:rFonts w:hint="eastAsia" w:ascii="宋体" w:hAnsi="宋体" w:eastAsia="宋体" w:cs="宋体"/>
          <w:color w:val="auto"/>
          <w:sz w:val="24"/>
          <w:szCs w:val="24"/>
          <w:highlight w:val="none"/>
        </w:rPr>
        <w:t>之日起起效。甲方XX份，乙方XX份，政府采购代理机构XX份，同级财政部门备案XX份，具有同等法律效力。</w:t>
      </w:r>
    </w:p>
    <w:p>
      <w:pPr>
        <w:spacing w:afterLines="50" w:line="360" w:lineRule="auto"/>
        <w:ind w:left="425"/>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第十五条  附件</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2.项目修改澄清文件</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3.项目响应文件</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4.成交通知书</w:t>
      </w:r>
    </w:p>
    <w:p>
      <w:pPr>
        <w:pStyle w:val="17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乙方：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法定代表人（委托代理人）：              法定代表人（委托代理人）：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                                 账号：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签约日期：XX年XX月XX日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签约日期：XX年XX月XX日</w:t>
      </w: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ind w:firstLine="651" w:firstLineChars="200"/>
        <w:jc w:val="center"/>
        <w:outlineLvl w:val="9"/>
        <w:rPr>
          <w:rFonts w:hint="eastAsia" w:ascii="宋体" w:hAnsi="宋体" w:eastAsia="宋体" w:cs="宋体"/>
          <w:b/>
          <w:bCs/>
          <w:w w:val="90"/>
          <w:sz w:val="36"/>
          <w:szCs w:val="36"/>
          <w:highlight w:val="none"/>
        </w:rPr>
      </w:pPr>
    </w:p>
    <w:p>
      <w:pPr>
        <w:pStyle w:val="3"/>
        <w:bidi w:val="0"/>
        <w:rPr>
          <w:rFonts w:hint="eastAsia"/>
        </w:rPr>
      </w:pPr>
      <w:bookmarkStart w:id="95" w:name="_Toc8070"/>
      <w:r>
        <w:rPr>
          <w:rFonts w:hint="eastAsia"/>
        </w:rPr>
        <w:t>第五章 响应文件构成及格式</w:t>
      </w:r>
      <w:bookmarkEnd w:id="39"/>
      <w:bookmarkEnd w:id="40"/>
      <w:bookmarkEnd w:id="41"/>
      <w:bookmarkEnd w:id="42"/>
      <w:bookmarkEnd w:id="95"/>
    </w:p>
    <w:p>
      <w:pPr>
        <w:ind w:firstLine="579" w:firstLineChars="200"/>
        <w:jc w:val="right"/>
        <w:rPr>
          <w:rFonts w:hint="eastAsia" w:ascii="宋体" w:hAnsi="宋体" w:eastAsia="宋体" w:cs="宋体"/>
          <w:b/>
          <w:bCs/>
          <w:w w:val="90"/>
          <w:sz w:val="32"/>
          <w:szCs w:val="32"/>
          <w:highlight w:val="none"/>
        </w:rPr>
      </w:pPr>
    </w:p>
    <w:p>
      <w:pPr>
        <w:ind w:firstLine="579" w:firstLineChars="200"/>
        <w:jc w:val="right"/>
        <w:rPr>
          <w:rFonts w:hint="eastAsia" w:ascii="宋体" w:hAnsi="宋体" w:eastAsia="宋体" w:cs="宋体"/>
          <w:b/>
          <w:bCs/>
          <w:w w:val="90"/>
          <w:sz w:val="36"/>
          <w:szCs w:val="36"/>
          <w:highlight w:val="none"/>
        </w:rPr>
      </w:pPr>
      <w:r>
        <w:rPr>
          <w:rFonts w:hint="eastAsia" w:ascii="宋体" w:hAnsi="宋体" w:eastAsia="宋体" w:cs="宋体"/>
          <w:b/>
          <w:bCs/>
          <w:w w:val="90"/>
          <w:sz w:val="32"/>
          <w:szCs w:val="32"/>
          <w:highlight w:val="none"/>
        </w:rPr>
        <w:t>（正本/副本）</w:t>
      </w:r>
    </w:p>
    <w:p>
      <w:pPr>
        <w:ind w:firstLine="651" w:firstLineChars="200"/>
        <w:jc w:val="center"/>
        <w:rPr>
          <w:rFonts w:hint="eastAsia" w:ascii="宋体" w:hAnsi="宋体" w:eastAsia="宋体" w:cs="宋体"/>
          <w:b/>
          <w:bCs/>
          <w:w w:val="90"/>
          <w:sz w:val="36"/>
          <w:szCs w:val="36"/>
          <w:highlight w:val="none"/>
        </w:rPr>
      </w:pPr>
    </w:p>
    <w:p>
      <w:pPr>
        <w:ind w:firstLine="378" w:firstLineChars="200"/>
        <w:jc w:val="center"/>
        <w:rPr>
          <w:rFonts w:hint="eastAsia" w:ascii="宋体" w:hAnsi="宋体" w:eastAsia="宋体" w:cs="宋体"/>
          <w:w w:val="90"/>
          <w:highlight w:val="none"/>
        </w:rPr>
      </w:pPr>
    </w:p>
    <w:p>
      <w:pPr>
        <w:ind w:firstLine="579" w:firstLineChars="200"/>
        <w:rPr>
          <w:rFonts w:hint="eastAsia" w:ascii="宋体" w:hAnsi="宋体" w:eastAsia="宋体" w:cs="宋体"/>
          <w:w w:val="90"/>
          <w:sz w:val="28"/>
          <w:highlight w:val="none"/>
        </w:rPr>
      </w:pPr>
      <w:r>
        <w:rPr>
          <w:rFonts w:hint="eastAsia" w:ascii="宋体" w:hAnsi="宋体" w:eastAsia="宋体" w:cs="宋体"/>
          <w:b/>
          <w:bCs/>
          <w:w w:val="90"/>
          <w:sz w:val="32"/>
          <w:szCs w:val="32"/>
          <w:highlight w:val="none"/>
        </w:rPr>
        <w:t xml:space="preserve">项目编号：   </w:t>
      </w:r>
      <w:r>
        <w:rPr>
          <w:rFonts w:hint="eastAsia" w:ascii="宋体" w:hAnsi="宋体" w:eastAsia="宋体" w:cs="宋体"/>
          <w:w w:val="90"/>
          <w:sz w:val="32"/>
          <w:szCs w:val="32"/>
          <w:highlight w:val="none"/>
        </w:rPr>
        <w:t xml:space="preserve">                            </w:t>
      </w:r>
    </w:p>
    <w:p>
      <w:pPr>
        <w:ind w:firstLine="504" w:firstLineChars="200"/>
        <w:rPr>
          <w:rFonts w:hint="eastAsia" w:ascii="宋体" w:hAnsi="宋体" w:eastAsia="宋体" w:cs="宋体"/>
          <w:w w:val="90"/>
          <w:sz w:val="28"/>
          <w:highlight w:val="none"/>
        </w:rPr>
      </w:pPr>
    </w:p>
    <w:p>
      <w:pPr>
        <w:ind w:firstLine="504" w:firstLineChars="200"/>
        <w:rPr>
          <w:rFonts w:hint="eastAsia" w:ascii="宋体" w:hAnsi="宋体" w:eastAsia="宋体" w:cs="宋体"/>
          <w:w w:val="90"/>
          <w:sz w:val="28"/>
          <w:highlight w:val="none"/>
        </w:rPr>
      </w:pPr>
    </w:p>
    <w:p>
      <w:pPr>
        <w:jc w:val="center"/>
        <w:rPr>
          <w:rFonts w:hint="eastAsia" w:ascii="宋体" w:hAnsi="宋体" w:eastAsia="宋体" w:cs="宋体"/>
          <w:b/>
          <w:bCs/>
          <w:w w:val="90"/>
          <w:sz w:val="48"/>
          <w:szCs w:val="48"/>
          <w:highlight w:val="none"/>
        </w:rPr>
      </w:pPr>
      <w:r>
        <w:rPr>
          <w:rFonts w:hint="eastAsia" w:ascii="宋体" w:hAnsi="宋体" w:cs="宋体"/>
          <w:b/>
          <w:bCs/>
          <w:w w:val="90"/>
          <w:sz w:val="48"/>
          <w:szCs w:val="48"/>
          <w:highlight w:val="none"/>
          <w:lang w:eastAsia="zh-CN"/>
        </w:rPr>
        <w:t>镇巴县粮库监管信息化系统建设项目</w:t>
      </w:r>
    </w:p>
    <w:p>
      <w:pPr>
        <w:widowControl/>
        <w:spacing w:before="300" w:after="150" w:line="525" w:lineRule="atLeast"/>
        <w:jc w:val="center"/>
        <w:outlineLvl w:val="9"/>
        <w:rPr>
          <w:rFonts w:hint="eastAsia" w:ascii="宋体" w:hAnsi="宋体" w:eastAsia="宋体" w:cs="宋体"/>
          <w:b/>
          <w:bCs/>
          <w:w w:val="90"/>
          <w:sz w:val="40"/>
          <w:szCs w:val="44"/>
          <w:highlight w:val="none"/>
        </w:rPr>
      </w:pPr>
    </w:p>
    <w:p>
      <w:pPr>
        <w:widowControl/>
        <w:spacing w:before="300" w:after="150" w:line="525" w:lineRule="atLeast"/>
        <w:jc w:val="both"/>
        <w:outlineLvl w:val="9"/>
        <w:rPr>
          <w:rFonts w:hint="eastAsia" w:ascii="宋体" w:hAnsi="宋体" w:eastAsia="宋体" w:cs="宋体"/>
          <w:b/>
          <w:bCs/>
          <w:w w:val="90"/>
          <w:sz w:val="40"/>
          <w:szCs w:val="44"/>
          <w:highlight w:val="none"/>
        </w:rPr>
      </w:pPr>
    </w:p>
    <w:p>
      <w:pPr>
        <w:widowControl/>
        <w:spacing w:before="300" w:after="150" w:line="525" w:lineRule="atLeast"/>
        <w:jc w:val="center"/>
        <w:outlineLvl w:val="9"/>
        <w:rPr>
          <w:rFonts w:hint="eastAsia" w:ascii="宋体" w:hAnsi="宋体" w:eastAsia="宋体" w:cs="宋体"/>
          <w:b/>
          <w:bCs/>
          <w:w w:val="90"/>
          <w:sz w:val="40"/>
          <w:szCs w:val="44"/>
          <w:highlight w:val="none"/>
        </w:rPr>
      </w:pPr>
    </w:p>
    <w:p>
      <w:pPr>
        <w:widowControl/>
        <w:spacing w:before="300" w:after="150" w:line="525" w:lineRule="atLeast"/>
        <w:jc w:val="center"/>
        <w:outlineLvl w:val="9"/>
        <w:rPr>
          <w:rFonts w:hint="eastAsia" w:ascii="宋体" w:hAnsi="宋体" w:eastAsia="宋体" w:cs="宋体"/>
          <w:b/>
          <w:bCs/>
          <w:w w:val="90"/>
          <w:sz w:val="40"/>
          <w:szCs w:val="44"/>
          <w:highlight w:val="none"/>
        </w:rPr>
      </w:pPr>
    </w:p>
    <w:p>
      <w:pPr>
        <w:spacing w:line="360" w:lineRule="auto"/>
        <w:ind w:left="38" w:leftChars="-199" w:right="-252" w:rightChars="-120" w:hanging="456" w:hangingChars="95"/>
        <w:jc w:val="center"/>
        <w:rPr>
          <w:rFonts w:hint="eastAsia" w:ascii="宋体" w:hAnsi="宋体" w:eastAsia="宋体" w:cs="宋体"/>
          <w:sz w:val="72"/>
          <w:szCs w:val="72"/>
          <w:highlight w:val="none"/>
        </w:rPr>
      </w:pPr>
      <w:r>
        <w:rPr>
          <w:rFonts w:hint="eastAsia" w:ascii="宋体" w:hAnsi="宋体" w:eastAsia="宋体" w:cs="宋体"/>
          <w:sz w:val="48"/>
          <w:szCs w:val="48"/>
          <w:highlight w:val="none"/>
        </w:rPr>
        <w:t>响 应 文 件</w:t>
      </w:r>
      <w:r>
        <w:rPr>
          <w:rFonts w:hint="eastAsia" w:ascii="宋体" w:hAnsi="宋体" w:eastAsia="宋体" w:cs="宋体"/>
          <w:sz w:val="32"/>
          <w:szCs w:val="32"/>
          <w:highlight w:val="none"/>
        </w:rPr>
        <w:t>（格式）</w:t>
      </w:r>
    </w:p>
    <w:p>
      <w:pPr>
        <w:spacing w:line="360" w:lineRule="auto"/>
        <w:rPr>
          <w:rFonts w:hint="eastAsia" w:ascii="宋体" w:hAnsi="宋体" w:eastAsia="宋体" w:cs="宋体"/>
          <w:sz w:val="32"/>
          <w:highlight w:val="none"/>
        </w:rPr>
      </w:pPr>
    </w:p>
    <w:p>
      <w:pPr>
        <w:spacing w:line="360" w:lineRule="auto"/>
        <w:rPr>
          <w:rFonts w:hint="eastAsia" w:ascii="宋体" w:hAnsi="宋体" w:eastAsia="宋体" w:cs="宋体"/>
          <w:sz w:val="32"/>
          <w:highlight w:val="none"/>
        </w:rPr>
      </w:pPr>
    </w:p>
    <w:p>
      <w:pPr>
        <w:spacing w:line="360" w:lineRule="auto"/>
        <w:rPr>
          <w:rFonts w:hint="eastAsia" w:ascii="宋体" w:hAnsi="宋体" w:eastAsia="宋体" w:cs="宋体"/>
          <w:sz w:val="32"/>
          <w:highlight w:val="none"/>
        </w:rPr>
      </w:pPr>
    </w:p>
    <w:p>
      <w:pPr>
        <w:spacing w:line="360" w:lineRule="auto"/>
        <w:rPr>
          <w:rFonts w:hint="eastAsia" w:ascii="宋体" w:hAnsi="宋体" w:eastAsia="宋体" w:cs="宋体"/>
          <w:sz w:val="32"/>
          <w:highlight w:val="none"/>
        </w:rPr>
      </w:pPr>
    </w:p>
    <w:p>
      <w:pPr>
        <w:spacing w:line="360" w:lineRule="auto"/>
        <w:ind w:firstLine="495" w:firstLineChars="177"/>
        <w:rPr>
          <w:rFonts w:hint="eastAsia" w:ascii="宋体" w:hAnsi="宋体" w:eastAsia="宋体" w:cs="宋体"/>
          <w:sz w:val="28"/>
          <w:highlight w:val="none"/>
          <w:u w:val="single"/>
        </w:rPr>
      </w:pPr>
      <w:r>
        <w:rPr>
          <w:rFonts w:hint="eastAsia" w:ascii="宋体" w:hAnsi="宋体" w:eastAsia="宋体" w:cs="宋体"/>
          <w:sz w:val="28"/>
          <w:highlight w:val="none"/>
        </w:rPr>
        <w:t>采购编号：</w:t>
      </w:r>
      <w:r>
        <w:rPr>
          <w:rFonts w:hint="eastAsia" w:ascii="宋体" w:hAnsi="宋体" w:eastAsia="宋体" w:cs="宋体"/>
          <w:sz w:val="28"/>
          <w:highlight w:val="none"/>
          <w:u w:val="single"/>
        </w:rPr>
        <w:t xml:space="preserve">                                           </w:t>
      </w:r>
    </w:p>
    <w:p>
      <w:pPr>
        <w:spacing w:line="360" w:lineRule="auto"/>
        <w:ind w:firstLine="495" w:firstLineChars="177"/>
        <w:rPr>
          <w:rFonts w:hint="eastAsia" w:ascii="宋体" w:hAnsi="宋体" w:eastAsia="宋体" w:cs="宋体"/>
          <w:sz w:val="28"/>
          <w:szCs w:val="32"/>
          <w:highlight w:val="none"/>
        </w:rPr>
      </w:pPr>
      <w:r>
        <w:rPr>
          <w:rFonts w:hint="eastAsia" w:ascii="宋体" w:hAnsi="宋体" w:eastAsia="宋体" w:cs="宋体"/>
          <w:sz w:val="28"/>
          <w:szCs w:val="32"/>
          <w:highlight w:val="none"/>
        </w:rPr>
        <w:t>供 应 商：</w:t>
      </w:r>
      <w:r>
        <w:rPr>
          <w:rFonts w:hint="eastAsia" w:ascii="宋体" w:hAnsi="宋体" w:eastAsia="宋体" w:cs="宋体"/>
          <w:sz w:val="28"/>
          <w:szCs w:val="32"/>
          <w:highlight w:val="none"/>
          <w:u w:val="single"/>
        </w:rPr>
        <w:t xml:space="preserve">                                           </w:t>
      </w:r>
    </w:p>
    <w:p>
      <w:pPr>
        <w:spacing w:line="360" w:lineRule="auto"/>
        <w:ind w:firstLine="495" w:firstLineChars="177"/>
        <w:rPr>
          <w:rFonts w:hint="eastAsia" w:ascii="宋体" w:hAnsi="宋体" w:eastAsia="宋体" w:cs="宋体"/>
          <w:sz w:val="28"/>
          <w:highlight w:val="none"/>
          <w:u w:val="single"/>
        </w:rPr>
      </w:pPr>
      <w:r>
        <w:rPr>
          <w:rFonts w:hint="eastAsia" w:ascii="宋体" w:hAnsi="宋体" w:eastAsia="宋体" w:cs="宋体"/>
          <w:sz w:val="28"/>
          <w:highlight w:val="none"/>
        </w:rPr>
        <w:t>法定代表人或其被授权委托代理人 ：</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（签字或盖章）</w:t>
      </w:r>
    </w:p>
    <w:p>
      <w:pPr>
        <w:spacing w:line="360" w:lineRule="auto"/>
        <w:ind w:firstLine="495" w:firstLineChars="177"/>
        <w:rPr>
          <w:rFonts w:hint="eastAsia" w:ascii="宋体" w:hAnsi="宋体" w:eastAsia="宋体" w:cs="宋体"/>
          <w:b/>
          <w:sz w:val="36"/>
          <w:szCs w:val="36"/>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p>
    <w:p>
      <w:pPr>
        <w:spacing w:line="360" w:lineRule="auto"/>
        <w:rPr>
          <w:rFonts w:hint="eastAsia" w:ascii="宋体" w:hAnsi="宋体" w:eastAsia="宋体" w:cs="宋体"/>
          <w:b/>
          <w:sz w:val="36"/>
          <w:szCs w:val="36"/>
          <w:highlight w:val="none"/>
        </w:rPr>
      </w:pPr>
    </w:p>
    <w:p>
      <w:pPr>
        <w:pStyle w:val="2"/>
        <w:rPr>
          <w:rFonts w:hint="eastAsia"/>
          <w:highlight w:val="none"/>
        </w:rPr>
      </w:pPr>
    </w:p>
    <w:p>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目    录</w:t>
      </w:r>
    </w:p>
    <w:p>
      <w:pPr>
        <w:spacing w:line="360" w:lineRule="auto"/>
        <w:ind w:firstLine="640" w:firstLineChars="200"/>
        <w:rPr>
          <w:rFonts w:hint="eastAsia" w:ascii="宋体" w:hAnsi="宋体" w:eastAsia="宋体" w:cs="宋体"/>
          <w:sz w:val="32"/>
          <w:szCs w:val="32"/>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第1部分   法定代表人证明书及法定代表人授权书</w:t>
      </w:r>
    </w:p>
    <w:p>
      <w:pPr>
        <w:spacing w:line="360" w:lineRule="auto"/>
        <w:ind w:firstLine="560" w:firstLineChars="200"/>
        <w:rPr>
          <w:rFonts w:hint="eastAsia" w:ascii="宋体" w:hAnsi="宋体" w:eastAsia="宋体" w:cs="宋体"/>
          <w:sz w:val="28"/>
          <w:szCs w:val="36"/>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第2部分   投标函</w:t>
      </w: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 xml:space="preserve"> </w:t>
      </w: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第3部分   开标一览表</w:t>
      </w:r>
    </w:p>
    <w:p>
      <w:pPr>
        <w:spacing w:line="360" w:lineRule="auto"/>
        <w:ind w:firstLine="560" w:firstLineChars="200"/>
        <w:rPr>
          <w:rFonts w:hint="eastAsia" w:ascii="宋体" w:hAnsi="宋体" w:eastAsia="宋体" w:cs="宋体"/>
          <w:sz w:val="28"/>
          <w:szCs w:val="36"/>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第4部分   技术投标方案</w:t>
      </w:r>
    </w:p>
    <w:p>
      <w:pPr>
        <w:spacing w:line="360" w:lineRule="auto"/>
        <w:ind w:firstLine="560" w:firstLineChars="200"/>
        <w:rPr>
          <w:rFonts w:hint="eastAsia" w:ascii="宋体" w:hAnsi="宋体" w:eastAsia="宋体" w:cs="宋体"/>
          <w:sz w:val="28"/>
          <w:szCs w:val="36"/>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第5部分   商务投标方案</w:t>
      </w:r>
    </w:p>
    <w:p>
      <w:pPr>
        <w:spacing w:line="360" w:lineRule="auto"/>
        <w:ind w:firstLine="560" w:firstLineChars="200"/>
        <w:rPr>
          <w:rFonts w:hint="eastAsia" w:ascii="宋体" w:hAnsi="宋体" w:eastAsia="宋体" w:cs="宋体"/>
          <w:sz w:val="28"/>
          <w:szCs w:val="36"/>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第6部分   供应商承诺函</w:t>
      </w:r>
    </w:p>
    <w:p>
      <w:pPr>
        <w:spacing w:line="360" w:lineRule="auto"/>
        <w:ind w:firstLine="560" w:firstLineChars="200"/>
        <w:rPr>
          <w:rFonts w:hint="eastAsia" w:ascii="宋体" w:hAnsi="宋体" w:eastAsia="宋体" w:cs="宋体"/>
          <w:sz w:val="28"/>
          <w:szCs w:val="36"/>
          <w:highlight w:val="none"/>
        </w:rPr>
      </w:pPr>
    </w:p>
    <w:p>
      <w:pPr>
        <w:spacing w:line="360" w:lineRule="auto"/>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第7部分   磋商保证金复印凭证</w:t>
      </w:r>
    </w:p>
    <w:p>
      <w:pPr>
        <w:spacing w:line="360" w:lineRule="exact"/>
        <w:rPr>
          <w:rFonts w:hint="eastAsia" w:ascii="宋体" w:hAnsi="宋体" w:eastAsia="宋体" w:cs="宋体"/>
          <w:sz w:val="28"/>
          <w:szCs w:val="36"/>
          <w:highlight w:val="none"/>
        </w:rPr>
      </w:pPr>
    </w:p>
    <w:p>
      <w:pPr>
        <w:spacing w:line="360" w:lineRule="exact"/>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第8部分   资格证明文件</w:t>
      </w:r>
    </w:p>
    <w:p>
      <w:pPr>
        <w:spacing w:line="480" w:lineRule="exact"/>
        <w:ind w:firstLine="440" w:firstLineChars="200"/>
        <w:rPr>
          <w:rFonts w:hint="eastAsia" w:ascii="宋体" w:hAnsi="宋体" w:eastAsia="宋体" w:cs="宋体"/>
          <w:sz w:val="22"/>
          <w:szCs w:val="32"/>
          <w:highlight w:val="none"/>
        </w:rPr>
      </w:pPr>
    </w:p>
    <w:p>
      <w:pPr>
        <w:spacing w:line="360" w:lineRule="auto"/>
        <w:ind w:firstLine="640" w:firstLineChars="200"/>
        <w:rPr>
          <w:rFonts w:hint="eastAsia" w:ascii="宋体" w:hAnsi="宋体" w:eastAsia="宋体" w:cs="宋体"/>
          <w:sz w:val="32"/>
          <w:szCs w:val="32"/>
          <w:highlight w:val="none"/>
        </w:rPr>
      </w:pPr>
    </w:p>
    <w:p>
      <w:pPr>
        <w:spacing w:line="360" w:lineRule="auto"/>
        <w:ind w:firstLine="640" w:firstLineChars="200"/>
        <w:rPr>
          <w:rFonts w:hint="eastAsia" w:ascii="宋体" w:hAnsi="宋体" w:eastAsia="宋体" w:cs="宋体"/>
          <w:sz w:val="32"/>
          <w:szCs w:val="32"/>
          <w:highlight w:val="none"/>
        </w:rPr>
      </w:pPr>
    </w:p>
    <w:p>
      <w:pPr>
        <w:spacing w:line="360" w:lineRule="auto"/>
        <w:ind w:firstLine="640" w:firstLineChars="200"/>
        <w:rPr>
          <w:rFonts w:hint="eastAsia" w:ascii="宋体" w:hAnsi="宋体" w:eastAsia="宋体" w:cs="宋体"/>
          <w:sz w:val="32"/>
          <w:szCs w:val="32"/>
          <w:highlight w:val="none"/>
        </w:rPr>
      </w:pPr>
    </w:p>
    <w:p>
      <w:pPr>
        <w:spacing w:line="360" w:lineRule="auto"/>
        <w:ind w:firstLine="640" w:firstLineChars="200"/>
        <w:rPr>
          <w:rFonts w:hint="eastAsia" w:ascii="宋体" w:hAnsi="宋体" w:eastAsia="宋体" w:cs="宋体"/>
          <w:sz w:val="32"/>
          <w:szCs w:val="32"/>
          <w:highlight w:val="none"/>
        </w:rPr>
      </w:pPr>
    </w:p>
    <w:p>
      <w:pPr>
        <w:spacing w:line="360" w:lineRule="auto"/>
        <w:ind w:firstLine="640" w:firstLineChars="200"/>
        <w:rPr>
          <w:rFonts w:hint="eastAsia" w:ascii="宋体" w:hAnsi="宋体" w:eastAsia="宋体" w:cs="宋体"/>
          <w:sz w:val="32"/>
          <w:szCs w:val="32"/>
          <w:highlight w:val="none"/>
        </w:rPr>
      </w:pPr>
    </w:p>
    <w:p>
      <w:pPr>
        <w:spacing w:line="360" w:lineRule="auto"/>
        <w:ind w:firstLine="640" w:firstLineChars="200"/>
        <w:rPr>
          <w:rFonts w:hint="eastAsia" w:ascii="宋体" w:hAnsi="宋体" w:eastAsia="宋体" w:cs="宋体"/>
          <w:sz w:val="32"/>
          <w:szCs w:val="32"/>
          <w:highlight w:val="none"/>
        </w:rPr>
      </w:pPr>
    </w:p>
    <w:p>
      <w:pPr>
        <w:tabs>
          <w:tab w:val="left" w:pos="1260"/>
        </w:tabs>
        <w:spacing w:line="360" w:lineRule="auto"/>
        <w:rPr>
          <w:rFonts w:hint="eastAsia" w:ascii="宋体" w:hAnsi="宋体" w:eastAsia="宋体" w:cs="宋体"/>
          <w:b/>
          <w:bCs/>
          <w:sz w:val="36"/>
          <w:szCs w:val="44"/>
          <w:highlight w:val="none"/>
        </w:rPr>
        <w:sectPr>
          <w:headerReference r:id="rId4" w:type="default"/>
          <w:footerReference r:id="rId5" w:type="default"/>
          <w:pgSz w:w="11906" w:h="16838"/>
          <w:pgMar w:top="1440" w:right="1242" w:bottom="1440" w:left="1843" w:header="851" w:footer="992" w:gutter="0"/>
          <w:pgNumType w:fmt="decimal"/>
          <w:cols w:space="720" w:num="1"/>
          <w:docGrid w:linePitch="312" w:charSpace="0"/>
        </w:sectPr>
      </w:pPr>
    </w:p>
    <w:p>
      <w:pPr>
        <w:tabs>
          <w:tab w:val="left" w:pos="1260"/>
        </w:tabs>
        <w:spacing w:line="360" w:lineRule="auto"/>
        <w:jc w:val="center"/>
        <w:rPr>
          <w:rFonts w:hint="eastAsia" w:ascii="宋体" w:hAnsi="宋体" w:eastAsia="宋体" w:cs="宋体"/>
          <w:b/>
          <w:sz w:val="32"/>
          <w:szCs w:val="32"/>
          <w:highlight w:val="none"/>
          <w:u w:val="single"/>
        </w:rPr>
      </w:pPr>
      <w:r>
        <w:rPr>
          <w:rFonts w:hint="eastAsia" w:ascii="宋体" w:hAnsi="宋体" w:eastAsia="宋体" w:cs="宋体"/>
          <w:b/>
          <w:bCs/>
          <w:sz w:val="36"/>
          <w:szCs w:val="44"/>
          <w:highlight w:val="none"/>
        </w:rPr>
        <w:t>第1部分  法定代表人证明书与法定代表人授权书</w:t>
      </w:r>
    </w:p>
    <w:p>
      <w:pPr>
        <w:spacing w:line="360" w:lineRule="auto"/>
        <w:ind w:firstLine="157" w:firstLineChars="49"/>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1.1法定代表人证明书</w:t>
      </w:r>
    </w:p>
    <w:p>
      <w:pPr>
        <w:tabs>
          <w:tab w:val="left" w:pos="1155"/>
        </w:tabs>
        <w:spacing w:line="180" w:lineRule="exact"/>
        <w:rPr>
          <w:rFonts w:hint="eastAsia" w:ascii="宋体" w:hAnsi="宋体" w:eastAsia="宋体" w:cs="宋体"/>
          <w:sz w:val="10"/>
          <w:szCs w:val="10"/>
          <w:highlight w:val="none"/>
        </w:rPr>
      </w:pP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789"/>
        <w:gridCol w:w="1649"/>
        <w:gridCol w:w="1969"/>
        <w:gridCol w:w="19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022" w:type="dxa"/>
            <w:gridSpan w:val="5"/>
          </w:tcPr>
          <w:p>
            <w:pPr>
              <w:tabs>
                <w:tab w:val="left" w:pos="1260"/>
              </w:tabs>
              <w:spacing w:line="440" w:lineRule="exact"/>
              <w:rPr>
                <w:rFonts w:hint="eastAsia" w:ascii="宋体" w:hAnsi="宋体" w:eastAsia="宋体" w:cs="宋体"/>
                <w:b/>
                <w:bCs/>
                <w:szCs w:val="21"/>
                <w:highlight w:val="none"/>
                <w:lang w:eastAsia="zh-CN"/>
              </w:rPr>
            </w:pPr>
            <w:r>
              <w:rPr>
                <w:rFonts w:hint="eastAsia" w:ascii="宋体" w:hAnsi="宋体" w:eastAsia="宋体" w:cs="宋体"/>
                <w:szCs w:val="21"/>
                <w:highlight w:val="none"/>
              </w:rPr>
              <w:t>致：</w:t>
            </w:r>
            <w:r>
              <w:rPr>
                <w:rFonts w:hint="eastAsia" w:ascii="宋体" w:hAnsi="宋体" w:cs="宋体"/>
                <w:szCs w:val="21"/>
                <w:highlight w:val="none"/>
                <w:lang w:eastAsia="zh-CN"/>
              </w:rPr>
              <w:t>陕西巨和项目管理有限责任公司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restart"/>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企业基本信息</w:t>
            </w: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法定地址</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tcPr>
          <w:p>
            <w:pPr>
              <w:tabs>
                <w:tab w:val="left" w:pos="1260"/>
              </w:tabs>
              <w:spacing w:line="440" w:lineRule="exact"/>
              <w:jc w:val="center"/>
              <w:rPr>
                <w:rFonts w:hint="eastAsia" w:ascii="宋体" w:hAnsi="宋体" w:eastAsia="宋体" w:cs="宋体"/>
                <w:b/>
                <w:bCs/>
                <w:szCs w:val="21"/>
                <w:highlight w:val="none"/>
              </w:rPr>
            </w:pPr>
            <w:r>
              <w:rPr>
                <w:rFonts w:hint="eastAsia" w:ascii="宋体" w:hAnsi="宋体" w:eastAsia="宋体" w:cs="宋体"/>
                <w:szCs w:val="21"/>
                <w:highlight w:val="none"/>
              </w:rPr>
              <w:t>工商登记机关</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税务登记机关</w:t>
            </w:r>
          </w:p>
        </w:tc>
        <w:tc>
          <w:tcPr>
            <w:tcW w:w="5572" w:type="dxa"/>
            <w:gridSpan w:val="3"/>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tcPr>
          <w:p>
            <w:pPr>
              <w:tabs>
                <w:tab w:val="left" w:pos="1260"/>
              </w:tabs>
              <w:spacing w:line="440" w:lineRule="exact"/>
              <w:jc w:val="center"/>
              <w:rPr>
                <w:rFonts w:hint="eastAsia" w:ascii="宋体" w:hAnsi="宋体" w:eastAsia="宋体" w:cs="宋体"/>
                <w:b/>
                <w:bCs/>
                <w:szCs w:val="21"/>
                <w:highlight w:val="none"/>
              </w:rPr>
            </w:pPr>
            <w:r>
              <w:rPr>
                <w:rFonts w:hint="eastAsia" w:ascii="宋体" w:hAnsi="宋体" w:eastAsia="宋体" w:cs="宋体"/>
                <w:szCs w:val="21"/>
                <w:highlight w:val="none"/>
              </w:rPr>
              <w:t>机构代码证号</w:t>
            </w:r>
          </w:p>
        </w:tc>
        <w:tc>
          <w:tcPr>
            <w:tcW w:w="5572" w:type="dxa"/>
            <w:gridSpan w:val="3"/>
          </w:tcPr>
          <w:p>
            <w:pPr>
              <w:tabs>
                <w:tab w:val="left" w:pos="1260"/>
              </w:tabs>
              <w:spacing w:line="440" w:lineRule="exact"/>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restart"/>
            <w:vAlign w:val="center"/>
          </w:tcPr>
          <w:p>
            <w:pPr>
              <w:tabs>
                <w:tab w:val="left" w:pos="1260"/>
              </w:tabs>
              <w:spacing w:line="440" w:lineRule="exact"/>
              <w:jc w:val="center"/>
              <w:rPr>
                <w:rFonts w:hint="eastAsia" w:ascii="宋体" w:hAnsi="宋体" w:eastAsia="宋体" w:cs="宋体"/>
                <w:b/>
                <w:bCs/>
                <w:szCs w:val="21"/>
                <w:highlight w:val="none"/>
              </w:rPr>
            </w:pPr>
            <w:r>
              <w:rPr>
                <w:rFonts w:hint="eastAsia" w:ascii="宋体" w:hAnsi="宋体" w:eastAsia="宋体" w:cs="宋体"/>
                <w:szCs w:val="21"/>
                <w:highlight w:val="none"/>
              </w:rPr>
              <w:t>法定代表人</w:t>
            </w: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649" w:type="dxa"/>
          </w:tcPr>
          <w:p>
            <w:pPr>
              <w:tabs>
                <w:tab w:val="left" w:pos="1260"/>
              </w:tabs>
              <w:spacing w:line="440" w:lineRule="exact"/>
              <w:rPr>
                <w:rFonts w:hint="eastAsia" w:ascii="宋体" w:hAnsi="宋体" w:eastAsia="宋体" w:cs="宋体"/>
                <w:szCs w:val="21"/>
                <w:highlight w:val="none"/>
              </w:rPr>
            </w:pPr>
          </w:p>
        </w:tc>
        <w:tc>
          <w:tcPr>
            <w:tcW w:w="196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性    别</w:t>
            </w:r>
          </w:p>
        </w:tc>
        <w:tc>
          <w:tcPr>
            <w:tcW w:w="1954" w:type="dxa"/>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649" w:type="dxa"/>
          </w:tcPr>
          <w:p>
            <w:pPr>
              <w:tabs>
                <w:tab w:val="left" w:pos="1260"/>
              </w:tabs>
              <w:spacing w:line="440" w:lineRule="exact"/>
              <w:rPr>
                <w:rFonts w:hint="eastAsia" w:ascii="宋体" w:hAnsi="宋体" w:eastAsia="宋体" w:cs="宋体"/>
                <w:szCs w:val="21"/>
                <w:highlight w:val="none"/>
              </w:rPr>
            </w:pPr>
          </w:p>
        </w:tc>
        <w:tc>
          <w:tcPr>
            <w:tcW w:w="196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954" w:type="dxa"/>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661" w:type="dxa"/>
            <w:vMerge w:val="continue"/>
            <w:vAlign w:val="center"/>
          </w:tcPr>
          <w:p>
            <w:pPr>
              <w:tabs>
                <w:tab w:val="left" w:pos="1260"/>
              </w:tabs>
              <w:spacing w:line="440" w:lineRule="exact"/>
              <w:jc w:val="center"/>
              <w:rPr>
                <w:rFonts w:hint="eastAsia" w:ascii="宋体" w:hAnsi="宋体" w:eastAsia="宋体" w:cs="宋体"/>
                <w:b/>
                <w:bCs/>
                <w:szCs w:val="21"/>
                <w:highlight w:val="none"/>
              </w:rPr>
            </w:pPr>
          </w:p>
        </w:tc>
        <w:tc>
          <w:tcPr>
            <w:tcW w:w="1789"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5572" w:type="dxa"/>
            <w:gridSpan w:val="3"/>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0" w:hRule="atLeast"/>
          <w:jc w:val="center"/>
        </w:trPr>
        <w:tc>
          <w:tcPr>
            <w:tcW w:w="1661" w:type="dxa"/>
            <w:vMerge w:val="restart"/>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身份证复印件</w:t>
            </w:r>
          </w:p>
        </w:tc>
        <w:tc>
          <w:tcPr>
            <w:tcW w:w="3438" w:type="dxa"/>
            <w:gridSpan w:val="2"/>
            <w:vMerge w:val="restart"/>
            <w:vAlign w:val="center"/>
          </w:tcPr>
          <w:p>
            <w:pPr>
              <w:tabs>
                <w:tab w:val="left" w:pos="1260"/>
              </w:tabs>
              <w:jc w:val="center"/>
              <w:rPr>
                <w:rFonts w:hint="eastAsia" w:ascii="宋体" w:hAnsi="宋体" w:eastAsia="宋体" w:cs="宋体"/>
                <w:b/>
                <w:bCs/>
                <w:szCs w:val="21"/>
                <w:highlight w:val="none"/>
              </w:rPr>
            </w:pPr>
            <w:r>
              <w:rPr>
                <w:rFonts w:hint="eastAsia" w:ascii="宋体" w:hAnsi="宋体" w:eastAsia="宋体" w:cs="宋体"/>
                <w:szCs w:val="21"/>
                <w:highlight w:val="none"/>
              </w:rPr>
              <w:t>（粘贴处）</w:t>
            </w:r>
          </w:p>
        </w:tc>
        <w:tc>
          <w:tcPr>
            <w:tcW w:w="3923" w:type="dxa"/>
            <w:gridSpan w:val="2"/>
            <w:vAlign w:val="center"/>
          </w:tcPr>
          <w:p>
            <w:pPr>
              <w:tabs>
                <w:tab w:val="left" w:pos="1260"/>
              </w:tabs>
              <w:spacing w:line="440" w:lineRule="exact"/>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法定代表人签字</w:t>
            </w:r>
            <w:r>
              <w:rPr>
                <w:rFonts w:hint="eastAsia" w:ascii="宋体" w:hAnsi="宋体" w:cs="宋体"/>
                <w:szCs w:val="21"/>
                <w:highlight w:val="none"/>
                <w:lang w:eastAsia="zh-CN"/>
              </w:rPr>
              <w:t>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0" w:hRule="atLeast"/>
          <w:jc w:val="center"/>
        </w:trPr>
        <w:tc>
          <w:tcPr>
            <w:tcW w:w="1661" w:type="dxa"/>
            <w:vMerge w:val="continue"/>
          </w:tcPr>
          <w:p>
            <w:pPr>
              <w:tabs>
                <w:tab w:val="left" w:pos="1260"/>
              </w:tabs>
              <w:spacing w:line="440" w:lineRule="exact"/>
              <w:rPr>
                <w:rFonts w:hint="eastAsia" w:ascii="宋体" w:hAnsi="宋体" w:eastAsia="宋体" w:cs="宋体"/>
                <w:b/>
                <w:bCs/>
                <w:szCs w:val="21"/>
                <w:highlight w:val="none"/>
              </w:rPr>
            </w:pPr>
          </w:p>
        </w:tc>
        <w:tc>
          <w:tcPr>
            <w:tcW w:w="3438" w:type="dxa"/>
            <w:gridSpan w:val="2"/>
            <w:vMerge w:val="continue"/>
          </w:tcPr>
          <w:p>
            <w:pPr>
              <w:tabs>
                <w:tab w:val="left" w:pos="1260"/>
              </w:tabs>
              <w:spacing w:line="440" w:lineRule="exact"/>
              <w:rPr>
                <w:rFonts w:hint="eastAsia" w:ascii="宋体" w:hAnsi="宋体" w:eastAsia="宋体" w:cs="宋体"/>
                <w:b/>
                <w:bCs/>
                <w:szCs w:val="21"/>
                <w:highlight w:val="none"/>
              </w:rPr>
            </w:pPr>
          </w:p>
        </w:tc>
        <w:tc>
          <w:tcPr>
            <w:tcW w:w="3923" w:type="dxa"/>
            <w:gridSpan w:val="2"/>
            <w:vAlign w:val="center"/>
          </w:tcPr>
          <w:p>
            <w:pPr>
              <w:tabs>
                <w:tab w:val="left" w:pos="1260"/>
              </w:tabs>
              <w:spacing w:line="440" w:lineRule="exact"/>
              <w:ind w:firstLine="459"/>
              <w:jc w:val="center"/>
              <w:rPr>
                <w:rFonts w:hint="eastAsia" w:ascii="宋体" w:hAnsi="宋体" w:eastAsia="宋体" w:cs="宋体"/>
                <w:szCs w:val="21"/>
                <w:highlight w:val="none"/>
              </w:rPr>
            </w:pPr>
          </w:p>
          <w:p>
            <w:pPr>
              <w:tabs>
                <w:tab w:val="left" w:pos="1260"/>
              </w:tabs>
              <w:spacing w:line="440" w:lineRule="exact"/>
              <w:rPr>
                <w:rFonts w:hint="eastAsia" w:ascii="宋体" w:hAnsi="宋体" w:eastAsia="宋体" w:cs="宋体"/>
                <w:szCs w:val="21"/>
                <w:highlight w:val="none"/>
              </w:rPr>
            </w:pPr>
          </w:p>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（法人公章）</w:t>
            </w:r>
          </w:p>
          <w:p>
            <w:pPr>
              <w:tabs>
                <w:tab w:val="left" w:pos="1260"/>
              </w:tabs>
              <w:spacing w:line="440" w:lineRule="exact"/>
              <w:ind w:firstLine="459"/>
              <w:jc w:val="center"/>
              <w:rPr>
                <w:rFonts w:hint="eastAsia" w:ascii="宋体" w:hAnsi="宋体" w:eastAsia="宋体" w:cs="宋体"/>
                <w:szCs w:val="21"/>
                <w:highlight w:val="none"/>
              </w:rPr>
            </w:pPr>
          </w:p>
          <w:p>
            <w:pPr>
              <w:tabs>
                <w:tab w:val="left" w:pos="1260"/>
              </w:tabs>
              <w:spacing w:line="440" w:lineRule="exact"/>
              <w:ind w:right="280" w:firstLine="459"/>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tc>
      </w:tr>
    </w:tbl>
    <w:p>
      <w:pPr>
        <w:tabs>
          <w:tab w:val="left" w:pos="1260"/>
        </w:tabs>
        <w:spacing w:line="440" w:lineRule="exact"/>
        <w:jc w:val="center"/>
        <w:rPr>
          <w:rFonts w:hint="eastAsia" w:ascii="宋体" w:hAnsi="宋体" w:eastAsia="宋体" w:cs="宋体"/>
          <w:b/>
          <w:bCs/>
          <w:sz w:val="32"/>
          <w:szCs w:val="32"/>
          <w:highlight w:val="none"/>
          <w:u w:val="single"/>
        </w:rPr>
      </w:pPr>
    </w:p>
    <w:p>
      <w:pPr>
        <w:tabs>
          <w:tab w:val="left" w:pos="1260"/>
        </w:tabs>
        <w:spacing w:line="440" w:lineRule="exact"/>
        <w:jc w:val="center"/>
        <w:rPr>
          <w:rFonts w:hint="eastAsia" w:ascii="宋体" w:hAnsi="宋体" w:eastAsia="宋体" w:cs="宋体"/>
          <w:b/>
          <w:bCs/>
          <w:sz w:val="32"/>
          <w:szCs w:val="32"/>
          <w:highlight w:val="none"/>
          <w:u w:val="single"/>
        </w:rPr>
      </w:pPr>
    </w:p>
    <w:p>
      <w:pPr>
        <w:tabs>
          <w:tab w:val="left" w:pos="1260"/>
        </w:tabs>
        <w:spacing w:line="440" w:lineRule="exact"/>
        <w:jc w:val="center"/>
        <w:rPr>
          <w:rFonts w:hint="eastAsia" w:ascii="宋体" w:hAnsi="宋体" w:eastAsia="宋体" w:cs="宋体"/>
          <w:b/>
          <w:bCs/>
          <w:sz w:val="32"/>
          <w:szCs w:val="32"/>
          <w:highlight w:val="none"/>
          <w:u w:val="single"/>
        </w:rPr>
      </w:pPr>
    </w:p>
    <w:p>
      <w:pPr>
        <w:tabs>
          <w:tab w:val="left" w:pos="1260"/>
        </w:tabs>
        <w:spacing w:line="440" w:lineRule="exact"/>
        <w:jc w:val="center"/>
        <w:rPr>
          <w:rFonts w:hint="eastAsia" w:ascii="宋体" w:hAnsi="宋体" w:eastAsia="宋体" w:cs="宋体"/>
          <w:b/>
          <w:bCs/>
          <w:sz w:val="32"/>
          <w:szCs w:val="32"/>
          <w:highlight w:val="none"/>
          <w:u w:val="single"/>
        </w:rPr>
      </w:pPr>
    </w:p>
    <w:p>
      <w:pPr>
        <w:tabs>
          <w:tab w:val="left" w:pos="1260"/>
        </w:tabs>
        <w:spacing w:line="440" w:lineRule="exact"/>
        <w:jc w:val="center"/>
        <w:rPr>
          <w:rFonts w:hint="eastAsia" w:ascii="宋体" w:hAnsi="宋体" w:eastAsia="宋体" w:cs="宋体"/>
          <w:b/>
          <w:bCs/>
          <w:sz w:val="32"/>
          <w:szCs w:val="32"/>
          <w:highlight w:val="none"/>
          <w:u w:val="single"/>
        </w:rPr>
      </w:pPr>
    </w:p>
    <w:p>
      <w:pPr>
        <w:tabs>
          <w:tab w:val="left" w:pos="1260"/>
        </w:tabs>
        <w:spacing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1.2法定代表人授权书</w:t>
      </w:r>
    </w:p>
    <w:p>
      <w:pPr>
        <w:tabs>
          <w:tab w:val="left" w:pos="1260"/>
        </w:tabs>
        <w:spacing w:line="240" w:lineRule="exact"/>
        <w:rPr>
          <w:rFonts w:hint="eastAsia" w:ascii="宋体" w:hAnsi="宋体" w:eastAsia="宋体" w:cs="宋体"/>
          <w:b/>
          <w:bCs/>
          <w:sz w:val="36"/>
          <w:szCs w:val="44"/>
          <w:highlight w:val="none"/>
        </w:rPr>
      </w:pP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007"/>
        <w:gridCol w:w="10"/>
        <w:gridCol w:w="1543"/>
        <w:gridCol w:w="291"/>
        <w:gridCol w:w="2017"/>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8852" w:type="dxa"/>
            <w:gridSpan w:val="7"/>
            <w:vAlign w:val="center"/>
          </w:tcPr>
          <w:p>
            <w:pPr>
              <w:tabs>
                <w:tab w:val="left" w:pos="1260"/>
              </w:tabs>
              <w:spacing w:line="44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致：</w:t>
            </w:r>
            <w:r>
              <w:rPr>
                <w:rFonts w:hint="eastAsia" w:ascii="宋体" w:hAnsi="宋体" w:cs="宋体"/>
                <w:szCs w:val="21"/>
                <w:highlight w:val="none"/>
                <w:lang w:eastAsia="zh-CN"/>
              </w:rPr>
              <w:t>陕西巨和项目管理有限责任公司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766" w:type="dxa"/>
            <w:vMerge w:val="restart"/>
            <w:vAlign w:val="center"/>
          </w:tcPr>
          <w:p>
            <w:pPr>
              <w:tabs>
                <w:tab w:val="left" w:pos="1260"/>
              </w:tabs>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被授权人</w:t>
            </w:r>
          </w:p>
        </w:tc>
        <w:tc>
          <w:tcPr>
            <w:tcW w:w="2017" w:type="dxa"/>
            <w:gridSpan w:val="2"/>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834" w:type="dxa"/>
            <w:gridSpan w:val="2"/>
          </w:tcPr>
          <w:p>
            <w:pPr>
              <w:tabs>
                <w:tab w:val="left" w:pos="1260"/>
              </w:tabs>
              <w:spacing w:line="440" w:lineRule="exact"/>
              <w:rPr>
                <w:rFonts w:hint="eastAsia" w:ascii="宋体" w:hAnsi="宋体" w:eastAsia="宋体" w:cs="宋体"/>
                <w:szCs w:val="21"/>
                <w:highlight w:val="none"/>
              </w:rPr>
            </w:pPr>
          </w:p>
        </w:tc>
        <w:tc>
          <w:tcPr>
            <w:tcW w:w="2017" w:type="dxa"/>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性    别</w:t>
            </w:r>
          </w:p>
        </w:tc>
        <w:tc>
          <w:tcPr>
            <w:tcW w:w="2218" w:type="dxa"/>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766" w:type="dxa"/>
            <w:vMerge w:val="continue"/>
            <w:vAlign w:val="center"/>
          </w:tcPr>
          <w:p>
            <w:pPr>
              <w:tabs>
                <w:tab w:val="left" w:pos="1260"/>
              </w:tabs>
              <w:spacing w:line="360" w:lineRule="exact"/>
              <w:jc w:val="center"/>
              <w:rPr>
                <w:rFonts w:hint="eastAsia" w:ascii="宋体" w:hAnsi="宋体" w:eastAsia="宋体" w:cs="宋体"/>
                <w:szCs w:val="21"/>
                <w:highlight w:val="none"/>
              </w:rPr>
            </w:pPr>
          </w:p>
        </w:tc>
        <w:tc>
          <w:tcPr>
            <w:tcW w:w="2017" w:type="dxa"/>
            <w:gridSpan w:val="2"/>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834" w:type="dxa"/>
            <w:gridSpan w:val="2"/>
          </w:tcPr>
          <w:p>
            <w:pPr>
              <w:tabs>
                <w:tab w:val="left" w:pos="1260"/>
              </w:tabs>
              <w:spacing w:line="440" w:lineRule="exact"/>
              <w:rPr>
                <w:rFonts w:hint="eastAsia" w:ascii="宋体" w:hAnsi="宋体" w:eastAsia="宋体" w:cs="宋体"/>
                <w:szCs w:val="21"/>
                <w:highlight w:val="none"/>
              </w:rPr>
            </w:pPr>
          </w:p>
        </w:tc>
        <w:tc>
          <w:tcPr>
            <w:tcW w:w="2017" w:type="dxa"/>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手机号码</w:t>
            </w:r>
          </w:p>
        </w:tc>
        <w:tc>
          <w:tcPr>
            <w:tcW w:w="2218" w:type="dxa"/>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766" w:type="dxa"/>
            <w:vMerge w:val="continue"/>
            <w:vAlign w:val="center"/>
          </w:tcPr>
          <w:p>
            <w:pPr>
              <w:tabs>
                <w:tab w:val="left" w:pos="1260"/>
              </w:tabs>
              <w:spacing w:line="360" w:lineRule="exact"/>
              <w:jc w:val="center"/>
              <w:rPr>
                <w:rFonts w:hint="eastAsia" w:ascii="宋体" w:hAnsi="宋体" w:eastAsia="宋体" w:cs="宋体"/>
                <w:szCs w:val="21"/>
                <w:highlight w:val="none"/>
              </w:rPr>
            </w:pPr>
          </w:p>
        </w:tc>
        <w:tc>
          <w:tcPr>
            <w:tcW w:w="2017" w:type="dxa"/>
            <w:gridSpan w:val="2"/>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联系电话</w:t>
            </w:r>
          </w:p>
        </w:tc>
        <w:tc>
          <w:tcPr>
            <w:tcW w:w="1834" w:type="dxa"/>
            <w:gridSpan w:val="2"/>
          </w:tcPr>
          <w:p>
            <w:pPr>
              <w:tabs>
                <w:tab w:val="left" w:pos="1260"/>
              </w:tabs>
              <w:spacing w:line="440" w:lineRule="exact"/>
              <w:rPr>
                <w:rFonts w:hint="eastAsia" w:ascii="宋体" w:hAnsi="宋体" w:eastAsia="宋体" w:cs="宋体"/>
                <w:szCs w:val="21"/>
                <w:highlight w:val="none"/>
              </w:rPr>
            </w:pPr>
          </w:p>
        </w:tc>
        <w:tc>
          <w:tcPr>
            <w:tcW w:w="2017" w:type="dxa"/>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图文传真</w:t>
            </w:r>
          </w:p>
        </w:tc>
        <w:tc>
          <w:tcPr>
            <w:tcW w:w="2218" w:type="dxa"/>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766" w:type="dxa"/>
            <w:vMerge w:val="continue"/>
            <w:vAlign w:val="center"/>
          </w:tcPr>
          <w:p>
            <w:pPr>
              <w:tabs>
                <w:tab w:val="left" w:pos="1260"/>
              </w:tabs>
              <w:spacing w:line="360" w:lineRule="exact"/>
              <w:jc w:val="center"/>
              <w:rPr>
                <w:rFonts w:hint="eastAsia" w:ascii="宋体" w:hAnsi="宋体" w:eastAsia="宋体" w:cs="宋体"/>
                <w:szCs w:val="21"/>
                <w:highlight w:val="none"/>
              </w:rPr>
            </w:pPr>
          </w:p>
        </w:tc>
        <w:tc>
          <w:tcPr>
            <w:tcW w:w="2017" w:type="dxa"/>
            <w:gridSpan w:val="2"/>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通讯地址</w:t>
            </w:r>
          </w:p>
        </w:tc>
        <w:tc>
          <w:tcPr>
            <w:tcW w:w="6069" w:type="dxa"/>
            <w:gridSpan w:val="4"/>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766" w:type="dxa"/>
            <w:vMerge w:val="continue"/>
            <w:vAlign w:val="center"/>
          </w:tcPr>
          <w:p>
            <w:pPr>
              <w:tabs>
                <w:tab w:val="left" w:pos="1260"/>
              </w:tabs>
              <w:spacing w:line="360" w:lineRule="exact"/>
              <w:jc w:val="center"/>
              <w:rPr>
                <w:rFonts w:hint="eastAsia" w:ascii="宋体" w:hAnsi="宋体" w:eastAsia="宋体" w:cs="宋体"/>
                <w:szCs w:val="21"/>
                <w:highlight w:val="none"/>
              </w:rPr>
            </w:pPr>
          </w:p>
        </w:tc>
        <w:tc>
          <w:tcPr>
            <w:tcW w:w="2017" w:type="dxa"/>
            <w:gridSpan w:val="2"/>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网    址</w:t>
            </w:r>
          </w:p>
        </w:tc>
        <w:tc>
          <w:tcPr>
            <w:tcW w:w="6069" w:type="dxa"/>
            <w:gridSpan w:val="4"/>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66" w:type="dxa"/>
            <w:vMerge w:val="restart"/>
            <w:vAlign w:val="center"/>
          </w:tcPr>
          <w:p>
            <w:pPr>
              <w:tabs>
                <w:tab w:val="left" w:pos="1260"/>
              </w:tabs>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被授权项目与内容</w:t>
            </w:r>
          </w:p>
        </w:tc>
        <w:tc>
          <w:tcPr>
            <w:tcW w:w="2007"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079" w:type="dxa"/>
            <w:gridSpan w:val="5"/>
          </w:tcPr>
          <w:p>
            <w:pPr>
              <w:tabs>
                <w:tab w:val="left" w:pos="1260"/>
              </w:tabs>
              <w:spacing w:line="440" w:lineRule="exact"/>
              <w:rPr>
                <w:rFonts w:hint="eastAsia"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jc w:val="center"/>
        </w:trPr>
        <w:tc>
          <w:tcPr>
            <w:tcW w:w="766" w:type="dxa"/>
            <w:vMerge w:val="continue"/>
            <w:vAlign w:val="center"/>
          </w:tcPr>
          <w:p>
            <w:pPr>
              <w:tabs>
                <w:tab w:val="left" w:pos="1260"/>
              </w:tabs>
              <w:spacing w:line="440" w:lineRule="exact"/>
              <w:jc w:val="center"/>
              <w:rPr>
                <w:rFonts w:hint="eastAsia" w:ascii="宋体" w:hAnsi="宋体" w:eastAsia="宋体" w:cs="宋体"/>
                <w:szCs w:val="21"/>
                <w:highlight w:val="none"/>
              </w:rPr>
            </w:pPr>
          </w:p>
        </w:tc>
        <w:tc>
          <w:tcPr>
            <w:tcW w:w="2007"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文件编号</w:t>
            </w:r>
          </w:p>
        </w:tc>
        <w:tc>
          <w:tcPr>
            <w:tcW w:w="6079" w:type="dxa"/>
            <w:gridSpan w:val="5"/>
          </w:tcPr>
          <w:p>
            <w:pPr>
              <w:tabs>
                <w:tab w:val="left" w:pos="1260"/>
              </w:tabs>
              <w:spacing w:line="440" w:lineRule="exact"/>
              <w:rPr>
                <w:rFonts w:hint="eastAsia" w:ascii="宋体" w:hAnsi="宋体" w:eastAsia="宋体" w:cs="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766" w:type="dxa"/>
            <w:vMerge w:val="continue"/>
            <w:vAlign w:val="center"/>
          </w:tcPr>
          <w:p>
            <w:pPr>
              <w:tabs>
                <w:tab w:val="left" w:pos="1260"/>
              </w:tabs>
              <w:spacing w:line="440" w:lineRule="exact"/>
              <w:jc w:val="center"/>
              <w:rPr>
                <w:rFonts w:hint="eastAsia" w:ascii="宋体" w:hAnsi="宋体" w:eastAsia="宋体" w:cs="宋体"/>
                <w:szCs w:val="21"/>
                <w:highlight w:val="none"/>
              </w:rPr>
            </w:pPr>
          </w:p>
        </w:tc>
        <w:tc>
          <w:tcPr>
            <w:tcW w:w="2007"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授权范围</w:t>
            </w:r>
          </w:p>
        </w:tc>
        <w:tc>
          <w:tcPr>
            <w:tcW w:w="6079" w:type="dxa"/>
            <w:gridSpan w:val="5"/>
            <w:vAlign w:val="center"/>
          </w:tcPr>
          <w:p>
            <w:pPr>
              <w:tabs>
                <w:tab w:val="left" w:pos="1260"/>
              </w:tabs>
              <w:spacing w:line="3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全权办理本招标采购项目的投标、联系、洽谈、签约、执行等具体事务，签署全部有关的文件、文书、协议及合同。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766" w:type="dxa"/>
            <w:vMerge w:val="continue"/>
            <w:vAlign w:val="center"/>
          </w:tcPr>
          <w:p>
            <w:pPr>
              <w:tabs>
                <w:tab w:val="left" w:pos="1260"/>
              </w:tabs>
              <w:spacing w:line="440" w:lineRule="exact"/>
              <w:jc w:val="center"/>
              <w:rPr>
                <w:rFonts w:hint="eastAsia" w:ascii="宋体" w:hAnsi="宋体" w:eastAsia="宋体" w:cs="宋体"/>
                <w:szCs w:val="21"/>
                <w:highlight w:val="none"/>
              </w:rPr>
            </w:pPr>
          </w:p>
        </w:tc>
        <w:tc>
          <w:tcPr>
            <w:tcW w:w="2007"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法律责任</w:t>
            </w:r>
          </w:p>
        </w:tc>
        <w:tc>
          <w:tcPr>
            <w:tcW w:w="6079" w:type="dxa"/>
            <w:gridSpan w:val="5"/>
            <w:vAlign w:val="center"/>
          </w:tcPr>
          <w:p>
            <w:pPr>
              <w:tabs>
                <w:tab w:val="left" w:pos="1260"/>
              </w:tabs>
              <w:spacing w:line="3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本公司对被授权人在本项目中的</w:t>
            </w:r>
            <w:r>
              <w:rPr>
                <w:rFonts w:hint="eastAsia" w:ascii="宋体" w:hAnsi="宋体" w:cs="宋体"/>
                <w:szCs w:val="21"/>
                <w:highlight w:val="none"/>
                <w:lang w:eastAsia="zh-CN"/>
              </w:rPr>
              <w:t>签字</w:t>
            </w:r>
            <w:r>
              <w:rPr>
                <w:rFonts w:hint="eastAsia" w:ascii="宋体" w:hAnsi="宋体" w:eastAsia="宋体" w:cs="宋体"/>
                <w:szCs w:val="21"/>
                <w:highlight w:val="none"/>
              </w:rPr>
              <w:t>承担全部法律责任。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jc w:val="center"/>
        </w:trPr>
        <w:tc>
          <w:tcPr>
            <w:tcW w:w="766" w:type="dxa"/>
            <w:vMerge w:val="continue"/>
            <w:vAlign w:val="center"/>
          </w:tcPr>
          <w:p>
            <w:pPr>
              <w:tabs>
                <w:tab w:val="left" w:pos="1260"/>
              </w:tabs>
              <w:spacing w:line="440" w:lineRule="exact"/>
              <w:jc w:val="center"/>
              <w:rPr>
                <w:rFonts w:hint="eastAsia" w:ascii="宋体" w:hAnsi="宋体" w:eastAsia="宋体" w:cs="宋体"/>
                <w:szCs w:val="21"/>
                <w:highlight w:val="none"/>
              </w:rPr>
            </w:pPr>
          </w:p>
        </w:tc>
        <w:tc>
          <w:tcPr>
            <w:tcW w:w="2007" w:type="dxa"/>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授权期限</w:t>
            </w:r>
          </w:p>
        </w:tc>
        <w:tc>
          <w:tcPr>
            <w:tcW w:w="6079" w:type="dxa"/>
            <w:gridSpan w:val="5"/>
            <w:vAlign w:val="center"/>
          </w:tcPr>
          <w:p>
            <w:pPr>
              <w:tabs>
                <w:tab w:val="left" w:pos="1260"/>
              </w:tabs>
              <w:spacing w:line="360" w:lineRule="exact"/>
              <w:ind w:firstLine="207" w:firstLineChars="98"/>
              <w:rPr>
                <w:rFonts w:hint="eastAsia" w:ascii="宋体" w:hAnsi="宋体" w:eastAsia="宋体" w:cs="宋体"/>
                <w:b/>
                <w:szCs w:val="21"/>
                <w:highlight w:val="none"/>
              </w:rPr>
            </w:pPr>
            <w:r>
              <w:rPr>
                <w:rFonts w:hint="eastAsia" w:ascii="宋体" w:hAnsi="宋体" w:eastAsia="宋体" w:cs="宋体"/>
                <w:b/>
                <w:szCs w:val="21"/>
                <w:highlight w:val="none"/>
              </w:rPr>
              <w:t>本授权书自开标大会之日计算有效期为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4326" w:type="dxa"/>
            <w:gridSpan w:val="4"/>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被授权人身份证复印件</w:t>
            </w:r>
          </w:p>
        </w:tc>
        <w:tc>
          <w:tcPr>
            <w:tcW w:w="4526" w:type="dxa"/>
            <w:gridSpan w:val="3"/>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法定代表人签署栏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66" w:hRule="atLeast"/>
          <w:jc w:val="center"/>
        </w:trPr>
        <w:tc>
          <w:tcPr>
            <w:tcW w:w="4326" w:type="dxa"/>
            <w:gridSpan w:val="4"/>
            <w:vMerge w:val="restart"/>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（粘贴处）</w:t>
            </w:r>
          </w:p>
        </w:tc>
        <w:tc>
          <w:tcPr>
            <w:tcW w:w="4526" w:type="dxa"/>
            <w:gridSpan w:val="3"/>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84" w:hRule="atLeast"/>
          <w:jc w:val="center"/>
        </w:trPr>
        <w:tc>
          <w:tcPr>
            <w:tcW w:w="4326" w:type="dxa"/>
            <w:gridSpan w:val="4"/>
            <w:vMerge w:val="continue"/>
            <w:vAlign w:val="center"/>
          </w:tcPr>
          <w:p>
            <w:pPr>
              <w:tabs>
                <w:tab w:val="left" w:pos="1260"/>
              </w:tabs>
              <w:spacing w:line="440" w:lineRule="exact"/>
              <w:rPr>
                <w:rFonts w:hint="eastAsia" w:ascii="宋体" w:hAnsi="宋体" w:eastAsia="宋体" w:cs="宋体"/>
                <w:szCs w:val="21"/>
                <w:highlight w:val="none"/>
              </w:rPr>
            </w:pPr>
          </w:p>
        </w:tc>
        <w:tc>
          <w:tcPr>
            <w:tcW w:w="4526" w:type="dxa"/>
            <w:gridSpan w:val="3"/>
            <w:vAlign w:val="center"/>
          </w:tcPr>
          <w:p>
            <w:pPr>
              <w:tabs>
                <w:tab w:val="left" w:pos="1260"/>
              </w:tabs>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（签字或</w:t>
            </w:r>
            <w:r>
              <w:rPr>
                <w:rFonts w:hint="eastAsia" w:ascii="宋体" w:hAnsi="宋体" w:cs="宋体"/>
                <w:szCs w:val="21"/>
                <w:highlight w:val="none"/>
                <w:lang w:eastAsia="zh-CN"/>
              </w:rPr>
              <w:t>盖章</w:t>
            </w:r>
            <w:r>
              <w:rPr>
                <w:rFonts w:hint="eastAsia" w:ascii="宋体" w:hAnsi="宋体" w:eastAsia="宋体" w:cs="宋体"/>
                <w:szCs w:val="21"/>
                <w:highlight w:val="none"/>
              </w:rPr>
              <w:t>）</w:t>
            </w:r>
          </w:p>
          <w:p>
            <w:pPr>
              <w:tabs>
                <w:tab w:val="left" w:pos="1260"/>
              </w:tabs>
              <w:spacing w:line="220" w:lineRule="exact"/>
              <w:jc w:val="center"/>
              <w:rPr>
                <w:rFonts w:hint="eastAsia" w:ascii="宋体" w:hAnsi="宋体" w:eastAsia="宋体" w:cs="宋体"/>
                <w:szCs w:val="21"/>
                <w:highlight w:val="none"/>
              </w:rPr>
            </w:pPr>
          </w:p>
          <w:p>
            <w:pPr>
              <w:tabs>
                <w:tab w:val="left" w:pos="1260"/>
              </w:tabs>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tc>
      </w:tr>
    </w:tbl>
    <w:p>
      <w:pPr>
        <w:spacing w:line="480" w:lineRule="exact"/>
        <w:rPr>
          <w:rFonts w:hint="eastAsia" w:ascii="宋体" w:hAnsi="宋体" w:eastAsia="宋体" w:cs="宋体"/>
          <w:b/>
          <w:szCs w:val="32"/>
          <w:highlight w:val="none"/>
        </w:rPr>
      </w:pPr>
      <w:r>
        <w:rPr>
          <w:rFonts w:hint="eastAsia" w:ascii="宋体" w:hAnsi="宋体" w:eastAsia="宋体" w:cs="宋体"/>
          <w:b/>
          <w:szCs w:val="32"/>
          <w:highlight w:val="none"/>
        </w:rPr>
        <w:t>重要提示：</w:t>
      </w:r>
    </w:p>
    <w:p>
      <w:pPr>
        <w:numPr>
          <w:ilvl w:val="0"/>
          <w:numId w:val="17"/>
        </w:numPr>
        <w:tabs>
          <w:tab w:val="left" w:pos="360"/>
        </w:tabs>
        <w:autoSpaceDE w:val="0"/>
        <w:autoSpaceDN w:val="0"/>
        <w:adjustRightInd w:val="0"/>
        <w:spacing w:line="400" w:lineRule="exact"/>
        <w:ind w:left="0" w:firstLine="268" w:firstLineChars="128"/>
        <w:rPr>
          <w:rFonts w:hint="eastAsia" w:ascii="宋体" w:hAnsi="宋体" w:eastAsia="宋体" w:cs="宋体"/>
          <w:highlight w:val="none"/>
        </w:rPr>
      </w:pPr>
      <w:r>
        <w:rPr>
          <w:rFonts w:hint="eastAsia" w:ascii="宋体" w:hAnsi="宋体" w:eastAsia="宋体" w:cs="宋体"/>
          <w:highlight w:val="none"/>
        </w:rPr>
        <w:t>非法定代表人投标的须有法定代表人授权，并要求响应文件</w:t>
      </w:r>
      <w:r>
        <w:rPr>
          <w:rFonts w:hint="eastAsia" w:ascii="宋体" w:hAnsi="宋体" w:eastAsia="宋体" w:cs="宋体"/>
          <w:bCs/>
          <w:highlight w:val="none"/>
        </w:rPr>
        <w:t>正本内装订授权书原件</w:t>
      </w:r>
      <w:r>
        <w:rPr>
          <w:rFonts w:hint="eastAsia" w:ascii="宋体" w:hAnsi="宋体" w:eastAsia="宋体" w:cs="宋体"/>
          <w:highlight w:val="none"/>
        </w:rPr>
        <w:t>，</w:t>
      </w:r>
      <w:r>
        <w:rPr>
          <w:rFonts w:hint="eastAsia" w:ascii="宋体" w:hAnsi="宋体" w:eastAsia="宋体" w:cs="宋体"/>
          <w:bCs/>
          <w:highlight w:val="none"/>
        </w:rPr>
        <w:t xml:space="preserve">否则作为符合性审查不合格处理，响应文件自动失效。 </w:t>
      </w:r>
    </w:p>
    <w:p>
      <w:pPr>
        <w:numPr>
          <w:ilvl w:val="0"/>
          <w:numId w:val="17"/>
        </w:numPr>
        <w:tabs>
          <w:tab w:val="left" w:pos="360"/>
        </w:tabs>
        <w:autoSpaceDE w:val="0"/>
        <w:autoSpaceDN w:val="0"/>
        <w:adjustRightInd w:val="0"/>
        <w:spacing w:line="400" w:lineRule="exact"/>
        <w:ind w:left="0" w:firstLine="268" w:firstLineChars="128"/>
        <w:rPr>
          <w:rFonts w:hint="eastAsia" w:ascii="宋体" w:hAnsi="宋体" w:eastAsia="宋体" w:cs="宋体"/>
          <w:highlight w:val="none"/>
        </w:rPr>
      </w:pPr>
      <w:r>
        <w:rPr>
          <w:rFonts w:hint="eastAsia" w:ascii="宋体" w:hAnsi="宋体" w:eastAsia="宋体" w:cs="宋体"/>
          <w:highlight w:val="none"/>
        </w:rPr>
        <w:t>本授权书有效期应自开标大会之日计算不得少于九十天。</w:t>
      </w:r>
    </w:p>
    <w:p>
      <w:pPr>
        <w:tabs>
          <w:tab w:val="left" w:pos="1260"/>
        </w:tabs>
        <w:spacing w:line="440" w:lineRule="exact"/>
        <w:rPr>
          <w:rFonts w:hint="eastAsia" w:ascii="宋体" w:hAnsi="宋体" w:eastAsia="宋体" w:cs="宋体"/>
          <w:b/>
          <w:bCs/>
          <w:sz w:val="36"/>
          <w:szCs w:val="44"/>
          <w:highlight w:val="none"/>
        </w:rPr>
      </w:pPr>
    </w:p>
    <w:p>
      <w:pPr>
        <w:tabs>
          <w:tab w:val="left" w:pos="1260"/>
        </w:tabs>
        <w:spacing w:line="440" w:lineRule="exact"/>
        <w:jc w:val="center"/>
        <w:rPr>
          <w:rFonts w:hint="eastAsia" w:ascii="宋体" w:hAnsi="宋体" w:eastAsia="宋体" w:cs="宋体"/>
          <w:b/>
          <w:bCs/>
          <w:sz w:val="36"/>
          <w:szCs w:val="44"/>
          <w:highlight w:val="none"/>
        </w:rPr>
      </w:pPr>
    </w:p>
    <w:p>
      <w:pPr>
        <w:tabs>
          <w:tab w:val="left" w:pos="1260"/>
        </w:tabs>
        <w:spacing w:line="440" w:lineRule="exact"/>
        <w:jc w:val="center"/>
        <w:rPr>
          <w:rFonts w:hint="eastAsia" w:ascii="宋体" w:hAnsi="宋体" w:eastAsia="宋体" w:cs="宋体"/>
          <w:b/>
          <w:bCs/>
          <w:sz w:val="36"/>
          <w:szCs w:val="44"/>
          <w:highlight w:val="none"/>
        </w:rPr>
      </w:pPr>
    </w:p>
    <w:p>
      <w:pPr>
        <w:tabs>
          <w:tab w:val="left" w:pos="1260"/>
        </w:tabs>
        <w:spacing w:line="440" w:lineRule="exact"/>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第2部分  投标函</w:t>
      </w:r>
    </w:p>
    <w:p>
      <w:pPr>
        <w:autoSpaceDE w:val="0"/>
        <w:autoSpaceDN w:val="0"/>
        <w:spacing w:line="360" w:lineRule="auto"/>
        <w:jc w:val="left"/>
        <w:rPr>
          <w:rFonts w:hint="eastAsia" w:ascii="宋体" w:hAnsi="宋体" w:eastAsia="宋体" w:cs="宋体"/>
          <w:snapToGrid w:val="0"/>
          <w:spacing w:val="8"/>
          <w:kern w:val="0"/>
          <w:sz w:val="24"/>
          <w:highlight w:val="none"/>
          <w:lang w:eastAsia="zh-CN"/>
        </w:rPr>
      </w:pPr>
      <w:r>
        <w:rPr>
          <w:rFonts w:hint="eastAsia" w:ascii="宋体" w:hAnsi="宋体" w:eastAsia="宋体" w:cs="宋体"/>
          <w:kern w:val="0"/>
          <w:sz w:val="24"/>
          <w:highlight w:val="none"/>
        </w:rPr>
        <w:t>致：</w:t>
      </w:r>
      <w:r>
        <w:rPr>
          <w:rFonts w:hint="eastAsia" w:ascii="宋体" w:hAnsi="宋体" w:cs="宋体"/>
          <w:snapToGrid w:val="0"/>
          <w:spacing w:val="8"/>
          <w:kern w:val="0"/>
          <w:sz w:val="24"/>
          <w:highlight w:val="none"/>
          <w:u w:val="single"/>
          <w:lang w:eastAsia="zh-CN"/>
        </w:rPr>
        <w:t>陕西巨和项目管理有限责任公司</w:t>
      </w:r>
    </w:p>
    <w:p>
      <w:pPr>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我们收到贵方</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磋商文件（采购编号</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），经详细研究，我们决定参加本项目的磋商。并授权</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（姓名、职务），全权代表我供应商提交下述文件正本壹份，副本贰份、电子版文件一份。并同时宣布愿意遵守下列条款：</w:t>
      </w:r>
    </w:p>
    <w:p>
      <w:pPr>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1)承认和愿意按照磋商文件中的各项规定和要求，提供本项目服务。磋商总报价：（大写）</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(小写¥</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元)，质量标准：</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w:t>
      </w:r>
      <w:r>
        <w:rPr>
          <w:rFonts w:hint="eastAsia" w:ascii="宋体" w:hAnsi="宋体" w:eastAsia="宋体" w:cs="宋体"/>
          <w:snapToGrid w:val="0"/>
          <w:spacing w:val="8"/>
          <w:kern w:val="0"/>
          <w:sz w:val="24"/>
          <w:highlight w:val="none"/>
          <w:lang w:eastAsia="zh-CN"/>
        </w:rPr>
        <w:t>服务期</w:t>
      </w:r>
      <w:r>
        <w:rPr>
          <w:rFonts w:hint="eastAsia" w:ascii="宋体" w:hAnsi="宋体" w:eastAsia="宋体" w:cs="宋体"/>
          <w:snapToGrid w:val="0"/>
          <w:spacing w:val="8"/>
          <w:kern w:val="0"/>
          <w:sz w:val="24"/>
          <w:highlight w:val="none"/>
        </w:rPr>
        <w:t>：自合同签订之日起</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w:t>
      </w:r>
    </w:p>
    <w:p>
      <w:pPr>
        <w:tabs>
          <w:tab w:val="left" w:pos="0"/>
        </w:tabs>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2)愿意按照《合同法》和《中华人民共和国政府采购法》、</w:t>
      </w:r>
      <w:r>
        <w:rPr>
          <w:rFonts w:hint="eastAsia" w:ascii="宋体" w:hAnsi="宋体" w:eastAsia="宋体" w:cs="宋体"/>
          <w:spacing w:val="8"/>
          <w:sz w:val="24"/>
          <w:highlight w:val="none"/>
        </w:rPr>
        <w:t>《政府采购磋商采购方式管理暂行办法》</w:t>
      </w:r>
      <w:r>
        <w:rPr>
          <w:rFonts w:hint="eastAsia" w:ascii="宋体" w:hAnsi="宋体" w:eastAsia="宋体" w:cs="宋体"/>
          <w:snapToGrid w:val="0"/>
          <w:spacing w:val="8"/>
          <w:kern w:val="0"/>
          <w:sz w:val="24"/>
          <w:highlight w:val="none"/>
        </w:rPr>
        <w:t>履行自己的责任和义务。</w:t>
      </w:r>
    </w:p>
    <w:p>
      <w:pPr>
        <w:tabs>
          <w:tab w:val="left" w:pos="0"/>
        </w:tabs>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3)如果我们磋商响应文件被接受，我们将履行磋商文件中规定的每一项要求，按期、按质、按量完成任务。</w:t>
      </w:r>
    </w:p>
    <w:p>
      <w:pPr>
        <w:tabs>
          <w:tab w:val="left" w:pos="0"/>
        </w:tabs>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4)我们愿意提供磋商人在磋商文件中要求的所有资料。</w:t>
      </w:r>
    </w:p>
    <w:p>
      <w:pPr>
        <w:tabs>
          <w:tab w:val="left" w:pos="0"/>
        </w:tabs>
        <w:spacing w:line="360" w:lineRule="auto"/>
        <w:ind w:firstLine="512" w:firstLineChars="200"/>
        <w:rPr>
          <w:rFonts w:hint="eastAsia" w:ascii="宋体" w:hAnsi="宋体" w:eastAsia="宋体" w:cs="宋体"/>
          <w:snapToGrid w:val="0"/>
          <w:spacing w:val="8"/>
          <w:kern w:val="0"/>
          <w:sz w:val="24"/>
          <w:highlight w:val="none"/>
        </w:rPr>
      </w:pPr>
      <w:r>
        <w:rPr>
          <w:rFonts w:hint="eastAsia" w:ascii="宋体" w:hAnsi="宋体" w:eastAsia="宋体" w:cs="宋体"/>
          <w:snapToGrid w:val="0"/>
          <w:spacing w:val="8"/>
          <w:kern w:val="0"/>
          <w:sz w:val="24"/>
          <w:highlight w:val="none"/>
        </w:rPr>
        <w:t>5)我们同意按磋商文件规定，交纳磋商保证金，遵守有关采购的各项规定。</w:t>
      </w:r>
    </w:p>
    <w:p>
      <w:pPr>
        <w:tabs>
          <w:tab w:val="left" w:pos="0"/>
        </w:tabs>
        <w:spacing w:line="360" w:lineRule="auto"/>
        <w:ind w:firstLine="512" w:firstLineChars="200"/>
        <w:rPr>
          <w:rFonts w:hint="eastAsia" w:ascii="宋体" w:hAnsi="宋体" w:eastAsia="宋体" w:cs="宋体"/>
          <w:bCs/>
          <w:sz w:val="24"/>
          <w:highlight w:val="none"/>
        </w:rPr>
      </w:pPr>
      <w:r>
        <w:rPr>
          <w:rFonts w:hint="eastAsia" w:ascii="宋体" w:hAnsi="宋体" w:eastAsia="宋体" w:cs="宋体"/>
          <w:snapToGrid w:val="0"/>
          <w:spacing w:val="8"/>
          <w:kern w:val="0"/>
          <w:sz w:val="24"/>
          <w:highlight w:val="none"/>
        </w:rPr>
        <w:t>6）磋商响应文件有效期：自磋商响应文件递交截止之日起</w:t>
      </w:r>
      <w:r>
        <w:rPr>
          <w:rFonts w:hint="eastAsia" w:ascii="宋体" w:hAnsi="宋体" w:eastAsia="宋体" w:cs="宋体"/>
          <w:snapToGrid w:val="0"/>
          <w:spacing w:val="8"/>
          <w:kern w:val="0"/>
          <w:sz w:val="24"/>
          <w:highlight w:val="none"/>
          <w:u w:val="single"/>
        </w:rPr>
        <w:t xml:space="preserve">   </w:t>
      </w:r>
      <w:r>
        <w:rPr>
          <w:rFonts w:hint="eastAsia" w:ascii="宋体" w:hAnsi="宋体" w:eastAsia="宋体" w:cs="宋体"/>
          <w:snapToGrid w:val="0"/>
          <w:spacing w:val="8"/>
          <w:kern w:val="0"/>
          <w:sz w:val="24"/>
          <w:highlight w:val="none"/>
        </w:rPr>
        <w:t>个日历天。</w:t>
      </w:r>
    </w:p>
    <w:p>
      <w:pPr>
        <w:pStyle w:val="26"/>
        <w:spacing w:line="276" w:lineRule="auto"/>
        <w:ind w:firstLine="480" w:firstLineChars="200"/>
        <w:rPr>
          <w:rFonts w:hint="eastAsia" w:ascii="宋体" w:hAnsi="宋体" w:eastAsia="宋体" w:cs="宋体"/>
          <w:bCs/>
          <w:sz w:val="24"/>
          <w:highlight w:val="none"/>
        </w:rPr>
      </w:pP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供应商名称：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（盖章）</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法定代表人或其被授权委托代理人：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cs="宋体"/>
          <w:bCs/>
          <w:sz w:val="24"/>
          <w:highlight w:val="none"/>
          <w:lang w:eastAsia="zh-CN"/>
        </w:rPr>
        <w:t>签字</w:t>
      </w:r>
      <w:r>
        <w:rPr>
          <w:rFonts w:hint="eastAsia" w:ascii="宋体" w:hAnsi="宋体" w:eastAsia="宋体" w:cs="宋体"/>
          <w:bCs/>
          <w:sz w:val="24"/>
          <w:highlight w:val="none"/>
        </w:rPr>
        <w:t>或</w:t>
      </w:r>
      <w:r>
        <w:rPr>
          <w:rFonts w:hint="eastAsia" w:ascii="宋体" w:hAnsi="宋体" w:cs="宋体"/>
          <w:bCs/>
          <w:sz w:val="24"/>
          <w:highlight w:val="none"/>
          <w:lang w:eastAsia="zh-CN"/>
        </w:rPr>
        <w:t>盖章</w:t>
      </w:r>
      <w:r>
        <w:rPr>
          <w:rFonts w:hint="eastAsia" w:ascii="宋体" w:hAnsi="宋体" w:eastAsia="宋体" w:cs="宋体"/>
          <w:bCs/>
          <w:sz w:val="24"/>
          <w:highlight w:val="none"/>
        </w:rPr>
        <w:t>）</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通讯地址：</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rPr>
        <w:t>邮政编码：</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联系电话：</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传    真：</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电子邮件：</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开户银行：</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帐    号：</w:t>
      </w:r>
      <w:r>
        <w:rPr>
          <w:rFonts w:hint="eastAsia" w:ascii="宋体" w:hAnsi="宋体" w:eastAsia="宋体" w:cs="宋体"/>
          <w:bCs/>
          <w:sz w:val="24"/>
          <w:highlight w:val="none"/>
          <w:u w:val="single"/>
        </w:rPr>
        <w:t xml:space="preserve">                                           </w:t>
      </w:r>
    </w:p>
    <w:p>
      <w:pPr>
        <w:pStyle w:val="26"/>
        <w:spacing w:line="32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    期：</w:t>
      </w:r>
      <w:r>
        <w:rPr>
          <w:rFonts w:hint="eastAsia" w:ascii="宋体" w:hAnsi="宋体" w:eastAsia="宋体" w:cs="宋体"/>
          <w:bCs/>
          <w:sz w:val="24"/>
          <w:highlight w:val="none"/>
          <w:u w:val="single"/>
        </w:rPr>
        <w:t xml:space="preserve">                                           </w:t>
      </w:r>
    </w:p>
    <w:p>
      <w:pPr>
        <w:tabs>
          <w:tab w:val="left" w:pos="1260"/>
        </w:tabs>
        <w:spacing w:line="360" w:lineRule="auto"/>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第3部分  开标一览表</w:t>
      </w:r>
    </w:p>
    <w:p>
      <w:pPr>
        <w:tabs>
          <w:tab w:val="left" w:pos="7920"/>
        </w:tabs>
        <w:spacing w:line="360" w:lineRule="auto"/>
        <w:jc w:val="center"/>
        <w:rPr>
          <w:rFonts w:hint="eastAsia" w:ascii="宋体" w:hAnsi="宋体" w:eastAsia="宋体" w:cs="宋体"/>
          <w:b/>
          <w:sz w:val="32"/>
          <w:szCs w:val="44"/>
          <w:highlight w:val="none"/>
        </w:rPr>
      </w:pPr>
      <w:r>
        <w:rPr>
          <w:rFonts w:hint="eastAsia" w:ascii="宋体" w:hAnsi="宋体" w:eastAsia="宋体" w:cs="宋体"/>
          <w:b/>
          <w:sz w:val="32"/>
          <w:szCs w:val="44"/>
          <w:highlight w:val="none"/>
        </w:rPr>
        <w:t>3.1磋商报价汇总表</w:t>
      </w:r>
    </w:p>
    <w:tbl>
      <w:tblPr>
        <w:tblStyle w:val="43"/>
        <w:tblpPr w:leftFromText="180" w:rightFromText="180" w:vertAnchor="text" w:horzAnchor="margin" w:tblpXSpec="center" w:tblpY="225"/>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65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4"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552" w:type="dxa"/>
            <w:vAlign w:val="center"/>
          </w:tcPr>
          <w:p>
            <w:pPr>
              <w:spacing w:line="360" w:lineRule="auto"/>
              <w:rPr>
                <w:rFonts w:hint="eastAsia" w:ascii="宋体" w:hAnsi="宋体" w:eastAsia="宋体" w:cs="宋体"/>
                <w:b/>
                <w:kern w:val="0"/>
                <w:szCs w:val="21"/>
                <w:highlight w:val="none"/>
              </w:rPr>
            </w:pPr>
            <w:r>
              <w:rPr>
                <w:rFonts w:hint="eastAsia" w:ascii="宋体" w:hAnsi="宋体" w:eastAsia="宋体" w:cs="宋体"/>
                <w:b/>
                <w:kern w:val="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2"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磋商总价</w:t>
            </w:r>
          </w:p>
        </w:tc>
        <w:tc>
          <w:tcPr>
            <w:tcW w:w="6552" w:type="dxa"/>
            <w:vAlign w:val="center"/>
          </w:tcPr>
          <w:p>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人民币（大写）：                          ￥：</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9" w:hRule="atLeast"/>
        </w:trPr>
        <w:tc>
          <w:tcPr>
            <w:tcW w:w="2376" w:type="dxa"/>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服务期</w:t>
            </w:r>
          </w:p>
        </w:tc>
        <w:tc>
          <w:tcPr>
            <w:tcW w:w="6552" w:type="dxa"/>
            <w:vAlign w:val="center"/>
          </w:tcPr>
          <w:p>
            <w:pPr>
              <w:spacing w:line="360" w:lineRule="auto"/>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3"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质量标准</w:t>
            </w:r>
          </w:p>
        </w:tc>
        <w:tc>
          <w:tcPr>
            <w:tcW w:w="6552" w:type="dxa"/>
            <w:vAlign w:val="center"/>
          </w:tcPr>
          <w:p>
            <w:pPr>
              <w:spacing w:line="360" w:lineRule="auto"/>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3" w:hRule="atLeast"/>
        </w:trPr>
        <w:tc>
          <w:tcPr>
            <w:tcW w:w="8928" w:type="dxa"/>
            <w:gridSpan w:val="2"/>
            <w:vAlign w:val="center"/>
          </w:tcPr>
          <w:p>
            <w:pPr>
              <w:spacing w:line="360" w:lineRule="auto"/>
              <w:rPr>
                <w:rFonts w:hint="eastAsia" w:ascii="宋体" w:hAnsi="宋体" w:eastAsia="宋体" w:cs="宋体"/>
                <w:szCs w:val="21"/>
                <w:highlight w:val="none"/>
              </w:rPr>
            </w:pPr>
            <w:r>
              <w:rPr>
                <w:rFonts w:hint="eastAsia" w:ascii="宋体" w:hAnsi="宋体" w:eastAsia="宋体" w:cs="宋体"/>
                <w:color w:val="0000FF"/>
                <w:szCs w:val="21"/>
                <w:highlight w:val="none"/>
              </w:rPr>
              <w:t>报价声明：磋商报价中已包含完成本项目所需的一切费用，即所需采购内容成果、现场踏勘、仪器设备使用、税金及其他所有施工图方案设计中费用的总和。在采购内容成果交付工作中出现的任何遗漏费用，均由成交供应商免费提供，采购人将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41" w:hRule="atLeast"/>
        </w:trPr>
        <w:tc>
          <w:tcPr>
            <w:tcW w:w="8928" w:type="dxa"/>
            <w:gridSpan w:val="2"/>
            <w:vAlign w:val="center"/>
          </w:tcPr>
          <w:p>
            <w:pPr>
              <w:adjustRightInd w:val="0"/>
              <w:snapToGrid w:val="0"/>
              <w:spacing w:line="7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lang w:val="en-US" w:eastAsia="zh-CN"/>
              </w:rPr>
              <w:t xml:space="preserve">           </w:t>
            </w:r>
          </w:p>
          <w:p>
            <w:pPr>
              <w:adjustRightInd w:val="0"/>
              <w:snapToGrid w:val="0"/>
              <w:spacing w:line="7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adjustRightInd w:val="0"/>
              <w:snapToGrid w:val="0"/>
              <w:spacing w:line="720" w:lineRule="auto"/>
              <w:jc w:val="right"/>
              <w:rPr>
                <w:rFonts w:hint="eastAsia" w:ascii="宋体" w:hAnsi="宋体" w:eastAsia="宋体" w:cs="宋体"/>
                <w:szCs w:val="21"/>
                <w:highlight w:val="none"/>
              </w:rPr>
            </w:pPr>
            <w:r>
              <w:rPr>
                <w:rFonts w:hint="eastAsia" w:ascii="宋体" w:hAnsi="宋体" w:eastAsia="宋体" w:cs="宋体"/>
                <w:color w:val="auto"/>
                <w:sz w:val="24"/>
                <w:highlight w:val="none"/>
              </w:rPr>
              <w:t>日  期：     年   月   日</w:t>
            </w:r>
          </w:p>
        </w:tc>
      </w:tr>
    </w:tbl>
    <w:p>
      <w:pPr>
        <w:bidi w:val="0"/>
        <w:rPr>
          <w:rFonts w:hint="eastAsia"/>
          <w:b/>
          <w:bCs/>
        </w:rPr>
      </w:pPr>
      <w:bookmarkStart w:id="96" w:name="_Toc31666"/>
      <w:bookmarkStart w:id="97" w:name="_Toc4760"/>
      <w:bookmarkStart w:id="98" w:name="_Toc9389"/>
      <w:bookmarkStart w:id="99" w:name="_Toc19859"/>
      <w:bookmarkStart w:id="100" w:name="_Toc1395"/>
      <w:r>
        <w:rPr>
          <w:rFonts w:hint="eastAsia"/>
          <w:b/>
          <w:bCs/>
        </w:rPr>
        <w:t>特别提示：</w:t>
      </w:r>
      <w:bookmarkEnd w:id="96"/>
      <w:bookmarkEnd w:id="97"/>
      <w:bookmarkEnd w:id="98"/>
      <w:bookmarkEnd w:id="99"/>
      <w:bookmarkEnd w:id="100"/>
    </w:p>
    <w:p>
      <w:pPr>
        <w:bidi w:val="0"/>
        <w:ind w:firstLine="420" w:firstLineChars="200"/>
        <w:rPr>
          <w:rFonts w:hint="eastAsia" w:ascii="宋体" w:hAnsi="宋体" w:eastAsia="宋体" w:cs="宋体"/>
          <w:highlight w:val="none"/>
        </w:rPr>
        <w:sectPr>
          <w:headerReference r:id="rId6" w:type="default"/>
          <w:footerReference r:id="rId7" w:type="default"/>
          <w:pgSz w:w="11906" w:h="16838"/>
          <w:pgMar w:top="1440" w:right="1080" w:bottom="1440" w:left="1080" w:header="851" w:footer="765" w:gutter="0"/>
          <w:pgNumType w:fmt="decimal"/>
          <w:cols w:space="720" w:num="1"/>
          <w:docGrid w:type="lines" w:linePitch="386" w:charSpace="0"/>
        </w:sectPr>
      </w:pPr>
      <w:bookmarkStart w:id="101" w:name="_Toc6167"/>
      <w:bookmarkStart w:id="102" w:name="_Toc12697"/>
      <w:bookmarkStart w:id="103" w:name="_Toc24873"/>
      <w:bookmarkStart w:id="104" w:name="_Toc17683"/>
      <w:bookmarkStart w:id="105" w:name="_Toc13214"/>
      <w:r>
        <w:rPr>
          <w:rFonts w:hint="eastAsia" w:ascii="宋体" w:hAnsi="宋体" w:eastAsia="宋体" w:cs="宋体"/>
          <w:highlight w:val="none"/>
        </w:rPr>
        <w:t>供应商除按要求编制、装订投标响应文件正、副本外，为便于唱标，还须提供本项目投标报价一览表（原件）及电子</w:t>
      </w:r>
      <w:r>
        <w:rPr>
          <w:rFonts w:hint="eastAsia" w:ascii="宋体" w:hAnsi="宋体" w:cs="宋体"/>
          <w:highlight w:val="none"/>
          <w:lang w:val="en-US" w:eastAsia="zh-CN"/>
        </w:rPr>
        <w:t>版</w:t>
      </w:r>
      <w:r>
        <w:rPr>
          <w:rFonts w:hint="eastAsia" w:ascii="宋体" w:hAnsi="宋体" w:eastAsia="宋体" w:cs="宋体"/>
          <w:highlight w:val="none"/>
        </w:rPr>
        <w:t>文档</w:t>
      </w:r>
      <w:r>
        <w:rPr>
          <w:rFonts w:hint="eastAsia" w:ascii="宋体" w:hAnsi="宋体" w:eastAsia="宋体" w:cs="宋体"/>
          <w:b/>
          <w:highlight w:val="none"/>
        </w:rPr>
        <w:t>（U盘或光盘-粘贴供应商名称）</w:t>
      </w:r>
      <w:r>
        <w:rPr>
          <w:rFonts w:hint="eastAsia" w:ascii="宋体" w:hAnsi="宋体" w:eastAsia="宋体" w:cs="宋体"/>
          <w:highlight w:val="none"/>
        </w:rPr>
        <w:t>，并进行单独封装密封，开标大会签到时，与投标响应文件一并递交。本表报价大小写不符的以大写为准。</w:t>
      </w:r>
      <w:bookmarkEnd w:id="101"/>
      <w:bookmarkEnd w:id="102"/>
      <w:r>
        <w:rPr>
          <w:rFonts w:hint="eastAsia" w:ascii="宋体" w:hAnsi="宋体" w:eastAsia="宋体" w:cs="宋体"/>
          <w:highlight w:val="none"/>
        </w:rPr>
        <w:t xml:space="preserve">     </w:t>
      </w:r>
      <w:bookmarkEnd w:id="103"/>
      <w:bookmarkEnd w:id="104"/>
      <w:bookmarkEnd w:id="105"/>
    </w:p>
    <w:p>
      <w:pPr>
        <w:spacing w:line="400" w:lineRule="exact"/>
        <w:outlineLvl w:val="9"/>
        <w:rPr>
          <w:rFonts w:hint="eastAsia" w:ascii="宋体" w:hAnsi="宋体" w:eastAsia="宋体" w:cs="宋体"/>
          <w:highlight w:val="none"/>
        </w:rPr>
      </w:pPr>
    </w:p>
    <w:p>
      <w:pPr>
        <w:pStyle w:val="156"/>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sz w:val="32"/>
          <w:szCs w:val="44"/>
          <w:highlight w:val="none"/>
        </w:rPr>
        <w:t>3.1.1、</w:t>
      </w:r>
      <w:r>
        <w:rPr>
          <w:rFonts w:hint="eastAsia" w:ascii="宋体" w:hAnsi="宋体" w:eastAsia="宋体" w:cs="宋体"/>
          <w:b/>
          <w:sz w:val="32"/>
          <w:szCs w:val="32"/>
          <w:highlight w:val="none"/>
        </w:rPr>
        <w:t>磋商报价</w:t>
      </w:r>
      <w:r>
        <w:rPr>
          <w:rFonts w:hint="eastAsia" w:ascii="宋体" w:hAnsi="宋体" w:eastAsia="宋体" w:cs="宋体"/>
          <w:b/>
          <w:bCs/>
          <w:color w:val="auto"/>
          <w:sz w:val="32"/>
          <w:szCs w:val="32"/>
          <w:highlight w:val="none"/>
        </w:rPr>
        <w:t>分项报价表</w:t>
      </w:r>
    </w:p>
    <w:p>
      <w:pPr>
        <w:adjustRightInd w:val="0"/>
        <w:snapToGrid w:val="0"/>
        <w:spacing w:after="156" w:afterLines="50" w:line="440" w:lineRule="exact"/>
        <w:ind w:firstLine="240" w:firstLineChars="1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tbl>
      <w:tblPr>
        <w:tblStyle w:val="43"/>
        <w:tblpPr w:leftFromText="180" w:rightFromText="180" w:vertAnchor="text" w:horzAnchor="page" w:tblpX="1313" w:tblpY="118"/>
        <w:tblOverlap w:val="never"/>
        <w:tblW w:w="139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803"/>
        <w:gridCol w:w="1411"/>
        <w:gridCol w:w="1209"/>
        <w:gridCol w:w="1858"/>
        <w:gridCol w:w="1366"/>
        <w:gridCol w:w="1746"/>
        <w:gridCol w:w="1903"/>
        <w:gridCol w:w="16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04"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序号</w:t>
            </w:r>
          </w:p>
        </w:tc>
        <w:tc>
          <w:tcPr>
            <w:tcW w:w="1803" w:type="dxa"/>
            <w:vAlign w:val="center"/>
          </w:tcPr>
          <w:p>
            <w:pPr>
              <w:adjustRightInd w:val="0"/>
              <w:snapToGrid w:val="0"/>
              <w:spacing w:line="360" w:lineRule="exact"/>
              <w:jc w:val="center"/>
              <w:rPr>
                <w:rFonts w:hint="eastAsia" w:ascii="楷体" w:hAnsi="楷体" w:eastAsia="楷体" w:cs="楷体"/>
                <w:b/>
                <w:color w:val="000000" w:themeColor="text1"/>
                <w:szCs w:val="21"/>
                <w:lang w:eastAsia="zh-CN"/>
                <w14:textFill>
                  <w14:solidFill>
                    <w14:schemeClr w14:val="tx1"/>
                  </w14:solidFill>
                </w14:textFill>
              </w:rPr>
            </w:pPr>
            <w:r>
              <w:rPr>
                <w:rFonts w:hint="eastAsia" w:ascii="楷体" w:hAnsi="楷体" w:eastAsia="楷体" w:cs="楷体"/>
                <w:b/>
                <w:color w:val="000000" w:themeColor="text1"/>
                <w:szCs w:val="21"/>
                <w:lang w:eastAsia="zh-CN"/>
                <w14:textFill>
                  <w14:solidFill>
                    <w14:schemeClr w14:val="tx1"/>
                  </w14:solidFill>
                </w14:textFill>
              </w:rPr>
              <w:t>产品</w:t>
            </w:r>
          </w:p>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名称</w:t>
            </w:r>
          </w:p>
        </w:tc>
        <w:tc>
          <w:tcPr>
            <w:tcW w:w="1411"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品牌</w:t>
            </w:r>
          </w:p>
        </w:tc>
        <w:tc>
          <w:tcPr>
            <w:tcW w:w="1209"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型号规格</w:t>
            </w:r>
          </w:p>
        </w:tc>
        <w:tc>
          <w:tcPr>
            <w:tcW w:w="1858"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制造商</w:t>
            </w:r>
          </w:p>
        </w:tc>
        <w:tc>
          <w:tcPr>
            <w:tcW w:w="1366"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数量/单位</w:t>
            </w:r>
          </w:p>
        </w:tc>
        <w:tc>
          <w:tcPr>
            <w:tcW w:w="1746"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单价（元）</w:t>
            </w:r>
          </w:p>
        </w:tc>
        <w:tc>
          <w:tcPr>
            <w:tcW w:w="1903" w:type="dxa"/>
            <w:vAlign w:val="center"/>
          </w:tcPr>
          <w:p>
            <w:pPr>
              <w:adjustRightInd w:val="0"/>
              <w:snapToGrid w:val="0"/>
              <w:spacing w:line="360" w:lineRule="exact"/>
              <w:jc w:val="center"/>
              <w:rPr>
                <w:rFonts w:hint="eastAsia" w:ascii="楷体" w:hAnsi="楷体" w:eastAsia="楷体" w:cs="楷体"/>
                <w:b/>
                <w:color w:val="000000" w:themeColor="text1"/>
                <w:szCs w:val="21"/>
                <w14:textFill>
                  <w14:solidFill>
                    <w14:schemeClr w14:val="tx1"/>
                  </w14:solidFill>
                </w14:textFill>
              </w:rPr>
            </w:pPr>
            <w:r>
              <w:rPr>
                <w:rFonts w:hint="eastAsia" w:ascii="楷体" w:hAnsi="楷体" w:eastAsia="楷体" w:cs="楷体"/>
                <w:b/>
                <w:color w:val="000000" w:themeColor="text1"/>
                <w:szCs w:val="21"/>
                <w14:textFill>
                  <w14:solidFill>
                    <w14:schemeClr w14:val="tx1"/>
                  </w14:solidFill>
                </w14:textFill>
              </w:rPr>
              <w:t>小计（元）</w:t>
            </w:r>
          </w:p>
        </w:tc>
        <w:tc>
          <w:tcPr>
            <w:tcW w:w="1634" w:type="dxa"/>
            <w:vAlign w:val="center"/>
          </w:tcPr>
          <w:p>
            <w:pPr>
              <w:adjustRightInd w:val="0"/>
              <w:snapToGrid w:val="0"/>
              <w:spacing w:line="360" w:lineRule="exact"/>
              <w:jc w:val="both"/>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14:textFill>
                  <w14:solidFill>
                    <w14:schemeClr w14:val="tx1"/>
                  </w14:solidFill>
                </w14:textFill>
              </w:rPr>
              <w:t>小微企业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2</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3</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4</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5</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6</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7</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8</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9</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10</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11</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w:t>
            </w:r>
          </w:p>
        </w:tc>
        <w:tc>
          <w:tcPr>
            <w:tcW w:w="18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411"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209"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858"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366" w:type="dxa"/>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746"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903"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c>
          <w:tcPr>
            <w:tcW w:w="1634" w:type="dxa"/>
            <w:vAlign w:val="center"/>
          </w:tcPr>
          <w:p>
            <w:pPr>
              <w:adjustRightInd w:val="0"/>
              <w:snapToGrid w:val="0"/>
              <w:spacing w:line="360" w:lineRule="auto"/>
              <w:jc w:val="center"/>
              <w:rPr>
                <w:rFonts w:hint="eastAsia" w:ascii="楷体" w:hAnsi="楷体" w:eastAsia="楷体" w:cs="楷体"/>
                <w:color w:val="000000" w:themeColor="text1"/>
                <w:szCs w:val="21"/>
                <w14:textFill>
                  <w14:solidFill>
                    <w14:schemeClr w14:val="tx1"/>
                  </w14:solidFill>
                </w14:textFill>
              </w:rPr>
            </w:pPr>
          </w:p>
        </w:tc>
      </w:tr>
    </w:tbl>
    <w:p>
      <w:pPr>
        <w:pStyle w:val="2"/>
        <w:rPr>
          <w:rFonts w:hint="eastAsia"/>
          <w:lang w:val="en-US"/>
        </w:rPr>
      </w:pPr>
    </w:p>
    <w:p>
      <w:pPr>
        <w:adjustRightInd w:val="0"/>
        <w:snapToGrid w:val="0"/>
        <w:spacing w:beforeLines="50" w:line="360" w:lineRule="auto"/>
        <w:ind w:left="-88" w:leftChars="-42" w:firstLine="240" w:firstLineChars="100"/>
        <w:rPr>
          <w:rFonts w:hint="eastAsia" w:ascii="宋体" w:hAnsi="宋体" w:eastAsia="宋体" w:cs="宋体"/>
          <w:color w:val="auto"/>
          <w:sz w:val="24"/>
          <w:highlight w:val="none"/>
        </w:rPr>
      </w:pPr>
      <w:bookmarkStart w:id="106" w:name="_Toc276603228"/>
      <w:bookmarkStart w:id="107" w:name="_Toc277167536"/>
      <w:bookmarkStart w:id="108" w:name="_Toc277167810"/>
      <w:bookmarkStart w:id="109" w:name="_Toc277167059"/>
    </w:p>
    <w:p>
      <w:pPr>
        <w:adjustRightInd w:val="0"/>
        <w:snapToGrid w:val="0"/>
        <w:spacing w:beforeLines="50" w:line="360" w:lineRule="auto"/>
        <w:ind w:left="-88" w:leftChars="-42"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说明： </w:t>
      </w:r>
    </w:p>
    <w:p>
      <w:pPr>
        <w:adjustRightInd w:val="0"/>
        <w:snapToGrid w:val="0"/>
        <w:spacing w:line="360" w:lineRule="auto"/>
        <w:ind w:left="-88" w:leftChars="-4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分项报价表可自拟格式也可</w:t>
      </w:r>
      <w:r>
        <w:rPr>
          <w:rFonts w:hint="eastAsia" w:ascii="宋体" w:hAnsi="宋体" w:eastAsia="宋体" w:cs="宋体"/>
          <w:color w:val="auto"/>
          <w:sz w:val="24"/>
          <w:highlight w:val="none"/>
        </w:rPr>
        <w:t>按本</w:t>
      </w:r>
      <w:r>
        <w:rPr>
          <w:rFonts w:hint="eastAsia" w:ascii="宋体" w:hAnsi="宋体" w:eastAsia="宋体" w:cs="宋体"/>
          <w:bCs/>
          <w:color w:val="auto"/>
          <w:sz w:val="24"/>
          <w:highlight w:val="none"/>
        </w:rPr>
        <w:t>表的格式</w:t>
      </w:r>
      <w:r>
        <w:rPr>
          <w:rFonts w:hint="eastAsia" w:ascii="宋体" w:hAnsi="宋体" w:eastAsia="宋体" w:cs="宋体"/>
          <w:color w:val="auto"/>
          <w:sz w:val="24"/>
          <w:highlight w:val="none"/>
        </w:rPr>
        <w:t>详细报出</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总价的各个组成部分的报价，否则作无效响应文件处理处理；报价精确到小数点后两位；</w:t>
      </w:r>
    </w:p>
    <w:p>
      <w:pPr>
        <w:adjustRightInd w:val="0"/>
        <w:snapToGrid w:val="0"/>
        <w:spacing w:line="360" w:lineRule="auto"/>
        <w:ind w:left="-88" w:leftChars="-42"/>
        <w:rPr>
          <w:rFonts w:hint="eastAsia" w:ascii="宋体" w:hAnsi="宋体" w:eastAsia="宋体" w:cs="宋体"/>
          <w:color w:val="auto"/>
          <w:sz w:val="24"/>
          <w:highlight w:val="none"/>
        </w:rPr>
      </w:pPr>
      <w:r>
        <w:rPr>
          <w:rFonts w:hint="eastAsia" w:ascii="宋体" w:hAnsi="宋体" w:eastAsia="宋体" w:cs="宋体"/>
          <w:color w:val="auto"/>
          <w:sz w:val="24"/>
          <w:highlight w:val="none"/>
        </w:rPr>
        <w:t>2.本</w:t>
      </w:r>
      <w:r>
        <w:rPr>
          <w:rFonts w:hint="eastAsia" w:ascii="宋体" w:hAnsi="宋体" w:eastAsia="宋体" w:cs="宋体"/>
          <w:bCs/>
          <w:color w:val="auto"/>
          <w:sz w:val="24"/>
          <w:highlight w:val="none"/>
        </w:rPr>
        <w:t>表各分项报价合计应当与“</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报价一览表”总报价相等；</w:t>
      </w:r>
      <w:r>
        <w:rPr>
          <w:rFonts w:hint="eastAsia" w:ascii="宋体" w:hAnsi="宋体" w:eastAsia="宋体" w:cs="宋体"/>
          <w:color w:val="auto"/>
          <w:sz w:val="24"/>
          <w:highlight w:val="none"/>
        </w:rPr>
        <w:t>如果按单价计算的结果与报价不一致时，以单价为准修正报价与合计报价；</w:t>
      </w:r>
    </w:p>
    <w:p>
      <w:pPr>
        <w:adjustRightInd w:val="0"/>
        <w:snapToGrid w:val="0"/>
        <w:spacing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adjustRightInd w:val="0"/>
        <w:snapToGrid w:val="0"/>
        <w:spacing w:line="6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adjustRightInd w:val="0"/>
        <w:snapToGrid w:val="0"/>
        <w:spacing w:after="156" w:afterLines="50" w:line="440" w:lineRule="exact"/>
        <w:ind w:firstLine="240" w:firstLineChars="100"/>
        <w:rPr>
          <w:rFonts w:hint="eastAsia" w:ascii="宋体" w:hAnsi="宋体" w:eastAsia="宋体" w:cs="宋体"/>
          <w:color w:val="auto"/>
          <w:sz w:val="24"/>
          <w:highlight w:val="none"/>
        </w:rPr>
        <w:sectPr>
          <w:headerReference r:id="rId8" w:type="default"/>
          <w:footerReference r:id="rId9" w:type="default"/>
          <w:pgSz w:w="16838" w:h="11906" w:orient="landscape"/>
          <w:pgMar w:top="1417" w:right="1417" w:bottom="1417" w:left="1417" w:header="851" w:footer="1021" w:gutter="0"/>
          <w:pgBorders>
            <w:top w:val="none" w:sz="0" w:space="0"/>
            <w:left w:val="none" w:sz="0" w:space="0"/>
            <w:bottom w:val="none" w:sz="0" w:space="0"/>
            <w:right w:val="none" w:sz="0" w:space="0"/>
          </w:pgBorders>
          <w:pgNumType w:fmt="decimal"/>
          <w:cols w:space="720" w:num="1"/>
          <w:docGrid w:type="lines" w:linePitch="312" w:charSpace="0"/>
        </w:sectPr>
      </w:pPr>
    </w:p>
    <w:bookmarkEnd w:id="106"/>
    <w:bookmarkEnd w:id="107"/>
    <w:bookmarkEnd w:id="108"/>
    <w:bookmarkEnd w:id="109"/>
    <w:p>
      <w:pPr>
        <w:tabs>
          <w:tab w:val="left" w:pos="7920"/>
        </w:tabs>
        <w:spacing w:line="360" w:lineRule="auto"/>
        <w:jc w:val="center"/>
        <w:rPr>
          <w:rFonts w:hint="eastAsia" w:ascii="宋体" w:hAnsi="宋体" w:eastAsia="宋体" w:cs="宋体"/>
          <w:b/>
          <w:sz w:val="32"/>
          <w:szCs w:val="44"/>
          <w:highlight w:val="none"/>
        </w:rPr>
      </w:pPr>
      <w:r>
        <w:rPr>
          <w:rFonts w:hint="eastAsia" w:ascii="宋体" w:hAnsi="宋体" w:cs="宋体"/>
          <w:b/>
          <w:sz w:val="32"/>
          <w:szCs w:val="44"/>
          <w:highlight w:val="none"/>
          <w:lang w:val="en-US" w:eastAsia="zh-CN"/>
        </w:rPr>
        <w:t>最后</w:t>
      </w:r>
      <w:r>
        <w:rPr>
          <w:rFonts w:hint="eastAsia" w:ascii="宋体" w:hAnsi="宋体" w:eastAsia="宋体" w:cs="宋体"/>
          <w:b/>
          <w:sz w:val="32"/>
          <w:szCs w:val="44"/>
          <w:highlight w:val="none"/>
        </w:rPr>
        <w:t>磋商报价汇总表</w:t>
      </w:r>
    </w:p>
    <w:tbl>
      <w:tblPr>
        <w:tblStyle w:val="43"/>
        <w:tblpPr w:leftFromText="180" w:rightFromText="180" w:vertAnchor="text" w:horzAnchor="margin" w:tblpXSpec="center" w:tblpY="225"/>
        <w:tblW w:w="89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76"/>
        <w:gridCol w:w="65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4"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552" w:type="dxa"/>
            <w:vAlign w:val="center"/>
          </w:tcPr>
          <w:p>
            <w:pPr>
              <w:spacing w:line="360" w:lineRule="auto"/>
              <w:rPr>
                <w:rFonts w:hint="eastAsia" w:ascii="宋体" w:hAnsi="宋体" w:eastAsia="宋体" w:cs="宋体"/>
                <w:b/>
                <w:kern w:val="0"/>
                <w:szCs w:val="21"/>
                <w:highlight w:val="none"/>
              </w:rPr>
            </w:pPr>
            <w:r>
              <w:rPr>
                <w:rFonts w:hint="eastAsia" w:ascii="宋体" w:hAnsi="宋体" w:eastAsia="宋体" w:cs="宋体"/>
                <w:b/>
                <w:kern w:val="0"/>
                <w:szCs w:val="21"/>
                <w:highlight w:val="none"/>
              </w:rPr>
              <w:t xml:space="preserve">            </w:t>
            </w:r>
            <w:bookmarkStart w:id="111" w:name="_GoBack"/>
            <w:bookmarkEnd w:id="1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2"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磋商总价</w:t>
            </w:r>
          </w:p>
        </w:tc>
        <w:tc>
          <w:tcPr>
            <w:tcW w:w="6552" w:type="dxa"/>
            <w:vAlign w:val="center"/>
          </w:tcPr>
          <w:p>
            <w:pPr>
              <w:spacing w:line="360" w:lineRule="auto"/>
              <w:rPr>
                <w:rFonts w:hint="eastAsia" w:ascii="宋体" w:hAnsi="宋体" w:eastAsia="宋体" w:cs="宋体"/>
                <w:bCs/>
                <w:szCs w:val="21"/>
                <w:highlight w:val="none"/>
              </w:rPr>
            </w:pPr>
            <w:r>
              <w:rPr>
                <w:rFonts w:hint="eastAsia" w:ascii="宋体" w:hAnsi="宋体" w:eastAsia="宋体" w:cs="宋体"/>
                <w:bCs/>
                <w:szCs w:val="21"/>
                <w:highlight w:val="none"/>
              </w:rPr>
              <w:t>人民币（大写）：                          ￥：</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9" w:hRule="atLeast"/>
        </w:trPr>
        <w:tc>
          <w:tcPr>
            <w:tcW w:w="2376" w:type="dxa"/>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服务期</w:t>
            </w:r>
          </w:p>
        </w:tc>
        <w:tc>
          <w:tcPr>
            <w:tcW w:w="6552" w:type="dxa"/>
            <w:vAlign w:val="center"/>
          </w:tcPr>
          <w:p>
            <w:pPr>
              <w:spacing w:line="360" w:lineRule="auto"/>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3" w:hRule="atLeast"/>
        </w:trPr>
        <w:tc>
          <w:tcPr>
            <w:tcW w:w="2376"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质量标准</w:t>
            </w:r>
          </w:p>
        </w:tc>
        <w:tc>
          <w:tcPr>
            <w:tcW w:w="6552" w:type="dxa"/>
            <w:vAlign w:val="center"/>
          </w:tcPr>
          <w:p>
            <w:pPr>
              <w:spacing w:line="360" w:lineRule="auto"/>
              <w:rPr>
                <w:rFonts w:hint="eastAsia" w:ascii="宋体" w:hAnsi="宋体" w:eastAsia="宋体" w:cs="宋体"/>
                <w:b/>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3" w:hRule="atLeast"/>
        </w:trPr>
        <w:tc>
          <w:tcPr>
            <w:tcW w:w="8928" w:type="dxa"/>
            <w:gridSpan w:val="2"/>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报价声明：磋商报价中已包含完成本项目所需的一切费用，即所需采购内容成果、现场踏勘、仪器设备使用、税金及其他所有施工图方案设计中</w:t>
            </w:r>
            <w:r>
              <w:rPr>
                <w:rFonts w:hint="eastAsia" w:ascii="宋体" w:hAnsi="宋体" w:cs="宋体"/>
                <w:szCs w:val="21"/>
                <w:highlight w:val="none"/>
                <w:lang w:val="en-US" w:eastAsia="zh-CN"/>
              </w:rPr>
              <w:t>等</w:t>
            </w:r>
            <w:r>
              <w:rPr>
                <w:rFonts w:hint="eastAsia" w:ascii="宋体" w:hAnsi="宋体" w:eastAsia="宋体" w:cs="宋体"/>
                <w:szCs w:val="21"/>
                <w:highlight w:val="none"/>
              </w:rPr>
              <w:t>费用的总和。在采购内容成果交付工作中出现的任何遗漏费用，均由成交供应商免费提供，采购人将不再支付任何费用。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41" w:hRule="atLeast"/>
        </w:trPr>
        <w:tc>
          <w:tcPr>
            <w:tcW w:w="8928" w:type="dxa"/>
            <w:gridSpan w:val="2"/>
            <w:vAlign w:val="center"/>
          </w:tcPr>
          <w:p>
            <w:pPr>
              <w:adjustRightInd w:val="0"/>
              <w:snapToGrid w:val="0"/>
              <w:spacing w:line="7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lang w:val="en-US" w:eastAsia="zh-CN"/>
              </w:rPr>
              <w:t xml:space="preserve">           </w:t>
            </w:r>
          </w:p>
          <w:p>
            <w:pPr>
              <w:adjustRightInd w:val="0"/>
              <w:snapToGrid w:val="0"/>
              <w:spacing w:line="7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p>
          <w:p>
            <w:pPr>
              <w:adjustRightInd w:val="0"/>
              <w:snapToGrid w:val="0"/>
              <w:spacing w:line="720" w:lineRule="auto"/>
              <w:jc w:val="right"/>
              <w:rPr>
                <w:rFonts w:hint="eastAsia" w:ascii="宋体" w:hAnsi="宋体" w:eastAsia="宋体" w:cs="宋体"/>
                <w:szCs w:val="21"/>
                <w:highlight w:val="none"/>
              </w:rPr>
            </w:pPr>
            <w:r>
              <w:rPr>
                <w:rFonts w:hint="eastAsia" w:ascii="宋体" w:hAnsi="宋体" w:eastAsia="宋体" w:cs="宋体"/>
                <w:color w:val="auto"/>
                <w:sz w:val="24"/>
                <w:highlight w:val="none"/>
              </w:rPr>
              <w:t>日  期：     年   月   日</w:t>
            </w:r>
          </w:p>
        </w:tc>
      </w:tr>
    </w:tbl>
    <w:p>
      <w:pPr>
        <w:bidi w:val="0"/>
        <w:rPr>
          <w:rFonts w:hint="eastAsia"/>
          <w:b/>
          <w:bCs/>
        </w:rPr>
      </w:pPr>
      <w:r>
        <w:rPr>
          <w:rFonts w:hint="eastAsia"/>
          <w:b/>
          <w:bCs/>
        </w:rPr>
        <w:t>特别提示：</w:t>
      </w:r>
    </w:p>
    <w:p>
      <w:pPr>
        <w:keepNext w:val="0"/>
        <w:keepLines w:val="0"/>
        <w:widowControl/>
        <w:suppressLineNumbers w:val="0"/>
        <w:ind w:firstLine="660" w:firstLineChars="300"/>
        <w:jc w:val="left"/>
      </w:pPr>
      <w:r>
        <w:rPr>
          <w:rFonts w:ascii="华文中宋" w:hAnsi="华文中宋" w:eastAsia="华文中宋" w:cs="华文中宋"/>
          <w:color w:val="000000"/>
          <w:kern w:val="0"/>
          <w:sz w:val="22"/>
          <w:szCs w:val="22"/>
          <w:lang w:val="en-US" w:eastAsia="zh-CN" w:bidi="ar"/>
        </w:rPr>
        <w:t>请供应商自备表格并加盖公章，最终报价环节现场提交。</w:t>
      </w:r>
    </w:p>
    <w:p>
      <w:pPr>
        <w:bidi w:val="0"/>
        <w:ind w:firstLine="420" w:firstLineChars="200"/>
        <w:rPr>
          <w:rFonts w:hint="eastAsia" w:ascii="宋体" w:hAnsi="宋体" w:eastAsia="宋体" w:cs="宋体"/>
          <w:highlight w:val="none"/>
        </w:rPr>
        <w:sectPr>
          <w:headerReference r:id="rId10" w:type="default"/>
          <w:footerReference r:id="rId11" w:type="default"/>
          <w:pgSz w:w="11906" w:h="16838"/>
          <w:pgMar w:top="1440" w:right="1080" w:bottom="1440" w:left="1080" w:header="851" w:footer="765" w:gutter="0"/>
          <w:pgNumType w:fmt="decimal"/>
          <w:cols w:space="720" w:num="1"/>
          <w:docGrid w:type="lines" w:linePitch="386" w:charSpace="0"/>
        </w:sectPr>
      </w:pPr>
      <w:r>
        <w:rPr>
          <w:rFonts w:hint="eastAsia" w:ascii="宋体" w:hAnsi="宋体" w:eastAsia="宋体" w:cs="宋体"/>
          <w:highlight w:val="none"/>
        </w:rPr>
        <w:t xml:space="preserve">   </w:t>
      </w:r>
    </w:p>
    <w:p>
      <w:pPr>
        <w:snapToGrid w:val="0"/>
        <w:jc w:val="center"/>
        <w:rPr>
          <w:rFonts w:hint="eastAsia" w:ascii="宋体" w:hAnsi="宋体" w:eastAsia="宋体" w:cs="宋体"/>
          <w:b/>
          <w:sz w:val="32"/>
          <w:highlight w:val="none"/>
        </w:rPr>
      </w:pPr>
      <w:r>
        <w:rPr>
          <w:rFonts w:hint="eastAsia" w:ascii="宋体" w:hAnsi="宋体" w:eastAsia="宋体" w:cs="宋体"/>
          <w:b/>
          <w:sz w:val="32"/>
          <w:highlight w:val="none"/>
        </w:rPr>
        <w:t>3.2、供应商符合《政府采购法》第二十二条规定条件的承诺函</w:t>
      </w:r>
    </w:p>
    <w:p>
      <w:pPr>
        <w:snapToGrid w:val="0"/>
        <w:rPr>
          <w:rFonts w:hint="eastAsia" w:ascii="宋体" w:hAnsi="宋体" w:eastAsia="宋体" w:cs="宋体"/>
          <w:highlight w:val="none"/>
        </w:rPr>
      </w:pPr>
    </w:p>
    <w:p>
      <w:pPr>
        <w:snapToGrid w:val="0"/>
        <w:spacing w:line="360" w:lineRule="auto"/>
        <w:rPr>
          <w:rFonts w:hint="eastAsia" w:ascii="宋体" w:hAnsi="宋体" w:eastAsia="宋体" w:cs="宋体"/>
          <w:highlight w:val="none"/>
        </w:rPr>
      </w:pPr>
    </w:p>
    <w:p>
      <w:pPr>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cs="宋体"/>
          <w:bCs/>
          <w:sz w:val="24"/>
          <w:highlight w:val="none"/>
          <w:u w:val="single"/>
          <w:lang w:eastAsia="zh-CN"/>
        </w:rPr>
        <w:t>陕西巨和项目管理有限责任公司</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（公司名称）参加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（项目名称）的投标活动，现承诺：</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我公司满足政府采购法第二十二条关于供应商的资格要求：</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（一）具有独立承担民事责任的能力；</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（五）参加政府采购活动前三年内，在经营活动中没有重大违法记录； </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同时也满足本项目法律法规规章规定关于供应商的其他资格性条件，未参与本采购项目前期咨询论证，不属于禁止参加投标的供应商。</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如违反以上承诺，本公司愿承担一切法律责任。</w:t>
      </w:r>
    </w:p>
    <w:p>
      <w:pPr>
        <w:snapToGrid w:val="0"/>
        <w:spacing w:after="120" w:line="360" w:lineRule="auto"/>
        <w:ind w:left="420" w:leftChars="200"/>
        <w:rPr>
          <w:rFonts w:hint="eastAsia" w:ascii="宋体" w:hAnsi="宋体" w:eastAsia="宋体" w:cs="宋体"/>
          <w:sz w:val="24"/>
          <w:highlight w:val="none"/>
        </w:rPr>
      </w:pPr>
    </w:p>
    <w:p>
      <w:pPr>
        <w:snapToGrid w:val="0"/>
        <w:spacing w:line="360" w:lineRule="auto"/>
        <w:ind w:firstLine="960" w:firstLineChars="400"/>
        <w:rPr>
          <w:rFonts w:hint="eastAsia" w:ascii="宋体" w:hAnsi="宋体" w:eastAsia="宋体" w:cs="宋体"/>
          <w:sz w:val="24"/>
          <w:highlight w:val="none"/>
        </w:rPr>
      </w:pPr>
    </w:p>
    <w:p>
      <w:pPr>
        <w:spacing w:line="360" w:lineRule="auto"/>
        <w:ind w:right="-60"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(盖单位公章)</w:t>
      </w:r>
    </w:p>
    <w:p>
      <w:pPr>
        <w:spacing w:line="360" w:lineRule="auto"/>
        <w:ind w:right="-60"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法定代表人：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（签</w:t>
      </w:r>
      <w:r>
        <w:rPr>
          <w:rFonts w:hint="eastAsia" w:ascii="宋体" w:hAnsi="宋体" w:cs="宋体"/>
          <w:bCs/>
          <w:sz w:val="24"/>
          <w:highlight w:val="none"/>
          <w:lang w:eastAsia="zh-CN"/>
        </w:rPr>
        <w:t>字</w:t>
      </w:r>
      <w:r>
        <w:rPr>
          <w:rFonts w:hint="eastAsia" w:ascii="宋体" w:hAnsi="宋体" w:eastAsia="宋体" w:cs="宋体"/>
          <w:bCs/>
          <w:sz w:val="24"/>
          <w:highlight w:val="none"/>
        </w:rPr>
        <w:t>或</w:t>
      </w:r>
      <w:r>
        <w:rPr>
          <w:rFonts w:hint="eastAsia" w:ascii="宋体" w:hAnsi="宋体" w:cs="宋体"/>
          <w:bCs/>
          <w:sz w:val="24"/>
          <w:highlight w:val="none"/>
          <w:lang w:eastAsia="zh-CN"/>
        </w:rPr>
        <w:t>盖章</w:t>
      </w:r>
      <w:r>
        <w:rPr>
          <w:rFonts w:hint="eastAsia" w:ascii="宋体" w:hAnsi="宋体" w:eastAsia="宋体" w:cs="宋体"/>
          <w:bCs/>
          <w:sz w:val="24"/>
          <w:highlight w:val="none"/>
        </w:rPr>
        <w:t>）</w:t>
      </w:r>
    </w:p>
    <w:p>
      <w:pPr>
        <w:spacing w:line="360" w:lineRule="auto"/>
        <w:ind w:right="-60"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日      期：</w:t>
      </w:r>
    </w:p>
    <w:p>
      <w:pPr>
        <w:snapToGrid w:val="0"/>
        <w:spacing w:line="360" w:lineRule="auto"/>
        <w:rPr>
          <w:rFonts w:hint="eastAsia" w:ascii="宋体" w:hAnsi="宋体" w:eastAsia="宋体" w:cs="宋体"/>
          <w:sz w:val="24"/>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highlight w:val="none"/>
        </w:rPr>
      </w:pPr>
    </w:p>
    <w:p>
      <w:pPr>
        <w:snapToGrid w:val="0"/>
        <w:rPr>
          <w:rFonts w:hint="eastAsia" w:ascii="宋体" w:hAnsi="宋体" w:eastAsia="宋体" w:cs="宋体"/>
          <w:b/>
          <w:sz w:val="32"/>
          <w:highlight w:val="none"/>
        </w:rPr>
      </w:pPr>
    </w:p>
    <w:p>
      <w:pPr>
        <w:snapToGrid w:val="0"/>
        <w:jc w:val="center"/>
        <w:rPr>
          <w:rFonts w:hint="eastAsia" w:ascii="宋体" w:hAnsi="宋体" w:eastAsia="宋体" w:cs="宋体"/>
          <w:b/>
          <w:sz w:val="32"/>
          <w:highlight w:val="none"/>
        </w:rPr>
      </w:pPr>
      <w:r>
        <w:rPr>
          <w:rFonts w:hint="eastAsia" w:ascii="宋体" w:hAnsi="宋体" w:eastAsia="宋体" w:cs="宋体"/>
          <w:b/>
          <w:sz w:val="32"/>
          <w:highlight w:val="none"/>
        </w:rPr>
        <w:t>3.3、参加政府采购活动前3年内在经营活动中</w:t>
      </w:r>
    </w:p>
    <w:p>
      <w:pPr>
        <w:snapToGrid w:val="0"/>
        <w:jc w:val="center"/>
        <w:rPr>
          <w:rFonts w:hint="eastAsia" w:ascii="宋体" w:hAnsi="宋体" w:eastAsia="宋体" w:cs="宋体"/>
          <w:b/>
          <w:sz w:val="32"/>
          <w:highlight w:val="none"/>
        </w:rPr>
      </w:pPr>
      <w:r>
        <w:rPr>
          <w:rFonts w:hint="eastAsia" w:ascii="宋体" w:hAnsi="宋体" w:eastAsia="宋体" w:cs="宋体"/>
          <w:b/>
          <w:sz w:val="32"/>
          <w:highlight w:val="none"/>
        </w:rPr>
        <w:t>没有重大违法记录的书面声明</w:t>
      </w:r>
    </w:p>
    <w:p>
      <w:pPr>
        <w:snapToGrid w:val="0"/>
        <w:spacing w:before="193" w:beforeLines="50" w:after="193" w:afterLines="50" w:line="48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cs="宋体"/>
          <w:bCs/>
          <w:sz w:val="24"/>
          <w:highlight w:val="none"/>
          <w:u w:val="single"/>
          <w:lang w:eastAsia="zh-CN"/>
        </w:rPr>
        <w:t>陕西巨和项目管理有限责任公司</w:t>
      </w:r>
    </w:p>
    <w:p>
      <w:pPr>
        <w:snapToGrid w:val="0"/>
        <w:spacing w:before="193" w:beforeLines="50" w:after="193" w:afterLines="50"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我公司参加（</w:t>
      </w:r>
      <w:r>
        <w:rPr>
          <w:rFonts w:hint="eastAsia" w:ascii="宋体" w:hAnsi="宋体" w:eastAsia="宋体" w:cs="宋体"/>
          <w:sz w:val="24"/>
          <w:highlight w:val="none"/>
          <w:u w:val="single"/>
        </w:rPr>
        <w:t>填写项目编号</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填写项目名称 </w:t>
      </w:r>
      <w:r>
        <w:rPr>
          <w:rFonts w:hint="eastAsia" w:ascii="宋体" w:hAnsi="宋体" w:eastAsia="宋体" w:cs="宋体"/>
          <w:sz w:val="24"/>
          <w:highlight w:val="none"/>
        </w:rPr>
        <w:t>）项目的招标，本公司郑重声明，我司参加本项目招标活动前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年内</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（有/无）重大违法记录，符合招标投标法等法律法规的规定，我司对此声明负全部法律责任。</w:t>
      </w:r>
    </w:p>
    <w:p>
      <w:pPr>
        <w:snapToGrid w:val="0"/>
        <w:spacing w:before="193" w:beforeLines="50" w:after="193" w:afterLines="50" w:line="480" w:lineRule="auto"/>
        <w:ind w:firstLine="470" w:firstLineChars="196"/>
        <w:rPr>
          <w:rFonts w:hint="eastAsia" w:ascii="宋体" w:hAnsi="宋体" w:eastAsia="宋体" w:cs="宋体"/>
          <w:sz w:val="24"/>
          <w:highlight w:val="none"/>
        </w:rPr>
      </w:pPr>
      <w:r>
        <w:rPr>
          <w:rFonts w:hint="eastAsia" w:ascii="宋体" w:hAnsi="宋体" w:eastAsia="宋体" w:cs="宋体"/>
          <w:sz w:val="24"/>
          <w:highlight w:val="none"/>
        </w:rPr>
        <w:t>特此声明！</w:t>
      </w:r>
    </w:p>
    <w:p>
      <w:pPr>
        <w:snapToGrid w:val="0"/>
        <w:spacing w:line="480" w:lineRule="auto"/>
        <w:ind w:firstLine="480" w:firstLineChars="200"/>
        <w:rPr>
          <w:rFonts w:hint="eastAsia" w:ascii="宋体" w:hAnsi="宋体" w:eastAsia="宋体" w:cs="宋体"/>
          <w:sz w:val="24"/>
          <w:highlight w:val="none"/>
        </w:rPr>
      </w:pP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声明人名称：_________________（盖公章）</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napToGrid w:val="0"/>
          <w:sz w:val="24"/>
          <w:highlight w:val="none"/>
        </w:rPr>
        <w:t>法定代表人</w:t>
      </w:r>
      <w:r>
        <w:rPr>
          <w:rFonts w:hint="eastAsia" w:ascii="宋体" w:hAnsi="宋体" w:eastAsia="宋体" w:cs="宋体"/>
          <w:sz w:val="24"/>
          <w:highlight w:val="none"/>
        </w:rPr>
        <w:t>或授权代表</w:t>
      </w:r>
      <w:r>
        <w:rPr>
          <w:rFonts w:hint="eastAsia" w:ascii="宋体" w:hAnsi="宋体" w:eastAsia="宋体" w:cs="宋体"/>
          <w:snapToGrid w:val="0"/>
          <w:sz w:val="24"/>
          <w:highlight w:val="none"/>
        </w:rPr>
        <w:t>：</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sz w:val="24"/>
          <w:highlight w:val="none"/>
        </w:rPr>
        <w:t>（</w:t>
      </w:r>
      <w:r>
        <w:rPr>
          <w:rFonts w:hint="eastAsia" w:ascii="宋体" w:hAnsi="宋体" w:eastAsia="宋体" w:cs="宋体"/>
          <w:sz w:val="24"/>
          <w:highlight w:val="none"/>
        </w:rPr>
        <w:t>签字或</w:t>
      </w:r>
      <w:r>
        <w:rPr>
          <w:rFonts w:hint="eastAsia" w:ascii="宋体" w:hAnsi="宋体" w:cs="宋体"/>
          <w:sz w:val="24"/>
          <w:highlight w:val="none"/>
          <w:lang w:eastAsia="zh-CN"/>
        </w:rPr>
        <w:t>盖章</w:t>
      </w:r>
      <w:r>
        <w:rPr>
          <w:rFonts w:hint="eastAsia" w:ascii="宋体" w:hAnsi="宋体" w:eastAsia="宋体" w:cs="宋体"/>
          <w:snapToGrid w:val="0"/>
          <w:sz w:val="24"/>
          <w:highlight w:val="none"/>
        </w:rPr>
        <w:t>）</w:t>
      </w:r>
    </w:p>
    <w:p>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日      期：____________________</w:t>
      </w:r>
    </w:p>
    <w:p>
      <w:pPr>
        <w:snapToGrid w:val="0"/>
        <w:spacing w:line="480" w:lineRule="auto"/>
        <w:ind w:firstLine="420" w:firstLineChars="200"/>
        <w:rPr>
          <w:rFonts w:hint="eastAsia" w:ascii="宋体" w:hAnsi="宋体" w:eastAsia="宋体" w:cs="宋体"/>
          <w:highlight w:val="none"/>
        </w:rPr>
      </w:pPr>
    </w:p>
    <w:p>
      <w:pPr>
        <w:snapToGrid w:val="0"/>
        <w:spacing w:line="480" w:lineRule="auto"/>
        <w:ind w:firstLine="420" w:firstLineChars="200"/>
        <w:rPr>
          <w:rFonts w:hint="eastAsia" w:ascii="宋体" w:hAnsi="宋体" w:eastAsia="宋体" w:cs="宋体"/>
          <w:highlight w:val="none"/>
        </w:rPr>
      </w:pPr>
    </w:p>
    <w:p>
      <w:pPr>
        <w:snapToGrid w:val="0"/>
        <w:spacing w:line="480" w:lineRule="auto"/>
        <w:ind w:firstLine="420" w:firstLineChars="200"/>
        <w:rPr>
          <w:rFonts w:hint="eastAsia" w:ascii="宋体" w:hAnsi="宋体" w:eastAsia="宋体" w:cs="宋体"/>
          <w:highlight w:val="none"/>
        </w:rPr>
      </w:pPr>
    </w:p>
    <w:p>
      <w:pPr>
        <w:spacing w:line="360" w:lineRule="auto"/>
        <w:ind w:firstLine="315" w:firstLineChars="98"/>
        <w:jc w:val="center"/>
        <w:rPr>
          <w:rFonts w:hint="eastAsia" w:ascii="宋体" w:hAnsi="宋体" w:eastAsia="宋体" w:cs="宋体"/>
          <w:b/>
          <w:sz w:val="32"/>
          <w:szCs w:val="44"/>
          <w:highlight w:val="none"/>
        </w:rPr>
      </w:pPr>
    </w:p>
    <w:p>
      <w:pPr>
        <w:spacing w:line="360" w:lineRule="auto"/>
        <w:ind w:firstLine="315" w:firstLineChars="98"/>
        <w:jc w:val="center"/>
        <w:rPr>
          <w:rFonts w:hint="eastAsia" w:ascii="宋体" w:hAnsi="宋体" w:eastAsia="宋体" w:cs="宋体"/>
          <w:b/>
          <w:sz w:val="32"/>
          <w:szCs w:val="44"/>
          <w:highlight w:val="none"/>
        </w:rPr>
      </w:pPr>
    </w:p>
    <w:p>
      <w:pPr>
        <w:spacing w:line="360" w:lineRule="auto"/>
        <w:ind w:firstLine="315" w:firstLineChars="98"/>
        <w:jc w:val="center"/>
        <w:rPr>
          <w:rFonts w:hint="eastAsia" w:ascii="宋体" w:hAnsi="宋体" w:eastAsia="宋体" w:cs="宋体"/>
          <w:b/>
          <w:sz w:val="32"/>
          <w:szCs w:val="44"/>
          <w:highlight w:val="none"/>
        </w:rPr>
      </w:pPr>
    </w:p>
    <w:p>
      <w:pPr>
        <w:spacing w:line="360" w:lineRule="auto"/>
        <w:ind w:firstLine="315" w:firstLineChars="98"/>
        <w:jc w:val="center"/>
        <w:rPr>
          <w:rFonts w:hint="eastAsia" w:ascii="宋体" w:hAnsi="宋体" w:eastAsia="宋体" w:cs="宋体"/>
          <w:b/>
          <w:sz w:val="32"/>
          <w:szCs w:val="44"/>
          <w:highlight w:val="none"/>
        </w:rPr>
      </w:pPr>
    </w:p>
    <w:p>
      <w:pPr>
        <w:spacing w:line="360" w:lineRule="auto"/>
        <w:rPr>
          <w:rFonts w:hint="eastAsia" w:ascii="宋体" w:hAnsi="宋体" w:eastAsia="宋体" w:cs="宋体"/>
          <w:b/>
          <w:sz w:val="32"/>
          <w:szCs w:val="44"/>
          <w:highlight w:val="none"/>
        </w:rPr>
      </w:pPr>
    </w:p>
    <w:p>
      <w:pPr>
        <w:spacing w:line="360" w:lineRule="auto"/>
        <w:rPr>
          <w:rFonts w:hint="eastAsia" w:ascii="宋体" w:hAnsi="宋体" w:eastAsia="宋体" w:cs="宋体"/>
          <w:b/>
          <w:sz w:val="32"/>
          <w:szCs w:val="44"/>
          <w:highlight w:val="none"/>
        </w:rPr>
      </w:pPr>
    </w:p>
    <w:p>
      <w:pPr>
        <w:pStyle w:val="2"/>
        <w:rPr>
          <w:rFonts w:hint="eastAsia"/>
        </w:rPr>
      </w:pPr>
    </w:p>
    <w:p>
      <w:pPr>
        <w:pStyle w:val="156"/>
        <w:spacing w:line="360" w:lineRule="auto"/>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第4部分  技术投标方案</w:t>
      </w:r>
    </w:p>
    <w:p>
      <w:pPr>
        <w:pStyle w:val="156"/>
        <w:spacing w:line="360" w:lineRule="auto"/>
        <w:jc w:val="center"/>
        <w:rPr>
          <w:rFonts w:hint="eastAsia" w:ascii="宋体" w:hAnsi="宋体" w:eastAsia="宋体" w:cs="宋体"/>
          <w:b/>
          <w:bCs/>
          <w:sz w:val="36"/>
          <w:szCs w:val="44"/>
          <w:highlight w:val="none"/>
        </w:rPr>
      </w:pPr>
    </w:p>
    <w:p>
      <w:pPr>
        <w:pStyle w:val="156"/>
        <w:spacing w:line="360" w:lineRule="auto"/>
        <w:jc w:val="both"/>
        <w:rPr>
          <w:rFonts w:hint="eastAsia" w:ascii="宋体" w:hAnsi="宋体" w:eastAsia="宋体" w:cs="宋体"/>
          <w:b/>
          <w:bCs/>
          <w:sz w:val="36"/>
          <w:szCs w:val="44"/>
          <w:highlight w:val="none"/>
        </w:rPr>
      </w:pPr>
    </w:p>
    <w:p>
      <w:pPr>
        <w:spacing w:line="360" w:lineRule="auto"/>
        <w:ind w:right="-60"/>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依据评审要素一览表技术标部分自行扩展</w:t>
      </w:r>
    </w:p>
    <w:p>
      <w:pPr>
        <w:spacing w:line="580" w:lineRule="exact"/>
        <w:ind w:firstLine="480" w:firstLineChars="200"/>
        <w:jc w:val="left"/>
        <w:rPr>
          <w:rFonts w:hint="eastAsia" w:ascii="宋体" w:hAnsi="宋体" w:eastAsia="宋体" w:cs="宋体"/>
          <w:bCs/>
          <w:sz w:val="24"/>
          <w:highlight w:val="none"/>
        </w:rPr>
      </w:pPr>
    </w:p>
    <w:p>
      <w:pPr>
        <w:spacing w:line="360" w:lineRule="auto"/>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pStyle w:val="2"/>
        <w:rPr>
          <w:rFonts w:hint="eastAsia"/>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第5部分  商务投标方案</w:t>
      </w:r>
    </w:p>
    <w:p>
      <w:pPr>
        <w:spacing w:line="580" w:lineRule="exact"/>
        <w:jc w:val="both"/>
        <w:rPr>
          <w:rFonts w:hint="eastAsia" w:ascii="宋体" w:hAnsi="宋体" w:eastAsia="宋体" w:cs="宋体"/>
          <w:b/>
          <w:bCs/>
          <w:sz w:val="32"/>
          <w:szCs w:val="40"/>
          <w:highlight w:val="none"/>
        </w:rPr>
      </w:pPr>
    </w:p>
    <w:p>
      <w:pPr>
        <w:spacing w:line="580" w:lineRule="exact"/>
        <w:jc w:val="center"/>
        <w:rPr>
          <w:rFonts w:hint="eastAsia" w:ascii="宋体" w:hAnsi="宋体" w:eastAsia="宋体" w:cs="宋体"/>
          <w:b/>
          <w:bCs/>
          <w:sz w:val="32"/>
          <w:szCs w:val="40"/>
          <w:highlight w:val="none"/>
        </w:rPr>
      </w:pPr>
    </w:p>
    <w:p>
      <w:pPr>
        <w:spacing w:line="580" w:lineRule="exact"/>
        <w:jc w:val="center"/>
        <w:rPr>
          <w:rFonts w:hint="eastAsia" w:ascii="宋体" w:hAnsi="宋体" w:eastAsia="宋体" w:cs="宋体"/>
          <w:bCs/>
          <w:sz w:val="24"/>
          <w:highlight w:val="none"/>
        </w:rPr>
      </w:pPr>
      <w:r>
        <w:rPr>
          <w:rFonts w:hint="eastAsia" w:ascii="宋体" w:hAnsi="宋体" w:eastAsia="宋体" w:cs="宋体"/>
          <w:b/>
          <w:bCs/>
          <w:sz w:val="32"/>
          <w:szCs w:val="40"/>
          <w:highlight w:val="none"/>
        </w:rPr>
        <w:t>依据评审要素一览表</w:t>
      </w:r>
      <w:r>
        <w:rPr>
          <w:rFonts w:hint="eastAsia" w:ascii="宋体" w:hAnsi="宋体" w:eastAsia="宋体" w:cs="宋体"/>
          <w:b/>
          <w:bCs/>
          <w:sz w:val="32"/>
          <w:szCs w:val="40"/>
          <w:highlight w:val="none"/>
          <w:lang w:val="en-US" w:eastAsia="zh-CN"/>
        </w:rPr>
        <w:t>商务</w:t>
      </w:r>
      <w:r>
        <w:rPr>
          <w:rFonts w:hint="eastAsia" w:ascii="宋体" w:hAnsi="宋体" w:eastAsia="宋体" w:cs="宋体"/>
          <w:b/>
          <w:bCs/>
          <w:sz w:val="32"/>
          <w:szCs w:val="40"/>
          <w:highlight w:val="none"/>
        </w:rPr>
        <w:t>部分自行扩展</w:t>
      </w:r>
    </w:p>
    <w:p>
      <w:pPr>
        <w:ind w:right="-60"/>
        <w:jc w:val="center"/>
        <w:rPr>
          <w:rFonts w:hint="eastAsia" w:ascii="宋体" w:hAnsi="宋体" w:eastAsia="宋体" w:cs="宋体"/>
          <w:b/>
          <w:bCs/>
          <w:sz w:val="36"/>
          <w:szCs w:val="44"/>
          <w:highlight w:val="none"/>
        </w:rPr>
      </w:pPr>
    </w:p>
    <w:p>
      <w:pPr>
        <w:spacing w:line="360" w:lineRule="auto"/>
        <w:ind w:right="-60"/>
        <w:rPr>
          <w:rFonts w:hint="eastAsia" w:ascii="宋体" w:hAnsi="宋体" w:eastAsia="宋体" w:cs="宋体"/>
          <w:b/>
          <w:bCs/>
          <w:sz w:val="36"/>
          <w:szCs w:val="44"/>
          <w:highlight w:val="none"/>
        </w:rPr>
      </w:pPr>
    </w:p>
    <w:p>
      <w:pPr>
        <w:spacing w:line="360" w:lineRule="auto"/>
        <w:ind w:right="-60"/>
        <w:rPr>
          <w:rFonts w:hint="eastAsia" w:ascii="宋体" w:hAnsi="宋体" w:eastAsia="宋体" w:cs="宋体"/>
          <w:b/>
          <w:bCs/>
          <w:sz w:val="36"/>
          <w:szCs w:val="44"/>
          <w:highlight w:val="none"/>
        </w:rPr>
      </w:pPr>
    </w:p>
    <w:p>
      <w:pPr>
        <w:spacing w:line="360" w:lineRule="auto"/>
        <w:ind w:right="-60"/>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highlight w:val="none"/>
        </w:rPr>
      </w:pPr>
    </w:p>
    <w:p>
      <w:pPr>
        <w:spacing w:line="360" w:lineRule="auto"/>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第6部分  供应商承诺</w:t>
      </w:r>
    </w:p>
    <w:p>
      <w:pPr>
        <w:spacing w:line="440" w:lineRule="exact"/>
        <w:ind w:firstLine="241" w:firstLineChars="100"/>
        <w:rPr>
          <w:rFonts w:hint="eastAsia" w:ascii="宋体" w:hAnsi="宋体" w:eastAsia="宋体" w:cs="宋体"/>
          <w:b/>
          <w:sz w:val="24"/>
          <w:highlight w:val="none"/>
        </w:rPr>
      </w:pPr>
      <w:r>
        <w:rPr>
          <w:rFonts w:hint="eastAsia" w:ascii="宋体" w:hAnsi="宋体" w:eastAsia="宋体" w:cs="宋体"/>
          <w:b/>
          <w:bCs/>
          <w:sz w:val="24"/>
          <w:highlight w:val="none"/>
        </w:rPr>
        <w:t>1、供应商签署承诺书</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1.1、未签署或者虚假承诺签署本</w:t>
      </w:r>
      <w:r>
        <w:rPr>
          <w:rFonts w:hint="eastAsia" w:ascii="宋体" w:hAnsi="宋体" w:eastAsia="宋体" w:cs="宋体"/>
          <w:bCs/>
          <w:sz w:val="24"/>
          <w:highlight w:val="none"/>
        </w:rPr>
        <w:t>承诺书的，其责任由</w:t>
      </w:r>
      <w:r>
        <w:rPr>
          <w:rFonts w:hint="eastAsia" w:ascii="宋体" w:hAnsi="宋体" w:eastAsia="宋体" w:cs="宋体"/>
          <w:sz w:val="24"/>
          <w:highlight w:val="none"/>
        </w:rPr>
        <w:t>供应商自行承担。</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1.2、编制的磋商响应文件正本须装订本原件，副本可装订复印件。</w:t>
      </w:r>
    </w:p>
    <w:p>
      <w:pPr>
        <w:spacing w:line="520" w:lineRule="exact"/>
        <w:ind w:firstLine="160" w:firstLineChars="50"/>
        <w:jc w:val="center"/>
        <w:rPr>
          <w:rFonts w:hint="eastAsia" w:ascii="宋体" w:hAnsi="宋体" w:eastAsia="宋体" w:cs="宋体"/>
          <w:sz w:val="32"/>
          <w:szCs w:val="32"/>
          <w:highlight w:val="none"/>
          <w:u w:val="single"/>
        </w:rPr>
      </w:pPr>
    </w:p>
    <w:p>
      <w:pPr>
        <w:spacing w:line="520" w:lineRule="exact"/>
        <w:jc w:val="center"/>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u w:val="single"/>
        </w:rPr>
        <w:t>承诺书Ⅰ</w:t>
      </w:r>
    </w:p>
    <w:p>
      <w:pPr>
        <w:spacing w:line="520" w:lineRule="exact"/>
        <w:ind w:firstLine="161" w:firstLineChars="50"/>
        <w:jc w:val="center"/>
        <w:rPr>
          <w:rFonts w:hint="eastAsia" w:ascii="宋体" w:hAnsi="宋体" w:eastAsia="宋体" w:cs="宋体"/>
          <w:b/>
          <w:sz w:val="32"/>
          <w:szCs w:val="32"/>
          <w:highlight w:val="none"/>
          <w:u w:val="single"/>
        </w:rPr>
      </w:pPr>
    </w:p>
    <w:tbl>
      <w:tblPr>
        <w:tblStyle w:val="4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7"/>
        <w:gridCol w:w="2947"/>
        <w:gridCol w:w="2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8841" w:type="dxa"/>
            <w:gridSpan w:val="3"/>
            <w:vAlign w:val="center"/>
          </w:tcPr>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致： </w:t>
            </w:r>
            <w:r>
              <w:rPr>
                <w:rFonts w:hint="eastAsia" w:ascii="宋体" w:hAnsi="宋体" w:cs="宋体"/>
                <w:szCs w:val="21"/>
                <w:highlight w:val="none"/>
                <w:lang w:eastAsia="zh-CN"/>
              </w:rPr>
              <w:t>陕西巨和项目管理有限责任公司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trPr>
        <w:tc>
          <w:tcPr>
            <w:tcW w:w="8841" w:type="dxa"/>
            <w:gridSpan w:val="3"/>
            <w:vAlign w:val="center"/>
          </w:tcPr>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作为参加贵单位组织的招标采购项目的供应商，本公司承诺：在参加本项目招标之前不存在被依法禁止经营行为、财产被接管或冻结的情况，如有隐瞒实情，愿承担一切责任及后果。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2947"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2947"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947"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5" w:hRule="atLeast"/>
        </w:trPr>
        <w:tc>
          <w:tcPr>
            <w:tcW w:w="2947"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（法人公章）</w:t>
            </w:r>
          </w:p>
        </w:tc>
        <w:tc>
          <w:tcPr>
            <w:tcW w:w="2947"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（签字或盖章）</w:t>
            </w:r>
          </w:p>
        </w:tc>
        <w:tc>
          <w:tcPr>
            <w:tcW w:w="2947" w:type="dxa"/>
            <w:vAlign w:val="center"/>
          </w:tcPr>
          <w:p>
            <w:pPr>
              <w:spacing w:line="400" w:lineRule="exact"/>
              <w:ind w:firstLine="735" w:firstLineChars="350"/>
              <w:rPr>
                <w:rFonts w:hint="eastAsia" w:ascii="宋体" w:hAnsi="宋体" w:eastAsia="宋体" w:cs="宋体"/>
                <w:szCs w:val="21"/>
                <w:highlight w:val="none"/>
              </w:rPr>
            </w:pPr>
            <w:r>
              <w:rPr>
                <w:rFonts w:hint="eastAsia" w:ascii="宋体" w:hAnsi="宋体" w:eastAsia="宋体" w:cs="宋体"/>
                <w:szCs w:val="21"/>
                <w:highlight w:val="none"/>
              </w:rPr>
              <w:t>年   月   日</w:t>
            </w:r>
          </w:p>
        </w:tc>
      </w:tr>
    </w:tbl>
    <w:p>
      <w:pPr>
        <w:spacing w:line="400" w:lineRule="exact"/>
        <w:rPr>
          <w:rFonts w:hint="eastAsia" w:ascii="宋体" w:hAnsi="宋体" w:eastAsia="宋体" w:cs="宋体"/>
          <w:highlight w:val="none"/>
        </w:rPr>
      </w:pPr>
    </w:p>
    <w:p>
      <w:pPr>
        <w:spacing w:line="520" w:lineRule="exact"/>
        <w:jc w:val="center"/>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u w:val="single"/>
        </w:rPr>
        <w:t>承诺书Ⅱ</w:t>
      </w:r>
    </w:p>
    <w:p>
      <w:pPr>
        <w:spacing w:line="520" w:lineRule="exact"/>
        <w:ind w:firstLine="161" w:firstLineChars="50"/>
        <w:jc w:val="center"/>
        <w:rPr>
          <w:rFonts w:hint="eastAsia" w:ascii="宋体" w:hAnsi="宋体" w:eastAsia="宋体" w:cs="宋体"/>
          <w:b/>
          <w:sz w:val="32"/>
          <w:szCs w:val="32"/>
          <w:highlight w:val="none"/>
          <w:u w:val="single"/>
        </w:rPr>
      </w:pPr>
    </w:p>
    <w:tbl>
      <w:tblPr>
        <w:tblStyle w:val="4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5"/>
        <w:gridCol w:w="2945"/>
        <w:gridCol w:w="2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836" w:type="dxa"/>
            <w:gridSpan w:val="3"/>
            <w:vAlign w:val="center"/>
          </w:tcPr>
          <w:p>
            <w:pPr>
              <w:spacing w:line="400" w:lineRule="exact"/>
              <w:rPr>
                <w:rFonts w:hint="eastAsia" w:ascii="宋体" w:hAnsi="宋体" w:eastAsia="宋体" w:cs="宋体"/>
                <w:highlight w:val="none"/>
                <w:lang w:eastAsia="zh-CN"/>
              </w:rPr>
            </w:pPr>
            <w:r>
              <w:rPr>
                <w:rFonts w:hint="eastAsia" w:ascii="宋体" w:hAnsi="宋体" w:eastAsia="宋体" w:cs="宋体"/>
                <w:szCs w:val="21"/>
                <w:highlight w:val="none"/>
              </w:rPr>
              <w:t xml:space="preserve">致： </w:t>
            </w:r>
            <w:r>
              <w:rPr>
                <w:rFonts w:hint="eastAsia" w:ascii="宋体" w:hAnsi="宋体" w:cs="宋体"/>
                <w:szCs w:val="21"/>
                <w:highlight w:val="none"/>
                <w:lang w:eastAsia="zh-CN"/>
              </w:rPr>
              <w:t>陕西巨和项目管理有限责任公司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atLeast"/>
        </w:trPr>
        <w:tc>
          <w:tcPr>
            <w:tcW w:w="8836" w:type="dxa"/>
            <w:gridSpan w:val="3"/>
            <w:vAlign w:val="center"/>
          </w:tcPr>
          <w:p>
            <w:pPr>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作为参加贵单位组织的招标采购项目的供应商，本公司郑重申告并承诺：近三年受到有关行政主管部门的行政处理、不良行为记录为</w:t>
            </w:r>
            <w:r>
              <w:rPr>
                <w:rFonts w:hint="eastAsia" w:ascii="宋体" w:hAnsi="宋体" w:eastAsia="宋体" w:cs="宋体"/>
                <w:highlight w:val="none"/>
                <w:u w:val="single"/>
              </w:rPr>
              <w:t xml:space="preserve">    </w:t>
            </w:r>
            <w:r>
              <w:rPr>
                <w:rFonts w:hint="eastAsia" w:ascii="宋体" w:hAnsi="宋体" w:eastAsia="宋体" w:cs="宋体"/>
                <w:highlight w:val="none"/>
              </w:rPr>
              <w:t>次（没有填0），如有隐瞒实情，愿承担一切责任及后果。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945" w:type="dxa"/>
            <w:vAlign w:val="center"/>
          </w:tcPr>
          <w:p>
            <w:pPr>
              <w:spacing w:line="400" w:lineRule="exact"/>
              <w:jc w:val="center"/>
              <w:rPr>
                <w:rFonts w:hint="eastAsia" w:ascii="宋体" w:hAnsi="宋体" w:eastAsia="宋体" w:cs="宋体"/>
                <w:highlight w:val="none"/>
              </w:rPr>
            </w:pPr>
            <w:r>
              <w:rPr>
                <w:rFonts w:hint="eastAsia" w:ascii="宋体" w:hAnsi="宋体" w:eastAsia="宋体" w:cs="宋体"/>
                <w:highlight w:val="none"/>
              </w:rPr>
              <w:t>供应商</w:t>
            </w:r>
          </w:p>
        </w:tc>
        <w:tc>
          <w:tcPr>
            <w:tcW w:w="2945" w:type="dxa"/>
            <w:vAlign w:val="center"/>
          </w:tcPr>
          <w:p>
            <w:pPr>
              <w:spacing w:line="400" w:lineRule="exac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946" w:type="dxa"/>
            <w:vAlign w:val="center"/>
          </w:tcPr>
          <w:p>
            <w:pPr>
              <w:spacing w:line="400" w:lineRule="exact"/>
              <w:jc w:val="center"/>
              <w:rPr>
                <w:rFonts w:hint="eastAsia" w:ascii="宋体" w:hAnsi="宋体" w:eastAsia="宋体" w:cs="宋体"/>
                <w:highlight w:val="none"/>
              </w:rPr>
            </w:pPr>
            <w:r>
              <w:rPr>
                <w:rFonts w:hint="eastAsia" w:ascii="宋体" w:hAnsi="宋体" w:eastAsia="宋体" w:cs="宋体"/>
                <w:highlight w:val="none"/>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9" w:hRule="atLeast"/>
        </w:trPr>
        <w:tc>
          <w:tcPr>
            <w:tcW w:w="2945" w:type="dxa"/>
            <w:vAlign w:val="center"/>
          </w:tcPr>
          <w:p>
            <w:pPr>
              <w:spacing w:line="400" w:lineRule="exact"/>
              <w:jc w:val="center"/>
              <w:rPr>
                <w:rFonts w:hint="eastAsia" w:ascii="宋体" w:hAnsi="宋体" w:eastAsia="宋体" w:cs="宋体"/>
                <w:highlight w:val="none"/>
              </w:rPr>
            </w:pPr>
            <w:r>
              <w:rPr>
                <w:rFonts w:hint="eastAsia" w:ascii="宋体" w:hAnsi="宋体" w:eastAsia="宋体" w:cs="宋体"/>
                <w:highlight w:val="none"/>
              </w:rPr>
              <w:t>（法人公章）</w:t>
            </w:r>
          </w:p>
        </w:tc>
        <w:tc>
          <w:tcPr>
            <w:tcW w:w="2945" w:type="dxa"/>
            <w:vAlign w:val="center"/>
          </w:tcPr>
          <w:p>
            <w:pPr>
              <w:spacing w:line="400" w:lineRule="exact"/>
              <w:jc w:val="center"/>
              <w:rPr>
                <w:rFonts w:hint="eastAsia" w:ascii="宋体" w:hAnsi="宋体" w:eastAsia="宋体" w:cs="宋体"/>
                <w:highlight w:val="none"/>
              </w:rPr>
            </w:pPr>
            <w:r>
              <w:rPr>
                <w:rFonts w:hint="eastAsia" w:ascii="宋体" w:hAnsi="宋体" w:eastAsia="宋体" w:cs="宋体"/>
                <w:highlight w:val="none"/>
              </w:rPr>
              <w:t>（签字或盖章）</w:t>
            </w:r>
          </w:p>
        </w:tc>
        <w:tc>
          <w:tcPr>
            <w:tcW w:w="2946" w:type="dxa"/>
            <w:vAlign w:val="center"/>
          </w:tcPr>
          <w:p>
            <w:pPr>
              <w:spacing w:line="400" w:lineRule="exact"/>
              <w:ind w:firstLine="735" w:firstLineChars="350"/>
              <w:rPr>
                <w:rFonts w:hint="eastAsia" w:ascii="宋体" w:hAnsi="宋体" w:eastAsia="宋体" w:cs="宋体"/>
                <w:highlight w:val="none"/>
              </w:rPr>
            </w:pPr>
            <w:r>
              <w:rPr>
                <w:rFonts w:hint="eastAsia" w:ascii="宋体" w:hAnsi="宋体" w:eastAsia="宋体" w:cs="宋体"/>
                <w:highlight w:val="none"/>
              </w:rPr>
              <w:t>年   月   日</w:t>
            </w:r>
          </w:p>
        </w:tc>
      </w:tr>
    </w:tbl>
    <w:p>
      <w:pPr>
        <w:spacing w:line="520" w:lineRule="exact"/>
        <w:jc w:val="center"/>
        <w:rPr>
          <w:rFonts w:hint="eastAsia" w:ascii="宋体" w:hAnsi="宋体" w:eastAsia="宋体" w:cs="宋体"/>
          <w:b/>
          <w:sz w:val="32"/>
          <w:szCs w:val="32"/>
          <w:highlight w:val="none"/>
          <w:u w:val="single"/>
        </w:rPr>
      </w:pPr>
    </w:p>
    <w:p>
      <w:pPr>
        <w:spacing w:line="520" w:lineRule="exact"/>
        <w:jc w:val="center"/>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u w:val="single"/>
        </w:rPr>
        <w:t>承诺书Ⅲ</w:t>
      </w:r>
    </w:p>
    <w:p>
      <w:pPr>
        <w:spacing w:line="520" w:lineRule="exact"/>
        <w:ind w:firstLine="161" w:firstLineChars="50"/>
        <w:jc w:val="center"/>
        <w:rPr>
          <w:rFonts w:hint="eastAsia" w:ascii="宋体" w:hAnsi="宋体" w:eastAsia="宋体" w:cs="宋体"/>
          <w:b/>
          <w:sz w:val="32"/>
          <w:szCs w:val="32"/>
          <w:highlight w:val="none"/>
          <w:u w:val="single"/>
        </w:rPr>
      </w:pPr>
    </w:p>
    <w:tbl>
      <w:tblPr>
        <w:tblStyle w:val="4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2"/>
        <w:gridCol w:w="2942"/>
        <w:gridCol w:w="29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trPr>
        <w:tc>
          <w:tcPr>
            <w:tcW w:w="8826" w:type="dxa"/>
            <w:gridSpan w:val="3"/>
            <w:vAlign w:val="center"/>
          </w:tcPr>
          <w:p>
            <w:pPr>
              <w:spacing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致：</w:t>
            </w:r>
            <w:r>
              <w:rPr>
                <w:rFonts w:hint="eastAsia" w:ascii="宋体" w:hAnsi="宋体" w:cs="宋体"/>
                <w:szCs w:val="21"/>
                <w:highlight w:val="none"/>
                <w:lang w:eastAsia="zh-CN"/>
              </w:rPr>
              <w:t>陕西巨和项目管理有限责任公司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trPr>
        <w:tc>
          <w:tcPr>
            <w:tcW w:w="8826" w:type="dxa"/>
            <w:gridSpan w:val="3"/>
            <w:vAlign w:val="center"/>
          </w:tcPr>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作为参加贵单位组织的招标采购项目的供应商，本公司郑重申告：近三年因产品供货问题（水货、替代品、次品、翻新品等）的不法行为记录为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次（没有填0），如有隐瞒实情，愿承担一切责任及后果。</w:t>
            </w:r>
          </w:p>
          <w:p>
            <w:pPr>
              <w:spacing w:line="36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本公司承诺：本次投标标的物为正品行货。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2942"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供应商</w:t>
            </w:r>
          </w:p>
        </w:tc>
        <w:tc>
          <w:tcPr>
            <w:tcW w:w="2942"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942"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0" w:hRule="atLeast"/>
        </w:trPr>
        <w:tc>
          <w:tcPr>
            <w:tcW w:w="2942"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（法人公章）</w:t>
            </w:r>
          </w:p>
        </w:tc>
        <w:tc>
          <w:tcPr>
            <w:tcW w:w="2942"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（签字或盖章）</w:t>
            </w:r>
          </w:p>
        </w:tc>
        <w:tc>
          <w:tcPr>
            <w:tcW w:w="2942" w:type="dxa"/>
            <w:vAlign w:val="center"/>
          </w:tcPr>
          <w:p>
            <w:pPr>
              <w:spacing w:line="400" w:lineRule="exact"/>
              <w:ind w:firstLine="735" w:firstLineChars="350"/>
              <w:rPr>
                <w:rFonts w:hint="eastAsia" w:ascii="宋体" w:hAnsi="宋体" w:eastAsia="宋体" w:cs="宋体"/>
                <w:szCs w:val="21"/>
                <w:highlight w:val="none"/>
              </w:rPr>
            </w:pPr>
            <w:r>
              <w:rPr>
                <w:rFonts w:hint="eastAsia" w:ascii="宋体" w:hAnsi="宋体" w:eastAsia="宋体" w:cs="宋体"/>
                <w:szCs w:val="21"/>
                <w:highlight w:val="none"/>
              </w:rPr>
              <w:t>年   月   日</w:t>
            </w:r>
          </w:p>
        </w:tc>
      </w:tr>
    </w:tbl>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480" w:lineRule="exact"/>
        <w:ind w:firstLine="420" w:firstLineChars="200"/>
        <w:rPr>
          <w:rFonts w:hint="eastAsia" w:ascii="宋体" w:hAnsi="宋体" w:eastAsia="宋体" w:cs="宋体"/>
          <w:bCs/>
          <w:highlight w:val="none"/>
        </w:rPr>
      </w:pPr>
    </w:p>
    <w:p>
      <w:pPr>
        <w:spacing w:line="520" w:lineRule="exact"/>
        <w:jc w:val="center"/>
        <w:rPr>
          <w:rFonts w:hint="eastAsia" w:ascii="宋体" w:hAnsi="宋体" w:eastAsia="宋体" w:cs="宋体"/>
          <w:b/>
          <w:sz w:val="32"/>
          <w:szCs w:val="32"/>
          <w:highlight w:val="none"/>
        </w:rPr>
      </w:pPr>
    </w:p>
    <w:p>
      <w:pPr>
        <w:spacing w:line="520"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承诺书Ⅳ</w:t>
      </w:r>
    </w:p>
    <w:p>
      <w:pPr>
        <w:widowControl/>
        <w:spacing w:line="480" w:lineRule="exact"/>
        <w:jc w:val="center"/>
        <w:rPr>
          <w:rFonts w:hint="eastAsia" w:ascii="宋体" w:hAnsi="宋体" w:eastAsia="宋体" w:cs="宋体"/>
          <w:bCs/>
          <w:sz w:val="36"/>
          <w:szCs w:val="36"/>
          <w:highlight w:val="none"/>
        </w:rPr>
      </w:pPr>
    </w:p>
    <w:p>
      <w:pPr>
        <w:widowControl/>
        <w:spacing w:line="48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陕西省政府采购供应商</w:t>
      </w:r>
    </w:p>
    <w:p>
      <w:pPr>
        <w:widowControl/>
        <w:spacing w:line="48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拒绝政府采购领域商业贿赂承诺书</w:t>
      </w:r>
    </w:p>
    <w:p>
      <w:pPr>
        <w:jc w:val="center"/>
        <w:rPr>
          <w:rFonts w:hint="eastAsia" w:ascii="宋体" w:hAnsi="宋体" w:eastAsia="宋体" w:cs="宋体"/>
          <w:bCs/>
          <w:highlight w:val="none"/>
        </w:rPr>
      </w:pPr>
      <w:r>
        <w:rPr>
          <w:rFonts w:hint="eastAsia" w:ascii="宋体" w:hAnsi="宋体" w:eastAsia="宋体" w:cs="宋体"/>
          <w:bCs/>
          <w:highlight w:val="none"/>
        </w:rPr>
        <w:t>（执行陕财办采管[2006]21号文件）</w:t>
      </w:r>
    </w:p>
    <w:p>
      <w:pPr>
        <w:widowControl/>
        <w:spacing w:line="480" w:lineRule="exact"/>
        <w:ind w:firstLine="420" w:firstLineChars="200"/>
        <w:rPr>
          <w:rFonts w:hint="eastAsia" w:ascii="宋体" w:hAnsi="宋体" w:eastAsia="宋体" w:cs="宋体"/>
          <w:highlight w:val="none"/>
        </w:rPr>
      </w:pP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为响应党中央、国务院关于治理政府采购领域商业贿赂行为的号召，我公司在此庄严承诺：</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1、在参与政府采购活动中遵纪守法、诚信经营、公平竞标。</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2、不向政府采购人、采购代理机构和政府采购评审专家进行任何形式的商业贿赂以谋取交易机会。</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3、不向政府采购代理机构和采购人提供虚假资格文件或采用虚假应标方式参与政府采购市场竞争并谋取中标、成交。</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4、不采取“围标、陪标”等商业欺诈手段获得政府采购定单。</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5、不采取不正当手段诋毁、排挤其他供应商。</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6、不在提供商品和服务时“偷梁换柱、以次充好”损害采购人的合法权益。</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7、不与采购人、采购代理机构政府采购评审专家或其它供应商恶意串通，进行质疑和投诉，维护政府采购市场秩序。</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8、尊重和接受政府采购监督管理部门的监督和政府采购代理机构招标采购要求，承担因违约行为给采购人造成的损失。</w:t>
      </w:r>
    </w:p>
    <w:p>
      <w:pPr>
        <w:widowControl/>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9、不发生其他有悖于政府采购公开、公平、公正和诚信原则的行为。</w:t>
      </w:r>
    </w:p>
    <w:p>
      <w:pPr>
        <w:widowControl/>
        <w:spacing w:line="480" w:lineRule="exact"/>
        <w:ind w:firstLine="480" w:firstLineChars="200"/>
        <w:rPr>
          <w:rFonts w:hint="eastAsia" w:ascii="宋体" w:hAnsi="宋体" w:eastAsia="宋体" w:cs="宋体"/>
          <w:sz w:val="24"/>
          <w:highlight w:val="none"/>
        </w:rPr>
      </w:pP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承诺供应商：（盖章）</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 xml:space="preserve"> 全权代表：（签字）</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地  址：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邮  编：</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电  话：                        </w:t>
      </w:r>
    </w:p>
    <w:p>
      <w:pPr>
        <w:spacing w:line="480" w:lineRule="exact"/>
        <w:ind w:firstLine="5400" w:firstLineChars="2250"/>
        <w:rPr>
          <w:rFonts w:hint="eastAsia" w:ascii="宋体" w:hAnsi="宋体" w:eastAsia="宋体" w:cs="宋体"/>
          <w:sz w:val="24"/>
          <w:highlight w:val="none"/>
        </w:rPr>
      </w:pPr>
      <w:r>
        <w:rPr>
          <w:rFonts w:hint="eastAsia" w:ascii="宋体" w:hAnsi="宋体" w:eastAsia="宋体" w:cs="宋体"/>
          <w:sz w:val="24"/>
          <w:highlight w:val="none"/>
        </w:rPr>
        <w:t>年  月  日</w:t>
      </w:r>
    </w:p>
    <w:p>
      <w:pPr>
        <w:spacing w:line="360" w:lineRule="auto"/>
        <w:ind w:firstLine="180" w:firstLineChars="50"/>
        <w:jc w:val="center"/>
        <w:rPr>
          <w:rFonts w:hint="eastAsia" w:ascii="宋体" w:hAnsi="宋体" w:eastAsia="宋体" w:cs="宋体"/>
          <w:sz w:val="36"/>
          <w:szCs w:val="36"/>
          <w:highlight w:val="none"/>
          <w:u w:val="single"/>
        </w:rPr>
      </w:pPr>
    </w:p>
    <w:p>
      <w:pPr>
        <w:pStyle w:val="2"/>
        <w:rPr>
          <w:rFonts w:hint="eastAsia" w:ascii="宋体" w:hAnsi="宋体" w:eastAsia="宋体" w:cs="宋体"/>
          <w:highlight w:val="none"/>
        </w:rPr>
      </w:pPr>
    </w:p>
    <w:p>
      <w:pPr>
        <w:spacing w:line="480" w:lineRule="exact"/>
        <w:jc w:val="center"/>
        <w:rPr>
          <w:rFonts w:hint="eastAsia" w:ascii="宋体" w:hAnsi="宋体" w:eastAsia="宋体" w:cs="宋体"/>
          <w:b/>
          <w:sz w:val="32"/>
          <w:szCs w:val="32"/>
          <w:highlight w:val="none"/>
        </w:rPr>
      </w:pPr>
      <w:r>
        <w:rPr>
          <w:rFonts w:hint="eastAsia" w:ascii="宋体" w:hAnsi="宋体" w:eastAsia="宋体" w:cs="宋体"/>
          <w:b/>
          <w:bCs/>
          <w:sz w:val="36"/>
          <w:szCs w:val="44"/>
          <w:highlight w:val="none"/>
        </w:rPr>
        <w:t>第7部分 磋商保证金复印凭证</w:t>
      </w:r>
    </w:p>
    <w:p>
      <w:pPr>
        <w:spacing w:line="50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7.1、磋商保证金缴纳凭证复印件</w:t>
      </w:r>
    </w:p>
    <w:p>
      <w:pPr>
        <w:spacing w:line="50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7.2、基本账户转出磋商保证金的转账凭证复印件</w:t>
      </w:r>
    </w:p>
    <w:p>
      <w:pPr>
        <w:spacing w:line="480" w:lineRule="exact"/>
        <w:jc w:val="center"/>
        <w:rPr>
          <w:rFonts w:hint="eastAsia" w:ascii="宋体" w:hAnsi="宋体" w:eastAsia="宋体" w:cs="宋体"/>
          <w:b/>
          <w:bCs/>
          <w:sz w:val="36"/>
          <w:szCs w:val="44"/>
          <w:highlight w:val="none"/>
        </w:rPr>
      </w:pPr>
    </w:p>
    <w:p>
      <w:pPr>
        <w:spacing w:line="480" w:lineRule="exact"/>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jc w:val="center"/>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spacing w:line="360" w:lineRule="auto"/>
        <w:rPr>
          <w:rFonts w:hint="eastAsia" w:ascii="宋体" w:hAnsi="宋体" w:eastAsia="宋体" w:cs="宋体"/>
          <w:b/>
          <w:bCs/>
          <w:sz w:val="36"/>
          <w:szCs w:val="44"/>
          <w:highlight w:val="none"/>
        </w:rPr>
      </w:pPr>
    </w:p>
    <w:p>
      <w:pPr>
        <w:pStyle w:val="2"/>
        <w:rPr>
          <w:rFonts w:hint="eastAsia" w:ascii="宋体" w:hAnsi="宋体" w:eastAsia="宋体" w:cs="宋体"/>
          <w:b/>
          <w:bCs/>
          <w:sz w:val="36"/>
          <w:szCs w:val="44"/>
          <w:highlight w:val="none"/>
        </w:rPr>
      </w:pPr>
    </w:p>
    <w:p>
      <w:pPr>
        <w:rPr>
          <w:rFonts w:hint="eastAsia" w:ascii="宋体" w:hAnsi="宋体" w:eastAsia="宋体" w:cs="宋体"/>
          <w:b/>
          <w:bCs/>
          <w:sz w:val="36"/>
          <w:szCs w:val="44"/>
          <w:highlight w:val="none"/>
        </w:rPr>
      </w:pPr>
    </w:p>
    <w:p>
      <w:pPr>
        <w:pStyle w:val="2"/>
        <w:rPr>
          <w:rFonts w:hint="eastAsia" w:ascii="宋体" w:hAnsi="宋体" w:eastAsia="宋体" w:cs="宋体"/>
          <w:highlight w:val="none"/>
        </w:rPr>
      </w:pPr>
    </w:p>
    <w:p>
      <w:pPr>
        <w:spacing w:line="360" w:lineRule="auto"/>
        <w:rPr>
          <w:rFonts w:hint="eastAsia" w:ascii="宋体" w:hAnsi="宋体" w:eastAsia="宋体" w:cs="宋体"/>
          <w:b/>
          <w:bCs/>
          <w:sz w:val="36"/>
          <w:szCs w:val="44"/>
          <w:highlight w:val="none"/>
        </w:rPr>
      </w:pPr>
    </w:p>
    <w:p>
      <w:pPr>
        <w:pStyle w:val="2"/>
        <w:rPr>
          <w:rFonts w:hint="eastAsia" w:ascii="宋体" w:hAnsi="宋体" w:eastAsia="宋体" w:cs="宋体"/>
          <w:highlight w:val="none"/>
        </w:rPr>
      </w:pPr>
    </w:p>
    <w:p>
      <w:pPr>
        <w:spacing w:line="360" w:lineRule="auto"/>
        <w:rPr>
          <w:rFonts w:hint="eastAsia" w:ascii="宋体" w:hAnsi="宋体" w:eastAsia="宋体" w:cs="宋体"/>
          <w:b/>
          <w:bCs/>
          <w:sz w:val="36"/>
          <w:szCs w:val="44"/>
          <w:highlight w:val="none"/>
        </w:rPr>
      </w:pPr>
    </w:p>
    <w:p>
      <w:pPr>
        <w:spacing w:line="360" w:lineRule="auto"/>
        <w:ind w:firstLine="2891" w:firstLineChars="800"/>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第8部分  资格证明文件</w:t>
      </w:r>
    </w:p>
    <w:p>
      <w:pPr>
        <w:spacing w:line="360" w:lineRule="auto"/>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8.1、供应商资格证明文件主要内容：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（1）具有独立承担民事责任能力的法人、其他组织或自然人，提供营业执照/事业单位法人证书/非企业专业服务机构执业许可证/自然人身份证。</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（2）法定代表人参加投标时，提供法定代表人证明书；授权代表参加投标时，提供法定代表人授权书；非法人单位参照执行。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（3）财务状况报告：提供经审计的</w:t>
      </w:r>
      <w:r>
        <w:rPr>
          <w:rFonts w:hint="eastAsia" w:ascii="宋体" w:hAnsi="宋体" w:eastAsia="宋体" w:cs="宋体"/>
          <w:color w:val="auto"/>
          <w:sz w:val="24"/>
          <w:highlight w:val="none"/>
          <w:lang w:eastAsia="zh-CN"/>
        </w:rPr>
        <w:t>2021年度的财务报告或2022年度的财务报告</w:t>
      </w:r>
      <w:r>
        <w:rPr>
          <w:rFonts w:hint="eastAsia" w:ascii="宋体" w:hAnsi="宋体" w:eastAsia="宋体" w:cs="宋体"/>
          <w:color w:val="auto"/>
          <w:sz w:val="24"/>
          <w:highlight w:val="none"/>
        </w:rPr>
        <w:t>或提交投标文件截止时间前六个月内银行资信证明；或政府采购信用担保机构出具的投标担保函。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（4）税收缴纳证明：提供投标文件递交截止时间前六个月内至少一个月已缴纳的纳税凭据或完税证明；依法免税的供应商应提供相关文件证明。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社会保障资金缴纳证明：提供投标文件截止时间前六个月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（6）提供具有履行本合同所必需的设备和专业技术能力的承诺。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（7）提供参加政府采购活动前三年内在经营活动中没有重大违法记录的书面声明。</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360" w:lineRule="auto"/>
        <w:ind w:firstLine="482" w:firstLineChars="200"/>
        <w:rPr>
          <w:rFonts w:hint="eastAsia" w:ascii="宋体" w:hAnsi="宋体" w:eastAsia="宋体" w:cs="宋体"/>
          <w:b/>
          <w:sz w:val="32"/>
          <w:szCs w:val="32"/>
          <w:highlight w:val="none"/>
        </w:rPr>
      </w:pPr>
      <w:r>
        <w:rPr>
          <w:rFonts w:hint="eastAsia" w:ascii="宋体" w:hAnsi="宋体" w:eastAsia="宋体" w:cs="宋体"/>
          <w:b/>
          <w:sz w:val="24"/>
          <w:highlight w:val="none"/>
        </w:rPr>
        <w:t>8.2、供应商认为有必要说明的资格问题。</w:t>
      </w:r>
    </w:p>
    <w:p>
      <w:pPr>
        <w:spacing w:line="360" w:lineRule="auto"/>
        <w:jc w:val="both"/>
        <w:rPr>
          <w:rFonts w:hint="eastAsia" w:ascii="宋体" w:hAnsi="宋体" w:eastAsia="宋体" w:cs="宋体"/>
          <w:b/>
          <w:sz w:val="36"/>
          <w:szCs w:val="36"/>
          <w:highlight w:val="none"/>
        </w:rPr>
      </w:pPr>
    </w:p>
    <w:p>
      <w:pPr>
        <w:pStyle w:val="2"/>
        <w:rPr>
          <w:rFonts w:hint="eastAsia"/>
        </w:rPr>
      </w:pPr>
    </w:p>
    <w:p>
      <w:pPr>
        <w:spacing w:line="360" w:lineRule="auto"/>
        <w:jc w:val="center"/>
        <w:rPr>
          <w:rFonts w:hint="eastAsia" w:ascii="宋体" w:hAnsi="宋体" w:eastAsia="宋体" w:cs="宋体"/>
          <w:b/>
          <w:sz w:val="36"/>
          <w:szCs w:val="36"/>
          <w:highlight w:val="none"/>
        </w:rPr>
      </w:pPr>
    </w:p>
    <w:p>
      <w:pPr>
        <w:bidi w:val="0"/>
        <w:jc w:val="center"/>
        <w:rPr>
          <w:b/>
          <w:bCs/>
          <w:sz w:val="28"/>
          <w:szCs w:val="36"/>
        </w:rPr>
      </w:pPr>
      <w:bookmarkStart w:id="110" w:name="_Toc25"/>
      <w:r>
        <w:rPr>
          <w:rFonts w:hint="eastAsia"/>
          <w:b/>
          <w:bCs/>
          <w:sz w:val="28"/>
          <w:szCs w:val="36"/>
        </w:rPr>
        <w:t>响应文件封袋正面标识式样</w:t>
      </w:r>
      <w:bookmarkEnd w:id="110"/>
    </w:p>
    <w:p>
      <w:pPr>
        <w:pStyle w:val="2"/>
        <w:jc w:val="both"/>
        <w:rPr>
          <w:b/>
          <w:bCs/>
          <w:sz w:val="44"/>
          <w:szCs w:val="44"/>
          <w:highlight w:val="none"/>
        </w:rPr>
      </w:pPr>
      <w:r>
        <w:rPr>
          <w:rFonts w:ascii="宋体" w:hAnsi="宋体" w:cs="宋体"/>
          <w:b/>
          <w:sz w:val="36"/>
          <w:szCs w:val="36"/>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18415</wp:posOffset>
                </wp:positionV>
                <wp:extent cx="6187440" cy="4033520"/>
                <wp:effectExtent l="19050" t="19050" r="22860" b="24130"/>
                <wp:wrapNone/>
                <wp:docPr id="27" name="文本框 27"/>
                <wp:cNvGraphicFramePr/>
                <a:graphic xmlns:a="http://schemas.openxmlformats.org/drawingml/2006/main">
                  <a:graphicData uri="http://schemas.microsoft.com/office/word/2010/wordprocessingShape">
                    <wps:wsp>
                      <wps:cNvSpPr txBox="1"/>
                      <wps:spPr>
                        <a:xfrm>
                          <a:off x="0" y="0"/>
                          <a:ext cx="6187440" cy="403352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pStyle w:val="14"/>
                              <w:ind w:left="0" w:leftChars="0"/>
                              <w:rPr>
                                <w:rFonts w:ascii="宋体" w:hAnsi="宋体" w:cs="宋体"/>
                                <w:sz w:val="24"/>
                              </w:rPr>
                            </w:pPr>
                            <w:r>
                              <w:rPr>
                                <w:rFonts w:hint="eastAsia" w:ascii="宋体" w:hAnsi="宋体" w:cs="宋体"/>
                                <w:sz w:val="24"/>
                              </w:rPr>
                              <w:t>采购人名称：</w:t>
                            </w:r>
                          </w:p>
                          <w:p/>
                          <w:p>
                            <w:pPr>
                              <w:spacing w:line="440" w:lineRule="exact"/>
                              <w:rPr>
                                <w:rFonts w:ascii="宋体" w:hAnsi="宋体" w:cs="宋体"/>
                                <w:sz w:val="24"/>
                              </w:rPr>
                            </w:pPr>
                            <w:r>
                              <w:rPr>
                                <w:rFonts w:hint="eastAsia" w:ascii="宋体" w:hAnsi="宋体" w:cs="宋体"/>
                                <w:sz w:val="24"/>
                              </w:rPr>
                              <w:t>项目名称：</w:t>
                            </w:r>
                          </w:p>
                          <w:p>
                            <w:pPr>
                              <w:pStyle w:val="2"/>
                            </w:pPr>
                          </w:p>
                          <w:p>
                            <w:pPr>
                              <w:pStyle w:val="14"/>
                              <w:ind w:left="0" w:leftChars="0"/>
                              <w:rPr>
                                <w:rFonts w:ascii="宋体" w:hAnsi="宋体" w:cs="宋体"/>
                              </w:rPr>
                            </w:pPr>
                            <w:r>
                              <w:rPr>
                                <w:rFonts w:hint="eastAsia" w:ascii="宋体" w:hAnsi="宋体" w:cs="宋体"/>
                                <w:sz w:val="24"/>
                              </w:rPr>
                              <w:t>项目编号：</w:t>
                            </w:r>
                          </w:p>
                          <w:p>
                            <w:pPr>
                              <w:pStyle w:val="2"/>
                            </w:pPr>
                          </w:p>
                          <w:p>
                            <w:pPr>
                              <w:spacing w:line="440" w:lineRule="exact"/>
                              <w:jc w:val="center"/>
                            </w:pPr>
                            <w:r>
                              <w:rPr>
                                <w:rFonts w:hint="eastAsia" w:ascii="宋体" w:hAnsi="宋体" w:cs="宋体"/>
                                <w:sz w:val="36"/>
                                <w:szCs w:val="36"/>
                              </w:rPr>
                              <w:t>响 应 文 件（正本或副本）</w:t>
                            </w:r>
                          </w:p>
                          <w:p>
                            <w:pPr>
                              <w:spacing w:line="440" w:lineRule="exact"/>
                              <w:jc w:val="center"/>
                              <w:rPr>
                                <w:rFonts w:ascii="宋体" w:hAnsi="宋体" w:cs="宋体"/>
                                <w:sz w:val="24"/>
                              </w:rPr>
                            </w:pPr>
                            <w:r>
                              <w:rPr>
                                <w:rFonts w:hint="eastAsia" w:ascii="宋体" w:hAnsi="宋体" w:cs="宋体"/>
                                <w:sz w:val="24"/>
                              </w:rPr>
                              <w:t>（非</w:t>
                            </w:r>
                            <w:r>
                              <w:rPr>
                                <w:rFonts w:hint="eastAsia" w:ascii="宋体" w:hAnsi="宋体" w:cs="宋体"/>
                                <w:sz w:val="24"/>
                                <w:lang w:eastAsia="zh-CN"/>
                              </w:rPr>
                              <w:t>招标</w:t>
                            </w:r>
                            <w:r>
                              <w:rPr>
                                <w:rFonts w:hint="eastAsia" w:ascii="宋体" w:hAnsi="宋体" w:cs="宋体"/>
                                <w:sz w:val="24"/>
                              </w:rPr>
                              <w:t>大会不得启封）</w:t>
                            </w:r>
                          </w:p>
                          <w:p>
                            <w:pPr>
                              <w:pStyle w:val="2"/>
                            </w:pPr>
                          </w:p>
                          <w:p>
                            <w:pPr>
                              <w:rPr>
                                <w:rFonts w:ascii="宋体" w:hAnsi="宋体" w:cs="宋体"/>
                                <w:sz w:val="24"/>
                              </w:rPr>
                            </w:pPr>
                            <w:r>
                              <w:rPr>
                                <w:rFonts w:hint="eastAsia" w:ascii="宋体" w:hAnsi="宋体" w:cs="宋体"/>
                                <w:sz w:val="24"/>
                              </w:rPr>
                              <w:t>响应人名称：（公章）</w:t>
                            </w:r>
                          </w:p>
                          <w:p>
                            <w:pPr>
                              <w:pStyle w:val="2"/>
                            </w:pPr>
                          </w:p>
                          <w:p>
                            <w:pPr>
                              <w:rPr>
                                <w:rFonts w:ascii="宋体" w:hAnsi="宋体" w:cs="宋体"/>
                                <w:sz w:val="24"/>
                              </w:rPr>
                            </w:pPr>
                            <w:r>
                              <w:rPr>
                                <w:rFonts w:hint="eastAsia" w:ascii="宋体" w:hAnsi="宋体" w:cs="宋体"/>
                                <w:sz w:val="24"/>
                              </w:rPr>
                              <w:t>联系人及电话：</w:t>
                            </w:r>
                          </w:p>
                          <w:p>
                            <w:pPr>
                              <w:pStyle w:val="2"/>
                            </w:pPr>
                          </w:p>
                          <w:p>
                            <w:pPr>
                              <w:rPr>
                                <w:rFonts w:ascii="宋体" w:hAnsi="宋体" w:cs="宋体"/>
                                <w:sz w:val="24"/>
                              </w:rPr>
                            </w:pPr>
                            <w:r>
                              <w:rPr>
                                <w:rFonts w:hint="eastAsia" w:ascii="宋体" w:hAnsi="宋体" w:cs="宋体"/>
                                <w:sz w:val="24"/>
                              </w:rPr>
                              <w:t>地址:</w:t>
                            </w:r>
                          </w:p>
                        </w:txbxContent>
                      </wps:txbx>
                      <wps:bodyPr upright="1"/>
                    </wps:wsp>
                  </a:graphicData>
                </a:graphic>
              </wp:anchor>
            </w:drawing>
          </mc:Choice>
          <mc:Fallback>
            <w:pict>
              <v:shape id="_x0000_s1026" o:spid="_x0000_s1026" o:spt="202" type="#_x0000_t202" style="position:absolute;left:0pt;margin-left:1.45pt;margin-top:1.45pt;height:317.6pt;width:487.2pt;z-index:251661312;mso-width-relative:page;mso-height-relative:page;" fillcolor="#FFFFFF" filled="t" stroked="t" coordsize="21600,21600" o:gfxdata="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6M8+1wAAAAcBAAAPAAAA&#10;AAAAAAEAIAAAACIAAABkcnMvZG93bnJldi54bWxQSwECFAAUAAAACACHTuJAUejrQxYCAABIBAAA&#10;DgAAAAAAAAABACAAAAAmAQAAZHJzL2Uyb0RvYy54bWxQSwUGAAAAAAYABgBZAQAArgUAAAAA&#10;">
                <v:fill on="t" focussize="0,0"/>
                <v:stroke weight="3pt" color="#000000" linestyle="thinThin" joinstyle="miter"/>
                <v:imagedata o:title=""/>
                <o:lock v:ext="edit" aspectratio="f"/>
                <v:textbox>
                  <w:txbxContent>
                    <w:p>
                      <w:pPr>
                        <w:pStyle w:val="14"/>
                        <w:ind w:left="0" w:leftChars="0"/>
                        <w:rPr>
                          <w:rFonts w:ascii="宋体" w:hAnsi="宋体" w:cs="宋体"/>
                          <w:sz w:val="24"/>
                        </w:rPr>
                      </w:pPr>
                      <w:r>
                        <w:rPr>
                          <w:rFonts w:hint="eastAsia" w:ascii="宋体" w:hAnsi="宋体" w:cs="宋体"/>
                          <w:sz w:val="24"/>
                        </w:rPr>
                        <w:t>采购人名称：</w:t>
                      </w:r>
                    </w:p>
                    <w:p/>
                    <w:p>
                      <w:pPr>
                        <w:spacing w:line="440" w:lineRule="exact"/>
                        <w:rPr>
                          <w:rFonts w:ascii="宋体" w:hAnsi="宋体" w:cs="宋体"/>
                          <w:sz w:val="24"/>
                        </w:rPr>
                      </w:pPr>
                      <w:r>
                        <w:rPr>
                          <w:rFonts w:hint="eastAsia" w:ascii="宋体" w:hAnsi="宋体" w:cs="宋体"/>
                          <w:sz w:val="24"/>
                        </w:rPr>
                        <w:t>项目名称：</w:t>
                      </w:r>
                    </w:p>
                    <w:p>
                      <w:pPr>
                        <w:pStyle w:val="2"/>
                      </w:pPr>
                    </w:p>
                    <w:p>
                      <w:pPr>
                        <w:pStyle w:val="14"/>
                        <w:ind w:left="0" w:leftChars="0"/>
                        <w:rPr>
                          <w:rFonts w:ascii="宋体" w:hAnsi="宋体" w:cs="宋体"/>
                        </w:rPr>
                      </w:pPr>
                      <w:r>
                        <w:rPr>
                          <w:rFonts w:hint="eastAsia" w:ascii="宋体" w:hAnsi="宋体" w:cs="宋体"/>
                          <w:sz w:val="24"/>
                        </w:rPr>
                        <w:t>项目编号：</w:t>
                      </w:r>
                    </w:p>
                    <w:p>
                      <w:pPr>
                        <w:pStyle w:val="2"/>
                      </w:pPr>
                    </w:p>
                    <w:p>
                      <w:pPr>
                        <w:spacing w:line="440" w:lineRule="exact"/>
                        <w:jc w:val="center"/>
                      </w:pPr>
                      <w:r>
                        <w:rPr>
                          <w:rFonts w:hint="eastAsia" w:ascii="宋体" w:hAnsi="宋体" w:cs="宋体"/>
                          <w:sz w:val="36"/>
                          <w:szCs w:val="36"/>
                        </w:rPr>
                        <w:t>响 应 文 件（正本或副本）</w:t>
                      </w:r>
                    </w:p>
                    <w:p>
                      <w:pPr>
                        <w:spacing w:line="440" w:lineRule="exact"/>
                        <w:jc w:val="center"/>
                        <w:rPr>
                          <w:rFonts w:ascii="宋体" w:hAnsi="宋体" w:cs="宋体"/>
                          <w:sz w:val="24"/>
                        </w:rPr>
                      </w:pPr>
                      <w:r>
                        <w:rPr>
                          <w:rFonts w:hint="eastAsia" w:ascii="宋体" w:hAnsi="宋体" w:cs="宋体"/>
                          <w:sz w:val="24"/>
                        </w:rPr>
                        <w:t>（非</w:t>
                      </w:r>
                      <w:r>
                        <w:rPr>
                          <w:rFonts w:hint="eastAsia" w:ascii="宋体" w:hAnsi="宋体" w:cs="宋体"/>
                          <w:sz w:val="24"/>
                          <w:lang w:eastAsia="zh-CN"/>
                        </w:rPr>
                        <w:t>招标</w:t>
                      </w:r>
                      <w:r>
                        <w:rPr>
                          <w:rFonts w:hint="eastAsia" w:ascii="宋体" w:hAnsi="宋体" w:cs="宋体"/>
                          <w:sz w:val="24"/>
                        </w:rPr>
                        <w:t>大会不得启封）</w:t>
                      </w:r>
                    </w:p>
                    <w:p>
                      <w:pPr>
                        <w:pStyle w:val="2"/>
                      </w:pPr>
                    </w:p>
                    <w:p>
                      <w:pPr>
                        <w:rPr>
                          <w:rFonts w:ascii="宋体" w:hAnsi="宋体" w:cs="宋体"/>
                          <w:sz w:val="24"/>
                        </w:rPr>
                      </w:pPr>
                      <w:r>
                        <w:rPr>
                          <w:rFonts w:hint="eastAsia" w:ascii="宋体" w:hAnsi="宋体" w:cs="宋体"/>
                          <w:sz w:val="24"/>
                        </w:rPr>
                        <w:t>响应人名称：（公章）</w:t>
                      </w:r>
                    </w:p>
                    <w:p>
                      <w:pPr>
                        <w:pStyle w:val="2"/>
                      </w:pPr>
                    </w:p>
                    <w:p>
                      <w:pPr>
                        <w:rPr>
                          <w:rFonts w:ascii="宋体" w:hAnsi="宋体" w:cs="宋体"/>
                          <w:sz w:val="24"/>
                        </w:rPr>
                      </w:pPr>
                      <w:r>
                        <w:rPr>
                          <w:rFonts w:hint="eastAsia" w:ascii="宋体" w:hAnsi="宋体" w:cs="宋体"/>
                          <w:sz w:val="24"/>
                        </w:rPr>
                        <w:t>联系人及电话：</w:t>
                      </w:r>
                    </w:p>
                    <w:p>
                      <w:pPr>
                        <w:pStyle w:val="2"/>
                      </w:pPr>
                    </w:p>
                    <w:p>
                      <w:pPr>
                        <w:rPr>
                          <w:rFonts w:ascii="宋体" w:hAnsi="宋体" w:cs="宋体"/>
                          <w:sz w:val="24"/>
                        </w:rPr>
                      </w:pPr>
                      <w:r>
                        <w:rPr>
                          <w:rFonts w:hint="eastAsia" w:ascii="宋体" w:hAnsi="宋体" w:cs="宋体"/>
                          <w:sz w:val="24"/>
                        </w:rPr>
                        <w:t>地址:</w:t>
                      </w:r>
                    </w:p>
                  </w:txbxContent>
                </v:textbox>
              </v:shape>
            </w:pict>
          </mc:Fallback>
        </mc:AlternateContent>
      </w:r>
    </w:p>
    <w:p>
      <w:pPr>
        <w:rPr>
          <w:rFonts w:hint="eastAsia"/>
        </w:rPr>
      </w:pPr>
    </w:p>
    <w:p>
      <w:pPr>
        <w:rPr>
          <w:rFonts w:hint="eastAsia" w:ascii="宋体" w:hAnsi="宋体" w:eastAsia="宋体" w:cs="宋体"/>
          <w:color w:val="000000"/>
          <w:w w:val="90"/>
          <w:sz w:val="28"/>
          <w:szCs w:val="28"/>
          <w:highlight w:val="none"/>
        </w:rPr>
      </w:pPr>
      <w:r>
        <w:rPr>
          <w:rFonts w:ascii="宋体" w:hAnsi="宋体" w:cs="宋体"/>
          <w:b/>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3400425</wp:posOffset>
                </wp:positionV>
                <wp:extent cx="6187440" cy="4114800"/>
                <wp:effectExtent l="19050" t="19050" r="22860" b="19050"/>
                <wp:wrapNone/>
                <wp:docPr id="5" name="文本框 5"/>
                <wp:cNvGraphicFramePr/>
                <a:graphic xmlns:a="http://schemas.openxmlformats.org/drawingml/2006/main">
                  <a:graphicData uri="http://schemas.microsoft.com/office/word/2010/wordprocessingShape">
                    <wps:wsp>
                      <wps:cNvSpPr txBox="1"/>
                      <wps:spPr>
                        <a:xfrm>
                          <a:off x="0" y="0"/>
                          <a:ext cx="6187440" cy="411480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pStyle w:val="14"/>
                              <w:ind w:left="0" w:leftChars="0"/>
                              <w:rPr>
                                <w:rFonts w:ascii="宋体" w:hAnsi="宋体" w:cs="宋体"/>
                                <w:sz w:val="24"/>
                              </w:rPr>
                            </w:pPr>
                            <w:r>
                              <w:rPr>
                                <w:rFonts w:hint="eastAsia" w:ascii="宋体" w:hAnsi="宋体" w:cs="宋体"/>
                                <w:sz w:val="24"/>
                              </w:rPr>
                              <w:t>采购人名称：</w:t>
                            </w:r>
                          </w:p>
                          <w:p/>
                          <w:p>
                            <w:pPr>
                              <w:spacing w:line="440" w:lineRule="exact"/>
                              <w:rPr>
                                <w:rFonts w:ascii="宋体" w:hAnsi="宋体" w:cs="宋体"/>
                                <w:sz w:val="24"/>
                              </w:rPr>
                            </w:pPr>
                            <w:r>
                              <w:rPr>
                                <w:rFonts w:hint="eastAsia" w:ascii="宋体" w:hAnsi="宋体" w:cs="宋体"/>
                                <w:sz w:val="24"/>
                              </w:rPr>
                              <w:t>项目名称：</w:t>
                            </w:r>
                          </w:p>
                          <w:p>
                            <w:pPr>
                              <w:pStyle w:val="2"/>
                            </w:pPr>
                          </w:p>
                          <w:p>
                            <w:pPr>
                              <w:pStyle w:val="14"/>
                              <w:ind w:left="0" w:leftChars="0"/>
                              <w:rPr>
                                <w:rFonts w:ascii="宋体" w:hAnsi="宋体" w:cs="宋体"/>
                              </w:rPr>
                            </w:pPr>
                            <w:r>
                              <w:rPr>
                                <w:rFonts w:hint="eastAsia" w:ascii="宋体" w:hAnsi="宋体" w:cs="宋体"/>
                                <w:sz w:val="24"/>
                              </w:rPr>
                              <w:t>项目编号：</w:t>
                            </w:r>
                          </w:p>
                          <w:p>
                            <w:pPr>
                              <w:pStyle w:val="2"/>
                            </w:pPr>
                          </w:p>
                          <w:p>
                            <w:pPr>
                              <w:spacing w:line="440" w:lineRule="exact"/>
                              <w:jc w:val="center"/>
                              <w:rPr>
                                <w:rFonts w:hint="eastAsia" w:ascii="宋体" w:hAnsi="宋体" w:eastAsia="宋体" w:cs="宋体"/>
                                <w:sz w:val="32"/>
                                <w:szCs w:val="40"/>
                                <w:highlight w:val="none"/>
                              </w:rPr>
                            </w:pPr>
                            <w:r>
                              <w:rPr>
                                <w:rFonts w:hint="eastAsia" w:ascii="宋体" w:hAnsi="宋体" w:eastAsia="宋体" w:cs="宋体"/>
                                <w:sz w:val="36"/>
                                <w:szCs w:val="44"/>
                                <w:highlight w:val="none"/>
                              </w:rPr>
                              <w:t>投标报价一览表及电子</w:t>
                            </w:r>
                            <w:r>
                              <w:rPr>
                                <w:rFonts w:hint="eastAsia" w:ascii="宋体" w:hAnsi="宋体" w:cs="宋体"/>
                                <w:sz w:val="36"/>
                                <w:szCs w:val="44"/>
                                <w:highlight w:val="none"/>
                                <w:lang w:val="en-US" w:eastAsia="zh-CN"/>
                              </w:rPr>
                              <w:t>版</w:t>
                            </w:r>
                            <w:r>
                              <w:rPr>
                                <w:rFonts w:hint="eastAsia" w:ascii="宋体" w:hAnsi="宋体" w:eastAsia="宋体" w:cs="宋体"/>
                                <w:sz w:val="36"/>
                                <w:szCs w:val="44"/>
                                <w:highlight w:val="none"/>
                              </w:rPr>
                              <w:t>文档</w:t>
                            </w:r>
                          </w:p>
                          <w:p>
                            <w:pPr>
                              <w:spacing w:line="440" w:lineRule="exact"/>
                              <w:jc w:val="center"/>
                              <w:rPr>
                                <w:rFonts w:ascii="宋体" w:hAnsi="宋体" w:cs="宋体"/>
                                <w:sz w:val="24"/>
                              </w:rPr>
                            </w:pPr>
                            <w:r>
                              <w:rPr>
                                <w:rFonts w:hint="eastAsia" w:ascii="宋体" w:hAnsi="宋体" w:cs="宋体"/>
                                <w:sz w:val="24"/>
                              </w:rPr>
                              <w:t>（非</w:t>
                            </w:r>
                            <w:r>
                              <w:rPr>
                                <w:rFonts w:hint="eastAsia" w:ascii="宋体" w:hAnsi="宋体" w:cs="宋体"/>
                                <w:sz w:val="24"/>
                                <w:lang w:eastAsia="zh-CN"/>
                              </w:rPr>
                              <w:t>招标</w:t>
                            </w:r>
                            <w:r>
                              <w:rPr>
                                <w:rFonts w:hint="eastAsia" w:ascii="宋体" w:hAnsi="宋体" w:cs="宋体"/>
                                <w:sz w:val="24"/>
                              </w:rPr>
                              <w:t>大会不得启封）</w:t>
                            </w:r>
                          </w:p>
                          <w:p>
                            <w:pPr>
                              <w:pStyle w:val="2"/>
                            </w:pPr>
                          </w:p>
                          <w:p>
                            <w:pPr>
                              <w:rPr>
                                <w:rFonts w:ascii="宋体" w:hAnsi="宋体" w:cs="宋体"/>
                                <w:sz w:val="24"/>
                              </w:rPr>
                            </w:pPr>
                            <w:r>
                              <w:rPr>
                                <w:rFonts w:hint="eastAsia" w:ascii="宋体" w:hAnsi="宋体" w:cs="宋体"/>
                                <w:sz w:val="24"/>
                              </w:rPr>
                              <w:t>响应人名称：（公章）</w:t>
                            </w:r>
                          </w:p>
                          <w:p>
                            <w:pPr>
                              <w:pStyle w:val="2"/>
                            </w:pPr>
                          </w:p>
                          <w:p>
                            <w:r>
                              <w:rPr>
                                <w:rFonts w:hint="eastAsia" w:ascii="宋体" w:hAnsi="宋体" w:cs="宋体"/>
                                <w:sz w:val="24"/>
                              </w:rPr>
                              <w:t>联系人及电话：</w:t>
                            </w:r>
                          </w:p>
                          <w:p>
                            <w:pPr>
                              <w:rPr>
                                <w:rFonts w:hint="eastAsia" w:ascii="宋体" w:hAnsi="宋体" w:cs="宋体"/>
                                <w:sz w:val="24"/>
                              </w:rPr>
                            </w:pPr>
                          </w:p>
                          <w:p>
                            <w:pPr>
                              <w:rPr>
                                <w:rFonts w:ascii="宋体" w:hAnsi="宋体" w:cs="宋体"/>
                                <w:sz w:val="24"/>
                              </w:rPr>
                            </w:pPr>
                            <w:r>
                              <w:rPr>
                                <w:rFonts w:hint="eastAsia" w:ascii="宋体" w:hAnsi="宋体" w:cs="宋体"/>
                                <w:sz w:val="24"/>
                              </w:rPr>
                              <w:t>地址:</w:t>
                            </w:r>
                          </w:p>
                        </w:txbxContent>
                      </wps:txbx>
                      <wps:bodyPr upright="1"/>
                    </wps:wsp>
                  </a:graphicData>
                </a:graphic>
              </wp:anchor>
            </w:drawing>
          </mc:Choice>
          <mc:Fallback>
            <w:pict>
              <v:shape id="_x0000_s1026" o:spid="_x0000_s1026" o:spt="202" type="#_x0000_t202" style="position:absolute;left:0pt;margin-left:1.05pt;margin-top:267.75pt;height:324pt;width:487.2pt;z-index:251665408;mso-width-relative:page;mso-height-relative:page;" fillcolor="#FFFFFF" filled="t" stroked="t" coordsize="21600,21600" o:gfxdata="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KiOmzYAAAACgEAAA8AAAAA&#10;AAAAAQAgAAAAIgAAAGRycy9kb3ducmV2LnhtbFBLAQIUABQAAAAIAIdO4kDM23sWFAIAAEYEAAAO&#10;AAAAAAAAAAEAIAAAACcBAABkcnMvZTJvRG9jLnhtbFBLBQYAAAAABgAGAFkBAACtBQAAAAA=&#10;">
                <v:fill on="t" focussize="0,0"/>
                <v:stroke weight="3pt" color="#000000" linestyle="thinThin" joinstyle="miter"/>
                <v:imagedata o:title=""/>
                <o:lock v:ext="edit" aspectratio="f"/>
                <v:textbox>
                  <w:txbxContent>
                    <w:p>
                      <w:pPr>
                        <w:pStyle w:val="14"/>
                        <w:ind w:left="0" w:leftChars="0"/>
                        <w:rPr>
                          <w:rFonts w:ascii="宋体" w:hAnsi="宋体" w:cs="宋体"/>
                          <w:sz w:val="24"/>
                        </w:rPr>
                      </w:pPr>
                      <w:r>
                        <w:rPr>
                          <w:rFonts w:hint="eastAsia" w:ascii="宋体" w:hAnsi="宋体" w:cs="宋体"/>
                          <w:sz w:val="24"/>
                        </w:rPr>
                        <w:t>采购人名称：</w:t>
                      </w:r>
                    </w:p>
                    <w:p/>
                    <w:p>
                      <w:pPr>
                        <w:spacing w:line="440" w:lineRule="exact"/>
                        <w:rPr>
                          <w:rFonts w:ascii="宋体" w:hAnsi="宋体" w:cs="宋体"/>
                          <w:sz w:val="24"/>
                        </w:rPr>
                      </w:pPr>
                      <w:r>
                        <w:rPr>
                          <w:rFonts w:hint="eastAsia" w:ascii="宋体" w:hAnsi="宋体" w:cs="宋体"/>
                          <w:sz w:val="24"/>
                        </w:rPr>
                        <w:t>项目名称：</w:t>
                      </w:r>
                    </w:p>
                    <w:p>
                      <w:pPr>
                        <w:pStyle w:val="2"/>
                      </w:pPr>
                    </w:p>
                    <w:p>
                      <w:pPr>
                        <w:pStyle w:val="14"/>
                        <w:ind w:left="0" w:leftChars="0"/>
                        <w:rPr>
                          <w:rFonts w:ascii="宋体" w:hAnsi="宋体" w:cs="宋体"/>
                        </w:rPr>
                      </w:pPr>
                      <w:r>
                        <w:rPr>
                          <w:rFonts w:hint="eastAsia" w:ascii="宋体" w:hAnsi="宋体" w:cs="宋体"/>
                          <w:sz w:val="24"/>
                        </w:rPr>
                        <w:t>项目编号：</w:t>
                      </w:r>
                    </w:p>
                    <w:p>
                      <w:pPr>
                        <w:pStyle w:val="2"/>
                      </w:pPr>
                    </w:p>
                    <w:p>
                      <w:pPr>
                        <w:spacing w:line="440" w:lineRule="exact"/>
                        <w:jc w:val="center"/>
                        <w:rPr>
                          <w:rFonts w:hint="eastAsia" w:ascii="宋体" w:hAnsi="宋体" w:eastAsia="宋体" w:cs="宋体"/>
                          <w:sz w:val="32"/>
                          <w:szCs w:val="40"/>
                          <w:highlight w:val="none"/>
                        </w:rPr>
                      </w:pPr>
                      <w:r>
                        <w:rPr>
                          <w:rFonts w:hint="eastAsia" w:ascii="宋体" w:hAnsi="宋体" w:eastAsia="宋体" w:cs="宋体"/>
                          <w:sz w:val="36"/>
                          <w:szCs w:val="44"/>
                          <w:highlight w:val="none"/>
                        </w:rPr>
                        <w:t>投标报价一览表及电子</w:t>
                      </w:r>
                      <w:r>
                        <w:rPr>
                          <w:rFonts w:hint="eastAsia" w:ascii="宋体" w:hAnsi="宋体" w:cs="宋体"/>
                          <w:sz w:val="36"/>
                          <w:szCs w:val="44"/>
                          <w:highlight w:val="none"/>
                          <w:lang w:val="en-US" w:eastAsia="zh-CN"/>
                        </w:rPr>
                        <w:t>版</w:t>
                      </w:r>
                      <w:r>
                        <w:rPr>
                          <w:rFonts w:hint="eastAsia" w:ascii="宋体" w:hAnsi="宋体" w:eastAsia="宋体" w:cs="宋体"/>
                          <w:sz w:val="36"/>
                          <w:szCs w:val="44"/>
                          <w:highlight w:val="none"/>
                        </w:rPr>
                        <w:t>文档</w:t>
                      </w:r>
                    </w:p>
                    <w:p>
                      <w:pPr>
                        <w:spacing w:line="440" w:lineRule="exact"/>
                        <w:jc w:val="center"/>
                        <w:rPr>
                          <w:rFonts w:ascii="宋体" w:hAnsi="宋体" w:cs="宋体"/>
                          <w:sz w:val="24"/>
                        </w:rPr>
                      </w:pPr>
                      <w:r>
                        <w:rPr>
                          <w:rFonts w:hint="eastAsia" w:ascii="宋体" w:hAnsi="宋体" w:cs="宋体"/>
                          <w:sz w:val="24"/>
                        </w:rPr>
                        <w:t>（非</w:t>
                      </w:r>
                      <w:r>
                        <w:rPr>
                          <w:rFonts w:hint="eastAsia" w:ascii="宋体" w:hAnsi="宋体" w:cs="宋体"/>
                          <w:sz w:val="24"/>
                          <w:lang w:eastAsia="zh-CN"/>
                        </w:rPr>
                        <w:t>招标</w:t>
                      </w:r>
                      <w:r>
                        <w:rPr>
                          <w:rFonts w:hint="eastAsia" w:ascii="宋体" w:hAnsi="宋体" w:cs="宋体"/>
                          <w:sz w:val="24"/>
                        </w:rPr>
                        <w:t>大会不得启封）</w:t>
                      </w:r>
                    </w:p>
                    <w:p>
                      <w:pPr>
                        <w:pStyle w:val="2"/>
                      </w:pPr>
                    </w:p>
                    <w:p>
                      <w:pPr>
                        <w:rPr>
                          <w:rFonts w:ascii="宋体" w:hAnsi="宋体" w:cs="宋体"/>
                          <w:sz w:val="24"/>
                        </w:rPr>
                      </w:pPr>
                      <w:r>
                        <w:rPr>
                          <w:rFonts w:hint="eastAsia" w:ascii="宋体" w:hAnsi="宋体" w:cs="宋体"/>
                          <w:sz w:val="24"/>
                        </w:rPr>
                        <w:t>响应人名称：（公章）</w:t>
                      </w:r>
                    </w:p>
                    <w:p>
                      <w:pPr>
                        <w:pStyle w:val="2"/>
                      </w:pPr>
                    </w:p>
                    <w:p>
                      <w:r>
                        <w:rPr>
                          <w:rFonts w:hint="eastAsia" w:ascii="宋体" w:hAnsi="宋体" w:cs="宋体"/>
                          <w:sz w:val="24"/>
                        </w:rPr>
                        <w:t>联系人及电话：</w:t>
                      </w:r>
                    </w:p>
                    <w:p>
                      <w:pPr>
                        <w:rPr>
                          <w:rFonts w:hint="eastAsia" w:ascii="宋体" w:hAnsi="宋体" w:cs="宋体"/>
                          <w:sz w:val="24"/>
                        </w:rPr>
                      </w:pPr>
                    </w:p>
                    <w:p>
                      <w:pPr>
                        <w:rPr>
                          <w:rFonts w:ascii="宋体" w:hAnsi="宋体" w:cs="宋体"/>
                          <w:sz w:val="24"/>
                        </w:rPr>
                      </w:pPr>
                      <w:r>
                        <w:rPr>
                          <w:rFonts w:hint="eastAsia" w:ascii="宋体" w:hAnsi="宋体" w:cs="宋体"/>
                          <w:sz w:val="24"/>
                        </w:rPr>
                        <w:t>地址:</w:t>
                      </w:r>
                    </w:p>
                  </w:txbxContent>
                </v:textbox>
              </v:shape>
            </w:pict>
          </mc:Fallback>
        </mc:AlternateContent>
      </w:r>
    </w:p>
    <w:sectPr>
      <w:headerReference r:id="rId12" w:type="default"/>
      <w:footerReference r:id="rId13" w:type="default"/>
      <w:pgSz w:w="11906" w:h="16838"/>
      <w:pgMar w:top="1440" w:right="1080" w:bottom="1440" w:left="1080" w:header="851" w:footer="765" w:gutter="0"/>
      <w:pgNumType w:fmt="decimal"/>
      <w:cols w:space="720" w:num="1"/>
      <w:docGrid w:type="line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28"/>
                            <w:rPr>
                              <w:rFonts w:hint="eastAsia"/>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42PWdEAAAADAQAADwAAAAAAAAABACAAAAAiAAAAZHJzL2Rvd25y&#10;ZXYueG1sUEsBAhQAFAAAAAgAh07iQEsdnrHMAQAAmAMAAA4AAAAAAAAAAQAgAAAAIAEAAGRycy9l&#10;Mm9Eb2MueG1sUEsFBgAAAAAGAAYAWQEAAF4FAAAAAA==&#10;">
              <v:fill on="f" focussize="0,0"/>
              <v:stroke on="f"/>
              <v:imagedata o:title=""/>
              <o:lock v:ext="edit" aspectratio="f"/>
              <v:textbox inset="0mm,0mm,0mm,0mm" style="mso-fit-shape-to-text:t;">
                <w:txbxContent>
                  <w:p>
                    <w:pPr>
                      <w:pStyle w:val="28"/>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278765"/>
              <wp:effectExtent l="0" t="0" r="0" b="0"/>
              <wp:wrapNone/>
              <wp:docPr id="866" name="文本框 20"/>
              <wp:cNvGraphicFramePr/>
              <a:graphic xmlns:a="http://schemas.openxmlformats.org/drawingml/2006/main">
                <a:graphicData uri="http://schemas.microsoft.com/office/word/2010/wordprocessingShape">
                  <wps:wsp>
                    <wps:cNvSpPr txBox="1"/>
                    <wps:spPr>
                      <a:xfrm>
                        <a:off x="0" y="0"/>
                        <a:ext cx="116205" cy="278765"/>
                      </a:xfrm>
                      <a:prstGeom prst="rect">
                        <a:avLst/>
                      </a:prstGeom>
                      <a:noFill/>
                      <a:ln>
                        <a:noFill/>
                      </a:ln>
                    </wps:spPr>
                    <wps:txbx>
                      <w:txbxContent>
                        <w:p>
                          <w:pPr>
                            <w:pStyle w:val="28"/>
                            <w:rPr>
                              <w:rFonts w:hint="eastAsia"/>
                            </w:rPr>
                          </w:pP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21.95pt;width:9.15pt;mso-position-horizontal:center;mso-position-horizontal-relative:margin;mso-wrap-style:none;z-index:251660288;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42PWdEAAAADAQAADwAAAAAAAAABACAAAAAiAAAAZHJzL2Rv&#10;d25yZXYueG1sUEsBAhQAFAAAAAgAh07iQH+p9eLPAQAAmgMAAA4AAAAAAAAAAQAgAAAAIAEAAGRy&#10;cy9lMm9Eb2MueG1sUEsFBgAAAAAGAAYAWQEAAGEFAAAAAA==&#10;">
              <v:fill on="f" focussize="0,0"/>
              <v:stroke on="f"/>
              <v:imagedata o:title=""/>
              <o:lock v:ext="edit" aspectratio="f"/>
              <v:textbox inset="0mm,0mm,0mm,0mm" style="mso-fit-shape-to-text:t;">
                <w:txbxContent>
                  <w:p>
                    <w:pPr>
                      <w:pStyle w:val="28"/>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11C2E"/>
    <w:multiLevelType w:val="singleLevel"/>
    <w:tmpl w:val="9E811C2E"/>
    <w:lvl w:ilvl="0" w:tentative="0">
      <w:start w:val="1"/>
      <w:numFmt w:val="decimal"/>
      <w:suff w:val="nothing"/>
      <w:lvlText w:val="%1、"/>
      <w:lvlJc w:val="left"/>
      <w:pPr>
        <w:ind w:left="420" w:leftChars="0" w:firstLine="0" w:firstLineChars="0"/>
      </w:pPr>
    </w:lvl>
  </w:abstractNum>
  <w:abstractNum w:abstractNumId="1">
    <w:nsid w:val="CEBB83A6"/>
    <w:multiLevelType w:val="singleLevel"/>
    <w:tmpl w:val="CEBB83A6"/>
    <w:lvl w:ilvl="0" w:tentative="0">
      <w:start w:val="1"/>
      <w:numFmt w:val="chineseCounting"/>
      <w:suff w:val="nothing"/>
      <w:lvlText w:val="%1、"/>
      <w:lvlJc w:val="left"/>
      <w:rPr>
        <w:rFonts w:hint="eastAsia"/>
      </w:rPr>
    </w:lvl>
  </w:abstractNum>
  <w:abstractNum w:abstractNumId="2">
    <w:nsid w:val="D420601D"/>
    <w:multiLevelType w:val="singleLevel"/>
    <w:tmpl w:val="D420601D"/>
    <w:lvl w:ilvl="0" w:tentative="0">
      <w:start w:val="4"/>
      <w:numFmt w:val="chineseCounting"/>
      <w:suff w:val="space"/>
      <w:lvlText w:val="第%1章"/>
      <w:lvlJc w:val="left"/>
      <w:rPr>
        <w:rFonts w:hint="eastAsia"/>
      </w:rPr>
    </w:lvl>
  </w:abstractNum>
  <w:abstractNum w:abstractNumId="3">
    <w:nsid w:val="E681E127"/>
    <w:multiLevelType w:val="singleLevel"/>
    <w:tmpl w:val="E681E127"/>
    <w:lvl w:ilvl="0" w:tentative="0">
      <w:start w:val="6"/>
      <w:numFmt w:val="decimal"/>
      <w:suff w:val="nothing"/>
      <w:lvlText w:val="%1、"/>
      <w:lvlJc w:val="left"/>
    </w:lvl>
  </w:abstractNum>
  <w:abstractNum w:abstractNumId="4">
    <w:nsid w:val="F3E16017"/>
    <w:multiLevelType w:val="singleLevel"/>
    <w:tmpl w:val="F3E16017"/>
    <w:lvl w:ilvl="0" w:tentative="0">
      <w:start w:val="2"/>
      <w:numFmt w:val="chineseCounting"/>
      <w:suff w:val="space"/>
      <w:lvlText w:val="第%1章"/>
      <w:lvlJc w:val="left"/>
      <w:rPr>
        <w:rFonts w:hint="eastAsia"/>
      </w:rPr>
    </w:lvl>
  </w:abstractNum>
  <w:abstractNum w:abstractNumId="5">
    <w:nsid w:val="20087B5E"/>
    <w:multiLevelType w:val="multilevel"/>
    <w:tmpl w:val="20087B5E"/>
    <w:lvl w:ilvl="0" w:tentative="0">
      <w:start w:val="1"/>
      <w:numFmt w:val="decimal"/>
      <w:lvlText w:val="%1、"/>
      <w:lvlJc w:val="left"/>
      <w:pPr>
        <w:ind w:left="1007" w:hanging="360"/>
      </w:pPr>
      <w:rPr>
        <w:rFonts w:hint="default"/>
      </w:rPr>
    </w:lvl>
    <w:lvl w:ilvl="1" w:tentative="0">
      <w:start w:val="1"/>
      <w:numFmt w:val="lowerLetter"/>
      <w:lvlText w:val="%2)"/>
      <w:lvlJc w:val="left"/>
      <w:pPr>
        <w:ind w:left="1487" w:hanging="420"/>
      </w:pPr>
    </w:lvl>
    <w:lvl w:ilvl="2" w:tentative="0">
      <w:start w:val="1"/>
      <w:numFmt w:val="lowerRoman"/>
      <w:lvlText w:val="%3."/>
      <w:lvlJc w:val="right"/>
      <w:pPr>
        <w:ind w:left="1907" w:hanging="420"/>
      </w:pPr>
    </w:lvl>
    <w:lvl w:ilvl="3" w:tentative="0">
      <w:start w:val="1"/>
      <w:numFmt w:val="decimal"/>
      <w:lvlText w:val="%4."/>
      <w:lvlJc w:val="left"/>
      <w:pPr>
        <w:ind w:left="2327" w:hanging="420"/>
      </w:pPr>
    </w:lvl>
    <w:lvl w:ilvl="4" w:tentative="0">
      <w:start w:val="1"/>
      <w:numFmt w:val="lowerLetter"/>
      <w:lvlText w:val="%5)"/>
      <w:lvlJc w:val="left"/>
      <w:pPr>
        <w:ind w:left="2747" w:hanging="420"/>
      </w:pPr>
    </w:lvl>
    <w:lvl w:ilvl="5" w:tentative="0">
      <w:start w:val="1"/>
      <w:numFmt w:val="lowerRoman"/>
      <w:lvlText w:val="%6."/>
      <w:lvlJc w:val="right"/>
      <w:pPr>
        <w:ind w:left="3167" w:hanging="420"/>
      </w:pPr>
    </w:lvl>
    <w:lvl w:ilvl="6" w:tentative="0">
      <w:start w:val="1"/>
      <w:numFmt w:val="decimal"/>
      <w:lvlText w:val="%7."/>
      <w:lvlJc w:val="left"/>
      <w:pPr>
        <w:ind w:left="3587" w:hanging="420"/>
      </w:pPr>
    </w:lvl>
    <w:lvl w:ilvl="7" w:tentative="0">
      <w:start w:val="1"/>
      <w:numFmt w:val="lowerLetter"/>
      <w:lvlText w:val="%8)"/>
      <w:lvlJc w:val="left"/>
      <w:pPr>
        <w:ind w:left="4007" w:hanging="420"/>
      </w:pPr>
    </w:lvl>
    <w:lvl w:ilvl="8" w:tentative="0">
      <w:start w:val="1"/>
      <w:numFmt w:val="lowerRoman"/>
      <w:lvlText w:val="%9."/>
      <w:lvlJc w:val="right"/>
      <w:pPr>
        <w:ind w:left="4427" w:hanging="420"/>
      </w:pPr>
    </w:lvl>
  </w:abstractNum>
  <w:abstractNum w:abstractNumId="6">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7">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8BE63F6"/>
    <w:multiLevelType w:val="singleLevel"/>
    <w:tmpl w:val="58BE63F6"/>
    <w:lvl w:ilvl="0" w:tentative="0">
      <w:start w:val="2"/>
      <w:numFmt w:val="chineseCounting"/>
      <w:suff w:val="nothing"/>
      <w:lvlText w:val="（%1）"/>
      <w:lvlJc w:val="left"/>
    </w:lvl>
  </w:abstractNum>
  <w:abstractNum w:abstractNumId="9">
    <w:nsid w:val="58BE6420"/>
    <w:multiLevelType w:val="singleLevel"/>
    <w:tmpl w:val="58BE6420"/>
    <w:lvl w:ilvl="0" w:tentative="0">
      <w:start w:val="4"/>
      <w:numFmt w:val="chineseCounting"/>
      <w:suff w:val="nothing"/>
      <w:lvlText w:val="%1、"/>
      <w:lvlJc w:val="left"/>
    </w:lvl>
  </w:abstractNum>
  <w:abstractNum w:abstractNumId="10">
    <w:nsid w:val="58BE64E4"/>
    <w:multiLevelType w:val="singleLevel"/>
    <w:tmpl w:val="58BE64E4"/>
    <w:lvl w:ilvl="0" w:tentative="0">
      <w:start w:val="2"/>
      <w:numFmt w:val="chineseCounting"/>
      <w:suff w:val="nothing"/>
      <w:lvlText w:val="（%1）"/>
      <w:lvlJc w:val="left"/>
    </w:lvl>
  </w:abstractNum>
  <w:abstractNum w:abstractNumId="11">
    <w:nsid w:val="58BE6802"/>
    <w:multiLevelType w:val="singleLevel"/>
    <w:tmpl w:val="58BE6802"/>
    <w:lvl w:ilvl="0" w:tentative="0">
      <w:start w:val="6"/>
      <w:numFmt w:val="decimal"/>
      <w:suff w:val="nothing"/>
      <w:lvlText w:val="%1、"/>
      <w:lvlJc w:val="left"/>
    </w:lvl>
  </w:abstractNum>
  <w:abstractNum w:abstractNumId="12">
    <w:nsid w:val="58BE6981"/>
    <w:multiLevelType w:val="singleLevel"/>
    <w:tmpl w:val="58BE6981"/>
    <w:lvl w:ilvl="0" w:tentative="0">
      <w:start w:val="6"/>
      <w:numFmt w:val="chineseCounting"/>
      <w:suff w:val="nothing"/>
      <w:lvlText w:val="%1、"/>
      <w:lvlJc w:val="left"/>
    </w:lvl>
  </w:abstractNum>
  <w:abstractNum w:abstractNumId="13">
    <w:nsid w:val="58BE69BE"/>
    <w:multiLevelType w:val="singleLevel"/>
    <w:tmpl w:val="58BE69BE"/>
    <w:lvl w:ilvl="0" w:tentative="0">
      <w:start w:val="1"/>
      <w:numFmt w:val="chineseCounting"/>
      <w:suff w:val="nothing"/>
      <w:lvlText w:val="（%1）"/>
      <w:lvlJc w:val="left"/>
    </w:lvl>
  </w:abstractNum>
  <w:abstractNum w:abstractNumId="14">
    <w:nsid w:val="58BE6FC9"/>
    <w:multiLevelType w:val="singleLevel"/>
    <w:tmpl w:val="58BE6FC9"/>
    <w:lvl w:ilvl="0" w:tentative="0">
      <w:start w:val="6"/>
      <w:numFmt w:val="chineseCounting"/>
      <w:suff w:val="nothing"/>
      <w:lvlText w:val="（%1）"/>
      <w:lvlJc w:val="left"/>
    </w:lvl>
  </w:abstractNum>
  <w:abstractNum w:abstractNumId="15">
    <w:nsid w:val="58BE710A"/>
    <w:multiLevelType w:val="singleLevel"/>
    <w:tmpl w:val="58BE710A"/>
    <w:lvl w:ilvl="0" w:tentative="0">
      <w:start w:val="10"/>
      <w:numFmt w:val="chineseCounting"/>
      <w:suff w:val="nothing"/>
      <w:lvlText w:val="%1、"/>
      <w:lvlJc w:val="left"/>
    </w:lvl>
  </w:abstractNum>
  <w:abstractNum w:abstractNumId="16">
    <w:nsid w:val="7A3AC09C"/>
    <w:multiLevelType w:val="singleLevel"/>
    <w:tmpl w:val="7A3AC09C"/>
    <w:lvl w:ilvl="0" w:tentative="0">
      <w:start w:val="1"/>
      <w:numFmt w:val="decimal"/>
      <w:suff w:val="nothing"/>
      <w:lvlText w:val="%1、"/>
      <w:lvlJc w:val="left"/>
    </w:lvl>
  </w:abstractNum>
  <w:num w:numId="1">
    <w:abstractNumId w:val="4"/>
  </w:num>
  <w:num w:numId="2">
    <w:abstractNumId w:val="16"/>
  </w:num>
  <w:num w:numId="3">
    <w:abstractNumId w:val="8"/>
  </w:num>
  <w:num w:numId="4">
    <w:abstractNumId w:val="9"/>
  </w:num>
  <w:num w:numId="5">
    <w:abstractNumId w:val="10"/>
  </w:num>
  <w:num w:numId="6">
    <w:abstractNumId w:val="5"/>
  </w:num>
  <w:num w:numId="7">
    <w:abstractNumId w:val="11"/>
  </w:num>
  <w:num w:numId="8">
    <w:abstractNumId w:val="12"/>
  </w:num>
  <w:num w:numId="9">
    <w:abstractNumId w:val="13"/>
  </w:num>
  <w:num w:numId="10">
    <w:abstractNumId w:val="15"/>
  </w:num>
  <w:num w:numId="11">
    <w:abstractNumId w:val="14"/>
  </w:num>
  <w:num w:numId="12">
    <w:abstractNumId w:val="3"/>
  </w:num>
  <w:num w:numId="13">
    <w:abstractNumId w:val="1"/>
  </w:num>
  <w:num w:numId="14">
    <w:abstractNumId w:val="0"/>
  </w:num>
  <w:num w:numId="15">
    <w:abstractNumId w:val="2"/>
  </w:num>
  <w:num w:numId="16">
    <w:abstractNumId w:val="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jI5ODI3YjMxMzgxZjA0NTRkOGMyNGE3M2Y5YWEifQ=="/>
  </w:docVars>
  <w:rsids>
    <w:rsidRoot w:val="00D27F35"/>
    <w:rsid w:val="0001656B"/>
    <w:rsid w:val="000738CD"/>
    <w:rsid w:val="00093FDA"/>
    <w:rsid w:val="00094352"/>
    <w:rsid w:val="00123FC8"/>
    <w:rsid w:val="00161058"/>
    <w:rsid w:val="00172C3A"/>
    <w:rsid w:val="001C21DD"/>
    <w:rsid w:val="001F53B7"/>
    <w:rsid w:val="0023253D"/>
    <w:rsid w:val="00266F54"/>
    <w:rsid w:val="00274A1C"/>
    <w:rsid w:val="00280F68"/>
    <w:rsid w:val="002C39BF"/>
    <w:rsid w:val="002F604B"/>
    <w:rsid w:val="00301E99"/>
    <w:rsid w:val="0031691D"/>
    <w:rsid w:val="00355FC9"/>
    <w:rsid w:val="003825ED"/>
    <w:rsid w:val="004515C4"/>
    <w:rsid w:val="0046566E"/>
    <w:rsid w:val="00472CA8"/>
    <w:rsid w:val="0049178E"/>
    <w:rsid w:val="004A2F60"/>
    <w:rsid w:val="004C2314"/>
    <w:rsid w:val="004C50D3"/>
    <w:rsid w:val="004D0FB5"/>
    <w:rsid w:val="005665FC"/>
    <w:rsid w:val="00577E5F"/>
    <w:rsid w:val="00581DA3"/>
    <w:rsid w:val="005866AA"/>
    <w:rsid w:val="0059603F"/>
    <w:rsid w:val="005A1454"/>
    <w:rsid w:val="005A6A76"/>
    <w:rsid w:val="005D5BC4"/>
    <w:rsid w:val="005F0C3C"/>
    <w:rsid w:val="006278F0"/>
    <w:rsid w:val="00640C36"/>
    <w:rsid w:val="00662CAE"/>
    <w:rsid w:val="00667E7C"/>
    <w:rsid w:val="00677698"/>
    <w:rsid w:val="006D5E36"/>
    <w:rsid w:val="006F6BFF"/>
    <w:rsid w:val="00706CE1"/>
    <w:rsid w:val="007C2BA3"/>
    <w:rsid w:val="007E1A9D"/>
    <w:rsid w:val="00802F76"/>
    <w:rsid w:val="008209F3"/>
    <w:rsid w:val="008449EE"/>
    <w:rsid w:val="00870F01"/>
    <w:rsid w:val="008D79F1"/>
    <w:rsid w:val="00903902"/>
    <w:rsid w:val="009211B0"/>
    <w:rsid w:val="0094627A"/>
    <w:rsid w:val="00954C7C"/>
    <w:rsid w:val="009703CD"/>
    <w:rsid w:val="009A1DFE"/>
    <w:rsid w:val="009A4241"/>
    <w:rsid w:val="00A02F1D"/>
    <w:rsid w:val="00A0669B"/>
    <w:rsid w:val="00A21A5E"/>
    <w:rsid w:val="00A31959"/>
    <w:rsid w:val="00A35EB4"/>
    <w:rsid w:val="00A47902"/>
    <w:rsid w:val="00A54DF7"/>
    <w:rsid w:val="00AD4BFC"/>
    <w:rsid w:val="00AE1DFA"/>
    <w:rsid w:val="00B50460"/>
    <w:rsid w:val="00B53B22"/>
    <w:rsid w:val="00B72D69"/>
    <w:rsid w:val="00B7516A"/>
    <w:rsid w:val="00B77B6A"/>
    <w:rsid w:val="00B93183"/>
    <w:rsid w:val="00BC2998"/>
    <w:rsid w:val="00BC2B71"/>
    <w:rsid w:val="00BD69F9"/>
    <w:rsid w:val="00BF13EB"/>
    <w:rsid w:val="00C04A6D"/>
    <w:rsid w:val="00C27EE4"/>
    <w:rsid w:val="00C46857"/>
    <w:rsid w:val="00CA7F05"/>
    <w:rsid w:val="00CB522F"/>
    <w:rsid w:val="00D07CC4"/>
    <w:rsid w:val="00D27F35"/>
    <w:rsid w:val="00D37022"/>
    <w:rsid w:val="00D47895"/>
    <w:rsid w:val="00D52B04"/>
    <w:rsid w:val="00D53BD4"/>
    <w:rsid w:val="00D62C1E"/>
    <w:rsid w:val="00D7574C"/>
    <w:rsid w:val="00D87BBE"/>
    <w:rsid w:val="00DA23DA"/>
    <w:rsid w:val="00DC34D8"/>
    <w:rsid w:val="00E00293"/>
    <w:rsid w:val="00E33C73"/>
    <w:rsid w:val="00E53847"/>
    <w:rsid w:val="00E977F5"/>
    <w:rsid w:val="00F64DBF"/>
    <w:rsid w:val="00F74934"/>
    <w:rsid w:val="00F845B0"/>
    <w:rsid w:val="00F85533"/>
    <w:rsid w:val="00FC71C8"/>
    <w:rsid w:val="010A33BB"/>
    <w:rsid w:val="02324B51"/>
    <w:rsid w:val="029C57D8"/>
    <w:rsid w:val="031710BF"/>
    <w:rsid w:val="054170E1"/>
    <w:rsid w:val="06095022"/>
    <w:rsid w:val="07F80D56"/>
    <w:rsid w:val="081C64AF"/>
    <w:rsid w:val="0D112C2F"/>
    <w:rsid w:val="0E155485"/>
    <w:rsid w:val="0F6F3821"/>
    <w:rsid w:val="10365FBB"/>
    <w:rsid w:val="11B548BD"/>
    <w:rsid w:val="148133F0"/>
    <w:rsid w:val="14891DA1"/>
    <w:rsid w:val="14D26F15"/>
    <w:rsid w:val="14F23052"/>
    <w:rsid w:val="16231375"/>
    <w:rsid w:val="167A03EB"/>
    <w:rsid w:val="169506F8"/>
    <w:rsid w:val="17631A20"/>
    <w:rsid w:val="1A905D10"/>
    <w:rsid w:val="1C183DA8"/>
    <w:rsid w:val="1E623222"/>
    <w:rsid w:val="1ED866A8"/>
    <w:rsid w:val="1F3B05EB"/>
    <w:rsid w:val="1F9A495E"/>
    <w:rsid w:val="20770A2D"/>
    <w:rsid w:val="20CE0125"/>
    <w:rsid w:val="23863FBD"/>
    <w:rsid w:val="25BF0CDF"/>
    <w:rsid w:val="26235EFE"/>
    <w:rsid w:val="26593B17"/>
    <w:rsid w:val="26D871C4"/>
    <w:rsid w:val="271E5B0A"/>
    <w:rsid w:val="27E601D4"/>
    <w:rsid w:val="287A4275"/>
    <w:rsid w:val="28E5650A"/>
    <w:rsid w:val="29180DAA"/>
    <w:rsid w:val="29D35253"/>
    <w:rsid w:val="2A871532"/>
    <w:rsid w:val="2B6836EA"/>
    <w:rsid w:val="2F9B450A"/>
    <w:rsid w:val="2FE74862"/>
    <w:rsid w:val="3067669B"/>
    <w:rsid w:val="31CC0DBF"/>
    <w:rsid w:val="32482466"/>
    <w:rsid w:val="331943F7"/>
    <w:rsid w:val="33885124"/>
    <w:rsid w:val="33F82E05"/>
    <w:rsid w:val="34406E61"/>
    <w:rsid w:val="34675474"/>
    <w:rsid w:val="36940D18"/>
    <w:rsid w:val="36AD7188"/>
    <w:rsid w:val="36B17CA8"/>
    <w:rsid w:val="37BD182E"/>
    <w:rsid w:val="38113847"/>
    <w:rsid w:val="39D517D0"/>
    <w:rsid w:val="3C425ABB"/>
    <w:rsid w:val="3CA1153B"/>
    <w:rsid w:val="3D1A15E4"/>
    <w:rsid w:val="3F000D42"/>
    <w:rsid w:val="3F981CA0"/>
    <w:rsid w:val="41CC0A94"/>
    <w:rsid w:val="41F660F3"/>
    <w:rsid w:val="42DD7328"/>
    <w:rsid w:val="444B055A"/>
    <w:rsid w:val="46F055FB"/>
    <w:rsid w:val="486820DA"/>
    <w:rsid w:val="48B721DD"/>
    <w:rsid w:val="49820568"/>
    <w:rsid w:val="4A397A0C"/>
    <w:rsid w:val="4A6A3FED"/>
    <w:rsid w:val="4AFB26E2"/>
    <w:rsid w:val="4B2F16E3"/>
    <w:rsid w:val="4C0C1E99"/>
    <w:rsid w:val="4D2B6DB8"/>
    <w:rsid w:val="4DB21407"/>
    <w:rsid w:val="4E1A69FE"/>
    <w:rsid w:val="4E321409"/>
    <w:rsid w:val="50054F84"/>
    <w:rsid w:val="50076338"/>
    <w:rsid w:val="50F730C5"/>
    <w:rsid w:val="50FE7FD4"/>
    <w:rsid w:val="53871E71"/>
    <w:rsid w:val="53F35AE4"/>
    <w:rsid w:val="553426D6"/>
    <w:rsid w:val="553E3AC6"/>
    <w:rsid w:val="57847BC3"/>
    <w:rsid w:val="5C0833DE"/>
    <w:rsid w:val="5E3C39A8"/>
    <w:rsid w:val="5F6F558A"/>
    <w:rsid w:val="613926CF"/>
    <w:rsid w:val="6153215A"/>
    <w:rsid w:val="62E65423"/>
    <w:rsid w:val="62EB5F2D"/>
    <w:rsid w:val="63293C14"/>
    <w:rsid w:val="63BE65AF"/>
    <w:rsid w:val="64150889"/>
    <w:rsid w:val="64385705"/>
    <w:rsid w:val="6A1E2AF0"/>
    <w:rsid w:val="6BD8491F"/>
    <w:rsid w:val="6CD85BF0"/>
    <w:rsid w:val="6CFD46FE"/>
    <w:rsid w:val="6E601042"/>
    <w:rsid w:val="6F2F0375"/>
    <w:rsid w:val="70596B70"/>
    <w:rsid w:val="71204F9F"/>
    <w:rsid w:val="71252BBD"/>
    <w:rsid w:val="71D640EE"/>
    <w:rsid w:val="720F448E"/>
    <w:rsid w:val="733E0A28"/>
    <w:rsid w:val="758E084A"/>
    <w:rsid w:val="76063B43"/>
    <w:rsid w:val="76D07A10"/>
    <w:rsid w:val="774915AD"/>
    <w:rsid w:val="784D5661"/>
    <w:rsid w:val="78660D24"/>
    <w:rsid w:val="7A13632E"/>
    <w:rsid w:val="7A1A3B88"/>
    <w:rsid w:val="7B9F6F59"/>
    <w:rsid w:val="7BBA70F7"/>
    <w:rsid w:val="7BC24E4F"/>
    <w:rsid w:val="7C083A7B"/>
    <w:rsid w:val="7CBA0240"/>
    <w:rsid w:val="7DB82B0E"/>
    <w:rsid w:val="7E0A1B1C"/>
    <w:rsid w:val="7EB71DB8"/>
    <w:rsid w:val="7F65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4"/>
    <w:qFormat/>
    <w:uiPriority w:val="0"/>
    <w:pPr>
      <w:keepNext/>
      <w:keepLines/>
      <w:adjustRightInd w:val="0"/>
      <w:spacing w:before="50" w:beforeLines="50" w:after="50" w:afterLines="50" w:line="360" w:lineRule="auto"/>
      <w:jc w:val="center"/>
      <w:textAlignment w:val="baseline"/>
      <w:outlineLvl w:val="0"/>
    </w:pPr>
    <w:rPr>
      <w:rFonts w:ascii="Times New Roman" w:hAnsi="Times New Roman"/>
      <w:b/>
      <w:kern w:val="44"/>
      <w:sz w:val="32"/>
      <w:szCs w:val="20"/>
    </w:rPr>
  </w:style>
  <w:style w:type="paragraph" w:styleId="4">
    <w:name w:val="heading 2"/>
    <w:basedOn w:val="1"/>
    <w:next w:val="5"/>
    <w:link w:val="97"/>
    <w:qFormat/>
    <w:uiPriority w:val="0"/>
    <w:pPr>
      <w:keepNext/>
      <w:keepLines/>
      <w:adjustRightInd w:val="0"/>
      <w:spacing w:before="50" w:beforeLines="50" w:after="50" w:afterLines="50" w:line="360" w:lineRule="auto"/>
      <w:jc w:val="left"/>
      <w:textAlignment w:val="baseline"/>
      <w:outlineLvl w:val="1"/>
    </w:pPr>
    <w:rPr>
      <w:rFonts w:eastAsia="宋体"/>
      <w:b/>
      <w:szCs w:val="20"/>
    </w:rPr>
  </w:style>
  <w:style w:type="paragraph" w:styleId="6">
    <w:name w:val="heading 3"/>
    <w:basedOn w:val="1"/>
    <w:next w:val="5"/>
    <w:link w:val="59"/>
    <w:qFormat/>
    <w:uiPriority w:val="0"/>
    <w:pPr>
      <w:keepNext/>
      <w:keepLines/>
      <w:spacing w:before="260" w:after="260" w:line="416" w:lineRule="auto"/>
      <w:outlineLvl w:val="2"/>
    </w:pPr>
    <w:rPr>
      <w:b/>
      <w:bCs/>
      <w:sz w:val="32"/>
      <w:szCs w:val="32"/>
    </w:rPr>
  </w:style>
  <w:style w:type="paragraph" w:styleId="7">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1"/>
    <w:qFormat/>
    <w:uiPriority w:val="0"/>
    <w:pPr>
      <w:keepNext/>
      <w:keepLines/>
      <w:spacing w:before="280" w:after="290" w:line="376" w:lineRule="auto"/>
      <w:outlineLvl w:val="4"/>
    </w:pPr>
    <w:rPr>
      <w:rFonts w:ascii="Times New Roman" w:hAnsi="Times New Roman"/>
      <w:b/>
      <w:bCs/>
      <w:sz w:val="28"/>
      <w:szCs w:val="28"/>
    </w:rPr>
  </w:style>
  <w:style w:type="paragraph" w:styleId="9">
    <w:name w:val="heading 6"/>
    <w:basedOn w:val="1"/>
    <w:next w:val="1"/>
    <w:link w:val="62"/>
    <w:qFormat/>
    <w:uiPriority w:val="0"/>
    <w:pPr>
      <w:keepNext/>
      <w:keepLines/>
      <w:spacing w:before="240" w:after="64" w:line="317" w:lineRule="auto"/>
      <w:outlineLvl w:val="5"/>
    </w:pPr>
    <w:rPr>
      <w:rFonts w:ascii="Arial" w:hAnsi="Arial" w:eastAsia="黑体"/>
      <w:b/>
      <w:bCs/>
      <w:sz w:val="24"/>
    </w:rPr>
  </w:style>
  <w:style w:type="paragraph" w:styleId="10">
    <w:name w:val="heading 7"/>
    <w:basedOn w:val="1"/>
    <w:next w:val="1"/>
    <w:link w:val="63"/>
    <w:qFormat/>
    <w:uiPriority w:val="0"/>
    <w:pPr>
      <w:keepNext/>
      <w:keepLines/>
      <w:spacing w:before="240" w:after="64" w:line="320" w:lineRule="auto"/>
      <w:outlineLvl w:val="6"/>
    </w:pPr>
    <w:rPr>
      <w:rFonts w:ascii="Times New Roman" w:hAnsi="Times New Roman"/>
      <w:b/>
      <w:bCs/>
      <w:sz w:val="24"/>
    </w:rPr>
  </w:style>
  <w:style w:type="paragraph" w:styleId="11">
    <w:name w:val="heading 8"/>
    <w:basedOn w:val="1"/>
    <w:next w:val="1"/>
    <w:link w:val="64"/>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65"/>
    <w:qFormat/>
    <w:uiPriority w:val="0"/>
    <w:pPr>
      <w:keepNext/>
      <w:keepLines/>
      <w:spacing w:before="240" w:after="64" w:line="317"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2"/>
    <w:qFormat/>
    <w:uiPriority w:val="0"/>
    <w:pPr>
      <w:spacing w:after="120"/>
    </w:pPr>
    <w:rPr>
      <w:rFonts w:ascii="Times New Roman" w:hAnsi="Times New Roman"/>
      <w:kern w:val="0"/>
      <w:sz w:val="20"/>
      <w:szCs w:val="20"/>
    </w:rPr>
  </w:style>
  <w:style w:type="paragraph" w:styleId="5">
    <w:name w:val="Normal Indent"/>
    <w:basedOn w:val="1"/>
    <w:link w:val="92"/>
    <w:qFormat/>
    <w:uiPriority w:val="99"/>
    <w:pPr>
      <w:ind w:firstLine="420"/>
    </w:pPr>
    <w:rPr>
      <w:rFonts w:ascii="Times New Roman" w:hAnsi="Times New Roman"/>
      <w:kern w:val="0"/>
      <w:sz w:val="20"/>
      <w:szCs w:val="20"/>
    </w:rPr>
  </w:style>
  <w:style w:type="paragraph" w:styleId="13">
    <w:name w:val="toc 7"/>
    <w:basedOn w:val="1"/>
    <w:next w:val="1"/>
    <w:qFormat/>
    <w:uiPriority w:val="0"/>
    <w:pPr>
      <w:ind w:left="2520" w:leftChars="1200"/>
    </w:pPr>
    <w:rPr>
      <w:szCs w:val="22"/>
    </w:rPr>
  </w:style>
  <w:style w:type="paragraph" w:styleId="14">
    <w:name w:val="table of authorities"/>
    <w:basedOn w:val="1"/>
    <w:next w:val="1"/>
    <w:qFormat/>
    <w:uiPriority w:val="0"/>
    <w:pPr>
      <w:ind w:left="420" w:leftChars="200"/>
    </w:p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6"/>
    <w:qFormat/>
    <w:uiPriority w:val="0"/>
    <w:pPr>
      <w:shd w:val="clear" w:color="auto" w:fill="000080"/>
    </w:pPr>
    <w:rPr>
      <w:rFonts w:ascii="宋体" w:hAnsi="Times New Roman"/>
      <w:kern w:val="0"/>
      <w:sz w:val="18"/>
      <w:szCs w:val="18"/>
      <w:shd w:val="clear" w:color="auto" w:fill="000080"/>
    </w:rPr>
  </w:style>
  <w:style w:type="paragraph" w:styleId="17">
    <w:name w:val="annotation text"/>
    <w:basedOn w:val="1"/>
    <w:link w:val="103"/>
    <w:qFormat/>
    <w:uiPriority w:val="0"/>
    <w:pPr>
      <w:jc w:val="left"/>
    </w:pPr>
    <w:rPr>
      <w:rFonts w:ascii="Times New Roman" w:hAnsi="Times New Roman"/>
      <w:szCs w:val="20"/>
    </w:rPr>
  </w:style>
  <w:style w:type="paragraph" w:styleId="18">
    <w:name w:val="Salutation"/>
    <w:basedOn w:val="1"/>
    <w:next w:val="1"/>
    <w:link w:val="188"/>
    <w:qFormat/>
    <w:uiPriority w:val="0"/>
    <w:rPr>
      <w:rFonts w:ascii="Times New Roman" w:hAnsi="Times New Roman"/>
      <w:sz w:val="24"/>
      <w:szCs w:val="20"/>
    </w:rPr>
  </w:style>
  <w:style w:type="paragraph" w:styleId="19">
    <w:name w:val="Body Text Indent"/>
    <w:basedOn w:val="1"/>
    <w:link w:val="135"/>
    <w:qFormat/>
    <w:uiPriority w:val="99"/>
    <w:pPr>
      <w:spacing w:after="120"/>
      <w:ind w:left="420" w:leftChars="200"/>
    </w:pPr>
  </w:style>
  <w:style w:type="paragraph" w:styleId="20">
    <w:name w:val="index 4"/>
    <w:basedOn w:val="1"/>
    <w:next w:val="1"/>
    <w:qFormat/>
    <w:uiPriority w:val="0"/>
    <w:pPr>
      <w:ind w:left="600" w:leftChars="600"/>
    </w:pPr>
    <w:rPr>
      <w:rFonts w:ascii="Times New Roman" w:hAnsi="Times New Roman"/>
    </w:rPr>
  </w:style>
  <w:style w:type="paragraph" w:styleId="21">
    <w:name w:val="toc 5"/>
    <w:basedOn w:val="1"/>
    <w:next w:val="1"/>
    <w:unhideWhenUsed/>
    <w:qFormat/>
    <w:uiPriority w:val="0"/>
    <w:pPr>
      <w:ind w:left="1680" w:leftChars="800"/>
    </w:pPr>
    <w:rPr>
      <w:rFonts w:ascii="Times New Roman" w:hAnsi="Times New Roman"/>
      <w:szCs w:val="20"/>
    </w:rPr>
  </w:style>
  <w:style w:type="paragraph" w:styleId="22">
    <w:name w:val="toc 3"/>
    <w:basedOn w:val="1"/>
    <w:next w:val="1"/>
    <w:qFormat/>
    <w:uiPriority w:val="0"/>
    <w:pPr>
      <w:ind w:left="840" w:leftChars="400"/>
    </w:pPr>
    <w:rPr>
      <w:szCs w:val="22"/>
    </w:rPr>
  </w:style>
  <w:style w:type="paragraph" w:styleId="23">
    <w:name w:val="Plain Text"/>
    <w:basedOn w:val="1"/>
    <w:link w:val="86"/>
    <w:qFormat/>
    <w:uiPriority w:val="99"/>
    <w:rPr>
      <w:rFonts w:ascii="宋体" w:hAnsi="Courier New" w:cs="Courier New"/>
      <w:szCs w:val="21"/>
    </w:rPr>
  </w:style>
  <w:style w:type="paragraph" w:styleId="24">
    <w:name w:val="toc 8"/>
    <w:basedOn w:val="1"/>
    <w:next w:val="1"/>
    <w:qFormat/>
    <w:uiPriority w:val="0"/>
    <w:pPr>
      <w:ind w:left="2940" w:leftChars="1400"/>
    </w:pPr>
    <w:rPr>
      <w:szCs w:val="22"/>
    </w:rPr>
  </w:style>
  <w:style w:type="paragraph" w:styleId="25">
    <w:name w:val="Date"/>
    <w:basedOn w:val="1"/>
    <w:next w:val="1"/>
    <w:link w:val="113"/>
    <w:qFormat/>
    <w:uiPriority w:val="0"/>
    <w:pPr>
      <w:ind w:left="2500" w:leftChars="2500"/>
    </w:pPr>
    <w:rPr>
      <w:rFonts w:hint="eastAsia" w:ascii="仿宋_GB2312" w:eastAsia="仿宋_GB2312"/>
      <w:color w:val="000000"/>
      <w:kern w:val="0"/>
      <w:sz w:val="32"/>
      <w:szCs w:val="20"/>
    </w:rPr>
  </w:style>
  <w:style w:type="paragraph" w:styleId="26">
    <w:name w:val="Body Text Indent 2"/>
    <w:basedOn w:val="1"/>
    <w:link w:val="84"/>
    <w:qFormat/>
    <w:uiPriority w:val="99"/>
    <w:pPr>
      <w:spacing w:after="120" w:line="480" w:lineRule="auto"/>
      <w:ind w:left="420" w:leftChars="200"/>
    </w:pPr>
    <w:rPr>
      <w:rFonts w:ascii="Times New Roman" w:hAnsi="Times New Roman"/>
      <w:kern w:val="0"/>
      <w:sz w:val="20"/>
      <w:szCs w:val="20"/>
    </w:rPr>
  </w:style>
  <w:style w:type="paragraph" w:styleId="27">
    <w:name w:val="Balloon Text"/>
    <w:basedOn w:val="1"/>
    <w:link w:val="99"/>
    <w:qFormat/>
    <w:uiPriority w:val="0"/>
    <w:rPr>
      <w:rFonts w:ascii="Times New Roman" w:hAnsi="Times New Roman"/>
      <w:kern w:val="0"/>
      <w:sz w:val="18"/>
      <w:szCs w:val="18"/>
    </w:rPr>
  </w:style>
  <w:style w:type="paragraph" w:styleId="28">
    <w:name w:val="footer"/>
    <w:basedOn w:val="1"/>
    <w:link w:val="118"/>
    <w:qFormat/>
    <w:uiPriority w:val="99"/>
    <w:pPr>
      <w:tabs>
        <w:tab w:val="center" w:pos="4153"/>
        <w:tab w:val="right" w:pos="8306"/>
      </w:tabs>
      <w:snapToGrid w:val="0"/>
      <w:jc w:val="left"/>
    </w:pPr>
    <w:rPr>
      <w:sz w:val="18"/>
    </w:rPr>
  </w:style>
  <w:style w:type="paragraph" w:styleId="29">
    <w:name w:val="header"/>
    <w:basedOn w:val="1"/>
    <w:link w:val="1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0">
    <w:name w:val="toc 1"/>
    <w:basedOn w:val="1"/>
    <w:next w:val="1"/>
    <w:qFormat/>
    <w:uiPriority w:val="39"/>
    <w:pPr>
      <w:spacing w:before="50" w:beforeLines="50" w:after="50" w:afterLines="50" w:line="360" w:lineRule="auto"/>
      <w:jc w:val="left"/>
    </w:pPr>
    <w:rPr>
      <w:rFonts w:ascii="宋体" w:hAnsi="宋体"/>
      <w:caps/>
      <w:sz w:val="24"/>
      <w:szCs w:val="22"/>
    </w:rPr>
  </w:style>
  <w:style w:type="paragraph" w:styleId="31">
    <w:name w:val="toc 4"/>
    <w:basedOn w:val="1"/>
    <w:next w:val="1"/>
    <w:unhideWhenUsed/>
    <w:qFormat/>
    <w:uiPriority w:val="0"/>
    <w:pPr>
      <w:ind w:left="1260" w:leftChars="600"/>
    </w:pPr>
    <w:rPr>
      <w:rFonts w:ascii="Times New Roman" w:hAnsi="Times New Roman"/>
      <w:szCs w:val="20"/>
    </w:rPr>
  </w:style>
  <w:style w:type="paragraph" w:styleId="32">
    <w:name w:val="Subtitle"/>
    <w:basedOn w:val="1"/>
    <w:next w:val="1"/>
    <w:link w:val="78"/>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0"/>
    <w:pPr>
      <w:ind w:left="2100" w:leftChars="1000"/>
    </w:pPr>
    <w:rPr>
      <w:szCs w:val="22"/>
    </w:rPr>
  </w:style>
  <w:style w:type="paragraph" w:styleId="34">
    <w:name w:val="Body Text Indent 3"/>
    <w:basedOn w:val="1"/>
    <w:link w:val="76"/>
    <w:qFormat/>
    <w:uiPriority w:val="99"/>
    <w:pPr>
      <w:spacing w:after="120"/>
      <w:ind w:left="420" w:leftChars="200"/>
    </w:pPr>
    <w:rPr>
      <w:rFonts w:ascii="Times New Roman" w:hAnsi="Times New Roman"/>
      <w:kern w:val="0"/>
      <w:sz w:val="16"/>
      <w:szCs w:val="16"/>
    </w:rPr>
  </w:style>
  <w:style w:type="paragraph" w:styleId="35">
    <w:name w:val="toc 2"/>
    <w:basedOn w:val="1"/>
    <w:next w:val="1"/>
    <w:qFormat/>
    <w:uiPriority w:val="0"/>
    <w:pPr>
      <w:spacing w:line="360" w:lineRule="auto"/>
      <w:ind w:left="170"/>
      <w:jc w:val="left"/>
    </w:pPr>
    <w:rPr>
      <w:rFonts w:ascii="宋体" w:hAnsi="宋体"/>
      <w:smallCaps/>
      <w:sz w:val="24"/>
      <w:szCs w:val="22"/>
    </w:rPr>
  </w:style>
  <w:style w:type="paragraph" w:styleId="36">
    <w:name w:val="toc 9"/>
    <w:basedOn w:val="1"/>
    <w:next w:val="1"/>
    <w:qFormat/>
    <w:uiPriority w:val="0"/>
    <w:pPr>
      <w:ind w:left="3360" w:leftChars="1600"/>
    </w:pPr>
    <w:rPr>
      <w:szCs w:val="22"/>
    </w:rPr>
  </w:style>
  <w:style w:type="paragraph" w:styleId="37">
    <w:name w:val="Body Text 2"/>
    <w:basedOn w:val="1"/>
    <w:link w:val="127"/>
    <w:qFormat/>
    <w:uiPriority w:val="99"/>
    <w:pPr>
      <w:adjustRightInd w:val="0"/>
      <w:snapToGrid w:val="0"/>
      <w:spacing w:line="480" w:lineRule="atLeast"/>
    </w:pPr>
    <w:rPr>
      <w:rFonts w:ascii="Times New Roman" w:hAnsi="Times New Roman"/>
      <w:kern w:val="0"/>
      <w:sz w:val="20"/>
      <w:szCs w:val="20"/>
    </w:rPr>
  </w:style>
  <w:style w:type="paragraph" w:styleId="38">
    <w:name w:val="HTML Preformatted"/>
    <w:basedOn w:val="1"/>
    <w:link w:val="1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qFormat/>
    <w:uiPriority w:val="0"/>
    <w:pPr>
      <w:spacing w:before="100" w:beforeAutospacing="1" w:after="100" w:afterAutospacing="1"/>
      <w:jc w:val="left"/>
    </w:pPr>
    <w:rPr>
      <w:kern w:val="0"/>
      <w:sz w:val="24"/>
    </w:rPr>
  </w:style>
  <w:style w:type="paragraph" w:styleId="40">
    <w:name w:val="Title"/>
    <w:basedOn w:val="1"/>
    <w:next w:val="1"/>
    <w:link w:val="72"/>
    <w:qFormat/>
    <w:uiPriority w:val="10"/>
    <w:pPr>
      <w:spacing w:before="240" w:after="60"/>
      <w:jc w:val="center"/>
      <w:outlineLvl w:val="0"/>
    </w:pPr>
    <w:rPr>
      <w:rFonts w:ascii="Cambria" w:hAnsi="Cambria"/>
      <w:b/>
      <w:bCs/>
      <w:sz w:val="32"/>
      <w:szCs w:val="32"/>
    </w:rPr>
  </w:style>
  <w:style w:type="paragraph" w:styleId="41">
    <w:name w:val="annotation subject"/>
    <w:basedOn w:val="17"/>
    <w:next w:val="17"/>
    <w:link w:val="125"/>
    <w:qFormat/>
    <w:uiPriority w:val="0"/>
    <w:rPr>
      <w:b/>
      <w:bCs/>
    </w:rPr>
  </w:style>
  <w:style w:type="paragraph" w:styleId="42">
    <w:name w:val="Body Text First Indent 2"/>
    <w:basedOn w:val="19"/>
    <w:link w:val="136"/>
    <w:qFormat/>
    <w:uiPriority w:val="0"/>
    <w:pPr>
      <w:ind w:firstLine="420" w:firstLineChars="200"/>
    </w:pPr>
    <w:rPr>
      <w:rFonts w:ascii="Times New Roman" w:hAnsi="Times New Roman"/>
      <w:szCs w:val="20"/>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rFonts w:cs="Arial"/>
      <w:b/>
      <w:bCs/>
      <w:kern w:val="2"/>
      <w:szCs w:val="21"/>
    </w:rPr>
  </w:style>
  <w:style w:type="character" w:styleId="47">
    <w:name w:val="page number"/>
    <w:basedOn w:val="45"/>
    <w:qFormat/>
    <w:uiPriority w:val="0"/>
    <w:rPr>
      <w:rFonts w:ascii="宋体" w:eastAsia="宋体" w:cs="Times New Roman"/>
      <w:sz w:val="24"/>
    </w:rPr>
  </w:style>
  <w:style w:type="character" w:styleId="48">
    <w:name w:val="Emphasis"/>
    <w:qFormat/>
    <w:uiPriority w:val="20"/>
    <w:rPr>
      <w:i/>
      <w:iCs/>
    </w:rPr>
  </w:style>
  <w:style w:type="character" w:styleId="49">
    <w:name w:val="Hyperlink"/>
    <w:qFormat/>
    <w:uiPriority w:val="99"/>
    <w:rPr>
      <w:rFonts w:cs="Arial"/>
      <w:color w:val="0000FF"/>
      <w:kern w:val="2"/>
      <w:szCs w:val="21"/>
      <w:u w:val="single"/>
    </w:rPr>
  </w:style>
  <w:style w:type="character" w:styleId="50">
    <w:name w:val="annotation reference"/>
    <w:qFormat/>
    <w:uiPriority w:val="0"/>
    <w:rPr>
      <w:rFonts w:cs="Times New Roman"/>
      <w:sz w:val="21"/>
      <w:szCs w:val="21"/>
    </w:rPr>
  </w:style>
  <w:style w:type="character" w:customStyle="1" w:styleId="51">
    <w:name w:val="font61"/>
    <w:qFormat/>
    <w:uiPriority w:val="0"/>
    <w:rPr>
      <w:rFonts w:hint="eastAsia" w:ascii="宋体" w:hAnsi="宋体" w:eastAsia="宋体" w:cs="宋体"/>
      <w:color w:val="000000"/>
      <w:kern w:val="2"/>
      <w:sz w:val="20"/>
      <w:szCs w:val="20"/>
      <w:u w:val="none"/>
    </w:rPr>
  </w:style>
  <w:style w:type="character" w:customStyle="1" w:styleId="52">
    <w:name w:val="font71"/>
    <w:qFormat/>
    <w:uiPriority w:val="0"/>
    <w:rPr>
      <w:rFonts w:hint="eastAsia" w:ascii="宋体" w:hAnsi="宋体" w:eastAsia="宋体" w:cs="宋体"/>
      <w:color w:val="FF0000"/>
      <w:kern w:val="2"/>
      <w:sz w:val="20"/>
      <w:szCs w:val="20"/>
      <w:u w:val="none"/>
    </w:rPr>
  </w:style>
  <w:style w:type="character" w:customStyle="1" w:styleId="53">
    <w:name w:val="font11"/>
    <w:qFormat/>
    <w:uiPriority w:val="0"/>
    <w:rPr>
      <w:rFonts w:ascii="Arial" w:hAnsi="Arial" w:cs="Arial"/>
      <w:color w:val="000000"/>
      <w:kern w:val="2"/>
      <w:sz w:val="22"/>
      <w:szCs w:val="22"/>
      <w:u w:val="none"/>
    </w:rPr>
  </w:style>
  <w:style w:type="character" w:customStyle="1" w:styleId="54">
    <w:name w:val="font01"/>
    <w:qFormat/>
    <w:uiPriority w:val="0"/>
    <w:rPr>
      <w:rFonts w:ascii="font-weight : 400" w:hAnsi="font-weight : 400" w:eastAsia="font-weight : 400" w:cs="font-weight : 400"/>
      <w:color w:val="000000"/>
      <w:kern w:val="2"/>
      <w:sz w:val="22"/>
      <w:szCs w:val="22"/>
      <w:u w:val="none"/>
    </w:rPr>
  </w:style>
  <w:style w:type="paragraph" w:customStyle="1" w:styleId="55">
    <w:name w:val="Char Char Char1 Char"/>
    <w:basedOn w:val="1"/>
    <w:qFormat/>
    <w:uiPriority w:val="0"/>
    <w:pPr>
      <w:snapToGrid w:val="0"/>
    </w:pPr>
    <w:rPr>
      <w:rFonts w:cs="Arial"/>
      <w:szCs w:val="21"/>
    </w:rPr>
  </w:style>
  <w:style w:type="paragraph" w:styleId="56">
    <w:name w:val="List Paragraph"/>
    <w:basedOn w:val="1"/>
    <w:qFormat/>
    <w:uiPriority w:val="0"/>
    <w:pPr>
      <w:ind w:firstLine="420" w:firstLineChars="200"/>
    </w:pPr>
  </w:style>
  <w:style w:type="paragraph" w:customStyle="1" w:styleId="57">
    <w:name w:val="样式 首行缩进:  0 字符"/>
    <w:basedOn w:val="1"/>
    <w:qFormat/>
    <w:uiPriority w:val="0"/>
    <w:pPr>
      <w:widowControl/>
      <w:spacing w:beforeLines="50" w:afterLines="50" w:line="319" w:lineRule="auto"/>
      <w:jc w:val="left"/>
    </w:pPr>
    <w:rPr>
      <w:rFonts w:cs="宋体"/>
      <w:sz w:val="24"/>
    </w:rPr>
  </w:style>
  <w:style w:type="paragraph" w:customStyle="1" w:styleId="58">
    <w:name w:val="title14"/>
    <w:basedOn w:val="1"/>
    <w:qFormat/>
    <w:uiPriority w:val="0"/>
    <w:pPr>
      <w:widowControl/>
      <w:spacing w:before="150" w:line="510" w:lineRule="atLeast"/>
      <w:jc w:val="left"/>
    </w:pPr>
    <w:rPr>
      <w:rFonts w:ascii="宋体" w:hAnsi="宋体" w:cs="宋体"/>
      <w:b/>
      <w:bCs/>
      <w:kern w:val="0"/>
      <w:sz w:val="23"/>
      <w:szCs w:val="23"/>
    </w:rPr>
  </w:style>
  <w:style w:type="character" w:customStyle="1" w:styleId="59">
    <w:name w:val="标题 3 Char"/>
    <w:basedOn w:val="45"/>
    <w:link w:val="6"/>
    <w:qFormat/>
    <w:uiPriority w:val="0"/>
    <w:rPr>
      <w:rFonts w:ascii="Calibri" w:hAnsi="Calibri"/>
      <w:b/>
      <w:bCs/>
      <w:kern w:val="2"/>
      <w:sz w:val="32"/>
      <w:szCs w:val="32"/>
    </w:rPr>
  </w:style>
  <w:style w:type="character" w:customStyle="1" w:styleId="60">
    <w:name w:val="标题 4 Char"/>
    <w:basedOn w:val="45"/>
    <w:link w:val="7"/>
    <w:qFormat/>
    <w:uiPriority w:val="0"/>
    <w:rPr>
      <w:rFonts w:ascii="Arial" w:hAnsi="Arial" w:eastAsia="黑体"/>
      <w:b/>
      <w:bCs/>
      <w:kern w:val="2"/>
      <w:sz w:val="28"/>
      <w:szCs w:val="28"/>
    </w:rPr>
  </w:style>
  <w:style w:type="character" w:customStyle="1" w:styleId="61">
    <w:name w:val="标题 5 Char"/>
    <w:basedOn w:val="45"/>
    <w:link w:val="8"/>
    <w:qFormat/>
    <w:uiPriority w:val="0"/>
    <w:rPr>
      <w:b/>
      <w:bCs/>
      <w:kern w:val="2"/>
      <w:sz w:val="28"/>
      <w:szCs w:val="28"/>
    </w:rPr>
  </w:style>
  <w:style w:type="character" w:customStyle="1" w:styleId="62">
    <w:name w:val="标题 6 Char"/>
    <w:basedOn w:val="45"/>
    <w:link w:val="9"/>
    <w:qFormat/>
    <w:uiPriority w:val="0"/>
    <w:rPr>
      <w:rFonts w:ascii="Arial" w:hAnsi="Arial" w:eastAsia="黑体"/>
      <w:b/>
      <w:bCs/>
      <w:kern w:val="2"/>
      <w:sz w:val="24"/>
      <w:szCs w:val="24"/>
    </w:rPr>
  </w:style>
  <w:style w:type="character" w:customStyle="1" w:styleId="63">
    <w:name w:val="标题 7 Char"/>
    <w:basedOn w:val="45"/>
    <w:link w:val="10"/>
    <w:qFormat/>
    <w:uiPriority w:val="0"/>
    <w:rPr>
      <w:b/>
      <w:bCs/>
      <w:kern w:val="2"/>
      <w:sz w:val="24"/>
      <w:szCs w:val="24"/>
    </w:rPr>
  </w:style>
  <w:style w:type="character" w:customStyle="1" w:styleId="64">
    <w:name w:val="标题 8 Char"/>
    <w:basedOn w:val="45"/>
    <w:link w:val="11"/>
    <w:qFormat/>
    <w:uiPriority w:val="0"/>
    <w:rPr>
      <w:rFonts w:ascii="Cambria" w:hAnsi="Cambria"/>
      <w:kern w:val="2"/>
      <w:sz w:val="24"/>
      <w:szCs w:val="24"/>
    </w:rPr>
  </w:style>
  <w:style w:type="character" w:customStyle="1" w:styleId="65">
    <w:name w:val="标题 9 Char"/>
    <w:basedOn w:val="45"/>
    <w:link w:val="12"/>
    <w:qFormat/>
    <w:uiPriority w:val="0"/>
    <w:rPr>
      <w:rFonts w:ascii="Cambria" w:hAnsi="Cambria"/>
      <w:kern w:val="2"/>
      <w:sz w:val="21"/>
      <w:szCs w:val="21"/>
    </w:rPr>
  </w:style>
  <w:style w:type="character" w:customStyle="1" w:styleId="66">
    <w:name w:val="文档结构图 Char1"/>
    <w:basedOn w:val="45"/>
    <w:link w:val="16"/>
    <w:qFormat/>
    <w:locked/>
    <w:uiPriority w:val="0"/>
    <w:rPr>
      <w:rFonts w:ascii="宋体"/>
      <w:sz w:val="18"/>
      <w:szCs w:val="18"/>
      <w:shd w:val="clear" w:color="auto" w:fill="000080"/>
    </w:rPr>
  </w:style>
  <w:style w:type="character" w:customStyle="1" w:styleId="67">
    <w:name w:val="引用 Char"/>
    <w:qFormat/>
    <w:uiPriority w:val="0"/>
    <w:rPr>
      <w:i/>
      <w:iCs/>
      <w:color w:val="000000"/>
      <w:kern w:val="2"/>
      <w:sz w:val="21"/>
      <w:szCs w:val="22"/>
    </w:rPr>
  </w:style>
  <w:style w:type="character" w:customStyle="1" w:styleId="68">
    <w:name w:val="Comment Subject Char"/>
    <w:qFormat/>
    <w:locked/>
    <w:uiPriority w:val="99"/>
    <w:rPr>
      <w:rFonts w:cs="Times New Roman"/>
      <w:b/>
      <w:bCs/>
      <w:kern w:val="2"/>
      <w:sz w:val="24"/>
      <w:szCs w:val="24"/>
    </w:rPr>
  </w:style>
  <w:style w:type="character" w:customStyle="1" w:styleId="69">
    <w:name w:val="标题 Char"/>
    <w:qFormat/>
    <w:uiPriority w:val="0"/>
    <w:rPr>
      <w:rFonts w:ascii="Cambria" w:hAnsi="Cambria"/>
      <w:b/>
      <w:bCs/>
      <w:kern w:val="2"/>
      <w:sz w:val="32"/>
      <w:szCs w:val="32"/>
    </w:rPr>
  </w:style>
  <w:style w:type="character" w:customStyle="1" w:styleId="70">
    <w:name w:val="正文首行缩进（Hirisun） Char Char"/>
    <w:link w:val="71"/>
    <w:qFormat/>
    <w:locked/>
    <w:uiPriority w:val="99"/>
    <w:rPr>
      <w:rFonts w:ascii="Arial" w:hAnsi="Arial"/>
      <w:sz w:val="24"/>
    </w:rPr>
  </w:style>
  <w:style w:type="paragraph" w:customStyle="1" w:styleId="71">
    <w:name w:val="正文首行缩进（Hirisun）"/>
    <w:basedOn w:val="1"/>
    <w:link w:val="70"/>
    <w:qFormat/>
    <w:uiPriority w:val="99"/>
    <w:pPr>
      <w:widowControl/>
      <w:spacing w:after="50" w:line="360" w:lineRule="auto"/>
      <w:ind w:firstLine="200" w:firstLineChars="200"/>
      <w:jc w:val="left"/>
    </w:pPr>
    <w:rPr>
      <w:rFonts w:ascii="Arial" w:hAnsi="Arial"/>
      <w:kern w:val="0"/>
      <w:sz w:val="24"/>
      <w:szCs w:val="20"/>
    </w:rPr>
  </w:style>
  <w:style w:type="character" w:customStyle="1" w:styleId="72">
    <w:name w:val="标题 Char1"/>
    <w:basedOn w:val="45"/>
    <w:link w:val="40"/>
    <w:qFormat/>
    <w:uiPriority w:val="10"/>
    <w:rPr>
      <w:rFonts w:ascii="Cambria" w:hAnsi="Cambria"/>
      <w:b/>
      <w:bCs/>
      <w:kern w:val="2"/>
      <w:sz w:val="32"/>
      <w:szCs w:val="32"/>
    </w:rPr>
  </w:style>
  <w:style w:type="character" w:customStyle="1" w:styleId="73">
    <w:name w:val="H2 Char"/>
    <w:qFormat/>
    <w:uiPriority w:val="99"/>
    <w:rPr>
      <w:rFonts w:ascii="Cambria" w:hAnsi="Cambria"/>
      <w:b/>
      <w:kern w:val="2"/>
      <w:sz w:val="32"/>
    </w:rPr>
  </w:style>
  <w:style w:type="character" w:customStyle="1" w:styleId="74">
    <w:name w:val="纯文本 Char2"/>
    <w:qFormat/>
    <w:uiPriority w:val="99"/>
    <w:rPr>
      <w:rFonts w:ascii="宋体" w:hAnsi="Courier New" w:eastAsia="宋体"/>
    </w:rPr>
  </w:style>
  <w:style w:type="character" w:customStyle="1" w:styleId="75">
    <w:name w:val="ca-1"/>
    <w:basedOn w:val="45"/>
    <w:qFormat/>
    <w:uiPriority w:val="99"/>
    <w:rPr>
      <w:rFonts w:ascii="宋体" w:eastAsia="宋体" w:cs="Times New Roman"/>
      <w:sz w:val="24"/>
    </w:rPr>
  </w:style>
  <w:style w:type="character" w:customStyle="1" w:styleId="76">
    <w:name w:val="正文文本缩进 3 Char"/>
    <w:basedOn w:val="45"/>
    <w:link w:val="34"/>
    <w:qFormat/>
    <w:locked/>
    <w:uiPriority w:val="99"/>
    <w:rPr>
      <w:sz w:val="16"/>
      <w:szCs w:val="16"/>
    </w:rPr>
  </w:style>
  <w:style w:type="character" w:customStyle="1" w:styleId="77">
    <w:name w:val="明显引用 Char"/>
    <w:qFormat/>
    <w:uiPriority w:val="0"/>
    <w:rPr>
      <w:b/>
      <w:bCs/>
      <w:i/>
      <w:iCs/>
      <w:color w:val="4F81BD"/>
      <w:kern w:val="2"/>
      <w:sz w:val="21"/>
      <w:szCs w:val="22"/>
    </w:rPr>
  </w:style>
  <w:style w:type="character" w:customStyle="1" w:styleId="78">
    <w:name w:val="副标题 Char1"/>
    <w:basedOn w:val="45"/>
    <w:link w:val="32"/>
    <w:qFormat/>
    <w:uiPriority w:val="11"/>
    <w:rPr>
      <w:rFonts w:ascii="Cambria" w:hAnsi="Cambria"/>
      <w:b/>
      <w:bCs/>
      <w:kern w:val="28"/>
      <w:sz w:val="32"/>
      <w:szCs w:val="32"/>
    </w:rPr>
  </w:style>
  <w:style w:type="character" w:customStyle="1" w:styleId="79">
    <w:name w:val="Comment Text Char"/>
    <w:qFormat/>
    <w:locked/>
    <w:uiPriority w:val="99"/>
    <w:rPr>
      <w:rFonts w:cs="Times New Roman"/>
      <w:kern w:val="2"/>
      <w:sz w:val="24"/>
      <w:szCs w:val="24"/>
    </w:rPr>
  </w:style>
  <w:style w:type="character" w:customStyle="1" w:styleId="80">
    <w:name w:val="text1"/>
    <w:qFormat/>
    <w:uiPriority w:val="99"/>
    <w:rPr>
      <w:sz w:val="24"/>
    </w:rPr>
  </w:style>
  <w:style w:type="character" w:customStyle="1" w:styleId="81">
    <w:name w:val="不明显参考1"/>
    <w:qFormat/>
    <w:uiPriority w:val="0"/>
    <w:rPr>
      <w:smallCaps/>
      <w:color w:val="C0504D"/>
      <w:u w:val="single"/>
    </w:rPr>
  </w:style>
  <w:style w:type="character" w:customStyle="1" w:styleId="82">
    <w:name w:val="明显引用 Char1"/>
    <w:basedOn w:val="45"/>
    <w:link w:val="83"/>
    <w:qFormat/>
    <w:uiPriority w:val="30"/>
    <w:rPr>
      <w:b/>
      <w:bCs/>
      <w:i/>
      <w:iCs/>
      <w:color w:val="4F81BD"/>
      <w:kern w:val="2"/>
      <w:sz w:val="21"/>
    </w:rPr>
  </w:style>
  <w:style w:type="paragraph" w:styleId="83">
    <w:name w:val="Intense Quote"/>
    <w:basedOn w:val="1"/>
    <w:next w:val="1"/>
    <w:link w:val="82"/>
    <w:qFormat/>
    <w:uiPriority w:val="30"/>
    <w:pPr>
      <w:pBdr>
        <w:bottom w:val="single" w:color="4F81BD" w:sz="4" w:space="4"/>
      </w:pBdr>
      <w:spacing w:before="200" w:after="280"/>
      <w:ind w:left="936" w:right="936"/>
    </w:pPr>
    <w:rPr>
      <w:rFonts w:ascii="Times New Roman" w:hAnsi="Times New Roman"/>
      <w:b/>
      <w:bCs/>
      <w:i/>
      <w:iCs/>
      <w:color w:val="4F81BD"/>
      <w:szCs w:val="20"/>
    </w:rPr>
  </w:style>
  <w:style w:type="character" w:customStyle="1" w:styleId="84">
    <w:name w:val="正文文本缩进 2 Char"/>
    <w:basedOn w:val="45"/>
    <w:link w:val="26"/>
    <w:qFormat/>
    <w:locked/>
    <w:uiPriority w:val="99"/>
  </w:style>
  <w:style w:type="character" w:customStyle="1" w:styleId="85">
    <w:name w:val="textcontents"/>
    <w:qFormat/>
    <w:uiPriority w:val="0"/>
    <w:rPr>
      <w:rFonts w:cs="Times New Roman"/>
    </w:rPr>
  </w:style>
  <w:style w:type="character" w:customStyle="1" w:styleId="86">
    <w:name w:val="纯文本 Char1"/>
    <w:basedOn w:val="45"/>
    <w:link w:val="23"/>
    <w:qFormat/>
    <w:locked/>
    <w:uiPriority w:val="99"/>
    <w:rPr>
      <w:rFonts w:ascii="宋体" w:hAnsi="Courier New" w:cs="Courier New"/>
      <w:kern w:val="2"/>
      <w:sz w:val="21"/>
      <w:szCs w:val="21"/>
    </w:rPr>
  </w:style>
  <w:style w:type="character" w:customStyle="1" w:styleId="87">
    <w:name w:val="无间隔 Char"/>
    <w:basedOn w:val="45"/>
    <w:link w:val="88"/>
    <w:qFormat/>
    <w:uiPriority w:val="1"/>
    <w:rPr>
      <w:kern w:val="2"/>
      <w:sz w:val="21"/>
      <w:szCs w:val="22"/>
    </w:rPr>
  </w:style>
  <w:style w:type="paragraph" w:styleId="88">
    <w:name w:val="No Spacing"/>
    <w:link w:val="8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9">
    <w:name w:val="正文文本 Char"/>
    <w:qFormat/>
    <w:uiPriority w:val="0"/>
  </w:style>
  <w:style w:type="character" w:customStyle="1" w:styleId="90">
    <w:name w:val="批注框文本 Char1"/>
    <w:qFormat/>
    <w:uiPriority w:val="0"/>
    <w:rPr>
      <w:kern w:val="2"/>
      <w:sz w:val="18"/>
      <w:szCs w:val="18"/>
    </w:rPr>
  </w:style>
  <w:style w:type="character" w:customStyle="1" w:styleId="91">
    <w:name w:val="批注文字 Char Char"/>
    <w:qFormat/>
    <w:uiPriority w:val="0"/>
    <w:rPr>
      <w:rFonts w:ascii="宋体" w:hAnsi="Times New Roman" w:eastAsia="宋体" w:cs="Times New Roman"/>
      <w:sz w:val="28"/>
      <w:szCs w:val="20"/>
    </w:rPr>
  </w:style>
  <w:style w:type="character" w:customStyle="1" w:styleId="92">
    <w:name w:val="正文缩进 Char"/>
    <w:link w:val="5"/>
    <w:qFormat/>
    <w:locked/>
    <w:uiPriority w:val="99"/>
  </w:style>
  <w:style w:type="character" w:customStyle="1" w:styleId="93">
    <w:name w:val="标题5 Char Char"/>
    <w:link w:val="94"/>
    <w:qFormat/>
    <w:uiPriority w:val="0"/>
    <w:rPr>
      <w:rFonts w:ascii="Arial" w:hAnsi="Arial"/>
      <w:b/>
      <w:bCs/>
      <w:sz w:val="24"/>
      <w:szCs w:val="32"/>
    </w:rPr>
  </w:style>
  <w:style w:type="paragraph" w:customStyle="1" w:styleId="94">
    <w:name w:val="标题5"/>
    <w:basedOn w:val="6"/>
    <w:link w:val="93"/>
    <w:qFormat/>
    <w:uiPriority w:val="0"/>
    <w:pPr>
      <w:spacing w:line="413" w:lineRule="auto"/>
    </w:pPr>
    <w:rPr>
      <w:rFonts w:ascii="Arial" w:hAnsi="Arial"/>
      <w:kern w:val="0"/>
      <w:sz w:val="24"/>
    </w:rPr>
  </w:style>
  <w:style w:type="character" w:customStyle="1" w:styleId="95">
    <w:name w:val="明显参考1"/>
    <w:qFormat/>
    <w:uiPriority w:val="0"/>
    <w:rPr>
      <w:b/>
      <w:bCs/>
      <w:smallCaps/>
      <w:color w:val="C0504D"/>
      <w:spacing w:val="5"/>
      <w:u w:val="single"/>
    </w:rPr>
  </w:style>
  <w:style w:type="character" w:customStyle="1" w:styleId="96">
    <w:name w:val="Comment Text Char1"/>
    <w:basedOn w:val="45"/>
    <w:semiHidden/>
    <w:qFormat/>
    <w:uiPriority w:val="99"/>
    <w:rPr>
      <w:rFonts w:ascii="Times New Roman" w:hAnsi="Times New Roman"/>
      <w:szCs w:val="20"/>
    </w:rPr>
  </w:style>
  <w:style w:type="character" w:customStyle="1" w:styleId="97">
    <w:name w:val="标题 2 Char"/>
    <w:basedOn w:val="45"/>
    <w:link w:val="4"/>
    <w:qFormat/>
    <w:locked/>
    <w:uiPriority w:val="0"/>
    <w:rPr>
      <w:rFonts w:ascii="Calibri" w:hAnsi="Calibri" w:eastAsia="宋体"/>
      <w:b/>
      <w:kern w:val="2"/>
      <w:sz w:val="21"/>
    </w:rPr>
  </w:style>
  <w:style w:type="character" w:customStyle="1" w:styleId="98">
    <w:name w:val="Char Char2"/>
    <w:basedOn w:val="45"/>
    <w:qFormat/>
    <w:uiPriority w:val="99"/>
    <w:rPr>
      <w:rFonts w:ascii="宋体" w:hAnsi="宋体" w:eastAsia="宋体" w:cs="Times New Roman"/>
      <w:kern w:val="2"/>
      <w:sz w:val="28"/>
      <w:lang w:val="en-US" w:eastAsia="zh-CN" w:bidi="ar-SA"/>
    </w:rPr>
  </w:style>
  <w:style w:type="character" w:customStyle="1" w:styleId="99">
    <w:name w:val="批注框文本 Char"/>
    <w:basedOn w:val="45"/>
    <w:link w:val="27"/>
    <w:qFormat/>
    <w:locked/>
    <w:uiPriority w:val="0"/>
    <w:rPr>
      <w:sz w:val="18"/>
      <w:szCs w:val="18"/>
    </w:rPr>
  </w:style>
  <w:style w:type="character" w:customStyle="1" w:styleId="100">
    <w:name w:val="批注主题 Char1"/>
    <w:qFormat/>
    <w:uiPriority w:val="0"/>
    <w:rPr>
      <w:b/>
      <w:bCs/>
      <w:kern w:val="2"/>
      <w:sz w:val="21"/>
      <w:szCs w:val="22"/>
    </w:rPr>
  </w:style>
  <w:style w:type="character" w:customStyle="1" w:styleId="101">
    <w:name w:val="不明显强调1"/>
    <w:qFormat/>
    <w:uiPriority w:val="0"/>
    <w:rPr>
      <w:i/>
      <w:iCs/>
      <w:color w:val="808080"/>
    </w:rPr>
  </w:style>
  <w:style w:type="character" w:customStyle="1" w:styleId="102">
    <w:name w:val="Comment Subject Char1"/>
    <w:basedOn w:val="103"/>
    <w:semiHidden/>
    <w:qFormat/>
    <w:uiPriority w:val="99"/>
    <w:rPr>
      <w:b/>
      <w:bCs/>
      <w:kern w:val="2"/>
      <w:sz w:val="21"/>
      <w:szCs w:val="20"/>
    </w:rPr>
  </w:style>
  <w:style w:type="character" w:customStyle="1" w:styleId="103">
    <w:name w:val="批注文字 Char"/>
    <w:basedOn w:val="45"/>
    <w:link w:val="17"/>
    <w:qFormat/>
    <w:locked/>
    <w:uiPriority w:val="0"/>
    <w:rPr>
      <w:kern w:val="2"/>
      <w:sz w:val="21"/>
    </w:rPr>
  </w:style>
  <w:style w:type="character" w:customStyle="1" w:styleId="104">
    <w:name w:val="明显强调1"/>
    <w:qFormat/>
    <w:uiPriority w:val="0"/>
    <w:rPr>
      <w:b/>
      <w:bCs/>
      <w:i/>
      <w:iCs/>
      <w:color w:val="4F81BD"/>
    </w:rPr>
  </w:style>
  <w:style w:type="character" w:customStyle="1" w:styleId="105">
    <w:name w:val="书籍标题1"/>
    <w:qFormat/>
    <w:uiPriority w:val="0"/>
    <w:rPr>
      <w:b/>
      <w:bCs/>
      <w:smallCaps/>
      <w:spacing w:val="5"/>
    </w:rPr>
  </w:style>
  <w:style w:type="character" w:customStyle="1" w:styleId="106">
    <w:name w:val="副标题 Char"/>
    <w:qFormat/>
    <w:uiPriority w:val="0"/>
    <w:rPr>
      <w:rFonts w:ascii="Cambria" w:hAnsi="Cambria"/>
      <w:b/>
      <w:bCs/>
      <w:kern w:val="28"/>
      <w:sz w:val="32"/>
      <w:szCs w:val="32"/>
    </w:rPr>
  </w:style>
  <w:style w:type="character" w:customStyle="1" w:styleId="107">
    <w:name w:val="正文文本缩进 Char"/>
    <w:basedOn w:val="45"/>
    <w:qFormat/>
    <w:locked/>
    <w:uiPriority w:val="99"/>
    <w:rPr>
      <w:rFonts w:ascii="Times New Roman" w:hAnsi="Times New Roman" w:eastAsia="宋体" w:cs="Times New Roman"/>
      <w:sz w:val="20"/>
      <w:szCs w:val="20"/>
    </w:rPr>
  </w:style>
  <w:style w:type="character" w:customStyle="1" w:styleId="108">
    <w:name w:val="style11"/>
    <w:qFormat/>
    <w:uiPriority w:val="99"/>
    <w:rPr>
      <w:b/>
      <w:color w:val="C21616"/>
      <w:sz w:val="36"/>
    </w:rPr>
  </w:style>
  <w:style w:type="character" w:customStyle="1" w:styleId="109">
    <w:name w:val="样式 宋体 小四 粉红"/>
    <w:qFormat/>
    <w:uiPriority w:val="99"/>
    <w:rPr>
      <w:rFonts w:ascii="宋体" w:eastAsia="宋体"/>
      <w:color w:val="auto"/>
      <w:sz w:val="24"/>
    </w:rPr>
  </w:style>
  <w:style w:type="character" w:customStyle="1" w:styleId="110">
    <w:name w:val="Char Char5"/>
    <w:qFormat/>
    <w:uiPriority w:val="99"/>
    <w:rPr>
      <w:rFonts w:ascii="宋体" w:hAnsi="宋体" w:eastAsia="宋体"/>
      <w:kern w:val="2"/>
      <w:sz w:val="28"/>
      <w:lang w:val="en-US" w:eastAsia="zh-CN"/>
    </w:rPr>
  </w:style>
  <w:style w:type="character" w:customStyle="1" w:styleId="111">
    <w:name w:val="HTML 预设格式 Char"/>
    <w:basedOn w:val="45"/>
    <w:link w:val="38"/>
    <w:qFormat/>
    <w:locked/>
    <w:uiPriority w:val="99"/>
    <w:rPr>
      <w:rFonts w:ascii="宋体" w:hAnsi="宋体" w:cs="宋体"/>
      <w:sz w:val="24"/>
      <w:szCs w:val="24"/>
    </w:rPr>
  </w:style>
  <w:style w:type="character" w:customStyle="1" w:styleId="112">
    <w:name w:val="正文文本 Char1"/>
    <w:basedOn w:val="45"/>
    <w:link w:val="2"/>
    <w:qFormat/>
    <w:locked/>
    <w:uiPriority w:val="0"/>
  </w:style>
  <w:style w:type="character" w:customStyle="1" w:styleId="113">
    <w:name w:val="日期 Char"/>
    <w:basedOn w:val="45"/>
    <w:link w:val="25"/>
    <w:qFormat/>
    <w:locked/>
    <w:uiPriority w:val="0"/>
    <w:rPr>
      <w:rFonts w:ascii="仿宋_GB2312" w:hAnsi="Calibri" w:eastAsia="仿宋_GB2312"/>
      <w:color w:val="000000"/>
      <w:sz w:val="32"/>
    </w:rPr>
  </w:style>
  <w:style w:type="character" w:customStyle="1" w:styleId="114">
    <w:name w:val="标题 1 Char"/>
    <w:basedOn w:val="45"/>
    <w:link w:val="3"/>
    <w:qFormat/>
    <w:locked/>
    <w:uiPriority w:val="0"/>
    <w:rPr>
      <w:b/>
      <w:kern w:val="44"/>
      <w:sz w:val="32"/>
    </w:rPr>
  </w:style>
  <w:style w:type="character" w:customStyle="1" w:styleId="115">
    <w:name w:val="文档结构图 Char"/>
    <w:qFormat/>
    <w:uiPriority w:val="0"/>
    <w:rPr>
      <w:shd w:val="clear" w:color="auto" w:fill="000080"/>
    </w:rPr>
  </w:style>
  <w:style w:type="character" w:customStyle="1" w:styleId="116">
    <w:name w:val="总规--正文 Char Char"/>
    <w:link w:val="117"/>
    <w:qFormat/>
    <w:locked/>
    <w:uiPriority w:val="99"/>
    <w:rPr>
      <w:rFonts w:hAnsi="宋体"/>
      <w:sz w:val="24"/>
    </w:rPr>
  </w:style>
  <w:style w:type="paragraph" w:customStyle="1" w:styleId="117">
    <w:name w:val="总规--正文"/>
    <w:basedOn w:val="1"/>
    <w:link w:val="116"/>
    <w:qFormat/>
    <w:uiPriority w:val="99"/>
    <w:pPr>
      <w:spacing w:line="360" w:lineRule="auto"/>
      <w:ind w:firstLine="480" w:firstLineChars="200"/>
    </w:pPr>
    <w:rPr>
      <w:rFonts w:ascii="Times New Roman" w:hAnsi="宋体"/>
      <w:kern w:val="0"/>
      <w:sz w:val="24"/>
      <w:szCs w:val="20"/>
    </w:rPr>
  </w:style>
  <w:style w:type="character" w:customStyle="1" w:styleId="118">
    <w:name w:val="页脚 Char"/>
    <w:basedOn w:val="45"/>
    <w:link w:val="28"/>
    <w:qFormat/>
    <w:locked/>
    <w:uiPriority w:val="99"/>
    <w:rPr>
      <w:rFonts w:ascii="Calibri" w:hAnsi="Calibri"/>
      <w:kern w:val="2"/>
      <w:sz w:val="18"/>
      <w:szCs w:val="24"/>
    </w:rPr>
  </w:style>
  <w:style w:type="character" w:customStyle="1" w:styleId="119">
    <w:name w:val="标题 2 Char Char"/>
    <w:qFormat/>
    <w:uiPriority w:val="99"/>
    <w:rPr>
      <w:rFonts w:ascii="Cambria" w:hAnsi="Cambria" w:eastAsia="宋体"/>
      <w:b/>
      <w:kern w:val="2"/>
      <w:sz w:val="32"/>
    </w:rPr>
  </w:style>
  <w:style w:type="character" w:customStyle="1" w:styleId="120">
    <w:name w:val="张伟正文 Char Char"/>
    <w:link w:val="121"/>
    <w:qFormat/>
    <w:locked/>
    <w:uiPriority w:val="99"/>
    <w:rPr>
      <w:sz w:val="18"/>
    </w:rPr>
  </w:style>
  <w:style w:type="paragraph" w:customStyle="1" w:styleId="121">
    <w:name w:val="张伟正文"/>
    <w:basedOn w:val="1"/>
    <w:link w:val="120"/>
    <w:qFormat/>
    <w:uiPriority w:val="99"/>
    <w:pPr>
      <w:spacing w:line="280" w:lineRule="exact"/>
      <w:ind w:firstLine="420"/>
    </w:pPr>
    <w:rPr>
      <w:rFonts w:ascii="Times New Roman" w:hAnsi="Times New Roman"/>
      <w:kern w:val="0"/>
      <w:sz w:val="18"/>
      <w:szCs w:val="20"/>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4"/>
    <w:next w:val="20"/>
    <w:link w:val="122"/>
    <w:qFormat/>
    <w:uiPriority w:val="0"/>
    <w:pPr>
      <w:adjustRightInd/>
      <w:spacing w:before="260" w:beforeLines="0" w:after="260" w:afterLines="0" w:line="413" w:lineRule="auto"/>
      <w:jc w:val="both"/>
      <w:textAlignment w:val="auto"/>
    </w:pPr>
    <w:rPr>
      <w:rFonts w:ascii="Arial" w:hAnsi="Arial"/>
      <w:bCs/>
      <w:kern w:val="0"/>
      <w:sz w:val="24"/>
      <w:szCs w:val="32"/>
    </w:rPr>
  </w:style>
  <w:style w:type="character" w:customStyle="1" w:styleId="124">
    <w:name w:val="纯文本 Char"/>
    <w:qFormat/>
    <w:uiPriority w:val="99"/>
    <w:rPr>
      <w:rFonts w:ascii="宋体" w:hAnsi="Courier New" w:eastAsia="宋体"/>
      <w:kern w:val="2"/>
      <w:sz w:val="21"/>
      <w:lang w:val="en-US" w:eastAsia="zh-CN"/>
    </w:rPr>
  </w:style>
  <w:style w:type="character" w:customStyle="1" w:styleId="125">
    <w:name w:val="批注主题 Char"/>
    <w:basedOn w:val="103"/>
    <w:link w:val="41"/>
    <w:qFormat/>
    <w:locked/>
    <w:uiPriority w:val="0"/>
    <w:rPr>
      <w:b/>
      <w:bCs/>
      <w:kern w:val="2"/>
      <w:sz w:val="21"/>
    </w:rPr>
  </w:style>
  <w:style w:type="character" w:customStyle="1" w:styleId="126">
    <w:name w:val="mark"/>
    <w:basedOn w:val="45"/>
    <w:qFormat/>
    <w:uiPriority w:val="99"/>
    <w:rPr>
      <w:rFonts w:ascii="宋体" w:eastAsia="宋体" w:cs="Times New Roman"/>
      <w:sz w:val="24"/>
    </w:rPr>
  </w:style>
  <w:style w:type="character" w:customStyle="1" w:styleId="127">
    <w:name w:val="正文文本 2 Char"/>
    <w:basedOn w:val="45"/>
    <w:link w:val="37"/>
    <w:qFormat/>
    <w:locked/>
    <w:uiPriority w:val="99"/>
  </w:style>
  <w:style w:type="character" w:customStyle="1" w:styleId="128">
    <w:name w:val="日期 Char1"/>
    <w:qFormat/>
    <w:uiPriority w:val="0"/>
    <w:rPr>
      <w:kern w:val="2"/>
      <w:sz w:val="21"/>
      <w:szCs w:val="22"/>
    </w:rPr>
  </w:style>
  <w:style w:type="character" w:customStyle="1" w:styleId="129">
    <w:name w:val="引用 Char1"/>
    <w:basedOn w:val="45"/>
    <w:link w:val="130"/>
    <w:qFormat/>
    <w:uiPriority w:val="29"/>
    <w:rPr>
      <w:i/>
      <w:iCs/>
      <w:color w:val="000000"/>
      <w:kern w:val="2"/>
      <w:sz w:val="21"/>
    </w:rPr>
  </w:style>
  <w:style w:type="paragraph" w:styleId="130">
    <w:name w:val="Quote"/>
    <w:basedOn w:val="1"/>
    <w:next w:val="1"/>
    <w:link w:val="129"/>
    <w:qFormat/>
    <w:uiPriority w:val="29"/>
    <w:rPr>
      <w:rFonts w:ascii="Times New Roman" w:hAnsi="Times New Roman"/>
      <w:i/>
      <w:iCs/>
      <w:color w:val="000000"/>
      <w:szCs w:val="20"/>
    </w:rPr>
  </w:style>
  <w:style w:type="character" w:customStyle="1" w:styleId="131">
    <w:name w:val="页眉 Char"/>
    <w:basedOn w:val="45"/>
    <w:link w:val="29"/>
    <w:qFormat/>
    <w:locked/>
    <w:uiPriority w:val="0"/>
    <w:rPr>
      <w:rFonts w:ascii="Calibri" w:hAnsi="Calibri"/>
      <w:kern w:val="2"/>
      <w:sz w:val="18"/>
      <w:szCs w:val="24"/>
    </w:rPr>
  </w:style>
  <w:style w:type="character" w:customStyle="1" w:styleId="132">
    <w:name w:val="Char Char10"/>
    <w:basedOn w:val="45"/>
    <w:qFormat/>
    <w:uiPriority w:val="99"/>
    <w:rPr>
      <w:rFonts w:ascii="宋体" w:hAnsi="Courier New" w:eastAsia="宋体" w:cs="Times New Roman"/>
      <w:kern w:val="2"/>
      <w:sz w:val="24"/>
      <w:szCs w:val="24"/>
      <w:lang w:val="en-US" w:eastAsia="zh-CN" w:bidi="ar-SA"/>
    </w:rPr>
  </w:style>
  <w:style w:type="character" w:customStyle="1" w:styleId="133">
    <w:name w:val="正文文本 2 Char1"/>
    <w:qFormat/>
    <w:uiPriority w:val="99"/>
    <w:rPr>
      <w:rFonts w:ascii="宋体" w:hAnsi="宋体" w:eastAsia="宋体"/>
      <w:sz w:val="28"/>
    </w:rPr>
  </w:style>
  <w:style w:type="character" w:customStyle="1" w:styleId="134">
    <w:name w:val="正文文本 Char2"/>
    <w:basedOn w:val="45"/>
    <w:qFormat/>
    <w:uiPriority w:val="0"/>
    <w:rPr>
      <w:rFonts w:ascii="Calibri" w:hAnsi="Calibri"/>
      <w:kern w:val="2"/>
      <w:sz w:val="21"/>
      <w:szCs w:val="24"/>
    </w:rPr>
  </w:style>
  <w:style w:type="character" w:customStyle="1" w:styleId="135">
    <w:name w:val="正文文本缩进 Char1"/>
    <w:basedOn w:val="45"/>
    <w:link w:val="19"/>
    <w:qFormat/>
    <w:uiPriority w:val="0"/>
    <w:rPr>
      <w:rFonts w:ascii="Calibri" w:hAnsi="Calibri"/>
      <w:kern w:val="2"/>
      <w:sz w:val="21"/>
      <w:szCs w:val="24"/>
    </w:rPr>
  </w:style>
  <w:style w:type="character" w:customStyle="1" w:styleId="136">
    <w:name w:val="正文首行缩进 2 Char"/>
    <w:basedOn w:val="135"/>
    <w:link w:val="42"/>
    <w:qFormat/>
    <w:uiPriority w:val="0"/>
    <w:rPr>
      <w:rFonts w:ascii="Calibri" w:hAnsi="Calibri"/>
      <w:kern w:val="2"/>
      <w:sz w:val="21"/>
      <w:szCs w:val="24"/>
    </w:rPr>
  </w:style>
  <w:style w:type="character" w:customStyle="1" w:styleId="137">
    <w:name w:val="正文文本缩进 2 Char1"/>
    <w:basedOn w:val="45"/>
    <w:qFormat/>
    <w:uiPriority w:val="0"/>
    <w:rPr>
      <w:rFonts w:ascii="Calibri" w:hAnsi="Calibri"/>
      <w:kern w:val="2"/>
      <w:sz w:val="21"/>
      <w:szCs w:val="24"/>
    </w:rPr>
  </w:style>
  <w:style w:type="character" w:customStyle="1" w:styleId="138">
    <w:name w:val="正文文本 2 Char2"/>
    <w:basedOn w:val="45"/>
    <w:qFormat/>
    <w:uiPriority w:val="0"/>
    <w:rPr>
      <w:rFonts w:ascii="Calibri" w:hAnsi="Calibri"/>
      <w:kern w:val="2"/>
      <w:sz w:val="21"/>
      <w:szCs w:val="24"/>
    </w:rPr>
  </w:style>
  <w:style w:type="character" w:customStyle="1" w:styleId="139">
    <w:name w:val="文档结构图 Char2"/>
    <w:basedOn w:val="45"/>
    <w:qFormat/>
    <w:uiPriority w:val="0"/>
    <w:rPr>
      <w:rFonts w:ascii="宋体" w:hAnsi="Calibri"/>
      <w:kern w:val="2"/>
      <w:sz w:val="18"/>
      <w:szCs w:val="18"/>
    </w:rPr>
  </w:style>
  <w:style w:type="character" w:customStyle="1" w:styleId="140">
    <w:name w:val="副标题 Char2"/>
    <w:basedOn w:val="45"/>
    <w:qFormat/>
    <w:uiPriority w:val="0"/>
    <w:rPr>
      <w:rFonts w:asciiTheme="majorHAnsi" w:hAnsiTheme="majorHAnsi" w:cstheme="majorBidi"/>
      <w:b/>
      <w:bCs/>
      <w:kern w:val="28"/>
      <w:sz w:val="32"/>
      <w:szCs w:val="32"/>
    </w:rPr>
  </w:style>
  <w:style w:type="character" w:customStyle="1" w:styleId="141">
    <w:name w:val="正文文本缩进 3 Char1"/>
    <w:basedOn w:val="45"/>
    <w:qFormat/>
    <w:uiPriority w:val="0"/>
    <w:rPr>
      <w:rFonts w:ascii="Calibri" w:hAnsi="Calibri"/>
      <w:kern w:val="2"/>
      <w:sz w:val="16"/>
      <w:szCs w:val="16"/>
    </w:rPr>
  </w:style>
  <w:style w:type="character" w:customStyle="1" w:styleId="142">
    <w:name w:val="批注文字 Char1"/>
    <w:basedOn w:val="45"/>
    <w:qFormat/>
    <w:uiPriority w:val="0"/>
    <w:rPr>
      <w:rFonts w:ascii="Calibri" w:hAnsi="Calibri"/>
      <w:kern w:val="2"/>
      <w:sz w:val="21"/>
      <w:szCs w:val="24"/>
    </w:rPr>
  </w:style>
  <w:style w:type="character" w:customStyle="1" w:styleId="143">
    <w:name w:val="批注主题 Char2"/>
    <w:basedOn w:val="142"/>
    <w:qFormat/>
    <w:uiPriority w:val="0"/>
    <w:rPr>
      <w:rFonts w:ascii="Calibri" w:hAnsi="Calibri"/>
      <w:b/>
      <w:bCs/>
      <w:kern w:val="2"/>
      <w:sz w:val="21"/>
      <w:szCs w:val="24"/>
    </w:rPr>
  </w:style>
  <w:style w:type="character" w:customStyle="1" w:styleId="144">
    <w:name w:val="批注框文本 Char2"/>
    <w:basedOn w:val="45"/>
    <w:qFormat/>
    <w:uiPriority w:val="0"/>
    <w:rPr>
      <w:rFonts w:ascii="Calibri" w:hAnsi="Calibri"/>
      <w:kern w:val="2"/>
      <w:sz w:val="18"/>
      <w:szCs w:val="18"/>
    </w:rPr>
  </w:style>
  <w:style w:type="character" w:customStyle="1" w:styleId="145">
    <w:name w:val="HTML 预设格式 Char1"/>
    <w:basedOn w:val="45"/>
    <w:qFormat/>
    <w:uiPriority w:val="0"/>
    <w:rPr>
      <w:rFonts w:ascii="Courier New" w:hAnsi="Courier New" w:cs="Courier New"/>
      <w:kern w:val="2"/>
    </w:rPr>
  </w:style>
  <w:style w:type="character" w:customStyle="1" w:styleId="146">
    <w:name w:val="标题 Char2"/>
    <w:basedOn w:val="45"/>
    <w:qFormat/>
    <w:uiPriority w:val="0"/>
    <w:rPr>
      <w:rFonts w:asciiTheme="majorHAnsi" w:hAnsiTheme="majorHAnsi" w:cstheme="majorBidi"/>
      <w:b/>
      <w:bCs/>
      <w:kern w:val="2"/>
      <w:sz w:val="32"/>
      <w:szCs w:val="32"/>
    </w:rPr>
  </w:style>
  <w:style w:type="paragraph" w:customStyle="1" w:styleId="147">
    <w:name w:val="Char Char11"/>
    <w:basedOn w:val="1"/>
    <w:qFormat/>
    <w:uiPriority w:val="99"/>
    <w:pPr>
      <w:widowControl/>
      <w:spacing w:after="160" w:line="240" w:lineRule="exact"/>
      <w:jc w:val="left"/>
    </w:pPr>
    <w:rPr>
      <w:rFonts w:ascii="Times New Roman" w:hAnsi="Times New Roman"/>
      <w:szCs w:val="20"/>
    </w:rPr>
  </w:style>
  <w:style w:type="paragraph" w:customStyle="1" w:styleId="148">
    <w:name w:val="Char Char Char1 Char Char Char Char Char Char Char Char Char Char Char Char Char"/>
    <w:basedOn w:val="16"/>
    <w:qFormat/>
    <w:uiPriority w:val="99"/>
    <w:rPr>
      <w:sz w:val="24"/>
      <w:shd w:val="clear" w:color="auto" w:fill="auto"/>
    </w:rPr>
  </w:style>
  <w:style w:type="paragraph" w:customStyle="1" w:styleId="149">
    <w:name w:val="Char Char Char Char Char Char"/>
    <w:basedOn w:val="1"/>
    <w:qFormat/>
    <w:uiPriority w:val="99"/>
    <w:pPr>
      <w:spacing w:line="360" w:lineRule="auto"/>
      <w:ind w:firstLine="200" w:firstLineChars="200"/>
    </w:pPr>
    <w:rPr>
      <w:rFonts w:ascii="Times New Roman" w:hAnsi="Times New Roman"/>
      <w:sz w:val="24"/>
    </w:rPr>
  </w:style>
  <w:style w:type="paragraph" w:customStyle="1" w:styleId="150">
    <w:name w:val="默认段落字体 Para Char Char Char Char Char Char Char"/>
    <w:basedOn w:val="1"/>
    <w:qFormat/>
    <w:uiPriority w:val="99"/>
    <w:rPr>
      <w:rFonts w:ascii="Tahoma" w:hAnsi="Tahoma"/>
      <w:sz w:val="24"/>
      <w:szCs w:val="20"/>
    </w:rPr>
  </w:style>
  <w:style w:type="paragraph" w:customStyle="1" w:styleId="151">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152">
    <w:name w:val="pa-1"/>
    <w:basedOn w:val="1"/>
    <w:qFormat/>
    <w:uiPriority w:val="99"/>
    <w:pPr>
      <w:widowControl/>
      <w:spacing w:before="150" w:after="150"/>
      <w:jc w:val="left"/>
    </w:pPr>
    <w:rPr>
      <w:rFonts w:ascii="宋体" w:hAnsi="宋体" w:cs="宋体"/>
      <w:kern w:val="0"/>
      <w:sz w:val="24"/>
    </w:rPr>
  </w:style>
  <w:style w:type="paragraph" w:customStyle="1" w:styleId="153">
    <w:name w:val="样式 标题 2 + Times New Roman 四号 非加粗 段前: 5 磅 段后: 0 磅 行距: 固定值 20..."/>
    <w:basedOn w:val="4"/>
    <w:qFormat/>
    <w:uiPriority w:val="0"/>
    <w:pPr>
      <w:adjustRightInd/>
      <w:spacing w:before="100" w:beforeLines="0" w:after="0" w:afterLines="0" w:line="400" w:lineRule="exact"/>
      <w:jc w:val="both"/>
      <w:textAlignment w:val="auto"/>
    </w:pPr>
    <w:rPr>
      <w:rFonts w:ascii="Times New Roman" w:hAnsi="Times New Roman" w:eastAsia="黑体" w:cs="宋体"/>
      <w:b w:val="0"/>
      <w:kern w:val="0"/>
      <w:sz w:val="28"/>
    </w:rPr>
  </w:style>
  <w:style w:type="paragraph" w:customStyle="1" w:styleId="154">
    <w:name w:val="Char Char Char1 Char8"/>
    <w:basedOn w:val="1"/>
    <w:qFormat/>
    <w:uiPriority w:val="99"/>
    <w:pPr>
      <w:spacing w:line="360" w:lineRule="auto"/>
      <w:ind w:firstLine="200" w:firstLineChars="200"/>
    </w:pPr>
    <w:rPr>
      <w:rFonts w:ascii="宋体" w:hAnsi="宋体"/>
      <w:sz w:val="24"/>
      <w:szCs w:val="20"/>
    </w:rPr>
  </w:style>
  <w:style w:type="paragraph" w:customStyle="1" w:styleId="155">
    <w:name w:val="标题 2（投标文件）"/>
    <w:basedOn w:val="4"/>
    <w:qFormat/>
    <w:uiPriority w:val="0"/>
    <w:pPr>
      <w:widowControl/>
      <w:adjustRightInd/>
      <w:spacing w:before="0" w:beforeLines="0" w:after="0" w:afterLines="0" w:line="240" w:lineRule="auto"/>
      <w:textAlignment w:val="auto"/>
    </w:pPr>
    <w:rPr>
      <w:rFonts w:ascii="Cambria" w:hAnsi="Cambria"/>
      <w:bCs/>
      <w:sz w:val="32"/>
      <w:szCs w:val="32"/>
    </w:rPr>
  </w:style>
  <w:style w:type="paragraph" w:customStyle="1" w:styleId="156">
    <w:name w:val="Char1"/>
    <w:basedOn w:val="1"/>
    <w:qFormat/>
    <w:uiPriority w:val="0"/>
    <w:rPr>
      <w:rFonts w:ascii="Tahoma" w:hAnsi="Tahoma"/>
      <w:sz w:val="24"/>
      <w:szCs w:val="20"/>
    </w:rPr>
  </w:style>
  <w:style w:type="paragraph" w:customStyle="1" w:styleId="157">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58">
    <w:name w:val="p17"/>
    <w:basedOn w:val="1"/>
    <w:qFormat/>
    <w:uiPriority w:val="99"/>
    <w:pPr>
      <w:widowControl/>
      <w:spacing w:after="120"/>
      <w:ind w:left="420"/>
    </w:pPr>
    <w:rPr>
      <w:rFonts w:ascii="Times New Roman" w:hAnsi="Times New Roman"/>
      <w:kern w:val="0"/>
      <w:szCs w:val="21"/>
    </w:rPr>
  </w:style>
  <w:style w:type="paragraph" w:customStyle="1" w:styleId="159">
    <w:name w:val="_Style 2"/>
    <w:basedOn w:val="1"/>
    <w:next w:val="1"/>
    <w:qFormat/>
    <w:uiPriority w:val="99"/>
    <w:rPr>
      <w:rFonts w:ascii="Times New Roman" w:hAnsi="Times New Roman"/>
      <w:szCs w:val="20"/>
    </w:rPr>
  </w:style>
  <w:style w:type="paragraph" w:customStyle="1" w:styleId="160">
    <w:name w:val="正文文本1"/>
    <w:basedOn w:val="1"/>
    <w:qFormat/>
    <w:uiPriority w:val="99"/>
    <w:pPr>
      <w:spacing w:after="120"/>
    </w:pPr>
    <w:rPr>
      <w:rFonts w:ascii="Times New Roman" w:hAnsi="Times New Roman"/>
    </w:rPr>
  </w:style>
  <w:style w:type="paragraph" w:customStyle="1" w:styleId="161">
    <w:name w:val="Char1 Char Char Char"/>
    <w:basedOn w:val="1"/>
    <w:qFormat/>
    <w:uiPriority w:val="99"/>
    <w:rPr>
      <w:rFonts w:ascii="Times New Roman" w:hAnsi="Times New Roman" w:eastAsia="仿宋_GB2312"/>
      <w:sz w:val="28"/>
    </w:rPr>
  </w:style>
  <w:style w:type="paragraph" w:customStyle="1" w:styleId="16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63">
    <w:name w:val="Char"/>
    <w:basedOn w:val="1"/>
    <w:qFormat/>
    <w:uiPriority w:val="99"/>
    <w:pPr>
      <w:spacing w:beforeLines="50" w:afterLines="50"/>
    </w:pPr>
    <w:rPr>
      <w:rFonts w:ascii="Tahoma" w:hAnsi="Tahoma"/>
      <w:sz w:val="24"/>
      <w:szCs w:val="20"/>
    </w:rPr>
  </w:style>
  <w:style w:type="character" w:customStyle="1" w:styleId="164">
    <w:name w:val="引用 Char2"/>
    <w:basedOn w:val="45"/>
    <w:qFormat/>
    <w:uiPriority w:val="99"/>
    <w:rPr>
      <w:rFonts w:ascii="Calibri" w:hAnsi="Calibri"/>
      <w:i/>
      <w:iCs/>
      <w:color w:val="000000" w:themeColor="text1"/>
      <w:kern w:val="2"/>
      <w:sz w:val="21"/>
      <w:szCs w:val="24"/>
      <w14:textFill>
        <w14:solidFill>
          <w14:schemeClr w14:val="tx1"/>
        </w14:solidFill>
      </w14:textFill>
    </w:rPr>
  </w:style>
  <w:style w:type="paragraph" w:customStyle="1" w:styleId="165">
    <w:name w:val="文档正文"/>
    <w:basedOn w:val="1"/>
    <w:qFormat/>
    <w:uiPriority w:val="99"/>
    <w:pPr>
      <w:adjustRightInd w:val="0"/>
      <w:spacing w:line="312" w:lineRule="atLeast"/>
      <w:ind w:firstLine="567"/>
    </w:pPr>
    <w:rPr>
      <w:rFonts w:ascii="长城仿宋" w:hAnsi="Times New Roman" w:eastAsia="长城仿宋"/>
      <w:kern w:val="0"/>
      <w:sz w:val="28"/>
      <w:szCs w:val="20"/>
    </w:rPr>
  </w:style>
  <w:style w:type="paragraph" w:customStyle="1" w:styleId="166">
    <w:name w:val="Char1 Char Char Char1"/>
    <w:basedOn w:val="1"/>
    <w:qFormat/>
    <w:uiPriority w:val="99"/>
    <w:rPr>
      <w:rFonts w:ascii="Times New Roman" w:hAnsi="Times New Roman"/>
    </w:rPr>
  </w:style>
  <w:style w:type="paragraph" w:customStyle="1" w:styleId="167">
    <w:name w:val="p16"/>
    <w:basedOn w:val="1"/>
    <w:qFormat/>
    <w:uiPriority w:val="99"/>
    <w:pPr>
      <w:widowControl/>
      <w:snapToGrid w:val="0"/>
      <w:spacing w:line="480" w:lineRule="atLeast"/>
    </w:pPr>
    <w:rPr>
      <w:rFonts w:ascii="宋体" w:hAnsi="宋体" w:cs="宋体"/>
      <w:kern w:val="0"/>
      <w:sz w:val="28"/>
      <w:szCs w:val="28"/>
    </w:rPr>
  </w:style>
  <w:style w:type="paragraph" w:customStyle="1" w:styleId="168">
    <w:name w:val="Normal New New"/>
    <w:qFormat/>
    <w:uiPriority w:val="99"/>
    <w:pPr>
      <w:widowControl w:val="0"/>
      <w:spacing w:line="312" w:lineRule="auto"/>
      <w:jc w:val="both"/>
    </w:pPr>
    <w:rPr>
      <w:rFonts w:ascii="Times New Roman" w:hAnsi="Times New Roman" w:eastAsia="宋体" w:cs="Times New Roman"/>
      <w:kern w:val="2"/>
      <w:sz w:val="21"/>
      <w:lang w:val="en-US" w:eastAsia="zh-CN" w:bidi="ar-SA"/>
    </w:rPr>
  </w:style>
  <w:style w:type="paragraph" w:customStyle="1" w:styleId="169">
    <w:name w:val="正文缩进1"/>
    <w:basedOn w:val="1"/>
    <w:qFormat/>
    <w:uiPriority w:val="99"/>
    <w:pPr>
      <w:ind w:firstLine="420" w:firstLineChars="200"/>
    </w:pPr>
    <w:rPr>
      <w:rFonts w:ascii="Times New Roman" w:hAnsi="Times New Roman"/>
    </w:rPr>
  </w:style>
  <w:style w:type="paragraph" w:customStyle="1" w:styleId="170">
    <w:name w:val="_Style 8"/>
    <w:basedOn w:val="1"/>
    <w:qFormat/>
    <w:uiPriority w:val="99"/>
    <w:pPr>
      <w:widowControl/>
      <w:spacing w:after="160" w:line="240" w:lineRule="exact"/>
      <w:jc w:val="left"/>
    </w:pPr>
    <w:rPr>
      <w:rFonts w:ascii="Times New Roman" w:hAnsi="Times New Roman"/>
      <w:szCs w:val="20"/>
    </w:rPr>
  </w:style>
  <w:style w:type="paragraph" w:customStyle="1" w:styleId="17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2">
    <w:name w:val="p0"/>
    <w:basedOn w:val="1"/>
    <w:qFormat/>
    <w:uiPriority w:val="99"/>
    <w:pPr>
      <w:widowControl/>
    </w:pPr>
    <w:rPr>
      <w:rFonts w:ascii="Times New Roman" w:hAnsi="Times New Roman"/>
      <w:kern w:val="0"/>
      <w:szCs w:val="21"/>
    </w:rPr>
  </w:style>
  <w:style w:type="paragraph" w:customStyle="1" w:styleId="173">
    <w:name w:val="Char Char Char"/>
    <w:basedOn w:val="1"/>
    <w:qFormat/>
    <w:uiPriority w:val="99"/>
    <w:rPr>
      <w:rFonts w:ascii="Tahoma" w:hAnsi="Tahoma"/>
      <w:sz w:val="24"/>
      <w:szCs w:val="20"/>
    </w:rPr>
  </w:style>
  <w:style w:type="character" w:customStyle="1" w:styleId="174">
    <w:name w:val="明显引用 Char2"/>
    <w:basedOn w:val="45"/>
    <w:qFormat/>
    <w:uiPriority w:val="99"/>
    <w:rPr>
      <w:rFonts w:ascii="Calibri" w:hAnsi="Calibri"/>
      <w:b/>
      <w:bCs/>
      <w:i/>
      <w:iCs/>
      <w:color w:val="4F81BD" w:themeColor="accent1"/>
      <w:kern w:val="2"/>
      <w:sz w:val="21"/>
      <w:szCs w:val="24"/>
      <w14:textFill>
        <w14:solidFill>
          <w14:schemeClr w14:val="accent1"/>
        </w14:solidFill>
      </w14:textFill>
    </w:rPr>
  </w:style>
  <w:style w:type="paragraph" w:customStyle="1" w:styleId="175">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76">
    <w:name w:val="Char Char1"/>
    <w:basedOn w:val="1"/>
    <w:qFormat/>
    <w:uiPriority w:val="99"/>
    <w:pPr>
      <w:widowControl/>
      <w:spacing w:after="160" w:line="240" w:lineRule="exact"/>
      <w:jc w:val="left"/>
    </w:pPr>
    <w:rPr>
      <w:rFonts w:ascii="Times New Roman" w:hAnsi="Times New Roman"/>
      <w:szCs w:val="20"/>
    </w:rPr>
  </w:style>
  <w:style w:type="paragraph" w:customStyle="1" w:styleId="177">
    <w:name w:val="TOC 标题1"/>
    <w:basedOn w:val="3"/>
    <w:next w:val="1"/>
    <w:unhideWhenUsed/>
    <w:qFormat/>
    <w:uiPriority w:val="0"/>
    <w:pPr>
      <w:adjustRightInd/>
      <w:spacing w:before="340" w:beforeLines="0" w:after="330" w:afterLines="0" w:line="578" w:lineRule="auto"/>
      <w:jc w:val="both"/>
      <w:textAlignment w:val="auto"/>
      <w:outlineLvl w:val="9"/>
    </w:pPr>
    <w:rPr>
      <w:bCs/>
      <w:sz w:val="44"/>
      <w:szCs w:val="44"/>
    </w:rPr>
  </w:style>
  <w:style w:type="paragraph" w:customStyle="1" w:styleId="178">
    <w:name w:val="p20"/>
    <w:basedOn w:val="1"/>
    <w:qFormat/>
    <w:uiPriority w:val="99"/>
    <w:pPr>
      <w:widowControl/>
      <w:spacing w:before="100" w:after="100"/>
      <w:jc w:val="left"/>
    </w:pPr>
    <w:rPr>
      <w:rFonts w:ascii="宋体" w:hAnsi="宋体" w:cs="宋体"/>
      <w:kern w:val="0"/>
      <w:sz w:val="24"/>
    </w:rPr>
  </w:style>
  <w:style w:type="paragraph" w:customStyle="1" w:styleId="179">
    <w:name w:val="列出段落1"/>
    <w:basedOn w:val="1"/>
    <w:link w:val="190"/>
    <w:qFormat/>
    <w:uiPriority w:val="0"/>
    <w:pPr>
      <w:ind w:firstLine="420" w:firstLineChars="200"/>
    </w:pPr>
    <w:rPr>
      <w:szCs w:val="22"/>
    </w:rPr>
  </w:style>
  <w:style w:type="paragraph" w:customStyle="1" w:styleId="180">
    <w:name w:val="目录"/>
    <w:basedOn w:val="1"/>
    <w:qFormat/>
    <w:uiPriority w:val="0"/>
    <w:pPr>
      <w:widowControl/>
      <w:jc w:val="center"/>
    </w:pPr>
    <w:rPr>
      <w:rFonts w:ascii="宋体" w:hAnsi="Times New Roman"/>
      <w:b/>
      <w:kern w:val="0"/>
      <w:sz w:val="36"/>
      <w:szCs w:val="20"/>
    </w:rPr>
  </w:style>
  <w:style w:type="paragraph" w:customStyle="1" w:styleId="181">
    <w:name w:val="纯文本1"/>
    <w:basedOn w:val="175"/>
    <w:qFormat/>
    <w:uiPriority w:val="99"/>
    <w:rPr>
      <w:rFonts w:ascii="宋体" w:hAnsi="Courier New"/>
      <w:sz w:val="24"/>
    </w:rPr>
  </w:style>
  <w:style w:type="paragraph" w:customStyle="1" w:styleId="182">
    <w:name w:val="修订1"/>
    <w:qFormat/>
    <w:uiPriority w:val="0"/>
    <w:rPr>
      <w:rFonts w:ascii="Times New Roman" w:hAnsi="Times New Roman" w:eastAsia="宋体" w:cs="Times New Roman"/>
      <w:kern w:val="2"/>
      <w:sz w:val="21"/>
      <w:szCs w:val="24"/>
      <w:lang w:val="en-US" w:eastAsia="zh-CN" w:bidi="ar-SA"/>
    </w:rPr>
  </w:style>
  <w:style w:type="paragraph" w:customStyle="1" w:styleId="183">
    <w:name w:val="_Style 39"/>
    <w:basedOn w:val="1"/>
    <w:qFormat/>
    <w:uiPriority w:val="99"/>
    <w:pPr>
      <w:ind w:firstLine="420" w:firstLineChars="200"/>
    </w:pPr>
    <w:rPr>
      <w:szCs w:val="22"/>
    </w:rPr>
  </w:style>
  <w:style w:type="paragraph" w:customStyle="1" w:styleId="184">
    <w:name w:val="SOW正文"/>
    <w:basedOn w:val="1"/>
    <w:qFormat/>
    <w:uiPriority w:val="99"/>
    <w:pPr>
      <w:snapToGrid w:val="0"/>
      <w:spacing w:before="100" w:beforeAutospacing="1" w:after="100" w:afterAutospacing="1" w:line="360" w:lineRule="auto"/>
      <w:ind w:firstLine="200" w:firstLineChars="200"/>
    </w:pPr>
    <w:rPr>
      <w:rFonts w:ascii="Arial" w:hAnsi="Arial"/>
      <w:sz w:val="24"/>
      <w:szCs w:val="20"/>
    </w:rPr>
  </w:style>
  <w:style w:type="paragraph" w:customStyle="1" w:styleId="185">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86">
    <w:name w:val="1"/>
    <w:basedOn w:val="1"/>
    <w:qFormat/>
    <w:uiPriority w:val="99"/>
    <w:pPr>
      <w:widowControl/>
      <w:spacing w:after="160" w:line="240" w:lineRule="exact"/>
      <w:jc w:val="left"/>
    </w:pPr>
    <w:rPr>
      <w:rFonts w:ascii="Times New Roman" w:hAnsi="Times New Roman"/>
      <w:szCs w:val="20"/>
    </w:rPr>
  </w:style>
  <w:style w:type="table" w:customStyle="1" w:styleId="187">
    <w:name w:val="TableGrid"/>
    <w:qFormat/>
    <w:uiPriority w:val="0"/>
    <w:rPr>
      <w:rFonts w:cs="宋体"/>
    </w:rPr>
    <w:tblPr>
      <w:tblCellMar>
        <w:top w:w="0" w:type="dxa"/>
        <w:left w:w="0" w:type="dxa"/>
        <w:bottom w:w="0" w:type="dxa"/>
        <w:right w:w="0" w:type="dxa"/>
      </w:tblCellMar>
    </w:tblPr>
  </w:style>
  <w:style w:type="character" w:customStyle="1" w:styleId="188">
    <w:name w:val="称呼 Char"/>
    <w:basedOn w:val="45"/>
    <w:link w:val="18"/>
    <w:qFormat/>
    <w:uiPriority w:val="0"/>
    <w:rPr>
      <w:kern w:val="2"/>
      <w:sz w:val="24"/>
    </w:rPr>
  </w:style>
  <w:style w:type="paragraph" w:customStyle="1" w:styleId="189">
    <w:name w:val="xl48"/>
    <w:basedOn w:val="1"/>
    <w:qFormat/>
    <w:uiPriority w:val="0"/>
    <w:pPr>
      <w:widowControl/>
      <w:pBdr>
        <w:bottom w:val="single" w:color="auto" w:sz="4" w:space="0"/>
      </w:pBdr>
      <w:spacing w:before="100" w:beforeAutospacing="1" w:after="100" w:afterAutospacing="1"/>
      <w:jc w:val="center"/>
    </w:pPr>
    <w:rPr>
      <w:rFonts w:ascii="Times New Roman" w:hAnsi="Times New Roman" w:eastAsia="Arial Unicode MS"/>
      <w:kern w:val="0"/>
      <w:sz w:val="24"/>
    </w:rPr>
  </w:style>
  <w:style w:type="character" w:customStyle="1" w:styleId="190">
    <w:name w:val="列出段落 Char"/>
    <w:link w:val="179"/>
    <w:qFormat/>
    <w:uiPriority w:val="0"/>
    <w:rPr>
      <w:rFonts w:ascii="Calibri" w:hAnsi="Calibri"/>
      <w:kern w:val="2"/>
      <w:sz w:val="21"/>
      <w:szCs w:val="22"/>
    </w:rPr>
  </w:style>
  <w:style w:type="paragraph" w:customStyle="1" w:styleId="191">
    <w:name w:val="title15"/>
    <w:basedOn w:val="1"/>
    <w:qFormat/>
    <w:uiPriority w:val="0"/>
    <w:pPr>
      <w:widowControl/>
      <w:spacing w:before="150" w:line="510" w:lineRule="atLeast"/>
      <w:jc w:val="left"/>
    </w:pPr>
    <w:rPr>
      <w:rFonts w:ascii="宋体" w:hAnsi="宋体" w:cs="宋体"/>
      <w:b/>
      <w:bCs/>
      <w:kern w:val="0"/>
      <w:sz w:val="23"/>
      <w:szCs w:val="23"/>
    </w:rPr>
  </w:style>
  <w:style w:type="paragraph" w:customStyle="1" w:styleId="192">
    <w:name w:val="WPSOffice手动目录 1"/>
    <w:qFormat/>
    <w:uiPriority w:val="0"/>
    <w:pPr>
      <w:ind w:leftChars="0"/>
    </w:pPr>
    <w:rPr>
      <w:rFonts w:ascii="Times New Roman" w:hAnsi="Times New Roman" w:eastAsia="宋体" w:cs="Times New Roman"/>
      <w:sz w:val="20"/>
      <w:szCs w:val="20"/>
    </w:rPr>
  </w:style>
  <w:style w:type="paragraph" w:customStyle="1" w:styleId="19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 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195">
    <w:name w:val="样式 首行缩进:  2 字符"/>
    <w:basedOn w:val="1"/>
    <w:qFormat/>
    <w:uiPriority w:val="0"/>
    <w:pPr>
      <w:spacing w:line="400" w:lineRule="exact"/>
      <w:ind w:firstLine="200" w:firstLineChars="200"/>
    </w:pPr>
    <w:rPr>
      <w:rFonts w:cs="宋体"/>
      <w:sz w:val="24"/>
    </w:rPr>
  </w:style>
  <w:style w:type="character" w:customStyle="1" w:styleId="196">
    <w:name w:val="font31"/>
    <w:basedOn w:val="45"/>
    <w:qFormat/>
    <w:uiPriority w:val="0"/>
    <w:rPr>
      <w:rFonts w:ascii="Tahoma" w:hAnsi="Tahoma" w:eastAsia="Tahoma" w:cs="Tahoma"/>
      <w:color w:val="000000"/>
      <w:sz w:val="22"/>
      <w:szCs w:val="22"/>
      <w:u w:val="none"/>
    </w:rPr>
  </w:style>
  <w:style w:type="character" w:customStyle="1" w:styleId="197">
    <w:name w:val="font21"/>
    <w:basedOn w:val="4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6BC42-E8A7-44F8-A012-48AF94C0AB35}">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32290</Words>
  <Characters>36738</Characters>
  <Lines>99</Lines>
  <Paragraphs>70</Paragraphs>
  <TotalTime>283</TotalTime>
  <ScaleCrop>false</ScaleCrop>
  <LinksUpToDate>false</LinksUpToDate>
  <CharactersWithSpaces>39231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2020-07-22T02:23:00Z</dcterms:created>
  <dc:creator>Administrator</dc:creator>
  <cp:lastModifiedBy>马方琴</cp:lastModifiedBy>
  <cp:lastPrinted>2023-12-19T07:19:00Z</cp:lastPrinted>
  <dcterms:modified xsi:type="dcterms:W3CDTF">2023-12-26T10:56:27Z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E8F94B7AF15540B390A970EB12B344B8</vt:lpwstr>
  </property>
</Properties>
</file>