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A4A" w:rsidRDefault="002E1A4A" w:rsidP="002E1A4A">
      <w:pPr>
        <w:spacing w:line="500" w:lineRule="exact"/>
        <w:ind w:firstLineChars="200" w:firstLine="562"/>
        <w:rPr>
          <w:rFonts w:ascii="仿宋" w:eastAsia="仿宋" w:hAnsi="仿宋" w:cs="Times New Roman" w:hint="eastAsia"/>
        </w:rPr>
      </w:pPr>
      <w:r>
        <w:rPr>
          <w:rFonts w:ascii="仿宋" w:eastAsia="仿宋" w:hAnsi="仿宋" w:cs="Times New Roman" w:hint="eastAsia"/>
          <w:b/>
          <w:bCs/>
        </w:rPr>
        <w:t>采购需求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（一）项目采购内容</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依据《中华人民共和国国民经济和社会发展第十四个五年规划和2035年远景目标纲要》《陕西省国民经济和社会发展第十四个五年规划和2035年远景目标纲要》《榆林市国民经济和社会发展第十四个五年规划和2035年远景目标纲要》的要求，编制《双碳背景下榆林高质量转型升级产业体系研究》报告。研究内容主要包括国际国内宏观形势、新兴产业发展趋势、榆林产业环境评估、榆林新兴产业方向筛选、重点新兴产业可行性研究、新兴产业落地实施方案、新兴产业目标企业库、配套保障措施以及实质性落地一批新兴产业项目等。</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1.研究范围</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空间范围：榆林市全境。</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产业范围：国家重点发展且榆林适合发展的新兴产业，包括但不限于新材料、新能源、智能装备等主要新兴工业，通航、数字经济等主要服务业，以及农业和旅游产业等。</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2.研究目标</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榆林市新兴产业形成一批产业集群，高端低碳现代新兴产业体系初步形成。</w:t>
      </w:r>
    </w:p>
    <w:p w:rsidR="002E1A4A" w:rsidRDefault="002E1A4A" w:rsidP="002E1A4A">
      <w:pPr>
        <w:spacing w:line="500" w:lineRule="exact"/>
        <w:ind w:firstLineChars="200" w:firstLine="560"/>
        <w:rPr>
          <w:rFonts w:ascii="仿宋" w:eastAsia="仿宋" w:hAnsi="仿宋" w:cs="Times New Roman" w:hint="eastAsia"/>
        </w:rPr>
      </w:pPr>
      <w:bookmarkStart w:id="0" w:name="_Toc105937596"/>
      <w:r>
        <w:rPr>
          <w:rFonts w:ascii="仿宋" w:eastAsia="仿宋" w:hAnsi="仿宋" w:cs="Times New Roman" w:hint="eastAsia"/>
        </w:rPr>
        <w:t>3.研究思路</w:t>
      </w:r>
      <w:bookmarkEnd w:id="0"/>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深入把握前沿新兴产业趋势发掘匹配榆林的细分产业方向，充分研究产业链和产业环节找准榆林切实可行的切入点，全面细致梳理资源要素和发展条件提出明确的实施方案，提出标的企业建议并推荐相关产业资源，为新兴产业发展实施指明路径，加快推动新兴产业项目的落地。</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4.主要研究内容</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（1）分析国际国内新兴产业发展趋势，识别重点方向。基于对国内外宏观经济及产业形势和发展环境的总体把握，以及对十四五规</w:t>
      </w:r>
      <w:r>
        <w:rPr>
          <w:rFonts w:ascii="仿宋" w:eastAsia="仿宋" w:hAnsi="仿宋" w:cs="Times New Roman" w:hint="eastAsia"/>
        </w:rPr>
        <w:lastRenderedPageBreak/>
        <w:t>划、双循环、双碳战略、产业链升级转型、战略新兴产业发展等关键议题的理解，在分析各个新兴产业市场发展前景的基础上，梳理出国家重点发展的新兴产业方向，并结合国家区域发展格局和榆林在区域发展中的定位，识别出榆林应重点关注的新兴产业方向。</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调研榆林产业环境，评估发展基础与优势。分析榆林市经济社会发展的总体状况，及主要产业要素和资源禀赋，通过产业分析、区域比较分析等方法，识别榆林市新兴产业发展的主要优势和短板。开展榆林市产业发展环境专项调研，针对包括新材料、新能源、智能装备等主要新兴工业，通航、数字经济等主要服务业，以及农业和旅游产业，研究其产业现状基础、发展特点、产业链优势短板，结合对榆林产业要素的理解，从产业链、产业耦合等角度，识别各个新兴产业的发展潜力和可能的发展路径。</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3）基于内外分析筛选榆林新兴产业短名单。从国内具有市场前景与发展潜力的新兴产业大方向出发，结合榆林产业发展基础与优势，从产业基础、资源禀赋、政策环境、产业耦合等维度进行产业匹配分析，筛选形成与榆林产业可互补、资源可契合、发展可持续的优质新兴产业短名单。通过定期组织甲乙双方研讨会对新兴产业名单进行持续迭代优化，识别细分重点方向，形成榆林拟落地发展细分的新兴产业库。</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开展重点新兴产业可行性研究并明确切入点。针对筛选出的新兴产业短名单，如智能无人装备、新能源装备、数字经济等，进行深入的可行性研究，分析其市场规模、竞争格局、行业壁垒、核心技术环节、产业链环节、关键发展要素、重点企业、典型项目的经济指标等，并结合榆林实际条件评估新兴产业在榆林的发展潜力和可行性，提出榆林发展该新兴产业的切入点和路径建议。</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（5）输出新兴产业项目库并形成落地实施方案。通过对新兴产业的代表企业、代表项目以及国内代表型园区等进行案例分析，明确</w:t>
      </w:r>
      <w:r>
        <w:rPr>
          <w:rFonts w:ascii="仿宋" w:eastAsia="仿宋" w:hAnsi="仿宋" w:cs="Times New Roman" w:hint="eastAsia"/>
        </w:rPr>
        <w:lastRenderedPageBreak/>
        <w:t>新兴产业重点项目落地的基础设施需求（用地、能耗、用水、排放、交通等）、产业链环境需求（潜在供应商及客户等）、保障需要（技术研发、人力人才、优惠政策等）。开展榆林市产业园区专项调研，摸清各园区产业及企业组成、硬件条件、基础设施建设现状、关键指标数据、配套政策体系。综合比对新兴产业需求和榆林园区条件，输出具有较高落地可行性的榆林新兴产业项目库，提出榆林在环境优化、配套提升、政策优化等方面的建议，形成榆林新兴产业项目落地实施方案并实质性落地一批项目。</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6）梳理输出目标企业库并引荐相关企业资源。基于榆林重点新兴产业及项目库，梳理细分领域的潜在目标企业，输出目标企业库；基于咨询机构的资源网络，为榆林新兴产业发展引荐相关的企业资源，促进榆林新兴产业项目的落地。</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（7）提出新兴产业发展的相关配套保障措施。在新兴产业落地实施建议的基础上，结合区域对比研究，基于榆林的实际情况，提出匹配新兴产业发展的政策、资金、管理机制等方面的保障措施建议。</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5.研究成果形式与要求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（1）方案文本：《双碳背景下榆林高质量转型升级产业体系研究》、《榆林市重点新兴产业落地实施方案》。</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（2）项目库与目标企业库</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①榆林市新兴产业重点项目库：包括项目建设内容、项目细分产业链及产业环节，榆林上下游配套情况，项目用地、能耗、用水、排污、交通等基础设施要求，项目技术研发、人力人才、资金政策等软性设施要求，榆林及周边潜在原材料供应商及市场客户情况，项目关键经济技术指标，项目投资回报分析，项目拟引进企业及合作方名单。</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②榆林市新兴产业目标企业库：筛选该产业领域内优质上市公司、专精特新小巨人企业，以及其他具备招引可行性的优质企业，形成潜</w:t>
      </w:r>
      <w:r>
        <w:rPr>
          <w:rFonts w:ascii="仿宋" w:eastAsia="仿宋" w:hAnsi="仿宋" w:cs="Times New Roman" w:hint="eastAsia"/>
        </w:rPr>
        <w:lastRenderedPageBreak/>
        <w:t>在目标企业库，包括企业名称、负责人联系方式、主营业务、主打产品、核心竞争力/优势等。</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（二）有关要求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1.编制技术要求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（1）符合国家、陕西省和榆林市关于新兴产业发展的相关要求（包括产业定位、发展方向等）。</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（2）符合榆林市创建能源革命创新示范区的指导思想和相关内容。</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（3）与榆林市“十四五”规划《纲要》、国土空间总体规划等相关规划等充分衔接。</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（4）统筹考虑榆林水、土地、能耗、环境容量等情况，提出具有较高落地可行性的实施方案。</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2.工作要求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（1）服务方应按合同约定的要求组织和开展方案编制。根据研究需要深入开展实地调研，定期或不定期向采购人报告规划编制情况。</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（2）采购人对规划编制进行监督，如发现有违规行为，视情况作出相应处理。</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（3）服务方应按国家规定的技术规范和标准及采购人提出的研究要求进行研究，按合同规定的进度要求提交质量合格的研究成果，并对其负责。</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（4）服务方应明确项目负责人，项目负责人应全过程服务；研究过程中服务方与采购人紧密配合，采购人对研究成果的合理修改意见服务方应予以采纳。</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（三）产出要求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完成并提交《双碳背景下榆林高质量转型升级产业体系研究》、《榆林市重点新兴产业落地实施方案》报告及项目库与目标企业库,并实质性落地一批新兴产业项目。</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lastRenderedPageBreak/>
        <w:t>（四）成果验收</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1.报告编制完成后，由采购人组织召开评审会，组织专家对研究成果进行评审验收。</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2.评审验收的标准与内容</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（1）研究成果是否达到合同约定的要求。</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（2）研究的研究方法是否科学。</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（3）报告编制所采用的资料和数据是否准确、完整、可信。</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（4）研究的指导思想、基本原则和思路等是否符合榆林市的实际，研究的技术路线、产业规模和布局方案是否科学、合理，研究报告能否科学指导榆林市新兴产业发展，并为相关项目的审批提供支撑。</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（5）研究的保障措施和实施建议是否具有可操作性。</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（6）研究成果尚存在哪些问题与不足，需要作出哪些方面的补充、修改和完善。</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3.服务方若最终未按时提交课题研究成果，将按违约予以撤项，已拨付的课题研究经费要如数退回。</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4.因不可抗力原因需要延期验收的课题，服务方须向采购人提出书面申请。经批准后在一定期限内仍无法完成研究任务的，应提前报告并办理撤项手续。</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（五）提交成果期</w:t>
      </w:r>
    </w:p>
    <w:p w:rsidR="002E1A4A" w:rsidRDefault="002E1A4A" w:rsidP="002E1A4A">
      <w:pPr>
        <w:spacing w:line="500" w:lineRule="exact"/>
        <w:ind w:firstLineChars="200" w:firstLine="560"/>
        <w:rPr>
          <w:rFonts w:ascii="仿宋" w:eastAsia="仿宋" w:hAnsi="仿宋" w:cs="Times New Roman" w:hint="eastAsia"/>
        </w:rPr>
      </w:pPr>
      <w:r>
        <w:rPr>
          <w:rFonts w:ascii="仿宋" w:eastAsia="仿宋" w:hAnsi="仿宋" w:cs="Times New Roman" w:hint="eastAsia"/>
        </w:rPr>
        <w:t>签订合同后1个月内，形成研究基本思路框架；2个月内形成研究报告初稿；3个月内研究报告通过专家评审并推动实质性落地一批新兴产业项目。</w:t>
      </w:r>
    </w:p>
    <w:p w:rsidR="002E1A4A" w:rsidRDefault="002E1A4A" w:rsidP="002E1A4A">
      <w:pPr>
        <w:pStyle w:val="a0"/>
        <w:widowControl w:val="0"/>
        <w:spacing w:line="600" w:lineRule="exact"/>
        <w:ind w:firstLineChars="200" w:firstLine="640"/>
        <w:rPr>
          <w:rFonts w:ascii="仿宋_GB2312" w:eastAsia="仿宋_GB2312" w:hAnsi="仿宋_GB2312" w:cs="仿宋_GB2312" w:hint="eastAsia"/>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r>
        <w:rPr>
          <w:rFonts w:ascii="仿宋" w:eastAsia="仿宋" w:hAnsi="仿宋" w:cs="Times New Roman" w:hint="eastAsia"/>
          <w:b/>
          <w:sz w:val="32"/>
          <w:szCs w:val="32"/>
        </w:rPr>
        <w:t xml:space="preserve"> </w:t>
      </w: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2E1A4A" w:rsidRDefault="002E1A4A" w:rsidP="002E1A4A">
      <w:pPr>
        <w:pStyle w:val="a0"/>
        <w:spacing w:line="500" w:lineRule="exact"/>
        <w:ind w:firstLineChars="200" w:firstLine="643"/>
        <w:outlineLvl w:val="1"/>
        <w:rPr>
          <w:rFonts w:ascii="仿宋" w:eastAsia="仿宋" w:hAnsi="仿宋" w:cs="Times New Roman" w:hint="eastAsia"/>
          <w:b/>
          <w:sz w:val="32"/>
          <w:szCs w:val="32"/>
        </w:rPr>
      </w:pPr>
    </w:p>
    <w:p w:rsidR="00D44C22" w:rsidRPr="002E1A4A" w:rsidRDefault="00D44C22"/>
    <w:sectPr w:rsidR="00D44C22" w:rsidRPr="002E1A4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C22" w:rsidRDefault="00D44C22" w:rsidP="002E1A4A">
      <w:pPr>
        <w:spacing w:line="240" w:lineRule="auto"/>
      </w:pPr>
      <w:r>
        <w:separator/>
      </w:r>
    </w:p>
  </w:endnote>
  <w:endnote w:type="continuationSeparator" w:id="1">
    <w:p w:rsidR="00D44C22" w:rsidRDefault="00D44C22" w:rsidP="002E1A4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Unicode MS"/>
    <w:charset w:val="00"/>
    <w:family w:val="swiss"/>
    <w:pitch w:val="default"/>
    <w:sig w:usb0="00000001" w:usb1="4000207B" w:usb2="00000000" w:usb3="00000000" w:csb0="200001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C22" w:rsidRDefault="00D44C22" w:rsidP="002E1A4A">
      <w:pPr>
        <w:spacing w:line="240" w:lineRule="auto"/>
      </w:pPr>
      <w:r>
        <w:separator/>
      </w:r>
    </w:p>
  </w:footnote>
  <w:footnote w:type="continuationSeparator" w:id="1">
    <w:p w:rsidR="00D44C22" w:rsidRDefault="00D44C22" w:rsidP="002E1A4A">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1A4A"/>
    <w:rsid w:val="002E1A4A"/>
    <w:rsid w:val="00D44C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E1A4A"/>
    <w:pPr>
      <w:spacing w:line="400" w:lineRule="exact"/>
      <w:jc w:val="both"/>
    </w:pPr>
    <w:rPr>
      <w:rFonts w:ascii="Calibri Light" w:eastAsia="华文仿宋" w:hAnsi="Calibri Light" w:cs="Calibri Light"/>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2E1A4A"/>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2E1A4A"/>
    <w:rPr>
      <w:sz w:val="18"/>
      <w:szCs w:val="18"/>
    </w:rPr>
  </w:style>
  <w:style w:type="paragraph" w:styleId="a5">
    <w:name w:val="footer"/>
    <w:basedOn w:val="a"/>
    <w:link w:val="Char0"/>
    <w:uiPriority w:val="99"/>
    <w:semiHidden/>
    <w:unhideWhenUsed/>
    <w:rsid w:val="002E1A4A"/>
    <w:pPr>
      <w:widowControl w:val="0"/>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2E1A4A"/>
    <w:rPr>
      <w:sz w:val="18"/>
      <w:szCs w:val="18"/>
    </w:rPr>
  </w:style>
  <w:style w:type="paragraph" w:styleId="a6">
    <w:name w:val="Body Text"/>
    <w:basedOn w:val="a"/>
    <w:link w:val="Char1"/>
    <w:uiPriority w:val="99"/>
    <w:semiHidden/>
    <w:unhideWhenUsed/>
    <w:rsid w:val="002E1A4A"/>
    <w:pPr>
      <w:spacing w:after="120"/>
    </w:pPr>
  </w:style>
  <w:style w:type="character" w:customStyle="1" w:styleId="Char1">
    <w:name w:val="正文文本 Char"/>
    <w:basedOn w:val="a1"/>
    <w:link w:val="a6"/>
    <w:uiPriority w:val="99"/>
    <w:semiHidden/>
    <w:rsid w:val="002E1A4A"/>
    <w:rPr>
      <w:rFonts w:ascii="Calibri Light" w:eastAsia="华文仿宋" w:hAnsi="Calibri Light" w:cs="Calibri Light"/>
      <w:sz w:val="28"/>
      <w:szCs w:val="28"/>
    </w:rPr>
  </w:style>
  <w:style w:type="paragraph" w:styleId="a0">
    <w:name w:val="Body Text First Indent"/>
    <w:basedOn w:val="a6"/>
    <w:link w:val="Char2"/>
    <w:unhideWhenUsed/>
    <w:qFormat/>
    <w:rsid w:val="002E1A4A"/>
    <w:pPr>
      <w:spacing w:after="0" w:line="240" w:lineRule="auto"/>
      <w:ind w:firstLineChars="100" w:firstLine="420"/>
    </w:pPr>
    <w:rPr>
      <w:rFonts w:ascii="Times New Roman" w:hAnsi="Times New Roman"/>
      <w:sz w:val="18"/>
      <w:szCs w:val="18"/>
    </w:rPr>
  </w:style>
  <w:style w:type="character" w:customStyle="1" w:styleId="Char2">
    <w:name w:val="正文首行缩进 Char"/>
    <w:basedOn w:val="Char1"/>
    <w:link w:val="a0"/>
    <w:rsid w:val="002E1A4A"/>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2023-01-10T00:57:00Z</dcterms:created>
  <dcterms:modified xsi:type="dcterms:W3CDTF">2023-01-10T00:58:00Z</dcterms:modified>
</cp:coreProperties>
</file>