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宋体" w:hAnsi="宋体" w:eastAsia="宋体" w:cs="宋体"/>
          <w:b/>
          <w:bCs/>
          <w:sz w:val="24"/>
          <w:szCs w:val="24"/>
        </w:rPr>
      </w:pPr>
      <w:bookmarkStart w:id="0" w:name="_GoBack"/>
      <w:r>
        <w:rPr>
          <w:rFonts w:hint="eastAsia" w:ascii="宋体" w:hAnsi="宋体" w:eastAsia="宋体" w:cs="宋体"/>
          <w:b/>
          <w:bCs/>
          <w:sz w:val="24"/>
          <w:szCs w:val="24"/>
        </w:rPr>
        <w:t>榆林市公安局交通警察支队交通安全宣传广告及宣传品制作服务采购项目</w:t>
      </w:r>
    </w:p>
    <w:bookmarkEnd w:id="0"/>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竞争性谈判公告</w:t>
      </w:r>
    </w:p>
    <w:p>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项目概况</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榆林</w:t>
      </w:r>
      <w:r>
        <w:rPr>
          <w:rFonts w:hint="eastAsia" w:ascii="宋体" w:hAnsi="宋体" w:eastAsia="宋体" w:cs="宋体"/>
          <w:sz w:val="24"/>
          <w:szCs w:val="24"/>
        </w:rPr>
        <w:t xml:space="preserve">市公安局交通警察支队交通安全宣传广告及宣传品制作服务采购项目采购项目的潜在供应商应在登录全国公共资源交易中心平台（陕西省）使用CA锁报名后自行下载获取采购文件，并于 2023年01月13日 10时30分（北京时间）前提交响应文件。 </w:t>
      </w:r>
    </w:p>
    <w:p>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项目编号：SXHS-2023-02</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cs="宋体"/>
          <w:sz w:val="24"/>
          <w:szCs w:val="24"/>
          <w:lang w:eastAsia="zh-CN"/>
        </w:rPr>
        <w:t>榆林</w:t>
      </w:r>
      <w:r>
        <w:rPr>
          <w:rFonts w:hint="eastAsia" w:ascii="宋体" w:hAnsi="宋体" w:eastAsia="宋体" w:cs="宋体"/>
          <w:sz w:val="24"/>
          <w:szCs w:val="24"/>
        </w:rPr>
        <w:t>市公安局交通警察支队交通安全宣传广告及宣传品制作服务采购项目</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采购方式：竞争性谈判</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预算金额：676,000.00元</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采购需求：</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合同包1(交通安全宣传广告及宣传品制作):</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合同包预算金额：676,000.00元</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合同包最高限价：676,000.00元元</w:t>
      </w:r>
    </w:p>
    <w:tbl>
      <w:tblPr>
        <w:tblStyle w:val="6"/>
        <w:tblW w:w="9124" w:type="dxa"/>
        <w:tblInd w:w="0"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Layout w:type="autofit"/>
        <w:tblCellMar>
          <w:top w:w="15" w:type="dxa"/>
          <w:left w:w="15" w:type="dxa"/>
          <w:bottom w:w="15" w:type="dxa"/>
          <w:right w:w="15" w:type="dxa"/>
        </w:tblCellMar>
      </w:tblPr>
      <w:tblGrid>
        <w:gridCol w:w="836"/>
        <w:gridCol w:w="1932"/>
        <w:gridCol w:w="1160"/>
        <w:gridCol w:w="963"/>
        <w:gridCol w:w="1537"/>
        <w:gridCol w:w="1370"/>
        <w:gridCol w:w="1326"/>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1042" w:hRule="atLeast"/>
          <w:tblHeader/>
        </w:trPr>
        <w:tc>
          <w:tcPr>
            <w:tcW w:w="836" w:type="dxa"/>
            <w:noWrap w:val="0"/>
            <w:tcMar>
              <w:top w:w="0" w:type="dxa"/>
              <w:left w:w="0" w:type="dxa"/>
              <w:bottom w:w="0" w:type="dxa"/>
              <w:right w:w="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1932" w:type="dxa"/>
            <w:noWrap w:val="0"/>
            <w:tcMar>
              <w:top w:w="0" w:type="dxa"/>
              <w:left w:w="0" w:type="dxa"/>
              <w:bottom w:w="0" w:type="dxa"/>
              <w:right w:w="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品目名称</w:t>
            </w:r>
          </w:p>
        </w:tc>
        <w:tc>
          <w:tcPr>
            <w:tcW w:w="1160" w:type="dxa"/>
            <w:noWrap w:val="0"/>
            <w:tcMar>
              <w:top w:w="0" w:type="dxa"/>
              <w:left w:w="0" w:type="dxa"/>
              <w:bottom w:w="0" w:type="dxa"/>
              <w:right w:w="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963" w:type="dxa"/>
            <w:noWrap w:val="0"/>
            <w:tcMar>
              <w:top w:w="0" w:type="dxa"/>
              <w:left w:w="0" w:type="dxa"/>
              <w:bottom w:w="0" w:type="dxa"/>
              <w:right w:w="0" w:type="dxa"/>
            </w:tcMar>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1537" w:type="dxa"/>
            <w:noWrap w:val="0"/>
            <w:tcMar>
              <w:top w:w="0" w:type="dxa"/>
              <w:left w:w="0" w:type="dxa"/>
              <w:bottom w:w="0" w:type="dxa"/>
              <w:right w:w="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1370" w:type="dxa"/>
            <w:noWrap w:val="0"/>
            <w:tcMar>
              <w:top w:w="0" w:type="dxa"/>
              <w:left w:w="0" w:type="dxa"/>
              <w:bottom w:w="0" w:type="dxa"/>
              <w:right w:w="0" w:type="dxa"/>
            </w:tcMar>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品目预算</w:t>
            </w:r>
          </w:p>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(元)</w:t>
            </w:r>
          </w:p>
        </w:tc>
        <w:tc>
          <w:tcPr>
            <w:tcW w:w="1326" w:type="dxa"/>
            <w:noWrap w:val="0"/>
            <w:tcMar>
              <w:top w:w="0" w:type="dxa"/>
              <w:left w:w="0" w:type="dxa"/>
              <w:bottom w:w="0" w:type="dxa"/>
              <w:right w:w="0" w:type="dxa"/>
            </w:tcMar>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w:t>
            </w:r>
          </w:p>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(元)</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709" w:hRule="atLeast"/>
        </w:trPr>
        <w:tc>
          <w:tcPr>
            <w:tcW w:w="836"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932"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广告宣传服务</w:t>
            </w:r>
          </w:p>
        </w:tc>
        <w:tc>
          <w:tcPr>
            <w:tcW w:w="1160"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广告印刷及宣传品印刷</w:t>
            </w:r>
          </w:p>
        </w:tc>
        <w:tc>
          <w:tcPr>
            <w:tcW w:w="96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1(批)</w:t>
            </w:r>
          </w:p>
        </w:tc>
        <w:tc>
          <w:tcPr>
            <w:tcW w:w="1537"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详见采购文件</w:t>
            </w:r>
          </w:p>
        </w:tc>
        <w:tc>
          <w:tcPr>
            <w:tcW w:w="1370"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676,000.00</w:t>
            </w:r>
          </w:p>
        </w:tc>
        <w:tc>
          <w:tcPr>
            <w:tcW w:w="1326"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676,000.00</w:t>
            </w:r>
          </w:p>
        </w:tc>
      </w:tr>
    </w:tbl>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合同履行期限：合同签订后10日历天</w:t>
      </w:r>
    </w:p>
    <w:p>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合同包1(交通安全宣传广告及宣传品制作)落实政府采购政策需满足的资格要求如下: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（1）《节能产品政府采购实施意见》（财库〔2004〕185号）； </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（2）《环境标志产品政府采购实施的意见》（财库〔2006〕90号）； </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（3）《国务院办公厅关于建立政府强制采购节能产品制度的通知》（国办发〔2007〕51号）； </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（4）财政部司法部关于政府采购支持监狱企业发展有关问题的通知（财库〔2014〕68号）； </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（5）《财政部民政部中国残疾人联合会关于促进残疾人就业政府采购政策的通知》（财库〔2017〕141号）； </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（6）《关于在政府采购活动中查询及使用信用记录有关问题的通知》（财库〔2016〕125号）； </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（7）《政府采购促进中小企业发展管理办法》（财库〔2020〕46号）； </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（8）陕西省财政厅关于印发《陕西省中小企业政府采购信用融资办法》（陕财办采〔2018〕23号）</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(9)《榆林市财政局关于进一步加大政府采购支持中小企业力度的通知》（榆政财采发〔2022〕10号)；</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(10)《陕西省财政厅关于进一步加大政府采购支持中小企业力度的通知》(陕财采发〔2022〕5号)；</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(11)陕西省财政厅关于印发《陕西省中小企业政府采购信用融资办法》（陕财办采〔2018〕23号）；相关政策、业务流程、办理平台(http://www.ccgpshaanxi.gov.cn/zcdservice/zcd/shanxi/)；</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（12）详见竞争性谈判文件中“落实的政府采购政策”有关内容</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合同包1(交通安全宣传广告及宣传品制作)特定资格要求如下:</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val="0"/>
          <w:bCs w:val="0"/>
          <w:sz w:val="24"/>
          <w:szCs w:val="24"/>
          <w:lang w:eastAsia="zh-CN"/>
        </w:rPr>
        <w:t>（1）供应商为响应招标并参加投标的合法注册的企业法人；事业法人或其他组织；企业法人应提供合法有效的标识有统一社会信用代码的营业执照副本及2021年企业年度报告书；事业法人应提供事业单位法人证书；其他组织应提供国家规定合法登记证明文件；（2）财务状况报告：须提供经会计事务所或审计机构出具的企业2021年的财务审计报告（利润表、资产负债表、现金流量表、所有者权益变动表、会计报表附注），成立时间至提交响应文件截止时间不足一年的提供其基本账户开户银行出具的资信证明及基本账户开户许可证或开户行基本信息；（3）社会缴纳证明：提供2022年1月至今已缴存的至少1个月的社会保障资金缴存单据或社保机构开具的社会保险参保缴费情况证明，依法不需要缴纳社会保障资金的单位应提供相关证明材料。（4）税收缴纳证明：提供2022年1月至今已缴纳的至少1个月的纳税证明或完税证明，依法免税的单位应提供相关证明材料；（5）供应商应当在竞争性谈判文件发出期至响应文件递交截止时间前通过“信用中国”网站(www.creditchina.gov.cn)中未被列入失信被执行人和税收违法黑名单及失信惩戒记录的供应商，“国家企业信用信息公示系统”不得有行政处罚记录、严重违法失信企业名单（黑名单）信息等，中国政府采购网(www.ccgp.gov.cn) 政府采购严重违法失信行为记录名单中被财政部门禁止参加政府采购活动的供应商，供应商的法定代表人、授权委托人均未被列入“中国执行信息公开网”被执行人名单中（提供网页查询截图加盖供应商公章（鲜章）为准）；（6）供应商应出具参加政府采购活动前三年内在经营活动中没有重大违法记录的书面声明（格式自拟，加盖供应商公章）；（7）法定代表人或授权代表参加谈判的，须出具法定代表人授权书（法定代表人直接参加谈判须提供法定代表人身份证明）；（8）提供谈判保证金交纳凭证或谈判保函；（9）本项目不接受联合体谈判。各供应商单位负责人为同一人或者存在直接控股、管理关系的不同供应商，不得参加同一合同项下的政府采购活动。违反规定的，其投标均无效。</w:t>
      </w:r>
    </w:p>
    <w:p>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三、获取招标文件</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时间：202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06</w:t>
      </w:r>
      <w:r>
        <w:rPr>
          <w:rFonts w:hint="eastAsia" w:ascii="宋体" w:hAnsi="宋体" w:eastAsia="宋体" w:cs="宋体"/>
          <w:sz w:val="24"/>
          <w:szCs w:val="24"/>
        </w:rPr>
        <w:t>日至202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10</w:t>
      </w:r>
      <w:r>
        <w:rPr>
          <w:rFonts w:hint="eastAsia" w:ascii="宋体" w:hAnsi="宋体" w:eastAsia="宋体" w:cs="宋体"/>
          <w:sz w:val="24"/>
          <w:szCs w:val="24"/>
        </w:rPr>
        <w:t>日 ，每天上午 08:</w:t>
      </w:r>
      <w:r>
        <w:rPr>
          <w:rFonts w:hint="eastAsia" w:ascii="宋体" w:hAnsi="宋体" w:eastAsia="宋体" w:cs="宋体"/>
          <w:sz w:val="24"/>
          <w:szCs w:val="24"/>
          <w:lang w:val="en-US" w:eastAsia="zh-CN"/>
        </w:rPr>
        <w:t>3</w:t>
      </w:r>
      <w:r>
        <w:rPr>
          <w:rFonts w:hint="eastAsia" w:ascii="宋体" w:hAnsi="宋体" w:eastAsia="宋体" w:cs="宋体"/>
          <w:sz w:val="24"/>
          <w:szCs w:val="24"/>
        </w:rPr>
        <w:t>0:00 至 12:00:00 ，下午</w:t>
      </w:r>
      <w:r>
        <w:rPr>
          <w:rFonts w:hint="eastAsia" w:ascii="宋体" w:hAnsi="宋体" w:eastAsia="宋体" w:cs="宋体"/>
          <w:sz w:val="24"/>
          <w:szCs w:val="24"/>
          <w:lang w:val="en-US" w:eastAsia="zh-CN"/>
        </w:rPr>
        <w:t>12</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0:00 至 17:</w:t>
      </w:r>
      <w:r>
        <w:rPr>
          <w:rFonts w:hint="eastAsia" w:ascii="宋体" w:hAnsi="宋体" w:cs="宋体"/>
          <w:sz w:val="24"/>
          <w:szCs w:val="24"/>
          <w:lang w:val="en-US" w:eastAsia="zh-CN"/>
        </w:rPr>
        <w:t>0</w:t>
      </w:r>
      <w:r>
        <w:rPr>
          <w:rFonts w:hint="eastAsia" w:ascii="宋体" w:hAnsi="宋体" w:eastAsia="宋体" w:cs="宋体"/>
          <w:sz w:val="24"/>
          <w:szCs w:val="24"/>
        </w:rPr>
        <w:t>0:00 （北京时间,法定节假日除外）</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途径：登录全国公共资源交易中心平台（陕西省）使用CA锁报名后自行下载</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售价：</w:t>
      </w:r>
      <w:r>
        <w:rPr>
          <w:rFonts w:hint="eastAsia" w:ascii="宋体" w:hAnsi="宋体" w:eastAsia="宋体" w:cs="宋体"/>
          <w:sz w:val="24"/>
          <w:szCs w:val="24"/>
          <w:lang w:val="en-US" w:eastAsia="zh-CN"/>
        </w:rPr>
        <w:t>0元</w:t>
      </w:r>
    </w:p>
    <w:p>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b/>
          <w:bCs/>
          <w:color w:val="auto"/>
          <w:sz w:val="24"/>
          <w:szCs w:val="24"/>
        </w:rPr>
      </w:pPr>
      <w:r>
        <w:rPr>
          <w:rFonts w:hint="eastAsia" w:ascii="宋体" w:hAnsi="宋体" w:eastAsia="宋体" w:cs="宋体"/>
          <w:b/>
          <w:bCs/>
          <w:sz w:val="24"/>
          <w:szCs w:val="24"/>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时间：2023年01月13日 10时30分00秒 （北京时间）</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提交投标文件地点：陕西公共资源交易平台</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开标地点：榆林市公共资源交易中心十楼开标室</w:t>
      </w:r>
      <w:r>
        <w:rPr>
          <w:rFonts w:hint="eastAsia" w:ascii="宋体" w:hAnsi="宋体" w:cs="宋体"/>
          <w:color w:val="auto"/>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、公告期限</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、其他补充事宜</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1、本项目专门面向中小企业采购。</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1）供应商登录全国公共资源交易中心平台（陕西省）（http://www.sxggzyjy.cn/）,选择“电子交易平台→陕西政府采购交易系统→陕西省公共资源交易平台→投标人”进行登录，登录后选择“交易乙方”身份进入投标人界面进行报名并下载竞争性谈判文件。电子竞争性谈判文件在获取期内进行下载，逾期下载通道将关闭，未及时下载竞争性谈判文件将会影响后续开评标活动，其后果自负。（2）特别提醒：本项目采用电子化招投标的方式（本项目将采取“不见面”开标的形式，供应商无须到达开标现场，即可在网上直接参与开标活动，具体操作方式详见竞争性谈判文件须知前附表），供应商使用CA锁对响应文件进行制作、签封、加密、递交、解密等相关招投标事宜。电子响应文件制作软件技术支持热线：400-998-0000 CA锁购买：榆林市市民大厦四楼窗口,联系电话：0912-3515031；供应商初次使用交易平台，须先完成诚信入库登记、CA锁认证及企业信息绑定。相关操作流程详见全国公共资源交易平台（陕西省）网站首页“服务指南”下载专区中的《陕西省公共资源交易中心政府采购项目投标指南》。 （3）供应商自行在电脑上进行二次报价。建议使用带有麦克风和摄像头的笔记本电脑。（4）请各供应商获取竞争性谈判文件后，按照陕西省财政厅《关于 政 府 采 购 投 标 供 应 商 注 册 登 记 有 关 事 项 的 通 知 》 要 求 ， 通 过 陕 西 省 政 府 采 购（http://www.ccgp-shaanxi.gov.cn/）注册登记加入陕西省政府采购投标供应商库。</w:t>
      </w:r>
    </w:p>
    <w:p>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、对本次招标提出询问，请按以下方式联系。</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1.名称：榆林市公安局交通警察支队</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地址：长城北路34号</w:t>
      </w:r>
    </w:p>
    <w:p>
      <w:pPr>
        <w:keepNext w:val="0"/>
        <w:keepLines w:val="0"/>
        <w:pageBreakBefore w:val="0"/>
        <w:widowControl w:val="0"/>
        <w:kinsoku/>
        <w:wordWrap/>
        <w:overflowPunct/>
        <w:topLinePunct w:val="0"/>
        <w:autoSpaceDE/>
        <w:autoSpaceDN/>
        <w:bidi w:val="0"/>
        <w:adjustRightInd/>
        <w:snapToGrid/>
        <w:spacing w:line="408"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联系方式：09123269828</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名称：陕西和盛招投标代理有限公司</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地址：榆林市高新区流沙杏小区E区16-2</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联系方式：15596018777</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3.项目联系方式 </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项目联系人：李保香</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电话：15596018777</w:t>
      </w:r>
    </w:p>
    <w:p>
      <w:pPr>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陕西和盛招投标代理有限公司</w:t>
      </w:r>
    </w:p>
    <w:p>
      <w:pPr>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5</w:t>
      </w:r>
      <w:r>
        <w:rPr>
          <w:rFonts w:hint="eastAsia" w:ascii="宋体" w:hAnsi="宋体" w:eastAsia="宋体" w:cs="宋体"/>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MDNjNjAyNjJkZTM0NDRmZDNkYTMxZjQyYmIxZjcifQ=="/>
  </w:docVars>
  <w:rsids>
    <w:rsidRoot w:val="759C203E"/>
    <w:rsid w:val="759C2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jc w:val="both"/>
      <w:textAlignment w:val="baseline"/>
    </w:pPr>
    <w:rPr>
      <w:b/>
      <w:kern w:val="2"/>
      <w:sz w:val="28"/>
      <w:lang w:val="en-US" w:eastAsia="zh-CN" w:bidi="ar-SA"/>
    </w:rPr>
  </w:style>
  <w:style w:type="paragraph" w:customStyle="1" w:styleId="3">
    <w:name w:val="Heading4"/>
    <w:basedOn w:val="1"/>
    <w:next w:val="1"/>
    <w:qFormat/>
    <w:uiPriority w:val="0"/>
    <w:pPr>
      <w:keepNext/>
      <w:keepLines/>
      <w:spacing w:before="280" w:after="290" w:line="376" w:lineRule="auto"/>
      <w:jc w:val="both"/>
      <w:textAlignment w:val="baseline"/>
    </w:pPr>
    <w:rPr>
      <w:rFonts w:ascii="Arial" w:hAnsi="Arial" w:eastAsia="黑体" w:cs="Times New Roman"/>
      <w:b/>
      <w:bCs/>
      <w:kern w:val="2"/>
      <w:sz w:val="21"/>
      <w:szCs w:val="28"/>
      <w:lang w:val="en-US" w:eastAsia="zh-CN" w:bidi="ar-SA"/>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2023-01-05T10:44:00Z</dcterms:created>
  <dc:creator>明</dc:creator>
  <cp:lastModifiedBy>明</cp:lastModifiedBy>
  <dcterms:modified xsi:type="dcterms:W3CDTF">2023-01-05T10:50:28Z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35A852136E7746E5ABC53629CBA36178</vt:lpwstr>
  </property>
</Properties>
</file>