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auto"/>
        <w:jc w:val="left"/>
        <w:rPr>
          <w:rFonts w:hint="default" w:ascii="宋体" w:hAnsi="宋体" w:eastAsia="宋体" w:cs="宋体"/>
          <w:b/>
          <w:sz w:val="28"/>
          <w:szCs w:val="28"/>
          <w:lang w:val="en-US" w:eastAsia="zh-CN"/>
        </w:rPr>
      </w:pPr>
      <w:bookmarkStart w:id="0" w:name="_Toc193702467"/>
      <w:bookmarkStart w:id="1" w:name="_Toc6410"/>
      <w:bookmarkStart w:id="2" w:name="_Toc246928891"/>
      <w:bookmarkStart w:id="3" w:name="_Toc465958085"/>
      <w:bookmarkStart w:id="4" w:name="_Toc12260"/>
      <w:bookmarkStart w:id="5" w:name="_Toc22392"/>
      <w:bookmarkStart w:id="6" w:name="_Toc12011"/>
      <w:bookmarkStart w:id="7" w:name="OLE_LINK18"/>
      <w:r>
        <w:rPr>
          <w:rFonts w:hint="eastAsia" w:ascii="宋体" w:hAnsi="宋体" w:cs="宋体"/>
          <w:b/>
          <w:sz w:val="28"/>
          <w:szCs w:val="28"/>
        </w:rPr>
        <w:t>采购项目编号：</w:t>
      </w:r>
      <w:r>
        <w:rPr>
          <w:rFonts w:hint="eastAsia" w:ascii="宋体" w:hAnsi="宋体" w:cs="宋体"/>
          <w:b/>
          <w:sz w:val="28"/>
          <w:szCs w:val="28"/>
          <w:lang w:eastAsia="zh-CN"/>
        </w:rPr>
        <w:t>SXBH-2022-CG-14</w:t>
      </w:r>
    </w:p>
    <w:p>
      <w:pPr>
        <w:pStyle w:val="5"/>
        <w:rPr>
          <w:sz w:val="2"/>
          <w:szCs w:val="2"/>
        </w:rPr>
      </w:pPr>
    </w:p>
    <w:p>
      <w:pPr>
        <w:pStyle w:val="5"/>
        <w:rPr>
          <w:rFonts w:hint="eastAsia"/>
          <w:sz w:val="44"/>
          <w:szCs w:val="44"/>
          <w:lang w:val="en-US" w:eastAsia="zh-CN"/>
        </w:rPr>
      </w:pPr>
    </w:p>
    <w:p>
      <w:pPr>
        <w:pStyle w:val="5"/>
        <w:rPr>
          <w:rFonts w:hint="eastAsia"/>
          <w:sz w:val="44"/>
          <w:szCs w:val="44"/>
          <w:lang w:val="en-US" w:eastAsia="zh-CN"/>
        </w:rPr>
      </w:pPr>
    </w:p>
    <w:p>
      <w:pPr>
        <w:spacing w:line="720" w:lineRule="auto"/>
        <w:jc w:val="center"/>
        <w:rPr>
          <w:rFonts w:hint="eastAsia" w:eastAsia="宋体"/>
          <w:b/>
          <w:bCs/>
          <w:sz w:val="44"/>
          <w:szCs w:val="40"/>
          <w:lang w:val="en-US" w:eastAsia="zh-CN"/>
        </w:rPr>
      </w:pPr>
      <w:r>
        <w:rPr>
          <w:rFonts w:hint="eastAsia"/>
          <w:b/>
          <w:bCs/>
          <w:sz w:val="44"/>
          <w:szCs w:val="40"/>
          <w:lang w:eastAsia="zh-CN"/>
        </w:rPr>
        <w:t>神木市中鸡镇人民政府垃圾箱采购项目二次</w:t>
      </w:r>
    </w:p>
    <w:p/>
    <w:p>
      <w:pPr>
        <w:pStyle w:val="36"/>
      </w:pPr>
    </w:p>
    <w:p>
      <w:pPr>
        <w:pStyle w:val="36"/>
      </w:pPr>
    </w:p>
    <w:p>
      <w:pPr>
        <w:pStyle w:val="36"/>
      </w:pPr>
    </w:p>
    <w:p>
      <w:pPr>
        <w:jc w:val="center"/>
        <w:rPr>
          <w:rFonts w:ascii="宋体" w:hAnsi="宋体" w:cs="宋体"/>
          <w:b/>
          <w:sz w:val="80"/>
          <w:szCs w:val="80"/>
        </w:rPr>
      </w:pPr>
      <w:r>
        <w:rPr>
          <w:rFonts w:hint="eastAsia" w:ascii="宋体" w:hAnsi="宋体" w:cs="宋体"/>
          <w:b/>
          <w:sz w:val="80"/>
          <w:szCs w:val="80"/>
        </w:rPr>
        <w:t>竞争性谈判文件</w:t>
      </w:r>
    </w:p>
    <w:p>
      <w:pPr>
        <w:spacing w:line="420" w:lineRule="auto"/>
        <w:rPr>
          <w:rFonts w:ascii="宋体" w:hAnsi="宋体" w:cs="宋体"/>
          <w:bCs/>
          <w:sz w:val="24"/>
          <w:szCs w:val="24"/>
        </w:rPr>
      </w:pPr>
    </w:p>
    <w:p>
      <w:pPr>
        <w:spacing w:line="420" w:lineRule="auto"/>
        <w:rPr>
          <w:rFonts w:ascii="宋体" w:hAnsi="宋体" w:cs="宋体"/>
          <w:bCs/>
          <w:sz w:val="24"/>
          <w:szCs w:val="24"/>
        </w:rPr>
      </w:pPr>
    </w:p>
    <w:p>
      <w:pPr>
        <w:pStyle w:val="11"/>
        <w:rPr>
          <w:rFonts w:ascii="宋体" w:hAnsi="宋体" w:cs="宋体"/>
          <w:bCs/>
          <w:sz w:val="11"/>
          <w:szCs w:val="11"/>
        </w:rPr>
      </w:pPr>
    </w:p>
    <w:p>
      <w:pPr>
        <w:rPr>
          <w:rFonts w:ascii="宋体" w:hAnsi="宋体" w:cs="宋体"/>
          <w:bCs/>
          <w:sz w:val="11"/>
          <w:szCs w:val="11"/>
        </w:rPr>
      </w:pPr>
    </w:p>
    <w:p>
      <w:pPr>
        <w:pStyle w:val="36"/>
        <w:rPr>
          <w:rFonts w:ascii="宋体" w:hAnsi="宋体" w:cs="宋体"/>
          <w:bCs/>
          <w:sz w:val="11"/>
          <w:szCs w:val="11"/>
        </w:rPr>
      </w:pPr>
    </w:p>
    <w:p>
      <w:pPr>
        <w:pStyle w:val="36"/>
        <w:rPr>
          <w:rFonts w:ascii="宋体" w:hAnsi="宋体" w:cs="宋体"/>
          <w:bCs/>
          <w:sz w:val="11"/>
          <w:szCs w:val="11"/>
        </w:rPr>
      </w:pPr>
    </w:p>
    <w:p>
      <w:pPr>
        <w:pStyle w:val="10"/>
        <w:ind w:firstLine="0"/>
        <w:rPr>
          <w:sz w:val="40"/>
          <w:szCs w:val="40"/>
        </w:rPr>
      </w:pPr>
    </w:p>
    <w:p>
      <w:pPr>
        <w:pStyle w:val="10"/>
        <w:ind w:firstLine="0"/>
        <w:rPr>
          <w:sz w:val="40"/>
          <w:szCs w:val="40"/>
        </w:rPr>
      </w:pPr>
    </w:p>
    <w:p>
      <w:pPr>
        <w:snapToGrid w:val="0"/>
        <w:spacing w:line="480" w:lineRule="auto"/>
        <w:rPr>
          <w:rFonts w:hint="eastAsia" w:ascii="宋体" w:hAnsi="宋体" w:eastAsia="宋体" w:cs="宋体"/>
          <w:b/>
          <w:sz w:val="32"/>
          <w:szCs w:val="32"/>
          <w:lang w:eastAsia="zh-CN"/>
        </w:rPr>
      </w:pPr>
      <w:bookmarkStart w:id="8" w:name="OLE_LINK43"/>
      <w:r>
        <w:rPr>
          <w:rFonts w:hint="eastAsia" w:ascii="宋体" w:hAnsi="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cs="宋体"/>
          <w:b/>
          <w:sz w:val="32"/>
          <w:szCs w:val="32"/>
        </w:rPr>
        <w:t>采  购  人：</w:t>
      </w:r>
      <w:r>
        <w:rPr>
          <w:rFonts w:hint="eastAsia" w:ascii="宋体" w:hAnsi="宋体" w:cs="宋体"/>
          <w:b/>
          <w:sz w:val="32"/>
          <w:szCs w:val="32"/>
          <w:lang w:eastAsia="zh-CN"/>
        </w:rPr>
        <w:t>神木市中鸡镇人民政府</w:t>
      </w:r>
    </w:p>
    <w:p>
      <w:pPr>
        <w:pStyle w:val="11"/>
      </w:pPr>
    </w:p>
    <w:p>
      <w:pPr>
        <w:snapToGrid w:val="0"/>
        <w:spacing w:line="480" w:lineRule="auto"/>
        <w:jc w:val="center"/>
        <w:rPr>
          <w:rFonts w:ascii="宋体" w:hAnsi="宋体" w:cs="宋体"/>
          <w:b/>
          <w:sz w:val="32"/>
          <w:szCs w:val="32"/>
        </w:rPr>
      </w:pPr>
      <w:r>
        <w:rPr>
          <w:rFonts w:hint="eastAsia" w:ascii="宋体" w:hAnsi="宋体" w:cs="宋体"/>
          <w:b/>
          <w:sz w:val="32"/>
          <w:szCs w:val="32"/>
        </w:rPr>
        <w:t xml:space="preserve">  采购代理机构：</w:t>
      </w:r>
      <w:r>
        <w:rPr>
          <w:rFonts w:hint="eastAsia" w:ascii="宋体" w:hAnsi="宋体" w:cs="宋体"/>
          <w:b/>
          <w:sz w:val="32"/>
          <w:szCs w:val="32"/>
          <w:lang w:eastAsia="zh-CN"/>
        </w:rPr>
        <w:t>陕西博皓项目管理有限公司</w:t>
      </w:r>
      <w:r>
        <w:rPr>
          <w:rFonts w:hint="eastAsia" w:ascii="宋体" w:hAnsi="宋体" w:cs="宋体"/>
          <w:b/>
          <w:sz w:val="32"/>
          <w:szCs w:val="32"/>
        </w:rPr>
        <w:t xml:space="preserve"> </w:t>
      </w:r>
    </w:p>
    <w:p>
      <w:pPr>
        <w:snapToGrid w:val="0"/>
        <w:jc w:val="center"/>
        <w:rPr>
          <w:rFonts w:ascii="宋体" w:hAnsi="宋体" w:cs="宋体"/>
          <w:b/>
          <w:sz w:val="32"/>
          <w:szCs w:val="32"/>
        </w:rPr>
      </w:pPr>
    </w:p>
    <w:p>
      <w:pPr>
        <w:spacing w:line="480" w:lineRule="auto"/>
        <w:jc w:val="center"/>
        <w:rPr>
          <w:rFonts w:ascii="宋体" w:hAnsi="宋体" w:cs="宋体"/>
          <w:b/>
          <w:sz w:val="24"/>
          <w:szCs w:val="24"/>
        </w:rPr>
        <w:sectPr>
          <w:headerReference r:id="rId4" w:type="first"/>
          <w:headerReference r:id="rId3" w:type="default"/>
          <w:footerReference r:id="rId5" w:type="default"/>
          <w:footnotePr>
            <w:pos w:val="beneathText"/>
          </w:footnotePr>
          <w:pgSz w:w="11906" w:h="16838"/>
          <w:pgMar w:top="1418" w:right="1644" w:bottom="1191" w:left="1758" w:header="851" w:footer="992" w:gutter="0"/>
          <w:cols w:space="720" w:num="1"/>
          <w:docGrid w:type="lines" w:linePitch="312" w:charSpace="0"/>
        </w:sectPr>
      </w:pPr>
      <w:r>
        <w:rPr>
          <w:rFonts w:hint="eastAsia" w:ascii="宋体" w:hAnsi="宋体" w:cs="宋体"/>
          <w:b/>
          <w:sz w:val="32"/>
          <w:szCs w:val="32"/>
        </w:rPr>
        <w:t xml:space="preserve"> </w:t>
      </w:r>
      <w:r>
        <w:rPr>
          <w:rFonts w:hint="eastAsia" w:ascii="宋体" w:hAnsi="宋体" w:cs="宋体"/>
          <w:b/>
          <w:sz w:val="32"/>
          <w:szCs w:val="32"/>
          <w:lang w:val="en-US" w:eastAsia="zh-CN"/>
        </w:rPr>
        <w:t>2022</w:t>
      </w:r>
      <w:r>
        <w:rPr>
          <w:rFonts w:hint="eastAsia" w:ascii="宋体" w:hAnsi="宋体" w:cs="宋体"/>
          <w:b/>
          <w:sz w:val="32"/>
          <w:szCs w:val="32"/>
        </w:rPr>
        <w:t>年</w:t>
      </w:r>
      <w:r>
        <w:rPr>
          <w:rFonts w:hint="eastAsia" w:ascii="宋体" w:hAnsi="宋体" w:cs="宋体"/>
          <w:b/>
          <w:sz w:val="32"/>
          <w:szCs w:val="32"/>
          <w:lang w:val="en-US" w:eastAsia="zh-CN"/>
        </w:rPr>
        <w:t>11</w:t>
      </w:r>
      <w:r>
        <w:rPr>
          <w:rFonts w:hint="eastAsia" w:ascii="宋体" w:hAnsi="宋体" w:cs="宋体"/>
          <w:b/>
          <w:sz w:val="32"/>
          <w:szCs w:val="32"/>
        </w:rPr>
        <w:t>月</w:t>
      </w:r>
    </w:p>
    <w:bookmarkEnd w:id="8"/>
    <w:p>
      <w:pPr>
        <w:pStyle w:val="18"/>
        <w:spacing w:before="0" w:beforeAutospacing="0" w:after="0" w:afterAutospacing="0" w:line="360" w:lineRule="auto"/>
        <w:jc w:val="center"/>
        <w:rPr>
          <w:rFonts w:ascii="宋体" w:hAnsi="宋体" w:cs="宋体"/>
          <w:b/>
          <w:color w:val="000000"/>
          <w:sz w:val="32"/>
          <w:szCs w:val="32"/>
        </w:rPr>
      </w:pPr>
      <w:r>
        <w:rPr>
          <w:rFonts w:hint="eastAsia" w:ascii="宋体" w:hAnsi="宋体" w:cs="宋体"/>
          <w:b/>
          <w:color w:val="000000"/>
          <w:kern w:val="2"/>
          <w:sz w:val="32"/>
          <w:szCs w:val="32"/>
        </w:rPr>
        <w:t>温馨提示</w:t>
      </w:r>
    </w:p>
    <w:p>
      <w:pPr>
        <w:pStyle w:val="17"/>
        <w:tabs>
          <w:tab w:val="right" w:leader="dot" w:pos="8829"/>
        </w:tabs>
        <w:jc w:val="center"/>
        <w:rPr>
          <w:rFonts w:ascii="宋体" w:hAnsi="宋体"/>
          <w:sz w:val="24"/>
          <w:szCs w:val="24"/>
        </w:rPr>
      </w:pPr>
      <w:r>
        <w:rPr>
          <w:rFonts w:hint="eastAsia" w:ascii="宋体" w:hAnsi="宋体" w:cs="宋体"/>
          <w:b/>
          <w:bCs/>
          <w:color w:val="000000"/>
          <w:sz w:val="32"/>
          <w:szCs w:val="32"/>
        </w:rPr>
        <w:t>请供应商认真阅读供应商须知，避免因此造成的无效投标。</w:t>
      </w:r>
    </w:p>
    <w:p>
      <w:pPr>
        <w:spacing w:line="600" w:lineRule="auto"/>
        <w:jc w:val="center"/>
        <w:rPr>
          <w:rFonts w:ascii="宋体" w:hAnsi="宋体"/>
          <w:sz w:val="44"/>
          <w:szCs w:val="44"/>
        </w:rPr>
      </w:pPr>
    </w:p>
    <w:p>
      <w:pPr>
        <w:spacing w:line="600" w:lineRule="auto"/>
        <w:jc w:val="center"/>
        <w:rPr>
          <w:sz w:val="44"/>
          <w:szCs w:val="44"/>
        </w:rPr>
      </w:pPr>
      <w:r>
        <w:rPr>
          <w:rFonts w:ascii="宋体" w:hAnsi="宋体"/>
          <w:sz w:val="44"/>
          <w:szCs w:val="44"/>
        </w:rPr>
        <w:t>目</w:t>
      </w:r>
      <w:r>
        <w:rPr>
          <w:rFonts w:hint="eastAsia" w:ascii="宋体" w:hAnsi="宋体"/>
          <w:sz w:val="44"/>
          <w:szCs w:val="44"/>
        </w:rPr>
        <w:t xml:space="preserve">  </w:t>
      </w:r>
      <w:r>
        <w:rPr>
          <w:rFonts w:ascii="宋体" w:hAnsi="宋体"/>
          <w:sz w:val="44"/>
          <w:szCs w:val="44"/>
        </w:rPr>
        <w:t>录</w:t>
      </w:r>
    </w:p>
    <w:p>
      <w:pPr>
        <w:pStyle w:val="17"/>
        <w:tabs>
          <w:tab w:val="right" w:leader="dot" w:pos="8504"/>
        </w:tabs>
        <w:spacing w:line="720" w:lineRule="auto"/>
        <w:rPr>
          <w:sz w:val="28"/>
          <w:szCs w:val="28"/>
        </w:rPr>
      </w:pPr>
      <w:r>
        <w:rPr>
          <w:rFonts w:ascii="宋体" w:hAnsi="宋体" w:cs="宋体"/>
          <w:b/>
          <w:bCs/>
          <w:sz w:val="24"/>
          <w:szCs w:val="24"/>
        </w:rPr>
        <w:fldChar w:fldCharType="begin"/>
      </w:r>
      <w:r>
        <w:rPr>
          <w:rFonts w:ascii="宋体" w:hAnsi="宋体" w:cs="宋体"/>
          <w:b/>
          <w:bCs/>
          <w:sz w:val="24"/>
          <w:szCs w:val="24"/>
        </w:rPr>
        <w:instrText xml:space="preserve">TOC \o "1-1" \h \u </w:instrText>
      </w:r>
      <w:r>
        <w:rPr>
          <w:rFonts w:ascii="宋体" w:hAnsi="宋体" w:cs="宋体"/>
          <w:b/>
          <w:bCs/>
          <w:sz w:val="24"/>
          <w:szCs w:val="24"/>
        </w:rPr>
        <w:fldChar w:fldCharType="separate"/>
      </w:r>
      <w:r>
        <w:fldChar w:fldCharType="begin"/>
      </w:r>
      <w:r>
        <w:instrText xml:space="preserve"> HYPERLINK \l "_Toc31446" </w:instrText>
      </w:r>
      <w:r>
        <w:fldChar w:fldCharType="separate"/>
      </w:r>
      <w:r>
        <w:rPr>
          <w:rFonts w:hint="eastAsia" w:ascii="宋体" w:hAnsi="宋体" w:cs="宋体"/>
          <w:bCs/>
          <w:sz w:val="28"/>
          <w:szCs w:val="28"/>
        </w:rPr>
        <w:t>第一部分  竞争性谈判公告</w:t>
      </w:r>
      <w:r>
        <w:rPr>
          <w:sz w:val="28"/>
          <w:szCs w:val="28"/>
        </w:rPr>
        <w:tab/>
      </w:r>
      <w:r>
        <w:rPr>
          <w:sz w:val="28"/>
          <w:szCs w:val="28"/>
        </w:rPr>
        <w:fldChar w:fldCharType="begin"/>
      </w:r>
      <w:r>
        <w:rPr>
          <w:sz w:val="28"/>
          <w:szCs w:val="28"/>
        </w:rPr>
        <w:instrText xml:space="preserve"> PAGEREF _Toc31446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8504"/>
        </w:tabs>
        <w:spacing w:line="720" w:lineRule="auto"/>
        <w:rPr>
          <w:sz w:val="28"/>
          <w:szCs w:val="28"/>
        </w:rPr>
      </w:pPr>
      <w:r>
        <w:fldChar w:fldCharType="begin"/>
      </w:r>
      <w:r>
        <w:instrText xml:space="preserve"> HYPERLINK \l "_Toc27563" </w:instrText>
      </w:r>
      <w:r>
        <w:fldChar w:fldCharType="separate"/>
      </w:r>
      <w:r>
        <w:rPr>
          <w:rFonts w:hint="eastAsia" w:ascii="宋体" w:hAnsi="宋体" w:cs="宋体"/>
          <w:sz w:val="28"/>
          <w:szCs w:val="28"/>
        </w:rPr>
        <w:t>第二部分  供应商须知前附表</w:t>
      </w:r>
      <w:r>
        <w:rPr>
          <w:sz w:val="28"/>
          <w:szCs w:val="28"/>
        </w:rPr>
        <w:tab/>
      </w:r>
      <w:r>
        <w:rPr>
          <w:sz w:val="28"/>
          <w:szCs w:val="28"/>
        </w:rPr>
        <w:fldChar w:fldCharType="begin"/>
      </w:r>
      <w:r>
        <w:rPr>
          <w:sz w:val="28"/>
          <w:szCs w:val="28"/>
        </w:rPr>
        <w:instrText xml:space="preserve"> PAGEREF _Toc27563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7"/>
        <w:tabs>
          <w:tab w:val="right" w:leader="dot" w:pos="8504"/>
        </w:tabs>
        <w:spacing w:line="720" w:lineRule="auto"/>
        <w:rPr>
          <w:sz w:val="28"/>
          <w:szCs w:val="28"/>
        </w:rPr>
      </w:pPr>
      <w:r>
        <w:fldChar w:fldCharType="begin"/>
      </w:r>
      <w:r>
        <w:instrText xml:space="preserve"> HYPERLINK \l "_Toc23139" </w:instrText>
      </w:r>
      <w:r>
        <w:fldChar w:fldCharType="separate"/>
      </w:r>
      <w:r>
        <w:rPr>
          <w:rFonts w:hint="eastAsia" w:ascii="宋体" w:hAnsi="宋体" w:cs="宋体"/>
          <w:sz w:val="28"/>
          <w:szCs w:val="28"/>
        </w:rPr>
        <w:t>第三部分  供应商须知</w:t>
      </w:r>
      <w:r>
        <w:rPr>
          <w:sz w:val="28"/>
          <w:szCs w:val="28"/>
        </w:rPr>
        <w:tab/>
      </w:r>
      <w:r>
        <w:rPr>
          <w:sz w:val="28"/>
          <w:szCs w:val="28"/>
        </w:rPr>
        <w:fldChar w:fldCharType="begin"/>
      </w:r>
      <w:r>
        <w:rPr>
          <w:sz w:val="28"/>
          <w:szCs w:val="28"/>
        </w:rPr>
        <w:instrText xml:space="preserve"> PAGEREF _Toc23139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7"/>
        <w:tabs>
          <w:tab w:val="right" w:leader="dot" w:pos="8504"/>
        </w:tabs>
        <w:spacing w:line="720" w:lineRule="auto"/>
        <w:rPr>
          <w:sz w:val="28"/>
          <w:szCs w:val="28"/>
        </w:rPr>
      </w:pPr>
      <w:r>
        <w:fldChar w:fldCharType="begin"/>
      </w:r>
      <w:r>
        <w:instrText xml:space="preserve"> HYPERLINK \l "_Toc26946" </w:instrText>
      </w:r>
      <w:r>
        <w:fldChar w:fldCharType="separate"/>
      </w:r>
      <w:r>
        <w:rPr>
          <w:rFonts w:hint="eastAsia" w:ascii="宋体" w:hAnsi="宋体" w:cs="仿宋_GB2312"/>
          <w:sz w:val="28"/>
          <w:szCs w:val="28"/>
        </w:rPr>
        <w:t xml:space="preserve">第四部分  </w:t>
      </w:r>
      <w:r>
        <w:rPr>
          <w:rFonts w:hint="eastAsia" w:ascii="宋体" w:hAnsi="宋体" w:cs="仿宋_GB2312"/>
          <w:bCs/>
          <w:sz w:val="28"/>
          <w:szCs w:val="28"/>
        </w:rPr>
        <w:t>政府采购合同</w:t>
      </w:r>
      <w:r>
        <w:rPr>
          <w:sz w:val="28"/>
          <w:szCs w:val="28"/>
        </w:rPr>
        <w:tab/>
      </w:r>
      <w:r>
        <w:rPr>
          <w:sz w:val="28"/>
          <w:szCs w:val="28"/>
        </w:rPr>
        <w:fldChar w:fldCharType="begin"/>
      </w:r>
      <w:r>
        <w:rPr>
          <w:sz w:val="28"/>
          <w:szCs w:val="28"/>
        </w:rPr>
        <w:instrText xml:space="preserve"> PAGEREF _Toc26946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17"/>
        <w:tabs>
          <w:tab w:val="right" w:leader="dot" w:pos="8504"/>
        </w:tabs>
        <w:spacing w:line="720" w:lineRule="auto"/>
        <w:rPr>
          <w:sz w:val="28"/>
          <w:szCs w:val="28"/>
        </w:rPr>
      </w:pPr>
      <w:r>
        <w:fldChar w:fldCharType="begin"/>
      </w:r>
      <w:r>
        <w:instrText xml:space="preserve"> HYPERLINK \l "_Toc3964" </w:instrText>
      </w:r>
      <w:r>
        <w:fldChar w:fldCharType="separate"/>
      </w:r>
      <w:r>
        <w:rPr>
          <w:rFonts w:hint="eastAsia" w:ascii="宋体" w:hAnsi="宋体" w:cs="宋体"/>
          <w:kern w:val="44"/>
          <w:sz w:val="28"/>
          <w:szCs w:val="28"/>
        </w:rPr>
        <w:t xml:space="preserve">第五部分  </w:t>
      </w:r>
      <w:r>
        <w:rPr>
          <w:rFonts w:hint="eastAsia" w:ascii="宋体" w:hAnsi="宋体" w:cs="宋体"/>
          <w:kern w:val="44"/>
          <w:sz w:val="28"/>
          <w:szCs w:val="28"/>
          <w:lang w:eastAsia="zh-CN"/>
        </w:rPr>
        <w:t>采购内容及</w:t>
      </w:r>
      <w:r>
        <w:rPr>
          <w:rFonts w:hint="eastAsia" w:ascii="宋体" w:hAnsi="宋体" w:cs="宋体"/>
          <w:kern w:val="44"/>
          <w:sz w:val="28"/>
          <w:szCs w:val="28"/>
        </w:rPr>
        <w:t>要求</w:t>
      </w:r>
      <w:r>
        <w:rPr>
          <w:sz w:val="28"/>
          <w:szCs w:val="28"/>
        </w:rPr>
        <w:tab/>
      </w:r>
      <w:r>
        <w:rPr>
          <w:sz w:val="28"/>
          <w:szCs w:val="28"/>
        </w:rPr>
        <w:fldChar w:fldCharType="begin"/>
      </w:r>
      <w:r>
        <w:rPr>
          <w:sz w:val="28"/>
          <w:szCs w:val="28"/>
        </w:rPr>
        <w:instrText xml:space="preserve"> PAGEREF _Toc3964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17"/>
        <w:tabs>
          <w:tab w:val="right" w:leader="dot" w:pos="8504"/>
        </w:tabs>
        <w:spacing w:line="720" w:lineRule="auto"/>
        <w:rPr>
          <w:sz w:val="28"/>
          <w:szCs w:val="28"/>
        </w:rPr>
      </w:pPr>
      <w:r>
        <w:fldChar w:fldCharType="begin"/>
      </w:r>
      <w:r>
        <w:instrText xml:space="preserve"> HYPERLINK \l "_Toc28145" </w:instrText>
      </w:r>
      <w:r>
        <w:fldChar w:fldCharType="separate"/>
      </w:r>
      <w:r>
        <w:rPr>
          <w:rFonts w:hint="eastAsia" w:ascii="宋体" w:hAnsi="宋体" w:cs="宋体"/>
          <w:sz w:val="28"/>
          <w:szCs w:val="28"/>
        </w:rPr>
        <w:t>第</w:t>
      </w:r>
      <w:r>
        <w:rPr>
          <w:rFonts w:hint="eastAsia" w:ascii="宋体" w:hAnsi="宋体" w:cs="宋体"/>
          <w:sz w:val="28"/>
          <w:szCs w:val="28"/>
          <w:lang w:eastAsia="zh-CN"/>
        </w:rPr>
        <w:t>六</w:t>
      </w:r>
      <w:r>
        <w:rPr>
          <w:rFonts w:hint="eastAsia" w:ascii="宋体" w:hAnsi="宋体" w:cs="宋体"/>
          <w:sz w:val="28"/>
          <w:szCs w:val="28"/>
        </w:rPr>
        <w:t>部分 评审方法</w:t>
      </w:r>
      <w:r>
        <w:rPr>
          <w:sz w:val="28"/>
          <w:szCs w:val="28"/>
        </w:rPr>
        <w:tab/>
      </w:r>
      <w:r>
        <w:rPr>
          <w:sz w:val="28"/>
          <w:szCs w:val="28"/>
        </w:rPr>
        <w:fldChar w:fldCharType="begin"/>
      </w:r>
      <w:r>
        <w:rPr>
          <w:sz w:val="28"/>
          <w:szCs w:val="28"/>
        </w:rPr>
        <w:instrText xml:space="preserve"> PAGEREF _Toc28145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17"/>
        <w:tabs>
          <w:tab w:val="right" w:leader="dot" w:pos="8504"/>
        </w:tabs>
        <w:spacing w:line="720" w:lineRule="auto"/>
        <w:rPr>
          <w:sz w:val="28"/>
          <w:szCs w:val="28"/>
        </w:rPr>
      </w:pPr>
      <w:r>
        <w:fldChar w:fldCharType="begin"/>
      </w:r>
      <w:r>
        <w:instrText xml:space="preserve"> HYPERLINK \l "_Toc29159" </w:instrText>
      </w:r>
      <w:r>
        <w:fldChar w:fldCharType="separate"/>
      </w:r>
      <w:r>
        <w:rPr>
          <w:rFonts w:hint="eastAsia" w:ascii="宋体" w:hAnsi="宋体" w:cs="宋体"/>
          <w:sz w:val="28"/>
          <w:szCs w:val="28"/>
        </w:rPr>
        <w:t>第</w:t>
      </w:r>
      <w:r>
        <w:rPr>
          <w:rFonts w:hint="eastAsia" w:ascii="宋体" w:hAnsi="宋体" w:cs="宋体"/>
          <w:sz w:val="28"/>
          <w:szCs w:val="28"/>
          <w:lang w:eastAsia="zh-CN"/>
        </w:rPr>
        <w:t>七</w:t>
      </w:r>
      <w:r>
        <w:rPr>
          <w:rFonts w:hint="eastAsia" w:ascii="宋体" w:hAnsi="宋体" w:cs="宋体"/>
          <w:sz w:val="28"/>
          <w:szCs w:val="28"/>
        </w:rPr>
        <w:t>部分  竞争性谈判响应文件格式</w:t>
      </w:r>
      <w:r>
        <w:rPr>
          <w:sz w:val="28"/>
          <w:szCs w:val="28"/>
        </w:rPr>
        <w:tab/>
      </w:r>
      <w:r>
        <w:rPr>
          <w:sz w:val="28"/>
          <w:szCs w:val="28"/>
        </w:rPr>
        <w:fldChar w:fldCharType="begin"/>
      </w:r>
      <w:r>
        <w:rPr>
          <w:sz w:val="28"/>
          <w:szCs w:val="28"/>
        </w:rPr>
        <w:instrText xml:space="preserve"> PAGEREF _Toc29159 \h </w:instrText>
      </w:r>
      <w:r>
        <w:rPr>
          <w:sz w:val="28"/>
          <w:szCs w:val="28"/>
        </w:rPr>
        <w:fldChar w:fldCharType="separate"/>
      </w:r>
      <w:r>
        <w:rPr>
          <w:sz w:val="28"/>
          <w:szCs w:val="28"/>
        </w:rPr>
        <w:t>39</w:t>
      </w:r>
      <w:r>
        <w:rPr>
          <w:sz w:val="28"/>
          <w:szCs w:val="28"/>
        </w:rPr>
        <w:fldChar w:fldCharType="end"/>
      </w:r>
      <w:r>
        <w:rPr>
          <w:sz w:val="28"/>
          <w:szCs w:val="28"/>
        </w:rPr>
        <w:fldChar w:fldCharType="end"/>
      </w:r>
    </w:p>
    <w:p>
      <w:pPr>
        <w:pStyle w:val="17"/>
        <w:tabs>
          <w:tab w:val="right" w:leader="dot" w:pos="8810"/>
        </w:tabs>
        <w:spacing w:line="600" w:lineRule="auto"/>
        <w:rPr>
          <w:rFonts w:ascii="宋体" w:hAnsi="宋体" w:cs="宋体"/>
          <w:b/>
          <w:bCs/>
          <w:sz w:val="24"/>
          <w:szCs w:val="24"/>
        </w:rPr>
      </w:pPr>
      <w:r>
        <w:rPr>
          <w:rFonts w:ascii="宋体" w:hAnsi="宋体" w:cs="宋体"/>
          <w:bCs/>
          <w:szCs w:val="24"/>
        </w:rPr>
        <w:fldChar w:fldCharType="end"/>
      </w:r>
    </w:p>
    <w:p>
      <w:pPr>
        <w:tabs>
          <w:tab w:val="left" w:pos="7605"/>
        </w:tabs>
        <w:rPr>
          <w:sz w:val="24"/>
          <w:szCs w:val="24"/>
        </w:rPr>
      </w:pPr>
      <w:r>
        <w:rPr>
          <w:rFonts w:hint="eastAsia"/>
          <w:sz w:val="24"/>
          <w:szCs w:val="24"/>
        </w:rPr>
        <w:tab/>
      </w:r>
    </w:p>
    <w:p>
      <w:pPr>
        <w:rPr>
          <w:sz w:val="24"/>
          <w:szCs w:val="24"/>
        </w:rPr>
      </w:pPr>
    </w:p>
    <w:p>
      <w:pPr>
        <w:rPr>
          <w:sz w:val="24"/>
          <w:szCs w:val="24"/>
        </w:rPr>
        <w:sectPr>
          <w:headerReference r:id="rId6" w:type="default"/>
          <w:footerReference r:id="rId7" w:type="default"/>
          <w:footnotePr>
            <w:pos w:val="beneathText"/>
          </w:footnotePr>
          <w:pgSz w:w="11906" w:h="16838"/>
          <w:pgMar w:top="1418" w:right="1644" w:bottom="1191" w:left="1758" w:header="851" w:footer="992" w:gutter="0"/>
          <w:pgNumType w:start="1"/>
          <w:cols w:space="720" w:num="1"/>
          <w:docGrid w:type="lines" w:linePitch="312" w:charSpace="0"/>
        </w:sectPr>
      </w:pPr>
    </w:p>
    <w:p>
      <w:pPr>
        <w:pStyle w:val="17"/>
        <w:tabs>
          <w:tab w:val="right" w:leader="dot" w:pos="8829"/>
        </w:tabs>
        <w:spacing w:line="360" w:lineRule="auto"/>
        <w:jc w:val="center"/>
        <w:outlineLvl w:val="0"/>
        <w:rPr>
          <w:rFonts w:ascii="宋体" w:hAnsi="宋体"/>
          <w:sz w:val="24"/>
        </w:rPr>
      </w:pPr>
      <w:bookmarkStart w:id="9" w:name="_Toc31446"/>
      <w:bookmarkStart w:id="10" w:name="_Toc14990"/>
      <w:bookmarkStart w:id="11" w:name="_Toc4933"/>
      <w:r>
        <w:rPr>
          <w:rFonts w:hint="eastAsia" w:ascii="宋体" w:hAnsi="宋体" w:cs="宋体"/>
          <w:b/>
          <w:bCs/>
          <w:sz w:val="36"/>
          <w:szCs w:val="36"/>
        </w:rPr>
        <w:t>第一部分</w:t>
      </w:r>
      <w:bookmarkEnd w:id="0"/>
      <w:r>
        <w:rPr>
          <w:rFonts w:hint="eastAsia" w:ascii="宋体" w:hAnsi="宋体" w:cs="宋体"/>
          <w:b/>
          <w:bCs/>
          <w:sz w:val="36"/>
          <w:szCs w:val="36"/>
        </w:rPr>
        <w:t xml:space="preserve">  竞争性谈判公告</w:t>
      </w:r>
      <w:bookmarkEnd w:id="1"/>
      <w:bookmarkEnd w:id="2"/>
      <w:bookmarkEnd w:id="3"/>
      <w:bookmarkEnd w:id="4"/>
      <w:bookmarkEnd w:id="5"/>
      <w:bookmarkEnd w:id="6"/>
      <w:bookmarkEnd w:id="9"/>
      <w:bookmarkEnd w:id="10"/>
      <w:bookmarkEnd w:id="11"/>
      <w:bookmarkStart w:id="12" w:name="OLE_LINK15"/>
      <w:bookmarkStart w:id="13" w:name="_Toc246928892"/>
      <w:bookmarkStart w:id="14" w:name="OLE_LINK6"/>
      <w:bookmarkStart w:id="15" w:name="OLE_LINK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baseline"/>
        <w:rPr>
          <w:rFonts w:ascii="微软雅黑" w:hAnsi="微软雅黑" w:eastAsia="微软雅黑" w:cs="微软雅黑"/>
          <w:b w:val="0"/>
          <w:bCs w:val="0"/>
          <w:i w:val="0"/>
          <w:iCs w:val="0"/>
          <w:caps w:val="0"/>
          <w:color w:val="333333"/>
          <w:spacing w:val="0"/>
          <w:sz w:val="21"/>
          <w:szCs w:val="21"/>
        </w:rPr>
      </w:pPr>
      <w:r>
        <w:rPr>
          <w:rStyle w:val="23"/>
          <w:rFonts w:hint="eastAsia" w:ascii="微软雅黑" w:hAnsi="微软雅黑" w:eastAsia="微软雅黑" w:cs="微软雅黑"/>
          <w:b/>
          <w:bCs/>
          <w:i w:val="0"/>
          <w:iCs w:val="0"/>
          <w:caps w:val="0"/>
          <w:color w:val="333333"/>
          <w:spacing w:val="0"/>
          <w:sz w:val="21"/>
          <w:szCs w:val="21"/>
          <w:shd w:val="clear" w:fill="FFFFFF"/>
          <w:vertAlign w:val="baseline"/>
        </w:rPr>
        <w:t>一、项目基本情况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项目编号：SXBH-2022-CG-14.1B1</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项目名称：垃圾箱(二次)</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采购方式：竞争性谈判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预算金额：570,000.00元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合同包1(垃圾箱的采购项目):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合同包预算金额：570,000.00元</w:t>
      </w:r>
    </w:p>
    <w:tbl>
      <w:tblPr>
        <w:tblStyle w:val="20"/>
        <w:tblW w:w="97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6"/>
        <w:gridCol w:w="1808"/>
        <w:gridCol w:w="1140"/>
        <w:gridCol w:w="1627"/>
        <w:gridCol w:w="1905"/>
        <w:gridCol w:w="1290"/>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5" w:hRule="atLeast"/>
          <w:tblHeader/>
        </w:trPr>
        <w:tc>
          <w:tcPr>
            <w:tcW w:w="10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1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16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c>
          <w:tcPr>
            <w:tcW w:w="9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sz w:val="21"/>
                <w:szCs w:val="21"/>
              </w:rPr>
            </w:pPr>
            <w:r>
              <w:rPr>
                <w:rFonts w:ascii="宋体" w:hAnsi="宋体" w:eastAsia="宋体" w:cs="宋体"/>
                <w:kern w:val="0"/>
                <w:sz w:val="21"/>
                <w:szCs w:val="21"/>
                <w:lang w:val="en-US" w:eastAsia="zh-CN" w:bidi="ar"/>
              </w:rPr>
              <w:t>机械设备零部件</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sz w:val="21"/>
                <w:szCs w:val="21"/>
              </w:rPr>
            </w:pPr>
            <w:r>
              <w:rPr>
                <w:rFonts w:ascii="宋体" w:hAnsi="宋体" w:eastAsia="宋体" w:cs="宋体"/>
                <w:kern w:val="0"/>
                <w:sz w:val="21"/>
                <w:szCs w:val="21"/>
                <w:lang w:val="en-US" w:eastAsia="zh-CN" w:bidi="ar"/>
              </w:rPr>
              <w:t>垃圾箱</w:t>
            </w:r>
          </w:p>
        </w:tc>
        <w:tc>
          <w:tcPr>
            <w:tcW w:w="16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sz w:val="21"/>
                <w:szCs w:val="21"/>
              </w:rPr>
            </w:pPr>
            <w:r>
              <w:rPr>
                <w:rFonts w:ascii="宋体" w:hAnsi="宋体" w:eastAsia="宋体" w:cs="宋体"/>
                <w:kern w:val="0"/>
                <w:sz w:val="21"/>
                <w:szCs w:val="21"/>
                <w:lang w:val="en-US" w:eastAsia="zh-CN" w:bidi="ar"/>
              </w:rPr>
              <w:t>100(个)</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center"/>
              <w:rPr>
                <w:sz w:val="21"/>
                <w:szCs w:val="21"/>
              </w:rPr>
            </w:pPr>
            <w:r>
              <w:rPr>
                <w:rFonts w:ascii="宋体" w:hAnsi="宋体" w:eastAsia="宋体" w:cs="宋体"/>
                <w:kern w:val="0"/>
                <w:sz w:val="21"/>
                <w:szCs w:val="21"/>
                <w:vertAlign w:val="baseline"/>
                <w:lang w:val="en-US" w:eastAsia="zh-CN" w:bidi="ar"/>
              </w:rPr>
              <w:t>570,000.00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center"/>
              <w:rPr>
                <w:sz w:val="21"/>
                <w:szCs w:val="21"/>
              </w:rPr>
            </w:pPr>
            <w:r>
              <w:rPr>
                <w:rFonts w:ascii="宋体" w:hAnsi="宋体" w:eastAsia="宋体" w:cs="宋体"/>
                <w:kern w:val="0"/>
                <w:sz w:val="21"/>
                <w:szCs w:val="21"/>
                <w:vertAlign w:val="baseline"/>
                <w:lang w:val="en-US" w:eastAsia="zh-CN" w:bidi="ar"/>
              </w:rPr>
              <w:t>-</w:t>
            </w:r>
          </w:p>
        </w:tc>
      </w:tr>
    </w:tbl>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 7 天内完成供货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23"/>
          <w:rFonts w:hint="eastAsia" w:ascii="微软雅黑" w:hAnsi="微软雅黑" w:eastAsia="微软雅黑" w:cs="微软雅黑"/>
          <w:b/>
          <w:bCs/>
          <w:i w:val="0"/>
          <w:iCs w:val="0"/>
          <w:caps w:val="0"/>
          <w:color w:val="333333"/>
          <w:spacing w:val="0"/>
          <w:sz w:val="21"/>
          <w:szCs w:val="21"/>
          <w:shd w:val="clear" w:fill="FFFFFF"/>
          <w:vertAlign w:val="baseline"/>
        </w:rPr>
        <w:t>二、申请人的资格要求：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合同包1(垃圾箱的采购项目)落实政府采购政策需满足的资格要求如下: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1、《政府采购促进中小企业发展管理法》（财库[2020]46号）；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2、《财政部司法部关于政府采购支持监狱企业发展有关问题的通知》（财库〔225〕68号）；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3、《国务院办公厅关于建立政府强制采购节能货物制度的通知》（国办发〔2007〕51号）；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4、《环境标志货物政府采购实施的意见》（财库[2006]90号）；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5、《节能货物政府采购实施意见》（财库[2004]185号）；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7、《榆林市财政局关于进一步加大政府采购支持中小企业力度的通知》(陕财办采函(2022]10号)；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8、根据《陕西省财政厅关于进一步加大政府采购支持中小企业力度的通知》(陕财办采(2022]5号)；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9、陕西省财政厅关于印发《陕西省中小企业政府采购信用融资办法》(陕财办采(2018)23号)相关政策、业务流程、办理平台(http://www.ccgp-shaanxi.gov.cn/zodservice/zcd/shanxi/)；</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10、《关于在政府采购活动中查询及使用信用记录有关问题的通知》(财库(2016]125号)；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合同包1(垃圾箱的采购项目)特定资格要求如下: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1、投标人须具备独立承担民事责任能力的法人或其他组织，提供合法有效的统一社会信用代码的营业执照；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    2、财务状况报告：提供2021年度的财务审计报告或财务报表（至少包括资产负债表、利润表、现金流量表），成立时间至提交投标文件递交截止时间不足一年的，投标人须自行声明；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    3、社会保障资金缴纳证明：提供2022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    4、税收缴纳证明：提供2022年1月至今已缴纳的至少一个月的税收缴纳证明（银行缴费凭证或税收完税证明），依法免税的单位应提供相关证明材料；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    5、参加政府采购活动前3年内在经营活动中没有重大违法记录的书面声明（格式自拟，加盖投标人公章）；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    6、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公告期内网页截图并加盖供应商公章）有以上不良记录的不得参与评审活动，同时提供投标企业信用承诺书原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    7、投标保证金交纳凭证或投标保函；</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    8、本项目为专门面向中小企业采购，预留份额为整体预留，供应商须填写《中小企业声明函》。</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    9、本项目不接受联合体投标，单位负责人为同一人或者存在直接控股、管理关系的不同投标人，不得参加同一合同项下的政府采购活动。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23"/>
          <w:rFonts w:hint="eastAsia" w:ascii="微软雅黑" w:hAnsi="微软雅黑" w:eastAsia="微软雅黑" w:cs="微软雅黑"/>
          <w:b/>
          <w:bCs/>
          <w:i w:val="0"/>
          <w:iCs w:val="0"/>
          <w:caps w:val="0"/>
          <w:color w:val="333333"/>
          <w:spacing w:val="0"/>
          <w:sz w:val="21"/>
          <w:szCs w:val="21"/>
          <w:shd w:val="clear" w:fill="FFFFFF"/>
          <w:vertAlign w:val="baseline"/>
        </w:rPr>
        <w:t>三、获取招标文件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2022年11月14日 至 2022年11月16日 ，每天上午 09:00:00 至 12:00:00 ，下午 12:00:00 至 17:00:00 （北京时间）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途径：CA自行下载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方式：在线获取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23"/>
          <w:rFonts w:hint="eastAsia" w:ascii="微软雅黑" w:hAnsi="微软雅黑" w:eastAsia="微软雅黑" w:cs="微软雅黑"/>
          <w:b/>
          <w:bCs/>
          <w:i w:val="0"/>
          <w:iCs w:val="0"/>
          <w:caps w:val="0"/>
          <w:color w:val="333333"/>
          <w:spacing w:val="0"/>
          <w:sz w:val="21"/>
          <w:szCs w:val="21"/>
          <w:shd w:val="clear" w:fill="FFFFFF"/>
          <w:vertAlign w:val="baseline"/>
        </w:rPr>
        <w:t>四、提交投标文件截止时间、开标时间和地点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2022年11月17日 15时00分00秒 （北京时间）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提交投标文件地点：网上递交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开标地点：网上递交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23"/>
          <w:rFonts w:hint="eastAsia" w:ascii="微软雅黑" w:hAnsi="微软雅黑" w:eastAsia="微软雅黑" w:cs="微软雅黑"/>
          <w:b/>
          <w:bCs/>
          <w:i w:val="0"/>
          <w:iCs w:val="0"/>
          <w:caps w:val="0"/>
          <w:color w:val="333333"/>
          <w:spacing w:val="0"/>
          <w:sz w:val="21"/>
          <w:szCs w:val="21"/>
          <w:shd w:val="clear" w:fill="FFFFFF"/>
          <w:vertAlign w:val="baseline"/>
        </w:rPr>
        <w:t>五、公告期限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23"/>
          <w:rFonts w:hint="eastAsia" w:ascii="微软雅黑" w:hAnsi="微软雅黑" w:eastAsia="微软雅黑" w:cs="微软雅黑"/>
          <w:b/>
          <w:bCs/>
          <w:i w:val="0"/>
          <w:iCs w:val="0"/>
          <w:caps w:val="0"/>
          <w:color w:val="333333"/>
          <w:spacing w:val="0"/>
          <w:sz w:val="21"/>
          <w:szCs w:val="21"/>
          <w:shd w:val="clear" w:fill="FFFFFF"/>
          <w:vertAlign w:val="baseline"/>
        </w:rPr>
        <w:t>六、其他补充事宜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1、供应商可登录全国公共资源交易中心平台（陕西省） （http://www.sxggzyjy.cn/）,选择“电子交易平台-陕西政府采购交易系统-陕西省公共资源交易平台-投标人”进行登录，登录后选择“交易乙方”身份进入投标人界面进行报名并免费下载谈判文件。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2、电子投标文件制作软件技术支持热线：400-998-0000 ，CA锁购买：榆林市市民大厦四楼窗口,电话：0912-3515031。</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3、本项目采用电子化招投标方式和“不见面”开标形式，供应商使用数字认证证书（CA 锁）对响应文件进行签章、加密、递交及开标时解密等相关招投标事宜。供应商应于谈判响应文件递交截止时间前任意时段登录交易平台〖首页〉电子交易平台〉企业端〗在线提交电子谈判响应文件，逾期提交系统间拒绝接收。供应商可登录榆林交易平台〖首页〉不见面开标〗在线参与开评标过程，详见《榆林市不见面开标大厅操作手册（投标人）》（交易平台〖首页〉服务指南〉下载专区〗中的《榆林市不见面开标大厅操作手册（投标人）》）。</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4、供应商应随时关注发布的变更公告，当澄清或修改的内容影响响应文件编制时，将在交易平台上同步发布答疑文件，此时供应商应从“项目流程·〉答疑文件下载”下载最新发布的答疑文件（*.SXSCF格式），并使用该文件重新编制电子响应文件（*.SXSTF格式），使用旧版电子谈判文件或旧版答疑文件制作的电子投标文件，系统将拒绝接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5、</w:t>
      </w: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供应商自行在电脑上进行二次报价。建议使用带有麦克风和摄像头的笔记本电脑。</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23"/>
          <w:rFonts w:hint="eastAsia" w:ascii="微软雅黑" w:hAnsi="微软雅黑" w:eastAsia="微软雅黑" w:cs="微软雅黑"/>
          <w:b/>
          <w:bCs/>
          <w:i w:val="0"/>
          <w:iCs w:val="0"/>
          <w:caps w:val="0"/>
          <w:color w:val="333333"/>
          <w:spacing w:val="0"/>
          <w:sz w:val="21"/>
          <w:szCs w:val="21"/>
          <w:shd w:val="clear" w:fill="FFFFFF"/>
          <w:vertAlign w:val="baseline"/>
        </w:rPr>
        <w:t>七、对本次招标提出询问，请按以下方式联系。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名称：神木市中鸡镇人民政府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地址：陕西省榆林市神木市中鸡镇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联系方式：15929799299</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名称：陕西博皓项目管理有限公司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地址：陕西省榆林市榆阳区富康路富康苑B座5楼</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联系方式：18191298181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项目联系人：高晶晶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电话：18191298181</w:t>
      </w:r>
    </w:p>
    <w:p>
      <w:pPr>
        <w:pStyle w:val="15"/>
        <w:rPr>
          <w:rFonts w:hint="eastAsia" w:ascii="宋体" w:hAnsi="宋体" w:eastAsia="宋体" w:cs="宋体"/>
          <w:i w:val="0"/>
          <w:iCs w:val="0"/>
          <w:caps w:val="0"/>
          <w:color w:val="333333"/>
          <w:spacing w:val="0"/>
          <w:sz w:val="21"/>
          <w:szCs w:val="21"/>
          <w:shd w:val="clear" w:fill="FFFFFF"/>
          <w:vertAlign w:val="baseline"/>
        </w:rPr>
      </w:pPr>
    </w:p>
    <w:p>
      <w:pPr>
        <w:pStyle w:val="15"/>
        <w:rPr>
          <w:rFonts w:hint="eastAsia" w:ascii="宋体" w:hAnsi="宋体" w:eastAsia="宋体" w:cs="宋体"/>
          <w:i w:val="0"/>
          <w:iCs w:val="0"/>
          <w:caps w:val="0"/>
          <w:color w:val="333333"/>
          <w:spacing w:val="0"/>
          <w:sz w:val="21"/>
          <w:szCs w:val="21"/>
          <w:shd w:val="clear" w:fill="FFFFFF"/>
          <w:vertAlign w:val="baseline"/>
        </w:rPr>
      </w:pPr>
    </w:p>
    <w:p>
      <w:pPr>
        <w:pStyle w:val="15"/>
        <w:rPr>
          <w:rFonts w:hint="eastAsia" w:ascii="宋体" w:hAnsi="宋体" w:eastAsia="宋体" w:cs="宋体"/>
          <w:i w:val="0"/>
          <w:iCs w:val="0"/>
          <w:caps w:val="0"/>
          <w:color w:val="333333"/>
          <w:spacing w:val="0"/>
          <w:sz w:val="21"/>
          <w:szCs w:val="21"/>
          <w:shd w:val="clear" w:fill="FFFFFF"/>
          <w:vertAlign w:val="baseline"/>
        </w:rPr>
      </w:pPr>
    </w:p>
    <w:p>
      <w:pPr>
        <w:pStyle w:val="15"/>
        <w:rPr>
          <w:rFonts w:hint="eastAsia" w:ascii="宋体" w:hAnsi="宋体" w:eastAsia="宋体" w:cs="宋体"/>
          <w:i w:val="0"/>
          <w:iCs w:val="0"/>
          <w:caps w:val="0"/>
          <w:color w:val="333333"/>
          <w:spacing w:val="0"/>
          <w:sz w:val="21"/>
          <w:szCs w:val="21"/>
          <w:shd w:val="clear" w:fill="FFFFFF"/>
          <w:vertAlign w:val="baseline"/>
        </w:rPr>
      </w:pPr>
    </w:p>
    <w:p>
      <w:pPr>
        <w:pStyle w:val="15"/>
        <w:rPr>
          <w:rFonts w:hint="eastAsia" w:ascii="宋体" w:hAnsi="宋体" w:eastAsia="宋体" w:cs="宋体"/>
          <w:i w:val="0"/>
          <w:iCs w:val="0"/>
          <w:caps w:val="0"/>
          <w:color w:val="333333"/>
          <w:spacing w:val="0"/>
          <w:sz w:val="21"/>
          <w:szCs w:val="21"/>
          <w:shd w:val="clear" w:fill="FFFFFF"/>
          <w:vertAlign w:val="baseline"/>
        </w:rPr>
      </w:pPr>
    </w:p>
    <w:p>
      <w:pPr>
        <w:pStyle w:val="15"/>
        <w:rPr>
          <w:rFonts w:hint="eastAsia" w:ascii="宋体" w:hAnsi="宋体" w:eastAsia="宋体" w:cs="宋体"/>
          <w:i w:val="0"/>
          <w:iCs w:val="0"/>
          <w:caps w:val="0"/>
          <w:color w:val="333333"/>
          <w:spacing w:val="0"/>
          <w:sz w:val="21"/>
          <w:szCs w:val="21"/>
          <w:shd w:val="clear" w:fill="FFFFFF"/>
          <w:vertAlign w:val="baseline"/>
        </w:rPr>
      </w:pPr>
    </w:p>
    <w:p>
      <w:pPr>
        <w:pStyle w:val="15"/>
        <w:rPr>
          <w:rFonts w:hint="eastAsia" w:ascii="宋体" w:hAnsi="宋体" w:eastAsia="宋体" w:cs="宋体"/>
          <w:i w:val="0"/>
          <w:iCs w:val="0"/>
          <w:caps w:val="0"/>
          <w:color w:val="333333"/>
          <w:spacing w:val="0"/>
          <w:sz w:val="21"/>
          <w:szCs w:val="21"/>
          <w:shd w:val="clear" w:fill="FFFFFF"/>
          <w:vertAlign w:val="baseline"/>
        </w:rPr>
      </w:pPr>
    </w:p>
    <w:p>
      <w:pPr>
        <w:pStyle w:val="15"/>
        <w:rPr>
          <w:rFonts w:hint="eastAsia" w:ascii="宋体" w:hAnsi="宋体" w:eastAsia="宋体" w:cs="宋体"/>
          <w:i w:val="0"/>
          <w:iCs w:val="0"/>
          <w:caps w:val="0"/>
          <w:color w:val="333333"/>
          <w:spacing w:val="0"/>
          <w:sz w:val="21"/>
          <w:szCs w:val="21"/>
          <w:shd w:val="clear" w:fill="FFFFFF"/>
          <w:vertAlign w:val="baseline"/>
        </w:rPr>
      </w:pPr>
    </w:p>
    <w:p>
      <w:pPr>
        <w:pStyle w:val="15"/>
        <w:rPr>
          <w:rFonts w:hint="eastAsia" w:ascii="宋体" w:hAnsi="宋体" w:eastAsia="宋体" w:cs="宋体"/>
          <w:i w:val="0"/>
          <w:iCs w:val="0"/>
          <w:caps w:val="0"/>
          <w:color w:val="333333"/>
          <w:spacing w:val="0"/>
          <w:sz w:val="21"/>
          <w:szCs w:val="21"/>
          <w:shd w:val="clear" w:fill="FFFFFF"/>
          <w:vertAlign w:val="baseline"/>
        </w:rPr>
      </w:pPr>
    </w:p>
    <w:p>
      <w:pPr>
        <w:pStyle w:val="15"/>
        <w:rPr>
          <w:rFonts w:hint="eastAsia" w:ascii="宋体" w:hAnsi="宋体" w:eastAsia="宋体" w:cs="宋体"/>
          <w:i w:val="0"/>
          <w:iCs w:val="0"/>
          <w:caps w:val="0"/>
          <w:color w:val="333333"/>
          <w:spacing w:val="0"/>
          <w:sz w:val="21"/>
          <w:szCs w:val="21"/>
          <w:shd w:val="clear" w:fill="FFFFFF"/>
          <w:vertAlign w:val="baseline"/>
        </w:rPr>
      </w:pPr>
    </w:p>
    <w:p>
      <w:pPr>
        <w:pStyle w:val="4"/>
        <w:numPr>
          <w:ilvl w:val="0"/>
          <w:numId w:val="1"/>
        </w:numPr>
        <w:spacing w:line="360" w:lineRule="auto"/>
        <w:jc w:val="center"/>
        <w:rPr>
          <w:rFonts w:ascii="宋体" w:hAnsi="宋体" w:cs="宋体"/>
          <w:sz w:val="36"/>
          <w:szCs w:val="36"/>
        </w:rPr>
      </w:pPr>
      <w:r>
        <w:rPr>
          <w:rFonts w:hint="eastAsia" w:ascii="宋体" w:hAnsi="宋体" w:cs="宋体"/>
          <w:sz w:val="36"/>
          <w:szCs w:val="36"/>
        </w:rPr>
        <w:t xml:space="preserve"> </w:t>
      </w:r>
      <w:bookmarkStart w:id="16" w:name="_Toc17537"/>
      <w:bookmarkStart w:id="17" w:name="_Toc27563"/>
      <w:bookmarkStart w:id="18" w:name="_Toc21055"/>
      <w:r>
        <w:rPr>
          <w:rFonts w:hint="eastAsia" w:ascii="宋体" w:hAnsi="宋体" w:cs="宋体"/>
          <w:sz w:val="36"/>
          <w:szCs w:val="36"/>
        </w:rPr>
        <w:t>供应商须知前附表</w:t>
      </w:r>
      <w:bookmarkEnd w:id="16"/>
      <w:bookmarkEnd w:id="17"/>
      <w:bookmarkEnd w:id="18"/>
    </w:p>
    <w:tbl>
      <w:tblPr>
        <w:tblStyle w:val="20"/>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52" w:type="dxa"/>
            <w:vAlign w:val="center"/>
          </w:tcPr>
          <w:p>
            <w:pPr>
              <w:spacing w:line="360" w:lineRule="auto"/>
              <w:jc w:val="center"/>
              <w:rPr>
                <w:rFonts w:ascii="宋体" w:hAnsi="宋体" w:cs="宋体"/>
                <w:b/>
                <w:sz w:val="24"/>
                <w:szCs w:val="24"/>
              </w:rPr>
            </w:pPr>
            <w:r>
              <w:rPr>
                <w:rFonts w:hint="eastAsia" w:ascii="宋体" w:hAnsi="宋体" w:cs="宋体"/>
                <w:b/>
                <w:sz w:val="24"/>
                <w:szCs w:val="24"/>
              </w:rPr>
              <w:t>项号</w:t>
            </w:r>
          </w:p>
        </w:tc>
        <w:tc>
          <w:tcPr>
            <w:tcW w:w="8775" w:type="dxa"/>
            <w:vAlign w:val="center"/>
          </w:tcPr>
          <w:p>
            <w:pPr>
              <w:spacing w:line="360" w:lineRule="auto"/>
              <w:jc w:val="center"/>
              <w:rPr>
                <w:rFonts w:ascii="宋体" w:hAnsi="宋体" w:cs="宋体"/>
                <w:b/>
                <w:sz w:val="24"/>
                <w:szCs w:val="24"/>
              </w:rPr>
            </w:pPr>
            <w:r>
              <w:rPr>
                <w:rFonts w:hint="eastAsia" w:ascii="宋体" w:hAnsi="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adjustRightInd w:val="0"/>
              <w:snapToGrid w:val="0"/>
              <w:spacing w:line="450" w:lineRule="exact"/>
              <w:jc w:val="left"/>
              <w:rPr>
                <w:rFonts w:hint="eastAsia" w:ascii="宋体" w:hAnsi="宋体" w:eastAsia="宋体" w:cs="宋体"/>
                <w:sz w:val="24"/>
                <w:szCs w:val="24"/>
                <w:lang w:eastAsia="zh-CN"/>
              </w:rPr>
            </w:pPr>
            <w:r>
              <w:rPr>
                <w:rFonts w:hint="eastAsia" w:ascii="宋体" w:hAnsi="宋体" w:cs="宋体"/>
                <w:sz w:val="24"/>
                <w:szCs w:val="24"/>
              </w:rPr>
              <w:t>采购项目名称：</w:t>
            </w:r>
            <w:r>
              <w:rPr>
                <w:rFonts w:hint="eastAsia" w:ascii="宋体" w:hAnsi="宋体" w:cs="宋体"/>
                <w:sz w:val="24"/>
                <w:szCs w:val="24"/>
                <w:lang w:eastAsia="zh-CN"/>
              </w:rPr>
              <w:t>神木市中鸡镇人民政府垃圾箱采购项目二次</w:t>
            </w:r>
          </w:p>
          <w:p>
            <w:pPr>
              <w:adjustRightInd w:val="0"/>
              <w:snapToGrid w:val="0"/>
              <w:spacing w:line="450" w:lineRule="exact"/>
              <w:jc w:val="left"/>
              <w:rPr>
                <w:rFonts w:hint="eastAsia" w:eastAsia="宋体"/>
                <w:lang w:eastAsia="zh-CN"/>
              </w:rPr>
            </w:pPr>
            <w:r>
              <w:rPr>
                <w:rFonts w:hint="eastAsia" w:ascii="宋体" w:hAnsi="宋体" w:cs="宋体"/>
                <w:sz w:val="24"/>
                <w:szCs w:val="24"/>
              </w:rPr>
              <w:t>采购项目编号：</w:t>
            </w:r>
            <w:r>
              <w:rPr>
                <w:rFonts w:hint="eastAsia" w:ascii="宋体" w:hAnsi="宋体" w:cs="宋体"/>
                <w:sz w:val="24"/>
                <w:szCs w:val="24"/>
                <w:lang w:eastAsia="zh-CN"/>
              </w:rPr>
              <w:t>SXBH-2022-CG-14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项目性质：财政拨款</w:t>
            </w:r>
          </w:p>
          <w:p>
            <w:pPr>
              <w:adjustRightInd w:val="0"/>
              <w:snapToGrid w:val="0"/>
              <w:spacing w:line="450" w:lineRule="exact"/>
              <w:jc w:val="left"/>
              <w:rPr>
                <w:rFonts w:ascii="宋体" w:hAnsi="宋体" w:cs="仿宋_GB2312"/>
                <w:sz w:val="24"/>
                <w:szCs w:val="24"/>
              </w:rPr>
            </w:pPr>
            <w:r>
              <w:rPr>
                <w:rFonts w:hint="eastAsia" w:ascii="宋体" w:hAnsi="宋体" w:cs="宋体"/>
                <w:sz w:val="24"/>
                <w:szCs w:val="24"/>
              </w:rPr>
              <w:t>本项目采购总预算：</w:t>
            </w:r>
            <w:r>
              <w:rPr>
                <w:rFonts w:hint="eastAsia" w:ascii="宋体" w:hAnsi="宋体" w:cs="宋体"/>
                <w:sz w:val="24"/>
                <w:szCs w:val="24"/>
                <w:lang w:val="en-US" w:eastAsia="zh-CN"/>
              </w:rPr>
              <w:t>570000.00</w:t>
            </w:r>
            <w:r>
              <w:rPr>
                <w:rFonts w:hint="eastAsia" w:ascii="宋体" w:hAnsi="宋体" w:cs="宋体"/>
                <w:sz w:val="24"/>
                <w:szCs w:val="24"/>
                <w:lang w:eastAsia="zh-CN"/>
              </w:rPr>
              <w:t>元</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供应商报价超出采购预算，作为不实质响应竞争性谈判文件，按无</w:t>
            </w:r>
            <w:r>
              <w:rPr>
                <w:rFonts w:hint="eastAsia" w:ascii="宋体" w:hAnsi="宋体" w:cs="宋体"/>
                <w:sz w:val="24"/>
                <w:szCs w:val="24"/>
                <w:lang w:eastAsia="zh-CN"/>
              </w:rPr>
              <w:t>谈判响应文件</w:t>
            </w:r>
            <w:r>
              <w:rPr>
                <w:rFonts w:hint="eastAsia" w:ascii="宋体" w:hAnsi="宋体" w:cs="宋体"/>
                <w:sz w:val="24"/>
                <w:szCs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ind w:left="960" w:hanging="960" w:hangingChars="400"/>
              <w:rPr>
                <w:rFonts w:hint="eastAsia" w:ascii="宋体" w:hAnsi="宋体" w:eastAsia="宋体" w:cs="宋体"/>
                <w:sz w:val="24"/>
                <w:szCs w:val="24"/>
                <w:lang w:eastAsia="zh-CN"/>
              </w:rPr>
            </w:pPr>
            <w:r>
              <w:rPr>
                <w:rFonts w:hint="eastAsia" w:ascii="宋体" w:hAnsi="宋体" w:cs="宋体"/>
                <w:sz w:val="24"/>
                <w:szCs w:val="24"/>
              </w:rPr>
              <w:t>采购人：</w:t>
            </w:r>
            <w:r>
              <w:rPr>
                <w:rFonts w:hint="eastAsia" w:ascii="宋体" w:hAnsi="宋体" w:cs="宋体"/>
                <w:sz w:val="24"/>
                <w:szCs w:val="24"/>
                <w:lang w:eastAsia="zh-CN"/>
              </w:rPr>
              <w:t>神木市中鸡镇人民政府</w:t>
            </w:r>
          </w:p>
          <w:p>
            <w:pPr>
              <w:spacing w:line="360" w:lineRule="auto"/>
              <w:ind w:left="960" w:hanging="960" w:hangingChars="400"/>
              <w:rPr>
                <w:rFonts w:hint="eastAsia" w:ascii="宋体" w:hAnsi="宋体" w:eastAsia="宋体" w:cs="宋体"/>
                <w:sz w:val="24"/>
                <w:szCs w:val="24"/>
                <w:lang w:eastAsia="zh-CN"/>
              </w:rPr>
            </w:pPr>
            <w:r>
              <w:rPr>
                <w:rFonts w:hint="eastAsia" w:ascii="宋体" w:hAnsi="宋体" w:cs="宋体"/>
                <w:sz w:val="24"/>
                <w:szCs w:val="24"/>
              </w:rPr>
              <w:t>采购代理机构：</w:t>
            </w:r>
            <w:r>
              <w:rPr>
                <w:rFonts w:hint="eastAsia" w:ascii="宋体" w:hAnsi="宋体" w:cs="宋体"/>
                <w:sz w:val="24"/>
                <w:szCs w:val="24"/>
                <w:lang w:eastAsia="zh-CN"/>
              </w:rPr>
              <w:t>陕西博皓项目管理有限公司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采购内容具体见竞争性谈判文件第</w:t>
            </w:r>
            <w:r>
              <w:rPr>
                <w:rFonts w:hint="eastAsia" w:ascii="宋体" w:hAnsi="宋体" w:cs="宋体"/>
                <w:sz w:val="24"/>
                <w:szCs w:val="24"/>
                <w:lang w:val="en-US" w:eastAsia="zh-CN"/>
              </w:rPr>
              <w:t>五</w:t>
            </w:r>
            <w:r>
              <w:rPr>
                <w:rFonts w:hint="eastAsia" w:ascii="宋体" w:hAnsi="宋体" w:cs="宋体"/>
                <w:sz w:val="24"/>
                <w:szCs w:val="24"/>
              </w:rPr>
              <w:t>部分采购内容及要求</w:t>
            </w:r>
          </w:p>
          <w:p>
            <w:pPr>
              <w:spacing w:line="360" w:lineRule="auto"/>
              <w:rPr>
                <w:rFonts w:ascii="宋体" w:hAnsi="宋体" w:cs="宋体"/>
                <w:sz w:val="24"/>
                <w:szCs w:val="24"/>
              </w:rPr>
            </w:pPr>
            <w:r>
              <w:rPr>
                <w:rFonts w:hint="eastAsia" w:ascii="宋体" w:hAnsi="宋体" w:cs="宋体"/>
                <w:sz w:val="24"/>
                <w:szCs w:val="24"/>
              </w:rPr>
              <w:t>本次采购、报价、谈判、评审和合同授予均以项目为单位，供应商必须就整个项目进行响应。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投标报价：报价包含</w:t>
            </w:r>
            <w:r>
              <w:rPr>
                <w:rFonts w:hint="eastAsia" w:ascii="宋体" w:hAnsi="宋体" w:cs="仿宋_GB2312"/>
                <w:sz w:val="24"/>
                <w:szCs w:val="24"/>
              </w:rPr>
              <w:t>完成本次投标项目所包含的一切相关费用</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竞争性谈判响应文件递交截止时间及谈判时间和地点：</w:t>
            </w:r>
          </w:p>
          <w:p>
            <w:pPr>
              <w:spacing w:line="360" w:lineRule="auto"/>
              <w:rPr>
                <w:rFonts w:ascii="宋体" w:hAnsi="宋体" w:cs="宋体"/>
                <w:sz w:val="24"/>
                <w:szCs w:val="24"/>
              </w:rPr>
            </w:pPr>
            <w:r>
              <w:rPr>
                <w:rFonts w:hint="eastAsia" w:ascii="宋体" w:hAnsi="宋体" w:cs="宋体"/>
                <w:sz w:val="24"/>
                <w:szCs w:val="24"/>
              </w:rPr>
              <w:t>竞争性谈判响应文件递交截止时间：2022年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 xml:space="preserve">日 </w:t>
            </w:r>
            <w:r>
              <w:rPr>
                <w:rFonts w:hint="eastAsia" w:ascii="宋体" w:hAnsi="宋体" w:cs="宋体"/>
                <w:sz w:val="24"/>
                <w:szCs w:val="24"/>
                <w:lang w:val="en-US" w:eastAsia="zh-CN"/>
              </w:rPr>
              <w:t>13</w:t>
            </w:r>
            <w:r>
              <w:rPr>
                <w:rFonts w:hint="eastAsia" w:ascii="宋体" w:hAnsi="宋体" w:cs="宋体"/>
                <w:sz w:val="24"/>
                <w:szCs w:val="24"/>
              </w:rPr>
              <w:t>时</w:t>
            </w:r>
            <w:r>
              <w:rPr>
                <w:rFonts w:hint="eastAsia" w:ascii="宋体" w:hAnsi="宋体" w:cs="宋体"/>
                <w:sz w:val="24"/>
                <w:szCs w:val="24"/>
                <w:lang w:val="en-US" w:eastAsia="zh-CN"/>
              </w:rPr>
              <w:t>3</w:t>
            </w:r>
            <w:r>
              <w:rPr>
                <w:rFonts w:hint="eastAsia" w:ascii="宋体" w:hAnsi="宋体" w:cs="宋体"/>
                <w:sz w:val="24"/>
                <w:szCs w:val="24"/>
              </w:rPr>
              <w:t>0分00秒 （北京时间）</w:t>
            </w:r>
          </w:p>
          <w:p>
            <w:pPr>
              <w:spacing w:line="360" w:lineRule="auto"/>
              <w:rPr>
                <w:rFonts w:ascii="宋体" w:hAnsi="宋体" w:cs="宋体"/>
                <w:sz w:val="24"/>
                <w:szCs w:val="24"/>
              </w:rPr>
            </w:pPr>
            <w:r>
              <w:rPr>
                <w:rFonts w:hint="eastAsia" w:ascii="宋体" w:hAnsi="宋体" w:cs="宋体"/>
                <w:sz w:val="24"/>
                <w:szCs w:val="24"/>
              </w:rPr>
              <w:t>谈判时间：</w:t>
            </w:r>
            <w:r>
              <w:rPr>
                <w:rFonts w:hint="eastAsia" w:ascii="宋体" w:hAnsi="宋体" w:eastAsia="宋体" w:cs="宋体"/>
                <w:i w:val="0"/>
                <w:iCs w:val="0"/>
                <w:caps w:val="0"/>
                <w:color w:val="333333"/>
                <w:spacing w:val="0"/>
                <w:sz w:val="24"/>
                <w:szCs w:val="24"/>
                <w:shd w:val="clear" w:fill="FFFFFF"/>
                <w:vertAlign w:val="baseline"/>
              </w:rPr>
              <w:t>2022年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rPr>
              <w:t>日</w:t>
            </w:r>
            <w:r>
              <w:rPr>
                <w:rFonts w:hint="eastAsia" w:ascii="宋体" w:hAnsi="宋体" w:cs="宋体"/>
                <w:i w:val="0"/>
                <w:iCs w:val="0"/>
                <w:caps w:val="0"/>
                <w:color w:val="333333"/>
                <w:spacing w:val="0"/>
                <w:sz w:val="24"/>
                <w:szCs w:val="24"/>
                <w:shd w:val="clear" w:fill="FFFFFF"/>
                <w:vertAlign w:val="baseline"/>
                <w:lang w:val="en-US" w:eastAsia="zh-CN"/>
              </w:rPr>
              <w:t>13</w:t>
            </w:r>
            <w:r>
              <w:rPr>
                <w:rFonts w:hint="eastAsia" w:ascii="宋体" w:hAnsi="宋体" w:eastAsia="宋体" w:cs="宋体"/>
                <w:i w:val="0"/>
                <w:iCs w:val="0"/>
                <w:caps w:val="0"/>
                <w:color w:val="333333"/>
                <w:spacing w:val="0"/>
                <w:sz w:val="24"/>
                <w:szCs w:val="24"/>
                <w:shd w:val="clear" w:fill="FFFFFF"/>
                <w:vertAlign w:val="baseline"/>
              </w:rPr>
              <w:t>时</w:t>
            </w:r>
            <w:r>
              <w:rPr>
                <w:rFonts w:hint="eastAsia" w:ascii="宋体" w:hAnsi="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0分00秒 （北京时间）</w:t>
            </w:r>
          </w:p>
          <w:p>
            <w:pPr>
              <w:spacing w:line="360" w:lineRule="auto"/>
              <w:rPr>
                <w:rFonts w:hint="default" w:ascii="宋体" w:hAnsi="宋体" w:eastAsia="宋体" w:cs="宋体"/>
                <w:sz w:val="24"/>
                <w:szCs w:val="24"/>
                <w:u w:val="single"/>
                <w:lang w:val="en-US" w:eastAsia="zh-CN"/>
              </w:rPr>
            </w:pPr>
            <w:r>
              <w:rPr>
                <w:rFonts w:hint="eastAsia" w:ascii="宋体" w:hAnsi="宋体" w:cs="宋体"/>
                <w:sz w:val="24"/>
                <w:szCs w:val="24"/>
              </w:rPr>
              <w:t>谈判地点：</w:t>
            </w:r>
            <w:r>
              <w:rPr>
                <w:rFonts w:hint="eastAsia" w:ascii="宋体" w:hAnsi="宋体" w:cs="宋体"/>
                <w:sz w:val="24"/>
                <w:szCs w:val="24"/>
                <w:lang w:val="en-US" w:eastAsia="zh-CN"/>
              </w:rPr>
              <w:t>网上递交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是否退还</w:t>
            </w:r>
            <w:r>
              <w:rPr>
                <w:rFonts w:hint="eastAsia" w:ascii="宋体" w:hAnsi="宋体" w:cs="宋体"/>
                <w:sz w:val="24"/>
                <w:szCs w:val="24"/>
                <w:lang w:eastAsia="zh-CN"/>
              </w:rPr>
              <w:t>谈判响应文件</w:t>
            </w:r>
            <w:r>
              <w:rPr>
                <w:rFonts w:hint="eastAsia" w:ascii="宋体" w:hAnsi="宋体" w:cs="宋体"/>
                <w:sz w:val="24"/>
                <w:szCs w:val="24"/>
              </w:rPr>
              <w:t>:</w:t>
            </w: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否</w:t>
            </w: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不允许提供备选方案。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本次招标采用项目整体打包方式，投标人可根据自身的资质情况和经营范围进行投标，但不得将其自行分解或只对本次项目中的品目进行不完全投标，任何不完全的投标将按无效投标处理。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2" w:type="dxa"/>
            <w:vAlign w:val="center"/>
          </w:tcPr>
          <w:p>
            <w:pPr>
              <w:numPr>
                <w:ilvl w:val="0"/>
                <w:numId w:val="2"/>
              </w:numPr>
              <w:spacing w:line="360" w:lineRule="auto"/>
              <w:rPr>
                <w:rFonts w:ascii="宋体" w:hAnsi="宋体" w:cs="宋体"/>
                <w:color w:val="auto"/>
                <w:sz w:val="24"/>
                <w:szCs w:val="24"/>
              </w:rPr>
            </w:pPr>
          </w:p>
        </w:tc>
        <w:tc>
          <w:tcPr>
            <w:tcW w:w="8775" w:type="dxa"/>
            <w:vAlign w:val="center"/>
          </w:tcPr>
          <w:p>
            <w:pPr>
              <w:spacing w:line="360" w:lineRule="auto"/>
              <w:rPr>
                <w:rFonts w:hint="eastAsia" w:eastAsia="宋体"/>
                <w:color w:val="auto"/>
                <w:highlight w:val="none"/>
                <w:lang w:eastAsia="zh-CN"/>
              </w:rPr>
            </w:pPr>
            <w:r>
              <w:rPr>
                <w:rFonts w:hint="eastAsia" w:ascii="宋体" w:hAnsi="宋体" w:cs="宋体"/>
                <w:color w:val="auto"/>
                <w:sz w:val="24"/>
                <w:szCs w:val="24"/>
                <w:highlight w:val="none"/>
                <w:lang w:eastAsia="zh-CN"/>
              </w:rPr>
              <w:t>供</w:t>
            </w:r>
            <w:r>
              <w:rPr>
                <w:rFonts w:hint="eastAsia" w:ascii="宋体" w:hAnsi="宋体" w:cs="宋体"/>
                <w:color w:val="auto"/>
                <w:sz w:val="24"/>
                <w:szCs w:val="24"/>
                <w:highlight w:val="none"/>
              </w:rPr>
              <w:t>货期：自合同签订之日起 7 天内完成供货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52" w:type="dxa"/>
            <w:vAlign w:val="center"/>
          </w:tcPr>
          <w:p>
            <w:pPr>
              <w:numPr>
                <w:ilvl w:val="0"/>
                <w:numId w:val="2"/>
              </w:numPr>
              <w:spacing w:line="360" w:lineRule="auto"/>
              <w:rPr>
                <w:rFonts w:ascii="宋体" w:hAnsi="宋体" w:cs="宋体"/>
                <w:sz w:val="24"/>
                <w:szCs w:val="24"/>
              </w:rPr>
            </w:pPr>
          </w:p>
        </w:tc>
        <w:tc>
          <w:tcPr>
            <w:tcW w:w="8775" w:type="dxa"/>
            <w:vAlign w:val="center"/>
          </w:tcPr>
          <w:p>
            <w:pPr>
              <w:spacing w:line="360" w:lineRule="auto"/>
              <w:rPr>
                <w:rFonts w:hint="eastAsia" w:ascii="宋体" w:hAnsi="宋体" w:eastAsia="宋体" w:cs="宋体"/>
                <w:sz w:val="24"/>
                <w:szCs w:val="24"/>
                <w:lang w:eastAsia="zh-CN"/>
              </w:rPr>
            </w:pPr>
            <w:r>
              <w:rPr>
                <w:rFonts w:hint="eastAsia" w:ascii="宋体" w:hAnsi="宋体" w:cs="宋体"/>
                <w:sz w:val="24"/>
                <w:szCs w:val="24"/>
              </w:rPr>
              <w:t>交货地点：</w:t>
            </w:r>
            <w:r>
              <w:rPr>
                <w:rFonts w:hint="eastAsia" w:ascii="宋体" w:hAnsi="宋体" w:cs="宋体"/>
                <w:sz w:val="24"/>
                <w:szCs w:val="24"/>
                <w:lang w:eastAsia="zh-CN"/>
              </w:rPr>
              <w:t>神木市中鸡镇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52" w:type="dxa"/>
            <w:vAlign w:val="center"/>
          </w:tcPr>
          <w:p>
            <w:pPr>
              <w:numPr>
                <w:ilvl w:val="0"/>
                <w:numId w:val="2"/>
              </w:numPr>
              <w:spacing w:line="360" w:lineRule="auto"/>
              <w:rPr>
                <w:rFonts w:ascii="宋体" w:hAnsi="宋体" w:cs="宋体"/>
                <w:sz w:val="24"/>
                <w:szCs w:val="24"/>
              </w:rPr>
            </w:pPr>
          </w:p>
        </w:tc>
        <w:tc>
          <w:tcPr>
            <w:tcW w:w="8775" w:type="dxa"/>
            <w:vAlign w:val="center"/>
          </w:tcPr>
          <w:p>
            <w:pPr>
              <w:adjustRightInd w:val="0"/>
              <w:snapToGrid w:val="0"/>
              <w:spacing w:line="360" w:lineRule="auto"/>
              <w:jc w:val="left"/>
              <w:rPr>
                <w:rFonts w:hint="eastAsia" w:eastAsia="宋体"/>
                <w:highlight w:val="none"/>
                <w:lang w:eastAsia="zh-CN"/>
              </w:rPr>
            </w:pPr>
            <w:r>
              <w:rPr>
                <w:rFonts w:hint="eastAsia"/>
                <w:sz w:val="24"/>
                <w:szCs w:val="24"/>
                <w:highlight w:val="none"/>
              </w:rPr>
              <w:t>付款方式：货到后验收合格一次性</w:t>
            </w:r>
            <w:r>
              <w:rPr>
                <w:rFonts w:hint="eastAsia"/>
                <w:sz w:val="24"/>
                <w:szCs w:val="24"/>
                <w:highlight w:val="none"/>
                <w:lang w:eastAsia="zh-CN"/>
              </w:rPr>
              <w:t>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6"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谈判保证金数额及方式：</w:t>
            </w:r>
            <w:r>
              <w:rPr>
                <w:rFonts w:hint="eastAsia" w:ascii="宋体" w:hAnsi="宋体" w:cs="宋体"/>
                <w:sz w:val="24"/>
                <w:szCs w:val="24"/>
                <w:lang w:eastAsia="zh-CN"/>
              </w:rPr>
              <w:t>壹万元整</w:t>
            </w:r>
            <w:r>
              <w:rPr>
                <w:rFonts w:hint="eastAsia" w:ascii="宋体" w:hAnsi="宋体" w:cs="宋体"/>
                <w:sz w:val="24"/>
                <w:szCs w:val="24"/>
              </w:rPr>
              <w:t>（¥</w:t>
            </w:r>
            <w:r>
              <w:rPr>
                <w:rFonts w:hint="eastAsia" w:ascii="宋体" w:hAnsi="宋体" w:cs="宋体"/>
                <w:sz w:val="24"/>
                <w:szCs w:val="24"/>
                <w:lang w:val="en-US" w:eastAsia="zh-CN"/>
              </w:rPr>
              <w:t>100</w:t>
            </w:r>
            <w:r>
              <w:rPr>
                <w:rFonts w:hint="eastAsia" w:ascii="宋体" w:hAnsi="宋体" w:cs="宋体"/>
                <w:sz w:val="24"/>
                <w:szCs w:val="24"/>
              </w:rPr>
              <w:t>00.00元）</w:t>
            </w:r>
          </w:p>
          <w:p>
            <w:pPr>
              <w:spacing w:line="360" w:lineRule="auto"/>
              <w:ind w:firstLine="480" w:firstLineChars="200"/>
              <w:rPr>
                <w:rFonts w:ascii="宋体" w:hAnsi="宋体" w:cs="宋体"/>
                <w:sz w:val="24"/>
                <w:szCs w:val="24"/>
              </w:rPr>
            </w:pPr>
            <w:r>
              <w:rPr>
                <w:rFonts w:hint="eastAsia" w:ascii="宋体" w:hAnsi="宋体" w:cs="宋体"/>
                <w:sz w:val="24"/>
                <w:szCs w:val="24"/>
              </w:rPr>
              <w:t>缴纳方式：由投标单位对公账户转入我公司账户内，投标人须从基本账户以银行转账或者采用支票、汇票、本票、或者金融机构、担保机构出具的保函、网上银行支付等非现金形式交纳。招标结束之后以转账形式退到投标人的基本账户。</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保证金有效期：90日历天。</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保证金单位名称：</w:t>
            </w:r>
            <w:r>
              <w:rPr>
                <w:rFonts w:hint="eastAsia" w:ascii="宋体" w:hAnsi="宋体" w:cs="宋体"/>
                <w:sz w:val="24"/>
                <w:szCs w:val="24"/>
                <w:lang w:eastAsia="zh-CN"/>
              </w:rPr>
              <w:t>陕西博皓项目管理有限公司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开户行名称: </w:t>
            </w:r>
            <w:r>
              <w:rPr>
                <w:rFonts w:hint="eastAsia" w:ascii="宋体" w:hAnsi="宋体" w:cs="宋体"/>
                <w:sz w:val="24"/>
                <w:szCs w:val="24"/>
                <w:lang w:eastAsia="zh-CN"/>
              </w:rPr>
              <w:t>中国建设银行股份有限公司榆林文化南路支行</w:t>
            </w:r>
            <w:r>
              <w:rPr>
                <w:rFonts w:hint="eastAsia" w:ascii="宋体" w:hAnsi="宋体" w:cs="宋体"/>
                <w:sz w:val="24"/>
                <w:szCs w:val="24"/>
              </w:rPr>
              <w:t xml:space="preserve">      </w:t>
            </w:r>
          </w:p>
          <w:p>
            <w:pPr>
              <w:widowControl/>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账号：</w:t>
            </w:r>
            <w:r>
              <w:rPr>
                <w:rFonts w:hint="eastAsia" w:ascii="宋体" w:hAnsi="宋体" w:cs="宋体"/>
                <w:sz w:val="24"/>
                <w:szCs w:val="24"/>
                <w:lang w:val="en-US" w:eastAsia="zh-CN"/>
              </w:rPr>
              <w:t>61050169901000001487</w:t>
            </w:r>
          </w:p>
          <w:p>
            <w:pPr>
              <w:spacing w:line="360" w:lineRule="auto"/>
            </w:pPr>
            <w:r>
              <w:rPr>
                <w:rFonts w:hint="eastAsia" w:ascii="宋体" w:hAnsi="宋体" w:cs="宋体"/>
                <w:sz w:val="24"/>
                <w:szCs w:val="24"/>
              </w:rPr>
              <w:t xml:space="preserve">  </w:t>
            </w:r>
            <w:r>
              <w:rPr>
                <w:rFonts w:hint="eastAsia" w:ascii="宋体" w:hAnsi="宋体" w:cs="宋体"/>
                <w:color w:val="auto"/>
                <w:sz w:val="24"/>
                <w:szCs w:val="24"/>
              </w:rPr>
              <w:t>供应商可根据项目实施地财政部门规定提供政府采购信用担保，供应商以保函形式缴纳</w:t>
            </w:r>
            <w:r>
              <w:rPr>
                <w:rFonts w:hint="eastAsia" w:ascii="宋体" w:hAnsi="宋体" w:cs="宋体"/>
                <w:color w:val="auto"/>
                <w:sz w:val="24"/>
                <w:szCs w:val="24"/>
                <w:lang w:eastAsia="zh-CN"/>
              </w:rPr>
              <w:t>投标</w:t>
            </w:r>
            <w:r>
              <w:rPr>
                <w:rFonts w:hint="eastAsia" w:ascii="宋体" w:hAnsi="宋体" w:cs="宋体"/>
                <w:color w:val="auto"/>
                <w:sz w:val="24"/>
                <w:szCs w:val="24"/>
              </w:rPr>
              <w:t>保证金的，须将保函</w:t>
            </w:r>
            <w:r>
              <w:rPr>
                <w:rFonts w:hint="eastAsia" w:ascii="宋体" w:hAnsi="宋体" w:cs="宋体"/>
                <w:color w:val="auto"/>
                <w:sz w:val="24"/>
                <w:szCs w:val="24"/>
                <w:lang w:eastAsia="zh-CN"/>
              </w:rPr>
              <w:t>发送</w:t>
            </w:r>
            <w:r>
              <w:rPr>
                <w:rFonts w:hint="eastAsia" w:ascii="宋体" w:hAnsi="宋体" w:cs="宋体"/>
                <w:sz w:val="24"/>
              </w:rPr>
              <w:t>至采购代理机构</w:t>
            </w:r>
            <w:r>
              <w:rPr>
                <w:rFonts w:hint="eastAsia" w:ascii="宋体" w:hAnsi="宋体" w:cs="宋体"/>
                <w:sz w:val="24"/>
                <w:lang w:eastAsia="zh-CN"/>
              </w:rPr>
              <w:t>邮箱（</w:t>
            </w:r>
            <w:r>
              <w:rPr>
                <w:rFonts w:hint="eastAsia" w:ascii="宋体" w:hAnsi="宋体" w:cs="宋体"/>
                <w:sz w:val="24"/>
                <w:lang w:val="en-US" w:eastAsia="zh-CN"/>
              </w:rPr>
              <w:t>810802779@qq.com</w:t>
            </w:r>
            <w:r>
              <w:rPr>
                <w:rFonts w:hint="eastAsia" w:ascii="宋体" w:hAnsi="宋体" w:cs="宋体"/>
                <w:sz w:val="24"/>
                <w:lang w:eastAsia="zh-CN"/>
              </w:rPr>
              <w:t>）</w:t>
            </w:r>
            <w:r>
              <w:rPr>
                <w:rFonts w:hint="eastAsia" w:ascii="宋体" w:hAnsi="宋体" w:cs="宋体"/>
                <w:sz w:val="24"/>
              </w:rPr>
              <w:t>并由代理公司财务部确认回函(未签回函视为无效投标)，并将保函正本复印件和代理公司回执确认粘贴于投标文件规定处。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谈判有效期：</w:t>
            </w:r>
            <w:bookmarkStart w:id="19" w:name="OLE_LINK9"/>
            <w:bookmarkStart w:id="20" w:name="OLE_LINK10"/>
            <w:r>
              <w:rPr>
                <w:rFonts w:hint="eastAsia" w:ascii="宋体" w:hAnsi="宋体" w:cs="宋体"/>
                <w:sz w:val="24"/>
                <w:szCs w:val="24"/>
                <w:lang w:eastAsia="zh-CN"/>
              </w:rPr>
              <w:t>谈判响应文件</w:t>
            </w:r>
            <w:r>
              <w:rPr>
                <w:rFonts w:hint="eastAsia" w:ascii="宋体" w:hAnsi="宋体" w:cs="宋体"/>
                <w:sz w:val="24"/>
                <w:szCs w:val="24"/>
              </w:rPr>
              <w:t>从投标截止日起，投标有效期为90天</w:t>
            </w:r>
            <w:bookmarkEnd w:id="19"/>
            <w:bookmarkEnd w:id="20"/>
            <w:r>
              <w:rPr>
                <w:rFonts w:hint="eastAsia" w:ascii="宋体" w:hAnsi="宋体" w:cs="宋体"/>
                <w:sz w:val="24"/>
                <w:szCs w:val="24"/>
              </w:rPr>
              <w:t>，投标有效期短于此规定期限的响应文件，视为无效文件。成交供应商的响应文件有效期延长至合同执行完毕。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不见面开标</w:t>
            </w:r>
          </w:p>
          <w:p>
            <w:pPr>
              <w:numPr>
                <w:ilvl w:val="0"/>
                <w:numId w:val="3"/>
              </w:numPr>
              <w:spacing w:line="360" w:lineRule="auto"/>
              <w:rPr>
                <w:rFonts w:hint="eastAsia" w:ascii="思源宋体 CN Light" w:hAnsi="思源宋体 CN Light" w:eastAsia="思源宋体 CN Light" w:cs="思源宋体 CN Light"/>
                <w:color w:val="auto"/>
                <w:sz w:val="24"/>
                <w:szCs w:val="24"/>
              </w:rPr>
            </w:pPr>
            <w:r>
              <w:rPr>
                <w:rFonts w:hint="eastAsia" w:ascii="宋体" w:hAnsi="宋体" w:eastAsia="宋体" w:cs="宋体"/>
                <w:color w:val="auto"/>
                <w:sz w:val="24"/>
                <w:szCs w:val="24"/>
                <w:lang w:val="en-US" w:eastAsia="zh-CN"/>
              </w:rPr>
              <w:t>疫情防控期间，为减少人员流动、避免交叉感染，该项目将采取“不见面”开标的形式，投标人无须到达开标现场，即可在网上直接参与开标活动。相关注意事项如下：</w:t>
            </w:r>
          </w:p>
          <w:p>
            <w:pPr>
              <w:numPr>
                <w:ilvl w:val="0"/>
                <w:numId w:val="3"/>
              </w:numPr>
              <w:spacing w:line="360" w:lineRule="auto"/>
              <w:rPr>
                <w:rFonts w:hint="eastAsia" w:ascii="思源宋体 CN Light" w:hAnsi="思源宋体 CN Light" w:eastAsia="思源宋体 CN Light" w:cs="思源宋体 CN Light"/>
                <w:color w:val="auto"/>
                <w:sz w:val="24"/>
                <w:szCs w:val="24"/>
              </w:rPr>
            </w:pPr>
            <w:r>
              <w:rPr>
                <w:rFonts w:hint="eastAsia" w:ascii="思源宋体 CN Light" w:hAnsi="思源宋体 CN Light" w:eastAsia="思源宋体 CN Light" w:cs="思源宋体 CN Light"/>
                <w:color w:val="auto"/>
                <w:sz w:val="24"/>
                <w:szCs w:val="24"/>
              </w:rPr>
              <w:t>开标当日，请各供应商</w:t>
            </w:r>
            <w:r>
              <w:rPr>
                <w:rFonts w:hint="eastAsia" w:ascii="思源宋体 CN Light" w:hAnsi="思源宋体 CN Light" w:eastAsia="思源宋体 CN Light" w:cs="思源宋体 CN Light"/>
                <w:color w:val="auto"/>
                <w:sz w:val="24"/>
                <w:szCs w:val="24"/>
                <w:lang w:val="en-US" w:eastAsia="zh-CN"/>
              </w:rPr>
              <w:t>在开标截止时间前</w:t>
            </w:r>
            <w:r>
              <w:rPr>
                <w:rFonts w:hint="eastAsia" w:ascii="思源宋体 CN Light" w:hAnsi="思源宋体 CN Light" w:eastAsia="思源宋体 CN Light" w:cs="思源宋体 CN Light"/>
                <w:color w:val="auto"/>
                <w:sz w:val="24"/>
                <w:szCs w:val="24"/>
              </w:rPr>
              <w:t>至少提前半小时登录“不见面”开标系统</w:t>
            </w:r>
            <w:r>
              <w:rPr>
                <w:rFonts w:hint="eastAsia" w:ascii="思源宋体 CN Light" w:hAnsi="思源宋体 CN Light" w:eastAsia="思源宋体 CN Light" w:cs="思源宋体 CN Light"/>
                <w:color w:val="auto"/>
                <w:sz w:val="24"/>
                <w:szCs w:val="24"/>
                <w:lang w:val="en-US" w:eastAsia="zh-CN"/>
              </w:rPr>
              <w:t>登录方式有以下几种：</w:t>
            </w:r>
          </w:p>
          <w:p>
            <w:pPr>
              <w:numPr>
                <w:ilvl w:val="0"/>
                <w:numId w:val="4"/>
              </w:numPr>
              <w:spacing w:line="360" w:lineRule="auto"/>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IE浏览器输入网址：</w:t>
            </w:r>
          </w:p>
          <w:p>
            <w:pPr>
              <w:numPr>
                <w:ilvl w:val="0"/>
                <w:numId w:val="0"/>
              </w:numPr>
              <w:spacing w:line="360" w:lineRule="auto"/>
              <w:rPr>
                <w:rFonts w:hint="eastAsia" w:ascii="思源宋体 CN Light" w:hAnsi="思源宋体 CN Light" w:eastAsia="思源宋体 CN Light" w:cs="思源宋体 CN Light"/>
                <w:color w:val="auto"/>
                <w:sz w:val="24"/>
                <w:szCs w:val="24"/>
              </w:rPr>
            </w:pPr>
            <w:r>
              <w:rPr>
                <w:rFonts w:hint="eastAsia" w:ascii="思源宋体 CN Light" w:hAnsi="思源宋体 CN Light" w:eastAsia="思源宋体 CN Light" w:cs="思源宋体 CN Light"/>
                <w:color w:val="auto"/>
                <w:sz w:val="24"/>
                <w:szCs w:val="24"/>
              </w:rPr>
              <w:fldChar w:fldCharType="begin"/>
            </w:r>
            <w:r>
              <w:rPr>
                <w:rFonts w:hint="eastAsia" w:ascii="思源宋体 CN Light" w:hAnsi="思源宋体 CN Light" w:eastAsia="思源宋体 CN Light" w:cs="思源宋体 CN Light"/>
                <w:color w:val="auto"/>
                <w:sz w:val="24"/>
                <w:szCs w:val="24"/>
              </w:rPr>
              <w:instrText xml:space="preserve"> HYPERLINK "http://219.145.120.168:8082/BidOpeningHall/bidhall/default/login），" </w:instrText>
            </w:r>
            <w:r>
              <w:rPr>
                <w:rFonts w:hint="eastAsia" w:ascii="思源宋体 CN Light" w:hAnsi="思源宋体 CN Light" w:eastAsia="思源宋体 CN Light" w:cs="思源宋体 CN Light"/>
                <w:color w:val="auto"/>
                <w:sz w:val="24"/>
                <w:szCs w:val="24"/>
              </w:rPr>
              <w:fldChar w:fldCharType="separate"/>
            </w:r>
            <w:r>
              <w:rPr>
                <w:rStyle w:val="30"/>
                <w:rFonts w:hint="eastAsia" w:ascii="思源宋体 CN Light" w:hAnsi="思源宋体 CN Light" w:eastAsia="思源宋体 CN Light" w:cs="思源宋体 CN Light"/>
                <w:color w:val="auto"/>
                <w:sz w:val="24"/>
                <w:szCs w:val="24"/>
              </w:rPr>
              <w:t>http://111.20.184.126:8081/BidOpeningHallCS/bidhall/default/login</w:t>
            </w:r>
            <w:r>
              <w:rPr>
                <w:rStyle w:val="30"/>
                <w:rFonts w:hint="eastAsia" w:ascii="思源宋体 CN Light" w:hAnsi="思源宋体 CN Light" w:eastAsia="思源宋体 CN Light" w:cs="思源宋体 CN Light"/>
                <w:color w:val="auto"/>
                <w:sz w:val="24"/>
                <w:szCs w:val="24"/>
                <w:u w:val="none"/>
                <w:lang w:eastAsia="zh-CN"/>
              </w:rPr>
              <w:t>；</w:t>
            </w:r>
            <w:r>
              <w:rPr>
                <w:rFonts w:hint="eastAsia" w:ascii="思源宋体 CN Light" w:hAnsi="思源宋体 CN Light" w:eastAsia="思源宋体 CN Light" w:cs="思源宋体 CN Light"/>
                <w:color w:val="auto"/>
                <w:sz w:val="24"/>
                <w:szCs w:val="24"/>
              </w:rPr>
              <w:fldChar w:fldCharType="end"/>
            </w:r>
          </w:p>
          <w:p>
            <w:pPr>
              <w:numPr>
                <w:ilvl w:val="0"/>
                <w:numId w:val="4"/>
              </w:numPr>
              <w:spacing w:line="360" w:lineRule="auto"/>
              <w:ind w:left="0" w:leftChars="0" w:firstLine="0" w:firstLineChars="0"/>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rPr>
              <w:t>在【全国公共资源交易平台（陕西省·</w:t>
            </w:r>
            <w:r>
              <w:rPr>
                <w:rFonts w:hint="eastAsia" w:ascii="思源宋体 CN Light" w:hAnsi="思源宋体 CN Light" w:eastAsia="思源宋体 CN Light" w:cs="思源宋体 CN Light"/>
                <w:color w:val="auto"/>
                <w:sz w:val="24"/>
                <w:szCs w:val="24"/>
                <w:lang w:val="en-US" w:eastAsia="zh-CN"/>
              </w:rPr>
              <w:t>榆林</w:t>
            </w:r>
            <w:r>
              <w:rPr>
                <w:rFonts w:hint="eastAsia" w:ascii="思源宋体 CN Light" w:hAnsi="思源宋体 CN Light" w:eastAsia="思源宋体 CN Light" w:cs="思源宋体 CN Light"/>
                <w:color w:val="auto"/>
                <w:sz w:val="24"/>
                <w:szCs w:val="24"/>
              </w:rPr>
              <w:t>市）】</w:t>
            </w:r>
            <w:r>
              <w:rPr>
                <w:rFonts w:hint="eastAsia" w:ascii="思源宋体 CN Light" w:hAnsi="思源宋体 CN Light" w:eastAsia="思源宋体 CN Light" w:cs="思源宋体 CN Light"/>
                <w:color w:val="auto"/>
                <w:sz w:val="24"/>
                <w:szCs w:val="24"/>
                <w:lang w:val="en-US" w:eastAsia="zh-CN"/>
              </w:rPr>
              <w:t>网站首页点击不见面开标模块进入；</w:t>
            </w:r>
          </w:p>
          <w:p>
            <w:pPr>
              <w:numPr>
                <w:ilvl w:val="0"/>
                <w:numId w:val="4"/>
              </w:numPr>
              <w:spacing w:line="360" w:lineRule="auto"/>
              <w:ind w:left="0" w:leftChars="0" w:firstLine="0" w:firstLineChars="0"/>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在</w:t>
            </w:r>
            <w:r>
              <w:rPr>
                <w:rFonts w:hint="eastAsia" w:ascii="思源宋体 CN Light" w:hAnsi="思源宋体 CN Light" w:eastAsia="思源宋体 CN Light" w:cs="思源宋体 CN Light"/>
                <w:color w:val="auto"/>
                <w:sz w:val="24"/>
                <w:szCs w:val="24"/>
              </w:rPr>
              <w:t>【全国公共资源交易平台（陕西省）】</w:t>
            </w:r>
            <w:r>
              <w:rPr>
                <w:rFonts w:hint="eastAsia" w:ascii="思源宋体 CN Light" w:hAnsi="思源宋体 CN Light" w:eastAsia="思源宋体 CN Light" w:cs="思源宋体 CN Light"/>
                <w:color w:val="auto"/>
                <w:sz w:val="24"/>
                <w:szCs w:val="24"/>
                <w:lang w:val="en-US" w:eastAsia="zh-CN"/>
              </w:rPr>
              <w:t>网站首页点击不见面开标模块选择榆林市进入。</w:t>
            </w:r>
          </w:p>
          <w:p>
            <w:pPr>
              <w:numPr>
                <w:ilvl w:val="0"/>
                <w:numId w:val="0"/>
              </w:numPr>
              <w:spacing w:line="360" w:lineRule="auto"/>
              <w:ind w:leftChars="0"/>
              <w:rPr>
                <w:rFonts w:hint="default" w:ascii="思源宋体 CN Light" w:hAnsi="思源宋体 CN Light" w:eastAsia="思源宋体 CN Light" w:cs="思源宋体 CN Light"/>
                <w:b/>
                <w:bCs/>
                <w:color w:val="auto"/>
                <w:sz w:val="24"/>
                <w:szCs w:val="24"/>
                <w:lang w:val="en-US" w:eastAsia="zh-CN"/>
              </w:rPr>
            </w:pPr>
            <w:r>
              <w:rPr>
                <w:rFonts w:hint="eastAsia" w:ascii="思源宋体 CN Light" w:hAnsi="思源宋体 CN Light" w:eastAsia="思源宋体 CN Light" w:cs="思源宋体 CN Light"/>
                <w:b/>
                <w:bCs/>
                <w:color w:val="auto"/>
                <w:sz w:val="24"/>
                <w:szCs w:val="24"/>
                <w:lang w:val="en-US" w:eastAsia="zh-CN"/>
              </w:rPr>
              <w:t>注：登录不见面开标系统请选择IE11浏览器</w:t>
            </w:r>
          </w:p>
          <w:p>
            <w:pPr>
              <w:spacing w:line="360" w:lineRule="auto"/>
              <w:rPr>
                <w:rFonts w:hint="eastAsia" w:ascii="思源宋体 CN Light" w:hAnsi="思源宋体 CN Light" w:eastAsia="思源宋体 CN Light" w:cs="思源宋体 CN Light"/>
                <w:color w:val="auto"/>
                <w:sz w:val="24"/>
                <w:szCs w:val="24"/>
              </w:rPr>
            </w:pPr>
            <w:r>
              <w:rPr>
                <w:rFonts w:hint="eastAsia" w:ascii="思源宋体 CN Light" w:hAnsi="思源宋体 CN Light" w:eastAsia="思源宋体 CN Light" w:cs="思源宋体 CN Light"/>
                <w:color w:val="auto"/>
                <w:sz w:val="24"/>
                <w:szCs w:val="24"/>
                <w:lang w:val="en-US" w:eastAsia="zh-CN"/>
              </w:rPr>
              <w:t>2、供应商应</w:t>
            </w:r>
            <w:r>
              <w:rPr>
                <w:rFonts w:hint="eastAsia" w:ascii="思源宋体 CN Light" w:hAnsi="思源宋体 CN Light" w:eastAsia="思源宋体 CN Light" w:cs="思源宋体 CN Light"/>
                <w:color w:val="auto"/>
                <w:sz w:val="24"/>
                <w:szCs w:val="24"/>
              </w:rPr>
              <w:t>按要求及时签到</w:t>
            </w:r>
            <w:r>
              <w:rPr>
                <w:rFonts w:hint="eastAsia" w:ascii="思源宋体 CN Light" w:hAnsi="思源宋体 CN Light" w:eastAsia="思源宋体 CN Light" w:cs="思源宋体 CN Light"/>
                <w:b/>
                <w:bCs/>
                <w:color w:val="auto"/>
                <w:sz w:val="24"/>
                <w:szCs w:val="24"/>
                <w:lang w:val="en-US" w:eastAsia="zh-CN"/>
              </w:rPr>
              <w:t>（签到时间为投标截止时间前1小时内，如果未签到将视为放弃投标资格）</w:t>
            </w:r>
            <w:r>
              <w:rPr>
                <w:rFonts w:hint="eastAsia" w:ascii="思源宋体 CN Light" w:hAnsi="思源宋体 CN Light" w:eastAsia="思源宋体 CN Light" w:cs="思源宋体 CN Light"/>
                <w:color w:val="auto"/>
                <w:sz w:val="24"/>
                <w:szCs w:val="24"/>
                <w:lang w:val="en-US" w:eastAsia="zh-CN"/>
              </w:rPr>
              <w:t>，</w:t>
            </w:r>
            <w:r>
              <w:rPr>
                <w:rFonts w:hint="eastAsia" w:ascii="思源宋体 CN Light" w:hAnsi="思源宋体 CN Light" w:eastAsia="思源宋体 CN Light" w:cs="思源宋体 CN Light"/>
                <w:color w:val="auto"/>
                <w:sz w:val="24"/>
                <w:szCs w:val="24"/>
              </w:rPr>
              <w:t>评审过程中，评标委员会可能会就某些问题要求供应商进行在线澄清</w:t>
            </w:r>
            <w:r>
              <w:rPr>
                <w:rFonts w:hint="eastAsia" w:ascii="思源宋体 CN Light" w:hAnsi="思源宋体 CN Light" w:eastAsia="思源宋体 CN Light" w:cs="思源宋体 CN Light"/>
                <w:color w:val="auto"/>
                <w:sz w:val="24"/>
                <w:szCs w:val="24"/>
                <w:lang w:eastAsia="zh-CN"/>
              </w:rPr>
              <w:t>，</w:t>
            </w:r>
            <w:r>
              <w:rPr>
                <w:rFonts w:hint="eastAsia" w:ascii="思源宋体 CN Light" w:hAnsi="思源宋体 CN Light" w:eastAsia="思源宋体 CN Light" w:cs="思源宋体 CN Light"/>
                <w:color w:val="auto"/>
                <w:sz w:val="24"/>
                <w:szCs w:val="24"/>
                <w:lang w:val="en-US" w:eastAsia="zh-CN"/>
              </w:rPr>
              <w:t>请供应商</w:t>
            </w:r>
            <w:r>
              <w:rPr>
                <w:rFonts w:hint="eastAsia" w:ascii="思源宋体 CN Light" w:hAnsi="思源宋体 CN Light" w:eastAsia="思源宋体 CN Light" w:cs="思源宋体 CN Light"/>
                <w:color w:val="auto"/>
                <w:sz w:val="24"/>
                <w:szCs w:val="24"/>
              </w:rPr>
              <w:t>保持在线直到评审结束；</w:t>
            </w:r>
          </w:p>
          <w:p>
            <w:pPr>
              <w:spacing w:line="360" w:lineRule="auto"/>
              <w:rPr>
                <w:rFonts w:hint="eastAsia" w:ascii="思源宋体 CN Light" w:hAnsi="思源宋体 CN Light" w:eastAsia="思源宋体 CN Light" w:cs="思源宋体 CN Light"/>
                <w:b/>
                <w:bCs/>
                <w:color w:val="auto"/>
                <w:sz w:val="24"/>
                <w:szCs w:val="24"/>
                <w:lang w:eastAsia="zh-CN"/>
              </w:rPr>
            </w:pPr>
            <w:r>
              <w:rPr>
                <w:rFonts w:hint="eastAsia" w:ascii="思源宋体 CN Light" w:hAnsi="思源宋体 CN Light" w:eastAsia="思源宋体 CN Light" w:cs="思源宋体 CN Light"/>
                <w:color w:val="auto"/>
                <w:sz w:val="24"/>
                <w:szCs w:val="24"/>
                <w:lang w:val="en-US" w:eastAsia="zh-CN"/>
              </w:rPr>
              <w:t>3</w:t>
            </w:r>
            <w:r>
              <w:rPr>
                <w:rFonts w:hint="eastAsia" w:ascii="思源宋体 CN Light" w:hAnsi="思源宋体 CN Light" w:eastAsia="思源宋体 CN Light" w:cs="思源宋体 CN Light"/>
                <w:color w:val="auto"/>
                <w:sz w:val="24"/>
                <w:szCs w:val="24"/>
              </w:rPr>
              <w:t>、</w:t>
            </w:r>
            <w:r>
              <w:rPr>
                <w:rFonts w:hint="eastAsia" w:ascii="思源宋体 CN Light" w:hAnsi="思源宋体 CN Light" w:eastAsia="思源宋体 CN Light" w:cs="思源宋体 CN Light"/>
                <w:color w:val="auto"/>
                <w:sz w:val="24"/>
                <w:szCs w:val="24"/>
                <w:lang w:eastAsia="zh-CN"/>
              </w:rPr>
              <w:t>谈判供应商在开标时</w:t>
            </w:r>
            <w:r>
              <w:rPr>
                <w:rFonts w:hint="eastAsia" w:ascii="思源宋体 CN Light" w:hAnsi="思源宋体 CN Light" w:eastAsia="思源宋体 CN Light" w:cs="思源宋体 CN Light"/>
                <w:color w:val="auto"/>
                <w:sz w:val="24"/>
                <w:szCs w:val="24"/>
              </w:rPr>
              <w:t>无需提交纸质</w:t>
            </w:r>
            <w:r>
              <w:rPr>
                <w:rFonts w:hint="eastAsia" w:ascii="思源宋体 CN Light" w:hAnsi="思源宋体 CN Light" w:eastAsia="思源宋体 CN Light" w:cs="思源宋体 CN Light"/>
                <w:color w:val="auto"/>
                <w:sz w:val="24"/>
                <w:szCs w:val="24"/>
                <w:lang w:eastAsia="zh-CN"/>
              </w:rPr>
              <w:t>谈判响应</w:t>
            </w:r>
            <w:r>
              <w:rPr>
                <w:rFonts w:hint="eastAsia" w:ascii="思源宋体 CN Light" w:hAnsi="思源宋体 CN Light" w:eastAsia="思源宋体 CN Light" w:cs="思源宋体 CN Light"/>
                <w:color w:val="auto"/>
                <w:sz w:val="24"/>
                <w:szCs w:val="24"/>
              </w:rPr>
              <w:t>文件，待</w:t>
            </w:r>
            <w:r>
              <w:rPr>
                <w:rFonts w:hint="eastAsia" w:ascii="思源宋体 CN Light" w:hAnsi="思源宋体 CN Light" w:eastAsia="思源宋体 CN Light" w:cs="思源宋体 CN Light"/>
                <w:color w:val="auto"/>
                <w:sz w:val="24"/>
                <w:szCs w:val="24"/>
                <w:lang w:eastAsia="zh-CN"/>
              </w:rPr>
              <w:t>开标结束</w:t>
            </w:r>
            <w:r>
              <w:rPr>
                <w:rFonts w:hint="eastAsia" w:ascii="思源宋体 CN Light" w:hAnsi="思源宋体 CN Light" w:eastAsia="思源宋体 CN Light" w:cs="思源宋体 CN Light"/>
                <w:color w:val="auto"/>
                <w:sz w:val="24"/>
                <w:szCs w:val="24"/>
              </w:rPr>
              <w:t>后，</w:t>
            </w:r>
            <w:r>
              <w:rPr>
                <w:rFonts w:hint="eastAsia" w:ascii="思源宋体 CN Light" w:hAnsi="思源宋体 CN Light" w:eastAsia="思源宋体 CN Light" w:cs="思源宋体 CN Light"/>
                <w:color w:val="auto"/>
                <w:sz w:val="24"/>
                <w:szCs w:val="24"/>
                <w:lang w:eastAsia="zh-CN"/>
              </w:rPr>
              <w:t>成交单位需邮寄补交一正两副纸质谈判响应文件及谈判文件要求需要单独邮寄的资料</w:t>
            </w:r>
            <w:r>
              <w:rPr>
                <w:rFonts w:hint="eastAsia" w:ascii="思源宋体 CN Light" w:hAnsi="思源宋体 CN Light" w:eastAsia="思源宋体 CN Light" w:cs="思源宋体 CN Light"/>
                <w:b/>
                <w:bCs/>
                <w:color w:val="auto"/>
                <w:sz w:val="24"/>
                <w:szCs w:val="24"/>
                <w:lang w:eastAsia="zh-CN"/>
              </w:rPr>
              <w:t>（公示结果公告及备案用）。</w:t>
            </w:r>
          </w:p>
          <w:p>
            <w:pPr>
              <w:spacing w:line="360" w:lineRule="auto"/>
              <w:rPr>
                <w:rFonts w:hint="eastAsia" w:ascii="思源宋体 CN Light" w:hAnsi="思源宋体 CN Light" w:eastAsia="思源宋体 CN Light" w:cs="思源宋体 CN Light"/>
                <w:b/>
                <w:bCs/>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4</w:t>
            </w:r>
            <w:r>
              <w:rPr>
                <w:rFonts w:hint="eastAsia" w:ascii="思源宋体 CN Light" w:hAnsi="思源宋体 CN Light" w:eastAsia="思源宋体 CN Light" w:cs="思源宋体 CN Light"/>
                <w:color w:val="auto"/>
                <w:sz w:val="24"/>
                <w:szCs w:val="24"/>
              </w:rPr>
              <w:t>、</w:t>
            </w:r>
            <w:r>
              <w:rPr>
                <w:rFonts w:hint="eastAsia" w:ascii="思源宋体 CN Light" w:hAnsi="思源宋体 CN Light" w:eastAsia="思源宋体 CN Light" w:cs="思源宋体 CN Light"/>
                <w:color w:val="auto"/>
                <w:sz w:val="24"/>
                <w:szCs w:val="24"/>
                <w:lang w:val="en-US" w:eastAsia="zh-CN"/>
              </w:rPr>
              <w:t>谈判</w:t>
            </w:r>
            <w:r>
              <w:rPr>
                <w:rFonts w:hint="eastAsia" w:ascii="思源宋体 CN Light" w:hAnsi="思源宋体 CN Light" w:eastAsia="思源宋体 CN Light" w:cs="思源宋体 CN Light"/>
                <w:color w:val="auto"/>
                <w:sz w:val="24"/>
                <w:szCs w:val="24"/>
              </w:rPr>
              <w:t>过程中，供应商在收到工作人员“开始解密”指令后，请及时使用CA对电子</w:t>
            </w:r>
            <w:r>
              <w:rPr>
                <w:rFonts w:hint="eastAsia" w:ascii="思源宋体 CN Light" w:hAnsi="思源宋体 CN Light" w:eastAsia="思源宋体 CN Light" w:cs="思源宋体 CN Light"/>
                <w:color w:val="auto"/>
                <w:sz w:val="24"/>
                <w:szCs w:val="24"/>
                <w:lang w:eastAsia="zh-CN"/>
              </w:rPr>
              <w:t>谈判响应文件</w:t>
            </w:r>
            <w:r>
              <w:rPr>
                <w:rFonts w:hint="eastAsia" w:ascii="思源宋体 CN Light" w:hAnsi="思源宋体 CN Light" w:eastAsia="思源宋体 CN Light" w:cs="思源宋体 CN Light"/>
                <w:color w:val="auto"/>
                <w:sz w:val="24"/>
                <w:szCs w:val="24"/>
              </w:rPr>
              <w:t>进行解密。解密时所用CA应与加密</w:t>
            </w:r>
            <w:r>
              <w:rPr>
                <w:rFonts w:hint="eastAsia" w:ascii="思源宋体 CN Light" w:hAnsi="思源宋体 CN Light" w:eastAsia="思源宋体 CN Light" w:cs="思源宋体 CN Light"/>
                <w:color w:val="auto"/>
                <w:sz w:val="24"/>
                <w:szCs w:val="24"/>
                <w:lang w:eastAsia="zh-CN"/>
              </w:rPr>
              <w:t>谈判响应文件</w:t>
            </w:r>
            <w:r>
              <w:rPr>
                <w:rFonts w:hint="eastAsia" w:ascii="思源宋体 CN Light" w:hAnsi="思源宋体 CN Light" w:eastAsia="思源宋体 CN Light" w:cs="思源宋体 CN Light"/>
                <w:color w:val="auto"/>
                <w:sz w:val="24"/>
                <w:szCs w:val="24"/>
              </w:rPr>
              <w:t>时所用CA相同；</w:t>
            </w:r>
            <w:r>
              <w:rPr>
                <w:rFonts w:hint="eastAsia" w:ascii="思源宋体 CN Light" w:hAnsi="思源宋体 CN Light" w:eastAsia="思源宋体 CN Light" w:cs="思源宋体 CN Light"/>
                <w:b/>
                <w:bCs/>
                <w:color w:val="auto"/>
                <w:sz w:val="24"/>
                <w:szCs w:val="24"/>
                <w:lang w:val="en-US" w:eastAsia="zh-CN"/>
              </w:rPr>
              <w:t>注：解密时间为30分钟，在解密时间内供应商全部解密完成后，可提前进入开标下一阶段。</w:t>
            </w:r>
          </w:p>
          <w:p>
            <w:pPr>
              <w:spacing w:line="360" w:lineRule="auto"/>
              <w:rPr>
                <w:rFonts w:hint="eastAsia" w:ascii="思源宋体 CN Light" w:hAnsi="思源宋体 CN Light" w:eastAsia="思源宋体 CN Light" w:cs="思源宋体 CN Light"/>
                <w:color w:val="auto"/>
                <w:sz w:val="24"/>
                <w:szCs w:val="24"/>
              </w:rPr>
            </w:pPr>
            <w:r>
              <w:rPr>
                <w:rFonts w:hint="eastAsia" w:ascii="思源宋体 CN Light" w:hAnsi="思源宋体 CN Light" w:eastAsia="思源宋体 CN Light" w:cs="思源宋体 CN Light"/>
                <w:color w:val="auto"/>
                <w:sz w:val="24"/>
                <w:szCs w:val="24"/>
                <w:lang w:val="en-US" w:eastAsia="zh-CN"/>
              </w:rPr>
              <w:t>5</w:t>
            </w:r>
            <w:r>
              <w:rPr>
                <w:rFonts w:hint="eastAsia" w:ascii="思源宋体 CN Light" w:hAnsi="思源宋体 CN Light" w:eastAsia="思源宋体 CN Light" w:cs="思源宋体 CN Light"/>
                <w:color w:val="auto"/>
                <w:sz w:val="24"/>
                <w:szCs w:val="24"/>
              </w:rPr>
              <w:t>、相关技术问题，请咨询软件开发商：</w:t>
            </w:r>
          </w:p>
          <w:p>
            <w:pPr>
              <w:spacing w:line="360" w:lineRule="auto"/>
              <w:rPr>
                <w:rFonts w:hint="eastAsia" w:ascii="思源宋体 CN Light" w:hAnsi="思源宋体 CN Light" w:eastAsia="思源宋体 CN Light" w:cs="思源宋体 CN Light"/>
                <w:color w:val="auto"/>
                <w:sz w:val="24"/>
                <w:szCs w:val="24"/>
              </w:rPr>
            </w:pPr>
            <w:r>
              <w:rPr>
                <w:rFonts w:hint="eastAsia" w:ascii="思源宋体 CN Light" w:hAnsi="思源宋体 CN Light" w:eastAsia="思源宋体 CN Light" w:cs="思源宋体 CN Light"/>
                <w:color w:val="auto"/>
                <w:sz w:val="24"/>
                <w:szCs w:val="24"/>
              </w:rPr>
              <w:t>（1）技术支持热线：400-998-0000/400-928-0095</w:t>
            </w:r>
          </w:p>
          <w:p>
            <w:pPr>
              <w:spacing w:line="360" w:lineRule="auto"/>
              <w:ind w:firstLine="480" w:firstLineChars="200"/>
              <w:rPr>
                <w:rFonts w:ascii="宋体" w:hAnsi="宋体" w:cs="宋体"/>
                <w:sz w:val="24"/>
                <w:szCs w:val="24"/>
              </w:rPr>
            </w:pPr>
            <w:r>
              <w:rPr>
                <w:rFonts w:hint="eastAsia" w:ascii="思源宋体 CN Light" w:hAnsi="思源宋体 CN Light" w:eastAsia="思源宋体 CN Light" w:cs="思源宋体 CN Light"/>
                <w:color w:val="auto"/>
                <w:sz w:val="24"/>
                <w:szCs w:val="24"/>
                <w:lang w:val="en-US" w:eastAsia="zh-CN"/>
              </w:rPr>
              <w:t>6</w:t>
            </w:r>
            <w:r>
              <w:rPr>
                <w:rFonts w:hint="eastAsia" w:ascii="思源宋体 CN Light" w:hAnsi="思源宋体 CN Light" w:eastAsia="思源宋体 CN Light" w:cs="思源宋体 CN Light"/>
                <w:color w:val="auto"/>
                <w:sz w:val="24"/>
                <w:szCs w:val="24"/>
              </w:rPr>
              <w:t>、</w:t>
            </w:r>
            <w:r>
              <w:rPr>
                <w:rFonts w:hint="eastAsia" w:ascii="思源宋体 CN Light" w:hAnsi="思源宋体 CN Light" w:eastAsia="思源宋体 CN Light" w:cs="思源宋体 CN Light"/>
                <w:color w:val="auto"/>
                <w:sz w:val="24"/>
                <w:szCs w:val="24"/>
                <w:lang w:val="en-US" w:eastAsia="zh-CN"/>
              </w:rPr>
              <w:t>榆林</w:t>
            </w:r>
            <w:r>
              <w:rPr>
                <w:rFonts w:hint="eastAsia" w:ascii="思源宋体 CN Light" w:hAnsi="思源宋体 CN Light" w:eastAsia="思源宋体 CN Light" w:cs="思源宋体 CN Light"/>
                <w:color w:val="auto"/>
                <w:sz w:val="24"/>
                <w:szCs w:val="24"/>
              </w:rPr>
              <w:t>不见面开标</w:t>
            </w:r>
            <w:r>
              <w:rPr>
                <w:rFonts w:hint="eastAsia" w:ascii="思源宋体 CN Light" w:hAnsi="思源宋体 CN Light" w:eastAsia="思源宋体 CN Light" w:cs="思源宋体 CN Light"/>
                <w:color w:val="auto"/>
                <w:sz w:val="24"/>
                <w:szCs w:val="24"/>
                <w:lang w:val="en-US" w:eastAsia="zh-CN"/>
              </w:rPr>
              <w:t>系统</w:t>
            </w:r>
            <w:r>
              <w:rPr>
                <w:rFonts w:hint="eastAsia" w:ascii="思源宋体 CN Light" w:hAnsi="思源宋体 CN Light" w:eastAsia="思源宋体 CN Light" w:cs="思源宋体 CN Light"/>
                <w:color w:val="auto"/>
                <w:sz w:val="24"/>
                <w:szCs w:val="24"/>
              </w:rPr>
              <w:t>操作手册</w:t>
            </w:r>
            <w:r>
              <w:rPr>
                <w:rFonts w:hint="eastAsia" w:ascii="思源宋体 CN Light" w:hAnsi="思源宋体 CN Light" w:eastAsia="思源宋体 CN Light" w:cs="思源宋体 CN Light"/>
                <w:color w:val="auto"/>
                <w:sz w:val="24"/>
                <w:szCs w:val="24"/>
                <w:lang w:val="en-US" w:eastAsia="zh-CN"/>
              </w:rPr>
              <w:t>下载方式：登录</w:t>
            </w:r>
            <w:r>
              <w:rPr>
                <w:rFonts w:hint="eastAsia" w:ascii="思源宋体 CN Light" w:hAnsi="思源宋体 CN Light" w:eastAsia="思源宋体 CN Light" w:cs="思源宋体 CN Light"/>
                <w:color w:val="auto"/>
                <w:sz w:val="24"/>
                <w:szCs w:val="24"/>
              </w:rPr>
              <w:t>【全国公共资源交易平台（陕西省·</w:t>
            </w:r>
            <w:r>
              <w:rPr>
                <w:rFonts w:hint="eastAsia" w:ascii="思源宋体 CN Light" w:hAnsi="思源宋体 CN Light" w:eastAsia="思源宋体 CN Light" w:cs="思源宋体 CN Light"/>
                <w:color w:val="auto"/>
                <w:sz w:val="24"/>
                <w:szCs w:val="24"/>
                <w:lang w:val="en-US" w:eastAsia="zh-CN"/>
              </w:rPr>
              <w:t>榆林</w:t>
            </w:r>
            <w:r>
              <w:rPr>
                <w:rFonts w:hint="eastAsia" w:ascii="思源宋体 CN Light" w:hAnsi="思源宋体 CN Light" w:eastAsia="思源宋体 CN Light" w:cs="思源宋体 CN Light"/>
                <w:color w:val="auto"/>
                <w:sz w:val="24"/>
                <w:szCs w:val="24"/>
              </w:rPr>
              <w:t>市）】</w:t>
            </w:r>
            <w:r>
              <w:rPr>
                <w:rFonts w:hint="eastAsia" w:ascii="思源宋体 CN Light" w:hAnsi="思源宋体 CN Light" w:eastAsia="思源宋体 CN Light" w:cs="思源宋体 CN Light"/>
                <w:color w:val="auto"/>
                <w:sz w:val="24"/>
                <w:szCs w:val="24"/>
                <w:lang w:val="en-US" w:eastAsia="zh-CN"/>
              </w:rPr>
              <w:t>网站首页选择【服务指南】-【下载专区】-点击【</w:t>
            </w:r>
            <w:r>
              <w:rPr>
                <w:rFonts w:hint="eastAsia" w:ascii="思源宋体 CN Light" w:hAnsi="思源宋体 CN Light" w:eastAsia="思源宋体 CN Light" w:cs="思源宋体 CN Light"/>
                <w:color w:val="auto"/>
                <w:sz w:val="24"/>
                <w:szCs w:val="24"/>
              </w:rPr>
              <w:fldChar w:fldCharType="begin"/>
            </w:r>
            <w:r>
              <w:rPr>
                <w:rFonts w:hint="eastAsia" w:ascii="思源宋体 CN Light" w:hAnsi="思源宋体 CN Light" w:eastAsia="思源宋体 CN Light" w:cs="思源宋体 CN Light"/>
                <w:color w:val="auto"/>
                <w:sz w:val="24"/>
                <w:szCs w:val="24"/>
              </w:rPr>
              <w:instrText xml:space="preserve"> HYPERLINK "http://yl.sxggzyjy.cn/BigFileUpLoadStorage/temp/2021-12-10/2583610f-1c5d-49b2-a314-0c1c4faeec6a/%E6%A6%86%E6%9E%97%E4%B8%8D%E8%A7%81%E9%9D%A2%E5%BC%80%E6%A0%87%E5%A4%A7%E5%8E%85%E6%93%8D%E4%BD%9C%E6%89%8B%E5%86%8C%EF%BC%88%E6%8A%95%E6%A0%87%E4%BA%BA%EF%BC%89.docx" \o "榆林不见面开标系统操作手册（投标人）" \t "http://yl.sxggzyjy.cn/fwzn/_blank" </w:instrText>
            </w:r>
            <w:r>
              <w:rPr>
                <w:rFonts w:hint="eastAsia" w:ascii="思源宋体 CN Light" w:hAnsi="思源宋体 CN Light" w:eastAsia="思源宋体 CN Light" w:cs="思源宋体 CN Light"/>
                <w:color w:val="auto"/>
                <w:sz w:val="24"/>
                <w:szCs w:val="24"/>
              </w:rPr>
              <w:fldChar w:fldCharType="separate"/>
            </w:r>
            <w:r>
              <w:rPr>
                <w:rFonts w:hint="eastAsia" w:ascii="思源宋体 CN Light" w:hAnsi="思源宋体 CN Light" w:eastAsia="思源宋体 CN Light" w:cs="思源宋体 CN Light"/>
                <w:color w:val="auto"/>
                <w:sz w:val="24"/>
                <w:szCs w:val="24"/>
              </w:rPr>
              <w:t>榆林不见面开标系统操作手册（投标人）</w:t>
            </w:r>
            <w:r>
              <w:rPr>
                <w:rFonts w:hint="eastAsia" w:ascii="思源宋体 CN Light" w:hAnsi="思源宋体 CN Light" w:eastAsia="思源宋体 CN Light" w:cs="思源宋体 CN Light"/>
                <w:color w:val="auto"/>
                <w:sz w:val="24"/>
                <w:szCs w:val="24"/>
              </w:rPr>
              <w:fldChar w:fldCharType="end"/>
            </w:r>
            <w:r>
              <w:rPr>
                <w:rFonts w:hint="eastAsia" w:ascii="思源宋体 CN Light" w:hAnsi="思源宋体 CN Light" w:eastAsia="思源宋体 CN Light" w:cs="思源宋体 CN Light"/>
                <w:color w:val="auto"/>
                <w:sz w:val="24"/>
                <w:szCs w:val="24"/>
                <w:lang w:val="en-US" w:eastAsia="zh-CN"/>
              </w:rPr>
              <w:t>】进行下载</w:t>
            </w:r>
            <w:r>
              <w:rPr>
                <w:rFonts w:hint="eastAsia" w:ascii="思源宋体 CN Light" w:hAnsi="思源宋体 CN Light" w:eastAsia="思源宋体 CN Light" w:cs="思源宋体 CN Light"/>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150" w:rightChars="0"/>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竞争性谈判响应文件递交方式：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150" w:rightChars="0" w:firstLine="480" w:firstLineChars="200"/>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1、供应商应于提交竞争性谈判响应文件截止时间前任意时段登录交易平台〖首页〉电子交易平台〉企业端〗在线提交电子谈判响应文件，逾期提交系统间拒绝接收。</w:t>
            </w:r>
          </w:p>
          <w:p>
            <w:pPr>
              <w:spacing w:line="360" w:lineRule="auto"/>
              <w:ind w:firstLine="480" w:firstLineChars="200"/>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2、本项目采用“不见面”开标形式，供应商可登录榆林交易平台〖首页〉不见面开标〗在线参与开评标过程，详见谈判文件以及交易平台〖首页〉服务指南〉下载专区〗中的《榆林市不见面开标大厅操作手册（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hint="eastAsia" w:ascii="宋体" w:hAnsi="宋体" w:eastAsia="宋体" w:cs="宋体"/>
                <w:sz w:val="24"/>
                <w:szCs w:val="24"/>
                <w:lang w:eastAsia="zh-CN"/>
              </w:rPr>
            </w:pPr>
            <w:r>
              <w:rPr>
                <w:rFonts w:hint="eastAsia" w:ascii="宋体" w:hAnsi="宋体" w:cs="宋体"/>
                <w:sz w:val="24"/>
                <w:szCs w:val="24"/>
              </w:rPr>
              <w:t xml:space="preserve">    </w:t>
            </w:r>
            <w:r>
              <w:rPr>
                <w:rFonts w:hint="eastAsia" w:ascii="宋体" w:hAnsi="宋体" w:cs="宋体"/>
                <w:b/>
                <w:bCs/>
                <w:sz w:val="24"/>
                <w:szCs w:val="24"/>
              </w:rPr>
              <w:t>谈判</w:t>
            </w:r>
            <w:r>
              <w:rPr>
                <w:rFonts w:hint="eastAsia" w:ascii="宋体" w:hAnsi="宋体" w:cs="宋体"/>
                <w:b/>
                <w:bCs/>
                <w:sz w:val="24"/>
                <w:szCs w:val="24"/>
                <w:lang w:eastAsia="zh-CN"/>
              </w:rPr>
              <w:t>响应文件中需</w:t>
            </w:r>
            <w:r>
              <w:rPr>
                <w:rFonts w:hint="eastAsia" w:ascii="宋体" w:hAnsi="宋体" w:cs="宋体"/>
                <w:b/>
                <w:bCs/>
                <w:sz w:val="24"/>
                <w:szCs w:val="24"/>
              </w:rPr>
              <w:t>提交以下资质及</w:t>
            </w:r>
            <w:r>
              <w:rPr>
                <w:rFonts w:hint="eastAsia" w:ascii="宋体" w:hAnsi="宋体" w:cs="宋体"/>
                <w:b/>
                <w:bCs/>
                <w:sz w:val="24"/>
                <w:szCs w:val="24"/>
                <w:lang w:eastAsia="zh-CN"/>
              </w:rPr>
              <w:t>谈判</w:t>
            </w:r>
            <w:r>
              <w:rPr>
                <w:rFonts w:hint="eastAsia" w:ascii="宋体" w:hAnsi="宋体" w:cs="宋体"/>
                <w:b/>
                <w:bCs/>
                <w:sz w:val="24"/>
                <w:szCs w:val="24"/>
              </w:rPr>
              <w:t>文件要求的其他证明材料</w:t>
            </w:r>
            <w:r>
              <w:rPr>
                <w:rFonts w:hint="eastAsia" w:ascii="宋体" w:hAnsi="宋体" w:cs="宋体"/>
                <w:b/>
                <w:bCs/>
                <w:sz w:val="24"/>
                <w:szCs w:val="24"/>
                <w:lang w:eastAsia="zh-CN"/>
              </w:rPr>
              <w:t>：</w:t>
            </w:r>
          </w:p>
          <w:p>
            <w:pPr>
              <w:adjustRightInd w:val="0"/>
              <w:snapToGrid w:val="0"/>
              <w:spacing w:line="360" w:lineRule="auto"/>
              <w:ind w:left="8" w:firstLine="410" w:firstLineChars="171"/>
              <w:rPr>
                <w:rFonts w:hint="eastAsia" w:ascii="宋体" w:hAnsi="宋体" w:cs="宋体"/>
                <w:color w:val="000000"/>
                <w:sz w:val="24"/>
              </w:rPr>
            </w:pPr>
            <w:r>
              <w:rPr>
                <w:rFonts w:hint="eastAsia" w:ascii="宋体" w:hAnsi="宋体" w:cs="宋体"/>
                <w:color w:val="000000"/>
                <w:sz w:val="24"/>
              </w:rPr>
              <w:t>（一）基本资格条件：符合《中华人民共和国政府采购法》第二十二条的规定。</w:t>
            </w:r>
          </w:p>
          <w:p>
            <w:pPr>
              <w:adjustRightInd w:val="0"/>
              <w:snapToGrid w:val="0"/>
              <w:spacing w:line="360" w:lineRule="auto"/>
              <w:ind w:left="8" w:firstLine="410" w:firstLineChars="171"/>
              <w:rPr>
                <w:rFonts w:hint="eastAsia" w:ascii="宋体" w:hAnsi="宋体" w:cs="宋体"/>
                <w:color w:val="000000"/>
                <w:sz w:val="24"/>
              </w:rPr>
            </w:pPr>
            <w:r>
              <w:rPr>
                <w:rFonts w:hint="eastAsia" w:ascii="宋体" w:hAnsi="宋体" w:cs="宋体"/>
                <w:color w:val="000000"/>
                <w:sz w:val="24"/>
              </w:rPr>
              <w:t>（二）特定资格条件：</w:t>
            </w:r>
          </w:p>
          <w:p>
            <w:pPr>
              <w:spacing w:line="360" w:lineRule="auto"/>
              <w:ind w:firstLine="480" w:firstLineChars="200"/>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1、投标人须具备独立承担民事责任能力的法人或其他组织，提供合法有效的统一社会信用代码的营业执照； </w:t>
            </w:r>
            <w:r>
              <w:rPr>
                <w:rFonts w:hint="eastAsia" w:ascii="思源宋体 CN Light" w:hAnsi="思源宋体 CN Light" w:eastAsia="思源宋体 CN Light" w:cs="思源宋体 CN Light"/>
                <w:color w:val="auto"/>
                <w:sz w:val="24"/>
                <w:szCs w:val="24"/>
                <w:lang w:val="en-US" w:eastAsia="zh-CN"/>
              </w:rPr>
              <w:br w:type="textWrapping"/>
            </w:r>
            <w:r>
              <w:rPr>
                <w:rFonts w:hint="eastAsia" w:ascii="思源宋体 CN Light" w:hAnsi="思源宋体 CN Light" w:eastAsia="思源宋体 CN Light" w:cs="思源宋体 CN Light"/>
                <w:color w:val="auto"/>
                <w:sz w:val="24"/>
                <w:szCs w:val="24"/>
                <w:lang w:val="en-US" w:eastAsia="zh-CN"/>
              </w:rPr>
              <w:t>  2、财务状况报告：提供2021年度的财务审计报告或财务报表（至少包括资产负债表、利润表、现金流量表），成立时间至提交投标文件递交截止时间不足一年的，投标人须自行声明； </w:t>
            </w:r>
            <w:r>
              <w:rPr>
                <w:rFonts w:hint="eastAsia" w:ascii="思源宋体 CN Light" w:hAnsi="思源宋体 CN Light" w:eastAsia="思源宋体 CN Light" w:cs="思源宋体 CN Light"/>
                <w:color w:val="auto"/>
                <w:sz w:val="24"/>
                <w:szCs w:val="24"/>
                <w:lang w:val="en-US" w:eastAsia="zh-CN"/>
              </w:rPr>
              <w:br w:type="textWrapping"/>
            </w:r>
            <w:r>
              <w:rPr>
                <w:rFonts w:hint="eastAsia" w:ascii="思源宋体 CN Light" w:hAnsi="思源宋体 CN Light" w:eastAsia="思源宋体 CN Light" w:cs="思源宋体 CN Light"/>
                <w:color w:val="auto"/>
                <w:sz w:val="24"/>
                <w:szCs w:val="24"/>
                <w:lang w:val="en-US" w:eastAsia="zh-CN"/>
              </w:rPr>
              <w:t>  3、社会保障资金缴纳证明：提供2022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思源宋体 CN Light" w:hAnsi="思源宋体 CN Light" w:eastAsia="思源宋体 CN Light" w:cs="思源宋体 CN Light"/>
                <w:color w:val="auto"/>
                <w:sz w:val="24"/>
                <w:szCs w:val="24"/>
                <w:lang w:val="en-US" w:eastAsia="zh-CN"/>
              </w:rPr>
              <w:br w:type="textWrapping"/>
            </w:r>
            <w:r>
              <w:rPr>
                <w:rFonts w:hint="eastAsia" w:ascii="思源宋体 CN Light" w:hAnsi="思源宋体 CN Light" w:eastAsia="思源宋体 CN Light" w:cs="思源宋体 CN Light"/>
                <w:color w:val="auto"/>
                <w:sz w:val="24"/>
                <w:szCs w:val="24"/>
                <w:lang w:val="en-US" w:eastAsia="zh-CN"/>
              </w:rPr>
              <w:t>  4、税收缴纳证明：提供2022年1月至今已缴纳的至少一个月的税收缴纳证明（银行缴费凭证或税收完税证明），依法免税的单位应提供相关证明材料；</w:t>
            </w:r>
            <w:r>
              <w:rPr>
                <w:rFonts w:hint="eastAsia" w:ascii="思源宋体 CN Light" w:hAnsi="思源宋体 CN Light" w:eastAsia="思源宋体 CN Light" w:cs="思源宋体 CN Light"/>
                <w:color w:val="auto"/>
                <w:sz w:val="24"/>
                <w:szCs w:val="24"/>
                <w:lang w:val="en-US" w:eastAsia="zh-CN"/>
              </w:rPr>
              <w:br w:type="textWrapping"/>
            </w:r>
            <w:r>
              <w:rPr>
                <w:rFonts w:hint="eastAsia" w:ascii="思源宋体 CN Light" w:hAnsi="思源宋体 CN Light" w:eastAsia="思源宋体 CN Light" w:cs="思源宋体 CN Light"/>
                <w:color w:val="auto"/>
                <w:sz w:val="24"/>
                <w:szCs w:val="24"/>
                <w:lang w:val="en-US" w:eastAsia="zh-CN"/>
              </w:rPr>
              <w:t>  5、参加政府采购活动前3年内在经营活动中没有重大违法记录的书面声明（格式自拟，加盖投标人公章）；</w:t>
            </w:r>
            <w:r>
              <w:rPr>
                <w:rFonts w:hint="eastAsia" w:ascii="思源宋体 CN Light" w:hAnsi="思源宋体 CN Light" w:eastAsia="思源宋体 CN Light" w:cs="思源宋体 CN Light"/>
                <w:color w:val="auto"/>
                <w:sz w:val="24"/>
                <w:szCs w:val="24"/>
                <w:lang w:val="en-US" w:eastAsia="zh-CN"/>
              </w:rPr>
              <w:br w:type="textWrapping"/>
            </w:r>
            <w:r>
              <w:rPr>
                <w:rFonts w:hint="eastAsia" w:ascii="思源宋体 CN Light" w:hAnsi="思源宋体 CN Light" w:eastAsia="思源宋体 CN Light" w:cs="思源宋体 CN Light"/>
                <w:color w:val="auto"/>
                <w:sz w:val="24"/>
                <w:szCs w:val="24"/>
                <w:lang w:val="en-US" w:eastAsia="zh-CN"/>
              </w:rPr>
              <w:t>  6、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公告期内网页截图并加盖供应商公章）有以上不良记录的不得参与评审活动，同时提供投标企业信用承诺书原件；</w:t>
            </w:r>
            <w:r>
              <w:rPr>
                <w:rFonts w:hint="eastAsia" w:ascii="思源宋体 CN Light" w:hAnsi="思源宋体 CN Light" w:eastAsia="思源宋体 CN Light" w:cs="思源宋体 CN Light"/>
                <w:color w:val="auto"/>
                <w:sz w:val="24"/>
                <w:szCs w:val="24"/>
                <w:lang w:val="en-US" w:eastAsia="zh-CN"/>
              </w:rPr>
              <w:br w:type="textWrapping"/>
            </w:r>
            <w:r>
              <w:rPr>
                <w:rFonts w:hint="eastAsia" w:ascii="思源宋体 CN Light" w:hAnsi="思源宋体 CN Light" w:eastAsia="思源宋体 CN Light" w:cs="思源宋体 CN Light"/>
                <w:color w:val="auto"/>
                <w:sz w:val="24"/>
                <w:szCs w:val="24"/>
                <w:lang w:val="en-US" w:eastAsia="zh-CN"/>
              </w:rPr>
              <w:t>  7、投标保证金交纳凭证或投标保函；</w:t>
            </w:r>
            <w:r>
              <w:rPr>
                <w:rFonts w:hint="eastAsia" w:ascii="思源宋体 CN Light" w:hAnsi="思源宋体 CN Light" w:eastAsia="思源宋体 CN Light" w:cs="思源宋体 CN Light"/>
                <w:color w:val="auto"/>
                <w:sz w:val="24"/>
                <w:szCs w:val="24"/>
                <w:lang w:val="en-US" w:eastAsia="zh-CN"/>
              </w:rPr>
              <w:br w:type="textWrapping"/>
            </w:r>
            <w:r>
              <w:rPr>
                <w:rFonts w:hint="eastAsia" w:ascii="思源宋体 CN Light" w:hAnsi="思源宋体 CN Light" w:eastAsia="思源宋体 CN Light" w:cs="思源宋体 CN Light"/>
                <w:color w:val="auto"/>
                <w:sz w:val="24"/>
                <w:szCs w:val="24"/>
                <w:lang w:val="en-US" w:eastAsia="zh-CN"/>
              </w:rPr>
              <w:t>  8、本项目为专门面向中小企业采购，预留份额为整体预留，供应商须填写《中小企业声明函》。</w:t>
            </w:r>
            <w:r>
              <w:rPr>
                <w:rFonts w:hint="eastAsia" w:ascii="思源宋体 CN Light" w:hAnsi="思源宋体 CN Light" w:eastAsia="思源宋体 CN Light" w:cs="思源宋体 CN Light"/>
                <w:color w:val="auto"/>
                <w:sz w:val="24"/>
                <w:szCs w:val="24"/>
                <w:lang w:val="en-US" w:eastAsia="zh-CN"/>
              </w:rPr>
              <w:br w:type="textWrapping"/>
            </w:r>
            <w:r>
              <w:rPr>
                <w:rFonts w:hint="eastAsia" w:ascii="思源宋体 CN Light" w:hAnsi="思源宋体 CN Light" w:eastAsia="思源宋体 CN Light" w:cs="思源宋体 CN Light"/>
                <w:color w:val="auto"/>
                <w:sz w:val="24"/>
                <w:szCs w:val="24"/>
                <w:lang w:val="en-US" w:eastAsia="zh-CN"/>
              </w:rPr>
              <w:t>  9、本项目不接受联合体投标，单位负责人为同一人或者存在直接控股、管理关系的不同投标人，不得参加同一合同项下的政府采购活动。</w:t>
            </w:r>
          </w:p>
          <w:p>
            <w:pPr>
              <w:spacing w:line="360" w:lineRule="auto"/>
              <w:ind w:firstLine="482" w:firstLineChars="200"/>
              <w:rPr>
                <w:rFonts w:ascii="宋体" w:hAnsi="宋体" w:cs="宋体"/>
                <w:sz w:val="24"/>
                <w:szCs w:val="24"/>
              </w:rPr>
            </w:pPr>
            <w:r>
              <w:rPr>
                <w:rFonts w:hint="eastAsia" w:ascii="宋体" w:hAnsi="宋体" w:cs="宋体"/>
                <w:b/>
                <w:bCs/>
                <w:color w:val="000000"/>
                <w:sz w:val="24"/>
                <w:szCs w:val="24"/>
              </w:rPr>
              <w:t>注：上述资质为必备资质，</w:t>
            </w:r>
            <w:r>
              <w:rPr>
                <w:rFonts w:hint="eastAsia" w:ascii="宋体" w:hAnsi="宋体" w:cs="宋体"/>
                <w:b/>
                <w:bCs/>
                <w:color w:val="000000"/>
                <w:sz w:val="24"/>
                <w:szCs w:val="24"/>
                <w:lang w:eastAsia="zh-CN"/>
              </w:rPr>
              <w:t>谈判响应文件中</w:t>
            </w:r>
            <w:r>
              <w:rPr>
                <w:rFonts w:hint="eastAsia" w:ascii="宋体" w:hAnsi="宋体" w:cs="宋体"/>
                <w:b/>
                <w:bCs/>
                <w:color w:val="000000"/>
                <w:sz w:val="24"/>
                <w:szCs w:val="24"/>
              </w:rPr>
              <w:t>欠缺其中任何一项，按无效响应文件处理。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Align w:val="center"/>
          </w:tcPr>
          <w:p>
            <w:pPr>
              <w:numPr>
                <w:ilvl w:val="0"/>
                <w:numId w:val="2"/>
              </w:numPr>
              <w:spacing w:line="360" w:lineRule="auto"/>
              <w:jc w:val="center"/>
              <w:rPr>
                <w:rFonts w:ascii="宋体" w:hAnsi="宋体" w:cs="宋体"/>
                <w:sz w:val="24"/>
                <w:szCs w:val="24"/>
                <w:highlight w:val="none"/>
              </w:rPr>
            </w:pPr>
          </w:p>
        </w:tc>
        <w:tc>
          <w:tcPr>
            <w:tcW w:w="8775" w:type="dxa"/>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支持中小企业发展：</w:t>
            </w:r>
          </w:p>
          <w:p>
            <w:pPr>
              <w:adjustRightInd w:val="0"/>
              <w:snapToGrid w:val="0"/>
              <w:spacing w:line="360" w:lineRule="auto"/>
              <w:rPr>
                <w:rFonts w:hint="eastAsia" w:ascii="宋体" w:hAnsi="宋体" w:cs="宋体"/>
                <w:b w:val="0"/>
                <w:bCs w:val="0"/>
                <w:color w:val="000000"/>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eq \o\ac(□</w:instrText>
            </w:r>
            <w:r>
              <w:rPr>
                <w:rFonts w:hint="eastAsia" w:ascii="宋体" w:hAnsi="宋体" w:cs="宋体"/>
                <w:sz w:val="24"/>
                <w:szCs w:val="24"/>
                <w:highlight w:val="none"/>
                <w:lang w:eastAsia="zh-CN"/>
              </w:rPr>
              <w:instrText xml:space="preserve">,</w:instrText>
            </w:r>
            <w:r>
              <w:rPr>
                <w:rFonts w:hint="eastAsia" w:ascii="宋体" w:hAnsi="宋体" w:cs="宋体"/>
                <w:position w:val="2"/>
                <w:sz w:val="16"/>
                <w:szCs w:val="24"/>
                <w:highlight w:val="none"/>
                <w:lang w:eastAsia="zh-CN"/>
              </w:rPr>
              <w:instrText xml:space="preserve">√</w:instrText>
            </w:r>
            <w:r>
              <w:rPr>
                <w:rFonts w:hint="eastAsia" w:ascii="宋体" w:hAnsi="宋体" w:cs="宋体"/>
                <w:sz w:val="24"/>
                <w:szCs w:val="24"/>
                <w:highlight w:val="none"/>
              </w:rPr>
              <w:instrText xml:space="preserve">)</w:instrText>
            </w:r>
            <w:r>
              <w:rPr>
                <w:rFonts w:hint="eastAsia" w:ascii="宋体" w:hAnsi="宋体" w:cs="宋体"/>
                <w:sz w:val="24"/>
                <w:szCs w:val="24"/>
                <w:highlight w:val="none"/>
              </w:rPr>
              <w:fldChar w:fldCharType="end"/>
            </w:r>
            <w:r>
              <w:rPr>
                <w:rFonts w:hint="eastAsia" w:ascii="宋体" w:hAnsi="宋体" w:cs="宋体"/>
                <w:sz w:val="24"/>
                <w:szCs w:val="24"/>
                <w:highlight w:val="none"/>
              </w:rPr>
              <w:t>专门面向中小企业采购项目</w:t>
            </w:r>
            <w:r>
              <w:rPr>
                <w:rFonts w:hint="eastAsia" w:ascii="宋体" w:hAnsi="宋体" w:cs="宋体"/>
                <w:b w:val="0"/>
                <w:bCs w:val="0"/>
                <w:color w:val="000000"/>
                <w:sz w:val="24"/>
                <w:szCs w:val="24"/>
                <w:highlight w:val="none"/>
              </w:rPr>
              <w:t>（价格扣除）：</w:t>
            </w:r>
          </w:p>
          <w:p>
            <w:pPr>
              <w:adjustRightInd w:val="0"/>
              <w:snapToGrid w:val="0"/>
              <w:spacing w:line="360"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sym w:font="Wingdings" w:char="F081"/>
            </w:r>
            <w:r>
              <w:rPr>
                <w:rFonts w:hint="eastAsia" w:ascii="宋体" w:hAnsi="宋体" w:cs="宋体"/>
                <w:b w:val="0"/>
                <w:bCs w:val="0"/>
                <w:color w:val="000000"/>
                <w:sz w:val="24"/>
                <w:szCs w:val="24"/>
                <w:highlight w:val="none"/>
              </w:rPr>
              <w:t>对小型和微型企业产品的价格给与</w:t>
            </w:r>
            <w:r>
              <w:rPr>
                <w:rFonts w:hint="eastAsia" w:ascii="宋体" w:hAnsi="宋体" w:cs="宋体"/>
                <w:b w:val="0"/>
                <w:bCs w:val="0"/>
                <w:color w:val="000000"/>
                <w:sz w:val="24"/>
                <w:szCs w:val="24"/>
                <w:highlight w:val="none"/>
                <w:lang w:val="en-US" w:eastAsia="zh-CN"/>
              </w:rPr>
              <w:t>10</w:t>
            </w:r>
            <w:r>
              <w:rPr>
                <w:rFonts w:hint="eastAsia"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2</w:t>
            </w:r>
            <w:r>
              <w:rPr>
                <w:rFonts w:hint="eastAsia" w:ascii="宋体" w:hAnsi="宋体" w:cs="宋体"/>
                <w:b w:val="0"/>
                <w:bCs w:val="0"/>
                <w:color w:val="000000"/>
                <w:sz w:val="24"/>
                <w:szCs w:val="24"/>
                <w:highlight w:val="none"/>
              </w:rPr>
              <w:t>0%的扣除，用扣除后的价格参与评审。本项目的扣除比例为：小型企业扣除</w:t>
            </w:r>
            <w:r>
              <w:rPr>
                <w:rFonts w:hint="eastAsia" w:ascii="宋体" w:hAnsi="宋体" w:cs="宋体"/>
                <w:b w:val="0"/>
                <w:bCs w:val="0"/>
                <w:color w:val="000000"/>
                <w:sz w:val="24"/>
                <w:szCs w:val="24"/>
                <w:highlight w:val="none"/>
                <w:lang w:val="en-US" w:eastAsia="zh-CN"/>
              </w:rPr>
              <w:t>20</w:t>
            </w:r>
            <w:r>
              <w:rPr>
                <w:rFonts w:hint="eastAsia" w:ascii="宋体" w:hAnsi="宋体" w:cs="宋体"/>
                <w:b w:val="0"/>
                <w:bCs w:val="0"/>
                <w:color w:val="000000"/>
                <w:sz w:val="24"/>
                <w:szCs w:val="24"/>
                <w:highlight w:val="none"/>
              </w:rPr>
              <w:t>%，微型企业扣除</w:t>
            </w:r>
            <w:r>
              <w:rPr>
                <w:rFonts w:hint="eastAsia" w:ascii="宋体" w:hAnsi="宋体" w:cs="宋体"/>
                <w:b w:val="0"/>
                <w:bCs w:val="0"/>
                <w:color w:val="000000"/>
                <w:sz w:val="24"/>
                <w:szCs w:val="24"/>
                <w:highlight w:val="none"/>
                <w:lang w:val="en-US" w:eastAsia="zh-CN"/>
              </w:rPr>
              <w:t>20</w:t>
            </w:r>
            <w:r>
              <w:rPr>
                <w:rFonts w:hint="eastAsia" w:ascii="宋体" w:hAnsi="宋体" w:cs="宋体"/>
                <w:b w:val="0"/>
                <w:bCs w:val="0"/>
                <w:color w:val="000000"/>
                <w:sz w:val="24"/>
                <w:szCs w:val="24"/>
                <w:highlight w:val="none"/>
              </w:rPr>
              <w:t>%。</w:t>
            </w:r>
          </w:p>
          <w:p>
            <w:pPr>
              <w:adjustRightInd w:val="0"/>
              <w:snapToGrid w:val="0"/>
              <w:spacing w:line="360"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sym w:font="Wingdings" w:char="F082"/>
            </w:r>
            <w:r>
              <w:rPr>
                <w:rFonts w:hint="eastAsia" w:ascii="宋体" w:hAnsi="宋体" w:cs="宋体"/>
                <w:b w:val="0"/>
                <w:bCs w:val="0"/>
                <w:color w:val="000000"/>
                <w:sz w:val="24"/>
                <w:szCs w:val="24"/>
                <w:highlight w:val="none"/>
              </w:rPr>
              <w:t xml:space="preserve">本项目接收联合体投标的，若小型和微型企业的协议合同金额占到联合体协议合同金额30%以上的，可给予联合体 </w:t>
            </w:r>
            <w:r>
              <w:rPr>
                <w:rFonts w:hint="eastAsia" w:ascii="宋体" w:hAnsi="宋体" w:cs="宋体"/>
                <w:b w:val="0"/>
                <w:bCs w:val="0"/>
                <w:color w:val="000000"/>
                <w:sz w:val="24"/>
                <w:szCs w:val="24"/>
                <w:highlight w:val="none"/>
                <w:lang w:val="en-US" w:eastAsia="zh-CN"/>
              </w:rPr>
              <w:t>4</w:t>
            </w:r>
            <w:r>
              <w:rPr>
                <w:rFonts w:hint="eastAsia" w:ascii="宋体" w:hAnsi="宋体" w:cs="宋体"/>
                <w:b w:val="0"/>
                <w:bCs w:val="0"/>
                <w:color w:val="000000"/>
                <w:sz w:val="24"/>
                <w:szCs w:val="24"/>
                <w:highlight w:val="none"/>
              </w:rPr>
              <w:t>% ~</w:t>
            </w:r>
            <w:r>
              <w:rPr>
                <w:rFonts w:hint="eastAsia" w:ascii="宋体" w:hAnsi="宋体" w:cs="宋体"/>
                <w:b w:val="0"/>
                <w:bCs w:val="0"/>
                <w:color w:val="000000"/>
                <w:sz w:val="24"/>
                <w:szCs w:val="24"/>
                <w:highlight w:val="none"/>
                <w:lang w:val="en-US" w:eastAsia="zh-CN"/>
              </w:rPr>
              <w:t>6</w:t>
            </w:r>
            <w:r>
              <w:rPr>
                <w:rFonts w:hint="eastAsia" w:ascii="宋体" w:hAnsi="宋体" w:cs="宋体"/>
                <w:b w:val="0"/>
                <w:bCs w:val="0"/>
                <w:color w:val="000000"/>
                <w:sz w:val="24"/>
                <w:szCs w:val="24"/>
                <w:highlight w:val="none"/>
              </w:rPr>
              <w:t>%的扣除，用扣除后的价格参与评审。本项目的扣除比例为：</w:t>
            </w:r>
            <w:r>
              <w:rPr>
                <w:rFonts w:hint="eastAsia" w:ascii="宋体" w:hAnsi="宋体" w:cs="宋体"/>
                <w:b w:val="0"/>
                <w:bCs w:val="0"/>
                <w:color w:val="000000"/>
                <w:sz w:val="24"/>
                <w:szCs w:val="24"/>
                <w:highlight w:val="none"/>
                <w:lang w:val="en-US" w:eastAsia="zh-CN"/>
              </w:rPr>
              <w:t>6</w:t>
            </w:r>
            <w:r>
              <w:rPr>
                <w:rFonts w:hint="eastAsia" w:ascii="宋体" w:hAnsi="宋体" w:cs="宋体"/>
                <w:b w:val="0"/>
                <w:bCs w:val="0"/>
                <w:color w:val="000000"/>
                <w:sz w:val="24"/>
                <w:szCs w:val="24"/>
                <w:highlight w:val="none"/>
              </w:rPr>
              <w:t>%。</w:t>
            </w:r>
          </w:p>
          <w:p>
            <w:pPr>
              <w:adjustRightInd w:val="0"/>
              <w:snapToGrid w:val="0"/>
              <w:spacing w:line="360"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fldChar w:fldCharType="begin"/>
            </w:r>
            <w:r>
              <w:rPr>
                <w:rFonts w:hint="eastAsia" w:ascii="宋体" w:hAnsi="宋体" w:cs="宋体"/>
                <w:b w:val="0"/>
                <w:bCs w:val="0"/>
                <w:color w:val="000000"/>
                <w:sz w:val="24"/>
                <w:szCs w:val="24"/>
                <w:highlight w:val="none"/>
              </w:rPr>
              <w:instrText xml:space="preserve"> eq \o\ac(□)</w:instrText>
            </w:r>
            <w:r>
              <w:rPr>
                <w:rFonts w:hint="eastAsia" w:ascii="宋体" w:hAnsi="宋体" w:cs="宋体"/>
                <w:b w:val="0"/>
                <w:bCs w:val="0"/>
                <w:color w:val="000000"/>
                <w:sz w:val="24"/>
                <w:szCs w:val="24"/>
                <w:highlight w:val="none"/>
              </w:rPr>
              <w:fldChar w:fldCharType="end"/>
            </w:r>
            <w:r>
              <w:rPr>
                <w:rFonts w:hint="eastAsia" w:ascii="宋体" w:hAnsi="宋体" w:cs="宋体"/>
                <w:b w:val="0"/>
                <w:bCs w:val="0"/>
                <w:color w:val="000000"/>
                <w:sz w:val="24"/>
                <w:szCs w:val="24"/>
                <w:highlight w:val="none"/>
              </w:rPr>
              <w:t>非专门面向中小企业采购项目</w:t>
            </w:r>
          </w:p>
          <w:p>
            <w:pPr>
              <w:pStyle w:val="14"/>
              <w:spacing w:line="360" w:lineRule="auto"/>
              <w:rPr>
                <w:rFonts w:hint="default" w:ascii="宋体" w:hAnsi="宋体" w:eastAsia="宋体" w:cs="宋体"/>
                <w:sz w:val="24"/>
                <w:szCs w:val="24"/>
                <w:highlight w:val="none"/>
                <w:lang w:val="en-US" w:eastAsia="zh-CN"/>
              </w:rPr>
            </w:pPr>
            <w:r>
              <w:rPr>
                <w:rFonts w:hint="eastAsia"/>
                <w:b/>
                <w:bCs/>
                <w:sz w:val="24"/>
                <w:szCs w:val="22"/>
                <w:highlight w:val="none"/>
                <w:lang w:val="en-US" w:eastAsia="zh-CN"/>
              </w:rPr>
              <w:t>注：专门面向中小企业采购项目，须提供中小企业声明函。制造商性质：供应商提供的货物必须全部由符合政策要求的中小企业制造。根据产品制造商的企业性质分别提供中小企业声明函/监狱企业证明函/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支持监狱企业发展：</w:t>
            </w:r>
          </w:p>
          <w:p>
            <w:pPr>
              <w:adjustRightInd w:val="0"/>
              <w:snapToGrid w:val="0"/>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position w:val="-4"/>
                <w:sz w:val="36"/>
                <w:szCs w:val="24"/>
              </w:rPr>
              <w:instrText xml:space="preserve">□</w:instrText>
            </w:r>
            <w:r>
              <w:rPr>
                <w:rFonts w:hint="eastAsia" w:ascii="宋体" w:hAnsi="宋体" w:cs="宋体"/>
                <w:sz w:val="24"/>
                <w:szCs w:val="24"/>
              </w:rPr>
              <w:instrText xml:space="preserve">)</w:instrText>
            </w:r>
            <w:r>
              <w:rPr>
                <w:rFonts w:hint="eastAsia" w:ascii="宋体" w:hAnsi="宋体" w:cs="宋体"/>
                <w:sz w:val="24"/>
                <w:szCs w:val="24"/>
              </w:rPr>
              <w:fldChar w:fldCharType="end"/>
            </w:r>
            <w:r>
              <w:rPr>
                <w:rFonts w:hint="eastAsia" w:ascii="宋体" w:hAnsi="宋体" w:cs="宋体"/>
                <w:sz w:val="24"/>
                <w:szCs w:val="24"/>
              </w:rPr>
              <w:t>专门面向监狱企业采购项目</w:t>
            </w:r>
          </w:p>
          <w:p>
            <w:pPr>
              <w:adjustRightInd w:val="0"/>
              <w:snapToGrid w:val="0"/>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position w:val="-4"/>
                <w:sz w:val="36"/>
                <w:szCs w:val="24"/>
              </w:rPr>
              <w:instrText xml:space="preserve">□</w:instrText>
            </w:r>
            <w:r>
              <w:rPr>
                <w:rFonts w:hint="eastAsia" w:ascii="宋体" w:hAnsi="宋体" w:cs="宋体"/>
                <w:sz w:val="24"/>
                <w:szCs w:val="24"/>
              </w:rPr>
              <w:instrText xml:space="preserve">,√)</w:instrText>
            </w:r>
            <w:r>
              <w:rPr>
                <w:rFonts w:hint="eastAsia" w:ascii="宋体" w:hAnsi="宋体" w:cs="宋体"/>
                <w:sz w:val="24"/>
                <w:szCs w:val="24"/>
              </w:rPr>
              <w:fldChar w:fldCharType="end"/>
            </w:r>
            <w:r>
              <w:rPr>
                <w:rFonts w:hint="eastAsia" w:ascii="宋体" w:hAnsi="宋体" w:cs="宋体"/>
                <w:sz w:val="24"/>
                <w:szCs w:val="24"/>
              </w:rPr>
              <w:t>非专门面向监狱企业采购项目（价格扣除）：监狱企业可视同小微企业在价格评审时给予</w:t>
            </w:r>
            <w:r>
              <w:rPr>
                <w:rFonts w:hint="eastAsia" w:ascii="宋体" w:hAnsi="宋体" w:cs="宋体"/>
                <w:sz w:val="24"/>
                <w:szCs w:val="24"/>
                <w:lang w:val="en-US" w:eastAsia="zh-CN"/>
              </w:rPr>
              <w:t>10</w:t>
            </w: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0%的扣除，用扣除后的价格参与评审。本项目的扣除比例为：扣除</w:t>
            </w:r>
            <w:r>
              <w:rPr>
                <w:rFonts w:hint="eastAsia" w:ascii="宋体" w:hAnsi="宋体" w:cs="宋体"/>
                <w:sz w:val="24"/>
                <w:szCs w:val="24"/>
                <w:lang w:val="en-US" w:eastAsia="zh-CN"/>
              </w:rPr>
              <w:t>20</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position w:val="-4"/>
                <w:sz w:val="36"/>
                <w:szCs w:val="24"/>
              </w:rPr>
              <w:instrText xml:space="preserve">□</w:instrText>
            </w:r>
            <w:r>
              <w:rPr>
                <w:rFonts w:hint="eastAsia" w:ascii="宋体" w:hAnsi="宋体" w:cs="宋体"/>
                <w:sz w:val="24"/>
                <w:szCs w:val="24"/>
              </w:rPr>
              <w:instrText xml:space="preserve">,√)</w:instrText>
            </w:r>
            <w:r>
              <w:rPr>
                <w:rFonts w:hint="eastAsia" w:ascii="宋体" w:hAnsi="宋体" w:cs="宋体"/>
                <w:sz w:val="24"/>
                <w:szCs w:val="24"/>
              </w:rPr>
              <w:fldChar w:fldCharType="end"/>
            </w:r>
            <w:r>
              <w:rPr>
                <w:rFonts w:hint="eastAsia" w:ascii="宋体" w:hAnsi="宋体" w:cs="宋体"/>
                <w:sz w:val="24"/>
                <w:szCs w:val="24"/>
              </w:rPr>
              <w:t>非专门面向监狱企业采购项目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踏勘现场:</w:t>
            </w: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不组织</w:t>
            </w: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组织，</w:t>
            </w:r>
            <w:r>
              <w:rPr>
                <w:rFonts w:hint="eastAsia" w:ascii="宋体" w:hAnsi="宋体" w:cs="宋体"/>
                <w:color w:val="000000"/>
                <w:sz w:val="24"/>
                <w:szCs w:val="24"/>
              </w:rPr>
              <w:t>本项目采购人及采购代理机构不集中组织踏勘现场；需要现场踏勘的，由投标人自行踏勘，安全责任由投标人自负，费用自理。如需踏勘，请按招标公告中的联系方式联系采购人</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Align w:val="center"/>
          </w:tcPr>
          <w:p>
            <w:pPr>
              <w:numPr>
                <w:ilvl w:val="0"/>
                <w:numId w:val="2"/>
              </w:numPr>
              <w:spacing w:line="360" w:lineRule="auto"/>
              <w:jc w:val="center"/>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投标答疑会:</w:t>
            </w: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不召开</w:t>
            </w: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召开，招标代理机构将对供应商所提出的问题予以解答，并出具书面答疑纪要。答疑纪要为招标文件的组成部分，与招标文件具有同等法律效力。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Align w:val="center"/>
          </w:tcPr>
          <w:p>
            <w:pPr>
              <w:numPr>
                <w:ilvl w:val="0"/>
                <w:numId w:val="2"/>
              </w:numPr>
              <w:spacing w:line="360" w:lineRule="auto"/>
              <w:rPr>
                <w:rFonts w:ascii="宋体" w:hAnsi="宋体" w:cs="宋体"/>
                <w:sz w:val="24"/>
                <w:szCs w:val="24"/>
              </w:rPr>
            </w:pPr>
          </w:p>
        </w:tc>
        <w:tc>
          <w:tcPr>
            <w:tcW w:w="8775" w:type="dxa"/>
            <w:vAlign w:val="center"/>
          </w:tcPr>
          <w:p>
            <w:pPr>
              <w:spacing w:line="360" w:lineRule="auto"/>
              <w:rPr>
                <w:rFonts w:ascii="宋体" w:hAnsi="宋体" w:cs="宋体"/>
                <w:color w:val="FF0000"/>
                <w:sz w:val="24"/>
                <w:szCs w:val="24"/>
              </w:rPr>
            </w:pPr>
            <w:r>
              <w:rPr>
                <w:rFonts w:hint="eastAsia" w:ascii="宋体" w:hAnsi="宋体" w:cs="宋体"/>
                <w:sz w:val="24"/>
                <w:szCs w:val="24"/>
              </w:rPr>
              <w:t>分包：</w:t>
            </w: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不允许</w:t>
            </w: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允许，分包内容要求：在征得招标人同意后，承包人可以将本项目的专业工程进行分包。分包金额要求：接受分包的第三人资质要求；符合施工拟分包的专业工程国家相关强制规定。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Align w:val="center"/>
          </w:tcPr>
          <w:p>
            <w:pPr>
              <w:numPr>
                <w:ilvl w:val="0"/>
                <w:numId w:val="2"/>
              </w:numPr>
              <w:spacing w:line="360" w:lineRule="auto"/>
              <w:rPr>
                <w:rFonts w:ascii="宋体" w:hAnsi="宋体" w:cs="宋体"/>
                <w:sz w:val="24"/>
                <w:szCs w:val="24"/>
              </w:rPr>
            </w:pPr>
          </w:p>
        </w:tc>
        <w:tc>
          <w:tcPr>
            <w:tcW w:w="8775" w:type="dxa"/>
            <w:vAlign w:val="center"/>
          </w:tcPr>
          <w:p>
            <w:pPr>
              <w:spacing w:line="360" w:lineRule="auto"/>
              <w:rPr>
                <w:rFonts w:hint="eastAsia" w:ascii="宋体" w:hAnsi="宋体" w:cs="宋体"/>
                <w:sz w:val="24"/>
                <w:szCs w:val="24"/>
              </w:rPr>
            </w:pPr>
            <w:r>
              <w:rPr>
                <w:rFonts w:hint="eastAsia" w:ascii="宋体" w:hAnsi="宋体" w:cs="宋体"/>
                <w:b/>
                <w:bCs/>
                <w:color w:val="auto"/>
                <w:sz w:val="24"/>
                <w:szCs w:val="24"/>
              </w:rPr>
              <w:t>公共资源信用承诺:</w:t>
            </w:r>
            <w:r>
              <w:rPr>
                <w:rFonts w:hint="eastAsia" w:ascii="宋体" w:hAnsi="宋体" w:cs="宋体"/>
                <w:color w:val="auto"/>
                <w:sz w:val="24"/>
                <w:szCs w:val="24"/>
                <w:lang w:val="zh-TW"/>
              </w:rPr>
              <w:t>进入公共资源交易平台的各投标人，均应在“信用中国（陕西榆林）”网站进行注册、登录、自主上报信用承诺书（网址：</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https://credit.yl.gov.cn/）。各投标人注册、登录后根据承诺事项选择相应的模板填写《信用承诺书》，并载明承诺事由，投标人、投标人委托代理人员、投标信用的承诺事由为\“项目名称及标段\”。操作指南见附件。" </w:instrText>
            </w:r>
            <w:r>
              <w:rPr>
                <w:rFonts w:hint="eastAsia" w:ascii="宋体" w:hAnsi="宋体" w:cs="宋体"/>
                <w:color w:val="auto"/>
                <w:sz w:val="24"/>
                <w:szCs w:val="24"/>
              </w:rPr>
              <w:fldChar w:fldCharType="separate"/>
            </w:r>
            <w:r>
              <w:rPr>
                <w:rFonts w:hint="eastAsia" w:ascii="宋体" w:hAnsi="宋体" w:cs="宋体"/>
                <w:color w:val="auto"/>
                <w:sz w:val="24"/>
                <w:szCs w:val="24"/>
              </w:rPr>
              <w:t>https://credit.yl.gov.cn/</w:t>
            </w:r>
            <w:r>
              <w:rPr>
                <w:rFonts w:hint="eastAsia" w:ascii="宋体" w:hAnsi="宋体" w:cs="宋体"/>
                <w:color w:val="auto"/>
                <w:sz w:val="24"/>
                <w:szCs w:val="24"/>
                <w:lang w:val="zh-TW"/>
              </w:rPr>
              <w:t>）。各投标人注册、登录后根据承诺事项选择相应的模板填写《信用承诺书》，并载明承诺事由，投标人、投标人委托代理人员、投标信用的承诺事由为“项目名称及标段”。</w:t>
            </w:r>
            <w:r>
              <w:rPr>
                <w:rFonts w:hint="eastAsia" w:ascii="宋体" w:hAnsi="宋体" w:cs="宋体"/>
                <w:color w:val="auto"/>
                <w:sz w:val="24"/>
                <w:szCs w:val="24"/>
              </w:rPr>
              <w:fldChar w:fldCharType="end"/>
            </w:r>
            <w:r>
              <w:rPr>
                <w:rFonts w:hint="eastAsia" w:ascii="宋体" w:hAnsi="宋体" w:cs="宋体"/>
                <w:sz w:val="24"/>
                <w:lang w:eastAsia="zh-CN"/>
              </w:rPr>
              <w:t>供应商需提供网页截图，未提供视为无效投标。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Align w:val="center"/>
          </w:tcPr>
          <w:p>
            <w:pPr>
              <w:numPr>
                <w:ilvl w:val="0"/>
                <w:numId w:val="2"/>
              </w:numPr>
              <w:spacing w:line="360" w:lineRule="auto"/>
              <w:rPr>
                <w:rFonts w:ascii="宋体" w:hAnsi="宋体" w:cs="宋体"/>
                <w:sz w:val="24"/>
                <w:szCs w:val="24"/>
              </w:rPr>
            </w:pPr>
          </w:p>
        </w:tc>
        <w:tc>
          <w:tcPr>
            <w:tcW w:w="8775" w:type="dxa"/>
            <w:vAlign w:val="center"/>
          </w:tcPr>
          <w:p>
            <w:pPr>
              <w:spacing w:line="360" w:lineRule="auto"/>
              <w:rPr>
                <w:rFonts w:ascii="宋体" w:hAnsi="宋体" w:cs="宋体"/>
                <w:color w:val="FF0000"/>
                <w:sz w:val="24"/>
                <w:szCs w:val="24"/>
              </w:rPr>
            </w:pPr>
            <w:r>
              <w:rPr>
                <w:rFonts w:hint="eastAsia" w:ascii="宋体" w:hAnsi="宋体" w:cs="宋体"/>
                <w:sz w:val="24"/>
                <w:szCs w:val="24"/>
                <w:lang w:eastAsia="zh-CN"/>
              </w:rPr>
              <w:t>谈判响应文件</w:t>
            </w:r>
            <w:r>
              <w:rPr>
                <w:rFonts w:hint="eastAsia" w:ascii="宋体" w:hAnsi="宋体" w:cs="宋体"/>
                <w:sz w:val="24"/>
                <w:szCs w:val="24"/>
              </w:rPr>
              <w:t>中的复印件（含扫描件）必须加盖供应商公章（鲜章），否则按无效文件处理。所有复印件应是最新、有效、清晰的。因复印件不清晰而可能导致资料无效，由</w:t>
            </w:r>
            <w:r>
              <w:rPr>
                <w:rFonts w:hint="eastAsia" w:ascii="宋体" w:hAnsi="宋体" w:cs="宋体"/>
                <w:sz w:val="24"/>
                <w:szCs w:val="24"/>
                <w:lang w:eastAsia="zh-CN"/>
              </w:rPr>
              <w:t>谈判供应商</w:t>
            </w:r>
            <w:r>
              <w:rPr>
                <w:rFonts w:hint="eastAsia" w:ascii="宋体" w:hAnsi="宋体" w:cs="宋体"/>
                <w:sz w:val="24"/>
                <w:szCs w:val="24"/>
              </w:rPr>
              <w:t>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52" w:type="dxa"/>
            <w:vAlign w:val="center"/>
          </w:tcPr>
          <w:p>
            <w:pPr>
              <w:numPr>
                <w:ilvl w:val="0"/>
                <w:numId w:val="2"/>
              </w:numPr>
              <w:spacing w:line="360" w:lineRule="auto"/>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合同签订：成交供应商和采购人签订合同。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52" w:type="dxa"/>
            <w:vAlign w:val="center"/>
          </w:tcPr>
          <w:p>
            <w:pPr>
              <w:numPr>
                <w:ilvl w:val="0"/>
                <w:numId w:val="2"/>
              </w:numPr>
              <w:spacing w:line="360" w:lineRule="auto"/>
              <w:rPr>
                <w:rFonts w:ascii="宋体" w:hAnsi="宋体" w:cs="宋体"/>
                <w:sz w:val="24"/>
                <w:szCs w:val="24"/>
              </w:rPr>
            </w:pP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其他：1、供应商若对竞争性谈判文件有质疑的，应当在谈判截止时间2日前以书面形式向采购代理机构提出。在此之后提出的质疑无效。</w:t>
            </w:r>
          </w:p>
          <w:p>
            <w:pPr>
              <w:pStyle w:val="14"/>
              <w:ind w:firstLine="720" w:firstLineChars="300"/>
            </w:pPr>
            <w:r>
              <w:rPr>
                <w:rFonts w:hint="eastAsia" w:ascii="宋体" w:hAnsi="宋体" w:cs="宋体"/>
                <w:sz w:val="24"/>
                <w:szCs w:val="24"/>
              </w:rPr>
              <w:t>2、当供应商不足三家时，按相关文件执行。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52" w:type="dxa"/>
            <w:vAlign w:val="center"/>
          </w:tcPr>
          <w:p>
            <w:pPr>
              <w:numPr>
                <w:ilvl w:val="0"/>
                <w:numId w:val="2"/>
              </w:numPr>
              <w:spacing w:line="360" w:lineRule="auto"/>
              <w:rPr>
                <w:rFonts w:ascii="宋体" w:hAnsi="宋体" w:cs="宋体"/>
                <w:sz w:val="24"/>
                <w:szCs w:val="24"/>
              </w:rPr>
            </w:pPr>
          </w:p>
        </w:tc>
        <w:tc>
          <w:tcPr>
            <w:tcW w:w="8775" w:type="dxa"/>
            <w:vAlign w:val="center"/>
          </w:tcPr>
          <w:p>
            <w:pPr>
              <w:spacing w:line="360" w:lineRule="auto"/>
              <w:jc w:val="left"/>
              <w:rPr>
                <w:rStyle w:val="41"/>
                <w:rFonts w:ascii="宋体" w:hAnsi="宋体"/>
                <w:color w:val="000000"/>
                <w:sz w:val="24"/>
              </w:rPr>
            </w:pPr>
            <w:r>
              <w:rPr>
                <w:rStyle w:val="41"/>
                <w:rFonts w:hint="eastAsia" w:ascii="宋体" w:hAnsi="宋体"/>
                <w:color w:val="000000"/>
                <w:sz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Style w:val="41"/>
                <w:rFonts w:hint="eastAsia" w:ascii="宋体" w:hAnsi="宋体"/>
                <w:color w:val="000000"/>
                <w:sz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6" cstate="print"/>
                          <a:stretch>
                            <a:fillRect/>
                          </a:stretch>
                        </pic:blipFill>
                        <pic:spPr>
                          <a:xfrm>
                            <a:off x="0" y="0"/>
                            <a:ext cx="190500" cy="142875"/>
                          </a:xfrm>
                          <a:prstGeom prst="rect">
                            <a:avLst/>
                          </a:prstGeom>
                          <a:noFill/>
                          <a:ln>
                            <a:noFill/>
                          </a:ln>
                        </pic:spPr>
                      </pic:pic>
                    </a:graphicData>
                  </a:graphic>
                </wp:inline>
              </w:drawing>
            </w:r>
            <w:r>
              <w:rPr>
                <w:rStyle w:val="41"/>
                <w:rFonts w:hint="eastAsia" w:ascii="宋体" w:hAnsi="宋体"/>
                <w:color w:val="000000"/>
                <w:sz w:val="24"/>
              </w:rPr>
              <w:t>http://www.ccgp-shaanxi.gov.cn/zcdservice/zcd/shanxi/）在线申请，依法参加政府采购信用融资活动。</w:t>
            </w:r>
          </w:p>
          <w:p>
            <w:pPr>
              <w:pStyle w:val="14"/>
              <w:spacing w:line="360" w:lineRule="auto"/>
              <w:ind w:firstLine="720" w:firstLineChars="300"/>
              <w:rPr>
                <w:rFonts w:ascii="宋体" w:hAnsi="宋体" w:cs="宋体"/>
                <w:sz w:val="24"/>
                <w:szCs w:val="24"/>
              </w:rPr>
            </w:pPr>
            <w:r>
              <w:rPr>
                <w:rStyle w:val="41"/>
                <w:rFonts w:hint="eastAsia" w:ascii="宋体" w:hAnsi="宋体"/>
                <w:color w:val="000000"/>
                <w:sz w:val="24"/>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752" w:type="dxa"/>
            <w:vAlign w:val="center"/>
          </w:tcPr>
          <w:p>
            <w:pPr>
              <w:spacing w:line="360" w:lineRule="auto"/>
              <w:jc w:val="center"/>
              <w:rPr>
                <w:rFonts w:ascii="宋体" w:hAnsi="宋体" w:cs="宋体"/>
                <w:sz w:val="24"/>
                <w:szCs w:val="24"/>
              </w:rPr>
            </w:pPr>
            <w:r>
              <w:rPr>
                <w:rFonts w:hint="eastAsia" w:ascii="宋体" w:hAnsi="宋体" w:cs="仿宋_GB2312"/>
                <w:sz w:val="24"/>
                <w:szCs w:val="24"/>
              </w:rPr>
              <w:t>26</w:t>
            </w:r>
          </w:p>
        </w:tc>
        <w:tc>
          <w:tcPr>
            <w:tcW w:w="8775" w:type="dxa"/>
            <w:vAlign w:val="center"/>
          </w:tcPr>
          <w:p>
            <w:pPr>
              <w:spacing w:line="360" w:lineRule="auto"/>
              <w:rPr>
                <w:rFonts w:ascii="宋体" w:hAnsi="宋体" w:cs="仿宋_GB2312"/>
                <w:sz w:val="24"/>
                <w:szCs w:val="24"/>
              </w:rPr>
            </w:pPr>
            <w:r>
              <w:rPr>
                <w:rFonts w:hint="eastAsia" w:ascii="宋体" w:hAnsi="宋体" w:cs="仿宋_GB2312"/>
                <w:sz w:val="24"/>
                <w:szCs w:val="24"/>
              </w:rPr>
              <w:t>招标代理服务费：</w:t>
            </w:r>
          </w:p>
          <w:p>
            <w:pPr>
              <w:spacing w:line="360" w:lineRule="auto"/>
              <w:rPr>
                <w:rFonts w:ascii="宋体" w:hAnsi="宋体" w:cs="仿宋_GB2312"/>
                <w:sz w:val="24"/>
                <w:szCs w:val="24"/>
              </w:rPr>
            </w:pPr>
            <w:r>
              <w:rPr>
                <w:rFonts w:hint="eastAsia" w:ascii="宋体" w:hAnsi="宋体" w:cs="仿宋_GB2312"/>
                <w:sz w:val="24"/>
                <w:szCs w:val="24"/>
              </w:rPr>
              <w:t>(1)招标代理服务费的收取参见国家计委颁布的《招标代理服务收费管理暂行办法》（计价格[2002]1980号）和（发改办价格[2011]534号）中</w:t>
            </w:r>
            <w:r>
              <w:rPr>
                <w:rFonts w:hint="eastAsia" w:ascii="宋体" w:hAnsi="宋体"/>
                <w:sz w:val="24"/>
                <w:szCs w:val="24"/>
              </w:rPr>
              <w:t>规定的差额定律累进法计算,向成交供应商收取。</w:t>
            </w:r>
          </w:p>
          <w:p>
            <w:pPr>
              <w:spacing w:line="360" w:lineRule="auto"/>
              <w:rPr>
                <w:rFonts w:ascii="宋体" w:hAnsi="宋体" w:cs="宋体"/>
                <w:sz w:val="24"/>
                <w:szCs w:val="24"/>
              </w:rPr>
            </w:pPr>
            <w:r>
              <w:rPr>
                <w:rFonts w:hint="eastAsia" w:ascii="宋体" w:hAnsi="宋体" w:cs="仿宋_GB2312"/>
                <w:sz w:val="24"/>
                <w:szCs w:val="24"/>
              </w:rPr>
              <w:t>(2)</w:t>
            </w:r>
            <w:r>
              <w:rPr>
                <w:rFonts w:hint="eastAsia" w:ascii="宋体" w:hAnsi="宋体" w:cs="宋体"/>
                <w:sz w:val="24"/>
                <w:szCs w:val="24"/>
              </w:rPr>
              <w:t>支付方式：成交供应商应在领取通知书的同时，向</w:t>
            </w:r>
            <w:r>
              <w:rPr>
                <w:rFonts w:hint="eastAsia" w:ascii="宋体" w:hAnsi="宋体" w:cs="宋体"/>
                <w:sz w:val="24"/>
                <w:szCs w:val="24"/>
                <w:lang w:eastAsia="zh-CN"/>
              </w:rPr>
              <w:t>陕西博皓项目管理有限公司</w:t>
            </w:r>
            <w:r>
              <w:rPr>
                <w:rFonts w:hint="eastAsia" w:ascii="宋体" w:hAnsi="宋体" w:cs="宋体"/>
                <w:sz w:val="24"/>
                <w:szCs w:val="24"/>
              </w:rPr>
              <w:t>交纳本项目采购代理服务费。</w:t>
            </w:r>
          </w:p>
          <w:p>
            <w:pPr>
              <w:spacing w:line="360" w:lineRule="auto"/>
              <w:rPr>
                <w:rFonts w:hint="eastAsia" w:ascii="宋体" w:hAnsi="宋体" w:cs="宋体"/>
                <w:sz w:val="24"/>
                <w:szCs w:val="24"/>
              </w:rPr>
            </w:pPr>
            <w:r>
              <w:rPr>
                <w:rFonts w:hint="eastAsia" w:ascii="宋体" w:hAnsi="宋体" w:cs="宋体"/>
                <w:sz w:val="24"/>
                <w:szCs w:val="24"/>
              </w:rPr>
              <w:t>3、采购代理服务费按差额定率累进法计算：</w:t>
            </w:r>
          </w:p>
          <w:p>
            <w:pPr>
              <w:pStyle w:val="36"/>
            </w:pPr>
          </w:p>
          <w:tbl>
            <w:tblPr>
              <w:tblStyle w:val="20"/>
              <w:tblW w:w="6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214"/>
              <w:gridCol w:w="144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49" w:type="dxa"/>
                </w:tcPr>
                <w:p>
                  <w:pPr>
                    <w:spacing w:line="360" w:lineRule="auto"/>
                    <w:rPr>
                      <w:rFonts w:ascii="宋体" w:hAnsi="宋体" w:cs="宋体"/>
                      <w:sz w:val="24"/>
                      <w:szCs w:val="24"/>
                    </w:rPr>
                  </w:pPr>
                  <w:r>
                    <w:rPr>
                      <w:rFonts w:hint="eastAsia" w:ascii="宋体" w:hAnsi="宋体" w:cs="宋体"/>
                      <w:sz w:val="24"/>
                      <w:szCs w:val="24"/>
                    </w:rPr>
                    <w:t>服务类型/费率/中标金额（万元）</w:t>
                  </w:r>
                </w:p>
              </w:tc>
              <w:tc>
                <w:tcPr>
                  <w:tcW w:w="1214" w:type="dxa"/>
                  <w:vAlign w:val="center"/>
                </w:tcPr>
                <w:p>
                  <w:pPr>
                    <w:spacing w:line="360" w:lineRule="auto"/>
                    <w:rPr>
                      <w:rFonts w:ascii="宋体" w:hAnsi="宋体" w:cs="宋体"/>
                      <w:sz w:val="24"/>
                      <w:szCs w:val="24"/>
                    </w:rPr>
                  </w:pPr>
                  <w:r>
                    <w:rPr>
                      <w:rFonts w:hint="eastAsia" w:ascii="宋体" w:hAnsi="宋体" w:cs="宋体"/>
                      <w:sz w:val="24"/>
                      <w:szCs w:val="24"/>
                    </w:rPr>
                    <w:t>货物招标</w:t>
                  </w:r>
                </w:p>
              </w:tc>
              <w:tc>
                <w:tcPr>
                  <w:tcW w:w="1444" w:type="dxa"/>
                  <w:vAlign w:val="center"/>
                </w:tcPr>
                <w:p>
                  <w:pPr>
                    <w:spacing w:line="360" w:lineRule="auto"/>
                    <w:jc w:val="center"/>
                    <w:rPr>
                      <w:rFonts w:ascii="宋体" w:hAnsi="宋体" w:cs="宋体"/>
                      <w:sz w:val="24"/>
                      <w:szCs w:val="24"/>
                    </w:rPr>
                  </w:pPr>
                  <w:r>
                    <w:rPr>
                      <w:rFonts w:hint="eastAsia" w:ascii="宋体" w:hAnsi="宋体" w:cs="宋体"/>
                      <w:sz w:val="24"/>
                      <w:szCs w:val="24"/>
                    </w:rPr>
                    <w:t>服务招标</w:t>
                  </w:r>
                </w:p>
              </w:tc>
              <w:tc>
                <w:tcPr>
                  <w:tcW w:w="1445" w:type="dxa"/>
                  <w:vAlign w:val="center"/>
                </w:tcPr>
                <w:p>
                  <w:pPr>
                    <w:spacing w:line="360" w:lineRule="auto"/>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049" w:type="dxa"/>
                </w:tcPr>
                <w:p>
                  <w:pPr>
                    <w:spacing w:line="360" w:lineRule="auto"/>
                    <w:rPr>
                      <w:rFonts w:ascii="宋体" w:hAnsi="宋体" w:cs="宋体"/>
                      <w:sz w:val="24"/>
                      <w:szCs w:val="24"/>
                    </w:rPr>
                  </w:pPr>
                  <w:r>
                    <w:rPr>
                      <w:rFonts w:hint="eastAsia" w:ascii="宋体" w:hAnsi="宋体" w:cs="宋体"/>
                      <w:sz w:val="24"/>
                      <w:szCs w:val="24"/>
                    </w:rPr>
                    <w:t>100以下</w:t>
                  </w:r>
                </w:p>
              </w:tc>
              <w:tc>
                <w:tcPr>
                  <w:tcW w:w="1214" w:type="dxa"/>
                </w:tcPr>
                <w:p>
                  <w:pPr>
                    <w:spacing w:line="360" w:lineRule="auto"/>
                    <w:rPr>
                      <w:rFonts w:ascii="宋体" w:hAnsi="宋体" w:cs="宋体"/>
                      <w:sz w:val="24"/>
                      <w:szCs w:val="24"/>
                    </w:rPr>
                  </w:pPr>
                  <w:r>
                    <w:rPr>
                      <w:rFonts w:hint="eastAsia" w:ascii="宋体" w:hAnsi="宋体" w:cs="宋体"/>
                      <w:sz w:val="24"/>
                      <w:szCs w:val="24"/>
                    </w:rPr>
                    <w:t>1.5%</w:t>
                  </w:r>
                </w:p>
              </w:tc>
              <w:tc>
                <w:tcPr>
                  <w:tcW w:w="1444" w:type="dxa"/>
                </w:tcPr>
                <w:p>
                  <w:pPr>
                    <w:spacing w:line="360" w:lineRule="auto"/>
                    <w:rPr>
                      <w:rFonts w:ascii="宋体" w:hAnsi="宋体" w:cs="宋体"/>
                      <w:sz w:val="24"/>
                      <w:szCs w:val="24"/>
                    </w:rPr>
                  </w:pPr>
                  <w:r>
                    <w:rPr>
                      <w:rFonts w:hint="eastAsia" w:ascii="宋体" w:hAnsi="宋体" w:cs="宋体"/>
                      <w:sz w:val="24"/>
                      <w:szCs w:val="24"/>
                    </w:rPr>
                    <w:t>1.5%</w:t>
                  </w:r>
                </w:p>
              </w:tc>
              <w:tc>
                <w:tcPr>
                  <w:tcW w:w="1445" w:type="dxa"/>
                </w:tcPr>
                <w:p>
                  <w:pPr>
                    <w:spacing w:line="360" w:lineRule="auto"/>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49" w:type="dxa"/>
                </w:tcPr>
                <w:p>
                  <w:pPr>
                    <w:spacing w:line="360" w:lineRule="auto"/>
                    <w:rPr>
                      <w:rFonts w:ascii="宋体" w:hAnsi="宋体" w:cs="宋体"/>
                      <w:sz w:val="24"/>
                      <w:szCs w:val="24"/>
                    </w:rPr>
                  </w:pPr>
                  <w:r>
                    <w:rPr>
                      <w:rFonts w:hint="eastAsia" w:ascii="宋体" w:hAnsi="宋体" w:cs="宋体"/>
                      <w:sz w:val="24"/>
                      <w:szCs w:val="24"/>
                    </w:rPr>
                    <w:t>100-500</w:t>
                  </w:r>
                </w:p>
              </w:tc>
              <w:tc>
                <w:tcPr>
                  <w:tcW w:w="1214" w:type="dxa"/>
                </w:tcPr>
                <w:p>
                  <w:pPr>
                    <w:spacing w:line="360" w:lineRule="auto"/>
                    <w:rPr>
                      <w:rFonts w:ascii="宋体" w:hAnsi="宋体" w:cs="宋体"/>
                      <w:sz w:val="24"/>
                      <w:szCs w:val="24"/>
                    </w:rPr>
                  </w:pPr>
                  <w:r>
                    <w:rPr>
                      <w:rFonts w:hint="eastAsia" w:ascii="宋体" w:hAnsi="宋体" w:cs="宋体"/>
                      <w:sz w:val="24"/>
                      <w:szCs w:val="24"/>
                    </w:rPr>
                    <w:t>1.1%</w:t>
                  </w:r>
                </w:p>
              </w:tc>
              <w:tc>
                <w:tcPr>
                  <w:tcW w:w="1444" w:type="dxa"/>
                </w:tcPr>
                <w:p>
                  <w:pPr>
                    <w:spacing w:line="360" w:lineRule="auto"/>
                    <w:rPr>
                      <w:rFonts w:ascii="宋体" w:hAnsi="宋体" w:cs="宋体"/>
                      <w:sz w:val="24"/>
                      <w:szCs w:val="24"/>
                    </w:rPr>
                  </w:pPr>
                  <w:r>
                    <w:rPr>
                      <w:rFonts w:hint="eastAsia" w:ascii="宋体" w:hAnsi="宋体" w:cs="宋体"/>
                      <w:sz w:val="24"/>
                      <w:szCs w:val="24"/>
                    </w:rPr>
                    <w:t>0.8%</w:t>
                  </w:r>
                </w:p>
              </w:tc>
              <w:tc>
                <w:tcPr>
                  <w:tcW w:w="1445" w:type="dxa"/>
                </w:tcPr>
                <w:p>
                  <w:pPr>
                    <w:spacing w:line="360" w:lineRule="auto"/>
                    <w:rPr>
                      <w:rFonts w:ascii="宋体" w:hAnsi="宋体" w:cs="宋体"/>
                      <w:sz w:val="24"/>
                      <w:szCs w:val="24"/>
                    </w:rPr>
                  </w:pPr>
                  <w:r>
                    <w:rPr>
                      <w:rFonts w:hint="eastAsia" w:ascii="宋体" w:hAnsi="宋体" w:cs="宋体"/>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49" w:type="dxa"/>
                </w:tcPr>
                <w:p>
                  <w:pPr>
                    <w:spacing w:line="360" w:lineRule="auto"/>
                    <w:rPr>
                      <w:rFonts w:ascii="宋体" w:hAnsi="宋体" w:cs="宋体"/>
                      <w:sz w:val="24"/>
                      <w:szCs w:val="24"/>
                    </w:rPr>
                  </w:pPr>
                  <w:r>
                    <w:rPr>
                      <w:rFonts w:hint="eastAsia" w:ascii="宋体" w:hAnsi="宋体" w:cs="宋体"/>
                      <w:sz w:val="24"/>
                      <w:szCs w:val="24"/>
                    </w:rPr>
                    <w:t>500-1000</w:t>
                  </w:r>
                </w:p>
              </w:tc>
              <w:tc>
                <w:tcPr>
                  <w:tcW w:w="1214" w:type="dxa"/>
                </w:tcPr>
                <w:p>
                  <w:pPr>
                    <w:spacing w:line="360" w:lineRule="auto"/>
                    <w:rPr>
                      <w:rFonts w:ascii="宋体" w:hAnsi="宋体" w:cs="宋体"/>
                      <w:sz w:val="24"/>
                      <w:szCs w:val="24"/>
                    </w:rPr>
                  </w:pPr>
                  <w:r>
                    <w:rPr>
                      <w:rFonts w:hint="eastAsia" w:ascii="宋体" w:hAnsi="宋体" w:cs="宋体"/>
                      <w:sz w:val="24"/>
                      <w:szCs w:val="24"/>
                    </w:rPr>
                    <w:t>0.8%</w:t>
                  </w:r>
                </w:p>
              </w:tc>
              <w:tc>
                <w:tcPr>
                  <w:tcW w:w="1444" w:type="dxa"/>
                </w:tcPr>
                <w:p>
                  <w:pPr>
                    <w:spacing w:line="360" w:lineRule="auto"/>
                    <w:rPr>
                      <w:rFonts w:ascii="宋体" w:hAnsi="宋体" w:cs="宋体"/>
                      <w:sz w:val="24"/>
                      <w:szCs w:val="24"/>
                    </w:rPr>
                  </w:pPr>
                  <w:r>
                    <w:rPr>
                      <w:rFonts w:hint="eastAsia" w:ascii="宋体" w:hAnsi="宋体" w:cs="宋体"/>
                      <w:sz w:val="24"/>
                      <w:szCs w:val="24"/>
                    </w:rPr>
                    <w:t>0.45%</w:t>
                  </w:r>
                </w:p>
              </w:tc>
              <w:tc>
                <w:tcPr>
                  <w:tcW w:w="1445" w:type="dxa"/>
                </w:tcPr>
                <w:p>
                  <w:pPr>
                    <w:spacing w:line="360" w:lineRule="auto"/>
                    <w:rPr>
                      <w:rFonts w:ascii="宋体" w:hAnsi="宋体" w:cs="宋体"/>
                      <w:sz w:val="24"/>
                      <w:szCs w:val="24"/>
                    </w:rPr>
                  </w:pPr>
                  <w:r>
                    <w:rPr>
                      <w:rFonts w:hint="eastAsia" w:ascii="宋体" w:hAnsi="宋体" w:cs="宋体"/>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49" w:type="dxa"/>
                </w:tcPr>
                <w:p>
                  <w:pPr>
                    <w:spacing w:line="360" w:lineRule="auto"/>
                    <w:rPr>
                      <w:rFonts w:ascii="宋体" w:hAnsi="宋体" w:cs="宋体"/>
                      <w:sz w:val="24"/>
                      <w:szCs w:val="24"/>
                    </w:rPr>
                  </w:pPr>
                  <w:r>
                    <w:rPr>
                      <w:rFonts w:hint="eastAsia" w:ascii="宋体" w:hAnsi="宋体" w:cs="宋体"/>
                      <w:sz w:val="24"/>
                      <w:szCs w:val="24"/>
                    </w:rPr>
                    <w:t>1000-5000</w:t>
                  </w:r>
                </w:p>
              </w:tc>
              <w:tc>
                <w:tcPr>
                  <w:tcW w:w="1214" w:type="dxa"/>
                </w:tcPr>
                <w:p>
                  <w:pPr>
                    <w:spacing w:line="360" w:lineRule="auto"/>
                    <w:rPr>
                      <w:rFonts w:ascii="宋体" w:hAnsi="宋体" w:cs="宋体"/>
                      <w:sz w:val="24"/>
                      <w:szCs w:val="24"/>
                    </w:rPr>
                  </w:pPr>
                  <w:r>
                    <w:rPr>
                      <w:rFonts w:hint="eastAsia" w:ascii="宋体" w:hAnsi="宋体" w:cs="宋体"/>
                      <w:sz w:val="24"/>
                      <w:szCs w:val="24"/>
                    </w:rPr>
                    <w:t>0.5%</w:t>
                  </w:r>
                </w:p>
              </w:tc>
              <w:tc>
                <w:tcPr>
                  <w:tcW w:w="1444" w:type="dxa"/>
                </w:tcPr>
                <w:p>
                  <w:pPr>
                    <w:spacing w:line="360" w:lineRule="auto"/>
                    <w:rPr>
                      <w:rFonts w:ascii="宋体" w:hAnsi="宋体" w:cs="宋体"/>
                      <w:sz w:val="24"/>
                      <w:szCs w:val="24"/>
                    </w:rPr>
                  </w:pPr>
                  <w:r>
                    <w:rPr>
                      <w:rFonts w:hint="eastAsia" w:ascii="宋体" w:hAnsi="宋体" w:cs="宋体"/>
                      <w:sz w:val="24"/>
                      <w:szCs w:val="24"/>
                    </w:rPr>
                    <w:t>0.25%</w:t>
                  </w:r>
                </w:p>
              </w:tc>
              <w:tc>
                <w:tcPr>
                  <w:tcW w:w="1445" w:type="dxa"/>
                </w:tcPr>
                <w:p>
                  <w:pPr>
                    <w:spacing w:line="360" w:lineRule="auto"/>
                    <w:rPr>
                      <w:rFonts w:ascii="宋体" w:hAnsi="宋体" w:cs="宋体"/>
                      <w:sz w:val="24"/>
                      <w:szCs w:val="24"/>
                    </w:rPr>
                  </w:pPr>
                  <w:r>
                    <w:rPr>
                      <w:rFonts w:hint="eastAsia" w:ascii="宋体" w:hAnsi="宋体" w:cs="宋体"/>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49" w:type="dxa"/>
                </w:tcPr>
                <w:p>
                  <w:pPr>
                    <w:spacing w:line="360" w:lineRule="auto"/>
                    <w:rPr>
                      <w:rFonts w:ascii="宋体" w:hAnsi="宋体" w:cs="宋体"/>
                      <w:sz w:val="24"/>
                      <w:szCs w:val="24"/>
                    </w:rPr>
                  </w:pPr>
                  <w:r>
                    <w:rPr>
                      <w:rFonts w:hint="eastAsia" w:ascii="宋体" w:hAnsi="宋体" w:cs="宋体"/>
                      <w:sz w:val="24"/>
                      <w:szCs w:val="24"/>
                    </w:rPr>
                    <w:t>5000-10000</w:t>
                  </w:r>
                </w:p>
              </w:tc>
              <w:tc>
                <w:tcPr>
                  <w:tcW w:w="1214" w:type="dxa"/>
                </w:tcPr>
                <w:p>
                  <w:pPr>
                    <w:spacing w:line="360" w:lineRule="auto"/>
                    <w:rPr>
                      <w:rFonts w:ascii="宋体" w:hAnsi="宋体" w:cs="宋体"/>
                      <w:sz w:val="24"/>
                      <w:szCs w:val="24"/>
                    </w:rPr>
                  </w:pPr>
                  <w:r>
                    <w:rPr>
                      <w:rFonts w:hint="eastAsia" w:ascii="宋体" w:hAnsi="宋体" w:cs="宋体"/>
                      <w:sz w:val="24"/>
                      <w:szCs w:val="24"/>
                    </w:rPr>
                    <w:t>0.25%</w:t>
                  </w:r>
                </w:p>
              </w:tc>
              <w:tc>
                <w:tcPr>
                  <w:tcW w:w="1444" w:type="dxa"/>
                </w:tcPr>
                <w:p>
                  <w:pPr>
                    <w:spacing w:line="360" w:lineRule="auto"/>
                    <w:rPr>
                      <w:rFonts w:ascii="宋体" w:hAnsi="宋体" w:cs="宋体"/>
                      <w:sz w:val="24"/>
                      <w:szCs w:val="24"/>
                    </w:rPr>
                  </w:pPr>
                  <w:r>
                    <w:rPr>
                      <w:rFonts w:hint="eastAsia" w:ascii="宋体" w:hAnsi="宋体" w:cs="宋体"/>
                      <w:sz w:val="24"/>
                      <w:szCs w:val="24"/>
                    </w:rPr>
                    <w:t>0.1%</w:t>
                  </w:r>
                </w:p>
              </w:tc>
              <w:tc>
                <w:tcPr>
                  <w:tcW w:w="1445" w:type="dxa"/>
                </w:tcPr>
                <w:p>
                  <w:pPr>
                    <w:spacing w:line="360" w:lineRule="auto"/>
                    <w:rPr>
                      <w:rFonts w:ascii="宋体" w:hAnsi="宋体" w:cs="宋体"/>
                      <w:sz w:val="24"/>
                      <w:szCs w:val="24"/>
                    </w:rPr>
                  </w:pPr>
                  <w:r>
                    <w:rPr>
                      <w:rFonts w:hint="eastAsia" w:ascii="宋体" w:hAnsi="宋体" w:cs="宋体"/>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49" w:type="dxa"/>
                </w:tcPr>
                <w:p>
                  <w:pPr>
                    <w:spacing w:line="360" w:lineRule="auto"/>
                    <w:rPr>
                      <w:rFonts w:ascii="宋体" w:hAnsi="宋体" w:cs="宋体"/>
                      <w:sz w:val="24"/>
                      <w:szCs w:val="24"/>
                    </w:rPr>
                  </w:pPr>
                  <w:r>
                    <w:rPr>
                      <w:rFonts w:hint="eastAsia" w:ascii="宋体" w:hAnsi="宋体" w:cs="宋体"/>
                      <w:sz w:val="24"/>
                      <w:szCs w:val="24"/>
                    </w:rPr>
                    <w:t>10000-100000</w:t>
                  </w:r>
                </w:p>
              </w:tc>
              <w:tc>
                <w:tcPr>
                  <w:tcW w:w="1214" w:type="dxa"/>
                </w:tcPr>
                <w:p>
                  <w:pPr>
                    <w:spacing w:line="360" w:lineRule="auto"/>
                    <w:rPr>
                      <w:rFonts w:ascii="宋体" w:hAnsi="宋体" w:cs="宋体"/>
                      <w:sz w:val="24"/>
                      <w:szCs w:val="24"/>
                    </w:rPr>
                  </w:pPr>
                  <w:r>
                    <w:rPr>
                      <w:rFonts w:hint="eastAsia" w:ascii="宋体" w:hAnsi="宋体" w:cs="宋体"/>
                      <w:sz w:val="24"/>
                      <w:szCs w:val="24"/>
                    </w:rPr>
                    <w:t>0.05%</w:t>
                  </w:r>
                </w:p>
              </w:tc>
              <w:tc>
                <w:tcPr>
                  <w:tcW w:w="1444" w:type="dxa"/>
                </w:tcPr>
                <w:p>
                  <w:pPr>
                    <w:spacing w:line="360" w:lineRule="auto"/>
                    <w:rPr>
                      <w:rFonts w:ascii="宋体" w:hAnsi="宋体" w:cs="宋体"/>
                      <w:sz w:val="24"/>
                      <w:szCs w:val="24"/>
                    </w:rPr>
                  </w:pPr>
                  <w:r>
                    <w:rPr>
                      <w:rFonts w:hint="eastAsia" w:ascii="宋体" w:hAnsi="宋体" w:cs="宋体"/>
                      <w:sz w:val="24"/>
                      <w:szCs w:val="24"/>
                    </w:rPr>
                    <w:t>0.05%</w:t>
                  </w:r>
                </w:p>
              </w:tc>
              <w:tc>
                <w:tcPr>
                  <w:tcW w:w="1445" w:type="dxa"/>
                </w:tcPr>
                <w:p>
                  <w:pPr>
                    <w:spacing w:line="360" w:lineRule="auto"/>
                    <w:rPr>
                      <w:rFonts w:ascii="宋体" w:hAnsi="宋体" w:cs="宋体"/>
                      <w:sz w:val="24"/>
                      <w:szCs w:val="24"/>
                    </w:rPr>
                  </w:pPr>
                  <w:r>
                    <w:rPr>
                      <w:rFonts w:hint="eastAsia" w:ascii="宋体" w:hAnsi="宋体" w:cs="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049" w:type="dxa"/>
                </w:tcPr>
                <w:p>
                  <w:pPr>
                    <w:spacing w:line="360" w:lineRule="auto"/>
                    <w:rPr>
                      <w:rFonts w:ascii="宋体" w:hAnsi="宋体" w:cs="宋体"/>
                      <w:sz w:val="24"/>
                      <w:szCs w:val="24"/>
                    </w:rPr>
                  </w:pPr>
                  <w:r>
                    <w:rPr>
                      <w:rFonts w:hint="eastAsia" w:ascii="宋体" w:hAnsi="宋体" w:cs="宋体"/>
                      <w:sz w:val="24"/>
                      <w:szCs w:val="24"/>
                    </w:rPr>
                    <w:t>1000000以上</w:t>
                  </w:r>
                </w:p>
              </w:tc>
              <w:tc>
                <w:tcPr>
                  <w:tcW w:w="1214" w:type="dxa"/>
                </w:tcPr>
                <w:p>
                  <w:pPr>
                    <w:spacing w:line="360" w:lineRule="auto"/>
                    <w:rPr>
                      <w:rFonts w:ascii="宋体" w:hAnsi="宋体" w:cs="宋体"/>
                      <w:sz w:val="24"/>
                      <w:szCs w:val="24"/>
                    </w:rPr>
                  </w:pPr>
                  <w:r>
                    <w:rPr>
                      <w:rFonts w:hint="eastAsia" w:ascii="宋体" w:hAnsi="宋体" w:cs="宋体"/>
                      <w:sz w:val="24"/>
                      <w:szCs w:val="24"/>
                    </w:rPr>
                    <w:t>0.01%</w:t>
                  </w:r>
                </w:p>
              </w:tc>
              <w:tc>
                <w:tcPr>
                  <w:tcW w:w="1444" w:type="dxa"/>
                </w:tcPr>
                <w:p>
                  <w:pPr>
                    <w:spacing w:line="360" w:lineRule="auto"/>
                    <w:rPr>
                      <w:rFonts w:ascii="宋体" w:hAnsi="宋体" w:cs="宋体"/>
                      <w:sz w:val="24"/>
                      <w:szCs w:val="24"/>
                    </w:rPr>
                  </w:pPr>
                  <w:r>
                    <w:rPr>
                      <w:rFonts w:hint="eastAsia" w:ascii="宋体" w:hAnsi="宋体" w:cs="宋体"/>
                      <w:sz w:val="24"/>
                      <w:szCs w:val="24"/>
                    </w:rPr>
                    <w:t>0.01%</w:t>
                  </w:r>
                </w:p>
              </w:tc>
              <w:tc>
                <w:tcPr>
                  <w:tcW w:w="1445" w:type="dxa"/>
                </w:tcPr>
                <w:p>
                  <w:pPr>
                    <w:spacing w:line="360" w:lineRule="auto"/>
                    <w:rPr>
                      <w:rFonts w:ascii="宋体" w:hAnsi="宋体" w:cs="宋体"/>
                      <w:sz w:val="24"/>
                      <w:szCs w:val="24"/>
                    </w:rPr>
                  </w:pPr>
                  <w:r>
                    <w:rPr>
                      <w:rFonts w:hint="eastAsia" w:ascii="宋体" w:hAnsi="宋体" w:cs="宋体"/>
                      <w:sz w:val="24"/>
                      <w:szCs w:val="24"/>
                    </w:rPr>
                    <w:t>0.01%</w:t>
                  </w:r>
                </w:p>
              </w:tc>
            </w:tr>
          </w:tbl>
          <w:p>
            <w:pPr>
              <w:spacing w:line="360" w:lineRule="auto"/>
              <w:rPr>
                <w:rFonts w:ascii="宋体" w:hAnsi="宋体" w:cs="宋体"/>
                <w:sz w:val="24"/>
                <w:szCs w:val="24"/>
              </w:rPr>
            </w:pPr>
            <w:r>
              <w:rPr>
                <w:rFonts w:hint="eastAsia" w:ascii="宋体" w:hAnsi="宋体" w:cs="宋体"/>
                <w:sz w:val="24"/>
                <w:szCs w:val="24"/>
              </w:rPr>
              <w:t>例如：某货物招标成交金额为678.2万元，采购代理服务费计算如下：</w:t>
            </w:r>
          </w:p>
          <w:p>
            <w:pPr>
              <w:spacing w:line="360" w:lineRule="auto"/>
              <w:rPr>
                <w:rFonts w:ascii="宋体" w:hAnsi="宋体" w:cs="宋体"/>
                <w:sz w:val="24"/>
                <w:szCs w:val="24"/>
              </w:rPr>
            </w:pPr>
            <w:r>
              <w:rPr>
                <w:rFonts w:hint="eastAsia" w:ascii="宋体" w:hAnsi="宋体" w:cs="宋体"/>
                <w:sz w:val="24"/>
                <w:szCs w:val="24"/>
              </w:rPr>
              <w:t xml:space="preserve">100万元*1.5%=1.50万元 </w:t>
            </w:r>
          </w:p>
          <w:p>
            <w:pPr>
              <w:spacing w:line="360" w:lineRule="auto"/>
              <w:rPr>
                <w:rFonts w:ascii="宋体" w:hAnsi="宋体" w:cs="宋体"/>
                <w:sz w:val="24"/>
                <w:szCs w:val="24"/>
              </w:rPr>
            </w:pPr>
            <w:r>
              <w:rPr>
                <w:rFonts w:hint="eastAsia" w:ascii="宋体" w:hAnsi="宋体" w:cs="宋体"/>
                <w:sz w:val="24"/>
                <w:szCs w:val="24"/>
              </w:rPr>
              <w:t>(500-100)*1.1%=4.40万元</w:t>
            </w:r>
          </w:p>
          <w:p>
            <w:pPr>
              <w:spacing w:line="360" w:lineRule="auto"/>
              <w:rPr>
                <w:rFonts w:ascii="宋体" w:hAnsi="宋体" w:cs="宋体"/>
                <w:sz w:val="24"/>
                <w:szCs w:val="24"/>
              </w:rPr>
            </w:pPr>
            <w:r>
              <w:rPr>
                <w:rFonts w:hint="eastAsia" w:ascii="宋体" w:hAnsi="宋体" w:cs="宋体"/>
                <w:sz w:val="24"/>
                <w:szCs w:val="24"/>
              </w:rPr>
              <w:t>(678.2-500)*0.8%=1.4256万元</w:t>
            </w:r>
          </w:p>
          <w:p>
            <w:pPr>
              <w:spacing w:line="360" w:lineRule="auto"/>
              <w:rPr>
                <w:rFonts w:ascii="宋体" w:hAnsi="宋体" w:cs="宋体"/>
                <w:sz w:val="24"/>
                <w:szCs w:val="24"/>
              </w:rPr>
            </w:pPr>
            <w:r>
              <w:rPr>
                <w:rFonts w:hint="eastAsia" w:ascii="宋体" w:hAnsi="宋体" w:cs="宋体"/>
                <w:sz w:val="24"/>
                <w:szCs w:val="24"/>
              </w:rPr>
              <w:t>服务费=1.50+4.40+1.4256=7.3256万元。</w:t>
            </w:r>
          </w:p>
          <w:p>
            <w:pPr>
              <w:spacing w:line="360" w:lineRule="auto"/>
              <w:rPr>
                <w:rFonts w:ascii="宋体" w:hAnsi="宋体" w:cs="宋体"/>
                <w:sz w:val="24"/>
                <w:szCs w:val="24"/>
              </w:rPr>
            </w:pPr>
            <w:r>
              <w:rPr>
                <w:rFonts w:hint="eastAsia" w:ascii="宋体" w:hAnsi="宋体" w:cs="宋体"/>
                <w:sz w:val="24"/>
                <w:szCs w:val="24"/>
              </w:rPr>
              <w:t>4、本项目项目属性：货物招标。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52" w:type="dxa"/>
            <w:vAlign w:val="center"/>
          </w:tcPr>
          <w:p>
            <w:pPr>
              <w:spacing w:line="360" w:lineRule="auto"/>
              <w:jc w:val="center"/>
              <w:rPr>
                <w:rFonts w:ascii="宋体" w:hAnsi="宋体" w:cs="仿宋_GB2312"/>
                <w:sz w:val="24"/>
                <w:szCs w:val="24"/>
              </w:rPr>
            </w:pPr>
            <w:r>
              <w:rPr>
                <w:rFonts w:hint="eastAsia" w:ascii="宋体" w:hAnsi="宋体" w:cs="仿宋_GB2312"/>
                <w:sz w:val="24"/>
                <w:szCs w:val="24"/>
              </w:rPr>
              <w:t>27</w:t>
            </w:r>
          </w:p>
        </w:tc>
        <w:tc>
          <w:tcPr>
            <w:tcW w:w="8775" w:type="dxa"/>
            <w:vAlign w:val="center"/>
          </w:tcPr>
          <w:p>
            <w:pPr>
              <w:spacing w:line="360" w:lineRule="auto"/>
              <w:rPr>
                <w:rFonts w:ascii="宋体" w:hAnsi="宋体" w:cs="宋体"/>
                <w:sz w:val="24"/>
                <w:szCs w:val="24"/>
              </w:rPr>
            </w:pPr>
            <w:r>
              <w:rPr>
                <w:rFonts w:hint="eastAsia" w:ascii="宋体" w:hAnsi="宋体" w:cs="宋体"/>
                <w:sz w:val="24"/>
                <w:szCs w:val="24"/>
              </w:rPr>
              <w:t>谈判报价轮次：</w:t>
            </w:r>
          </w:p>
          <w:p>
            <w:pPr>
              <w:spacing w:line="360" w:lineRule="auto"/>
              <w:rPr>
                <w:rFonts w:ascii="宋体" w:hAnsi="宋体" w:cs="宋体"/>
                <w:sz w:val="24"/>
                <w:szCs w:val="24"/>
              </w:rPr>
            </w:pPr>
            <w:r>
              <w:rPr>
                <w:rFonts w:hint="eastAsia" w:ascii="宋体" w:hAnsi="宋体" w:cs="宋体"/>
                <w:sz w:val="24"/>
                <w:szCs w:val="24"/>
              </w:rPr>
              <w:t>多轮（报价文件中报价为第一轮，谈判现场为第二轮）</w:t>
            </w:r>
          </w:p>
          <w:p>
            <w:pPr>
              <w:spacing w:line="360" w:lineRule="auto"/>
              <w:rPr>
                <w:rFonts w:ascii="宋体" w:hAnsi="宋体" w:cs="宋体"/>
                <w:sz w:val="24"/>
                <w:szCs w:val="24"/>
              </w:rPr>
            </w:pPr>
            <w:r>
              <w:rPr>
                <w:rFonts w:hint="eastAsia" w:ascii="宋体" w:hAnsi="宋体" w:cs="宋体"/>
                <w:sz w:val="24"/>
                <w:szCs w:val="24"/>
              </w:rPr>
              <w:t>最后一轮报价时间：谈判现场通知</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lang w:eastAsia="zh-CN"/>
              </w:rPr>
              <w:t>保持在线直到评审结束，请投标单位本项目授权委托人或法人代表保持手机畅通，以便于接收最后报价通知，各供应商在</w:t>
            </w:r>
            <w:r>
              <w:rPr>
                <w:rFonts w:hint="eastAsia" w:ascii="宋体" w:hAnsi="宋体" w:eastAsia="宋体" w:cs="宋体"/>
                <w:b/>
                <w:bCs/>
                <w:sz w:val="24"/>
                <w:szCs w:val="24"/>
                <w:lang w:val="en-US" w:eastAsia="zh-CN"/>
              </w:rPr>
              <w:t>CA锁-网上报价</w:t>
            </w:r>
            <w:r>
              <w:rPr>
                <w:rFonts w:hint="eastAsia" w:ascii="宋体" w:hAnsi="宋体" w:eastAsia="宋体" w:cs="宋体"/>
                <w:b/>
                <w:bCs/>
                <w:sz w:val="24"/>
                <w:szCs w:val="24"/>
                <w:lang w:eastAsia="zh-CN"/>
              </w:rPr>
              <w:t>进行最后报价。）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752" w:type="dxa"/>
            <w:vAlign w:val="center"/>
          </w:tcPr>
          <w:p>
            <w:pPr>
              <w:spacing w:line="360" w:lineRule="auto"/>
              <w:jc w:val="center"/>
              <w:rPr>
                <w:rFonts w:hint="eastAsia" w:ascii="宋体" w:hAnsi="宋体" w:eastAsia="宋体" w:cs="仿宋_GB2312"/>
                <w:sz w:val="24"/>
                <w:szCs w:val="24"/>
                <w:lang w:eastAsia="zh-CN"/>
              </w:rPr>
            </w:pPr>
            <w:r>
              <w:rPr>
                <w:rFonts w:hint="eastAsia" w:ascii="宋体" w:hAnsi="宋体" w:cs="仿宋_GB2312"/>
                <w:sz w:val="24"/>
                <w:szCs w:val="24"/>
              </w:rPr>
              <w:t>2</w:t>
            </w:r>
            <w:r>
              <w:rPr>
                <w:rFonts w:hint="eastAsia" w:ascii="宋体" w:hAnsi="宋体" w:cs="仿宋_GB2312"/>
                <w:sz w:val="24"/>
                <w:szCs w:val="24"/>
                <w:lang w:val="en-US" w:eastAsia="zh-CN"/>
              </w:rPr>
              <w:t>8</w:t>
            </w:r>
          </w:p>
        </w:tc>
        <w:tc>
          <w:tcPr>
            <w:tcW w:w="8775" w:type="dxa"/>
            <w:vAlign w:val="center"/>
          </w:tcPr>
          <w:p>
            <w:pPr>
              <w:widowControl/>
              <w:spacing w:line="360" w:lineRule="auto"/>
              <w:jc w:val="left"/>
            </w:pPr>
            <w:r>
              <w:rPr>
                <w:rFonts w:hint="eastAsia" w:ascii="宋体" w:hAnsi="宋体" w:cs="宋体"/>
                <w:b/>
                <w:bCs/>
                <w:kern w:val="0"/>
                <w:sz w:val="24"/>
                <w:szCs w:val="24"/>
              </w:rPr>
              <w:t>特别提醒：本项目采用电子化投标的方式。</w:t>
            </w:r>
          </w:p>
          <w:p>
            <w:pPr>
              <w:widowControl/>
              <w:spacing w:line="360" w:lineRule="auto"/>
              <w:jc w:val="left"/>
            </w:pPr>
            <w:r>
              <w:rPr>
                <w:rFonts w:hint="eastAsia" w:ascii="宋体" w:hAnsi="宋体" w:cs="宋体"/>
                <w:kern w:val="0"/>
                <w:sz w:val="24"/>
                <w:szCs w:val="24"/>
              </w:rPr>
              <w:t>1、投标人须使用数字认证证书对电子谈判响应文件进行签章、加密、递交及开标时解密等相关招投标事宜。</w:t>
            </w:r>
            <w:bookmarkStart w:id="369" w:name="_GoBack"/>
            <w:bookmarkEnd w:id="369"/>
            <w:r>
              <w:rPr>
                <w:rFonts w:hint="eastAsia" w:ascii="宋体" w:hAnsi="宋体" w:cs="宋体"/>
                <w:kern w:val="0"/>
                <w:sz w:val="24"/>
                <w:szCs w:val="24"/>
              </w:rPr>
              <w:t xml:space="preserve"> </w:t>
            </w:r>
          </w:p>
          <w:p>
            <w:pPr>
              <w:widowControl/>
              <w:spacing w:line="360" w:lineRule="auto"/>
              <w:jc w:val="left"/>
            </w:pPr>
            <w:r>
              <w:rPr>
                <w:rFonts w:hint="eastAsia" w:ascii="宋体" w:hAnsi="宋体" w:cs="宋体"/>
                <w:kern w:val="0"/>
                <w:sz w:val="24"/>
                <w:szCs w:val="24"/>
              </w:rPr>
              <w:t xml:space="preserve">2、制作电子谈判响应文件。投标人须在“全国公共资源交易中心平台（陕西省）（http://www.sxggzyjy.cn/）”的“服务指南”栏目“下载专区”中，免费下载“陕西省公共资源交易平台政府采购电子标书制作工具”及“政府采购投标单位操作手册”，并使用该客户端制作电子谈判响应文件，制作扩展名为“.SXSTF”的电子谈判响应文件。 </w:t>
            </w:r>
          </w:p>
          <w:p>
            <w:pPr>
              <w:widowControl/>
              <w:spacing w:line="360" w:lineRule="auto"/>
            </w:pPr>
            <w:r>
              <w:rPr>
                <w:rFonts w:hint="eastAsia" w:ascii="宋体" w:hAnsi="宋体" w:cs="宋体"/>
                <w:kern w:val="0"/>
                <w:sz w:val="24"/>
                <w:szCs w:val="24"/>
              </w:rPr>
              <w:t xml:space="preserve">3、递交电子谈判响应文件。登录陕西省公共资源交易中心平台（http://xxxq.sxggzyjy.cn/），选择“电子交易平台-陕西政府采购交易系统-陕西省公共资源交易平台-供应商”进行登录，登录后选择“交易乙方”身份进入，选择“上传谈判响应文件”菜单页面，上传加密的电子谈判响应文件。上传成功后，电子化平台将予以记录。 </w:t>
            </w:r>
          </w:p>
          <w:p>
            <w:pPr>
              <w:spacing w:line="360" w:lineRule="auto"/>
              <w:rPr>
                <w:rFonts w:ascii="宋体" w:hAnsi="宋体" w:cs="宋体"/>
                <w:sz w:val="24"/>
                <w:szCs w:val="24"/>
              </w:rPr>
            </w:pPr>
            <w:r>
              <w:rPr>
                <w:rFonts w:hint="eastAsia" w:ascii="宋体" w:hAnsi="宋体" w:cs="宋体"/>
                <w:kern w:val="0"/>
                <w:sz w:val="24"/>
                <w:szCs w:val="24"/>
              </w:rPr>
              <w:t>4、谈判响应文件中所有涉及签字、盖章的，各投标单位须将所有签字盖章完成后上传。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52" w:type="dxa"/>
            <w:vAlign w:val="center"/>
          </w:tcPr>
          <w:p>
            <w:pPr>
              <w:spacing w:line="360" w:lineRule="auto"/>
              <w:jc w:val="center"/>
              <w:rPr>
                <w:rFonts w:hint="default" w:ascii="宋体" w:hAnsi="宋体" w:eastAsia="宋体" w:cs="仿宋_GB2312"/>
                <w:sz w:val="24"/>
                <w:szCs w:val="24"/>
                <w:lang w:val="en-US" w:eastAsia="zh-CN"/>
              </w:rPr>
            </w:pPr>
            <w:r>
              <w:rPr>
                <w:rFonts w:hint="eastAsia" w:ascii="宋体" w:hAnsi="宋体" w:cs="仿宋_GB2312"/>
                <w:sz w:val="24"/>
                <w:szCs w:val="24"/>
                <w:lang w:val="en-US" w:eastAsia="zh-CN"/>
              </w:rPr>
              <w:t>29</w:t>
            </w:r>
          </w:p>
        </w:tc>
        <w:tc>
          <w:tcPr>
            <w:tcW w:w="8775" w:type="dxa"/>
            <w:vAlign w:val="center"/>
          </w:tcPr>
          <w:p>
            <w:pPr>
              <w:spacing w:line="360" w:lineRule="auto"/>
              <w:rPr>
                <w:rFonts w:hint="eastAsia" w:ascii="宋体" w:hAnsi="宋体" w:eastAsia="宋体" w:cs="宋体"/>
                <w:kern w:val="0"/>
                <w:sz w:val="24"/>
                <w:szCs w:val="24"/>
                <w:lang w:eastAsia="zh-CN"/>
              </w:rPr>
            </w:pPr>
            <w:r>
              <w:rPr>
                <w:rFonts w:hint="eastAsia" w:ascii="宋体" w:hAnsi="宋体" w:cs="宋体"/>
                <w:kern w:val="0"/>
                <w:sz w:val="24"/>
                <w:szCs w:val="24"/>
                <w:lang w:eastAsia="zh-CN"/>
              </w:rPr>
              <w:t>采购标的的所属行业：工业。</w:t>
            </w:r>
          </w:p>
        </w:tc>
      </w:tr>
    </w:tbl>
    <w:p>
      <w:pPr>
        <w:rPr>
          <w:sz w:val="24"/>
          <w:szCs w:val="24"/>
        </w:rPr>
      </w:pPr>
    </w:p>
    <w:p>
      <w:pPr>
        <w:rPr>
          <w:sz w:val="24"/>
          <w:szCs w:val="24"/>
        </w:rPr>
        <w:sectPr>
          <w:headerReference r:id="rId8" w:type="default"/>
          <w:footerReference r:id="rId9" w:type="default"/>
          <w:footnotePr>
            <w:pos w:val="beneathText"/>
          </w:footnotePr>
          <w:pgSz w:w="11906" w:h="16838"/>
          <w:pgMar w:top="1417" w:right="1558" w:bottom="1757" w:left="1417" w:header="851" w:footer="992" w:gutter="0"/>
          <w:pgNumType w:fmt="decimal" w:start="1"/>
          <w:cols w:space="720" w:num="1"/>
          <w:docGrid w:type="lines" w:linePitch="312" w:charSpace="0"/>
        </w:sectPr>
      </w:pPr>
    </w:p>
    <w:bookmarkEnd w:id="7"/>
    <w:bookmarkEnd w:id="12"/>
    <w:bookmarkEnd w:id="13"/>
    <w:bookmarkEnd w:id="14"/>
    <w:bookmarkEnd w:id="15"/>
    <w:p>
      <w:pPr>
        <w:pStyle w:val="4"/>
        <w:spacing w:line="240" w:lineRule="auto"/>
        <w:jc w:val="center"/>
        <w:rPr>
          <w:rFonts w:ascii="宋体" w:hAnsi="宋体" w:cs="宋体"/>
          <w:sz w:val="36"/>
          <w:szCs w:val="36"/>
        </w:rPr>
      </w:pPr>
      <w:bookmarkStart w:id="21" w:name="_Toc246928894"/>
      <w:bookmarkStart w:id="22" w:name="_Toc30436"/>
      <w:bookmarkStart w:id="23" w:name="_Toc12300"/>
      <w:bookmarkStart w:id="24" w:name="_Toc16531"/>
      <w:bookmarkStart w:id="25" w:name="_Toc465958087"/>
      <w:bookmarkStart w:id="26" w:name="_Toc8259"/>
      <w:bookmarkStart w:id="27" w:name="_Toc23139"/>
      <w:bookmarkStart w:id="28" w:name="_Toc4754"/>
      <w:bookmarkStart w:id="29" w:name="_Toc17129"/>
      <w:r>
        <w:rPr>
          <w:rFonts w:hint="eastAsia" w:ascii="宋体" w:hAnsi="宋体" w:cs="宋体"/>
          <w:sz w:val="36"/>
          <w:szCs w:val="36"/>
        </w:rPr>
        <w:t>第三部分  供应商须知</w:t>
      </w:r>
      <w:bookmarkEnd w:id="21"/>
      <w:bookmarkEnd w:id="22"/>
      <w:bookmarkEnd w:id="23"/>
      <w:bookmarkEnd w:id="24"/>
      <w:bookmarkEnd w:id="25"/>
      <w:bookmarkEnd w:id="26"/>
      <w:bookmarkEnd w:id="27"/>
      <w:bookmarkEnd w:id="28"/>
      <w:bookmarkEnd w:id="29"/>
    </w:p>
    <w:p>
      <w:pPr>
        <w:pStyle w:val="5"/>
        <w:spacing w:line="240" w:lineRule="auto"/>
        <w:rPr>
          <w:rFonts w:ascii="宋体" w:hAnsi="宋体" w:eastAsia="宋体" w:cs="宋体"/>
          <w:sz w:val="36"/>
          <w:szCs w:val="24"/>
        </w:rPr>
      </w:pPr>
      <w:bookmarkStart w:id="30" w:name="_Toc30345"/>
      <w:bookmarkStart w:id="31" w:name="_Toc32198"/>
      <w:bookmarkStart w:id="32" w:name="_Toc246928895"/>
      <w:bookmarkStart w:id="33" w:name="_Toc31058"/>
      <w:bookmarkStart w:id="34" w:name="_Toc23623"/>
      <w:bookmarkStart w:id="35" w:name="_Toc465958088"/>
      <w:r>
        <w:rPr>
          <w:rFonts w:hint="eastAsia" w:ascii="宋体" w:hAnsi="宋体" w:eastAsia="宋体" w:cs="宋体"/>
          <w:sz w:val="36"/>
          <w:szCs w:val="24"/>
        </w:rPr>
        <w:t>A 总则</w:t>
      </w:r>
      <w:bookmarkEnd w:id="30"/>
      <w:bookmarkEnd w:id="31"/>
      <w:bookmarkEnd w:id="32"/>
      <w:bookmarkEnd w:id="33"/>
      <w:bookmarkEnd w:id="34"/>
      <w:bookmarkEnd w:id="35"/>
    </w:p>
    <w:p>
      <w:pPr>
        <w:pStyle w:val="6"/>
        <w:spacing w:beforeLines="50" w:afterLines="50"/>
        <w:rPr>
          <w:rFonts w:ascii="宋体" w:hAnsi="宋体" w:cs="宋体"/>
          <w:szCs w:val="24"/>
        </w:rPr>
      </w:pPr>
      <w:bookmarkStart w:id="36" w:name="_Toc13194"/>
      <w:bookmarkStart w:id="37" w:name="_Toc7587"/>
      <w:bookmarkStart w:id="38" w:name="_Toc4811"/>
      <w:bookmarkStart w:id="39" w:name="_Toc465958089"/>
      <w:bookmarkStart w:id="40" w:name="_Toc246928896"/>
      <w:bookmarkStart w:id="41" w:name="_Toc31417"/>
      <w:bookmarkStart w:id="42" w:name="_Toc21639"/>
      <w:r>
        <w:rPr>
          <w:rFonts w:hint="eastAsia" w:ascii="宋体" w:hAnsi="宋体" w:cs="宋体"/>
          <w:szCs w:val="24"/>
        </w:rPr>
        <w:t>1 适用范围</w:t>
      </w:r>
      <w:bookmarkEnd w:id="36"/>
      <w:bookmarkEnd w:id="37"/>
      <w:bookmarkEnd w:id="38"/>
      <w:bookmarkEnd w:id="39"/>
      <w:bookmarkEnd w:id="40"/>
      <w:bookmarkEnd w:id="41"/>
      <w:bookmarkEnd w:id="42"/>
    </w:p>
    <w:p>
      <w:pPr>
        <w:spacing w:line="360" w:lineRule="auto"/>
        <w:rPr>
          <w:rFonts w:ascii="宋体" w:hAnsi="宋体" w:cs="宋体"/>
          <w:sz w:val="24"/>
          <w:szCs w:val="24"/>
        </w:rPr>
      </w:pPr>
      <w:r>
        <w:rPr>
          <w:rFonts w:hint="eastAsia" w:ascii="宋体" w:hAnsi="宋体" w:cs="宋体"/>
          <w:sz w:val="24"/>
          <w:szCs w:val="24"/>
        </w:rPr>
        <w:t>1.1本竞争性谈判文件仅适用于本谈判公告中所叙述项目的</w:t>
      </w:r>
      <w:r>
        <w:rPr>
          <w:rFonts w:hint="eastAsia" w:ascii="宋体" w:hAnsi="宋体" w:cs="宋体"/>
          <w:sz w:val="24"/>
        </w:rPr>
        <w:t>货物及服务采购</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1.2本次采购属政府采购，采购人，采购代理机构、供应商、谈判小组的相关行为均受《中华人民共和国政府采购法》、财政部规章及政府采购项目所在地有关法规、规章的约束，其权利受到上述法律法规的保护。</w:t>
      </w:r>
    </w:p>
    <w:p>
      <w:pPr>
        <w:pStyle w:val="6"/>
        <w:spacing w:beforeLines="50" w:afterLines="50" w:line="360" w:lineRule="auto"/>
        <w:rPr>
          <w:rFonts w:ascii="宋体" w:hAnsi="宋体" w:cs="宋体"/>
          <w:szCs w:val="24"/>
        </w:rPr>
      </w:pPr>
      <w:bookmarkStart w:id="43" w:name="_Toc31636"/>
      <w:bookmarkStart w:id="44" w:name="_Toc9614"/>
      <w:bookmarkStart w:id="45" w:name="_Toc28727"/>
      <w:bookmarkStart w:id="46" w:name="_Toc465958090"/>
      <w:bookmarkStart w:id="47" w:name="_Toc18894"/>
      <w:bookmarkStart w:id="48" w:name="_Toc246928897"/>
      <w:bookmarkStart w:id="49" w:name="_Toc6698"/>
      <w:r>
        <w:rPr>
          <w:rFonts w:hint="eastAsia" w:ascii="宋体" w:hAnsi="宋体" w:cs="宋体"/>
          <w:szCs w:val="24"/>
        </w:rPr>
        <w:t>2 定义</w:t>
      </w:r>
      <w:bookmarkEnd w:id="43"/>
      <w:bookmarkEnd w:id="44"/>
      <w:bookmarkEnd w:id="45"/>
      <w:bookmarkEnd w:id="46"/>
      <w:bookmarkEnd w:id="47"/>
      <w:bookmarkEnd w:id="48"/>
      <w:bookmarkEnd w:id="49"/>
      <w:r>
        <w:rPr>
          <w:rFonts w:hint="eastAsia" w:ascii="宋体" w:hAnsi="宋体" w:cs="宋体"/>
          <w:szCs w:val="24"/>
        </w:rPr>
        <w:t xml:space="preserve"> </w:t>
      </w:r>
    </w:p>
    <w:p>
      <w:pPr>
        <w:spacing w:line="360" w:lineRule="auto"/>
        <w:rPr>
          <w:rFonts w:ascii="宋体" w:hAnsi="宋体" w:cs="宋体"/>
          <w:sz w:val="24"/>
          <w:szCs w:val="24"/>
        </w:rPr>
      </w:pPr>
      <w:r>
        <w:rPr>
          <w:rFonts w:hint="eastAsia" w:ascii="宋体" w:hAnsi="宋体" w:cs="宋体"/>
          <w:sz w:val="24"/>
          <w:szCs w:val="24"/>
        </w:rPr>
        <w:t>2.1 “采购人”系指</w:t>
      </w:r>
      <w:r>
        <w:rPr>
          <w:rFonts w:hint="eastAsia" w:ascii="宋体" w:hAnsi="宋体" w:cs="宋体"/>
          <w:color w:val="000000"/>
          <w:sz w:val="24"/>
          <w:szCs w:val="24"/>
          <w:shd w:val="clear" w:color="auto" w:fill="FFFFFF"/>
          <w:lang w:eastAsia="zh-CN"/>
        </w:rPr>
        <w:t>神木市中鸡镇人民政府</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“采购代理机构”系指</w:t>
      </w:r>
      <w:r>
        <w:rPr>
          <w:rFonts w:hint="eastAsia" w:ascii="宋体" w:hAnsi="宋体" w:cs="宋体"/>
          <w:sz w:val="24"/>
          <w:szCs w:val="24"/>
          <w:lang w:eastAsia="zh-CN"/>
        </w:rPr>
        <w:t>陕西博皓项目管理有限公司</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2.2 “供应商”系指响应采购人要求，向采购人提交竞争性谈判响应文件的供应商。</w:t>
      </w:r>
    </w:p>
    <w:p>
      <w:pPr>
        <w:spacing w:line="360" w:lineRule="auto"/>
        <w:rPr>
          <w:rFonts w:ascii="宋体" w:hAnsi="宋体" w:cs="仿宋_GB2312"/>
          <w:sz w:val="24"/>
          <w:szCs w:val="24"/>
        </w:rPr>
      </w:pPr>
      <w:bookmarkStart w:id="50" w:name="_Toc246928898"/>
      <w:r>
        <w:rPr>
          <w:rFonts w:hint="eastAsia" w:ascii="宋体" w:hAnsi="宋体" w:cs="仿宋_GB2312"/>
          <w:sz w:val="24"/>
          <w:szCs w:val="24"/>
        </w:rPr>
        <w:t>2.3 “货物”系指供应商按招标文件规定，须向买方提供的货物、备品配件、耗材、设备及其它有关技术资料和材料。</w:t>
      </w:r>
    </w:p>
    <w:p>
      <w:pPr>
        <w:spacing w:line="360" w:lineRule="auto"/>
        <w:rPr>
          <w:rFonts w:ascii="宋体" w:hAnsi="宋体" w:cs="宋体"/>
          <w:sz w:val="24"/>
          <w:szCs w:val="24"/>
        </w:rPr>
      </w:pPr>
      <w:r>
        <w:rPr>
          <w:rFonts w:hint="eastAsia" w:ascii="宋体" w:hAnsi="宋体" w:cs="仿宋_GB2312"/>
          <w:sz w:val="24"/>
          <w:szCs w:val="24"/>
        </w:rPr>
        <w:t>2.4 “服务”系指招标文件规定供应商须承担的测试、检验、调试、技术支持、售后服务以及其他类似服务的义务。</w:t>
      </w:r>
    </w:p>
    <w:bookmarkEnd w:id="50"/>
    <w:p>
      <w:pPr>
        <w:pStyle w:val="6"/>
        <w:spacing w:beforeLines="50" w:afterLines="50" w:line="360" w:lineRule="auto"/>
        <w:rPr>
          <w:rFonts w:ascii="宋体" w:hAnsi="宋体" w:cs="宋体"/>
          <w:szCs w:val="24"/>
        </w:rPr>
      </w:pPr>
      <w:bookmarkStart w:id="51" w:name="_Toc465958091"/>
      <w:bookmarkStart w:id="52" w:name="_Toc20739"/>
      <w:bookmarkStart w:id="53" w:name="_Toc16727"/>
      <w:bookmarkStart w:id="54" w:name="_Toc27989"/>
      <w:bookmarkStart w:id="55" w:name="_Toc26952"/>
      <w:bookmarkStart w:id="56" w:name="_Toc19646"/>
      <w:r>
        <w:rPr>
          <w:rFonts w:hint="eastAsia" w:ascii="宋体" w:hAnsi="宋体" w:cs="宋体"/>
          <w:szCs w:val="24"/>
        </w:rPr>
        <w:t>3 合格的</w:t>
      </w:r>
      <w:bookmarkEnd w:id="51"/>
      <w:bookmarkEnd w:id="52"/>
      <w:bookmarkEnd w:id="53"/>
      <w:bookmarkEnd w:id="54"/>
      <w:bookmarkEnd w:id="55"/>
      <w:bookmarkEnd w:id="56"/>
      <w:r>
        <w:rPr>
          <w:rFonts w:hint="eastAsia" w:ascii="宋体" w:hAnsi="宋体" w:cs="宋体"/>
          <w:szCs w:val="24"/>
        </w:rPr>
        <w:t>供应商</w:t>
      </w:r>
    </w:p>
    <w:p>
      <w:pPr>
        <w:wordWrap w:val="0"/>
        <w:topLinePunct/>
        <w:spacing w:line="360" w:lineRule="auto"/>
        <w:jc w:val="left"/>
        <w:rPr>
          <w:rFonts w:ascii="宋体" w:hAnsi="宋体"/>
          <w:sz w:val="24"/>
        </w:rPr>
      </w:pPr>
      <w:bookmarkStart w:id="57" w:name="_Toc18683"/>
      <w:bookmarkStart w:id="58" w:name="_Toc18171"/>
      <w:bookmarkStart w:id="59" w:name="_Toc21286"/>
      <w:bookmarkStart w:id="60" w:name="_Toc9563"/>
      <w:bookmarkStart w:id="61" w:name="_Toc3389"/>
      <w:bookmarkStart w:id="62" w:name="_Toc465958092"/>
      <w:bookmarkStart w:id="63" w:name="_Toc246928899"/>
      <w:r>
        <w:rPr>
          <w:rFonts w:hint="eastAsia" w:ascii="宋体" w:hAnsi="宋体" w:cs="宋体"/>
          <w:sz w:val="24"/>
          <w:szCs w:val="24"/>
        </w:rPr>
        <w:t xml:space="preserve">3.1 </w:t>
      </w:r>
      <w:r>
        <w:rPr>
          <w:rFonts w:hint="eastAsia" w:ascii="宋体" w:hAnsi="宋体"/>
          <w:sz w:val="24"/>
        </w:rPr>
        <w:t>合格的供应商：满足下列资格条件且有能力提供项目所需服务的供应商。</w:t>
      </w:r>
    </w:p>
    <w:p>
      <w:pPr>
        <w:spacing w:line="360" w:lineRule="auto"/>
        <w:rPr>
          <w:rFonts w:ascii="宋体" w:hAnsi="宋体"/>
          <w:bCs/>
          <w:sz w:val="24"/>
        </w:rPr>
      </w:pPr>
      <w:r>
        <w:rPr>
          <w:rFonts w:hint="eastAsia" w:ascii="宋体" w:hAnsi="宋体" w:cs="宋体"/>
          <w:sz w:val="24"/>
          <w:szCs w:val="24"/>
        </w:rPr>
        <w:t>3.2</w:t>
      </w:r>
      <w:r>
        <w:rPr>
          <w:rFonts w:hint="eastAsia" w:ascii="宋体" w:hAnsi="宋体"/>
          <w:bCs/>
          <w:sz w:val="24"/>
        </w:rPr>
        <w:t>资格条件</w:t>
      </w:r>
    </w:p>
    <w:p>
      <w:pPr>
        <w:spacing w:line="360" w:lineRule="auto"/>
        <w:ind w:firstLine="480" w:firstLineChars="200"/>
        <w:rPr>
          <w:rFonts w:ascii="宋体" w:hAnsi="宋体" w:cs="宋体"/>
          <w:sz w:val="24"/>
          <w:szCs w:val="24"/>
        </w:rPr>
      </w:pPr>
      <w:r>
        <w:rPr>
          <w:rFonts w:hint="eastAsia" w:ascii="宋体" w:hAnsi="宋体"/>
          <w:bCs/>
          <w:sz w:val="24"/>
        </w:rPr>
        <w:t>3.2.1</w:t>
      </w:r>
      <w:r>
        <w:rPr>
          <w:rFonts w:hint="eastAsia" w:ascii="宋体" w:hAnsi="宋体" w:cs="宋体"/>
          <w:sz w:val="24"/>
          <w:szCs w:val="24"/>
        </w:rPr>
        <w:t>供应商应当符合《中华人民共和国政府采购法》第二十二条第一款规定的投标人基本资格条件；以及竞争性谈判文件规定的供应商</w:t>
      </w:r>
      <w:r>
        <w:rPr>
          <w:rFonts w:hint="eastAsia" w:ascii="宋体" w:hAnsi="宋体" w:cs="宋体"/>
          <w:sz w:val="24"/>
        </w:rPr>
        <w:t>特定资格条件</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3.3供应商必须从采购代理机构获取竞争性谈判文件，供应商自行转让或复制的竞争性谈判文件视为无效文件；竞争性谈判文件一经售出，一律不退，仅作为本次谈判使用。</w:t>
      </w:r>
    </w:p>
    <w:p>
      <w:pPr>
        <w:spacing w:line="360" w:lineRule="auto"/>
      </w:pPr>
      <w:r>
        <w:rPr>
          <w:rFonts w:hint="eastAsia" w:ascii="宋体" w:hAnsi="宋体" w:cs="宋体"/>
          <w:sz w:val="24"/>
          <w:szCs w:val="24"/>
        </w:rPr>
        <w:t>3.4法定代表人或者负责人为同一人或者存在控股、管理关系的两个以上供应商，不得参加同一政府采购项目投标。</w:t>
      </w:r>
    </w:p>
    <w:p>
      <w:pPr>
        <w:spacing w:line="360" w:lineRule="auto"/>
        <w:rPr>
          <w:rFonts w:ascii="宋体" w:hAnsi="宋体" w:cs="宋体"/>
          <w:color w:val="000000"/>
          <w:sz w:val="24"/>
          <w:szCs w:val="24"/>
        </w:rPr>
      </w:pPr>
      <w:r>
        <w:rPr>
          <w:rFonts w:hint="eastAsia" w:ascii="宋体" w:hAnsi="宋体" w:cs="宋体"/>
          <w:sz w:val="24"/>
          <w:szCs w:val="24"/>
        </w:rPr>
        <w:t>3.5是否接受联合体投标：见投标人须知前附表。接受联合体投标的，两个以上的自</w:t>
      </w:r>
      <w:r>
        <w:rPr>
          <w:rFonts w:hint="eastAsia" w:ascii="宋体" w:hAnsi="宋体" w:cs="宋体"/>
          <w:color w:val="000000"/>
          <w:sz w:val="24"/>
          <w:szCs w:val="24"/>
        </w:rPr>
        <w:t>然人、法人或者其他组织可以组成一个联合体，以一个供应商的身份共同参加政府采购。以联合体形式进行政府采购的，参加联合体的供应商均应当具备招标文件规定的条件，并应当向采购人提交联合协议，载明联合体各方承担的工作和义务。联合体各方应当共同与采购人签订采购合同，就采购合同约定的事项对采购人承担连带责任。</w:t>
      </w:r>
    </w:p>
    <w:p>
      <w:pPr>
        <w:spacing w:line="360" w:lineRule="auto"/>
        <w:rPr>
          <w:rFonts w:ascii="宋体" w:hAnsi="宋体" w:cs="宋体"/>
          <w:color w:val="000000"/>
          <w:sz w:val="24"/>
          <w:szCs w:val="24"/>
        </w:rPr>
      </w:pPr>
      <w:r>
        <w:rPr>
          <w:rFonts w:hint="eastAsia" w:ascii="宋体" w:hAnsi="宋体" w:cs="宋体"/>
          <w:color w:val="000000"/>
          <w:sz w:val="24"/>
          <w:szCs w:val="24"/>
        </w:rPr>
        <w:t>3.6供应商应参照《中华人民共和国政府采购法》及其它有关的中国法律和法规。</w:t>
      </w:r>
    </w:p>
    <w:p>
      <w:pPr>
        <w:pStyle w:val="6"/>
        <w:spacing w:line="360" w:lineRule="auto"/>
        <w:rPr>
          <w:rFonts w:ascii="宋体" w:hAnsi="宋体" w:cs="宋体"/>
        </w:rPr>
      </w:pPr>
      <w:r>
        <w:rPr>
          <w:rFonts w:hint="eastAsia" w:ascii="宋体" w:hAnsi="宋体" w:cs="宋体"/>
        </w:rPr>
        <w:t>4 费用</w:t>
      </w:r>
      <w:bookmarkEnd w:id="57"/>
      <w:bookmarkEnd w:id="58"/>
      <w:bookmarkEnd w:id="59"/>
      <w:bookmarkEnd w:id="60"/>
      <w:bookmarkEnd w:id="61"/>
      <w:bookmarkEnd w:id="62"/>
      <w:bookmarkEnd w:id="63"/>
    </w:p>
    <w:p>
      <w:pPr>
        <w:spacing w:line="360" w:lineRule="auto"/>
        <w:rPr>
          <w:rFonts w:ascii="宋体" w:hAnsi="宋体" w:cs="宋体"/>
          <w:sz w:val="24"/>
        </w:rPr>
      </w:pPr>
      <w:r>
        <w:rPr>
          <w:rFonts w:hint="eastAsia" w:ascii="宋体" w:hAnsi="宋体" w:cs="宋体"/>
          <w:sz w:val="24"/>
        </w:rPr>
        <w:t>4.1 供应商应承担所有与编写和提交竞争性谈判响应文件有关的费用，无论谈判过程中的做法和结果如何，供应商自行承担参加谈判相关的全部费用。</w:t>
      </w:r>
    </w:p>
    <w:p>
      <w:pPr>
        <w:pStyle w:val="5"/>
        <w:rPr>
          <w:rFonts w:ascii="宋体" w:hAnsi="宋体" w:eastAsia="宋体" w:cs="宋体"/>
          <w:sz w:val="44"/>
        </w:rPr>
      </w:pPr>
      <w:bookmarkStart w:id="64" w:name="_Toc1383"/>
      <w:bookmarkStart w:id="65" w:name="_Toc465958093"/>
      <w:bookmarkStart w:id="66" w:name="_Toc26140"/>
      <w:bookmarkStart w:id="67" w:name="_Toc3331"/>
      <w:bookmarkStart w:id="68" w:name="_Toc24227"/>
      <w:bookmarkStart w:id="69" w:name="_Toc246928900"/>
      <w:r>
        <w:rPr>
          <w:rFonts w:hint="eastAsia" w:ascii="宋体" w:hAnsi="宋体" w:eastAsia="宋体" w:cs="宋体"/>
          <w:sz w:val="44"/>
        </w:rPr>
        <w:t>B 竞争性谈判文件说明</w:t>
      </w:r>
      <w:bookmarkEnd w:id="64"/>
      <w:bookmarkEnd w:id="65"/>
      <w:bookmarkEnd w:id="66"/>
      <w:bookmarkEnd w:id="67"/>
      <w:bookmarkEnd w:id="68"/>
      <w:bookmarkEnd w:id="69"/>
    </w:p>
    <w:p>
      <w:pPr>
        <w:pStyle w:val="6"/>
        <w:spacing w:line="360" w:lineRule="auto"/>
        <w:rPr>
          <w:rFonts w:ascii="宋体" w:hAnsi="宋体" w:cs="宋体"/>
        </w:rPr>
      </w:pPr>
      <w:bookmarkStart w:id="70" w:name="_Toc16142"/>
      <w:bookmarkStart w:id="71" w:name="_Toc21132"/>
      <w:bookmarkStart w:id="72" w:name="_Toc6287"/>
      <w:bookmarkStart w:id="73" w:name="_Toc7327"/>
      <w:bookmarkStart w:id="74" w:name="_Toc15639"/>
      <w:bookmarkStart w:id="75" w:name="_Toc465958094"/>
      <w:bookmarkStart w:id="76" w:name="_Toc246928901"/>
      <w:r>
        <w:rPr>
          <w:rFonts w:hint="eastAsia" w:ascii="宋体" w:hAnsi="宋体" w:cs="宋体"/>
        </w:rPr>
        <w:t>5 竞争性谈判文件的构成</w:t>
      </w:r>
      <w:bookmarkEnd w:id="70"/>
      <w:bookmarkEnd w:id="71"/>
      <w:bookmarkEnd w:id="72"/>
      <w:bookmarkEnd w:id="73"/>
      <w:bookmarkEnd w:id="74"/>
      <w:bookmarkEnd w:id="75"/>
      <w:bookmarkEnd w:id="76"/>
    </w:p>
    <w:p>
      <w:pPr>
        <w:spacing w:line="360" w:lineRule="auto"/>
        <w:rPr>
          <w:rFonts w:ascii="宋体" w:hAnsi="宋体" w:cs="宋体"/>
          <w:sz w:val="24"/>
        </w:rPr>
      </w:pPr>
      <w:r>
        <w:rPr>
          <w:rFonts w:hint="eastAsia" w:ascii="宋体" w:hAnsi="宋体" w:cs="宋体"/>
          <w:sz w:val="24"/>
        </w:rPr>
        <w:t>5.1 竞争性谈判文件以阐明所需提供的货物、采购、谈判程序和合同条件。竞争性谈判文件包括：</w:t>
      </w:r>
    </w:p>
    <w:p>
      <w:pPr>
        <w:spacing w:line="360" w:lineRule="auto"/>
        <w:rPr>
          <w:rFonts w:ascii="宋体" w:hAnsi="宋体" w:cs="宋体"/>
          <w:sz w:val="24"/>
        </w:rPr>
      </w:pPr>
      <w:r>
        <w:rPr>
          <w:rFonts w:hint="eastAsia" w:ascii="宋体" w:hAnsi="宋体" w:cs="宋体"/>
          <w:sz w:val="24"/>
        </w:rPr>
        <w:t>5.1.1 竞争性谈判公告；</w:t>
      </w:r>
    </w:p>
    <w:p>
      <w:pPr>
        <w:spacing w:line="360" w:lineRule="auto"/>
        <w:rPr>
          <w:rFonts w:ascii="宋体" w:hAnsi="宋体" w:cs="宋体"/>
          <w:sz w:val="24"/>
        </w:rPr>
      </w:pPr>
      <w:r>
        <w:rPr>
          <w:rFonts w:hint="eastAsia" w:ascii="宋体" w:hAnsi="宋体" w:cs="宋体"/>
          <w:sz w:val="24"/>
        </w:rPr>
        <w:t>5.1.2 供应商须知前附表；</w:t>
      </w:r>
    </w:p>
    <w:p>
      <w:pPr>
        <w:spacing w:line="360" w:lineRule="auto"/>
        <w:rPr>
          <w:rFonts w:ascii="宋体" w:hAnsi="宋体" w:cs="宋体"/>
          <w:sz w:val="24"/>
        </w:rPr>
      </w:pPr>
      <w:r>
        <w:rPr>
          <w:rFonts w:hint="eastAsia" w:ascii="宋体" w:hAnsi="宋体" w:cs="宋体"/>
          <w:sz w:val="24"/>
        </w:rPr>
        <w:t>5.1.3 供应商须知；</w:t>
      </w:r>
    </w:p>
    <w:p>
      <w:pPr>
        <w:tabs>
          <w:tab w:val="left" w:pos="2415"/>
        </w:tabs>
        <w:spacing w:line="360" w:lineRule="auto"/>
        <w:rPr>
          <w:rFonts w:ascii="宋体" w:hAnsi="宋体" w:cs="宋体"/>
          <w:sz w:val="24"/>
        </w:rPr>
      </w:pPr>
      <w:r>
        <w:rPr>
          <w:rFonts w:hint="eastAsia" w:ascii="宋体" w:hAnsi="宋体" w:cs="宋体"/>
          <w:sz w:val="24"/>
        </w:rPr>
        <w:t>5.1.4 政府采购合同；</w:t>
      </w:r>
      <w:r>
        <w:rPr>
          <w:rFonts w:hint="eastAsia" w:ascii="宋体" w:hAnsi="宋体" w:cs="宋体"/>
          <w:sz w:val="24"/>
        </w:rPr>
        <w:tab/>
      </w:r>
    </w:p>
    <w:p>
      <w:pPr>
        <w:spacing w:line="360" w:lineRule="auto"/>
        <w:rPr>
          <w:rFonts w:ascii="宋体" w:hAnsi="宋体" w:cs="宋体"/>
          <w:sz w:val="24"/>
        </w:rPr>
      </w:pPr>
      <w:r>
        <w:rPr>
          <w:rFonts w:hint="eastAsia" w:ascii="宋体" w:hAnsi="宋体" w:cs="宋体"/>
          <w:sz w:val="24"/>
        </w:rPr>
        <w:t>5.1.5 商务要求；</w:t>
      </w:r>
    </w:p>
    <w:p>
      <w:pPr>
        <w:spacing w:line="360" w:lineRule="auto"/>
        <w:rPr>
          <w:rFonts w:ascii="宋体" w:hAnsi="宋体" w:cs="宋体"/>
          <w:sz w:val="24"/>
        </w:rPr>
      </w:pPr>
      <w:r>
        <w:rPr>
          <w:rFonts w:hint="eastAsia" w:ascii="宋体" w:hAnsi="宋体" w:cs="宋体"/>
          <w:sz w:val="24"/>
        </w:rPr>
        <w:t xml:space="preserve">5.1.6 采购内容及要求； </w:t>
      </w:r>
    </w:p>
    <w:p>
      <w:pPr>
        <w:pStyle w:val="14"/>
        <w:spacing w:line="360" w:lineRule="auto"/>
        <w:rPr>
          <w:rFonts w:ascii="宋体" w:hAnsi="宋体" w:cs="宋体"/>
          <w:sz w:val="24"/>
        </w:rPr>
      </w:pPr>
      <w:r>
        <w:rPr>
          <w:rFonts w:hint="eastAsia" w:ascii="宋体" w:hAnsi="宋体" w:cs="宋体"/>
          <w:sz w:val="24"/>
        </w:rPr>
        <w:t>5.1.7 评审方法；</w:t>
      </w:r>
    </w:p>
    <w:p>
      <w:pPr>
        <w:pStyle w:val="14"/>
        <w:spacing w:line="360" w:lineRule="auto"/>
        <w:rPr>
          <w:rFonts w:ascii="宋体" w:hAnsi="宋体" w:cs="宋体"/>
          <w:sz w:val="24"/>
        </w:rPr>
      </w:pPr>
      <w:r>
        <w:rPr>
          <w:rFonts w:hint="eastAsia" w:ascii="宋体" w:hAnsi="宋体" w:cs="宋体"/>
          <w:sz w:val="24"/>
        </w:rPr>
        <w:t>5.1.8竞争性谈判响应文件格式</w:t>
      </w:r>
    </w:p>
    <w:p>
      <w:pPr>
        <w:pStyle w:val="14"/>
        <w:spacing w:line="360" w:lineRule="auto"/>
        <w:rPr>
          <w:rFonts w:ascii="宋体" w:hAnsi="宋体" w:cs="宋体"/>
          <w:sz w:val="24"/>
        </w:rPr>
      </w:pPr>
      <w:r>
        <w:rPr>
          <w:rFonts w:hint="eastAsia" w:ascii="宋体" w:hAnsi="宋体" w:cs="宋体"/>
          <w:sz w:val="24"/>
        </w:rPr>
        <w:t>5.1.9封袋正面标识式样</w:t>
      </w:r>
    </w:p>
    <w:p>
      <w:pPr>
        <w:spacing w:line="360" w:lineRule="auto"/>
        <w:rPr>
          <w:rFonts w:ascii="宋体" w:hAnsi="宋体" w:cs="宋体"/>
          <w:sz w:val="24"/>
        </w:rPr>
      </w:pPr>
      <w:r>
        <w:rPr>
          <w:rFonts w:hint="eastAsia" w:ascii="宋体" w:hAnsi="宋体" w:cs="宋体"/>
          <w:sz w:val="24"/>
        </w:rPr>
        <w:t>5.2 供应商应认真阅读竞争性谈判文件中所有的事项、格式、条款和规范要求等。</w:t>
      </w:r>
    </w:p>
    <w:p>
      <w:pPr>
        <w:spacing w:line="360" w:lineRule="auto"/>
        <w:rPr>
          <w:rFonts w:ascii="宋体" w:hAnsi="宋体" w:cs="宋体"/>
          <w:sz w:val="24"/>
        </w:rPr>
      </w:pPr>
      <w:r>
        <w:rPr>
          <w:rFonts w:hint="eastAsia" w:ascii="宋体" w:hAnsi="宋体" w:cs="宋体"/>
          <w:sz w:val="24"/>
        </w:rPr>
        <w:t>5.3 供应商没有对竞争性谈判文件全面做出实质性响应是供应商的风险。采购人有权拒绝没有对竞争性谈判文件要求做出实质性响应的谈判。</w:t>
      </w:r>
    </w:p>
    <w:p>
      <w:pPr>
        <w:spacing w:line="360" w:lineRule="auto"/>
        <w:rPr>
          <w:rFonts w:ascii="宋体" w:hAnsi="宋体" w:cs="宋体"/>
          <w:sz w:val="24"/>
          <w:szCs w:val="24"/>
        </w:rPr>
      </w:pPr>
      <w:r>
        <w:rPr>
          <w:rFonts w:hint="eastAsia" w:ascii="宋体" w:hAnsi="宋体" w:cs="宋体"/>
          <w:sz w:val="24"/>
          <w:szCs w:val="24"/>
        </w:rPr>
        <w:t>5.4采购项目需要落实的政府采购政策：国务院财政部门会同有关部门制定的采购需求标准、预留采购份额、价格评审优惠、优先采购等措施，实现节约能源、保护环境、扶持不发达地区和少数民族地区、促进中小企业发展等目标的政府采购政策。</w:t>
      </w:r>
    </w:p>
    <w:p>
      <w:pPr>
        <w:pStyle w:val="18"/>
        <w:spacing w:before="0" w:beforeAutospacing="0" w:after="0" w:afterAutospacing="0" w:line="360" w:lineRule="auto"/>
        <w:ind w:firstLine="480" w:firstLineChars="200"/>
        <w:jc w:val="both"/>
        <w:rPr>
          <w:rFonts w:ascii="宋体" w:hAnsi="宋体" w:cs="宋体"/>
          <w:bCs/>
          <w:szCs w:val="24"/>
        </w:rPr>
      </w:pPr>
      <w:r>
        <w:rPr>
          <w:rFonts w:hint="eastAsia" w:ascii="宋体" w:hAnsi="宋体" w:cs="宋体"/>
          <w:bCs/>
          <w:szCs w:val="24"/>
        </w:rPr>
        <w:t>5.4.1</w:t>
      </w:r>
      <w:r>
        <w:rPr>
          <w:rFonts w:hint="eastAsia" w:ascii="宋体" w:hAnsi="宋体" w:cs="宋体"/>
          <w:spacing w:val="6"/>
          <w:kern w:val="2"/>
          <w:szCs w:val="24"/>
        </w:rPr>
        <w:t>根据</w:t>
      </w:r>
      <w:r>
        <w:rPr>
          <w:rFonts w:hint="eastAsia" w:ascii="宋体" w:hAnsi="宋体" w:cs="宋体"/>
          <w:kern w:val="2"/>
          <w:szCs w:val="24"/>
        </w:rPr>
        <w:t>《政府采购促进中小企业发展管理办法》（财库【2020】</w:t>
      </w:r>
      <w:r>
        <w:rPr>
          <w:rFonts w:hint="eastAsia" w:ascii="宋体" w:hAnsi="宋体" w:cs="宋体"/>
          <w:kern w:val="2"/>
          <w:szCs w:val="24"/>
          <w:lang w:val="en-US" w:eastAsia="zh-CN"/>
        </w:rPr>
        <w:t>19</w:t>
      </w:r>
      <w:r>
        <w:rPr>
          <w:rFonts w:hint="eastAsia" w:ascii="宋体" w:hAnsi="宋体" w:cs="宋体"/>
          <w:kern w:val="2"/>
          <w:szCs w:val="24"/>
        </w:rPr>
        <w:t>号）</w:t>
      </w:r>
      <w:r>
        <w:rPr>
          <w:rFonts w:hint="eastAsia" w:ascii="宋体" w:hAnsi="宋体" w:cs="宋体"/>
          <w:spacing w:val="6"/>
          <w:kern w:val="2"/>
          <w:szCs w:val="24"/>
        </w:rPr>
        <w:t>的规定</w:t>
      </w:r>
      <w:r>
        <w:rPr>
          <w:rFonts w:hint="eastAsia" w:ascii="宋体" w:hAnsi="宋体" w:cs="宋体"/>
          <w:kern w:val="2"/>
          <w:szCs w:val="24"/>
        </w:rPr>
        <w:t>中、小、微企业参加投标时对小型和微型企业产品的价格给予</w:t>
      </w:r>
      <w:r>
        <w:rPr>
          <w:rFonts w:hint="eastAsia" w:ascii="宋体" w:hAnsi="宋体" w:cs="宋体"/>
          <w:kern w:val="2"/>
          <w:szCs w:val="24"/>
          <w:lang w:val="en-US" w:eastAsia="zh-CN"/>
        </w:rPr>
        <w:t>20</w:t>
      </w:r>
      <w:r>
        <w:rPr>
          <w:rFonts w:hint="eastAsia" w:ascii="宋体" w:hAnsi="宋体" w:cs="宋体"/>
          <w:kern w:val="2"/>
          <w:szCs w:val="24"/>
        </w:rPr>
        <w:t>%的扣除，用扣除后的价格参与评审。</w:t>
      </w:r>
    </w:p>
    <w:p>
      <w:pPr>
        <w:widowControl/>
        <w:tabs>
          <w:tab w:val="left" w:pos="1620"/>
        </w:tabs>
        <w:spacing w:line="360" w:lineRule="auto"/>
        <w:ind w:firstLine="420" w:firstLineChars="175"/>
        <w:jc w:val="left"/>
        <w:rPr>
          <w:rFonts w:ascii="宋体" w:hAnsi="宋体" w:cs="宋体"/>
          <w:bCs/>
          <w:kern w:val="0"/>
          <w:sz w:val="24"/>
          <w:szCs w:val="24"/>
        </w:rPr>
      </w:pPr>
      <w:r>
        <w:rPr>
          <w:rFonts w:hint="eastAsia" w:ascii="宋体" w:hAnsi="宋体" w:cs="宋体"/>
          <w:bCs/>
          <w:kern w:val="0"/>
          <w:sz w:val="24"/>
          <w:szCs w:val="24"/>
        </w:rPr>
        <w:t>5.4.2《财政部司法部关于政府采购支持监狱企业发展有关问题的通知》--财库[2014]68号 ；</w:t>
      </w:r>
    </w:p>
    <w:p>
      <w:pPr>
        <w:widowControl/>
        <w:tabs>
          <w:tab w:val="left" w:pos="1620"/>
        </w:tabs>
        <w:spacing w:line="360" w:lineRule="auto"/>
        <w:ind w:firstLine="420" w:firstLineChars="175"/>
        <w:jc w:val="left"/>
        <w:rPr>
          <w:rFonts w:ascii="宋体" w:hAnsi="宋体" w:cs="宋体"/>
          <w:bCs/>
          <w:kern w:val="0"/>
          <w:sz w:val="24"/>
          <w:szCs w:val="24"/>
        </w:rPr>
      </w:pPr>
      <w:r>
        <w:rPr>
          <w:rFonts w:hint="eastAsia" w:ascii="宋体" w:hAnsi="宋体" w:cs="宋体"/>
          <w:bCs/>
          <w:kern w:val="0"/>
          <w:sz w:val="24"/>
          <w:szCs w:val="24"/>
        </w:rPr>
        <w:t>5.4.3《国务院办公厅关于建立政府强制采购节能产品制度的通知》--国办发[2007]51号 ；</w:t>
      </w:r>
    </w:p>
    <w:p>
      <w:pPr>
        <w:widowControl/>
        <w:tabs>
          <w:tab w:val="left" w:pos="1620"/>
        </w:tabs>
        <w:spacing w:line="360" w:lineRule="auto"/>
        <w:ind w:firstLine="420" w:firstLineChars="175"/>
        <w:jc w:val="left"/>
        <w:rPr>
          <w:rFonts w:ascii="宋体" w:hAnsi="宋体" w:cs="宋体"/>
          <w:bCs/>
          <w:kern w:val="0"/>
          <w:sz w:val="24"/>
          <w:szCs w:val="24"/>
        </w:rPr>
      </w:pPr>
      <w:r>
        <w:rPr>
          <w:rFonts w:hint="eastAsia" w:ascii="宋体" w:hAnsi="宋体" w:cs="宋体"/>
          <w:bCs/>
          <w:kern w:val="0"/>
          <w:sz w:val="24"/>
          <w:szCs w:val="24"/>
        </w:rPr>
        <w:t xml:space="preserve">5.4.4《节能产品政府采购实施意见》--（财库[2004]185号）； </w:t>
      </w:r>
    </w:p>
    <w:p>
      <w:pPr>
        <w:widowControl/>
        <w:tabs>
          <w:tab w:val="left" w:pos="1620"/>
        </w:tabs>
        <w:spacing w:line="360" w:lineRule="auto"/>
        <w:ind w:firstLine="420" w:firstLineChars="175"/>
        <w:jc w:val="left"/>
        <w:rPr>
          <w:rFonts w:ascii="宋体" w:hAnsi="宋体" w:cs="宋体"/>
          <w:bCs/>
          <w:kern w:val="0"/>
          <w:sz w:val="24"/>
          <w:szCs w:val="24"/>
        </w:rPr>
      </w:pPr>
      <w:r>
        <w:rPr>
          <w:rFonts w:hint="eastAsia" w:ascii="宋体" w:hAnsi="宋体" w:cs="宋体"/>
          <w:bCs/>
          <w:kern w:val="0"/>
          <w:sz w:val="24"/>
          <w:szCs w:val="24"/>
        </w:rPr>
        <w:t>5.4.5《环境标志产品政府采购实施的意见》--财库[2006]90号，投标人所投产品应优先选择财政部、国家发展改革委公布的环境标志产品政府采购清单目录内的产品（须提供节能、环保认证证书复印件加盖公章）</w:t>
      </w:r>
      <w:r>
        <w:rPr>
          <w:rFonts w:hint="eastAsia" w:ascii="宋体" w:hAnsi="宋体" w:cs="宋体"/>
          <w:sz w:val="24"/>
          <w:szCs w:val="24"/>
        </w:rPr>
        <w:t>；</w:t>
      </w:r>
    </w:p>
    <w:p>
      <w:pPr>
        <w:spacing w:line="360" w:lineRule="auto"/>
        <w:ind w:firstLine="420" w:firstLineChars="175"/>
        <w:rPr>
          <w:rFonts w:ascii="宋体" w:hAnsi="宋体" w:cs="宋体"/>
          <w:bCs/>
          <w:kern w:val="0"/>
          <w:sz w:val="24"/>
          <w:szCs w:val="24"/>
        </w:rPr>
      </w:pPr>
      <w:r>
        <w:rPr>
          <w:rFonts w:hint="eastAsia" w:ascii="宋体" w:hAnsi="宋体" w:cs="宋体"/>
          <w:bCs/>
          <w:kern w:val="0"/>
          <w:sz w:val="24"/>
          <w:szCs w:val="24"/>
        </w:rPr>
        <w:t>5.4.6《财政部民政部中国残疾人联合会关于促进残疾人就业政府采购政策的通知》--（财库〔2017〕141号）；</w:t>
      </w:r>
    </w:p>
    <w:p>
      <w:pPr>
        <w:pStyle w:val="11"/>
        <w:spacing w:line="360" w:lineRule="auto"/>
        <w:rPr>
          <w:rFonts w:ascii="宋体" w:hAnsi="宋体" w:cs="宋体"/>
          <w:bCs/>
          <w:kern w:val="0"/>
          <w:sz w:val="24"/>
          <w:szCs w:val="24"/>
        </w:rPr>
      </w:pPr>
      <w:r>
        <w:rPr>
          <w:rFonts w:hint="eastAsia" w:ascii="宋体" w:hAnsi="宋体" w:cs="宋体"/>
          <w:bCs/>
          <w:kern w:val="0"/>
          <w:sz w:val="24"/>
          <w:szCs w:val="24"/>
        </w:rPr>
        <w:t xml:space="preserve">    5.4.7《政府采购贫困地区农副产品实施方案》--（财库〔2019〕41号）；</w:t>
      </w:r>
    </w:p>
    <w:p>
      <w:pPr>
        <w:widowControl/>
        <w:tabs>
          <w:tab w:val="left" w:pos="1620"/>
        </w:tabs>
        <w:adjustRightInd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5.4.8《关于在政府采购活动中查询及使用信用记录有关问题的通知》（财库〔2016〕125号）；</w:t>
      </w:r>
    </w:p>
    <w:p>
      <w:pPr>
        <w:pStyle w:val="11"/>
        <w:spacing w:line="360" w:lineRule="auto"/>
        <w:ind w:left="19" w:leftChars="9" w:firstLine="458" w:firstLineChars="191"/>
      </w:pPr>
      <w:r>
        <w:rPr>
          <w:rFonts w:hint="eastAsia" w:ascii="宋体" w:hAnsi="宋体" w:cs="宋体"/>
          <w:bCs/>
          <w:kern w:val="0"/>
          <w:sz w:val="24"/>
          <w:szCs w:val="24"/>
        </w:rPr>
        <w:t xml:space="preserve">5.4.9《关于开展政府采购信用担保试点工作的通知》（财库【2011】124号）。 </w:t>
      </w:r>
    </w:p>
    <w:p>
      <w:pPr>
        <w:widowControl/>
        <w:tabs>
          <w:tab w:val="left" w:pos="1620"/>
        </w:tabs>
        <w:adjustRightInd w:val="0"/>
        <w:snapToGrid w:val="0"/>
        <w:spacing w:line="360" w:lineRule="auto"/>
        <w:ind w:firstLine="480" w:firstLineChars="200"/>
        <w:jc w:val="left"/>
        <w:rPr>
          <w:rFonts w:ascii="宋体" w:hAnsi="宋体" w:cs="宋体"/>
          <w:bCs/>
          <w:kern w:val="0"/>
          <w:sz w:val="24"/>
          <w:szCs w:val="24"/>
        </w:rPr>
      </w:pPr>
      <w:r>
        <w:rPr>
          <w:rFonts w:hint="eastAsia" w:ascii="宋体" w:hAnsi="宋体" w:cs="仿宋_GB2312"/>
          <w:kern w:val="0"/>
          <w:sz w:val="24"/>
          <w:szCs w:val="24"/>
        </w:rPr>
        <w:t>5.4.10</w:t>
      </w:r>
      <w:r>
        <w:rPr>
          <w:rFonts w:hint="eastAsia" w:ascii="宋体" w:hAnsi="宋体" w:cs="宋体"/>
          <w:bCs/>
          <w:kern w:val="0"/>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宋体" w:hAnsi="宋体" w:cs="宋体"/>
          <w:bCs/>
          <w:kern w:val="0"/>
          <w:sz w:val="24"/>
          <w:szCs w:val="24"/>
        </w:rPr>
        <w:drawing>
          <wp:inline distT="0" distB="0" distL="114300" distR="114300">
            <wp:extent cx="190500" cy="142875"/>
            <wp:effectExtent l="0" t="0" r="0" b="952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16" cstate="print"/>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bCs/>
          <w:kern w:val="0"/>
          <w:sz w:val="24"/>
          <w:szCs w:val="24"/>
        </w:rPr>
        <w:t>http://www.ccgp-shaanxi.gov.cn/zcdservice/zcd/shanxi/）在线申请，依法参加政府采购信用融资活动。</w:t>
      </w:r>
    </w:p>
    <w:p>
      <w:pPr>
        <w:adjustRightInd w:val="0"/>
        <w:snapToGrid w:val="0"/>
        <w:spacing w:line="360" w:lineRule="auto"/>
        <w:rPr>
          <w:rFonts w:ascii="宋体" w:hAnsi="宋体" w:cs="宋体"/>
          <w:bCs/>
          <w:kern w:val="0"/>
          <w:sz w:val="24"/>
          <w:szCs w:val="24"/>
        </w:rPr>
      </w:pPr>
      <w:r>
        <w:rPr>
          <w:rFonts w:hint="eastAsia" w:ascii="宋体" w:hAnsi="宋体" w:cs="宋体"/>
          <w:bCs/>
          <w:kern w:val="0"/>
          <w:sz w:val="24"/>
          <w:szCs w:val="24"/>
        </w:rPr>
        <w:t>目前的合作银行有：北京银行、中国建设银行、中信银行、中国平安银行、中国光大银行、浦发银行、兴业银行、中国工商银行、秦农银行、浙商银行、中国银行、西安银行、中国农业银行、中国邮政储蓄银行（排名不分先后）。</w:t>
      </w:r>
    </w:p>
    <w:p>
      <w:pPr>
        <w:pStyle w:val="6"/>
        <w:spacing w:line="360" w:lineRule="auto"/>
        <w:rPr>
          <w:rFonts w:ascii="宋体" w:hAnsi="宋体" w:cs="宋体"/>
        </w:rPr>
      </w:pPr>
      <w:bookmarkStart w:id="77" w:name="_Toc465958095"/>
      <w:bookmarkStart w:id="78" w:name="_Toc246928902"/>
      <w:bookmarkStart w:id="79" w:name="_Toc29090"/>
      <w:bookmarkStart w:id="80" w:name="_Toc9452"/>
      <w:bookmarkStart w:id="81" w:name="_Toc2275"/>
      <w:bookmarkStart w:id="82" w:name="_Toc7858"/>
      <w:bookmarkStart w:id="83" w:name="_Toc32248"/>
      <w:r>
        <w:rPr>
          <w:rFonts w:hint="eastAsia" w:ascii="宋体" w:hAnsi="宋体" w:cs="宋体"/>
        </w:rPr>
        <w:t>6 竞争性谈判文件的澄清</w:t>
      </w:r>
      <w:bookmarkEnd w:id="77"/>
      <w:bookmarkEnd w:id="78"/>
      <w:bookmarkEnd w:id="79"/>
      <w:bookmarkEnd w:id="80"/>
      <w:bookmarkEnd w:id="81"/>
      <w:bookmarkEnd w:id="82"/>
      <w:bookmarkEnd w:id="83"/>
    </w:p>
    <w:p>
      <w:pPr>
        <w:spacing w:line="360" w:lineRule="auto"/>
        <w:rPr>
          <w:rFonts w:ascii="宋体" w:hAnsi="宋体" w:cs="宋体"/>
          <w:sz w:val="24"/>
        </w:rPr>
      </w:pPr>
      <w:r>
        <w:rPr>
          <w:rFonts w:hint="eastAsia" w:ascii="宋体" w:hAnsi="宋体" w:cs="宋体"/>
          <w:sz w:val="24"/>
        </w:rPr>
        <w:t>6.1 任何要求对竞争性谈判文件澄清的供应商，均应以书面形式在谈判截止时间2日前通知采购代理机构。采购代理机构将以书面形式予以答复，并在其认为必要时，将不标明查询来源的书面答复通知竞争性谈判文件收受人。</w:t>
      </w:r>
    </w:p>
    <w:p>
      <w:pPr>
        <w:spacing w:line="360" w:lineRule="auto"/>
        <w:rPr>
          <w:rFonts w:ascii="宋体" w:hAnsi="宋体" w:cs="宋体"/>
          <w:sz w:val="24"/>
        </w:rPr>
      </w:pPr>
      <w:r>
        <w:rPr>
          <w:rFonts w:hint="eastAsia" w:ascii="宋体" w:hAnsi="宋体" w:cs="宋体"/>
          <w:sz w:val="24"/>
        </w:rPr>
        <w:t>6.2 供应商收到上述通知后，应当立即向采购代理机构发出回函予以确认。</w:t>
      </w:r>
    </w:p>
    <w:p>
      <w:pPr>
        <w:spacing w:line="360" w:lineRule="auto"/>
        <w:rPr>
          <w:rFonts w:ascii="宋体" w:hAnsi="宋体" w:cs="宋体"/>
          <w:sz w:val="24"/>
        </w:rPr>
      </w:pPr>
      <w:r>
        <w:rPr>
          <w:rFonts w:hint="eastAsia" w:ascii="宋体" w:hAnsi="宋体" w:cs="宋体"/>
          <w:sz w:val="24"/>
        </w:rPr>
        <w:t>6.3 该澄清的内容为竞争性谈判文件的组成部分。</w:t>
      </w:r>
    </w:p>
    <w:p>
      <w:pPr>
        <w:pStyle w:val="6"/>
        <w:spacing w:line="360" w:lineRule="auto"/>
        <w:rPr>
          <w:rFonts w:ascii="宋体" w:hAnsi="宋体" w:cs="宋体"/>
        </w:rPr>
      </w:pPr>
      <w:bookmarkStart w:id="84" w:name="_Toc25100"/>
      <w:bookmarkStart w:id="85" w:name="_Toc28323"/>
      <w:bookmarkStart w:id="86" w:name="_Toc30004"/>
      <w:bookmarkStart w:id="87" w:name="_Toc11107"/>
      <w:bookmarkStart w:id="88" w:name="_Toc246928903"/>
      <w:bookmarkStart w:id="89" w:name="_Toc465958096"/>
      <w:bookmarkStart w:id="90" w:name="_Toc29244"/>
      <w:r>
        <w:rPr>
          <w:rFonts w:hint="eastAsia" w:ascii="宋体" w:hAnsi="宋体" w:cs="宋体"/>
        </w:rPr>
        <w:t>7 竞争性谈判文件的修改</w:t>
      </w:r>
      <w:bookmarkEnd w:id="84"/>
      <w:bookmarkEnd w:id="85"/>
      <w:bookmarkEnd w:id="86"/>
      <w:bookmarkEnd w:id="87"/>
      <w:bookmarkEnd w:id="88"/>
      <w:bookmarkEnd w:id="89"/>
      <w:bookmarkEnd w:id="90"/>
    </w:p>
    <w:p>
      <w:pPr>
        <w:spacing w:line="360" w:lineRule="auto"/>
        <w:rPr>
          <w:rFonts w:ascii="宋体" w:hAnsi="宋体" w:cs="宋体"/>
          <w:sz w:val="24"/>
        </w:rPr>
      </w:pPr>
      <w:r>
        <w:rPr>
          <w:rFonts w:hint="eastAsia" w:ascii="宋体" w:hAnsi="宋体" w:cs="宋体"/>
          <w:sz w:val="24"/>
        </w:rPr>
        <w:t>7.1 在竞争性谈判截止期前，无论出于何种原因，采购人可主动地或在解答供应商要求澄清的问题时对竞争性谈判文件进行修改。</w:t>
      </w:r>
    </w:p>
    <w:p>
      <w:pPr>
        <w:spacing w:line="360" w:lineRule="auto"/>
        <w:rPr>
          <w:rFonts w:ascii="宋体" w:hAnsi="宋体" w:cs="宋体"/>
          <w:sz w:val="24"/>
        </w:rPr>
      </w:pPr>
      <w:r>
        <w:rPr>
          <w:rFonts w:hint="eastAsia" w:ascii="宋体" w:hAnsi="宋体" w:cs="宋体"/>
          <w:sz w:val="24"/>
        </w:rPr>
        <w:t>7.2 竞争性谈判文件的修改将以书面形式通知所有竞争性谈判文件的收受人，供应商在收到该通知后应立即以书面形式予以确认。</w:t>
      </w:r>
    </w:p>
    <w:p>
      <w:pPr>
        <w:spacing w:line="360" w:lineRule="auto"/>
        <w:rPr>
          <w:rFonts w:ascii="宋体" w:hAnsi="宋体" w:cs="宋体"/>
          <w:sz w:val="24"/>
        </w:rPr>
      </w:pPr>
      <w:r>
        <w:rPr>
          <w:rFonts w:hint="eastAsia" w:ascii="宋体" w:hAnsi="宋体" w:cs="宋体"/>
          <w:sz w:val="24"/>
        </w:rPr>
        <w:t>7.3 为使供应商在准备竞争性谈判响应文件时，有充分的时间对竞争性谈判文件的修改进行研究考虑，采购人可自行决定，酌情推迟竞争性谈判响应文件截止日期和谈判时间，并以书面形式通知所有已领取竞争性谈判文件的供应商。</w:t>
      </w:r>
    </w:p>
    <w:p>
      <w:pPr>
        <w:spacing w:line="360" w:lineRule="auto"/>
        <w:rPr>
          <w:rFonts w:ascii="宋体" w:hAnsi="宋体" w:cs="宋体"/>
          <w:sz w:val="24"/>
        </w:rPr>
      </w:pPr>
      <w:r>
        <w:rPr>
          <w:rFonts w:hint="eastAsia" w:ascii="宋体" w:hAnsi="宋体" w:cs="宋体"/>
          <w:sz w:val="24"/>
        </w:rPr>
        <w:t>7.4 竞争性谈判文件修改书将构成竞争性谈判文件的一部分，对采购人和供应商都具有约束力。</w:t>
      </w:r>
    </w:p>
    <w:p>
      <w:pPr>
        <w:pStyle w:val="6"/>
        <w:rPr>
          <w:rFonts w:ascii="宋体" w:hAnsi="宋体" w:cs="宋体"/>
          <w:szCs w:val="24"/>
        </w:rPr>
      </w:pPr>
      <w:r>
        <w:rPr>
          <w:rFonts w:hint="eastAsia" w:ascii="宋体" w:hAnsi="宋体" w:cs="宋体"/>
        </w:rPr>
        <w:t>8 竞争性谈判文件的获取</w:t>
      </w:r>
    </w:p>
    <w:p>
      <w:pPr>
        <w:spacing w:line="360" w:lineRule="auto"/>
        <w:ind w:firstLine="480" w:firstLineChars="200"/>
        <w:rPr>
          <w:rFonts w:ascii="宋体" w:hAnsi="宋体" w:cs="宋体"/>
          <w:sz w:val="24"/>
          <w:szCs w:val="24"/>
        </w:rPr>
      </w:pPr>
      <w:r>
        <w:rPr>
          <w:rFonts w:hint="eastAsia" w:ascii="宋体" w:hAnsi="宋体" w:cs="宋体"/>
          <w:sz w:val="24"/>
          <w:szCs w:val="24"/>
        </w:rPr>
        <w:t>招标采购公告发布后，有意向的投标人应从采购代理机构获取竞争性谈判文件及平台报名并下载谈判文件，仅作为本次招标使用。投标单位自行转让或复制的竞争性谈判文件视为无效文件。</w:t>
      </w:r>
    </w:p>
    <w:p>
      <w:pPr>
        <w:pStyle w:val="6"/>
        <w:rPr>
          <w:rFonts w:ascii="宋体" w:hAnsi="宋体" w:cs="宋体"/>
          <w:sz w:val="24"/>
          <w:szCs w:val="24"/>
        </w:rPr>
      </w:pPr>
      <w:r>
        <w:rPr>
          <w:rFonts w:hint="eastAsia" w:ascii="宋体" w:hAnsi="宋体" w:cs="宋体"/>
        </w:rPr>
        <w:t>9 解释权归属</w:t>
      </w:r>
    </w:p>
    <w:p>
      <w:pPr>
        <w:spacing w:line="360" w:lineRule="auto"/>
        <w:ind w:firstLine="566" w:firstLineChars="236"/>
      </w:pPr>
      <w:r>
        <w:rPr>
          <w:rFonts w:hint="eastAsia" w:ascii="宋体" w:hAnsi="宋体" w:cs="宋体"/>
          <w:sz w:val="24"/>
          <w:szCs w:val="24"/>
        </w:rPr>
        <w:t xml:space="preserve">本次竞争性谈判文件的解释权归采购代理机构。 </w:t>
      </w:r>
    </w:p>
    <w:p>
      <w:pPr>
        <w:pStyle w:val="5"/>
        <w:rPr>
          <w:rFonts w:ascii="宋体" w:hAnsi="宋体" w:eastAsia="宋体" w:cs="宋体"/>
          <w:sz w:val="36"/>
        </w:rPr>
      </w:pPr>
      <w:bookmarkStart w:id="91" w:name="_Toc28020"/>
      <w:bookmarkStart w:id="92" w:name="_Toc30520"/>
      <w:bookmarkStart w:id="93" w:name="_Toc246928904"/>
      <w:bookmarkStart w:id="94" w:name="_Toc585"/>
      <w:bookmarkStart w:id="95" w:name="_Toc19669"/>
      <w:bookmarkStart w:id="96" w:name="_Toc465958097"/>
      <w:r>
        <w:rPr>
          <w:rFonts w:hint="eastAsia" w:ascii="宋体" w:hAnsi="宋体" w:eastAsia="宋体" w:cs="宋体"/>
          <w:sz w:val="36"/>
        </w:rPr>
        <w:t>C 竞争性谈判响应文件的编写</w:t>
      </w:r>
      <w:bookmarkEnd w:id="91"/>
      <w:bookmarkEnd w:id="92"/>
      <w:bookmarkEnd w:id="93"/>
      <w:bookmarkEnd w:id="94"/>
      <w:bookmarkEnd w:id="95"/>
      <w:bookmarkEnd w:id="96"/>
    </w:p>
    <w:p>
      <w:pPr>
        <w:pStyle w:val="6"/>
        <w:spacing w:line="360" w:lineRule="auto"/>
        <w:rPr>
          <w:rFonts w:ascii="宋体" w:hAnsi="宋体" w:cs="宋体"/>
        </w:rPr>
      </w:pPr>
      <w:bookmarkStart w:id="97" w:name="_Toc20725"/>
      <w:bookmarkStart w:id="98" w:name="_Toc25855"/>
      <w:bookmarkStart w:id="99" w:name="_Toc32164"/>
      <w:bookmarkStart w:id="100" w:name="_Toc3361"/>
      <w:bookmarkStart w:id="101" w:name="_Toc25916"/>
      <w:bookmarkStart w:id="102" w:name="_Toc465958098"/>
      <w:bookmarkStart w:id="103" w:name="_Toc246928905"/>
      <w:r>
        <w:rPr>
          <w:rFonts w:hint="eastAsia" w:ascii="宋体" w:hAnsi="宋体" w:cs="宋体"/>
        </w:rPr>
        <w:t>10 谈判语言</w:t>
      </w:r>
      <w:bookmarkEnd w:id="97"/>
      <w:bookmarkEnd w:id="98"/>
      <w:bookmarkEnd w:id="99"/>
      <w:bookmarkEnd w:id="100"/>
      <w:bookmarkEnd w:id="101"/>
      <w:bookmarkEnd w:id="102"/>
      <w:bookmarkEnd w:id="103"/>
    </w:p>
    <w:p>
      <w:pPr>
        <w:spacing w:line="360" w:lineRule="auto"/>
        <w:rPr>
          <w:rFonts w:ascii="宋体" w:hAnsi="宋体" w:cs="宋体"/>
          <w:sz w:val="24"/>
        </w:rPr>
      </w:pPr>
      <w:r>
        <w:rPr>
          <w:rFonts w:hint="eastAsia" w:ascii="宋体" w:hAnsi="宋体" w:cs="宋体"/>
          <w:sz w:val="24"/>
        </w:rPr>
        <w:t>10.1 由供应商编写的竞争性谈判响应文件和往来信件应以中文书写。</w:t>
      </w:r>
    </w:p>
    <w:p>
      <w:pPr>
        <w:pStyle w:val="6"/>
        <w:spacing w:line="360" w:lineRule="auto"/>
        <w:rPr>
          <w:rFonts w:ascii="宋体" w:hAnsi="宋体" w:cs="宋体"/>
        </w:rPr>
      </w:pPr>
      <w:bookmarkStart w:id="104" w:name="_Toc12423"/>
      <w:bookmarkStart w:id="105" w:name="_Toc465958099"/>
      <w:bookmarkStart w:id="106" w:name="_Toc30244"/>
      <w:bookmarkStart w:id="107" w:name="_Toc6421"/>
      <w:bookmarkStart w:id="108" w:name="_Toc246928906"/>
      <w:bookmarkStart w:id="109" w:name="_Toc26252"/>
      <w:bookmarkStart w:id="110" w:name="_Toc14629"/>
      <w:r>
        <w:rPr>
          <w:rFonts w:hint="eastAsia" w:ascii="宋体" w:hAnsi="宋体" w:cs="宋体"/>
        </w:rPr>
        <w:t>11 计量单位</w:t>
      </w:r>
      <w:bookmarkEnd w:id="104"/>
      <w:bookmarkEnd w:id="105"/>
      <w:bookmarkEnd w:id="106"/>
      <w:bookmarkEnd w:id="107"/>
      <w:bookmarkEnd w:id="108"/>
      <w:bookmarkEnd w:id="109"/>
      <w:bookmarkEnd w:id="110"/>
    </w:p>
    <w:p>
      <w:pPr>
        <w:spacing w:line="360" w:lineRule="auto"/>
        <w:rPr>
          <w:rFonts w:ascii="宋体" w:hAnsi="宋体" w:cs="宋体"/>
          <w:sz w:val="24"/>
        </w:rPr>
      </w:pPr>
      <w:r>
        <w:rPr>
          <w:rFonts w:hint="eastAsia" w:ascii="宋体" w:hAnsi="宋体" w:cs="宋体"/>
          <w:sz w:val="24"/>
        </w:rPr>
        <w:t>11.1 除在竞争性谈判文件中有特殊要求外，计量单位应使用中华人民共和国法定计量单位及通用图形符号。</w:t>
      </w:r>
    </w:p>
    <w:p>
      <w:pPr>
        <w:spacing w:line="360" w:lineRule="auto"/>
        <w:rPr>
          <w:rFonts w:ascii="宋体" w:hAnsi="宋体" w:cs="宋体"/>
          <w:sz w:val="24"/>
        </w:rPr>
      </w:pPr>
      <w:r>
        <w:rPr>
          <w:rFonts w:hint="eastAsia" w:ascii="宋体" w:hAnsi="宋体" w:cs="宋体"/>
          <w:sz w:val="24"/>
        </w:rPr>
        <w:t>11.2 本次采购、谈判报价、谈判、评审和合同授予均以项目为单位，供应商必须就整个项目进行响应，不得将整个项目中的内容拆开谈判。拆开谈判的，按无效竞争性谈判响应文件处理。</w:t>
      </w:r>
    </w:p>
    <w:p>
      <w:pPr>
        <w:pStyle w:val="6"/>
        <w:spacing w:line="360" w:lineRule="auto"/>
        <w:rPr>
          <w:rFonts w:ascii="宋体" w:hAnsi="宋体" w:cs="宋体"/>
        </w:rPr>
      </w:pPr>
      <w:bookmarkStart w:id="111" w:name="_Toc13655"/>
      <w:bookmarkStart w:id="112" w:name="_Toc26388"/>
      <w:bookmarkStart w:id="113" w:name="_Toc246928907"/>
      <w:bookmarkStart w:id="114" w:name="_Toc3415"/>
      <w:bookmarkStart w:id="115" w:name="_Toc27123"/>
      <w:bookmarkStart w:id="116" w:name="_Toc465958100"/>
      <w:bookmarkStart w:id="117" w:name="_Toc1098"/>
      <w:r>
        <w:rPr>
          <w:rFonts w:hint="eastAsia" w:ascii="宋体" w:hAnsi="宋体" w:cs="宋体"/>
        </w:rPr>
        <w:t>12 竞争性谈判响应文件的构成</w:t>
      </w:r>
      <w:bookmarkEnd w:id="111"/>
      <w:bookmarkEnd w:id="112"/>
      <w:bookmarkEnd w:id="113"/>
      <w:bookmarkEnd w:id="114"/>
      <w:bookmarkEnd w:id="115"/>
      <w:bookmarkEnd w:id="116"/>
      <w:bookmarkEnd w:id="117"/>
    </w:p>
    <w:p>
      <w:pPr>
        <w:spacing w:line="360" w:lineRule="auto"/>
        <w:rPr>
          <w:rFonts w:ascii="宋体" w:hAnsi="宋体" w:cs="宋体"/>
          <w:sz w:val="24"/>
        </w:rPr>
      </w:pPr>
      <w:r>
        <w:rPr>
          <w:rFonts w:hint="eastAsia" w:ascii="宋体" w:hAnsi="宋体" w:cs="宋体"/>
          <w:sz w:val="24"/>
        </w:rPr>
        <w:t>12.1 供应商编写的竞争性谈判响应文件应包括下列部分：</w:t>
      </w:r>
    </w:p>
    <w:p>
      <w:pPr>
        <w:spacing w:line="360" w:lineRule="auto"/>
        <w:rPr>
          <w:rFonts w:ascii="宋体" w:hAnsi="宋体" w:cs="宋体"/>
          <w:sz w:val="24"/>
        </w:rPr>
      </w:pPr>
      <w:r>
        <w:rPr>
          <w:rFonts w:hint="eastAsia" w:ascii="宋体" w:hAnsi="宋体" w:cs="宋体"/>
          <w:sz w:val="24"/>
        </w:rPr>
        <w:t>12.1.1 响应函（格式）；</w:t>
      </w:r>
    </w:p>
    <w:p>
      <w:pPr>
        <w:spacing w:line="360" w:lineRule="auto"/>
        <w:rPr>
          <w:rFonts w:ascii="宋体" w:hAnsi="宋体" w:cs="宋体"/>
          <w:sz w:val="24"/>
        </w:rPr>
      </w:pPr>
      <w:r>
        <w:rPr>
          <w:rFonts w:hint="eastAsia" w:ascii="宋体" w:hAnsi="宋体" w:cs="宋体"/>
          <w:sz w:val="24"/>
        </w:rPr>
        <w:t>12.1.2 第一次谈判报价表；</w:t>
      </w:r>
    </w:p>
    <w:p>
      <w:pPr>
        <w:pStyle w:val="14"/>
        <w:spacing w:line="360" w:lineRule="auto"/>
        <w:rPr>
          <w:rFonts w:ascii="宋体" w:hAnsi="宋体" w:cs="宋体"/>
          <w:sz w:val="24"/>
        </w:rPr>
      </w:pPr>
      <w:r>
        <w:rPr>
          <w:rFonts w:hint="eastAsia" w:ascii="宋体" w:hAnsi="宋体" w:cs="宋体"/>
          <w:sz w:val="24"/>
        </w:rPr>
        <w:t>12.1.3 竞争性谈判响应文件格式的所有内容。具体见竞争性谈判响应文件格式</w:t>
      </w:r>
    </w:p>
    <w:p>
      <w:pPr>
        <w:spacing w:line="360" w:lineRule="auto"/>
        <w:rPr>
          <w:rFonts w:ascii="宋体" w:hAnsi="宋体" w:cs="宋体"/>
          <w:sz w:val="24"/>
        </w:rPr>
      </w:pPr>
      <w:r>
        <w:rPr>
          <w:rFonts w:hint="eastAsia" w:ascii="宋体" w:hAnsi="宋体" w:cs="宋体"/>
          <w:sz w:val="24"/>
        </w:rPr>
        <w:t>12.2 供应商的所有资格证明文件均应当为合法、有效文件，否则将被视为该文件未递交。</w:t>
      </w:r>
    </w:p>
    <w:p>
      <w:pPr>
        <w:spacing w:line="360" w:lineRule="auto"/>
        <w:rPr>
          <w:rFonts w:ascii="宋体" w:hAnsi="宋体" w:cs="宋体"/>
          <w:sz w:val="24"/>
        </w:rPr>
      </w:pPr>
      <w:r>
        <w:rPr>
          <w:rFonts w:hint="eastAsia" w:ascii="宋体" w:hAnsi="宋体" w:cs="宋体"/>
          <w:sz w:val="24"/>
        </w:rPr>
        <w:t>12.3 上述文件应当按照竞争性谈判文件规定的格式填写、签署和盖章。</w:t>
      </w:r>
    </w:p>
    <w:p>
      <w:pPr>
        <w:pStyle w:val="6"/>
        <w:spacing w:line="360" w:lineRule="auto"/>
        <w:rPr>
          <w:rFonts w:ascii="宋体" w:hAnsi="宋体" w:cs="宋体"/>
        </w:rPr>
      </w:pPr>
      <w:bookmarkStart w:id="118" w:name="_Toc285"/>
      <w:bookmarkStart w:id="119" w:name="_Toc7488"/>
      <w:bookmarkStart w:id="120" w:name="_Toc11558"/>
      <w:bookmarkStart w:id="121" w:name="_Toc246928909"/>
      <w:bookmarkStart w:id="122" w:name="_Toc23839"/>
      <w:bookmarkStart w:id="123" w:name="_Toc465958101"/>
      <w:bookmarkStart w:id="124" w:name="_Toc27931"/>
      <w:r>
        <w:rPr>
          <w:rFonts w:hint="eastAsia" w:ascii="宋体" w:hAnsi="宋体" w:cs="宋体"/>
        </w:rPr>
        <w:t>13 谈判报价</w:t>
      </w:r>
      <w:bookmarkEnd w:id="118"/>
      <w:bookmarkEnd w:id="119"/>
      <w:bookmarkEnd w:id="120"/>
      <w:bookmarkEnd w:id="121"/>
      <w:bookmarkEnd w:id="122"/>
      <w:bookmarkEnd w:id="123"/>
      <w:bookmarkEnd w:id="124"/>
    </w:p>
    <w:p>
      <w:pPr>
        <w:spacing w:line="360" w:lineRule="auto"/>
        <w:rPr>
          <w:rFonts w:ascii="宋体" w:hAnsi="宋体" w:cs="宋体"/>
          <w:sz w:val="24"/>
        </w:rPr>
      </w:pPr>
      <w:r>
        <w:rPr>
          <w:rFonts w:hint="eastAsia" w:ascii="宋体" w:hAnsi="宋体" w:cs="宋体"/>
          <w:sz w:val="24"/>
        </w:rPr>
        <w:t>13.1 所有谈判均以人民币报价。</w:t>
      </w:r>
    </w:p>
    <w:p>
      <w:pPr>
        <w:spacing w:line="360" w:lineRule="auto"/>
        <w:rPr>
          <w:rFonts w:ascii="宋体" w:hAnsi="宋体" w:cs="宋体"/>
          <w:sz w:val="24"/>
        </w:rPr>
      </w:pPr>
      <w:r>
        <w:rPr>
          <w:rFonts w:hint="eastAsia" w:ascii="宋体" w:hAnsi="宋体" w:cs="宋体"/>
          <w:sz w:val="24"/>
        </w:rPr>
        <w:t>13.2 供应商依据竞争性谈判文件提供的货物及服务要求等资料并自行考虑风险因素计算谈判报价，一旦成交，谈判报价将不会因国家政策调整及市场变化因素而得到调整。</w:t>
      </w:r>
    </w:p>
    <w:p>
      <w:pPr>
        <w:spacing w:line="360" w:lineRule="auto"/>
        <w:rPr>
          <w:rFonts w:ascii="宋体" w:hAnsi="宋体" w:cs="宋体"/>
          <w:sz w:val="24"/>
        </w:rPr>
      </w:pPr>
      <w:bookmarkStart w:id="125" w:name="_Toc246928911"/>
      <w:r>
        <w:rPr>
          <w:rFonts w:hint="eastAsia" w:ascii="宋体" w:hAnsi="宋体" w:cs="宋体"/>
          <w:sz w:val="24"/>
        </w:rPr>
        <w:t>13.3 供应商应对所列的所有服务进行响应，不得将采购内容拆开谈判。</w:t>
      </w:r>
    </w:p>
    <w:p>
      <w:pPr>
        <w:spacing w:line="360" w:lineRule="auto"/>
        <w:rPr>
          <w:rFonts w:ascii="宋体" w:hAnsi="宋体" w:cs="宋体"/>
          <w:sz w:val="24"/>
        </w:rPr>
      </w:pPr>
      <w:r>
        <w:rPr>
          <w:rFonts w:hint="eastAsia" w:ascii="宋体" w:hAnsi="宋体" w:cs="宋体"/>
          <w:sz w:val="24"/>
        </w:rPr>
        <w:t>13.4 采购人只接受供应商提供的唯一谈判响应方案，不接受备选方案。</w:t>
      </w:r>
    </w:p>
    <w:p>
      <w:pPr>
        <w:pStyle w:val="6"/>
        <w:spacing w:line="360" w:lineRule="auto"/>
        <w:rPr>
          <w:rFonts w:ascii="宋体" w:hAnsi="宋体" w:cs="宋体"/>
        </w:rPr>
      </w:pPr>
      <w:bookmarkStart w:id="126" w:name="_Toc465958102"/>
      <w:bookmarkStart w:id="127" w:name="_Toc10046"/>
      <w:bookmarkStart w:id="128" w:name="_Toc14151"/>
      <w:bookmarkStart w:id="129" w:name="_Toc28059"/>
      <w:bookmarkStart w:id="130" w:name="_Toc30975"/>
      <w:bookmarkStart w:id="131" w:name="_Toc7647"/>
      <w:r>
        <w:rPr>
          <w:rFonts w:hint="eastAsia" w:ascii="宋体" w:hAnsi="宋体" w:cs="宋体"/>
        </w:rPr>
        <w:t>14 证明供应商资格的证明文件</w:t>
      </w:r>
      <w:bookmarkEnd w:id="125"/>
      <w:bookmarkEnd w:id="126"/>
      <w:bookmarkEnd w:id="127"/>
      <w:bookmarkEnd w:id="128"/>
      <w:bookmarkEnd w:id="129"/>
      <w:bookmarkEnd w:id="130"/>
      <w:bookmarkEnd w:id="131"/>
    </w:p>
    <w:p>
      <w:pPr>
        <w:spacing w:line="360" w:lineRule="auto"/>
        <w:rPr>
          <w:rFonts w:ascii="宋体" w:hAnsi="宋体" w:cs="宋体"/>
          <w:sz w:val="24"/>
        </w:rPr>
      </w:pPr>
      <w:r>
        <w:rPr>
          <w:rFonts w:hint="eastAsia" w:ascii="宋体" w:hAnsi="宋体" w:cs="宋体"/>
          <w:sz w:val="24"/>
        </w:rPr>
        <w:t>12.1 供应商必须按要求提交证明文件，以证明其有资格参加谈判和成交后有履行合同的能力，并作为其竞争性谈判响应文件的一部分。</w:t>
      </w:r>
    </w:p>
    <w:p>
      <w:pPr>
        <w:spacing w:line="360" w:lineRule="auto"/>
        <w:rPr>
          <w:rFonts w:ascii="宋体" w:hAnsi="宋体" w:cs="宋体"/>
          <w:sz w:val="24"/>
        </w:rPr>
      </w:pPr>
      <w:r>
        <w:rPr>
          <w:rFonts w:hint="eastAsia" w:ascii="宋体" w:hAnsi="宋体" w:cs="宋体"/>
          <w:sz w:val="24"/>
        </w:rPr>
        <w:t>12.2供应商应具有履行合同所需的财务、技术和生产能力；</w:t>
      </w:r>
    </w:p>
    <w:p>
      <w:pPr>
        <w:spacing w:line="360" w:lineRule="auto"/>
        <w:rPr>
          <w:rFonts w:ascii="宋体" w:hAnsi="宋体" w:cs="宋体"/>
          <w:sz w:val="24"/>
        </w:rPr>
      </w:pPr>
      <w:r>
        <w:rPr>
          <w:rFonts w:hint="eastAsia" w:ascii="宋体" w:hAnsi="宋体" w:cs="宋体"/>
          <w:sz w:val="24"/>
        </w:rPr>
        <w:t>12.3供应商应有能力履行竞争性谈判文件所规定的由供应商在服务地点提供服务的人员及技术支持和服务；</w:t>
      </w:r>
    </w:p>
    <w:p>
      <w:pPr>
        <w:spacing w:line="360" w:lineRule="auto"/>
        <w:rPr>
          <w:rFonts w:ascii="宋体" w:hAnsi="宋体" w:cs="宋体"/>
          <w:sz w:val="24"/>
        </w:rPr>
      </w:pPr>
      <w:r>
        <w:rPr>
          <w:rFonts w:hint="eastAsia" w:ascii="宋体" w:hAnsi="宋体" w:cs="宋体"/>
          <w:sz w:val="24"/>
        </w:rPr>
        <w:t>12.4供应商认为能够证明供应商及其提供服务的等其他文件。</w:t>
      </w:r>
    </w:p>
    <w:p>
      <w:pPr>
        <w:pStyle w:val="6"/>
        <w:spacing w:line="360" w:lineRule="auto"/>
        <w:rPr>
          <w:rFonts w:ascii="宋体" w:hAnsi="宋体" w:cs="宋体"/>
        </w:rPr>
      </w:pPr>
      <w:bookmarkStart w:id="132" w:name="_Toc32534"/>
      <w:bookmarkStart w:id="133" w:name="_Toc28780"/>
      <w:bookmarkStart w:id="134" w:name="_Toc7233"/>
      <w:bookmarkStart w:id="135" w:name="_Toc465958103"/>
      <w:bookmarkStart w:id="136" w:name="_Toc23372"/>
      <w:bookmarkStart w:id="137" w:name="_Toc246928912"/>
      <w:bookmarkStart w:id="138" w:name="_Toc19118"/>
      <w:r>
        <w:rPr>
          <w:rFonts w:hint="eastAsia" w:ascii="宋体" w:hAnsi="宋体" w:cs="宋体"/>
        </w:rPr>
        <w:t>15 证明服务符合竞争性谈判文件规定的文件</w:t>
      </w:r>
      <w:bookmarkEnd w:id="132"/>
      <w:bookmarkEnd w:id="133"/>
      <w:bookmarkEnd w:id="134"/>
      <w:bookmarkEnd w:id="135"/>
      <w:bookmarkEnd w:id="136"/>
      <w:bookmarkEnd w:id="137"/>
      <w:bookmarkEnd w:id="138"/>
    </w:p>
    <w:p>
      <w:pPr>
        <w:spacing w:line="360" w:lineRule="auto"/>
        <w:rPr>
          <w:rFonts w:ascii="宋体" w:hAnsi="宋体" w:cs="宋体"/>
          <w:sz w:val="24"/>
        </w:rPr>
      </w:pPr>
      <w:r>
        <w:rPr>
          <w:rFonts w:hint="eastAsia" w:ascii="宋体" w:hAnsi="宋体" w:cs="宋体"/>
          <w:sz w:val="24"/>
        </w:rPr>
        <w:t>15.1 供应商所提供的服务须符合法律、法规、相关规章及国家强制性技术标准和竞争性谈判文件的规定。</w:t>
      </w:r>
    </w:p>
    <w:p>
      <w:pPr>
        <w:spacing w:line="360" w:lineRule="auto"/>
        <w:rPr>
          <w:rFonts w:ascii="宋体" w:hAnsi="宋体" w:cs="宋体"/>
          <w:sz w:val="24"/>
        </w:rPr>
      </w:pPr>
      <w:r>
        <w:rPr>
          <w:rFonts w:hint="eastAsia" w:ascii="宋体" w:hAnsi="宋体" w:cs="宋体"/>
          <w:sz w:val="24"/>
        </w:rPr>
        <w:t>15.2 供应商应对竞争性谈判文件中的各项条款做出清晰准确的答复。</w:t>
      </w:r>
    </w:p>
    <w:p>
      <w:pPr>
        <w:spacing w:line="360" w:lineRule="auto"/>
        <w:ind w:left="-181" w:leftChars="-86" w:firstLine="180" w:firstLineChars="75"/>
        <w:rPr>
          <w:rFonts w:ascii="宋体" w:hAnsi="宋体" w:cs="宋体"/>
          <w:sz w:val="24"/>
        </w:rPr>
      </w:pPr>
      <w:r>
        <w:rPr>
          <w:rFonts w:hint="eastAsia" w:ascii="宋体" w:hAnsi="宋体" w:cs="宋体"/>
          <w:sz w:val="24"/>
        </w:rPr>
        <w:t>15.3 提交文件可以是文字资料也可以是图纸、图片等资料。</w:t>
      </w:r>
    </w:p>
    <w:p>
      <w:pPr>
        <w:pStyle w:val="6"/>
        <w:spacing w:line="360" w:lineRule="auto"/>
        <w:rPr>
          <w:rFonts w:ascii="宋体" w:hAnsi="宋体" w:cs="宋体"/>
        </w:rPr>
      </w:pPr>
      <w:bookmarkStart w:id="139" w:name="_Toc27673"/>
      <w:bookmarkStart w:id="140" w:name="_Toc246928913"/>
      <w:bookmarkStart w:id="141" w:name="_Toc22564"/>
      <w:bookmarkStart w:id="142" w:name="_Toc4194"/>
      <w:bookmarkStart w:id="143" w:name="_Toc465958104"/>
      <w:bookmarkStart w:id="144" w:name="_Toc6620"/>
      <w:bookmarkStart w:id="145" w:name="_Toc21933"/>
      <w:r>
        <w:rPr>
          <w:rFonts w:hint="eastAsia" w:ascii="宋体" w:hAnsi="宋体" w:cs="宋体"/>
        </w:rPr>
        <w:t>16 谈判保证金</w:t>
      </w:r>
      <w:bookmarkEnd w:id="139"/>
      <w:bookmarkEnd w:id="140"/>
      <w:bookmarkEnd w:id="141"/>
      <w:bookmarkEnd w:id="142"/>
      <w:bookmarkEnd w:id="143"/>
      <w:bookmarkEnd w:id="144"/>
      <w:bookmarkEnd w:id="145"/>
    </w:p>
    <w:p>
      <w:pPr>
        <w:spacing w:line="360" w:lineRule="auto"/>
        <w:rPr>
          <w:rFonts w:ascii="宋体" w:hAnsi="宋体" w:cs="宋体"/>
          <w:sz w:val="24"/>
        </w:rPr>
      </w:pPr>
      <w:r>
        <w:rPr>
          <w:rFonts w:hint="eastAsia" w:ascii="宋体" w:hAnsi="宋体" w:cs="宋体"/>
          <w:sz w:val="24"/>
        </w:rPr>
        <w:t>16.1所有供应商都应当按照供应商须知前附表要求提交谈判保证金。</w:t>
      </w:r>
    </w:p>
    <w:p>
      <w:pPr>
        <w:spacing w:line="360" w:lineRule="auto"/>
        <w:rPr>
          <w:rFonts w:ascii="宋体" w:hAnsi="宋体" w:cs="宋体"/>
          <w:sz w:val="24"/>
        </w:rPr>
      </w:pPr>
      <w:r>
        <w:rPr>
          <w:rFonts w:hint="eastAsia" w:ascii="宋体" w:hAnsi="宋体" w:cs="宋体"/>
          <w:sz w:val="24"/>
        </w:rPr>
        <w:t>16.2谈判保证金的交付单位和投标单位的名称必须一致，且银行转账凭证应该标明项目编号，否则将视为投标无效。</w:t>
      </w:r>
    </w:p>
    <w:p>
      <w:pPr>
        <w:spacing w:line="360" w:lineRule="auto"/>
        <w:rPr>
          <w:rFonts w:ascii="宋体" w:hAnsi="宋体" w:cs="宋体"/>
          <w:sz w:val="24"/>
        </w:rPr>
      </w:pPr>
      <w:r>
        <w:rPr>
          <w:rFonts w:hint="eastAsia" w:ascii="宋体" w:hAnsi="宋体" w:cs="宋体"/>
          <w:sz w:val="24"/>
        </w:rPr>
        <w:t>16.3</w:t>
      </w:r>
      <w:r>
        <w:rPr>
          <w:rFonts w:hint="eastAsia" w:ascii="宋体" w:hAnsi="宋体" w:cs="宋体"/>
          <w:sz w:val="24"/>
          <w:lang w:eastAsia="zh-CN"/>
        </w:rPr>
        <w:t>谈判供应商</w:t>
      </w:r>
      <w:r>
        <w:rPr>
          <w:rFonts w:hint="eastAsia" w:ascii="宋体" w:hAnsi="宋体" w:cs="宋体"/>
          <w:sz w:val="24"/>
        </w:rPr>
        <w:t>未交纳、未足额交纳或未按规定时间交纳保证金的，将被视为自动放弃投标权利。</w:t>
      </w:r>
    </w:p>
    <w:p>
      <w:pPr>
        <w:adjustRightInd w:val="0"/>
        <w:snapToGrid w:val="0"/>
        <w:spacing w:line="360" w:lineRule="auto"/>
      </w:pPr>
      <w:r>
        <w:rPr>
          <w:rFonts w:hint="eastAsia" w:ascii="宋体" w:hAnsi="宋体" w:cs="宋体"/>
          <w:sz w:val="24"/>
        </w:rPr>
        <w:t xml:space="preserve">16.4 </w:t>
      </w:r>
      <w:r>
        <w:rPr>
          <w:rFonts w:hint="eastAsia" w:ascii="宋体" w:hAnsi="宋体" w:cs="宋体"/>
          <w:sz w:val="24"/>
          <w:lang w:eastAsia="zh-CN"/>
        </w:rPr>
        <w:t>谈判供应商</w:t>
      </w:r>
      <w:r>
        <w:rPr>
          <w:rFonts w:hint="eastAsia" w:ascii="宋体" w:hAnsi="宋体" w:cs="宋体"/>
          <w:sz w:val="24"/>
        </w:rPr>
        <w:t>已缴纳投标保证金而自动放弃投标权利的，需在开标之前提交《弃标函》。</w:t>
      </w:r>
    </w:p>
    <w:p>
      <w:pPr>
        <w:spacing w:line="360" w:lineRule="auto"/>
        <w:rPr>
          <w:rFonts w:ascii="宋体" w:hAnsi="宋体" w:cs="宋体"/>
          <w:sz w:val="24"/>
        </w:rPr>
      </w:pPr>
      <w:r>
        <w:rPr>
          <w:rFonts w:hint="eastAsia" w:ascii="宋体" w:hAnsi="宋体" w:cs="宋体"/>
          <w:sz w:val="24"/>
        </w:rPr>
        <w:t>16.5未成交的供应商谈判保证金将于成交通知书发出后五个工作日内予以退还。</w:t>
      </w:r>
    </w:p>
    <w:p>
      <w:pPr>
        <w:spacing w:line="360" w:lineRule="auto"/>
        <w:rPr>
          <w:rFonts w:ascii="宋体" w:hAnsi="宋体" w:cs="宋体"/>
          <w:sz w:val="24"/>
        </w:rPr>
      </w:pPr>
      <w:r>
        <w:rPr>
          <w:rFonts w:hint="eastAsia" w:ascii="宋体" w:hAnsi="宋体" w:cs="宋体"/>
          <w:sz w:val="24"/>
        </w:rPr>
        <w:t>16.6 成交供应商的谈判保证金，在成交供应商与采购人签订合同后五个工作日内退还。</w:t>
      </w:r>
    </w:p>
    <w:p>
      <w:pPr>
        <w:spacing w:line="360" w:lineRule="auto"/>
        <w:rPr>
          <w:rFonts w:ascii="宋体" w:hAnsi="宋体" w:cs="宋体"/>
          <w:sz w:val="24"/>
        </w:rPr>
      </w:pPr>
      <w:r>
        <w:rPr>
          <w:rFonts w:hint="eastAsia" w:ascii="宋体" w:hAnsi="宋体" w:cs="宋体"/>
          <w:sz w:val="24"/>
        </w:rPr>
        <w:t>16.7 谈判保证金是为了保护采购人和采购代理机构免遭因供应商的行为蒙受损失而要求的。发生下列情形之一，谈判保证金将不予退还：</w:t>
      </w:r>
    </w:p>
    <w:p>
      <w:pPr>
        <w:spacing w:line="360" w:lineRule="auto"/>
        <w:rPr>
          <w:rFonts w:ascii="宋体" w:hAnsi="宋体" w:cs="宋体"/>
          <w:sz w:val="24"/>
        </w:rPr>
      </w:pPr>
      <w:r>
        <w:rPr>
          <w:rFonts w:hint="eastAsia" w:ascii="宋体" w:hAnsi="宋体" w:cs="宋体"/>
          <w:sz w:val="24"/>
        </w:rPr>
        <w:t>16.7.1成交供应商因自身原因未能在规定期限内与采购人签订合同；</w:t>
      </w:r>
    </w:p>
    <w:p>
      <w:pPr>
        <w:spacing w:line="360" w:lineRule="auto"/>
        <w:rPr>
          <w:rFonts w:ascii="宋体" w:hAnsi="宋体" w:cs="宋体"/>
          <w:sz w:val="24"/>
        </w:rPr>
      </w:pPr>
      <w:r>
        <w:rPr>
          <w:rFonts w:hint="eastAsia" w:ascii="宋体" w:hAnsi="宋体" w:cs="宋体"/>
          <w:sz w:val="24"/>
        </w:rPr>
        <w:t xml:space="preserve">16.7.2提交了谈判保证金而无故未提交竞争性谈判响应文件的； </w:t>
      </w:r>
    </w:p>
    <w:p>
      <w:pPr>
        <w:spacing w:line="360" w:lineRule="auto"/>
        <w:rPr>
          <w:rFonts w:ascii="宋体" w:hAnsi="宋体" w:cs="宋体"/>
          <w:sz w:val="24"/>
        </w:rPr>
      </w:pPr>
      <w:r>
        <w:rPr>
          <w:rFonts w:hint="eastAsia" w:ascii="宋体" w:hAnsi="宋体" w:cs="宋体"/>
          <w:sz w:val="24"/>
        </w:rPr>
        <w:t>16.7.3在确定成交供应商身份后拒不办理相关手续的；</w:t>
      </w:r>
    </w:p>
    <w:p>
      <w:pPr>
        <w:spacing w:line="360" w:lineRule="auto"/>
        <w:rPr>
          <w:rFonts w:ascii="宋体" w:hAnsi="宋体" w:cs="宋体"/>
          <w:sz w:val="24"/>
        </w:rPr>
      </w:pPr>
      <w:r>
        <w:rPr>
          <w:rFonts w:hint="eastAsia" w:ascii="宋体" w:hAnsi="宋体" w:cs="宋体"/>
          <w:sz w:val="24"/>
        </w:rPr>
        <w:t>16.7.4供应商相互串通谈判或者与采购人串通谈判的，向采购人或者谈判小组成员行贿谋取成交的，以他人名义谈判或者以其他方式弄虚作假骗取成交的；</w:t>
      </w:r>
    </w:p>
    <w:p>
      <w:pPr>
        <w:adjustRightInd w:val="0"/>
        <w:snapToGrid w:val="0"/>
        <w:spacing w:line="360" w:lineRule="auto"/>
        <w:rPr>
          <w:rFonts w:ascii="宋体" w:hAnsi="宋体" w:cs="宋体"/>
          <w:sz w:val="24"/>
          <w:szCs w:val="24"/>
        </w:rPr>
      </w:pPr>
      <w:r>
        <w:rPr>
          <w:rFonts w:hint="eastAsia" w:ascii="宋体" w:hAnsi="宋体" w:cs="宋体"/>
          <w:sz w:val="24"/>
        </w:rPr>
        <w:t xml:space="preserve">16.8 </w:t>
      </w:r>
      <w:r>
        <w:rPr>
          <w:rFonts w:hint="eastAsia" w:ascii="宋体" w:hAnsi="宋体" w:cs="宋体"/>
          <w:sz w:val="24"/>
          <w:szCs w:val="24"/>
        </w:rPr>
        <w:t>未成交供应商的谈判保证金将于成交通知书发出之日起5个工作日内予以退还，无需亲自前来办理。</w:t>
      </w:r>
    </w:p>
    <w:p>
      <w:pPr>
        <w:adjustRightInd w:val="0"/>
        <w:snapToGrid w:val="0"/>
        <w:spacing w:line="360" w:lineRule="auto"/>
        <w:rPr>
          <w:rFonts w:ascii="宋体" w:hAnsi="宋体" w:cs="宋体"/>
          <w:sz w:val="24"/>
        </w:rPr>
      </w:pPr>
      <w:r>
        <w:rPr>
          <w:rFonts w:hint="eastAsia" w:ascii="宋体" w:hAnsi="宋体" w:cs="宋体"/>
          <w:sz w:val="24"/>
          <w:szCs w:val="24"/>
        </w:rPr>
        <w:t>16.9成交供应商的谈判保证金，</w:t>
      </w:r>
      <w:r>
        <w:rPr>
          <w:rFonts w:hint="eastAsia" w:ascii="宋体" w:hAnsi="宋体" w:cs="仿宋_GB2312"/>
          <w:sz w:val="24"/>
        </w:rPr>
        <w:t>在成交供应商与采购人合同签订之日起5</w:t>
      </w:r>
      <w:r>
        <w:rPr>
          <w:rFonts w:hint="eastAsia" w:ascii="宋体" w:hAnsi="宋体" w:cs="宋体"/>
          <w:sz w:val="24"/>
        </w:rPr>
        <w:t>个工作日</w:t>
      </w:r>
      <w:r>
        <w:rPr>
          <w:rFonts w:hint="eastAsia" w:ascii="宋体" w:hAnsi="宋体" w:cs="仿宋_GB2312"/>
          <w:sz w:val="24"/>
        </w:rPr>
        <w:t>内</w:t>
      </w:r>
      <w:r>
        <w:rPr>
          <w:rFonts w:hint="eastAsia" w:ascii="宋体" w:hAnsi="宋体" w:cs="宋体"/>
          <w:sz w:val="24"/>
        </w:rPr>
        <w:t>根据所提供的合同予以退还；</w:t>
      </w:r>
    </w:p>
    <w:p>
      <w:pPr>
        <w:spacing w:line="360" w:lineRule="auto"/>
        <w:rPr>
          <w:rFonts w:ascii="宋体" w:hAnsi="宋体" w:cs="宋体"/>
          <w:sz w:val="24"/>
        </w:rPr>
      </w:pPr>
      <w:r>
        <w:rPr>
          <w:rFonts w:hint="eastAsia" w:ascii="宋体" w:hAnsi="宋体" w:cs="宋体"/>
          <w:sz w:val="24"/>
        </w:rPr>
        <w:t>16.10未按规定提交谈判保证金的视为无效标处理。</w:t>
      </w:r>
    </w:p>
    <w:p>
      <w:pPr>
        <w:pStyle w:val="6"/>
        <w:spacing w:line="360" w:lineRule="auto"/>
        <w:rPr>
          <w:rFonts w:ascii="宋体" w:hAnsi="宋体" w:cs="宋体"/>
        </w:rPr>
      </w:pPr>
      <w:bookmarkStart w:id="146" w:name="_Toc20201"/>
      <w:bookmarkStart w:id="147" w:name="_Toc8022"/>
      <w:bookmarkStart w:id="148" w:name="_Toc246928914"/>
      <w:bookmarkStart w:id="149" w:name="_Toc4576"/>
      <w:bookmarkStart w:id="150" w:name="_Toc22789"/>
      <w:bookmarkStart w:id="151" w:name="_Toc465958105"/>
      <w:bookmarkStart w:id="152" w:name="_Toc4413"/>
      <w:r>
        <w:rPr>
          <w:rFonts w:hint="eastAsia" w:ascii="宋体" w:hAnsi="宋体" w:cs="宋体"/>
        </w:rPr>
        <w:t>17 谈判有效期</w:t>
      </w:r>
      <w:bookmarkEnd w:id="146"/>
      <w:bookmarkEnd w:id="147"/>
      <w:bookmarkEnd w:id="148"/>
      <w:bookmarkEnd w:id="149"/>
      <w:bookmarkEnd w:id="150"/>
      <w:bookmarkEnd w:id="151"/>
      <w:bookmarkEnd w:id="152"/>
    </w:p>
    <w:p>
      <w:pPr>
        <w:spacing w:line="360" w:lineRule="auto"/>
        <w:rPr>
          <w:rFonts w:ascii="宋体" w:hAnsi="宋体" w:cs="宋体"/>
          <w:sz w:val="24"/>
        </w:rPr>
      </w:pPr>
      <w:r>
        <w:rPr>
          <w:rFonts w:hint="eastAsia" w:ascii="宋体" w:hAnsi="宋体" w:cs="宋体"/>
          <w:sz w:val="24"/>
        </w:rPr>
        <w:t>17.1  竞争性谈判响应文件从开标之日起，谈判有效期为90日历天。谈判有效期不满足要求的谈判属于无效谈判情形。</w:t>
      </w:r>
    </w:p>
    <w:p>
      <w:pPr>
        <w:spacing w:line="360" w:lineRule="auto"/>
        <w:rPr>
          <w:rFonts w:ascii="宋体" w:hAnsi="宋体" w:cs="宋体"/>
          <w:sz w:val="24"/>
        </w:rPr>
      </w:pPr>
      <w:r>
        <w:rPr>
          <w:rFonts w:hint="eastAsia" w:ascii="宋体" w:hAnsi="宋体" w:cs="宋体"/>
          <w:sz w:val="24"/>
          <w:szCs w:val="24"/>
        </w:rPr>
        <w:t>17.2成交供应商的竞争性谈判响应文件有效期延长至合同执行完毕。</w:t>
      </w:r>
    </w:p>
    <w:p>
      <w:pPr>
        <w:spacing w:line="360" w:lineRule="auto"/>
        <w:rPr>
          <w:rFonts w:ascii="宋体" w:hAnsi="宋体" w:cs="宋体"/>
          <w:sz w:val="24"/>
        </w:rPr>
      </w:pPr>
      <w:r>
        <w:rPr>
          <w:rFonts w:hint="eastAsia" w:ascii="宋体" w:hAnsi="宋体" w:cs="宋体"/>
          <w:sz w:val="24"/>
        </w:rPr>
        <w:t>17.3  特殊情况下，采购人可于谈判有效期满之前要求供应商同意延长有效期，要求与答复均应为书面形式。供应商可以拒绝上述要求，其谈判保证金不被没收。对于同意该要求的供应商，既不要求也不允许其修改竞争性谈判响应文件，但将要求其相应延长谈判保证金的有效期，有关退还和没收谈判保证金的规定在谈判有效期的延长期内继续有效。</w:t>
      </w:r>
    </w:p>
    <w:p>
      <w:pPr>
        <w:pStyle w:val="6"/>
        <w:spacing w:before="120" w:after="120" w:line="360" w:lineRule="auto"/>
        <w:rPr>
          <w:rFonts w:ascii="宋体" w:hAnsi="宋体" w:cs="宋体"/>
        </w:rPr>
      </w:pPr>
      <w:bookmarkStart w:id="153" w:name="_Toc246928915"/>
      <w:bookmarkStart w:id="154" w:name="_Toc14012"/>
      <w:bookmarkStart w:id="155" w:name="_Toc282"/>
      <w:bookmarkStart w:id="156" w:name="_Toc465958106"/>
      <w:bookmarkStart w:id="157" w:name="_Toc22552"/>
      <w:bookmarkStart w:id="158" w:name="_Toc15795"/>
      <w:bookmarkStart w:id="159" w:name="_Toc17754"/>
      <w:r>
        <w:rPr>
          <w:rFonts w:hint="eastAsia" w:ascii="宋体" w:hAnsi="宋体" w:cs="宋体"/>
        </w:rPr>
        <w:t>18 竞争性谈判响应文件的签署及</w:t>
      </w:r>
      <w:bookmarkEnd w:id="153"/>
      <w:r>
        <w:rPr>
          <w:rFonts w:hint="eastAsia" w:ascii="宋体" w:hAnsi="宋体" w:cs="宋体"/>
        </w:rPr>
        <w:t>规定</w:t>
      </w:r>
      <w:bookmarkEnd w:id="154"/>
      <w:bookmarkEnd w:id="155"/>
      <w:bookmarkEnd w:id="156"/>
      <w:bookmarkEnd w:id="157"/>
      <w:bookmarkEnd w:id="158"/>
      <w:bookmarkEnd w:id="159"/>
    </w:p>
    <w:p>
      <w:pPr>
        <w:spacing w:line="360" w:lineRule="auto"/>
        <w:rPr>
          <w:rFonts w:ascii="宋体" w:hAnsi="宋体" w:cs="宋体"/>
          <w:sz w:val="24"/>
        </w:rPr>
      </w:pPr>
      <w:r>
        <w:rPr>
          <w:rFonts w:hint="eastAsia" w:ascii="宋体" w:hAnsi="宋体" w:cs="宋体"/>
          <w:sz w:val="24"/>
        </w:rPr>
        <w:t xml:space="preserve">18.1 </w:t>
      </w:r>
      <w:r>
        <w:rPr>
          <w:rFonts w:hint="eastAsia" w:ascii="宋体" w:hAnsi="宋体" w:cs="宋体"/>
          <w:sz w:val="24"/>
          <w:lang w:eastAsia="zh-CN"/>
        </w:rPr>
        <w:t>纸质</w:t>
      </w:r>
      <w:r>
        <w:rPr>
          <w:rFonts w:hint="eastAsia" w:ascii="宋体" w:hAnsi="宋体" w:cs="宋体"/>
          <w:sz w:val="24"/>
        </w:rPr>
        <w:t>谈判响应文件正本和所有副本均需</w:t>
      </w:r>
      <w:r>
        <w:rPr>
          <w:rFonts w:hint="eastAsia" w:ascii="宋体" w:hAnsi="宋体" w:cs="宋体"/>
          <w:sz w:val="24"/>
          <w:szCs w:val="24"/>
        </w:rPr>
        <w:t>用A4幅面纸张</w:t>
      </w:r>
      <w:r>
        <w:rPr>
          <w:rFonts w:hint="eastAsia" w:ascii="宋体" w:hAnsi="宋体" w:cs="宋体"/>
          <w:sz w:val="24"/>
        </w:rPr>
        <w:t>打印或用不褪色的蓝(黑)色墨水(汁)书写,并由投标人法定代表人或经法定代表人正式授权的代表签字。谈判响应文件若由授权代表签署，须按招标文件规定的格式提供的“法定代表人授权委托书”原件附在</w:t>
      </w:r>
      <w:r>
        <w:rPr>
          <w:rFonts w:hint="eastAsia" w:ascii="宋体" w:hAnsi="宋体" w:cs="宋体"/>
          <w:sz w:val="24"/>
          <w:lang w:eastAsia="zh-CN"/>
        </w:rPr>
        <w:t>谈判响应文件</w:t>
      </w:r>
      <w:r>
        <w:rPr>
          <w:rFonts w:hint="eastAsia" w:ascii="宋体" w:hAnsi="宋体" w:cs="宋体"/>
          <w:sz w:val="24"/>
        </w:rPr>
        <w:t>中。所有要求签字（名）处，均须由签字（名）者本人用不褪色的蓝(黑)色墨水(汁)书写，不得用任何形式的图章代替。所有谈判响应文件正本和副本须按规定的顺序编排、并应编制三级及以上目录、逐页标注连续页码，每一页的正下方清楚标明页码，并统一装订（胶装）成册。</w:t>
      </w:r>
    </w:p>
    <w:p>
      <w:pPr>
        <w:adjustRightInd w:val="0"/>
        <w:snapToGrid w:val="0"/>
        <w:spacing w:line="360" w:lineRule="auto"/>
        <w:rPr>
          <w:rFonts w:ascii="宋体" w:hAnsi="宋体" w:cs="宋体"/>
          <w:sz w:val="24"/>
          <w:szCs w:val="22"/>
        </w:rPr>
      </w:pPr>
      <w:r>
        <w:rPr>
          <w:rFonts w:hint="eastAsia" w:ascii="宋体" w:hAnsi="宋体" w:cs="宋体"/>
          <w:sz w:val="24"/>
        </w:rPr>
        <w:t>18.2  除投标人对错处作必要修改外，谈判响应文件中不许有加行、涂抹或改写。若有修改须由授权代表或法定代表人在修改处签字</w:t>
      </w:r>
      <w:r>
        <w:rPr>
          <w:rFonts w:hint="eastAsia" w:ascii="宋体" w:hAnsi="宋体" w:cs="宋体"/>
          <w:sz w:val="24"/>
          <w:szCs w:val="22"/>
        </w:rPr>
        <w:t xml:space="preserve">。 </w:t>
      </w:r>
    </w:p>
    <w:p>
      <w:pPr>
        <w:adjustRightInd w:val="0"/>
        <w:snapToGrid w:val="0"/>
        <w:spacing w:line="360" w:lineRule="auto"/>
        <w:rPr>
          <w:rFonts w:ascii="宋体" w:hAnsi="宋体" w:cs="宋体"/>
          <w:sz w:val="24"/>
          <w:szCs w:val="22"/>
        </w:rPr>
      </w:pPr>
      <w:r>
        <w:rPr>
          <w:rFonts w:hint="eastAsia" w:ascii="宋体" w:hAnsi="宋体" w:cs="宋体"/>
          <w:sz w:val="24"/>
          <w:szCs w:val="22"/>
        </w:rPr>
        <w:t xml:space="preserve">18.3  </w:t>
      </w:r>
      <w:r>
        <w:rPr>
          <w:rFonts w:hint="eastAsia" w:ascii="宋体" w:hAnsi="宋体" w:cs="宋体"/>
          <w:sz w:val="24"/>
        </w:rPr>
        <w:t>投标人</w:t>
      </w:r>
      <w:r>
        <w:rPr>
          <w:rFonts w:hint="eastAsia" w:ascii="宋体" w:hAnsi="宋体" w:cs="宋体"/>
          <w:sz w:val="24"/>
          <w:szCs w:val="22"/>
        </w:rPr>
        <w:t>名称应填写全称，</w:t>
      </w:r>
      <w:r>
        <w:rPr>
          <w:rFonts w:hint="eastAsia" w:ascii="宋体" w:hAnsi="宋体" w:cs="宋体"/>
          <w:sz w:val="24"/>
        </w:rPr>
        <w:t>谈判响应文件</w:t>
      </w:r>
      <w:r>
        <w:rPr>
          <w:rFonts w:hint="eastAsia" w:ascii="宋体" w:hAnsi="宋体" w:cs="宋体"/>
          <w:sz w:val="24"/>
          <w:szCs w:val="22"/>
        </w:rPr>
        <w:t>正本必须逐页加盖</w:t>
      </w:r>
      <w:r>
        <w:rPr>
          <w:rFonts w:hint="eastAsia" w:ascii="宋体" w:hAnsi="宋体" w:cs="宋体"/>
          <w:sz w:val="24"/>
        </w:rPr>
        <w:t>投标人</w:t>
      </w:r>
      <w:r>
        <w:rPr>
          <w:rFonts w:hint="eastAsia" w:ascii="宋体" w:hAnsi="宋体" w:cs="宋体"/>
          <w:sz w:val="24"/>
          <w:szCs w:val="22"/>
        </w:rPr>
        <w:t>公章，</w:t>
      </w:r>
      <w:r>
        <w:rPr>
          <w:rFonts w:hint="eastAsia" w:ascii="宋体" w:hAnsi="宋体" w:cs="宋体"/>
          <w:sz w:val="24"/>
        </w:rPr>
        <w:t>谈判响应文件</w:t>
      </w:r>
      <w:r>
        <w:rPr>
          <w:rFonts w:hint="eastAsia" w:ascii="宋体" w:hAnsi="宋体" w:cs="宋体"/>
          <w:sz w:val="24"/>
          <w:szCs w:val="22"/>
        </w:rPr>
        <w:t>正本和副本必须加盖骑缝章。</w:t>
      </w:r>
    </w:p>
    <w:p>
      <w:pPr>
        <w:pStyle w:val="11"/>
        <w:spacing w:line="360" w:lineRule="auto"/>
        <w:rPr>
          <w:rFonts w:ascii="宋体" w:hAnsi="宋体" w:cs="宋体"/>
          <w:sz w:val="24"/>
        </w:rPr>
      </w:pPr>
      <w:r>
        <w:rPr>
          <w:rFonts w:hint="eastAsia" w:ascii="宋体" w:hAnsi="宋体" w:cs="宋体"/>
          <w:sz w:val="24"/>
        </w:rPr>
        <w:t>18.4本项目采用电子化</w:t>
      </w:r>
      <w:r>
        <w:rPr>
          <w:rFonts w:hint="eastAsia" w:ascii="宋体" w:hAnsi="宋体" w:cs="宋体"/>
          <w:sz w:val="24"/>
          <w:lang w:eastAsia="zh-CN"/>
        </w:rPr>
        <w:t>投标</w:t>
      </w:r>
      <w:r>
        <w:rPr>
          <w:rFonts w:hint="eastAsia" w:ascii="宋体" w:hAnsi="宋体" w:cs="宋体"/>
          <w:sz w:val="24"/>
        </w:rPr>
        <w:t>的方式。投标人须使用数字认证证书对电子化谈判响应文件进行签章、加密、递交及开标时解密等相关招投标事宜。</w:t>
      </w:r>
    </w:p>
    <w:p>
      <w:pPr>
        <w:adjustRightInd w:val="0"/>
        <w:snapToGrid w:val="0"/>
        <w:spacing w:line="360" w:lineRule="auto"/>
        <w:rPr>
          <w:rFonts w:ascii="宋体" w:hAnsi="宋体" w:cs="宋体"/>
          <w:sz w:val="24"/>
        </w:rPr>
      </w:pPr>
      <w:r>
        <w:rPr>
          <w:rFonts w:hint="eastAsia" w:ascii="宋体" w:hAnsi="宋体" w:cs="宋体"/>
          <w:sz w:val="24"/>
          <w:szCs w:val="22"/>
        </w:rPr>
        <w:t>18.5  采购人拒绝接受以电报、电话、传真、电</w:t>
      </w:r>
      <w:r>
        <w:rPr>
          <w:rFonts w:hint="eastAsia" w:ascii="宋体" w:hAnsi="宋体" w:cs="宋体"/>
          <w:sz w:val="24"/>
        </w:rPr>
        <w:t>子邮件形式的投标。</w:t>
      </w:r>
    </w:p>
    <w:p>
      <w:pPr>
        <w:adjustRightInd w:val="0"/>
        <w:snapToGrid w:val="0"/>
        <w:spacing w:line="360" w:lineRule="auto"/>
        <w:rPr>
          <w:rFonts w:ascii="宋体" w:hAnsi="宋体" w:cs="宋体"/>
          <w:sz w:val="24"/>
        </w:rPr>
      </w:pPr>
      <w:r>
        <w:rPr>
          <w:rFonts w:hint="eastAsia" w:ascii="宋体" w:hAnsi="宋体" w:cs="宋体"/>
          <w:sz w:val="24"/>
        </w:rPr>
        <w:t>18.6  未按上述要求编制及签署的</w:t>
      </w:r>
      <w:r>
        <w:rPr>
          <w:rFonts w:hint="eastAsia" w:ascii="宋体" w:hAnsi="宋体" w:cs="宋体"/>
          <w:sz w:val="24"/>
          <w:lang w:eastAsia="zh-CN"/>
        </w:rPr>
        <w:t>谈判响应文件</w:t>
      </w:r>
      <w:r>
        <w:rPr>
          <w:rFonts w:hint="eastAsia" w:ascii="宋体" w:hAnsi="宋体" w:cs="宋体"/>
          <w:sz w:val="24"/>
        </w:rPr>
        <w:t>视为无效</w:t>
      </w:r>
      <w:r>
        <w:rPr>
          <w:rFonts w:hint="eastAsia" w:ascii="宋体" w:hAnsi="宋体" w:cs="宋体"/>
          <w:sz w:val="24"/>
          <w:lang w:eastAsia="zh-CN"/>
        </w:rPr>
        <w:t>谈判响应文件</w:t>
      </w:r>
      <w:r>
        <w:rPr>
          <w:rFonts w:hint="eastAsia" w:ascii="宋体" w:hAnsi="宋体" w:cs="宋体"/>
          <w:sz w:val="24"/>
        </w:rPr>
        <w:t>。</w:t>
      </w:r>
    </w:p>
    <w:p>
      <w:pPr>
        <w:adjustRightInd w:val="0"/>
        <w:snapToGrid w:val="0"/>
        <w:spacing w:line="360" w:lineRule="auto"/>
        <w:rPr>
          <w:rFonts w:ascii="宋体" w:hAnsi="宋体" w:cs="宋体"/>
          <w:sz w:val="24"/>
          <w:szCs w:val="22"/>
        </w:rPr>
      </w:pPr>
      <w:r>
        <w:rPr>
          <w:rFonts w:hint="eastAsia" w:ascii="宋体" w:hAnsi="宋体" w:cs="宋体"/>
          <w:sz w:val="24"/>
          <w:szCs w:val="22"/>
        </w:rPr>
        <w:t xml:space="preserve">18.7电子谈判文件下载。供应商登录全国公共资源交易平台（陕西省） 网站〖首 </w:t>
      </w:r>
    </w:p>
    <w:p>
      <w:pPr>
        <w:adjustRightInd w:val="0"/>
        <w:snapToGrid w:val="0"/>
        <w:spacing w:line="360" w:lineRule="auto"/>
        <w:rPr>
          <w:rFonts w:ascii="宋体" w:hAnsi="宋体" w:cs="宋体"/>
          <w:sz w:val="24"/>
          <w:szCs w:val="22"/>
        </w:rPr>
      </w:pPr>
      <w:r>
        <w:rPr>
          <w:rFonts w:hint="eastAsia" w:ascii="宋体" w:hAnsi="宋体" w:cs="宋体"/>
          <w:sz w:val="24"/>
          <w:szCs w:val="22"/>
        </w:rPr>
        <w:t xml:space="preserve">页·〉电子交易平台·〉企业端〗后，选择项目点击 “我要投标”，参与投标活动。然后即可在〖我的项目〗中点击“项目流程&gt;交易文件下载”下载电子谈判文件。 </w:t>
      </w:r>
    </w:p>
    <w:p>
      <w:pPr>
        <w:adjustRightInd w:val="0"/>
        <w:snapToGrid w:val="0"/>
        <w:spacing w:line="360" w:lineRule="auto"/>
        <w:rPr>
          <w:rFonts w:ascii="宋体" w:hAnsi="宋体" w:cs="宋体"/>
          <w:sz w:val="24"/>
          <w:szCs w:val="22"/>
        </w:rPr>
      </w:pPr>
      <w:r>
        <w:rPr>
          <w:rFonts w:hint="eastAsia" w:ascii="宋体" w:hAnsi="宋体" w:cs="宋体"/>
          <w:sz w:val="24"/>
          <w:szCs w:val="22"/>
        </w:rPr>
        <w:t>18.8 电子谈判文件需要使用专用软件打开、浏览。供应商可在全国公共资源交易平台（陕西省）网站〖首页·〉服务指南·〉下载专区〗免费下载“陕西省公共资源交易平台政府采购电子标书制作工具(V8.0.0.36)”，并升级至最新版本，使用该客户端可以打开电子</w:t>
      </w:r>
      <w:r>
        <w:rPr>
          <w:rFonts w:hint="eastAsia" w:ascii="宋体" w:hAnsi="宋体" w:cs="宋体"/>
          <w:sz w:val="24"/>
          <w:szCs w:val="22"/>
          <w:lang w:eastAsia="zh-CN"/>
        </w:rPr>
        <w:t>谈判响应文件</w:t>
      </w:r>
      <w:r>
        <w:rPr>
          <w:rFonts w:hint="eastAsia" w:ascii="宋体" w:hAnsi="宋体" w:cs="宋体"/>
          <w:sz w:val="24"/>
          <w:szCs w:val="22"/>
        </w:rPr>
        <w:t xml:space="preserve">。软件操作手册详见全国公共资源交易平台（陕西省）网站〖首页·〉服务指南·〉下载专区〗中的《陕西省公共资源交易（政府采购类）响应文件制作软件操作手册》。 </w:t>
      </w:r>
    </w:p>
    <w:p>
      <w:pPr>
        <w:adjustRightInd w:val="0"/>
        <w:snapToGrid w:val="0"/>
        <w:spacing w:line="360" w:lineRule="auto"/>
        <w:rPr>
          <w:rFonts w:ascii="宋体" w:hAnsi="宋体" w:cs="宋体"/>
          <w:sz w:val="24"/>
          <w:szCs w:val="22"/>
        </w:rPr>
      </w:pPr>
      <w:r>
        <w:rPr>
          <w:rFonts w:hint="eastAsia" w:ascii="宋体" w:hAnsi="宋体" w:cs="宋体"/>
          <w:sz w:val="24"/>
          <w:szCs w:val="22"/>
        </w:rPr>
        <w:t>18.9 制作电子</w:t>
      </w:r>
      <w:r>
        <w:rPr>
          <w:rFonts w:hint="eastAsia" w:ascii="宋体" w:hAnsi="宋体" w:cs="宋体"/>
          <w:sz w:val="24"/>
        </w:rPr>
        <w:t>谈判响应文件</w:t>
      </w:r>
      <w:r>
        <w:rPr>
          <w:rFonts w:hint="eastAsia" w:ascii="宋体" w:hAnsi="宋体" w:cs="宋体"/>
          <w:sz w:val="24"/>
          <w:szCs w:val="22"/>
        </w:rPr>
        <w:t>。电子</w:t>
      </w:r>
      <w:r>
        <w:rPr>
          <w:rFonts w:hint="eastAsia" w:ascii="宋体" w:hAnsi="宋体" w:cs="宋体"/>
          <w:sz w:val="24"/>
        </w:rPr>
        <w:t>谈判响应文件</w:t>
      </w:r>
      <w:r>
        <w:rPr>
          <w:rFonts w:hint="eastAsia" w:ascii="宋体" w:hAnsi="宋体" w:cs="宋体"/>
          <w:sz w:val="24"/>
          <w:szCs w:val="22"/>
        </w:rPr>
        <w:t xml:space="preserve">同样需要使用上述软件进行编制。在编制过程中，如有技术性问题，请先翻阅操作手册，或致电软件开发商。 </w:t>
      </w:r>
    </w:p>
    <w:p>
      <w:pPr>
        <w:adjustRightInd w:val="0"/>
        <w:snapToGrid w:val="0"/>
        <w:spacing w:line="360" w:lineRule="auto"/>
        <w:ind w:firstLine="480" w:firstLineChars="200"/>
        <w:rPr>
          <w:rFonts w:ascii="宋体" w:hAnsi="宋体" w:cs="宋体"/>
          <w:sz w:val="24"/>
          <w:szCs w:val="22"/>
        </w:rPr>
      </w:pPr>
      <w:r>
        <w:rPr>
          <w:rFonts w:hint="eastAsia" w:ascii="宋体" w:hAnsi="宋体" w:cs="宋体"/>
          <w:sz w:val="24"/>
          <w:szCs w:val="22"/>
        </w:rPr>
        <w:t xml:space="preserve">技术支持热线：4009280095、4009980000 </w:t>
      </w:r>
    </w:p>
    <w:p>
      <w:pPr>
        <w:pStyle w:val="11"/>
        <w:ind w:firstLine="480" w:firstLineChars="200"/>
        <w:rPr>
          <w:rFonts w:ascii="宋体" w:hAnsi="宋体" w:cs="宋体"/>
          <w:sz w:val="24"/>
          <w:szCs w:val="22"/>
        </w:rPr>
      </w:pPr>
      <w:r>
        <w:rPr>
          <w:rFonts w:hint="eastAsia" w:ascii="宋体" w:hAnsi="宋体" w:cs="宋体"/>
          <w:sz w:val="24"/>
          <w:szCs w:val="22"/>
        </w:rPr>
        <w:t>CA 锁购买：榆林市市民大厦四楼窗口,电话：0912-3515031</w:t>
      </w:r>
    </w:p>
    <w:p>
      <w:pPr>
        <w:pStyle w:val="5"/>
        <w:spacing w:before="120" w:after="120"/>
        <w:rPr>
          <w:rFonts w:ascii="宋体" w:hAnsi="宋体" w:eastAsia="宋体" w:cs="宋体"/>
          <w:sz w:val="36"/>
        </w:rPr>
      </w:pPr>
      <w:bookmarkStart w:id="160" w:name="_Toc12354"/>
      <w:bookmarkStart w:id="161" w:name="_Toc12671"/>
      <w:bookmarkStart w:id="162" w:name="_Toc28593"/>
      <w:bookmarkStart w:id="163" w:name="_Toc26918"/>
      <w:bookmarkStart w:id="164" w:name="_Toc465958107"/>
      <w:bookmarkStart w:id="165" w:name="_Toc246928916"/>
      <w:r>
        <w:rPr>
          <w:rFonts w:hint="eastAsia" w:ascii="宋体" w:hAnsi="宋体" w:eastAsia="宋体" w:cs="宋体"/>
          <w:sz w:val="36"/>
        </w:rPr>
        <w:t>D 竞争性谈判响应文件的递交</w:t>
      </w:r>
      <w:bookmarkEnd w:id="160"/>
      <w:bookmarkEnd w:id="161"/>
      <w:bookmarkEnd w:id="162"/>
      <w:bookmarkEnd w:id="163"/>
      <w:bookmarkEnd w:id="164"/>
      <w:bookmarkEnd w:id="165"/>
    </w:p>
    <w:p>
      <w:pPr>
        <w:pStyle w:val="6"/>
        <w:spacing w:before="120" w:after="120" w:line="360" w:lineRule="auto"/>
        <w:rPr>
          <w:rFonts w:ascii="宋体" w:hAnsi="宋体" w:cs="宋体"/>
        </w:rPr>
      </w:pPr>
      <w:bookmarkStart w:id="166" w:name="_Toc14296"/>
      <w:bookmarkStart w:id="167" w:name="_Toc22531"/>
      <w:bookmarkStart w:id="168" w:name="_Toc465958108"/>
      <w:bookmarkStart w:id="169" w:name="_Toc17004"/>
      <w:bookmarkStart w:id="170" w:name="_Toc246928917"/>
      <w:bookmarkStart w:id="171" w:name="_Toc5378"/>
      <w:bookmarkStart w:id="172" w:name="_Toc20693"/>
      <w:r>
        <w:rPr>
          <w:rFonts w:hint="eastAsia" w:ascii="宋体" w:hAnsi="宋体" w:cs="宋体"/>
        </w:rPr>
        <w:t>19 竞争性谈判响应文件的密封和标记</w:t>
      </w:r>
      <w:bookmarkEnd w:id="166"/>
      <w:bookmarkEnd w:id="167"/>
      <w:bookmarkEnd w:id="168"/>
      <w:bookmarkEnd w:id="169"/>
      <w:bookmarkEnd w:id="170"/>
      <w:bookmarkEnd w:id="171"/>
      <w:bookmarkEnd w:id="172"/>
    </w:p>
    <w:p>
      <w:pPr>
        <w:spacing w:line="360" w:lineRule="auto"/>
        <w:rPr>
          <w:rFonts w:ascii="宋体" w:hAnsi="宋体" w:cs="仿宋_GB2312"/>
          <w:bCs/>
          <w:sz w:val="24"/>
          <w:szCs w:val="22"/>
        </w:rPr>
      </w:pPr>
      <w:bookmarkStart w:id="173" w:name="_Toc4222"/>
      <w:bookmarkStart w:id="174" w:name="_Toc10052"/>
      <w:bookmarkStart w:id="175" w:name="_Toc27391"/>
      <w:bookmarkStart w:id="176" w:name="_Toc27827"/>
      <w:bookmarkStart w:id="177" w:name="_Toc465958109"/>
      <w:bookmarkStart w:id="178" w:name="_Toc246928918"/>
      <w:bookmarkStart w:id="179" w:name="_Toc2644"/>
      <w:r>
        <w:rPr>
          <w:rFonts w:hint="eastAsia" w:ascii="宋体" w:hAnsi="宋体" w:cs="仿宋_GB2312"/>
          <w:bCs/>
          <w:sz w:val="24"/>
        </w:rPr>
        <w:t>19.1</w:t>
      </w:r>
      <w:r>
        <w:rPr>
          <w:rFonts w:hint="eastAsia" w:ascii="宋体" w:hAnsi="宋体" w:cs="仿宋_GB2312"/>
          <w:bCs/>
          <w:sz w:val="24"/>
          <w:lang w:eastAsia="zh-CN"/>
        </w:rPr>
        <w:t>开标后成交</w:t>
      </w:r>
      <w:r>
        <w:rPr>
          <w:rFonts w:hint="eastAsia" w:ascii="宋体" w:hAnsi="宋体" w:cs="仿宋_GB2312"/>
          <w:bCs/>
          <w:sz w:val="24"/>
        </w:rPr>
        <w:t>供应商应提交正本壹份、副本贰份、</w:t>
      </w:r>
      <w:r>
        <w:rPr>
          <w:rFonts w:hint="eastAsia" w:ascii="宋体" w:hAnsi="宋体"/>
          <w:sz w:val="24"/>
        </w:rPr>
        <w:t>电子文件（U盘或移动硬盘，谢绝光盘）</w:t>
      </w:r>
      <w:r>
        <w:rPr>
          <w:rFonts w:hint="eastAsia" w:ascii="宋体" w:hAnsi="宋体" w:cs="仿宋_GB2312"/>
          <w:bCs/>
          <w:sz w:val="24"/>
        </w:rPr>
        <w:t>壹</w:t>
      </w:r>
      <w:r>
        <w:rPr>
          <w:rFonts w:hint="eastAsia" w:ascii="宋体" w:hAnsi="宋体"/>
          <w:sz w:val="24"/>
        </w:rPr>
        <w:t>份</w:t>
      </w:r>
      <w:r>
        <w:rPr>
          <w:rFonts w:hint="eastAsia" w:ascii="宋体" w:hAnsi="宋体"/>
          <w:sz w:val="24"/>
          <w:lang w:eastAsia="zh-CN"/>
        </w:rPr>
        <w:t>邮寄至代理机构</w:t>
      </w:r>
      <w:r>
        <w:rPr>
          <w:rFonts w:hint="eastAsia" w:ascii="宋体" w:hAnsi="宋体" w:cs="仿宋_GB2312"/>
          <w:bCs/>
          <w:sz w:val="24"/>
        </w:rPr>
        <w:t>。</w:t>
      </w:r>
    </w:p>
    <w:p>
      <w:pPr>
        <w:pStyle w:val="6"/>
        <w:spacing w:line="360" w:lineRule="auto"/>
        <w:rPr>
          <w:rFonts w:ascii="宋体" w:hAnsi="宋体" w:cs="宋体"/>
        </w:rPr>
      </w:pPr>
      <w:r>
        <w:rPr>
          <w:rFonts w:hint="eastAsia" w:ascii="宋体" w:hAnsi="宋体" w:cs="宋体"/>
        </w:rPr>
        <w:t>20 竞争性谈判响应文件的递交</w:t>
      </w:r>
      <w:bookmarkEnd w:id="173"/>
      <w:bookmarkEnd w:id="174"/>
      <w:bookmarkEnd w:id="175"/>
      <w:bookmarkEnd w:id="176"/>
      <w:bookmarkEnd w:id="177"/>
      <w:bookmarkEnd w:id="178"/>
      <w:bookmarkEnd w:id="179"/>
    </w:p>
    <w:p>
      <w:pPr>
        <w:pStyle w:val="14"/>
        <w:spacing w:line="360" w:lineRule="auto"/>
        <w:rPr>
          <w:rFonts w:ascii="宋体" w:hAnsi="宋体" w:cs="宋体"/>
          <w:sz w:val="24"/>
        </w:rPr>
      </w:pPr>
      <w:r>
        <w:rPr>
          <w:rFonts w:hint="eastAsia" w:ascii="宋体" w:hAnsi="宋体" w:cs="宋体"/>
          <w:sz w:val="24"/>
        </w:rPr>
        <w:t>20.</w:t>
      </w:r>
      <w:r>
        <w:rPr>
          <w:rFonts w:hint="eastAsia" w:ascii="宋体" w:hAnsi="宋体" w:cs="宋体"/>
          <w:sz w:val="24"/>
          <w:lang w:val="en-US" w:eastAsia="zh-CN"/>
        </w:rPr>
        <w:t>1</w:t>
      </w:r>
      <w:r>
        <w:rPr>
          <w:rFonts w:hint="eastAsia" w:ascii="宋体" w:hAnsi="宋体" w:cs="宋体"/>
          <w:sz w:val="24"/>
        </w:rPr>
        <w:t xml:space="preserve"> 无论供应商成交与否，其竞争性谈判响应文件恕不退还。</w:t>
      </w:r>
    </w:p>
    <w:p>
      <w:pPr>
        <w:pStyle w:val="14"/>
        <w:spacing w:line="360" w:lineRule="auto"/>
        <w:rPr>
          <w:rFonts w:ascii="宋体" w:hAnsi="宋体" w:cs="宋体"/>
          <w:sz w:val="24"/>
        </w:rPr>
      </w:pPr>
      <w:r>
        <w:rPr>
          <w:rFonts w:hint="eastAsia" w:ascii="宋体" w:hAnsi="宋体" w:cs="宋体"/>
          <w:sz w:val="24"/>
        </w:rPr>
        <w:t>20.</w:t>
      </w:r>
      <w:r>
        <w:rPr>
          <w:rFonts w:hint="eastAsia" w:ascii="宋体" w:hAnsi="宋体" w:cs="宋体"/>
          <w:sz w:val="24"/>
          <w:lang w:val="en-US" w:eastAsia="zh-CN"/>
        </w:rPr>
        <w:t>2</w:t>
      </w:r>
      <w:r>
        <w:rPr>
          <w:rFonts w:hint="eastAsia" w:ascii="宋体" w:hAnsi="宋体" w:cs="宋体"/>
          <w:sz w:val="24"/>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w:t>
      </w:r>
    </w:p>
    <w:p>
      <w:pPr>
        <w:pStyle w:val="14"/>
        <w:spacing w:line="360" w:lineRule="auto"/>
        <w:rPr>
          <w:rFonts w:ascii="宋体" w:hAnsi="宋体" w:cs="宋体"/>
          <w:sz w:val="24"/>
        </w:rPr>
      </w:pPr>
      <w:r>
        <w:rPr>
          <w:rFonts w:hint="eastAsia" w:ascii="宋体" w:hAnsi="宋体" w:cs="宋体"/>
          <w:sz w:val="24"/>
        </w:rPr>
        <w:t>企业端&gt;我的项目”，点击“项目流程”，在打开的“项目管理”对话框中选择“上传</w:t>
      </w:r>
    </w:p>
    <w:p>
      <w:pPr>
        <w:pStyle w:val="14"/>
        <w:spacing w:line="360" w:lineRule="auto"/>
        <w:rPr>
          <w:rFonts w:ascii="宋体" w:hAnsi="宋体" w:cs="宋体"/>
          <w:sz w:val="24"/>
        </w:rPr>
      </w:pPr>
      <w:r>
        <w:rPr>
          <w:rFonts w:hint="eastAsia" w:ascii="宋体" w:hAnsi="宋体" w:cs="宋体"/>
          <w:sz w:val="24"/>
        </w:rPr>
        <w:t>响应文件”，上传加密的电子响应文件。上传成功后，电子化平台将予以记录。</w:t>
      </w:r>
    </w:p>
    <w:p>
      <w:pPr>
        <w:spacing w:line="360" w:lineRule="auto"/>
        <w:rPr>
          <w:rFonts w:ascii="宋体" w:hAnsi="宋体" w:cs="宋体"/>
          <w:sz w:val="24"/>
        </w:rPr>
      </w:pPr>
      <w:r>
        <w:rPr>
          <w:rFonts w:hint="eastAsia" w:ascii="宋体" w:hAnsi="宋体" w:cs="宋体"/>
          <w:sz w:val="24"/>
        </w:rPr>
        <w:t>20.</w:t>
      </w:r>
      <w:r>
        <w:rPr>
          <w:rFonts w:hint="eastAsia" w:ascii="宋体" w:hAnsi="宋体" w:cs="宋体"/>
          <w:sz w:val="24"/>
          <w:lang w:val="en-US" w:eastAsia="zh-CN"/>
        </w:rPr>
        <w:t>3</w:t>
      </w:r>
      <w:r>
        <w:rPr>
          <w:rFonts w:hint="eastAsia" w:ascii="宋体" w:hAnsi="宋体" w:cs="宋体"/>
          <w:sz w:val="24"/>
        </w:rPr>
        <w:t xml:space="preserve"> 采购人或采购代理机构有权按本须知的规定，通过修改竞争性谈判文件延长谈判截止时间。在此情况下，采购人和供应商受谈判截止时间制约的所有权利和义务均应当延长至新的截止期。</w:t>
      </w:r>
    </w:p>
    <w:p>
      <w:pPr>
        <w:spacing w:line="360" w:lineRule="auto"/>
        <w:rPr>
          <w:rFonts w:ascii="宋体" w:hAnsi="宋体" w:cs="宋体"/>
          <w:sz w:val="24"/>
        </w:rPr>
      </w:pPr>
      <w:r>
        <w:rPr>
          <w:rFonts w:hint="eastAsia" w:ascii="宋体" w:hAnsi="宋体" w:cs="宋体"/>
          <w:sz w:val="24"/>
        </w:rPr>
        <w:t>20.</w:t>
      </w:r>
      <w:r>
        <w:rPr>
          <w:rFonts w:hint="eastAsia" w:ascii="宋体" w:hAnsi="宋体" w:cs="宋体"/>
          <w:sz w:val="24"/>
          <w:lang w:val="en-US" w:eastAsia="zh-CN"/>
        </w:rPr>
        <w:t>4</w:t>
      </w:r>
      <w:r>
        <w:rPr>
          <w:rFonts w:hint="eastAsia" w:ascii="宋体" w:hAnsi="宋体" w:cs="宋体"/>
          <w:sz w:val="24"/>
        </w:rPr>
        <w:t xml:space="preserve"> 采购人及采购代理机构将拒绝接收竞争性谈判文件规定的谈判截止时间之后递交的任何竞争性谈判响应文件。</w:t>
      </w:r>
    </w:p>
    <w:p>
      <w:pPr>
        <w:pStyle w:val="6"/>
        <w:spacing w:line="360" w:lineRule="auto"/>
        <w:rPr>
          <w:rFonts w:ascii="宋体" w:hAnsi="宋体" w:cs="宋体"/>
        </w:rPr>
      </w:pPr>
      <w:bookmarkStart w:id="180" w:name="_Toc4701"/>
      <w:bookmarkStart w:id="181" w:name="_Toc29885"/>
      <w:bookmarkStart w:id="182" w:name="_Toc10103"/>
      <w:bookmarkStart w:id="183" w:name="_Toc465958110"/>
      <w:bookmarkStart w:id="184" w:name="_Toc7672"/>
      <w:bookmarkStart w:id="185" w:name="_Toc13225"/>
      <w:r>
        <w:rPr>
          <w:rFonts w:hint="eastAsia" w:ascii="宋体" w:hAnsi="宋体" w:cs="宋体"/>
        </w:rPr>
        <w:t>21 竞争性谈判响应文件的修改与撤回</w:t>
      </w:r>
      <w:bookmarkEnd w:id="180"/>
      <w:bookmarkEnd w:id="181"/>
      <w:bookmarkEnd w:id="182"/>
      <w:bookmarkEnd w:id="183"/>
      <w:bookmarkEnd w:id="184"/>
      <w:bookmarkEnd w:id="185"/>
    </w:p>
    <w:p>
      <w:pPr>
        <w:spacing w:line="360" w:lineRule="auto"/>
        <w:rPr>
          <w:rFonts w:ascii="宋体" w:hAnsi="宋体" w:cs="宋体"/>
          <w:sz w:val="24"/>
        </w:rPr>
      </w:pPr>
      <w:r>
        <w:rPr>
          <w:rFonts w:hint="eastAsia" w:ascii="宋体" w:hAnsi="宋体" w:cs="宋体"/>
          <w:sz w:val="24"/>
        </w:rPr>
        <w:t>21.1 供应商在谈判截止时间前，可以对所递交的竞争性谈判响应文件进行补充、修改或者撤回，并书面通知采购代理机构。补充、修改的内容应当按竞争性谈判文件要求签署、盖章，并作为竞争性谈判响应文件的组成部分。</w:t>
      </w:r>
    </w:p>
    <w:p>
      <w:pPr>
        <w:spacing w:line="360" w:lineRule="auto"/>
        <w:rPr>
          <w:rFonts w:ascii="宋体" w:hAnsi="宋体" w:cs="宋体"/>
          <w:sz w:val="24"/>
        </w:rPr>
      </w:pPr>
      <w:r>
        <w:rPr>
          <w:rFonts w:hint="eastAsia" w:ascii="宋体" w:hAnsi="宋体" w:cs="宋体"/>
          <w:sz w:val="24"/>
        </w:rPr>
        <w:t>21.2 谈判截止时间后，供应商不得对其竞争性谈判响应文件做任何修改。</w:t>
      </w:r>
    </w:p>
    <w:p>
      <w:pPr>
        <w:spacing w:line="360" w:lineRule="auto"/>
        <w:rPr>
          <w:rFonts w:ascii="宋体" w:hAnsi="宋体" w:cs="宋体"/>
          <w:sz w:val="24"/>
        </w:rPr>
      </w:pPr>
      <w:r>
        <w:rPr>
          <w:rFonts w:hint="eastAsia" w:ascii="宋体" w:hAnsi="宋体" w:cs="宋体"/>
          <w:sz w:val="24"/>
        </w:rPr>
        <w:t>21.3 从谈判截止期至供应商在谈判函格式中确定的谈判有效期之间，供应商不得撤销其谈判，否则其谈判保证金将按照本须知的规定不予退还。</w:t>
      </w:r>
    </w:p>
    <w:p>
      <w:pPr>
        <w:pStyle w:val="5"/>
        <w:rPr>
          <w:rFonts w:ascii="宋体" w:hAnsi="宋体" w:eastAsia="宋体" w:cs="宋体"/>
          <w:sz w:val="36"/>
        </w:rPr>
      </w:pPr>
      <w:bookmarkStart w:id="186" w:name="_Toc21818"/>
      <w:bookmarkStart w:id="187" w:name="_Toc24049"/>
      <w:bookmarkStart w:id="188" w:name="_Toc465958111"/>
      <w:bookmarkStart w:id="189" w:name="_Toc246928919"/>
      <w:bookmarkStart w:id="190" w:name="_Toc3199"/>
      <w:bookmarkStart w:id="191" w:name="_Toc22666"/>
      <w:r>
        <w:rPr>
          <w:rFonts w:hint="eastAsia" w:ascii="宋体" w:hAnsi="宋体" w:eastAsia="宋体" w:cs="宋体"/>
          <w:sz w:val="36"/>
        </w:rPr>
        <w:t>E 开标与评审</w:t>
      </w:r>
      <w:bookmarkEnd w:id="186"/>
      <w:bookmarkEnd w:id="187"/>
      <w:bookmarkEnd w:id="188"/>
      <w:bookmarkEnd w:id="189"/>
      <w:bookmarkEnd w:id="190"/>
      <w:bookmarkEnd w:id="191"/>
    </w:p>
    <w:p>
      <w:pPr>
        <w:pStyle w:val="6"/>
        <w:spacing w:line="360" w:lineRule="auto"/>
        <w:rPr>
          <w:rFonts w:ascii="宋体" w:hAnsi="宋体" w:cs="宋体"/>
        </w:rPr>
      </w:pPr>
      <w:bookmarkStart w:id="192" w:name="_Toc15292"/>
      <w:bookmarkStart w:id="193" w:name="_Toc6346"/>
      <w:bookmarkStart w:id="194" w:name="_Toc25438"/>
      <w:bookmarkStart w:id="195" w:name="_Toc11145"/>
      <w:bookmarkStart w:id="196" w:name="_Toc28426"/>
      <w:bookmarkStart w:id="197" w:name="_Toc246928920"/>
      <w:bookmarkStart w:id="198" w:name="_Toc465958112"/>
      <w:r>
        <w:rPr>
          <w:rFonts w:hint="eastAsia" w:ascii="宋体" w:hAnsi="宋体" w:cs="宋体"/>
        </w:rPr>
        <w:t xml:space="preserve">22 </w:t>
      </w:r>
      <w:bookmarkEnd w:id="192"/>
      <w:bookmarkEnd w:id="193"/>
      <w:bookmarkEnd w:id="194"/>
      <w:bookmarkEnd w:id="195"/>
      <w:bookmarkEnd w:id="196"/>
      <w:bookmarkEnd w:id="197"/>
      <w:bookmarkEnd w:id="198"/>
      <w:r>
        <w:rPr>
          <w:rFonts w:hint="eastAsia" w:ascii="宋体" w:hAnsi="宋体" w:cs="宋体"/>
        </w:rPr>
        <w:t>开标</w:t>
      </w:r>
    </w:p>
    <w:p>
      <w:pPr>
        <w:spacing w:line="360" w:lineRule="auto"/>
        <w:rPr>
          <w:rFonts w:hint="eastAsia" w:ascii="宋体" w:hAnsi="宋体" w:eastAsia="宋体" w:cs="宋体"/>
          <w:sz w:val="24"/>
          <w:lang w:eastAsia="zh-CN"/>
        </w:rPr>
      </w:pPr>
      <w:r>
        <w:rPr>
          <w:rFonts w:hint="eastAsia" w:ascii="宋体" w:hAnsi="宋体" w:cs="宋体"/>
          <w:sz w:val="24"/>
        </w:rPr>
        <w:t>22.1 采购代理机构在规定的时间和地点组织谈判。谈判时所有供应商代表自愿参加，不参加的视为认同开标结果，参加谈判的代表应签名报到以证明其出席。</w:t>
      </w:r>
    </w:p>
    <w:p>
      <w:pPr>
        <w:spacing w:line="360" w:lineRule="auto"/>
        <w:rPr>
          <w:rFonts w:ascii="宋体" w:hAnsi="宋体" w:cs="宋体"/>
          <w:sz w:val="24"/>
        </w:rPr>
      </w:pPr>
      <w:r>
        <w:rPr>
          <w:rFonts w:hint="eastAsia" w:ascii="宋体" w:hAnsi="宋体" w:cs="宋体"/>
          <w:sz w:val="24"/>
        </w:rPr>
        <w:t>22.</w:t>
      </w:r>
      <w:r>
        <w:rPr>
          <w:rFonts w:hint="eastAsia" w:ascii="宋体" w:hAnsi="宋体" w:cs="宋体"/>
          <w:sz w:val="24"/>
          <w:lang w:val="en-US" w:eastAsia="zh-CN"/>
        </w:rPr>
        <w:t>2</w:t>
      </w:r>
      <w:r>
        <w:rPr>
          <w:rFonts w:hint="eastAsia" w:ascii="宋体" w:hAnsi="宋体" w:cs="宋体"/>
          <w:sz w:val="24"/>
        </w:rPr>
        <w:t xml:space="preserve"> 谈判有效供应商不足三家的，按照国家相关法律、法规及有关规定执行。</w:t>
      </w:r>
    </w:p>
    <w:p>
      <w:pPr>
        <w:spacing w:line="360" w:lineRule="auto"/>
        <w:rPr>
          <w:rFonts w:ascii="宋体" w:hAnsi="宋体" w:cs="宋体"/>
          <w:sz w:val="24"/>
        </w:rPr>
      </w:pPr>
      <w:r>
        <w:rPr>
          <w:rFonts w:hint="eastAsia" w:ascii="宋体" w:hAnsi="宋体" w:cs="宋体"/>
          <w:sz w:val="24"/>
        </w:rPr>
        <w:t>22.</w:t>
      </w:r>
      <w:r>
        <w:rPr>
          <w:rFonts w:hint="eastAsia" w:ascii="宋体" w:hAnsi="宋体" w:cs="宋体"/>
          <w:sz w:val="24"/>
          <w:lang w:val="en-US" w:eastAsia="zh-CN"/>
        </w:rPr>
        <w:t>3</w:t>
      </w:r>
      <w:r>
        <w:rPr>
          <w:rFonts w:hint="eastAsia" w:ascii="宋体" w:hAnsi="宋体" w:cs="宋体"/>
          <w:sz w:val="24"/>
        </w:rPr>
        <w:t xml:space="preserve"> 采购代理机构将做开标记录，存档备查。</w:t>
      </w:r>
    </w:p>
    <w:p>
      <w:pPr>
        <w:pStyle w:val="14"/>
        <w:spacing w:line="360" w:lineRule="auto"/>
        <w:rPr>
          <w:rFonts w:ascii="宋体" w:hAnsi="宋体" w:cs="宋体"/>
          <w:sz w:val="24"/>
        </w:rPr>
      </w:pPr>
      <w:r>
        <w:rPr>
          <w:rFonts w:hint="eastAsia" w:ascii="宋体" w:hAnsi="宋体" w:cs="宋体"/>
          <w:sz w:val="24"/>
        </w:rPr>
        <w:t>22.</w:t>
      </w:r>
      <w:r>
        <w:rPr>
          <w:rFonts w:hint="eastAsia" w:ascii="宋体" w:hAnsi="宋体" w:cs="宋体"/>
          <w:sz w:val="24"/>
          <w:lang w:val="en-US" w:eastAsia="zh-CN"/>
        </w:rPr>
        <w:t>4</w:t>
      </w:r>
      <w:r>
        <w:rPr>
          <w:rFonts w:hint="eastAsia" w:ascii="宋体" w:hAnsi="宋体" w:cs="宋体"/>
          <w:sz w:val="24"/>
        </w:rPr>
        <w:t>在开标、评审过程中，如因停电、断网、电子化系统故障等特殊原因导致电子化开、评标无法正常进行时，视具体情况确定是否从线上转线下或者停止开评标活动。 </w:t>
      </w:r>
    </w:p>
    <w:p>
      <w:pPr>
        <w:pStyle w:val="6"/>
        <w:rPr>
          <w:rFonts w:ascii="宋体" w:hAnsi="宋体" w:cs="宋体"/>
          <w:szCs w:val="22"/>
        </w:rPr>
      </w:pPr>
      <w:bookmarkStart w:id="199" w:name="_Toc465958114"/>
      <w:bookmarkStart w:id="200" w:name="_Toc32401"/>
      <w:bookmarkStart w:id="201" w:name="_Toc12022"/>
      <w:bookmarkStart w:id="202" w:name="_Toc20915"/>
      <w:bookmarkStart w:id="203" w:name="_Toc246928922"/>
      <w:bookmarkStart w:id="204" w:name="_Toc32220"/>
      <w:bookmarkStart w:id="205" w:name="_Toc21518"/>
      <w:bookmarkStart w:id="206" w:name="_Toc29724"/>
      <w:bookmarkStart w:id="207" w:name="_Toc30377"/>
      <w:bookmarkStart w:id="208" w:name="_Toc465958115"/>
      <w:bookmarkStart w:id="209" w:name="_Toc246928923"/>
      <w:bookmarkStart w:id="210" w:name="_Toc23381"/>
      <w:bookmarkStart w:id="211" w:name="_Toc9869"/>
      <w:bookmarkStart w:id="212" w:name="_Toc32736"/>
      <w:r>
        <w:rPr>
          <w:rFonts w:hint="eastAsia" w:ascii="宋体" w:hAnsi="宋体" w:cs="宋体"/>
          <w:szCs w:val="22"/>
        </w:rPr>
        <w:t xml:space="preserve">23 </w:t>
      </w:r>
      <w:r>
        <w:rPr>
          <w:rFonts w:hint="eastAsia" w:ascii="宋体" w:hAnsi="宋体" w:cs="宋体"/>
        </w:rPr>
        <w:t>对供应商资格的审查</w:t>
      </w:r>
    </w:p>
    <w:p>
      <w:pPr>
        <w:pStyle w:val="11"/>
        <w:adjustRightInd w:val="0"/>
        <w:snapToGrid w:val="0"/>
        <w:spacing w:line="360" w:lineRule="auto"/>
        <w:jc w:val="left"/>
        <w:rPr>
          <w:rFonts w:ascii="宋体" w:hAnsi="宋体" w:cs="宋体"/>
          <w:sz w:val="24"/>
          <w:szCs w:val="22"/>
        </w:rPr>
      </w:pPr>
      <w:r>
        <w:rPr>
          <w:rFonts w:hint="eastAsia" w:ascii="宋体" w:hAnsi="宋体" w:cs="宋体"/>
          <w:sz w:val="24"/>
          <w:szCs w:val="22"/>
        </w:rPr>
        <w:t>23.1开标结束后，采购人和采购代理机构应当依法对供应商的资格证明文件进行审查，</w:t>
      </w:r>
      <w:r>
        <w:rPr>
          <w:rFonts w:hint="eastAsia" w:ascii="宋体" w:hAnsi="宋体" w:cs="宋体"/>
          <w:bCs/>
          <w:sz w:val="24"/>
        </w:rPr>
        <w:t>不符合竞争性谈判文件要求的按无效谈判响应处理，不得进入后续评审，</w:t>
      </w:r>
      <w:r>
        <w:rPr>
          <w:rFonts w:hint="eastAsia" w:ascii="宋体" w:hAnsi="宋体" w:cs="宋体"/>
          <w:sz w:val="24"/>
          <w:szCs w:val="22"/>
        </w:rPr>
        <w:t>签字确认检查结果。</w:t>
      </w:r>
    </w:p>
    <w:p>
      <w:pPr>
        <w:adjustRightInd w:val="0"/>
        <w:snapToGrid w:val="0"/>
        <w:spacing w:line="360" w:lineRule="auto"/>
      </w:pPr>
      <w:r>
        <w:rPr>
          <w:rFonts w:hint="eastAsia" w:ascii="宋体" w:hAnsi="宋体" w:cs="宋体"/>
          <w:sz w:val="24"/>
          <w:szCs w:val="22"/>
        </w:rPr>
        <w:t>23.2</w:t>
      </w:r>
      <w:r>
        <w:rPr>
          <w:rFonts w:hint="eastAsia" w:ascii="宋体" w:hAnsi="宋体" w:cs="宋体"/>
          <w:sz w:val="24"/>
          <w:szCs w:val="24"/>
        </w:rPr>
        <w:t>不符合竞争性谈判文件要求的按无效文件处理，不得进入后续评审工作。</w:t>
      </w:r>
    </w:p>
    <w:p>
      <w:pPr>
        <w:pStyle w:val="11"/>
        <w:adjustRightInd w:val="0"/>
        <w:snapToGrid w:val="0"/>
        <w:spacing w:line="360" w:lineRule="auto"/>
        <w:rPr>
          <w:rFonts w:ascii="宋体" w:hAnsi="宋体" w:cs="宋体"/>
          <w:b/>
        </w:rPr>
      </w:pPr>
      <w:r>
        <w:rPr>
          <w:rFonts w:hint="eastAsia" w:ascii="宋体" w:hAnsi="宋体" w:cs="宋体"/>
          <w:bCs/>
          <w:sz w:val="24"/>
          <w:szCs w:val="24"/>
        </w:rPr>
        <w:t>23.3合格投标人不足三家的，不得评标。</w:t>
      </w:r>
    </w:p>
    <w:bookmarkEnd w:id="199"/>
    <w:bookmarkEnd w:id="200"/>
    <w:bookmarkEnd w:id="201"/>
    <w:bookmarkEnd w:id="202"/>
    <w:bookmarkEnd w:id="203"/>
    <w:bookmarkEnd w:id="204"/>
    <w:bookmarkEnd w:id="205"/>
    <w:p>
      <w:pPr>
        <w:pStyle w:val="6"/>
        <w:spacing w:beforeLines="50" w:afterLines="50" w:line="360" w:lineRule="auto"/>
        <w:rPr>
          <w:rFonts w:ascii="宋体" w:hAnsi="宋体" w:cs="宋体"/>
          <w:sz w:val="30"/>
          <w:szCs w:val="30"/>
        </w:rPr>
      </w:pPr>
      <w:r>
        <w:rPr>
          <w:rFonts w:hint="eastAsia" w:ascii="宋体" w:hAnsi="宋体" w:cs="宋体"/>
          <w:sz w:val="30"/>
          <w:szCs w:val="30"/>
        </w:rPr>
        <w:t>24 谈判小组</w:t>
      </w:r>
    </w:p>
    <w:p>
      <w:pPr>
        <w:spacing w:line="360" w:lineRule="auto"/>
        <w:rPr>
          <w:rFonts w:ascii="宋体" w:hAnsi="宋体" w:cs="宋体"/>
          <w:sz w:val="24"/>
        </w:rPr>
      </w:pPr>
      <w:r>
        <w:rPr>
          <w:rFonts w:hint="eastAsia" w:ascii="宋体" w:hAnsi="宋体" w:cs="宋体"/>
          <w:sz w:val="24"/>
        </w:rPr>
        <w:t>24.1 采购代理机构根据《中华人民共和国政府采购法》、《中华人民共和国政府采购法实施条例》和“</w:t>
      </w:r>
      <w:r>
        <w:rPr>
          <w:rFonts w:hint="eastAsia" w:ascii="宋体" w:hAnsi="宋体" w:cs="宋体"/>
          <w:bCs/>
          <w:sz w:val="24"/>
        </w:rPr>
        <w:t>财政部第87号部长令</w:t>
      </w:r>
      <w:r>
        <w:rPr>
          <w:rFonts w:hint="eastAsia" w:ascii="宋体" w:hAnsi="宋体" w:cs="宋体"/>
          <w:sz w:val="24"/>
        </w:rPr>
        <w:t>”的规定，依法组建谈判小组，谈判小组专家成员在陕西省政府采购网专家抽取管理系统中随机抽取。</w:t>
      </w:r>
    </w:p>
    <w:p>
      <w:pPr>
        <w:spacing w:line="360" w:lineRule="auto"/>
        <w:rPr>
          <w:rFonts w:ascii="宋体" w:hAnsi="宋体" w:cs="宋体"/>
          <w:sz w:val="24"/>
        </w:rPr>
      </w:pPr>
      <w:r>
        <w:rPr>
          <w:rFonts w:hint="eastAsia" w:ascii="宋体" w:hAnsi="宋体" w:cs="宋体"/>
          <w:sz w:val="24"/>
        </w:rPr>
        <w:t>24.2 谈判小组成员由采购人代表和评审专家3人以上单数组成，评审专家人数应占总人数的2/3以上。</w:t>
      </w:r>
    </w:p>
    <w:p>
      <w:pPr>
        <w:spacing w:line="360" w:lineRule="auto"/>
        <w:rPr>
          <w:rFonts w:ascii="宋体" w:hAnsi="宋体" w:cs="宋体"/>
          <w:sz w:val="24"/>
        </w:rPr>
      </w:pPr>
      <w:r>
        <w:rPr>
          <w:rFonts w:hint="eastAsia" w:ascii="宋体" w:hAnsi="宋体" w:cs="宋体"/>
          <w:sz w:val="24"/>
        </w:rPr>
        <w:t>24.3 谈判小组成员对各供应商竞争性谈判响应文件进行审查、质疑、评估和比较，并推荐出成交候选供应商。</w:t>
      </w:r>
    </w:p>
    <w:p>
      <w:pPr>
        <w:pStyle w:val="6"/>
        <w:spacing w:line="360" w:lineRule="auto"/>
        <w:rPr>
          <w:rFonts w:ascii="宋体" w:hAnsi="宋体" w:cs="宋体"/>
        </w:rPr>
      </w:pPr>
      <w:r>
        <w:rPr>
          <w:rFonts w:hint="eastAsia" w:ascii="宋体" w:hAnsi="宋体" w:cs="宋体"/>
        </w:rPr>
        <w:t>25 评标</w:t>
      </w:r>
    </w:p>
    <w:p>
      <w:pPr>
        <w:spacing w:line="360" w:lineRule="auto"/>
        <w:rPr>
          <w:rFonts w:ascii="宋体" w:hAnsi="宋体" w:cs="宋体"/>
          <w:bCs/>
          <w:sz w:val="24"/>
        </w:rPr>
      </w:pPr>
      <w:r>
        <w:rPr>
          <w:rFonts w:hint="eastAsia" w:ascii="宋体" w:hAnsi="宋体" w:cs="宋体"/>
          <w:bCs/>
          <w:sz w:val="24"/>
        </w:rPr>
        <w:t>25.1谈判小组对通过资格审查的供应商进行商务、技术符合性审查，审查不合格者不进入下一步评审。</w:t>
      </w:r>
    </w:p>
    <w:p>
      <w:pPr>
        <w:spacing w:line="360" w:lineRule="auto"/>
        <w:rPr>
          <w:rFonts w:ascii="宋体" w:hAnsi="宋体" w:cs="宋体"/>
          <w:bCs/>
          <w:sz w:val="24"/>
        </w:rPr>
      </w:pPr>
      <w:r>
        <w:rPr>
          <w:rFonts w:hint="eastAsia" w:ascii="宋体" w:hAnsi="宋体" w:cs="宋体"/>
          <w:bCs/>
          <w:sz w:val="24"/>
        </w:rPr>
        <w:t>25.2 对竞争性谈判响应文件含义不明确、同类问题表述不一致或者有明显文字和计算错误的内容，谈判小组可以要求供应商在规定的时间内做出必要的澄清、说明或者纠正。供应商的澄清、说明或者补正应当采用书面形式，有其授权的代表签字，并不得超出竞争性谈判响应文件的范围或者改变竞争性谈判响应文件的实质性内容。</w:t>
      </w:r>
    </w:p>
    <w:p>
      <w:pPr>
        <w:spacing w:line="360" w:lineRule="auto"/>
        <w:rPr>
          <w:rFonts w:ascii="宋体" w:hAnsi="宋体" w:cs="宋体"/>
          <w:bCs/>
          <w:sz w:val="24"/>
        </w:rPr>
      </w:pPr>
      <w:r>
        <w:rPr>
          <w:rFonts w:hint="eastAsia" w:ascii="宋体" w:hAnsi="宋体" w:cs="宋体"/>
          <w:bCs/>
          <w:sz w:val="24"/>
        </w:rPr>
        <w:t>25.3 澄清文件将作为竞争性谈判响应文件的一部分。</w:t>
      </w:r>
    </w:p>
    <w:p>
      <w:pPr>
        <w:spacing w:line="360" w:lineRule="auto"/>
        <w:rPr>
          <w:rFonts w:ascii="宋体" w:hAnsi="宋体" w:cs="宋体"/>
          <w:bCs/>
          <w:sz w:val="24"/>
        </w:rPr>
      </w:pPr>
      <w:r>
        <w:rPr>
          <w:rFonts w:hint="eastAsia" w:ascii="宋体" w:hAnsi="宋体" w:cs="宋体"/>
          <w:bCs/>
          <w:sz w:val="24"/>
        </w:rPr>
        <w:t>25.4 算术错误将按以下方法更正：</w:t>
      </w:r>
    </w:p>
    <w:p>
      <w:pPr>
        <w:spacing w:line="360" w:lineRule="auto"/>
        <w:rPr>
          <w:rFonts w:ascii="宋体" w:hAnsi="宋体" w:cs="宋体"/>
          <w:bCs/>
          <w:sz w:val="24"/>
        </w:rPr>
      </w:pPr>
      <w:r>
        <w:rPr>
          <w:rFonts w:hint="eastAsia" w:ascii="宋体" w:hAnsi="宋体" w:cs="宋体"/>
          <w:bCs/>
          <w:sz w:val="24"/>
        </w:rPr>
        <w:t>25.4.1 竞争性谈判响应文件的大写金额和小写金额不一致的，以大写金额为准；</w:t>
      </w:r>
    </w:p>
    <w:p>
      <w:pPr>
        <w:spacing w:line="360" w:lineRule="auto"/>
        <w:rPr>
          <w:rFonts w:ascii="宋体" w:hAnsi="宋体" w:cs="宋体"/>
          <w:bCs/>
          <w:sz w:val="24"/>
        </w:rPr>
      </w:pPr>
      <w:r>
        <w:rPr>
          <w:rFonts w:hint="eastAsia" w:ascii="宋体" w:hAnsi="宋体" w:cs="宋体"/>
          <w:bCs/>
          <w:sz w:val="24"/>
        </w:rPr>
        <w:t>25.4.2 总价金额与按单价汇总金额不一致的，以单价金额计算结果为准；</w:t>
      </w:r>
    </w:p>
    <w:p>
      <w:pPr>
        <w:spacing w:line="360" w:lineRule="auto"/>
        <w:rPr>
          <w:rFonts w:ascii="宋体" w:hAnsi="宋体" w:cs="宋体"/>
          <w:bCs/>
          <w:sz w:val="24"/>
        </w:rPr>
      </w:pPr>
      <w:r>
        <w:rPr>
          <w:rFonts w:hint="eastAsia" w:ascii="宋体" w:hAnsi="宋体" w:cs="宋体"/>
          <w:bCs/>
          <w:sz w:val="24"/>
        </w:rPr>
        <w:t>25.4.3 单价金额小数点有明显错位的，应当以总价为准，并修改单价；</w:t>
      </w:r>
    </w:p>
    <w:p>
      <w:pPr>
        <w:spacing w:line="360" w:lineRule="auto"/>
        <w:rPr>
          <w:rFonts w:ascii="宋体" w:hAnsi="宋体" w:cs="宋体"/>
          <w:bCs/>
          <w:sz w:val="24"/>
        </w:rPr>
      </w:pPr>
      <w:r>
        <w:rPr>
          <w:rFonts w:hint="eastAsia" w:ascii="宋体" w:hAnsi="宋体" w:cs="宋体"/>
          <w:bCs/>
          <w:sz w:val="24"/>
        </w:rPr>
        <w:t>25.4.4 对不同文字文本竞争性谈判响应文件的解释发生异议的，以中文文本为准；</w:t>
      </w:r>
    </w:p>
    <w:p>
      <w:pPr>
        <w:spacing w:line="360" w:lineRule="auto"/>
        <w:rPr>
          <w:rFonts w:ascii="宋体" w:hAnsi="宋体" w:cs="宋体"/>
          <w:sz w:val="24"/>
        </w:rPr>
      </w:pPr>
      <w:r>
        <w:rPr>
          <w:rFonts w:hint="eastAsia" w:ascii="宋体" w:hAnsi="宋体" w:cs="宋体"/>
          <w:bCs/>
          <w:sz w:val="24"/>
        </w:rPr>
        <w:t>25.4.5 对于供应商不接受对其错误的更改，其谈判属于无效谈判情形。</w:t>
      </w:r>
    </w:p>
    <w:bookmarkEnd w:id="206"/>
    <w:bookmarkEnd w:id="207"/>
    <w:bookmarkEnd w:id="208"/>
    <w:bookmarkEnd w:id="209"/>
    <w:bookmarkEnd w:id="210"/>
    <w:bookmarkEnd w:id="211"/>
    <w:bookmarkEnd w:id="212"/>
    <w:p>
      <w:pPr>
        <w:pStyle w:val="6"/>
        <w:spacing w:beforeLines="50" w:afterLines="50" w:line="360" w:lineRule="auto"/>
        <w:rPr>
          <w:rFonts w:ascii="宋体" w:hAnsi="宋体" w:cs="宋体"/>
          <w:sz w:val="30"/>
          <w:szCs w:val="30"/>
        </w:rPr>
      </w:pPr>
      <w:bookmarkStart w:id="213" w:name="_Toc465958116"/>
      <w:bookmarkStart w:id="214" w:name="_Toc6609"/>
      <w:bookmarkStart w:id="215" w:name="_Toc25350"/>
      <w:bookmarkStart w:id="216" w:name="_Toc12911"/>
      <w:bookmarkStart w:id="217" w:name="_Toc8037"/>
      <w:bookmarkStart w:id="218" w:name="_Toc2865"/>
      <w:bookmarkStart w:id="219" w:name="_Toc246928924"/>
      <w:r>
        <w:rPr>
          <w:rFonts w:hint="eastAsia" w:ascii="宋体" w:hAnsi="宋体" w:cs="宋体"/>
          <w:sz w:val="30"/>
          <w:szCs w:val="30"/>
        </w:rPr>
        <w:t>26 竞争性谈判响应文件的评价和比较</w:t>
      </w:r>
    </w:p>
    <w:p>
      <w:pPr>
        <w:spacing w:line="360" w:lineRule="auto"/>
        <w:rPr>
          <w:rFonts w:ascii="宋体" w:hAnsi="宋体" w:cs="宋体"/>
          <w:sz w:val="24"/>
        </w:rPr>
      </w:pPr>
      <w:r>
        <w:rPr>
          <w:rFonts w:hint="eastAsia" w:ascii="宋体" w:hAnsi="宋体" w:cs="宋体"/>
          <w:sz w:val="24"/>
        </w:rPr>
        <w:t>26.1 谈判小组将对有效的竞争性谈判响应文件进行评估和比较。</w:t>
      </w:r>
    </w:p>
    <w:p>
      <w:pPr>
        <w:spacing w:line="360" w:lineRule="auto"/>
        <w:rPr>
          <w:rFonts w:ascii="宋体" w:hAnsi="宋体" w:cs="宋体"/>
          <w:sz w:val="24"/>
        </w:rPr>
      </w:pPr>
      <w:r>
        <w:rPr>
          <w:rFonts w:hint="eastAsia" w:ascii="宋体" w:hAnsi="宋体" w:cs="宋体"/>
          <w:sz w:val="24"/>
        </w:rPr>
        <w:t>26.2 评审时除考虑谈判报价竞争有利性以外，还将考虑以下因素：</w:t>
      </w:r>
    </w:p>
    <w:p>
      <w:pPr>
        <w:spacing w:line="360" w:lineRule="auto"/>
        <w:rPr>
          <w:rFonts w:ascii="宋体" w:hAnsi="宋体" w:cs="宋体"/>
          <w:sz w:val="24"/>
          <w:szCs w:val="22"/>
        </w:rPr>
      </w:pPr>
      <w:r>
        <w:rPr>
          <w:rFonts w:hint="eastAsia" w:ascii="宋体" w:hAnsi="宋体" w:cs="宋体"/>
          <w:sz w:val="24"/>
        </w:rPr>
        <w:t>26.2.1竞争性谈判响应文件中各项报价的合理性，谈判小组</w:t>
      </w:r>
      <w:r>
        <w:rPr>
          <w:rFonts w:hint="eastAsia" w:ascii="宋体" w:hAnsi="宋体" w:cs="宋体"/>
          <w:sz w:val="24"/>
          <w:szCs w:val="22"/>
        </w:rPr>
        <w:t>认为投标人的报价明显低于其他通过符合性审查投标人的报价，有可能影响产品质量或者不能诚信履约的，应当要求其在评标现场合理的时间内提供书面说明，必要时提交相关证明材料，竞争性谈判响应文件中各项报价的合理性，评标委员会三分之二以上专家认为某投标报价有低于成本价嫌疑的，为无效报价；</w:t>
      </w:r>
    </w:p>
    <w:p>
      <w:pPr>
        <w:spacing w:line="360" w:lineRule="auto"/>
        <w:rPr>
          <w:rFonts w:ascii="宋体" w:hAnsi="宋体" w:cs="宋体"/>
          <w:sz w:val="24"/>
        </w:rPr>
      </w:pPr>
      <w:r>
        <w:rPr>
          <w:rFonts w:hint="eastAsia" w:ascii="宋体" w:hAnsi="宋体" w:cs="宋体"/>
          <w:sz w:val="24"/>
        </w:rPr>
        <w:t>26.2.2承诺的交货期及付款方式；</w:t>
      </w:r>
    </w:p>
    <w:p>
      <w:pPr>
        <w:spacing w:line="360" w:lineRule="auto"/>
        <w:rPr>
          <w:rFonts w:ascii="宋体" w:hAnsi="宋体" w:cs="宋体"/>
          <w:sz w:val="24"/>
        </w:rPr>
      </w:pPr>
      <w:r>
        <w:rPr>
          <w:rFonts w:hint="eastAsia" w:ascii="宋体" w:hAnsi="宋体" w:cs="宋体"/>
          <w:sz w:val="24"/>
        </w:rPr>
        <w:t>26.2.3项目的实施方案的完整合理性；</w:t>
      </w:r>
    </w:p>
    <w:p>
      <w:pPr>
        <w:spacing w:line="360" w:lineRule="auto"/>
        <w:rPr>
          <w:rFonts w:ascii="宋体" w:hAnsi="宋体" w:cs="宋体"/>
          <w:sz w:val="24"/>
        </w:rPr>
      </w:pPr>
      <w:r>
        <w:rPr>
          <w:rFonts w:hint="eastAsia" w:ascii="宋体" w:hAnsi="宋体" w:cs="宋体"/>
          <w:sz w:val="24"/>
        </w:rPr>
        <w:t>26.2.4项目的人员配备情况的合理性；</w:t>
      </w:r>
    </w:p>
    <w:p>
      <w:pPr>
        <w:spacing w:line="360" w:lineRule="auto"/>
        <w:rPr>
          <w:rFonts w:ascii="宋体" w:hAnsi="宋体" w:cs="宋体"/>
          <w:sz w:val="24"/>
          <w:szCs w:val="22"/>
        </w:rPr>
      </w:pPr>
      <w:r>
        <w:rPr>
          <w:rFonts w:hint="eastAsia" w:ascii="宋体" w:hAnsi="宋体" w:cs="宋体"/>
          <w:sz w:val="24"/>
          <w:szCs w:val="22"/>
        </w:rPr>
        <w:t>26.2.5供应商提供</w:t>
      </w:r>
      <w:r>
        <w:rPr>
          <w:rFonts w:hint="eastAsia" w:ascii="宋体" w:hAnsi="宋体" w:cs="宋体"/>
          <w:sz w:val="24"/>
          <w:szCs w:val="22"/>
          <w:lang w:eastAsia="zh-CN"/>
        </w:rPr>
        <w:t>货物</w:t>
      </w:r>
      <w:r>
        <w:rPr>
          <w:rFonts w:hint="eastAsia" w:ascii="宋体" w:hAnsi="宋体" w:cs="宋体"/>
          <w:sz w:val="24"/>
          <w:szCs w:val="22"/>
        </w:rPr>
        <w:t>的承诺情况；</w:t>
      </w:r>
    </w:p>
    <w:p>
      <w:pPr>
        <w:spacing w:line="360" w:lineRule="auto"/>
        <w:rPr>
          <w:rFonts w:ascii="宋体" w:hAnsi="宋体" w:cs="宋体"/>
          <w:sz w:val="24"/>
          <w:szCs w:val="22"/>
        </w:rPr>
      </w:pPr>
      <w:r>
        <w:rPr>
          <w:rFonts w:hint="eastAsia" w:ascii="宋体" w:hAnsi="宋体" w:cs="宋体"/>
          <w:sz w:val="24"/>
          <w:szCs w:val="22"/>
        </w:rPr>
        <w:t>26.2.6其他特殊要求因素（如安全及环保等）。</w:t>
      </w:r>
    </w:p>
    <w:bookmarkEnd w:id="213"/>
    <w:bookmarkEnd w:id="214"/>
    <w:bookmarkEnd w:id="215"/>
    <w:bookmarkEnd w:id="216"/>
    <w:bookmarkEnd w:id="217"/>
    <w:bookmarkEnd w:id="218"/>
    <w:bookmarkEnd w:id="219"/>
    <w:p>
      <w:pPr>
        <w:pStyle w:val="6"/>
        <w:spacing w:beforeLines="50" w:afterLines="50" w:line="360" w:lineRule="auto"/>
        <w:rPr>
          <w:rFonts w:ascii="宋体" w:hAnsi="宋体" w:cs="宋体"/>
          <w:sz w:val="30"/>
          <w:szCs w:val="30"/>
        </w:rPr>
      </w:pPr>
      <w:bookmarkStart w:id="220" w:name="_Toc465958117"/>
      <w:bookmarkStart w:id="221" w:name="_Toc8450"/>
      <w:bookmarkStart w:id="222" w:name="_Toc20736"/>
      <w:bookmarkStart w:id="223" w:name="_Toc11926"/>
      <w:bookmarkStart w:id="224" w:name="_Toc26106"/>
      <w:bookmarkStart w:id="225" w:name="_Toc20287"/>
      <w:r>
        <w:rPr>
          <w:rFonts w:hint="eastAsia" w:ascii="宋体" w:hAnsi="宋体" w:cs="宋体"/>
          <w:sz w:val="30"/>
          <w:szCs w:val="30"/>
        </w:rPr>
        <w:t>27 评审原则及主要方法</w:t>
      </w:r>
    </w:p>
    <w:p>
      <w:pPr>
        <w:spacing w:line="360" w:lineRule="auto"/>
        <w:rPr>
          <w:rFonts w:ascii="宋体" w:hAnsi="宋体" w:cs="宋体"/>
          <w:sz w:val="24"/>
        </w:rPr>
      </w:pPr>
      <w:r>
        <w:rPr>
          <w:rFonts w:hint="eastAsia" w:ascii="宋体" w:hAnsi="宋体" w:cs="宋体"/>
          <w:sz w:val="24"/>
        </w:rPr>
        <w:t>27.1 谈判小组将遵循公开、公平、公正和择优的原则，禁止不正当竞争。对所有供应商的竞争性谈判响应文件评审，都采用相同的程序和标准。</w:t>
      </w:r>
    </w:p>
    <w:p>
      <w:pPr>
        <w:spacing w:line="360" w:lineRule="auto"/>
        <w:rPr>
          <w:rFonts w:ascii="宋体" w:hAnsi="宋体" w:cs="宋体"/>
          <w:sz w:val="24"/>
        </w:rPr>
      </w:pPr>
      <w:r>
        <w:rPr>
          <w:rFonts w:hint="eastAsia" w:ascii="宋体" w:hAnsi="宋体" w:cs="宋体"/>
          <w:sz w:val="24"/>
        </w:rPr>
        <w:t>27.2 评审过程的保密：在竞争性谈判响应文件的审查、谈判、报价、成交候选供应商推荐以及授予合同的过程中，供应商向采购人和谈判小组施加影响的任何行为，都将会导致其报价被拒绝；成交供应商确定后，采购人不对未成交供应商就评审过程以及未能成交原因做出任何解释。未成交供应商不得向谈判小组成员或其他相关人员索问评审过程的情况和材料。与评审有关的其他任何情况均严格保密。</w:t>
      </w:r>
    </w:p>
    <w:p>
      <w:pPr>
        <w:pStyle w:val="14"/>
        <w:spacing w:line="360" w:lineRule="auto"/>
        <w:rPr>
          <w:rFonts w:ascii="宋体" w:hAnsi="宋体" w:cs="宋体"/>
          <w:sz w:val="24"/>
        </w:rPr>
      </w:pPr>
      <w:r>
        <w:rPr>
          <w:rFonts w:hint="eastAsia" w:ascii="宋体" w:hAnsi="宋体" w:cs="宋体"/>
          <w:sz w:val="24"/>
        </w:rPr>
        <w:t>27.3 竞争性谈判响应文件的初步评审（含资格性检查和符合性审查）</w:t>
      </w:r>
    </w:p>
    <w:p>
      <w:pPr>
        <w:pStyle w:val="14"/>
        <w:spacing w:line="360" w:lineRule="auto"/>
        <w:rPr>
          <w:rFonts w:ascii="宋体" w:hAnsi="宋体" w:cs="宋体"/>
          <w:sz w:val="24"/>
        </w:rPr>
      </w:pPr>
      <w:r>
        <w:rPr>
          <w:rFonts w:hint="eastAsia" w:ascii="宋体" w:hAnsi="宋体" w:cs="宋体"/>
          <w:sz w:val="24"/>
        </w:rPr>
        <w:t>27.3.1 谈判小组将审查竞争性谈判响应文件是否完整、采购人和代理机构审查资格证明文件是否合格，谈判保证金是否合格、有无计算上的错误等，不合格均按无效投标处理。</w:t>
      </w:r>
    </w:p>
    <w:p>
      <w:pPr>
        <w:spacing w:line="360" w:lineRule="auto"/>
        <w:rPr>
          <w:rFonts w:ascii="宋体" w:hAnsi="宋体" w:cs="宋体"/>
          <w:sz w:val="24"/>
        </w:rPr>
      </w:pPr>
      <w:r>
        <w:rPr>
          <w:rFonts w:hint="eastAsia" w:ascii="宋体" w:hAnsi="宋体" w:cs="宋体"/>
          <w:sz w:val="24"/>
        </w:rPr>
        <w:t>27.4 在详细评审之前，谈判小组要审查每份竞争性谈判响应文件是否实质上响应了竞争性谈判文件的要求。实质上响应的谈判应该是与竞争性谈判文件要求的全部条款、条件和规格参数相符，没有偏离的谈判。谈判小组对供应商提供的响应参数、人员配置、售后服务承诺，能满足采购人服务要求的，则可进行二次报价。</w:t>
      </w:r>
    </w:p>
    <w:p>
      <w:pPr>
        <w:spacing w:line="360" w:lineRule="auto"/>
        <w:rPr>
          <w:rFonts w:ascii="宋体" w:hAnsi="宋体" w:cs="宋体"/>
          <w:sz w:val="24"/>
        </w:rPr>
      </w:pPr>
      <w:r>
        <w:rPr>
          <w:rFonts w:hint="eastAsia" w:ascii="宋体" w:hAnsi="宋体" w:cs="宋体"/>
          <w:sz w:val="24"/>
        </w:rPr>
        <w:t>27.5 实质上没有响应竞争性谈判文件要求的谈判将被拒绝。供应商不得通过修正或撤销不合要求的偏离从而使其谈判成为实质性响应的谈判。供应商或竞争性谈判响应文件出现的下列情形将按照无效谈判处理，由谈判小组否决其谈判：</w:t>
      </w:r>
    </w:p>
    <w:p>
      <w:pPr>
        <w:pStyle w:val="11"/>
        <w:adjustRightInd w:val="0"/>
        <w:snapToGrid w:val="0"/>
        <w:spacing w:line="360" w:lineRule="auto"/>
      </w:pPr>
      <w:r>
        <w:rPr>
          <w:rFonts w:hint="eastAsia" w:ascii="宋体" w:hAnsi="宋体" w:cs="宋体"/>
          <w:sz w:val="24"/>
          <w:szCs w:val="24"/>
        </w:rPr>
        <w:t>27.5.1投标单位的投标报价超过采购预算；</w:t>
      </w:r>
    </w:p>
    <w:p>
      <w:pPr>
        <w:adjustRightInd w:val="0"/>
        <w:snapToGrid w:val="0"/>
        <w:spacing w:line="360" w:lineRule="auto"/>
        <w:rPr>
          <w:rFonts w:ascii="宋体" w:hAnsi="宋体"/>
          <w:sz w:val="24"/>
        </w:rPr>
      </w:pPr>
      <w:r>
        <w:rPr>
          <w:rFonts w:hint="eastAsia" w:ascii="宋体" w:hAnsi="宋体"/>
          <w:sz w:val="24"/>
        </w:rPr>
        <w:t xml:space="preserve">27.5.2 </w:t>
      </w:r>
      <w:r>
        <w:rPr>
          <w:rFonts w:hint="eastAsia" w:ascii="宋体" w:hAnsi="宋体"/>
          <w:sz w:val="24"/>
          <w:lang w:eastAsia="zh-CN"/>
        </w:rPr>
        <w:t>谈判响应文件</w:t>
      </w:r>
      <w:r>
        <w:rPr>
          <w:rFonts w:hint="eastAsia" w:ascii="宋体" w:hAnsi="宋体"/>
          <w:sz w:val="24"/>
        </w:rPr>
        <w:t>、投标函未加盖投标人公章，或未经法定代表人（负责人）或其授权代表签字或盖章的；</w:t>
      </w:r>
    </w:p>
    <w:p>
      <w:pPr>
        <w:adjustRightInd w:val="0"/>
        <w:snapToGrid w:val="0"/>
        <w:spacing w:line="360" w:lineRule="auto"/>
      </w:pPr>
      <w:r>
        <w:rPr>
          <w:rFonts w:hint="eastAsia" w:ascii="宋体" w:hAnsi="宋体" w:cs="宋体"/>
          <w:sz w:val="24"/>
          <w:szCs w:val="24"/>
        </w:rPr>
        <w:t>27.5.3投标单位未按照谈判文件规定时间缴纳、未足额缴纳保证金；</w:t>
      </w:r>
    </w:p>
    <w:p>
      <w:pPr>
        <w:adjustRightInd w:val="0"/>
        <w:snapToGrid w:val="0"/>
        <w:spacing w:line="360" w:lineRule="auto"/>
        <w:rPr>
          <w:rFonts w:ascii="宋体" w:hAnsi="宋体"/>
          <w:sz w:val="24"/>
        </w:rPr>
      </w:pPr>
      <w:r>
        <w:rPr>
          <w:rFonts w:hint="eastAsia" w:ascii="宋体" w:hAnsi="宋体"/>
          <w:sz w:val="24"/>
        </w:rPr>
        <w:t xml:space="preserve">27.5.4 </w:t>
      </w:r>
      <w:r>
        <w:rPr>
          <w:rFonts w:hint="eastAsia" w:ascii="宋体" w:hAnsi="宋体"/>
          <w:sz w:val="24"/>
          <w:lang w:eastAsia="zh-CN"/>
        </w:rPr>
        <w:t>谈判响应文件</w:t>
      </w:r>
      <w:r>
        <w:rPr>
          <w:rFonts w:hint="eastAsia" w:ascii="宋体" w:hAnsi="宋体"/>
          <w:sz w:val="24"/>
        </w:rPr>
        <w:t>没有法定代表人（负责人）授权书（法人直接投标除外）或授权书的合法性或有效性不符合</w:t>
      </w:r>
      <w:r>
        <w:rPr>
          <w:rFonts w:hint="eastAsia" w:ascii="宋体" w:hAnsi="宋体"/>
          <w:sz w:val="24"/>
          <w:lang w:eastAsia="zh-CN"/>
        </w:rPr>
        <w:t>谈判</w:t>
      </w:r>
      <w:r>
        <w:rPr>
          <w:rFonts w:hint="eastAsia" w:ascii="宋体" w:hAnsi="宋体"/>
          <w:sz w:val="24"/>
        </w:rPr>
        <w:t>文件规定的；</w:t>
      </w:r>
    </w:p>
    <w:p>
      <w:pPr>
        <w:adjustRightInd w:val="0"/>
        <w:snapToGrid w:val="0"/>
        <w:spacing w:line="360" w:lineRule="auto"/>
        <w:rPr>
          <w:rFonts w:ascii="宋体" w:hAnsi="宋体"/>
          <w:sz w:val="24"/>
        </w:rPr>
      </w:pPr>
      <w:r>
        <w:rPr>
          <w:rFonts w:hint="eastAsia" w:ascii="宋体" w:hAnsi="宋体"/>
          <w:sz w:val="24"/>
        </w:rPr>
        <w:t xml:space="preserve">27.5.5 </w:t>
      </w:r>
      <w:r>
        <w:rPr>
          <w:rFonts w:hint="eastAsia" w:ascii="宋体" w:hAnsi="宋体"/>
          <w:sz w:val="24"/>
          <w:lang w:eastAsia="zh-CN"/>
        </w:rPr>
        <w:t>谈判响应文件</w:t>
      </w:r>
      <w:r>
        <w:rPr>
          <w:rFonts w:hint="eastAsia" w:ascii="宋体" w:hAnsi="宋体"/>
          <w:sz w:val="24"/>
        </w:rPr>
        <w:t>未按招标文件规定要求装订、签署、盖章的,无投标有效期或有效期达不到招标文件要求的；</w:t>
      </w:r>
    </w:p>
    <w:p>
      <w:pPr>
        <w:adjustRightInd w:val="0"/>
        <w:snapToGrid w:val="0"/>
        <w:spacing w:line="360" w:lineRule="auto"/>
        <w:rPr>
          <w:rFonts w:ascii="宋体" w:hAnsi="宋体"/>
          <w:sz w:val="24"/>
        </w:rPr>
      </w:pPr>
      <w:r>
        <w:rPr>
          <w:rFonts w:hint="eastAsia" w:ascii="宋体" w:hAnsi="宋体"/>
          <w:sz w:val="24"/>
        </w:rPr>
        <w:t>27.5.6</w:t>
      </w:r>
      <w:r>
        <w:rPr>
          <w:rFonts w:hint="eastAsia" w:ascii="宋体" w:hAnsi="宋体"/>
          <w:sz w:val="24"/>
          <w:lang w:eastAsia="zh-CN"/>
        </w:rPr>
        <w:t>谈判响应文件</w:t>
      </w:r>
      <w:r>
        <w:rPr>
          <w:rFonts w:hint="eastAsia" w:ascii="宋体" w:hAnsi="宋体"/>
          <w:sz w:val="24"/>
        </w:rPr>
        <w:t>的关键内容字迹模糊、无法辨认的；</w:t>
      </w:r>
    </w:p>
    <w:p>
      <w:pPr>
        <w:adjustRightInd w:val="0"/>
        <w:snapToGrid w:val="0"/>
        <w:spacing w:line="360" w:lineRule="auto"/>
        <w:rPr>
          <w:rFonts w:ascii="宋体" w:hAnsi="宋体"/>
          <w:sz w:val="24"/>
        </w:rPr>
      </w:pPr>
      <w:r>
        <w:rPr>
          <w:rFonts w:hint="eastAsia" w:ascii="宋体" w:hAnsi="宋体"/>
          <w:sz w:val="24"/>
        </w:rPr>
        <w:t>27.5.7提供虚假证明（包括第三方提供的虚假证明），开具虚假资质，出现虚假应答，除按无效</w:t>
      </w:r>
      <w:r>
        <w:rPr>
          <w:rFonts w:hint="eastAsia" w:ascii="宋体" w:hAnsi="宋体"/>
          <w:sz w:val="24"/>
          <w:lang w:eastAsia="zh-CN"/>
        </w:rPr>
        <w:t>谈判响应文件</w:t>
      </w:r>
      <w:r>
        <w:rPr>
          <w:rFonts w:hint="eastAsia" w:ascii="宋体" w:hAnsi="宋体"/>
          <w:sz w:val="24"/>
        </w:rPr>
        <w:t>处理外，并进行相应的处罚；</w:t>
      </w:r>
    </w:p>
    <w:p>
      <w:pPr>
        <w:adjustRightInd w:val="0"/>
        <w:snapToGrid w:val="0"/>
        <w:spacing w:line="360" w:lineRule="auto"/>
        <w:rPr>
          <w:rFonts w:ascii="宋体" w:hAnsi="宋体"/>
          <w:sz w:val="24"/>
        </w:rPr>
      </w:pPr>
      <w:r>
        <w:rPr>
          <w:rFonts w:hint="eastAsia" w:ascii="宋体" w:hAnsi="宋体"/>
          <w:sz w:val="24"/>
        </w:rPr>
        <w:t>27.5.8 对</w:t>
      </w:r>
      <w:r>
        <w:rPr>
          <w:rFonts w:hint="eastAsia" w:ascii="宋体" w:hAnsi="宋体"/>
          <w:sz w:val="24"/>
          <w:lang w:eastAsia="zh-CN"/>
        </w:rPr>
        <w:t>谈判</w:t>
      </w:r>
      <w:r>
        <w:rPr>
          <w:rFonts w:hint="eastAsia" w:ascii="宋体" w:hAnsi="宋体"/>
          <w:sz w:val="24"/>
        </w:rPr>
        <w:t xml:space="preserve">文件未做实质性响应或有重大缺项漏项,明显不符合技术规格、技术标准的要求的；  </w:t>
      </w:r>
    </w:p>
    <w:p>
      <w:pPr>
        <w:adjustRightInd w:val="0"/>
        <w:snapToGrid w:val="0"/>
        <w:spacing w:line="360" w:lineRule="auto"/>
        <w:rPr>
          <w:rFonts w:ascii="宋体" w:hAnsi="宋体"/>
          <w:sz w:val="24"/>
        </w:rPr>
      </w:pPr>
      <w:r>
        <w:rPr>
          <w:rFonts w:hint="eastAsia" w:ascii="宋体" w:hAnsi="宋体"/>
          <w:sz w:val="24"/>
        </w:rPr>
        <w:t>27.5.9 投标人针对同一项目递交两份或多份内容不同的</w:t>
      </w:r>
      <w:r>
        <w:rPr>
          <w:rFonts w:hint="eastAsia" w:ascii="宋体" w:hAnsi="宋体"/>
          <w:sz w:val="24"/>
          <w:lang w:eastAsia="zh-CN"/>
        </w:rPr>
        <w:t>谈判响应文件</w:t>
      </w:r>
      <w:r>
        <w:rPr>
          <w:rFonts w:hint="eastAsia" w:ascii="宋体" w:hAnsi="宋体"/>
          <w:sz w:val="24"/>
        </w:rPr>
        <w:t>，未书面声明哪一份是有效的或出现选择性报价的；</w:t>
      </w:r>
    </w:p>
    <w:p>
      <w:pPr>
        <w:adjustRightInd w:val="0"/>
        <w:snapToGrid w:val="0"/>
        <w:spacing w:line="360" w:lineRule="auto"/>
        <w:rPr>
          <w:rFonts w:ascii="宋体" w:hAnsi="宋体"/>
          <w:sz w:val="24"/>
        </w:rPr>
      </w:pPr>
      <w:r>
        <w:rPr>
          <w:rFonts w:hint="eastAsia" w:ascii="宋体" w:hAnsi="宋体"/>
          <w:sz w:val="24"/>
        </w:rPr>
        <w:t>27.5.10投标报价大于项目预算或与市场价偏离较大，低于成本，形成不正当竞争的；</w:t>
      </w:r>
    </w:p>
    <w:p>
      <w:pPr>
        <w:adjustRightInd w:val="0"/>
        <w:snapToGrid w:val="0"/>
        <w:spacing w:line="360" w:lineRule="auto"/>
        <w:rPr>
          <w:rFonts w:ascii="宋体" w:hAnsi="宋体"/>
          <w:sz w:val="24"/>
        </w:rPr>
      </w:pPr>
      <w:r>
        <w:rPr>
          <w:rFonts w:hint="eastAsia" w:ascii="宋体" w:hAnsi="宋体"/>
          <w:sz w:val="24"/>
        </w:rPr>
        <w:t>27.5.11投标人有围标、串标现象（不同投标人的</w:t>
      </w:r>
      <w:r>
        <w:rPr>
          <w:rFonts w:hint="eastAsia" w:ascii="宋体" w:hAnsi="宋体"/>
          <w:sz w:val="24"/>
          <w:lang w:eastAsia="zh-CN"/>
        </w:rPr>
        <w:t>谈判响应文件</w:t>
      </w:r>
      <w:r>
        <w:rPr>
          <w:rFonts w:hint="eastAsia" w:ascii="宋体" w:hAnsi="宋体"/>
          <w:sz w:val="24"/>
        </w:rPr>
        <w:t>错漏之处一致的、不同投标人的投标报价或者报价组成异常一致的或者成规律性变化的），经查证属实的。</w:t>
      </w:r>
    </w:p>
    <w:p>
      <w:pPr>
        <w:adjustRightInd w:val="0"/>
        <w:snapToGrid w:val="0"/>
        <w:spacing w:line="360" w:lineRule="auto"/>
        <w:rPr>
          <w:rFonts w:ascii="宋体" w:hAnsi="宋体"/>
          <w:sz w:val="24"/>
        </w:rPr>
      </w:pPr>
      <w:r>
        <w:rPr>
          <w:rFonts w:hint="eastAsia" w:ascii="宋体" w:hAnsi="宋体"/>
          <w:sz w:val="24"/>
        </w:rPr>
        <w:t>27.5.12逾期提交电子响应文件；</w:t>
      </w:r>
    </w:p>
    <w:p>
      <w:pPr>
        <w:adjustRightInd w:val="0"/>
        <w:snapToGrid w:val="0"/>
        <w:spacing w:line="360" w:lineRule="auto"/>
        <w:rPr>
          <w:rFonts w:ascii="宋体" w:hAnsi="宋体"/>
          <w:sz w:val="24"/>
        </w:rPr>
      </w:pPr>
      <w:r>
        <w:rPr>
          <w:rFonts w:hint="eastAsia" w:ascii="宋体" w:hAnsi="宋体"/>
          <w:sz w:val="24"/>
        </w:rPr>
        <w:t>27.5.13提交的响应文件与本项目不相符；</w:t>
      </w:r>
    </w:p>
    <w:p>
      <w:pPr>
        <w:adjustRightInd w:val="0"/>
        <w:snapToGrid w:val="0"/>
        <w:spacing w:line="360" w:lineRule="auto"/>
        <w:rPr>
          <w:rFonts w:ascii="宋体" w:hAnsi="宋体"/>
          <w:sz w:val="24"/>
        </w:rPr>
      </w:pPr>
      <w:r>
        <w:rPr>
          <w:rFonts w:hint="eastAsia" w:ascii="宋体" w:hAnsi="宋体"/>
          <w:sz w:val="24"/>
        </w:rPr>
        <w:t>27.5.14供应商拒绝对电子响应文件进行解密；</w:t>
      </w:r>
    </w:p>
    <w:p>
      <w:pPr>
        <w:adjustRightInd w:val="0"/>
        <w:snapToGrid w:val="0"/>
        <w:spacing w:line="360" w:lineRule="auto"/>
        <w:rPr>
          <w:rFonts w:ascii="宋体" w:hAnsi="宋体"/>
          <w:sz w:val="24"/>
        </w:rPr>
      </w:pPr>
      <w:r>
        <w:rPr>
          <w:rFonts w:hint="eastAsia" w:ascii="宋体" w:hAnsi="宋体"/>
          <w:sz w:val="24"/>
        </w:rPr>
        <w:t>27.5.15因供应商自身原因（如未带 CA 锁、或所带 CA 锁与制作电子响应文件使用的 CA锁不一致、或沿用旧版谈判文件编制响应文件等情形），导致在规定时间内无法解密响应文件；</w:t>
      </w:r>
    </w:p>
    <w:p>
      <w:pPr>
        <w:adjustRightInd w:val="0"/>
        <w:snapToGrid w:val="0"/>
        <w:spacing w:line="360" w:lineRule="auto"/>
        <w:rPr>
          <w:rFonts w:ascii="宋体" w:hAnsi="宋体"/>
          <w:sz w:val="24"/>
        </w:rPr>
      </w:pPr>
      <w:r>
        <w:rPr>
          <w:rFonts w:hint="eastAsia" w:ascii="宋体" w:hAnsi="宋体"/>
          <w:sz w:val="24"/>
        </w:rPr>
        <w:t>27.5.16上传的电子响应文件无法打开。</w:t>
      </w:r>
    </w:p>
    <w:p>
      <w:pPr>
        <w:adjustRightInd w:val="0"/>
        <w:snapToGrid w:val="0"/>
        <w:spacing w:line="360" w:lineRule="auto"/>
        <w:rPr>
          <w:rFonts w:ascii="宋体" w:hAnsi="宋体"/>
          <w:sz w:val="24"/>
        </w:rPr>
      </w:pPr>
      <w:r>
        <w:rPr>
          <w:rFonts w:hint="eastAsia" w:ascii="宋体" w:hAnsi="宋体"/>
          <w:sz w:val="24"/>
        </w:rPr>
        <w:t>27.5.17谈判文件规定的其他要求。</w:t>
      </w:r>
    </w:p>
    <w:bookmarkEnd w:id="220"/>
    <w:bookmarkEnd w:id="221"/>
    <w:bookmarkEnd w:id="222"/>
    <w:bookmarkEnd w:id="223"/>
    <w:bookmarkEnd w:id="224"/>
    <w:bookmarkEnd w:id="225"/>
    <w:p>
      <w:pPr>
        <w:pStyle w:val="6"/>
        <w:spacing w:beforeLines="50" w:afterLines="50" w:line="360" w:lineRule="auto"/>
        <w:rPr>
          <w:rFonts w:ascii="宋体" w:hAnsi="宋体" w:cs="宋体"/>
          <w:sz w:val="30"/>
          <w:szCs w:val="30"/>
        </w:rPr>
      </w:pPr>
      <w:bookmarkStart w:id="226" w:name="_Toc385992360"/>
      <w:bookmarkStart w:id="227" w:name="_Toc497712095"/>
      <w:bookmarkStart w:id="228" w:name="_Toc465958118"/>
      <w:bookmarkStart w:id="229" w:name="_Toc25216"/>
      <w:bookmarkStart w:id="230" w:name="_Toc497711547"/>
      <w:bookmarkStart w:id="231" w:name="_Toc389620199"/>
      <w:bookmarkStart w:id="232" w:name="_Toc4915"/>
      <w:bookmarkStart w:id="233" w:name="_Toc497546880"/>
      <w:bookmarkStart w:id="234" w:name="_Toc492955421"/>
      <w:bookmarkStart w:id="235" w:name="_Toc24562"/>
      <w:bookmarkStart w:id="236" w:name="_Toc497551782"/>
      <w:bookmarkStart w:id="237" w:name="_Toc246928925"/>
      <w:bookmarkStart w:id="238" w:name="_Toc2448"/>
      <w:r>
        <w:rPr>
          <w:rFonts w:hint="eastAsia" w:ascii="宋体" w:hAnsi="宋体" w:cs="宋体"/>
          <w:sz w:val="30"/>
          <w:szCs w:val="30"/>
        </w:rPr>
        <w:t>28 谈判</w:t>
      </w:r>
    </w:p>
    <w:p>
      <w:pPr>
        <w:adjustRightInd w:val="0"/>
        <w:spacing w:line="360" w:lineRule="auto"/>
        <w:rPr>
          <w:rFonts w:ascii="宋体" w:hAnsi="宋体" w:cs="宋体"/>
          <w:sz w:val="24"/>
        </w:rPr>
      </w:pPr>
      <w:r>
        <w:rPr>
          <w:rFonts w:hint="eastAsia" w:ascii="宋体" w:hAnsi="宋体" w:cs="宋体"/>
          <w:sz w:val="24"/>
        </w:rPr>
        <w:t>28.1谈判过程依次为记录第一次谈判投标报价（不对供应商公布）、竞争性谈判响应文件资格性审查、符合性审查、谈判与承诺、最后报价五个阶段。</w:t>
      </w:r>
    </w:p>
    <w:p>
      <w:pPr>
        <w:adjustRightInd w:val="0"/>
        <w:spacing w:line="360" w:lineRule="auto"/>
        <w:ind w:firstLine="480" w:firstLineChars="200"/>
        <w:rPr>
          <w:rFonts w:ascii="宋体" w:hAnsi="宋体" w:cs="宋体"/>
          <w:sz w:val="24"/>
        </w:rPr>
      </w:pPr>
      <w:r>
        <w:rPr>
          <w:rFonts w:hint="eastAsia" w:ascii="宋体" w:hAnsi="宋体" w:cs="宋体"/>
          <w:sz w:val="24"/>
        </w:rPr>
        <w:t>资格审查小组对各供应商的资质证明文件进行评审，不符合竞争性谈判文件要求的按无效谈判响应处理，不得进入后续评审。</w:t>
      </w:r>
    </w:p>
    <w:p>
      <w:pPr>
        <w:adjustRightInd w:val="0"/>
        <w:spacing w:line="360" w:lineRule="auto"/>
        <w:ind w:firstLine="480" w:firstLineChars="200"/>
        <w:rPr>
          <w:rFonts w:ascii="宋体" w:hAnsi="宋体" w:cs="宋体"/>
          <w:sz w:val="24"/>
        </w:rPr>
      </w:pPr>
      <w:r>
        <w:rPr>
          <w:rFonts w:hint="eastAsia" w:ascii="宋体" w:hAnsi="宋体" w:cs="宋体"/>
          <w:sz w:val="24"/>
        </w:rPr>
        <w:t>对通过资格审查的供应商，谈判小组对于各个供应商的竞争性谈判响应文件进行符合性审查，审查不合格者不进入下一步评审。</w:t>
      </w:r>
    </w:p>
    <w:p>
      <w:pPr>
        <w:snapToGrid w:val="0"/>
        <w:spacing w:line="360" w:lineRule="auto"/>
        <w:ind w:firstLine="480" w:firstLineChars="200"/>
        <w:rPr>
          <w:rFonts w:ascii="宋体" w:hAnsi="宋体" w:cs="宋体"/>
          <w:sz w:val="24"/>
        </w:rPr>
      </w:pPr>
      <w:r>
        <w:rPr>
          <w:rFonts w:hint="eastAsia" w:ascii="宋体" w:hAnsi="宋体" w:cs="宋体"/>
          <w:sz w:val="24"/>
        </w:rPr>
        <w:t>谈判采取背对背的方式。即谈判小组所有成员集中与各供应商分别进行一对一、面对面的谈判。谈判小组可以要求供应商对竞争性谈判响应文件含义不明确的内容做出必要的澄清或说明，供应商应采用书面形式进行澄清或说明，但不得超出竞争性谈判响应文件的范围或改变竞争性谈判响应文件的实质性内容。</w:t>
      </w:r>
    </w:p>
    <w:p>
      <w:pPr>
        <w:snapToGrid w:val="0"/>
        <w:spacing w:line="360" w:lineRule="auto"/>
        <w:ind w:firstLine="480" w:firstLineChars="200"/>
        <w:rPr>
          <w:rFonts w:ascii="宋体" w:hAnsi="宋体" w:cs="宋体"/>
          <w:sz w:val="24"/>
        </w:rPr>
      </w:pPr>
      <w:r>
        <w:rPr>
          <w:rFonts w:hint="eastAsia" w:ascii="宋体" w:hAnsi="宋体" w:cs="宋体"/>
          <w:sz w:val="24"/>
        </w:rPr>
        <w:t>双方经过谈判，质量和服务均能满足采购文件实质性响应要求的供应商才具有最后报价的机会。</w:t>
      </w:r>
    </w:p>
    <w:p>
      <w:pPr>
        <w:spacing w:line="360" w:lineRule="auto"/>
        <w:rPr>
          <w:rFonts w:ascii="宋体" w:hAnsi="宋体" w:cs="宋体"/>
          <w:sz w:val="24"/>
        </w:rPr>
      </w:pPr>
      <w:r>
        <w:rPr>
          <w:rFonts w:hint="eastAsia" w:ascii="宋体" w:hAnsi="宋体" w:cs="宋体"/>
          <w:sz w:val="24"/>
        </w:rPr>
        <w:t>28.2谈判后，供应商应按谈判小组规定的时间进行最后报价，各供应商请携带电脑现场进行最后报价，最后报价现场不对供应商公布。该谈判报价为不可更改价格，作为谈判小组推荐成交候选人的依据。</w:t>
      </w:r>
    </w:p>
    <w:p>
      <w:pPr>
        <w:spacing w:line="360" w:lineRule="auto"/>
        <w:rPr>
          <w:rFonts w:ascii="宋体" w:hAnsi="宋体" w:cs="宋体"/>
          <w:sz w:val="24"/>
        </w:rPr>
      </w:pPr>
      <w:r>
        <w:rPr>
          <w:rFonts w:hint="eastAsia" w:ascii="宋体" w:hAnsi="宋体" w:cs="宋体"/>
          <w:sz w:val="24"/>
        </w:rPr>
        <w:t>28.3特殊情况处理：按相关法律法规执行。</w:t>
      </w:r>
    </w:p>
    <w:p>
      <w:pPr>
        <w:spacing w:line="360" w:lineRule="auto"/>
        <w:rPr>
          <w:rFonts w:ascii="宋体" w:hAnsi="宋体" w:cs="宋体"/>
          <w:sz w:val="24"/>
        </w:rPr>
      </w:pPr>
      <w:r>
        <w:rPr>
          <w:rFonts w:hint="eastAsia" w:ascii="宋体" w:hAnsi="宋体" w:cs="宋体"/>
          <w:sz w:val="24"/>
        </w:rPr>
        <w:t xml:space="preserve">28.4评审方法：谈判小组从质量和服务均能满足采购文件实质性响应要求的供应商中，按照最后报价由低到高的顺序提出成交候选人。 </w:t>
      </w:r>
    </w:p>
    <w:p>
      <w:pPr>
        <w:spacing w:line="360" w:lineRule="auto"/>
        <w:rPr>
          <w:rFonts w:ascii="宋体" w:hAnsi="宋体" w:cs="宋体"/>
          <w:sz w:val="24"/>
        </w:rPr>
      </w:pPr>
      <w:r>
        <w:rPr>
          <w:rFonts w:hint="eastAsia" w:ascii="宋体" w:hAnsi="宋体" w:cs="宋体"/>
          <w:sz w:val="24"/>
        </w:rPr>
        <w:t>28.5根据《政府采购促进中小企业发展暂行办法》（财库[201</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19</w:t>
      </w:r>
      <w:r>
        <w:rPr>
          <w:rFonts w:hint="eastAsia" w:ascii="宋体" w:hAnsi="宋体" w:cs="宋体"/>
          <w:sz w:val="24"/>
        </w:rPr>
        <w:t>号）的规定中、小、微企业参加投标时对小型和微型企业产品的价格给予</w:t>
      </w:r>
      <w:r>
        <w:rPr>
          <w:rFonts w:hint="eastAsia" w:ascii="宋体" w:hAnsi="宋体" w:cs="宋体"/>
          <w:sz w:val="24"/>
          <w:lang w:val="en-US" w:eastAsia="zh-CN"/>
        </w:rPr>
        <w:t>20</w:t>
      </w:r>
      <w:r>
        <w:rPr>
          <w:rFonts w:hint="eastAsia" w:ascii="宋体" w:hAnsi="宋体" w:cs="宋体"/>
          <w:sz w:val="24"/>
        </w:rPr>
        <w:t>%的扣除，用扣除后的价格参与评审。</w:t>
      </w:r>
      <w:r>
        <w:rPr>
          <w:rFonts w:hint="eastAsia" w:ascii="宋体" w:hAnsi="宋体" w:cs="宋体"/>
          <w:sz w:val="24"/>
        </w:rPr>
        <w:br w:type="textWrapping"/>
      </w:r>
      <w:r>
        <w:rPr>
          <w:rFonts w:hint="eastAsia" w:ascii="宋体" w:hAnsi="宋体" w:cs="宋体"/>
          <w:sz w:val="24"/>
        </w:rPr>
        <w:t>28.5.1中小企业（含中型、小型、微型企业，下同）应当同时符合以下条件：</w:t>
      </w:r>
      <w:r>
        <w:rPr>
          <w:rFonts w:hint="eastAsia" w:ascii="宋体" w:hAnsi="宋体" w:cs="宋体"/>
          <w:sz w:val="24"/>
        </w:rPr>
        <w:br w:type="textWrapping"/>
      </w:r>
      <w:r>
        <w:rPr>
          <w:rFonts w:hint="eastAsia" w:ascii="宋体" w:hAnsi="宋体" w:cs="宋体"/>
          <w:sz w:val="24"/>
        </w:rPr>
        <w:t>28.5.1.1符合中小企业划分标准。</w:t>
      </w:r>
      <w:r>
        <w:rPr>
          <w:rFonts w:hint="eastAsia" w:ascii="宋体" w:hAnsi="宋体" w:cs="宋体"/>
          <w:sz w:val="24"/>
        </w:rPr>
        <w:br w:type="textWrapping"/>
      </w:r>
      <w:r>
        <w:rPr>
          <w:rFonts w:hint="eastAsia" w:ascii="宋体" w:hAnsi="宋体" w:cs="宋体"/>
          <w:sz w:val="24"/>
        </w:rPr>
        <w:t>28.5.1.2提供本企业制造的货物，或者提供其他中小企业制造的货物。本项所称货物不包括使用大型企业注册商标的货物。</w:t>
      </w:r>
      <w:r>
        <w:rPr>
          <w:rFonts w:hint="eastAsia" w:ascii="宋体" w:hAnsi="宋体" w:cs="宋体"/>
          <w:sz w:val="24"/>
        </w:rPr>
        <w:br w:type="textWrapping"/>
      </w:r>
      <w:r>
        <w:rPr>
          <w:rFonts w:hint="eastAsia" w:ascii="宋体" w:hAnsi="宋体" w:cs="宋体"/>
          <w:sz w:val="24"/>
        </w:rPr>
        <w:t>28.5.2小型、微型企业提供中型企业制造的货物的，视同为中型企业。</w:t>
      </w:r>
    </w:p>
    <w:p>
      <w:pPr>
        <w:pStyle w:val="5"/>
        <w:spacing w:before="120" w:after="120"/>
        <w:rPr>
          <w:rFonts w:ascii="宋体" w:hAnsi="宋体" w:eastAsia="宋体" w:cs="宋体"/>
          <w:sz w:val="36"/>
        </w:rPr>
      </w:pPr>
      <w:r>
        <w:rPr>
          <w:rFonts w:hint="eastAsia" w:ascii="宋体" w:hAnsi="宋体" w:eastAsia="宋体" w:cs="宋体"/>
          <w:sz w:val="36"/>
        </w:rPr>
        <w:t>F</w:t>
      </w:r>
      <w:bookmarkStart w:id="239" w:name="_Hlt491765714"/>
      <w:bookmarkEnd w:id="239"/>
      <w:r>
        <w:rPr>
          <w:rFonts w:hint="eastAsia" w:ascii="宋体" w:hAnsi="宋体" w:eastAsia="宋体" w:cs="宋体"/>
          <w:sz w:val="36"/>
        </w:rPr>
        <w:t xml:space="preserve"> </w:t>
      </w:r>
      <w:bookmarkStart w:id="240" w:name="_Hlt497547134"/>
      <w:bookmarkEnd w:id="240"/>
      <w:r>
        <w:rPr>
          <w:rFonts w:hint="eastAsia" w:ascii="宋体" w:hAnsi="宋体" w:eastAsia="宋体" w:cs="宋体"/>
          <w:sz w:val="36"/>
        </w:rPr>
        <w:t>授予合同</w:t>
      </w:r>
      <w:bookmarkEnd w:id="226"/>
      <w:bookmarkEnd w:id="227"/>
      <w:bookmarkEnd w:id="228"/>
      <w:bookmarkEnd w:id="229"/>
      <w:bookmarkEnd w:id="230"/>
      <w:bookmarkEnd w:id="231"/>
      <w:bookmarkEnd w:id="232"/>
      <w:bookmarkEnd w:id="233"/>
      <w:bookmarkEnd w:id="234"/>
      <w:bookmarkEnd w:id="235"/>
      <w:bookmarkEnd w:id="236"/>
      <w:bookmarkEnd w:id="237"/>
      <w:bookmarkEnd w:id="238"/>
    </w:p>
    <w:p>
      <w:pPr>
        <w:pStyle w:val="6"/>
        <w:spacing w:beforeLines="50" w:afterLines="50" w:line="360" w:lineRule="auto"/>
        <w:rPr>
          <w:rFonts w:ascii="宋体" w:hAnsi="宋体" w:cs="宋体"/>
          <w:sz w:val="30"/>
          <w:szCs w:val="30"/>
        </w:rPr>
      </w:pPr>
      <w:bookmarkStart w:id="241" w:name="_Toc30376"/>
      <w:bookmarkStart w:id="242" w:name="_Toc264"/>
      <w:bookmarkStart w:id="243" w:name="_Toc21436"/>
      <w:bookmarkStart w:id="244" w:name="_Toc465958119"/>
      <w:bookmarkStart w:id="245" w:name="_Toc9423"/>
      <w:bookmarkStart w:id="246" w:name="_Toc246928926"/>
      <w:bookmarkStart w:id="247" w:name="_Toc389620200"/>
      <w:bookmarkStart w:id="248" w:name="_Toc385992361"/>
      <w:bookmarkStart w:id="249" w:name="_Toc17220"/>
      <w:bookmarkStart w:id="250" w:name="_Toc30811"/>
      <w:bookmarkStart w:id="251" w:name="_Toc5090"/>
      <w:bookmarkStart w:id="252" w:name="_Toc9330"/>
      <w:bookmarkStart w:id="253" w:name="_Toc15641"/>
      <w:bookmarkStart w:id="254" w:name="_Toc465958121"/>
      <w:bookmarkStart w:id="255" w:name="_Toc385992366"/>
      <w:bookmarkStart w:id="256" w:name="_Toc389620205"/>
      <w:bookmarkStart w:id="257" w:name="_Toc6603"/>
      <w:bookmarkStart w:id="258" w:name="_Toc246928928"/>
      <w:r>
        <w:rPr>
          <w:rFonts w:hint="eastAsia" w:ascii="宋体" w:hAnsi="宋体" w:cs="宋体"/>
          <w:sz w:val="30"/>
          <w:szCs w:val="30"/>
        </w:rPr>
        <w:t>29 成交准则</w:t>
      </w:r>
      <w:bookmarkEnd w:id="241"/>
      <w:bookmarkEnd w:id="242"/>
      <w:bookmarkEnd w:id="243"/>
      <w:bookmarkEnd w:id="244"/>
      <w:bookmarkEnd w:id="245"/>
      <w:bookmarkEnd w:id="246"/>
      <w:bookmarkEnd w:id="247"/>
      <w:bookmarkEnd w:id="248"/>
      <w:bookmarkEnd w:id="249"/>
    </w:p>
    <w:p>
      <w:pPr>
        <w:spacing w:before="120" w:line="360" w:lineRule="auto"/>
        <w:rPr>
          <w:rFonts w:ascii="宋体" w:hAnsi="宋体" w:cs="宋体"/>
          <w:sz w:val="24"/>
        </w:rPr>
      </w:pPr>
      <w:r>
        <w:rPr>
          <w:rFonts w:hint="eastAsia" w:ascii="宋体" w:hAnsi="宋体" w:cs="宋体"/>
          <w:sz w:val="24"/>
        </w:rPr>
        <w:t>29.1合同将授予竞争性谈判响应文件符合竞争性谈判文件要求、并能圆满地履行合同、对采购人最为有利且价格最低的供应商。</w:t>
      </w:r>
    </w:p>
    <w:p>
      <w:pPr>
        <w:spacing w:line="360" w:lineRule="auto"/>
        <w:rPr>
          <w:rFonts w:ascii="宋体" w:hAnsi="宋体" w:cs="宋体"/>
          <w:sz w:val="24"/>
        </w:rPr>
      </w:pPr>
      <w:r>
        <w:rPr>
          <w:rFonts w:hint="eastAsia" w:ascii="宋体" w:hAnsi="宋体" w:cs="宋体"/>
          <w:sz w:val="24"/>
        </w:rPr>
        <w:t>29.2谈判小组将根据评审方法推荐成交候选供应商名单。</w:t>
      </w:r>
      <w:bookmarkStart w:id="259" w:name="_Toc385992362"/>
      <w:bookmarkStart w:id="260" w:name="_Toc389620201"/>
    </w:p>
    <w:p>
      <w:pPr>
        <w:spacing w:line="360" w:lineRule="auto"/>
        <w:rPr>
          <w:rFonts w:ascii="宋体" w:hAnsi="宋体" w:cs="宋体"/>
          <w:sz w:val="24"/>
        </w:rPr>
      </w:pPr>
      <w:r>
        <w:rPr>
          <w:rFonts w:hint="eastAsia" w:ascii="宋体" w:hAnsi="宋体" w:cs="宋体"/>
          <w:sz w:val="24"/>
        </w:rPr>
        <w:t>29.3采购代理机构在评审结束后将评审报告送采购人，采购人在收到评审报告后按照评审报告中推荐的成交候选供应商顺序确定成交供应商。</w:t>
      </w:r>
    </w:p>
    <w:p>
      <w:pPr>
        <w:spacing w:line="360" w:lineRule="auto"/>
        <w:rPr>
          <w:rFonts w:ascii="宋体" w:hAnsi="宋体" w:cs="宋体"/>
          <w:sz w:val="24"/>
        </w:rPr>
      </w:pPr>
      <w:r>
        <w:rPr>
          <w:rFonts w:hint="eastAsia" w:ascii="宋体" w:hAnsi="宋体" w:cs="宋体"/>
          <w:sz w:val="24"/>
        </w:rPr>
        <w:t>29.4成交供应商因不可抗力或自身原因不能履行政府采购合同的，采购人可以再排位在成交供应商之后的第一位的成交候选供应商签订政府采购合同，以此类推。</w:t>
      </w:r>
    </w:p>
    <w:bookmarkEnd w:id="259"/>
    <w:bookmarkEnd w:id="260"/>
    <w:p>
      <w:pPr>
        <w:pStyle w:val="6"/>
        <w:spacing w:beforeLines="50" w:afterLines="50" w:line="360" w:lineRule="auto"/>
        <w:rPr>
          <w:rFonts w:ascii="宋体" w:hAnsi="宋体" w:cs="宋体"/>
          <w:sz w:val="30"/>
          <w:szCs w:val="30"/>
        </w:rPr>
      </w:pPr>
      <w:bookmarkStart w:id="261" w:name="_Toc385992364"/>
      <w:bookmarkStart w:id="262" w:name="_Toc389620203"/>
      <w:bookmarkStart w:id="263" w:name="_Toc246928927"/>
      <w:bookmarkStart w:id="264" w:name="_Toc19435"/>
      <w:bookmarkStart w:id="265" w:name="_Toc465958120"/>
      <w:bookmarkStart w:id="266" w:name="_Toc19328"/>
      <w:bookmarkStart w:id="267" w:name="_Toc21691"/>
      <w:bookmarkStart w:id="268" w:name="_Toc12205"/>
      <w:bookmarkStart w:id="269" w:name="_Toc30974"/>
      <w:r>
        <w:rPr>
          <w:rFonts w:hint="eastAsia" w:ascii="宋体" w:hAnsi="宋体" w:cs="宋体"/>
          <w:sz w:val="30"/>
          <w:szCs w:val="30"/>
        </w:rPr>
        <w:t xml:space="preserve">30 </w:t>
      </w:r>
      <w:bookmarkEnd w:id="261"/>
      <w:bookmarkEnd w:id="262"/>
      <w:r>
        <w:rPr>
          <w:rFonts w:hint="eastAsia" w:ascii="宋体" w:hAnsi="宋体" w:cs="宋体"/>
          <w:sz w:val="30"/>
          <w:szCs w:val="30"/>
        </w:rPr>
        <w:t>成交通知</w:t>
      </w:r>
      <w:bookmarkEnd w:id="263"/>
      <w:r>
        <w:rPr>
          <w:rFonts w:hint="eastAsia" w:ascii="宋体" w:hAnsi="宋体" w:cs="宋体"/>
          <w:sz w:val="30"/>
          <w:szCs w:val="30"/>
        </w:rPr>
        <w:t>书</w:t>
      </w:r>
      <w:bookmarkEnd w:id="264"/>
      <w:bookmarkEnd w:id="265"/>
      <w:bookmarkEnd w:id="266"/>
      <w:bookmarkEnd w:id="267"/>
      <w:bookmarkEnd w:id="268"/>
      <w:bookmarkEnd w:id="269"/>
    </w:p>
    <w:p>
      <w:pPr>
        <w:spacing w:line="360" w:lineRule="auto"/>
        <w:rPr>
          <w:rFonts w:ascii="宋体" w:hAnsi="宋体" w:cs="宋体"/>
          <w:sz w:val="24"/>
        </w:rPr>
      </w:pPr>
      <w:r>
        <w:rPr>
          <w:rFonts w:hint="eastAsia" w:ascii="宋体" w:hAnsi="宋体" w:cs="宋体"/>
          <w:sz w:val="24"/>
        </w:rPr>
        <w:t>30.1 在谈判有效期内，确定成交供应商后，成交结果在财政部门指定的政府采购信息发布媒体上公告。</w:t>
      </w:r>
    </w:p>
    <w:p>
      <w:pPr>
        <w:spacing w:line="360" w:lineRule="auto"/>
        <w:rPr>
          <w:rFonts w:ascii="宋体" w:hAnsi="宋体" w:cs="宋体"/>
          <w:sz w:val="24"/>
        </w:rPr>
      </w:pPr>
      <w:r>
        <w:rPr>
          <w:rFonts w:hint="eastAsia" w:ascii="宋体" w:hAnsi="宋体" w:cs="宋体"/>
          <w:sz w:val="24"/>
        </w:rPr>
        <w:t xml:space="preserve">30.2 采购代理机构向成交供应商发出成交通知书，对于其他供应商，将在保证金有效期内退还其谈判保证金。 </w:t>
      </w:r>
    </w:p>
    <w:p>
      <w:pPr>
        <w:spacing w:line="360" w:lineRule="auto"/>
        <w:rPr>
          <w:rFonts w:ascii="宋体" w:hAnsi="宋体" w:cs="宋体"/>
          <w:sz w:val="24"/>
        </w:rPr>
      </w:pPr>
      <w:r>
        <w:rPr>
          <w:rFonts w:hint="eastAsia" w:ascii="宋体" w:hAnsi="宋体" w:cs="宋体"/>
          <w:sz w:val="24"/>
        </w:rPr>
        <w:t>30.3 成交通知书将作为签订合同的依据。</w:t>
      </w:r>
    </w:p>
    <w:p>
      <w:pPr>
        <w:spacing w:line="360" w:lineRule="auto"/>
        <w:rPr>
          <w:rFonts w:ascii="宋体" w:hAnsi="宋体" w:cs="宋体"/>
          <w:sz w:val="24"/>
        </w:rPr>
      </w:pPr>
      <w:r>
        <w:rPr>
          <w:rFonts w:hint="eastAsia" w:ascii="宋体" w:hAnsi="宋体" w:cs="宋体"/>
          <w:sz w:val="24"/>
        </w:rPr>
        <w:t>30.4 对未成交者，采购人不做出解释，同时亦不退还竞争性谈判响应文件。</w:t>
      </w:r>
    </w:p>
    <w:bookmarkEnd w:id="250"/>
    <w:bookmarkEnd w:id="251"/>
    <w:bookmarkEnd w:id="252"/>
    <w:bookmarkEnd w:id="253"/>
    <w:bookmarkEnd w:id="254"/>
    <w:bookmarkEnd w:id="255"/>
    <w:bookmarkEnd w:id="256"/>
    <w:bookmarkEnd w:id="257"/>
    <w:bookmarkEnd w:id="258"/>
    <w:p>
      <w:pPr>
        <w:pStyle w:val="6"/>
        <w:spacing w:beforeLines="50" w:afterLines="50" w:line="360" w:lineRule="auto"/>
        <w:rPr>
          <w:rFonts w:ascii="宋体" w:hAnsi="宋体" w:cs="宋体"/>
          <w:sz w:val="30"/>
          <w:szCs w:val="30"/>
        </w:rPr>
      </w:pPr>
      <w:bookmarkStart w:id="270" w:name="_Toc246928929"/>
      <w:bookmarkStart w:id="271" w:name="_Toc20377"/>
      <w:bookmarkStart w:id="272" w:name="_Toc385992368"/>
      <w:bookmarkStart w:id="273" w:name="_Toc389620207"/>
      <w:bookmarkStart w:id="274" w:name="_Toc23291"/>
      <w:bookmarkStart w:id="275" w:name="_Toc23493"/>
      <w:bookmarkStart w:id="276" w:name="_Toc9873"/>
      <w:bookmarkStart w:id="277" w:name="_Toc11754"/>
      <w:bookmarkStart w:id="278" w:name="_Toc465958122"/>
      <w:r>
        <w:rPr>
          <w:rFonts w:hint="eastAsia" w:ascii="宋体" w:hAnsi="宋体" w:cs="宋体"/>
          <w:sz w:val="30"/>
          <w:szCs w:val="30"/>
        </w:rPr>
        <w:t>31 签订合同</w:t>
      </w:r>
    </w:p>
    <w:p>
      <w:pPr>
        <w:spacing w:line="360" w:lineRule="auto"/>
        <w:rPr>
          <w:rFonts w:ascii="宋体" w:hAnsi="宋体" w:cs="宋体"/>
          <w:sz w:val="24"/>
        </w:rPr>
      </w:pPr>
      <w:r>
        <w:rPr>
          <w:rFonts w:hint="eastAsia" w:ascii="宋体" w:hAnsi="宋体" w:cs="宋体"/>
          <w:sz w:val="24"/>
        </w:rPr>
        <w:t>31.1成交供应商应当自成交通知书发出之日起</w:t>
      </w:r>
      <w:r>
        <w:rPr>
          <w:rFonts w:hint="eastAsia" w:ascii="宋体" w:hAnsi="宋体" w:cs="宋体"/>
          <w:sz w:val="24"/>
          <w:lang w:val="en-US" w:eastAsia="zh-CN"/>
        </w:rPr>
        <w:t>1</w:t>
      </w:r>
      <w:r>
        <w:rPr>
          <w:rFonts w:hint="eastAsia" w:ascii="宋体" w:hAnsi="宋体" w:cs="宋体"/>
          <w:sz w:val="24"/>
        </w:rPr>
        <w:t>0</w:t>
      </w:r>
      <w:r>
        <w:rPr>
          <w:rFonts w:hint="eastAsia" w:ascii="宋体" w:hAnsi="宋体" w:cs="宋体"/>
          <w:sz w:val="24"/>
          <w:lang w:eastAsia="zh-CN"/>
        </w:rPr>
        <w:t>个工作日</w:t>
      </w:r>
      <w:r>
        <w:rPr>
          <w:rFonts w:hint="eastAsia" w:ascii="宋体" w:hAnsi="宋体" w:cs="宋体"/>
          <w:sz w:val="24"/>
        </w:rPr>
        <w:t>内，按照竞争性谈判文件确定的事项和成交供应商的竞争性谈判响应文件与采购人签订政府采购合同；成交通知书发出后采购人改变成交结果的，或者成交供应商放弃成交项目的，应当依法承担法律责任。成交供应商拒绝与采购人签订合同的，谈判保证金不予退还，给采购人造成的损失超过谈判保证金数额的，还应当对超过部分予以赔偿，同时依法承担相应法律责任。采购人可以按照评审报告推荐的成交候选人名单顺序，确定下一候选人为成交供应商，也可以重新开展政府采购活动。</w:t>
      </w:r>
    </w:p>
    <w:p>
      <w:pPr>
        <w:spacing w:line="360" w:lineRule="auto"/>
        <w:rPr>
          <w:rFonts w:ascii="宋体" w:hAnsi="宋体" w:cs="宋体"/>
          <w:sz w:val="24"/>
        </w:rPr>
      </w:pPr>
      <w:r>
        <w:rPr>
          <w:rFonts w:hint="eastAsia" w:ascii="宋体" w:hAnsi="宋体" w:cs="宋体"/>
          <w:sz w:val="24"/>
        </w:rPr>
        <w:t>31.2 竞争性谈判文件、成交供应商的竞争性谈判响应文件和补充文件（如澄清、承诺等）等，均为签订合同的依据。所签订的合同不得对竞争性谈判文件和成交供应商竞争性谈判响应文件作实质性修改。</w:t>
      </w:r>
    </w:p>
    <w:bookmarkEnd w:id="270"/>
    <w:bookmarkEnd w:id="271"/>
    <w:bookmarkEnd w:id="272"/>
    <w:bookmarkEnd w:id="273"/>
    <w:bookmarkEnd w:id="274"/>
    <w:bookmarkEnd w:id="275"/>
    <w:bookmarkEnd w:id="276"/>
    <w:bookmarkEnd w:id="277"/>
    <w:bookmarkEnd w:id="278"/>
    <w:p>
      <w:pPr>
        <w:pStyle w:val="6"/>
        <w:spacing w:beforeLines="50" w:afterLines="50" w:line="360" w:lineRule="auto"/>
        <w:rPr>
          <w:rFonts w:ascii="宋体" w:hAnsi="宋体" w:cs="宋体"/>
          <w:sz w:val="30"/>
          <w:szCs w:val="30"/>
        </w:rPr>
      </w:pPr>
      <w:r>
        <w:rPr>
          <w:rFonts w:hint="eastAsia" w:ascii="宋体" w:hAnsi="宋体" w:cs="宋体"/>
          <w:sz w:val="30"/>
          <w:szCs w:val="30"/>
        </w:rPr>
        <w:t xml:space="preserve">32 招标代理服务费 </w:t>
      </w:r>
    </w:p>
    <w:p>
      <w:pPr>
        <w:spacing w:line="360" w:lineRule="auto"/>
        <w:rPr>
          <w:rFonts w:ascii="宋体" w:hAnsi="宋体" w:cs="仿宋_GB2312"/>
          <w:sz w:val="24"/>
          <w:szCs w:val="24"/>
        </w:rPr>
      </w:pPr>
      <w:r>
        <w:rPr>
          <w:rFonts w:hint="eastAsia" w:ascii="宋体" w:hAnsi="宋体" w:cs="宋体"/>
          <w:sz w:val="24"/>
        </w:rPr>
        <w:t xml:space="preserve">32.1  </w:t>
      </w:r>
      <w:r>
        <w:rPr>
          <w:rFonts w:hint="eastAsia" w:ascii="宋体" w:hAnsi="宋体" w:cs="仿宋_GB2312"/>
          <w:sz w:val="24"/>
          <w:szCs w:val="24"/>
        </w:rPr>
        <w:t>招标代理服务费的收取参见国家计委颁布的《招标代理服务收费管理暂行办法》（计价格[2002]1980号）和（发改办价格[2011]534号）中</w:t>
      </w:r>
      <w:r>
        <w:rPr>
          <w:rFonts w:hint="eastAsia" w:ascii="宋体" w:hAnsi="宋体"/>
          <w:sz w:val="24"/>
        </w:rPr>
        <w:t>规定的差额定律累进法计算,向成交单位收取。</w:t>
      </w:r>
    </w:p>
    <w:p>
      <w:pPr>
        <w:spacing w:line="360" w:lineRule="auto"/>
        <w:rPr>
          <w:rFonts w:ascii="宋体" w:hAnsi="宋体" w:cs="宋体"/>
          <w:sz w:val="24"/>
          <w:highlight w:val="yellow"/>
        </w:rPr>
      </w:pPr>
      <w:r>
        <w:rPr>
          <w:rFonts w:hint="eastAsia" w:ascii="宋体" w:hAnsi="宋体" w:cs="仿宋_GB2312"/>
          <w:sz w:val="24"/>
          <w:szCs w:val="24"/>
        </w:rPr>
        <w:t>32.2  成交单位在领取成交通知书前，须向采购代理机构一次性支付招标代理服务费。</w:t>
      </w:r>
    </w:p>
    <w:p>
      <w:pPr>
        <w:pStyle w:val="6"/>
        <w:spacing w:before="120" w:after="120" w:line="360" w:lineRule="auto"/>
        <w:rPr>
          <w:rFonts w:ascii="宋体" w:hAnsi="宋体" w:cs="宋体"/>
          <w:szCs w:val="22"/>
        </w:rPr>
      </w:pPr>
      <w:bookmarkStart w:id="279" w:name="_Hlt497548036"/>
      <w:bookmarkEnd w:id="279"/>
      <w:bookmarkStart w:id="280" w:name="_Toc497546918"/>
      <w:bookmarkStart w:id="281" w:name="_Toc497551820"/>
      <w:bookmarkStart w:id="282" w:name="_Toc497711585"/>
      <w:bookmarkStart w:id="283" w:name="_Toc497712133"/>
      <w:bookmarkStart w:id="284" w:name="_Toc93800308"/>
      <w:bookmarkStart w:id="285" w:name="_Toc492955459"/>
      <w:bookmarkStart w:id="286" w:name="_Toc28607"/>
      <w:bookmarkStart w:id="287" w:name="_Toc9748"/>
      <w:bookmarkStart w:id="288" w:name="_Toc13928"/>
      <w:bookmarkStart w:id="289" w:name="_Toc347478708"/>
      <w:bookmarkStart w:id="290" w:name="_Toc10852"/>
      <w:bookmarkStart w:id="291" w:name="_Toc497711586"/>
      <w:bookmarkStart w:id="292" w:name="_Toc246928960"/>
      <w:bookmarkStart w:id="293" w:name="_Toc385992402"/>
      <w:bookmarkStart w:id="294" w:name="_Toc492955460"/>
      <w:bookmarkStart w:id="295" w:name="_Toc497712134"/>
      <w:bookmarkStart w:id="296" w:name="_Toc497551821"/>
      <w:bookmarkStart w:id="297" w:name="_Toc497546919"/>
      <w:bookmarkStart w:id="298" w:name="_Toc389620242"/>
      <w:r>
        <w:rPr>
          <w:rFonts w:hint="eastAsia" w:ascii="宋体" w:hAnsi="宋体" w:cs="宋体"/>
          <w:szCs w:val="22"/>
        </w:rPr>
        <w:t>33 其他</w:t>
      </w:r>
    </w:p>
    <w:p>
      <w:pPr>
        <w:spacing w:line="360" w:lineRule="auto"/>
        <w:ind w:firstLine="480" w:firstLineChars="200"/>
        <w:rPr>
          <w:rFonts w:ascii="宋体" w:hAnsi="宋体" w:cs="宋体"/>
          <w:sz w:val="24"/>
        </w:rPr>
      </w:pPr>
      <w:r>
        <w:rPr>
          <w:rFonts w:hint="eastAsia" w:ascii="宋体" w:hAnsi="宋体" w:cs="宋体"/>
          <w:sz w:val="24"/>
          <w:szCs w:val="24"/>
        </w:rPr>
        <w:t>谈判截止时间结束后，参加投标的投标人不足3家，或在评标期间，出现符合条件的投标人或者对竞争性谈判文件做出实质性响应的投标人不足3家的，按照中华人民共和国财政部令第87号《政府采购货物和服务招标投标管理办法》第四十一条、第四十三条、第四十四条等相关条款处理。</w:t>
      </w:r>
    </w:p>
    <w:p>
      <w:pPr>
        <w:pStyle w:val="6"/>
        <w:spacing w:before="120" w:after="120" w:line="360" w:lineRule="auto"/>
        <w:rPr>
          <w:rFonts w:ascii="宋体" w:hAnsi="宋体" w:cs="宋体"/>
          <w:szCs w:val="22"/>
        </w:rPr>
      </w:pPr>
      <w:r>
        <w:rPr>
          <w:rFonts w:hint="eastAsia" w:ascii="宋体" w:hAnsi="宋体" w:cs="宋体"/>
          <w:szCs w:val="22"/>
        </w:rPr>
        <w:t>34 质疑提出与答复</w:t>
      </w:r>
    </w:p>
    <w:p>
      <w:pPr>
        <w:pStyle w:val="18"/>
        <w:adjustRightInd w:val="0"/>
        <w:snapToGrid w:val="0"/>
        <w:spacing w:before="0" w:beforeAutospacing="0" w:after="0" w:afterAutospacing="0" w:line="420" w:lineRule="exact"/>
        <w:ind w:firstLine="360" w:firstLineChars="150"/>
      </w:pPr>
      <w:r>
        <w:rPr>
          <w:rFonts w:hint="eastAsia"/>
        </w:rPr>
        <w:t>供应商如果认为采购程序、采购过程或中标结果使自身的合法权益受到损害，可以在知道或者应知其权益受到损害之日起7个工作日内，以书面形式向采购代理机构提出。</w:t>
      </w:r>
    </w:p>
    <w:p>
      <w:pPr>
        <w:pStyle w:val="18"/>
        <w:adjustRightInd w:val="0"/>
        <w:snapToGrid w:val="0"/>
        <w:spacing w:before="0" w:beforeAutospacing="0" w:after="0" w:afterAutospacing="0" w:line="420" w:lineRule="exact"/>
        <w:ind w:firstLine="360" w:firstLineChars="150"/>
      </w:pPr>
      <w:r>
        <w:rPr>
          <w:rFonts w:hint="eastAsia"/>
        </w:rPr>
        <w:t>1、供应商提出质疑应当提交质疑函和必要的证明材料，并按财政部《质疑函范本》给定的格式进行填写，范本下载详见【财政部国库司（gks.mof.gov.cn）】网站〖首页•〉政府采购管理〗栏目中的《政府采购供应商质疑函范本》。</w:t>
      </w:r>
    </w:p>
    <w:p>
      <w:pPr>
        <w:pStyle w:val="18"/>
        <w:adjustRightInd w:val="0"/>
        <w:snapToGrid w:val="0"/>
        <w:spacing w:before="0" w:beforeAutospacing="0" w:after="0" w:afterAutospacing="0" w:line="420" w:lineRule="exact"/>
        <w:ind w:firstLine="360" w:firstLineChars="150"/>
      </w:pPr>
      <w:r>
        <w:rPr>
          <w:rFonts w:hint="eastAsia"/>
        </w:rPr>
        <w:t>《政府采购供应商质疑函范本》链接地址：</w:t>
      </w:r>
    </w:p>
    <w:p>
      <w:pPr>
        <w:pStyle w:val="18"/>
        <w:adjustRightInd w:val="0"/>
        <w:snapToGrid w:val="0"/>
        <w:spacing w:before="0" w:beforeAutospacing="0" w:after="0" w:afterAutospacing="0" w:line="420" w:lineRule="exact"/>
        <w:ind w:firstLine="360" w:firstLineChars="150"/>
      </w:pPr>
      <w:r>
        <w:rPr>
          <w:rFonts w:hint="eastAsia"/>
        </w:rPr>
        <w:t>http://www.mof.gov.cn/gp/xxgkml/gks/201802/t20180201_2804587.htm</w:t>
      </w:r>
    </w:p>
    <w:p>
      <w:pPr>
        <w:pStyle w:val="18"/>
        <w:adjustRightInd w:val="0"/>
        <w:snapToGrid w:val="0"/>
        <w:spacing w:before="0" w:beforeAutospacing="0" w:after="0" w:afterAutospacing="0" w:line="420" w:lineRule="exact"/>
        <w:ind w:firstLine="360" w:firstLineChars="150"/>
      </w:pPr>
      <w:r>
        <w:rPr>
          <w:rFonts w:hint="eastAsia"/>
        </w:rPr>
        <w:t>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Style w:val="18"/>
        <w:adjustRightInd w:val="0"/>
        <w:snapToGrid w:val="0"/>
        <w:spacing w:before="0" w:beforeAutospacing="0" w:after="0" w:afterAutospacing="0" w:line="420" w:lineRule="exact"/>
        <w:ind w:firstLine="360" w:firstLineChars="150"/>
      </w:pPr>
      <w:r>
        <w:rPr>
          <w:rFonts w:hint="eastAsia"/>
        </w:rPr>
        <w:t>2.1质疑函应当包括下列内容：</w:t>
      </w:r>
    </w:p>
    <w:p>
      <w:pPr>
        <w:pStyle w:val="18"/>
        <w:adjustRightInd w:val="0"/>
        <w:snapToGrid w:val="0"/>
        <w:spacing w:before="0" w:beforeAutospacing="0" w:after="0" w:afterAutospacing="0" w:line="420" w:lineRule="exact"/>
        <w:ind w:firstLine="360" w:firstLineChars="150"/>
      </w:pPr>
      <w:r>
        <w:rPr>
          <w:rFonts w:hint="eastAsia"/>
        </w:rPr>
        <w:t>（1）</w:t>
      </w:r>
      <w:r>
        <w:rPr>
          <w:rFonts w:hint="eastAsia"/>
          <w:lang w:val="zh-CN"/>
        </w:rPr>
        <w:t>投标人</w:t>
      </w:r>
      <w:r>
        <w:rPr>
          <w:rFonts w:hint="eastAsia"/>
        </w:rPr>
        <w:t>的姓名或者名称、地址、邮编、联系人及联系电话；</w:t>
      </w:r>
    </w:p>
    <w:p>
      <w:pPr>
        <w:pStyle w:val="18"/>
        <w:adjustRightInd w:val="0"/>
        <w:snapToGrid w:val="0"/>
        <w:spacing w:before="0" w:beforeAutospacing="0" w:after="0" w:afterAutospacing="0" w:line="420" w:lineRule="exact"/>
        <w:ind w:firstLine="360" w:firstLineChars="150"/>
      </w:pPr>
      <w:r>
        <w:rPr>
          <w:rFonts w:hint="eastAsia"/>
        </w:rPr>
        <w:t>（2）质疑项目的名称、编号；</w:t>
      </w:r>
    </w:p>
    <w:p>
      <w:pPr>
        <w:pStyle w:val="18"/>
        <w:adjustRightInd w:val="0"/>
        <w:snapToGrid w:val="0"/>
        <w:spacing w:before="0" w:beforeAutospacing="0" w:after="0" w:afterAutospacing="0" w:line="420" w:lineRule="exact"/>
        <w:ind w:firstLine="360" w:firstLineChars="150"/>
      </w:pPr>
      <w:r>
        <w:rPr>
          <w:rFonts w:hint="eastAsia"/>
        </w:rPr>
        <w:t>（3）具体、明确的质疑事项和与质疑事项相关的请求；</w:t>
      </w:r>
    </w:p>
    <w:p>
      <w:pPr>
        <w:pStyle w:val="18"/>
        <w:adjustRightInd w:val="0"/>
        <w:snapToGrid w:val="0"/>
        <w:spacing w:before="0" w:beforeAutospacing="0" w:after="0" w:afterAutospacing="0" w:line="420" w:lineRule="exact"/>
        <w:ind w:firstLine="360" w:firstLineChars="150"/>
      </w:pPr>
      <w:r>
        <w:rPr>
          <w:rFonts w:hint="eastAsia"/>
        </w:rPr>
        <w:t>（4）事实依据；</w:t>
      </w:r>
    </w:p>
    <w:p>
      <w:pPr>
        <w:pStyle w:val="18"/>
        <w:adjustRightInd w:val="0"/>
        <w:snapToGrid w:val="0"/>
        <w:spacing w:before="0" w:beforeAutospacing="0" w:after="0" w:afterAutospacing="0" w:line="420" w:lineRule="exact"/>
        <w:ind w:firstLine="360" w:firstLineChars="150"/>
      </w:pPr>
      <w:r>
        <w:rPr>
          <w:rFonts w:hint="eastAsia"/>
        </w:rPr>
        <w:t>（5）必要的法律依据；</w:t>
      </w:r>
    </w:p>
    <w:p>
      <w:pPr>
        <w:pStyle w:val="18"/>
        <w:adjustRightInd w:val="0"/>
        <w:snapToGrid w:val="0"/>
        <w:spacing w:before="0" w:beforeAutospacing="0" w:after="0" w:afterAutospacing="0" w:line="420" w:lineRule="exact"/>
        <w:ind w:firstLine="360" w:firstLineChars="150"/>
      </w:pPr>
      <w:r>
        <w:rPr>
          <w:rFonts w:hint="eastAsia"/>
        </w:rPr>
        <w:t xml:space="preserve">（6）提出质疑的日期。 </w:t>
      </w:r>
    </w:p>
    <w:p>
      <w:pPr>
        <w:pStyle w:val="18"/>
        <w:adjustRightInd w:val="0"/>
        <w:snapToGrid w:val="0"/>
        <w:spacing w:before="0" w:beforeAutospacing="0" w:after="0" w:afterAutospacing="0" w:line="420" w:lineRule="exact"/>
        <w:ind w:firstLine="360" w:firstLineChars="150"/>
      </w:pPr>
      <w:r>
        <w:rPr>
          <w:rFonts w:hint="eastAsia"/>
        </w:rPr>
        <w:t>3、在法定质疑期内，针对同一采购程序环节的质疑应当一次性提出。采购代理机构或采购人将在收到书面质疑后7个工作日内做出答复，并以书面形式通知质疑人和其他有关供应商。</w:t>
      </w:r>
    </w:p>
    <w:p>
      <w:pPr>
        <w:pStyle w:val="18"/>
        <w:adjustRightInd w:val="0"/>
        <w:snapToGrid w:val="0"/>
        <w:spacing w:before="0" w:beforeAutospacing="0" w:after="0" w:afterAutospacing="0" w:line="420" w:lineRule="exact"/>
        <w:ind w:firstLine="360" w:firstLineChars="150"/>
      </w:pPr>
      <w:r>
        <w:rPr>
          <w:rFonts w:hint="eastAsia"/>
        </w:rPr>
        <w:t>4、有下列情形之一的，属于无效质疑，采购代理机构和采购人不予受理：</w:t>
      </w:r>
    </w:p>
    <w:p>
      <w:pPr>
        <w:pStyle w:val="18"/>
        <w:adjustRightInd w:val="0"/>
        <w:snapToGrid w:val="0"/>
        <w:spacing w:before="0" w:beforeAutospacing="0" w:after="0" w:afterAutospacing="0" w:line="420" w:lineRule="exact"/>
        <w:ind w:firstLine="360" w:firstLineChars="150"/>
      </w:pPr>
      <w:r>
        <w:rPr>
          <w:rFonts w:hint="eastAsia"/>
        </w:rPr>
        <w:t>（1）质疑人不是参与本次政府采购项目的供应商或潜在供应商；</w:t>
      </w:r>
    </w:p>
    <w:p>
      <w:pPr>
        <w:pStyle w:val="18"/>
        <w:adjustRightInd w:val="0"/>
        <w:snapToGrid w:val="0"/>
        <w:spacing w:before="0" w:beforeAutospacing="0" w:after="0" w:afterAutospacing="0" w:line="420" w:lineRule="exact"/>
        <w:ind w:firstLine="360" w:firstLineChars="150"/>
      </w:pPr>
      <w:r>
        <w:rPr>
          <w:rFonts w:hint="eastAsia"/>
        </w:rPr>
        <w:t>（2）质疑人与质疑事项不存在利害关系的；</w:t>
      </w:r>
    </w:p>
    <w:p>
      <w:pPr>
        <w:pStyle w:val="18"/>
        <w:adjustRightInd w:val="0"/>
        <w:snapToGrid w:val="0"/>
        <w:spacing w:before="0" w:beforeAutospacing="0" w:after="0" w:afterAutospacing="0" w:line="420" w:lineRule="exact"/>
        <w:ind w:firstLine="360" w:firstLineChars="150"/>
      </w:pPr>
      <w:r>
        <w:rPr>
          <w:rFonts w:hint="eastAsia"/>
        </w:rPr>
        <w:t>（3）未在法定期限内提出质疑的；</w:t>
      </w:r>
    </w:p>
    <w:p>
      <w:pPr>
        <w:pStyle w:val="18"/>
        <w:adjustRightInd w:val="0"/>
        <w:snapToGrid w:val="0"/>
        <w:spacing w:before="0" w:beforeAutospacing="0" w:after="0" w:afterAutospacing="0" w:line="420" w:lineRule="exact"/>
        <w:ind w:firstLine="360" w:firstLineChars="150"/>
      </w:pPr>
      <w:r>
        <w:rPr>
          <w:rFonts w:hint="eastAsia"/>
        </w:rPr>
        <w:t>（4）质疑未以书面形式提出，或质疑函主要内容构成不完整的，或缺乏必要的证明材料及证明材料不完整的；</w:t>
      </w:r>
    </w:p>
    <w:p>
      <w:pPr>
        <w:pStyle w:val="18"/>
        <w:adjustRightInd w:val="0"/>
        <w:snapToGrid w:val="0"/>
        <w:spacing w:before="0" w:beforeAutospacing="0" w:after="0" w:afterAutospacing="0" w:line="420" w:lineRule="exact"/>
        <w:ind w:firstLine="360" w:firstLineChars="150"/>
      </w:pPr>
      <w:r>
        <w:rPr>
          <w:rFonts w:hint="eastAsia"/>
        </w:rPr>
        <w:t>（5）质疑函没有合法有效的签字、盖章或授权的；</w:t>
      </w:r>
    </w:p>
    <w:p>
      <w:pPr>
        <w:pStyle w:val="18"/>
        <w:adjustRightInd w:val="0"/>
        <w:snapToGrid w:val="0"/>
        <w:spacing w:before="0" w:beforeAutospacing="0" w:after="0" w:afterAutospacing="0" w:line="420" w:lineRule="exact"/>
        <w:ind w:firstLine="360" w:firstLineChars="150"/>
      </w:pPr>
      <w:r>
        <w:rPr>
          <w:rFonts w:hint="eastAsia"/>
        </w:rPr>
        <w:t>（6）以非法手段取得证据、材料的；</w:t>
      </w:r>
    </w:p>
    <w:p>
      <w:pPr>
        <w:pStyle w:val="18"/>
        <w:adjustRightInd w:val="0"/>
        <w:snapToGrid w:val="0"/>
        <w:spacing w:before="0" w:beforeAutospacing="0" w:after="0" w:afterAutospacing="0" w:line="420" w:lineRule="exact"/>
        <w:ind w:firstLine="360" w:firstLineChars="150"/>
      </w:pPr>
      <w:r>
        <w:rPr>
          <w:rFonts w:hint="eastAsia"/>
        </w:rPr>
        <w:t>（7）质疑答复后，同一质疑人就同一事项再次提出质疑的；</w:t>
      </w:r>
    </w:p>
    <w:p>
      <w:pPr>
        <w:pStyle w:val="18"/>
        <w:adjustRightInd w:val="0"/>
        <w:snapToGrid w:val="0"/>
        <w:spacing w:before="0" w:beforeAutospacing="0" w:after="0" w:afterAutospacing="0" w:line="420" w:lineRule="exact"/>
        <w:ind w:firstLine="360" w:firstLineChars="150"/>
      </w:pPr>
      <w:r>
        <w:rPr>
          <w:rFonts w:hint="eastAsia"/>
        </w:rPr>
        <w:t>（8）不符合法律、法规、规章和政府采购监管机构规定的其他条件的。</w:t>
      </w:r>
    </w:p>
    <w:p>
      <w:pPr>
        <w:pStyle w:val="18"/>
        <w:adjustRightInd w:val="0"/>
        <w:snapToGrid w:val="0"/>
        <w:spacing w:before="0" w:beforeAutospacing="0" w:after="0" w:afterAutospacing="0" w:line="420" w:lineRule="exact"/>
        <w:ind w:firstLine="360" w:firstLineChars="150"/>
      </w:pPr>
      <w:r>
        <w:rPr>
          <w:rFonts w:hint="eastAsia"/>
        </w:rPr>
        <w:t>5、质疑人对采购代理机构或采购人的答复不满意，以及采购代理机构或采购人未在规定时间内做出答复的，可以在答复期满后15个工作日内向政府采购监管机构提出投诉。</w:t>
      </w:r>
    </w:p>
    <w:p>
      <w:pPr>
        <w:pStyle w:val="18"/>
        <w:adjustRightInd w:val="0"/>
        <w:snapToGrid w:val="0"/>
        <w:spacing w:before="0" w:beforeAutospacing="0" w:after="0" w:afterAutospacing="0" w:line="420" w:lineRule="exact"/>
        <w:ind w:firstLine="360" w:firstLineChars="150"/>
      </w:pPr>
      <w:r>
        <w:rPr>
          <w:rFonts w:hint="eastAsia"/>
        </w:rPr>
        <w:t>6、供应商投诉的事项不得超出已质疑事项的范围。</w:t>
      </w:r>
    </w:p>
    <w:p>
      <w:pPr>
        <w:pStyle w:val="18"/>
        <w:adjustRightInd w:val="0"/>
        <w:snapToGrid w:val="0"/>
        <w:spacing w:before="0" w:beforeAutospacing="0" w:after="0" w:afterAutospacing="0" w:line="420" w:lineRule="exact"/>
        <w:ind w:firstLine="360" w:firstLineChars="150"/>
      </w:pPr>
      <w:r>
        <w:rPr>
          <w:rFonts w:hint="eastAsia"/>
        </w:rPr>
        <w:t>7、对捏造事实、提供虚假材料进行质疑、投诉的行为予以严肃处理：</w:t>
      </w:r>
    </w:p>
    <w:p>
      <w:pPr>
        <w:pStyle w:val="18"/>
        <w:adjustRightInd w:val="0"/>
        <w:snapToGrid w:val="0"/>
        <w:spacing w:before="0" w:beforeAutospacing="0" w:after="0" w:afterAutospacing="0" w:line="420" w:lineRule="exact"/>
        <w:ind w:firstLine="360" w:firstLineChars="150"/>
      </w:pPr>
      <w:r>
        <w:rPr>
          <w:rFonts w:hint="eastAsia"/>
        </w:rPr>
        <w:t>依据《中华人民共和国政府采购法》及其实施条例、《政府采购质疑和投诉办法》等法律法规文件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p>
    <w:p>
      <w:pPr>
        <w:pStyle w:val="18"/>
        <w:adjustRightInd w:val="0"/>
        <w:snapToGrid w:val="0"/>
        <w:spacing w:before="0" w:beforeAutospacing="0" w:after="0" w:afterAutospacing="0" w:line="420" w:lineRule="exact"/>
        <w:ind w:firstLine="360" w:firstLineChars="150"/>
      </w:pPr>
      <w:r>
        <w:rPr>
          <w:rFonts w:hint="eastAsia"/>
        </w:rPr>
        <w:t>8、对捏造事实诬告陷害他人、诽谤他人的法律适用：</w:t>
      </w:r>
    </w:p>
    <w:p>
      <w:pPr>
        <w:pStyle w:val="18"/>
        <w:adjustRightInd w:val="0"/>
        <w:snapToGrid w:val="0"/>
        <w:spacing w:before="0" w:beforeAutospacing="0" w:after="0" w:afterAutospacing="0" w:line="420" w:lineRule="exact"/>
        <w:ind w:firstLine="360" w:firstLineChars="150"/>
      </w:pPr>
      <w:r>
        <w:rPr>
          <w:rFonts w:hint="eastAsia"/>
        </w:rPr>
        <w:t>《中华人民共和国刑法》第243条【诬告陷害罪】捏造事实诬告陷害他人，意图使他人受刑事追究，情节严重的，处三年以下有期徒刑、拘役或者管制；造成严重后果的，处三年以上十年以下有期徒刑。</w:t>
      </w:r>
    </w:p>
    <w:p>
      <w:pPr>
        <w:pStyle w:val="18"/>
        <w:adjustRightInd w:val="0"/>
        <w:snapToGrid w:val="0"/>
        <w:spacing w:before="0" w:beforeAutospacing="0" w:after="0" w:afterAutospacing="0" w:line="420" w:lineRule="exact"/>
        <w:ind w:firstLine="360" w:firstLineChars="150"/>
      </w:pPr>
      <w:r>
        <w:rPr>
          <w:rFonts w:hint="eastAsia"/>
        </w:rPr>
        <w:t>《中华人民共和国刑法》第246条【侮辱罪、诽谤罪】以暴力或者其他方法公然侮辱他人或者捏造事实诽谤他人，情节严重的，处三年以下有期徒刑、拘役、管制或者剥夺政治权利。</w:t>
      </w:r>
    </w:p>
    <w:p>
      <w:pPr>
        <w:pStyle w:val="18"/>
        <w:adjustRightInd w:val="0"/>
        <w:snapToGrid w:val="0"/>
        <w:spacing w:before="0" w:beforeAutospacing="0" w:after="0" w:afterAutospacing="0" w:line="420" w:lineRule="exact"/>
        <w:ind w:firstLine="360" w:firstLineChars="150"/>
        <w:rPr>
          <w:rFonts w:hint="eastAsia" w:eastAsia="宋体"/>
          <w:lang w:eastAsia="zh-CN"/>
        </w:rPr>
      </w:pPr>
      <w:r>
        <w:rPr>
          <w:rFonts w:hint="eastAsia"/>
        </w:rPr>
        <w:t>9、质疑函递交地址：</w:t>
      </w:r>
      <w:r>
        <w:rPr>
          <w:rFonts w:hint="eastAsia" w:ascii="宋体" w:hAnsi="宋体" w:cs="宋体"/>
          <w:i w:val="0"/>
          <w:caps w:val="0"/>
          <w:color w:val="333333"/>
          <w:spacing w:val="0"/>
          <w:sz w:val="24"/>
          <w:szCs w:val="24"/>
          <w:shd w:val="clear" w:color="auto" w:fill="FFFFFF"/>
          <w:vertAlign w:val="baseline"/>
          <w:lang w:eastAsia="zh-CN"/>
        </w:rPr>
        <w:t>榆林市榆阳区富康西路富康苑B座5楼</w:t>
      </w:r>
    </w:p>
    <w:p>
      <w:pPr>
        <w:pStyle w:val="18"/>
        <w:adjustRightInd w:val="0"/>
        <w:snapToGrid w:val="0"/>
        <w:spacing w:before="0" w:beforeAutospacing="0" w:after="0" w:afterAutospacing="0" w:line="420" w:lineRule="exact"/>
        <w:ind w:firstLine="360" w:firstLineChars="150"/>
        <w:rPr>
          <w:rFonts w:hint="eastAsia" w:ascii="Calibri" w:hAnsi="Calibri"/>
          <w:lang w:eastAsia="zh-CN"/>
        </w:rPr>
      </w:pPr>
      <w:r>
        <w:rPr>
          <w:rFonts w:hint="eastAsia" w:ascii="Calibri" w:hAnsi="Calibri"/>
        </w:rPr>
        <w:t>联系人：</w:t>
      </w:r>
      <w:r>
        <w:rPr>
          <w:rFonts w:hint="eastAsia" w:ascii="Calibri" w:hAnsi="Calibri"/>
          <w:lang w:eastAsia="zh-CN"/>
        </w:rPr>
        <w:t>高晶晶</w:t>
      </w:r>
    </w:p>
    <w:p>
      <w:pPr>
        <w:pStyle w:val="18"/>
        <w:adjustRightInd w:val="0"/>
        <w:snapToGrid w:val="0"/>
        <w:spacing w:before="0" w:beforeAutospacing="0" w:after="0" w:afterAutospacing="0" w:line="420" w:lineRule="exact"/>
        <w:ind w:firstLine="360" w:firstLineChars="150"/>
        <w:rPr>
          <w:rFonts w:hint="default" w:ascii="Calibri" w:hAnsi="Calibri" w:eastAsia="宋体"/>
          <w:lang w:val="en-US" w:eastAsia="zh-CN"/>
        </w:rPr>
      </w:pPr>
      <w:r>
        <w:rPr>
          <w:rFonts w:hint="eastAsia" w:ascii="Calibri" w:hAnsi="Calibri"/>
        </w:rPr>
        <w:t>联系方式：</w:t>
      </w:r>
      <w:r>
        <w:rPr>
          <w:rFonts w:hint="eastAsia" w:ascii="Calibri" w:hAnsi="Calibri"/>
          <w:lang w:val="en-US" w:eastAsia="zh-CN"/>
        </w:rPr>
        <w:t>18191298181</w:t>
      </w:r>
    </w:p>
    <w:bookmarkEnd w:id="280"/>
    <w:bookmarkEnd w:id="281"/>
    <w:bookmarkEnd w:id="282"/>
    <w:bookmarkEnd w:id="283"/>
    <w:bookmarkEnd w:id="284"/>
    <w:bookmarkEnd w:id="285"/>
    <w:bookmarkEnd w:id="286"/>
    <w:bookmarkEnd w:id="287"/>
    <w:bookmarkEnd w:id="288"/>
    <w:bookmarkEnd w:id="289"/>
    <w:bookmarkEnd w:id="290"/>
    <w:p>
      <w:pPr>
        <w:pStyle w:val="4"/>
        <w:spacing w:line="240" w:lineRule="auto"/>
        <w:jc w:val="center"/>
        <w:rPr>
          <w:rFonts w:ascii="宋体" w:hAnsi="宋体" w:cs="仿宋_GB2312"/>
          <w:sz w:val="36"/>
          <w:szCs w:val="22"/>
        </w:rPr>
        <w:sectPr>
          <w:footerReference r:id="rId10" w:type="default"/>
          <w:pgSz w:w="11906" w:h="16838"/>
          <w:pgMar w:top="1440" w:right="1486" w:bottom="1440" w:left="1180" w:header="851" w:footer="992" w:gutter="0"/>
          <w:pgNumType w:fmt="decimal"/>
          <w:cols w:space="720" w:num="1"/>
          <w:docGrid w:type="lines" w:linePitch="312" w:charSpace="0"/>
        </w:sectPr>
      </w:pPr>
      <w:bookmarkStart w:id="299" w:name="_Toc18524"/>
      <w:bookmarkStart w:id="300" w:name="_Toc24136"/>
    </w:p>
    <w:p>
      <w:pPr>
        <w:pStyle w:val="4"/>
        <w:spacing w:line="240" w:lineRule="auto"/>
        <w:jc w:val="center"/>
        <w:rPr>
          <w:rFonts w:ascii="宋体" w:hAnsi="宋体" w:cs="仿宋_GB2312"/>
          <w:sz w:val="36"/>
          <w:szCs w:val="22"/>
        </w:rPr>
      </w:pPr>
      <w:bookmarkStart w:id="301" w:name="_Toc26946"/>
      <w:r>
        <w:rPr>
          <w:rFonts w:hint="eastAsia" w:ascii="宋体" w:hAnsi="宋体" w:cs="仿宋_GB2312"/>
          <w:sz w:val="36"/>
          <w:szCs w:val="22"/>
        </w:rPr>
        <w:t xml:space="preserve">第四部分   </w:t>
      </w:r>
      <w:r>
        <w:rPr>
          <w:rFonts w:hint="eastAsia" w:ascii="宋体" w:hAnsi="宋体" w:cs="仿宋_GB2312"/>
          <w:bCs/>
          <w:sz w:val="36"/>
          <w:szCs w:val="22"/>
        </w:rPr>
        <w:t>政府采购合同</w:t>
      </w:r>
      <w:bookmarkEnd w:id="301"/>
    </w:p>
    <w:p>
      <w:pPr>
        <w:adjustRightInd w:val="0"/>
        <w:snapToGrid w:val="0"/>
        <w:spacing w:line="360" w:lineRule="auto"/>
        <w:jc w:val="center"/>
        <w:rPr>
          <w:rFonts w:ascii="宋体" w:hAnsi="宋体" w:cs="宋体"/>
          <w:b/>
          <w:bCs/>
          <w:sz w:val="36"/>
          <w:szCs w:val="36"/>
        </w:rPr>
      </w:pPr>
      <w:r>
        <w:rPr>
          <w:rFonts w:hint="eastAsia" w:ascii="宋体" w:hAnsi="宋体" w:cs="宋体"/>
          <w:b/>
          <w:sz w:val="24"/>
          <w:szCs w:val="24"/>
        </w:rPr>
        <w:t>（此合同只作为参考，最终签订的合同以采购人确定的合同内容为准。）</w:t>
      </w:r>
    </w:p>
    <w:p>
      <w:pPr>
        <w:spacing w:before="120" w:line="360" w:lineRule="auto"/>
        <w:ind w:firstLine="3064" w:firstLineChars="1090"/>
        <w:rPr>
          <w:rFonts w:ascii="宋体" w:hAnsi="宋体" w:cs="宋体"/>
          <w:sz w:val="28"/>
          <w:szCs w:val="28"/>
        </w:rPr>
      </w:pPr>
      <w:bookmarkStart w:id="302" w:name="_Toc3964"/>
      <w:r>
        <w:rPr>
          <w:rFonts w:hint="eastAsia" w:ascii="宋体" w:hAnsi="宋体" w:cs="宋体"/>
          <w:b/>
          <w:bCs/>
          <w:sz w:val="28"/>
          <w:szCs w:val="28"/>
        </w:rPr>
        <w:t>合同编号：</w:t>
      </w:r>
      <w:r>
        <w:rPr>
          <w:rFonts w:hint="eastAsia" w:ascii="宋体" w:hAnsi="宋体" w:cs="宋体"/>
          <w:b/>
          <w:bCs/>
          <w:sz w:val="28"/>
          <w:szCs w:val="28"/>
          <w:u w:val="single"/>
        </w:rPr>
        <w:t xml:space="preserve">            </w:t>
      </w:r>
      <w:r>
        <w:rPr>
          <w:rFonts w:hint="eastAsia" w:ascii="宋体" w:hAnsi="宋体" w:cs="宋体"/>
          <w:sz w:val="28"/>
          <w:szCs w:val="28"/>
        </w:rPr>
        <w:t xml:space="preserve">        </w:t>
      </w:r>
    </w:p>
    <w:p>
      <w:pPr>
        <w:spacing w:before="120" w:line="360" w:lineRule="auto"/>
        <w:rPr>
          <w:rFonts w:ascii="宋体" w:hAnsi="宋体" w:cs="宋体"/>
          <w:sz w:val="28"/>
          <w:szCs w:val="28"/>
        </w:rPr>
      </w:pPr>
    </w:p>
    <w:p>
      <w:pPr>
        <w:spacing w:before="120" w:line="360" w:lineRule="auto"/>
        <w:rPr>
          <w:rFonts w:ascii="宋体" w:hAnsi="宋体" w:cs="宋体"/>
          <w:sz w:val="28"/>
          <w:szCs w:val="28"/>
        </w:rPr>
      </w:pPr>
    </w:p>
    <w:p>
      <w:pPr>
        <w:spacing w:before="120" w:line="360" w:lineRule="auto"/>
        <w:rPr>
          <w:rFonts w:ascii="宋体" w:hAnsi="宋体" w:cs="宋体"/>
          <w:sz w:val="28"/>
          <w:szCs w:val="28"/>
        </w:rPr>
      </w:pPr>
    </w:p>
    <w:p>
      <w:pPr>
        <w:spacing w:before="120" w:line="360" w:lineRule="auto"/>
        <w:rPr>
          <w:rFonts w:ascii="宋体" w:hAnsi="宋体" w:cs="宋体"/>
          <w:sz w:val="28"/>
          <w:szCs w:val="28"/>
        </w:rPr>
      </w:pPr>
    </w:p>
    <w:p>
      <w:pPr>
        <w:spacing w:before="120" w:line="360" w:lineRule="auto"/>
        <w:rPr>
          <w:rFonts w:ascii="宋体" w:hAnsi="宋体" w:cs="宋体"/>
          <w:sz w:val="28"/>
          <w:szCs w:val="28"/>
        </w:rPr>
      </w:pPr>
    </w:p>
    <w:p>
      <w:pPr>
        <w:spacing w:before="120" w:line="360" w:lineRule="auto"/>
        <w:rPr>
          <w:rFonts w:ascii="宋体" w:hAnsi="宋体" w:cs="宋体"/>
          <w:sz w:val="28"/>
          <w:szCs w:val="28"/>
        </w:rPr>
      </w:pPr>
    </w:p>
    <w:p>
      <w:pPr>
        <w:pStyle w:val="11"/>
        <w:rPr>
          <w:rFonts w:ascii="宋体" w:hAnsi="宋体" w:cs="宋体"/>
          <w:sz w:val="28"/>
          <w:szCs w:val="28"/>
        </w:rPr>
      </w:pPr>
    </w:p>
    <w:p>
      <w:pPr>
        <w:spacing w:before="120" w:line="360" w:lineRule="auto"/>
        <w:rPr>
          <w:rFonts w:ascii="宋体" w:hAnsi="宋体" w:cs="宋体"/>
          <w:sz w:val="28"/>
          <w:szCs w:val="28"/>
        </w:rPr>
      </w:pPr>
    </w:p>
    <w:p>
      <w:pPr>
        <w:pStyle w:val="10"/>
        <w:ind w:firstLine="0"/>
        <w:rPr>
          <w:rFonts w:ascii="宋体" w:hAnsi="宋体" w:cs="宋体"/>
          <w:b/>
          <w:bCs/>
          <w:sz w:val="28"/>
          <w:szCs w:val="28"/>
        </w:rPr>
      </w:pPr>
    </w:p>
    <w:p>
      <w:pPr>
        <w:pStyle w:val="10"/>
        <w:rPr>
          <w:rFonts w:ascii="宋体" w:hAnsi="宋体" w:cs="宋体"/>
          <w:b/>
          <w:bCs/>
          <w:sz w:val="28"/>
          <w:szCs w:val="28"/>
        </w:rPr>
      </w:pPr>
    </w:p>
    <w:p>
      <w:pPr>
        <w:spacing w:before="120" w:line="360" w:lineRule="auto"/>
        <w:ind w:left="960"/>
        <w:rPr>
          <w:rFonts w:ascii="宋体" w:hAnsi="宋体" w:cs="宋体"/>
          <w:b/>
          <w:bCs/>
          <w:sz w:val="28"/>
          <w:szCs w:val="28"/>
        </w:rPr>
      </w:pPr>
      <w:r>
        <w:rPr>
          <w:rFonts w:hint="eastAsia" w:ascii="宋体" w:hAnsi="宋体" w:cs="宋体"/>
          <w:b/>
          <w:bCs/>
          <w:sz w:val="28"/>
          <w:szCs w:val="28"/>
        </w:rPr>
        <w:t>采购项目名称：</w:t>
      </w:r>
      <w:r>
        <w:rPr>
          <w:rFonts w:hint="eastAsia" w:ascii="宋体" w:hAnsi="宋体" w:cs="宋体"/>
          <w:b/>
          <w:bCs/>
          <w:sz w:val="28"/>
          <w:szCs w:val="28"/>
          <w:u w:val="single"/>
        </w:rPr>
        <w:t xml:space="preserve">                                 </w:t>
      </w:r>
    </w:p>
    <w:p>
      <w:pPr>
        <w:spacing w:before="120" w:line="360" w:lineRule="auto"/>
        <w:ind w:left="960"/>
        <w:rPr>
          <w:rFonts w:ascii="宋体" w:hAnsi="宋体" w:cs="宋体"/>
          <w:b/>
          <w:bCs/>
          <w:sz w:val="28"/>
          <w:szCs w:val="28"/>
        </w:rPr>
      </w:pPr>
      <w:r>
        <w:rPr>
          <w:rFonts w:hint="eastAsia" w:ascii="宋体" w:hAnsi="宋体" w:cs="宋体"/>
          <w:b/>
          <w:bCs/>
          <w:sz w:val="28"/>
          <w:szCs w:val="28"/>
        </w:rPr>
        <w:t>采  购  人：</w:t>
      </w:r>
      <w:r>
        <w:rPr>
          <w:rFonts w:hint="eastAsia" w:ascii="宋体" w:hAnsi="宋体" w:cs="宋体"/>
          <w:b/>
          <w:bCs/>
          <w:sz w:val="28"/>
          <w:szCs w:val="28"/>
          <w:u w:val="single"/>
        </w:rPr>
        <w:t xml:space="preserve">                                    </w:t>
      </w:r>
    </w:p>
    <w:p>
      <w:pPr>
        <w:spacing w:before="120" w:line="360" w:lineRule="auto"/>
        <w:ind w:left="960"/>
        <w:rPr>
          <w:rFonts w:ascii="宋体" w:hAnsi="宋体" w:cs="宋体"/>
          <w:b/>
          <w:bCs/>
          <w:sz w:val="28"/>
          <w:szCs w:val="28"/>
          <w:u w:val="single"/>
        </w:rPr>
      </w:pPr>
      <w:r>
        <w:rPr>
          <w:rFonts w:hint="eastAsia" w:ascii="宋体" w:hAnsi="宋体" w:cs="宋体"/>
          <w:b/>
          <w:bCs/>
          <w:sz w:val="28"/>
          <w:szCs w:val="28"/>
        </w:rPr>
        <w:t>供  应  商：</w:t>
      </w:r>
      <w:r>
        <w:rPr>
          <w:rFonts w:hint="eastAsia" w:ascii="宋体" w:hAnsi="宋体" w:cs="宋体"/>
          <w:b/>
          <w:bCs/>
          <w:sz w:val="28"/>
          <w:szCs w:val="28"/>
          <w:u w:val="single"/>
        </w:rPr>
        <w:t xml:space="preserve">                                   </w:t>
      </w:r>
    </w:p>
    <w:p>
      <w:pPr>
        <w:spacing w:line="360" w:lineRule="auto"/>
        <w:ind w:firstLine="981" w:firstLineChars="349"/>
        <w:rPr>
          <w:rFonts w:ascii="宋体" w:hAnsi="宋体" w:cs="宋体"/>
          <w:b/>
          <w:bCs/>
          <w:sz w:val="24"/>
          <w:szCs w:val="24"/>
          <w:u w:val="single"/>
        </w:rPr>
      </w:pPr>
      <w:r>
        <w:rPr>
          <w:rFonts w:hint="eastAsia" w:ascii="宋体" w:hAnsi="宋体" w:cs="宋体"/>
          <w:b/>
          <w:bCs/>
          <w:sz w:val="28"/>
          <w:szCs w:val="28"/>
        </w:rPr>
        <w:t>签署日期：</w:t>
      </w:r>
      <w:r>
        <w:rPr>
          <w:rFonts w:hint="eastAsia" w:ascii="宋体" w:hAnsi="宋体" w:cs="宋体"/>
          <w:b/>
          <w:bCs/>
          <w:sz w:val="24"/>
          <w:szCs w:val="24"/>
          <w:u w:val="single"/>
        </w:rPr>
        <w:t>　　　　　　　　　　　　　             　　</w:t>
      </w:r>
    </w:p>
    <w:p/>
    <w:p>
      <w:pPr>
        <w:rPr>
          <w:rFonts w:ascii="宋体" w:hAnsi="宋体" w:cs="宋体"/>
          <w:sz w:val="24"/>
          <w:szCs w:val="24"/>
        </w:rPr>
      </w:pPr>
    </w:p>
    <w:p>
      <w:pPr>
        <w:spacing w:line="360" w:lineRule="auto"/>
        <w:ind w:firstLine="480" w:firstLineChars="200"/>
        <w:rPr>
          <w:rFonts w:ascii="宋体" w:hAnsi="宋体"/>
          <w:sz w:val="24"/>
        </w:rPr>
        <w:sectPr>
          <w:footerReference r:id="rId13" w:type="first"/>
          <w:headerReference r:id="rId11" w:type="default"/>
          <w:footerReference r:id="rId12" w:type="default"/>
          <w:footnotePr>
            <w:pos w:val="beneathText"/>
          </w:footnotePr>
          <w:pgSz w:w="11906" w:h="16838"/>
          <w:pgMar w:top="1701" w:right="1418" w:bottom="1701" w:left="1418" w:header="1091" w:footer="992" w:gutter="0"/>
          <w:pgNumType w:fmt="decimal"/>
          <w:cols w:space="720" w:num="1"/>
          <w:titlePg/>
          <w:docGrid w:type="lines" w:linePitch="312" w:charSpace="0"/>
        </w:sectPr>
      </w:pPr>
    </w:p>
    <w:p>
      <w:pPr>
        <w:spacing w:line="360" w:lineRule="auto"/>
        <w:ind w:firstLine="260"/>
        <w:jc w:val="left"/>
        <w:rPr>
          <w:rFonts w:hint="eastAsia" w:ascii="宋体" w:hAnsi="宋体" w:eastAsia="宋体" w:cs="宋体"/>
          <w:color w:val="000000"/>
          <w:sz w:val="24"/>
          <w:szCs w:val="24"/>
        </w:rPr>
      </w:pPr>
    </w:p>
    <w:p>
      <w:pPr>
        <w:spacing w:line="360" w:lineRule="auto"/>
        <w:ind w:firstLine="260"/>
        <w:jc w:val="left"/>
        <w:rPr>
          <w:rFonts w:hint="eastAsia" w:ascii="宋体" w:hAnsi="宋体" w:eastAsia="宋体" w:cs="宋体"/>
          <w:sz w:val="24"/>
          <w:szCs w:val="24"/>
        </w:rPr>
      </w:pPr>
      <w:r>
        <w:rPr>
          <w:rFonts w:hint="eastAsia" w:ascii="宋体" w:hAnsi="宋体" w:eastAsia="宋体" w:cs="宋体"/>
          <w:color w:val="000000"/>
          <w:sz w:val="24"/>
          <w:szCs w:val="24"/>
        </w:rPr>
        <w:t>买方：</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 xml:space="preserve">     买方合同编号：</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spacing w:line="360" w:lineRule="auto"/>
        <w:ind w:firstLine="260"/>
        <w:jc w:val="left"/>
        <w:rPr>
          <w:rFonts w:hint="eastAsia" w:ascii="宋体" w:hAnsi="宋体" w:eastAsia="宋体" w:cs="宋体"/>
          <w:sz w:val="24"/>
          <w:szCs w:val="24"/>
        </w:rPr>
      </w:pPr>
      <w:r>
        <w:rPr>
          <w:rFonts w:hint="eastAsia" w:ascii="宋体" w:hAnsi="宋体" w:eastAsia="宋体" w:cs="宋体"/>
          <w:color w:val="000000"/>
          <w:sz w:val="24"/>
          <w:szCs w:val="24"/>
        </w:rPr>
        <w:t>卖方：</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 xml:space="preserve">    卖方合同编号：</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spacing w:line="360" w:lineRule="auto"/>
        <w:ind w:firstLine="260"/>
        <w:jc w:val="left"/>
        <w:rPr>
          <w:rFonts w:hint="eastAsia" w:ascii="宋体" w:hAnsi="宋体" w:eastAsia="宋体" w:cs="宋体"/>
          <w:sz w:val="24"/>
          <w:szCs w:val="24"/>
        </w:rPr>
      </w:pPr>
      <w:r>
        <w:rPr>
          <w:rFonts w:hint="eastAsia" w:ascii="宋体" w:hAnsi="宋体" w:eastAsia="宋体" w:cs="宋体"/>
          <w:color w:val="000000"/>
          <w:sz w:val="24"/>
          <w:szCs w:val="24"/>
        </w:rPr>
        <w:t>签订地点：</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 xml:space="preserve">  签订时间：</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tbl>
      <w:tblPr>
        <w:tblStyle w:val="20"/>
        <w:tblpPr w:leftFromText="180" w:rightFromText="180" w:vertAnchor="page" w:horzAnchor="page" w:tblpX="1257" w:tblpY="36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63"/>
        <w:gridCol w:w="1175"/>
        <w:gridCol w:w="2445"/>
        <w:gridCol w:w="1015"/>
        <w:gridCol w:w="1100"/>
        <w:gridCol w:w="1305"/>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trPr>
        <w:tc>
          <w:tcPr>
            <w:tcW w:w="800" w:type="dxa"/>
            <w:vAlign w:val="center"/>
          </w:tcPr>
          <w:p>
            <w:pPr>
              <w:spacing w:line="360" w:lineRule="auto"/>
              <w:jc w:val="center"/>
              <w:rPr>
                <w:rFonts w:hint="eastAsia"/>
                <w:sz w:val="24"/>
                <w:szCs w:val="24"/>
              </w:rPr>
            </w:pPr>
            <w:r>
              <w:rPr>
                <w:rFonts w:hint="eastAsia"/>
                <w:sz w:val="24"/>
                <w:szCs w:val="24"/>
              </w:rPr>
              <w:t>序号</w:t>
            </w:r>
          </w:p>
        </w:tc>
        <w:tc>
          <w:tcPr>
            <w:tcW w:w="1240" w:type="dxa"/>
            <w:vAlign w:val="center"/>
          </w:tcPr>
          <w:p>
            <w:pPr>
              <w:spacing w:line="360" w:lineRule="auto"/>
              <w:jc w:val="center"/>
              <w:rPr>
                <w:rFonts w:hint="eastAsia"/>
                <w:sz w:val="24"/>
                <w:szCs w:val="24"/>
              </w:rPr>
            </w:pPr>
            <w:r>
              <w:rPr>
                <w:rFonts w:hint="eastAsia"/>
                <w:sz w:val="24"/>
                <w:szCs w:val="24"/>
              </w:rPr>
              <w:t>产品名称</w:t>
            </w:r>
          </w:p>
        </w:tc>
        <w:tc>
          <w:tcPr>
            <w:tcW w:w="2520" w:type="dxa"/>
            <w:vAlign w:val="center"/>
          </w:tcPr>
          <w:p>
            <w:pPr>
              <w:spacing w:line="360" w:lineRule="auto"/>
              <w:jc w:val="center"/>
              <w:rPr>
                <w:rFonts w:hint="eastAsia"/>
                <w:sz w:val="24"/>
                <w:szCs w:val="24"/>
              </w:rPr>
            </w:pPr>
            <w:r>
              <w:rPr>
                <w:rFonts w:hint="eastAsia"/>
                <w:sz w:val="24"/>
                <w:szCs w:val="24"/>
              </w:rPr>
              <w:t>型号规格</w:t>
            </w:r>
          </w:p>
        </w:tc>
        <w:tc>
          <w:tcPr>
            <w:tcW w:w="1060" w:type="dxa"/>
            <w:vAlign w:val="center"/>
          </w:tcPr>
          <w:p>
            <w:pPr>
              <w:spacing w:line="360" w:lineRule="auto"/>
              <w:jc w:val="center"/>
              <w:rPr>
                <w:rFonts w:hint="eastAsia"/>
                <w:sz w:val="24"/>
                <w:szCs w:val="24"/>
              </w:rPr>
            </w:pPr>
            <w:r>
              <w:rPr>
                <w:rFonts w:hint="eastAsia"/>
                <w:sz w:val="24"/>
                <w:szCs w:val="24"/>
              </w:rPr>
              <w:t>数量／台</w:t>
            </w:r>
          </w:p>
        </w:tc>
        <w:tc>
          <w:tcPr>
            <w:tcW w:w="1160" w:type="dxa"/>
            <w:vAlign w:val="center"/>
          </w:tcPr>
          <w:p>
            <w:pPr>
              <w:spacing w:line="360" w:lineRule="auto"/>
              <w:jc w:val="center"/>
              <w:rPr>
                <w:rFonts w:hint="eastAsia"/>
                <w:sz w:val="24"/>
                <w:szCs w:val="24"/>
              </w:rPr>
            </w:pPr>
            <w:r>
              <w:rPr>
                <w:rFonts w:hint="eastAsia"/>
                <w:sz w:val="24"/>
                <w:szCs w:val="24"/>
              </w:rPr>
              <w:t>单价／元</w:t>
            </w:r>
          </w:p>
        </w:tc>
        <w:tc>
          <w:tcPr>
            <w:tcW w:w="1380" w:type="dxa"/>
            <w:vAlign w:val="center"/>
          </w:tcPr>
          <w:p>
            <w:pPr>
              <w:spacing w:line="360" w:lineRule="auto"/>
              <w:jc w:val="center"/>
              <w:rPr>
                <w:rFonts w:hint="eastAsia"/>
                <w:sz w:val="24"/>
                <w:szCs w:val="24"/>
              </w:rPr>
            </w:pPr>
            <w:r>
              <w:rPr>
                <w:rFonts w:hint="eastAsia"/>
                <w:sz w:val="24"/>
                <w:szCs w:val="24"/>
              </w:rPr>
              <w:t>金额／元</w:t>
            </w:r>
          </w:p>
        </w:tc>
        <w:tc>
          <w:tcPr>
            <w:tcW w:w="1360" w:type="dxa"/>
            <w:vAlign w:val="center"/>
          </w:tcPr>
          <w:p>
            <w:pPr>
              <w:spacing w:line="360" w:lineRule="auto"/>
              <w:jc w:val="center"/>
              <w:rPr>
                <w:rFonts w:hint="eastAsia"/>
                <w:sz w:val="24"/>
                <w:szCs w:val="24"/>
              </w:rPr>
            </w:pPr>
            <w:r>
              <w:rPr>
                <w:rFonts w:hint="eastAsia"/>
                <w:sz w:val="24"/>
                <w:szCs w:val="24"/>
              </w:rPr>
              <w:t>到货日期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rPr>
        <w:tc>
          <w:tcPr>
            <w:tcW w:w="800" w:type="dxa"/>
            <w:vAlign w:val="center"/>
          </w:tcPr>
          <w:p>
            <w:pPr>
              <w:spacing w:line="360" w:lineRule="auto"/>
              <w:jc w:val="center"/>
              <w:rPr>
                <w:rFonts w:hint="eastAsia"/>
                <w:sz w:val="24"/>
                <w:szCs w:val="24"/>
              </w:rPr>
            </w:pPr>
            <w:r>
              <w:rPr>
                <w:rFonts w:hint="eastAsia"/>
                <w:sz w:val="24"/>
                <w:szCs w:val="24"/>
              </w:rPr>
              <w:t>1</w:t>
            </w:r>
          </w:p>
        </w:tc>
        <w:tc>
          <w:tcPr>
            <w:tcW w:w="1240" w:type="dxa"/>
            <w:vAlign w:val="center"/>
          </w:tcPr>
          <w:p>
            <w:pPr>
              <w:spacing w:line="360" w:lineRule="auto"/>
              <w:jc w:val="center"/>
              <w:rPr>
                <w:rFonts w:hint="eastAsia"/>
                <w:sz w:val="24"/>
                <w:szCs w:val="24"/>
              </w:rPr>
            </w:pPr>
            <w:r>
              <w:rPr>
                <w:rFonts w:hint="eastAsia"/>
                <w:sz w:val="24"/>
                <w:szCs w:val="24"/>
              </w:rPr>
              <w:t>垃圾箱</w:t>
            </w:r>
          </w:p>
        </w:tc>
        <w:tc>
          <w:tcPr>
            <w:tcW w:w="2520" w:type="dxa"/>
            <w:vAlign w:val="center"/>
          </w:tcPr>
          <w:p>
            <w:pPr>
              <w:spacing w:line="360" w:lineRule="auto"/>
              <w:jc w:val="center"/>
              <w:rPr>
                <w:rFonts w:hint="eastAsia"/>
                <w:sz w:val="24"/>
                <w:szCs w:val="24"/>
              </w:rPr>
            </w:pPr>
            <w:r>
              <w:rPr>
                <w:rFonts w:hint="eastAsia"/>
                <w:sz w:val="24"/>
                <w:szCs w:val="24"/>
              </w:rPr>
              <w:t>2.03x1.46x1.0（长x宽x</w:t>
            </w:r>
          </w:p>
          <w:p>
            <w:pPr>
              <w:spacing w:line="360" w:lineRule="auto"/>
              <w:jc w:val="center"/>
              <w:rPr>
                <w:rFonts w:hint="eastAsia"/>
                <w:sz w:val="24"/>
                <w:szCs w:val="24"/>
              </w:rPr>
            </w:pPr>
            <w:r>
              <w:rPr>
                <w:rFonts w:hint="eastAsia"/>
                <w:sz w:val="24"/>
                <w:szCs w:val="24"/>
              </w:rPr>
              <w:t>高）</w:t>
            </w:r>
          </w:p>
        </w:tc>
        <w:tc>
          <w:tcPr>
            <w:tcW w:w="1060" w:type="dxa"/>
            <w:vAlign w:val="center"/>
          </w:tcPr>
          <w:p>
            <w:pPr>
              <w:spacing w:line="360" w:lineRule="auto"/>
              <w:jc w:val="center"/>
              <w:rPr>
                <w:rFonts w:hint="eastAsia"/>
                <w:sz w:val="24"/>
                <w:szCs w:val="24"/>
              </w:rPr>
            </w:pPr>
            <w:r>
              <w:rPr>
                <w:rFonts w:hint="eastAsia"/>
                <w:sz w:val="24"/>
                <w:szCs w:val="24"/>
              </w:rPr>
              <w:t>100</w:t>
            </w:r>
          </w:p>
        </w:tc>
        <w:tc>
          <w:tcPr>
            <w:tcW w:w="1160" w:type="dxa"/>
            <w:vAlign w:val="center"/>
          </w:tcPr>
          <w:p>
            <w:pPr>
              <w:spacing w:line="360" w:lineRule="auto"/>
              <w:jc w:val="center"/>
              <w:rPr>
                <w:rFonts w:hint="eastAsia"/>
                <w:sz w:val="24"/>
                <w:szCs w:val="24"/>
              </w:rPr>
            </w:pPr>
          </w:p>
        </w:tc>
        <w:tc>
          <w:tcPr>
            <w:tcW w:w="1380" w:type="dxa"/>
            <w:vAlign w:val="center"/>
          </w:tcPr>
          <w:p>
            <w:pPr>
              <w:spacing w:line="360" w:lineRule="auto"/>
              <w:jc w:val="left"/>
              <w:rPr>
                <w:rFonts w:hint="eastAsia"/>
                <w:sz w:val="24"/>
                <w:szCs w:val="24"/>
              </w:rPr>
            </w:pPr>
          </w:p>
        </w:tc>
        <w:tc>
          <w:tcPr>
            <w:tcW w:w="1360" w:type="dxa"/>
            <w:vAlign w:val="center"/>
          </w:tcPr>
          <w:p>
            <w:pPr>
              <w:spacing w:line="360" w:lineRule="auto"/>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9520" w:type="dxa"/>
            <w:gridSpan w:val="7"/>
            <w:vAlign w:val="center"/>
          </w:tcPr>
          <w:p>
            <w:pPr>
              <w:spacing w:line="360" w:lineRule="auto"/>
              <w:jc w:val="center"/>
              <w:rPr>
                <w:rFonts w:hint="default" w:eastAsia="宋体"/>
                <w:sz w:val="24"/>
                <w:szCs w:val="24"/>
                <w:lang w:val="en-US" w:eastAsia="zh-CN"/>
              </w:rPr>
            </w:pPr>
            <w:r>
              <w:rPr>
                <w:rFonts w:hint="eastAsia"/>
                <w:sz w:val="24"/>
                <w:szCs w:val="24"/>
              </w:rPr>
              <w:t>合计人民币（大写）元整</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小写¥</w:t>
            </w:r>
          </w:p>
        </w:tc>
      </w:tr>
    </w:tbl>
    <w:p>
      <w:pPr>
        <w:spacing w:line="360" w:lineRule="auto"/>
        <w:ind w:firstLine="260"/>
        <w:jc w:val="left"/>
        <w:rPr>
          <w:rFonts w:hint="eastAsia" w:ascii="宋体" w:hAnsi="宋体" w:eastAsia="宋体" w:cs="宋体"/>
          <w:sz w:val="24"/>
          <w:szCs w:val="24"/>
        </w:rPr>
      </w:pPr>
      <w:r>
        <w:rPr>
          <w:rFonts w:hint="eastAsia" w:ascii="宋体" w:hAnsi="宋体" w:eastAsia="宋体" w:cs="宋体"/>
          <w:color w:val="000000"/>
          <w:sz w:val="24"/>
          <w:szCs w:val="24"/>
        </w:rPr>
        <w:t>第一条标的、数量、价款及交（提）货时间</w:t>
      </w:r>
    </w:p>
    <w:p>
      <w:pPr>
        <w:spacing w:before="360" w:after="220" w:line="360" w:lineRule="auto"/>
        <w:ind w:firstLine="260"/>
        <w:jc w:val="left"/>
        <w:rPr>
          <w:rFonts w:hint="eastAsia" w:ascii="宋体" w:hAnsi="宋体" w:eastAsia="宋体" w:cs="宋体"/>
          <w:sz w:val="24"/>
          <w:szCs w:val="24"/>
        </w:rPr>
      </w:pPr>
      <w:r>
        <w:rPr>
          <w:rFonts w:hint="eastAsia" w:ascii="宋体" w:hAnsi="宋体" w:eastAsia="宋体" w:cs="宋体"/>
          <w:color w:val="000000"/>
          <w:sz w:val="24"/>
          <w:szCs w:val="24"/>
        </w:rPr>
        <w:t>第二条 质量标准：</w:t>
      </w:r>
      <w:r>
        <w:rPr>
          <w:rFonts w:hint="eastAsia" w:ascii="宋体" w:hAnsi="宋体" w:eastAsia="宋体" w:cs="宋体"/>
          <w:color w:val="000000"/>
          <w:sz w:val="24"/>
          <w:szCs w:val="24"/>
          <w:u w:val="single"/>
        </w:rPr>
        <w:t>按国家及行业标准执行。</w:t>
      </w:r>
    </w:p>
    <w:p>
      <w:pPr>
        <w:spacing w:after="220" w:line="360" w:lineRule="auto"/>
        <w:ind w:firstLine="260"/>
        <w:jc w:val="left"/>
        <w:rPr>
          <w:rFonts w:hint="eastAsia" w:ascii="宋体" w:hAnsi="宋体" w:eastAsia="宋体" w:cs="宋体"/>
          <w:sz w:val="24"/>
          <w:szCs w:val="24"/>
        </w:rPr>
      </w:pPr>
      <w:r>
        <w:rPr>
          <w:rFonts w:hint="eastAsia" w:ascii="宋体" w:hAnsi="宋体" w:eastAsia="宋体" w:cs="宋体"/>
          <w:color w:val="000000"/>
          <w:sz w:val="24"/>
          <w:szCs w:val="24"/>
        </w:rPr>
        <w:t>第三条 卖方对质量负责的条件和期限：</w:t>
      </w:r>
      <w:r>
        <w:rPr>
          <w:rFonts w:hint="eastAsia" w:ascii="宋体" w:hAnsi="宋体" w:eastAsia="宋体" w:cs="宋体"/>
          <w:color w:val="000000"/>
          <w:sz w:val="24"/>
          <w:szCs w:val="24"/>
          <w:u w:val="single"/>
        </w:rPr>
        <w:t>无。</w:t>
      </w:r>
    </w:p>
    <w:p>
      <w:pPr>
        <w:spacing w:after="220" w:line="360" w:lineRule="auto"/>
        <w:ind w:firstLine="260"/>
        <w:jc w:val="left"/>
        <w:rPr>
          <w:rFonts w:hint="eastAsia" w:ascii="宋体" w:hAnsi="宋体" w:eastAsia="宋体" w:cs="宋体"/>
          <w:sz w:val="24"/>
          <w:szCs w:val="24"/>
          <w:u w:val="single"/>
        </w:rPr>
      </w:pPr>
      <w:r>
        <w:rPr>
          <w:rFonts w:hint="eastAsia" w:ascii="宋体" w:hAnsi="宋体" w:eastAsia="宋体" w:cs="宋体"/>
          <w:color w:val="000000"/>
          <w:sz w:val="24"/>
          <w:szCs w:val="24"/>
        </w:rPr>
        <w:t>第四条 包装标准、包装物的供应与图收：</w:t>
      </w:r>
      <w:r>
        <w:rPr>
          <w:rFonts w:hint="eastAsia" w:ascii="宋体" w:hAnsi="宋体" w:eastAsia="宋体" w:cs="宋体"/>
          <w:color w:val="000000"/>
          <w:sz w:val="24"/>
          <w:szCs w:val="24"/>
          <w:u w:val="single"/>
        </w:rPr>
        <w:t>按标准规供相应包装，不回收。</w:t>
      </w:r>
    </w:p>
    <w:p>
      <w:pPr>
        <w:spacing w:after="220" w:line="360" w:lineRule="auto"/>
        <w:ind w:firstLine="260"/>
        <w:jc w:val="left"/>
        <w:rPr>
          <w:rFonts w:hint="eastAsia" w:ascii="宋体" w:hAnsi="宋体" w:eastAsia="宋体" w:cs="宋体"/>
          <w:sz w:val="24"/>
          <w:szCs w:val="24"/>
          <w:u w:val="single"/>
        </w:rPr>
      </w:pPr>
      <w:r>
        <w:rPr>
          <w:rFonts w:hint="eastAsia" w:ascii="宋体" w:hAnsi="宋体" w:eastAsia="宋体" w:cs="宋体"/>
          <w:color w:val="000000"/>
          <w:sz w:val="24"/>
          <w:szCs w:val="24"/>
        </w:rPr>
        <w:t>第五条 随机的必备品、配件、工具数量及供应办法：</w:t>
      </w:r>
      <w:r>
        <w:rPr>
          <w:rFonts w:hint="eastAsia" w:ascii="宋体" w:hAnsi="宋体" w:eastAsia="宋体" w:cs="宋体"/>
          <w:color w:val="000000"/>
          <w:sz w:val="24"/>
          <w:szCs w:val="24"/>
          <w:u w:val="single"/>
        </w:rPr>
        <w:t>无。</w:t>
      </w:r>
    </w:p>
    <w:p>
      <w:pPr>
        <w:spacing w:after="220" w:line="360" w:lineRule="auto"/>
        <w:ind w:firstLine="260"/>
        <w:jc w:val="left"/>
        <w:rPr>
          <w:rFonts w:hint="eastAsia" w:ascii="宋体" w:hAnsi="宋体" w:eastAsia="宋体" w:cs="宋体"/>
          <w:sz w:val="24"/>
          <w:szCs w:val="24"/>
        </w:rPr>
      </w:pPr>
      <w:r>
        <w:rPr>
          <w:rFonts w:hint="eastAsia" w:ascii="宋体" w:hAnsi="宋体" w:eastAsia="宋体" w:cs="宋体"/>
          <w:color w:val="000000"/>
          <w:sz w:val="24"/>
          <w:szCs w:val="24"/>
        </w:rPr>
        <w:t>第六条 合理损耗标准及计算方法：</w:t>
      </w:r>
      <w:r>
        <w:rPr>
          <w:rFonts w:hint="eastAsia" w:ascii="宋体" w:hAnsi="宋体" w:eastAsia="宋体" w:cs="宋体"/>
          <w:color w:val="000000"/>
          <w:sz w:val="24"/>
          <w:szCs w:val="24"/>
          <w:u w:val="single"/>
        </w:rPr>
        <w:t>无。</w:t>
      </w:r>
    </w:p>
    <w:p>
      <w:pPr>
        <w:spacing w:after="220" w:line="360" w:lineRule="auto"/>
        <w:ind w:firstLine="260"/>
        <w:jc w:val="left"/>
        <w:rPr>
          <w:rFonts w:hint="default" w:ascii="宋体" w:hAnsi="宋体" w:eastAsia="宋体" w:cs="宋体"/>
          <w:sz w:val="24"/>
          <w:szCs w:val="24"/>
          <w:u w:val="single"/>
          <w:lang w:val="en-US" w:eastAsia="zh-CN"/>
        </w:rPr>
      </w:pPr>
      <w:r>
        <w:rPr>
          <w:rFonts w:hint="eastAsia" w:ascii="宋体" w:hAnsi="宋体" w:eastAsia="宋体" w:cs="宋体"/>
          <w:color w:val="000000"/>
          <w:sz w:val="24"/>
          <w:szCs w:val="24"/>
        </w:rPr>
        <w:t>第七条 交（提）货方式、地点：</w:t>
      </w:r>
      <w:r>
        <w:rPr>
          <w:rFonts w:hint="eastAsia" w:ascii="宋体" w:hAnsi="宋体" w:eastAsia="宋体" w:cs="宋体"/>
          <w:color w:val="000000"/>
          <w:sz w:val="24"/>
          <w:szCs w:val="24"/>
          <w:u w:val="single"/>
          <w:lang w:val="en-US" w:eastAsia="zh-CN"/>
        </w:rPr>
        <w:t xml:space="preserve">                                          </w:t>
      </w:r>
    </w:p>
    <w:p>
      <w:pPr>
        <w:spacing w:after="220" w:line="360" w:lineRule="auto"/>
        <w:ind w:firstLine="260"/>
        <w:jc w:val="left"/>
        <w:rPr>
          <w:rFonts w:hint="eastAsia" w:ascii="宋体" w:hAnsi="宋体" w:eastAsia="宋体" w:cs="宋体"/>
          <w:sz w:val="24"/>
          <w:szCs w:val="24"/>
          <w:u w:val="single"/>
        </w:rPr>
      </w:pPr>
      <w:r>
        <w:rPr>
          <w:rFonts w:hint="eastAsia" w:ascii="宋体" w:hAnsi="宋体" w:eastAsia="宋体" w:cs="宋体"/>
          <w:color w:val="000000"/>
          <w:sz w:val="24"/>
          <w:szCs w:val="24"/>
        </w:rPr>
        <w:t>第八条 运输方式及到达站（港）和费用负担：</w:t>
      </w:r>
      <w:r>
        <w:rPr>
          <w:rFonts w:hint="eastAsia" w:ascii="宋体" w:hAnsi="宋体" w:eastAsia="宋体" w:cs="宋体"/>
          <w:color w:val="000000"/>
          <w:sz w:val="24"/>
          <w:szCs w:val="24"/>
          <w:u w:val="single"/>
        </w:rPr>
        <w:t>卖方负责运输至买力现场，费用由卖方负担。</w:t>
      </w:r>
    </w:p>
    <w:p>
      <w:pPr>
        <w:spacing w:after="220" w:line="360" w:lineRule="auto"/>
        <w:ind w:firstLine="260"/>
        <w:jc w:val="left"/>
        <w:rPr>
          <w:rFonts w:hint="eastAsia" w:ascii="宋体" w:hAnsi="宋体" w:eastAsia="宋体" w:cs="宋体"/>
          <w:sz w:val="24"/>
          <w:szCs w:val="24"/>
          <w:u w:val="single"/>
        </w:rPr>
      </w:pPr>
      <w:r>
        <w:rPr>
          <w:rFonts w:hint="eastAsia" w:ascii="宋体" w:hAnsi="宋体" w:eastAsia="宋体" w:cs="宋体"/>
          <w:color w:val="000000"/>
          <w:sz w:val="24"/>
          <w:szCs w:val="24"/>
        </w:rPr>
        <w:t>第九条 检验标准、方法、地点及期限：</w:t>
      </w:r>
      <w:r>
        <w:rPr>
          <w:rFonts w:hint="eastAsia" w:ascii="宋体" w:hAnsi="宋体" w:eastAsia="宋体" w:cs="宋体"/>
          <w:color w:val="000000"/>
          <w:sz w:val="24"/>
          <w:szCs w:val="24"/>
          <w:u w:val="single"/>
        </w:rPr>
        <w:t>买方按国家标准及计划要求现场验收。</w:t>
      </w:r>
    </w:p>
    <w:p>
      <w:pPr>
        <w:spacing w:after="220" w:line="360" w:lineRule="auto"/>
        <w:ind w:firstLine="260"/>
        <w:jc w:val="left"/>
        <w:rPr>
          <w:rFonts w:hint="eastAsia" w:ascii="宋体" w:hAnsi="宋体" w:eastAsia="宋体" w:cs="宋体"/>
          <w:sz w:val="24"/>
          <w:szCs w:val="24"/>
        </w:rPr>
      </w:pPr>
      <w:r>
        <w:rPr>
          <w:rFonts w:hint="eastAsia" w:ascii="宋体" w:hAnsi="宋体" w:eastAsia="宋体" w:cs="宋体"/>
          <w:color w:val="000000"/>
          <w:sz w:val="24"/>
          <w:szCs w:val="24"/>
        </w:rPr>
        <w:t>第十条 设备的卸货：</w:t>
      </w:r>
      <w:r>
        <w:rPr>
          <w:rFonts w:hint="eastAsia" w:ascii="宋体" w:hAnsi="宋体" w:eastAsia="宋体" w:cs="宋体"/>
          <w:color w:val="000000"/>
          <w:sz w:val="24"/>
          <w:szCs w:val="24"/>
          <w:u w:val="single"/>
        </w:rPr>
        <w:t>卖方负责。</w:t>
      </w:r>
    </w:p>
    <w:p>
      <w:pPr>
        <w:spacing w:after="220" w:line="360" w:lineRule="auto"/>
        <w:ind w:firstLine="260"/>
        <w:jc w:val="left"/>
        <w:rPr>
          <w:rFonts w:hint="eastAsia" w:ascii="宋体" w:hAnsi="宋体" w:eastAsia="宋体" w:cs="宋体"/>
          <w:sz w:val="24"/>
          <w:szCs w:val="24"/>
          <w:u w:val="single"/>
        </w:rPr>
      </w:pPr>
      <w:r>
        <w:rPr>
          <w:rFonts w:hint="eastAsia" w:ascii="宋体" w:hAnsi="宋体" w:eastAsia="宋体" w:cs="宋体"/>
          <w:color w:val="000000"/>
          <w:sz w:val="24"/>
          <w:szCs w:val="24"/>
        </w:rPr>
        <w:t>第十一条 结算方式、时间及地点：</w:t>
      </w:r>
      <w:r>
        <w:rPr>
          <w:rFonts w:hint="eastAsia" w:ascii="宋体" w:hAnsi="宋体" w:eastAsia="宋体" w:cs="宋体"/>
          <w:color w:val="000000"/>
          <w:sz w:val="24"/>
          <w:szCs w:val="24"/>
          <w:u w:val="single"/>
        </w:rPr>
        <w:t>货到付清全款。</w:t>
      </w:r>
    </w:p>
    <w:p>
      <w:pPr>
        <w:spacing w:after="120" w:line="360" w:lineRule="auto"/>
        <w:ind w:firstLine="260"/>
        <w:jc w:val="left"/>
        <w:rPr>
          <w:rFonts w:hint="eastAsia" w:ascii="宋体" w:hAnsi="宋体" w:eastAsia="宋体" w:cs="宋体"/>
          <w:sz w:val="24"/>
          <w:szCs w:val="24"/>
        </w:rPr>
      </w:pPr>
      <w:r>
        <w:rPr>
          <w:rFonts w:hint="eastAsia" w:ascii="宋体" w:hAnsi="宋体" w:eastAsia="宋体" w:cs="宋体"/>
          <w:color w:val="000000"/>
          <w:sz w:val="24"/>
          <w:szCs w:val="24"/>
        </w:rPr>
        <w:t>第十二条 保密责任</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1．买卖双方均同意：买方或其雇员、代表向卖方提供的技术信息和经营信息（无论以何种方式记录或保存）均视为保密信息。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2．卖方对于在履行本台同中所知悉的买方保密信息负有保密义务，非经买方同意不得将买方信息透露给第三方。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3．保密期限为：</w:t>
      </w:r>
      <w:r>
        <w:rPr>
          <w:rFonts w:hint="eastAsia" w:ascii="宋体" w:hAnsi="宋体" w:eastAsia="宋体" w:cs="宋体"/>
          <w:color w:val="000000"/>
          <w:sz w:val="24"/>
          <w:szCs w:val="24"/>
        </w:rPr>
        <w:tab/>
      </w:r>
      <w:r>
        <w:rPr>
          <w:rFonts w:hint="eastAsia" w:ascii="宋体" w:hAnsi="宋体" w:eastAsia="宋体" w:cs="宋体"/>
          <w:color w:val="000000"/>
          <w:sz w:val="24"/>
          <w:szCs w:val="24"/>
        </w:rPr>
        <w:t>本合同被撤销、变更、解除、终止、或无效，保密条款不受期限制而继续有效。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4．卖方透露买方保</w:t>
      </w:r>
      <w:r>
        <w:rPr>
          <w:rFonts w:hint="eastAsia" w:ascii="宋体" w:hAnsi="宋体" w:eastAsia="宋体" w:cs="宋体"/>
          <w:color w:val="000000"/>
          <w:sz w:val="24"/>
          <w:szCs w:val="24"/>
          <w:lang w:val="en-US" w:eastAsia="zh-CN"/>
        </w:rPr>
        <w:t>密</w:t>
      </w:r>
      <w:r>
        <w:rPr>
          <w:rFonts w:hint="eastAsia" w:ascii="宋体" w:hAnsi="宋体" w:eastAsia="宋体" w:cs="宋体"/>
          <w:color w:val="000000"/>
          <w:sz w:val="24"/>
          <w:szCs w:val="24"/>
        </w:rPr>
        <w:t>信息给买方带来损失的，卖方承当赔偿责任。</w:t>
      </w:r>
    </w:p>
    <w:p>
      <w:pPr>
        <w:spacing w:after="100" w:line="360" w:lineRule="auto"/>
        <w:ind w:left="20" w:firstLine="480" w:firstLineChars="200"/>
        <w:jc w:val="both"/>
        <w:rPr>
          <w:rFonts w:hint="eastAsia" w:ascii="宋体" w:hAnsi="宋体" w:eastAsia="宋体" w:cs="宋体"/>
          <w:sz w:val="24"/>
          <w:szCs w:val="24"/>
        </w:rPr>
      </w:pPr>
      <w:r>
        <w:rPr>
          <w:rFonts w:hint="eastAsia" w:ascii="宋体" w:hAnsi="宋体" w:eastAsia="宋体" w:cs="宋体"/>
          <w:color w:val="000000"/>
          <w:sz w:val="24"/>
          <w:szCs w:val="24"/>
        </w:rPr>
        <w:t>买方按照本合同或技术协议同的约定使用卖方提供的产品侵害他人合法权益的，由卖方承相责任：应对第三方侵权指控的一切费用、生效判法判定的损害赔偿、以及生效判决判定的停止侵权导教买方所承担的可确认的商业损失，均由卖方承担。</w:t>
      </w:r>
    </w:p>
    <w:p>
      <w:pPr>
        <w:spacing w:line="360" w:lineRule="auto"/>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第十四条卖方违约的责任：按《中华人民共和国民典法》执行。</w:t>
      </w:r>
    </w:p>
    <w:p>
      <w:pPr>
        <w:numPr>
          <w:ilvl w:val="0"/>
          <w:numId w:val="5"/>
        </w:numPr>
        <w:spacing w:line="360" w:lineRule="auto"/>
        <w:ind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合同的变更</w:t>
      </w:r>
    </w:p>
    <w:p>
      <w:pPr>
        <w:numPr>
          <w:ilvl w:val="0"/>
          <w:numId w:val="5"/>
        </w:numPr>
        <w:spacing w:line="360" w:lineRule="auto"/>
        <w:ind w:firstLine="0"/>
        <w:jc w:val="both"/>
        <w:rPr>
          <w:rFonts w:hint="eastAsia" w:ascii="宋体" w:hAnsi="宋体" w:eastAsia="宋体" w:cs="宋体"/>
          <w:sz w:val="24"/>
          <w:szCs w:val="24"/>
        </w:rPr>
      </w:pPr>
      <w:r>
        <w:rPr>
          <w:rFonts w:hint="eastAsia" w:ascii="宋体" w:hAnsi="宋体" w:eastAsia="宋体" w:cs="宋体"/>
          <w:color w:val="000000"/>
          <w:sz w:val="24"/>
          <w:szCs w:val="24"/>
        </w:rPr>
        <w:t>1．双方中任何一方欲变更、解除合同、必须采取书面形式，未经双方书面确认，任何方不得自行变更或修改本合同。</w:t>
      </w:r>
    </w:p>
    <w:p>
      <w:pPr>
        <w:spacing w:after="100" w:line="360" w:lineRule="auto"/>
        <w:ind w:firstLine="480" w:firstLineChars="200"/>
        <w:jc w:val="left"/>
        <w:rPr>
          <w:rFonts w:hint="default" w:ascii="宋体" w:hAnsi="宋体" w:eastAsia="宋体" w:cs="宋体"/>
          <w:sz w:val="24"/>
          <w:szCs w:val="24"/>
          <w:u w:val="single"/>
          <w:lang w:val="en-US" w:eastAsia="zh-CN"/>
        </w:rPr>
      </w:pPr>
      <w:r>
        <w:rPr>
          <w:rFonts w:hint="eastAsia" w:ascii="宋体" w:hAnsi="宋体" w:eastAsia="宋体" w:cs="宋体"/>
          <w:color w:val="000000"/>
          <w:sz w:val="24"/>
          <w:szCs w:val="24"/>
        </w:rPr>
        <w:t>2．合同主体由于不可抗力导致协收不能履行的，双方均不承担违的责任，共同协商变更或解除合同。</w:t>
      </w:r>
      <w:r>
        <w:rPr>
          <w:rFonts w:hint="eastAsia" w:ascii="宋体" w:hAnsi="宋体" w:eastAsia="宋体" w:cs="宋体"/>
          <w:color w:val="000000"/>
          <w:sz w:val="24"/>
          <w:szCs w:val="24"/>
          <w:lang w:val="en-US" w:eastAsia="zh-CN"/>
        </w:rPr>
        <w:t xml:space="preserve"> </w:t>
      </w:r>
    </w:p>
    <w:p>
      <w:pPr>
        <w:spacing w:after="100" w:line="360" w:lineRule="auto"/>
        <w:ind w:firstLine="720" w:firstLineChars="300"/>
        <w:jc w:val="left"/>
        <w:rPr>
          <w:rFonts w:hint="eastAsia" w:ascii="宋体" w:hAnsi="宋体" w:eastAsia="宋体" w:cs="宋体"/>
          <w:sz w:val="24"/>
          <w:szCs w:val="24"/>
        </w:rPr>
      </w:pPr>
      <w:r>
        <w:rPr>
          <w:rFonts w:hint="eastAsia" w:ascii="宋体" w:hAnsi="宋体" w:eastAsia="宋体" w:cs="宋体"/>
          <w:color w:val="000000"/>
          <w:sz w:val="24"/>
          <w:szCs w:val="24"/>
        </w:rPr>
        <w:t>3．本合同与国家行政法规法规相抵触时，应依据国室行政法律，法规变更本合同。</w:t>
      </w:r>
    </w:p>
    <w:p>
      <w:pPr>
        <w:spacing w:after="100" w:line="360" w:lineRule="auto"/>
        <w:ind w:left="20" w:firstLine="0"/>
        <w:jc w:val="both"/>
        <w:rPr>
          <w:rFonts w:hint="eastAsia" w:ascii="宋体" w:hAnsi="宋体" w:eastAsia="宋体" w:cs="宋体"/>
          <w:sz w:val="24"/>
          <w:szCs w:val="24"/>
          <w:u w:val="single"/>
        </w:rPr>
      </w:pPr>
      <w:r>
        <w:rPr>
          <w:rFonts w:hint="eastAsia" w:ascii="宋体" w:hAnsi="宋体" w:eastAsia="宋体" w:cs="宋体"/>
          <w:color w:val="000000"/>
          <w:sz w:val="24"/>
          <w:szCs w:val="24"/>
        </w:rPr>
        <w:t>第十六条合同争议的解决方式：</w:t>
      </w:r>
      <w:r>
        <w:rPr>
          <w:rFonts w:hint="eastAsia" w:ascii="宋体" w:hAnsi="宋体" w:eastAsia="宋体" w:cs="宋体"/>
          <w:color w:val="000000"/>
          <w:sz w:val="24"/>
          <w:szCs w:val="24"/>
          <w:u w:val="single"/>
        </w:rPr>
        <w:t>本合同在履行过程中发生的争议，由双方为事人友好协商解决；也可由当地工商行政管理部门调解：协商调解不成的，按第二种方式解决。</w:t>
      </w:r>
    </w:p>
    <w:p>
      <w:pPr>
        <w:spacing w:line="360" w:lineRule="auto"/>
        <w:ind w:firstLine="0"/>
        <w:jc w:val="left"/>
        <w:rPr>
          <w:rFonts w:hint="eastAsia" w:ascii="宋体" w:hAnsi="宋体" w:eastAsia="宋体" w:cs="宋体"/>
          <w:sz w:val="24"/>
          <w:szCs w:val="24"/>
          <w:u w:val="single"/>
        </w:rPr>
      </w:pPr>
      <w:r>
        <w:rPr>
          <w:rFonts w:hint="eastAsia" w:ascii="宋体" w:hAnsi="宋体" w:eastAsia="宋体" w:cs="宋体"/>
          <w:color w:val="000000"/>
          <w:sz w:val="24"/>
          <w:szCs w:val="24"/>
          <w:u w:val="single"/>
        </w:rPr>
        <w:t>（一）提交神木载委员会种裁，（二）依法向合同签订所在地人民法院起诉</w:t>
      </w:r>
    </w:p>
    <w:p>
      <w:pPr>
        <w:spacing w:line="360" w:lineRule="auto"/>
        <w:ind w:left="20" w:firstLine="0"/>
        <w:jc w:val="both"/>
        <w:rPr>
          <w:rFonts w:hint="eastAsia" w:ascii="宋体" w:hAnsi="宋体" w:eastAsia="宋体" w:cs="宋体"/>
          <w:sz w:val="24"/>
          <w:szCs w:val="24"/>
        </w:rPr>
      </w:pPr>
      <w:r>
        <w:rPr>
          <w:rFonts w:hint="eastAsia" w:ascii="宋体" w:hAnsi="宋体" w:eastAsia="宋体" w:cs="宋体"/>
          <w:color w:val="000000"/>
          <w:sz w:val="24"/>
          <w:szCs w:val="24"/>
        </w:rPr>
        <w:t>第十七条未尽事宜由双方协商签订补充技术协议，双方签字盖章之后作为本合同附件，附件与本合同具有同等法律效力，传真件有效。</w:t>
      </w:r>
    </w:p>
    <w:p>
      <w:pPr>
        <w:spacing w:after="100" w:line="360" w:lineRule="auto"/>
        <w:ind w:left="20" w:firstLine="0"/>
        <w:jc w:val="both"/>
        <w:rPr>
          <w:rFonts w:hint="eastAsia" w:ascii="宋体" w:hAnsi="宋体" w:eastAsia="宋体" w:cs="宋体"/>
          <w:color w:val="000000"/>
          <w:sz w:val="24"/>
          <w:szCs w:val="24"/>
          <w:u w:val="single"/>
        </w:rPr>
      </w:pPr>
      <w:r>
        <w:rPr>
          <w:rFonts w:hint="eastAsia" w:ascii="宋体" w:hAnsi="宋体" w:eastAsia="宋体" w:cs="宋体"/>
          <w:color w:val="000000"/>
          <w:sz w:val="24"/>
          <w:szCs w:val="24"/>
        </w:rPr>
        <w:t>第十八条其他约定事项：</w:t>
      </w:r>
      <w:r>
        <w:rPr>
          <w:rFonts w:hint="eastAsia" w:ascii="宋体" w:hAnsi="宋体" w:eastAsia="宋体" w:cs="宋体"/>
          <w:color w:val="000000"/>
          <w:sz w:val="24"/>
          <w:szCs w:val="24"/>
          <w:u w:val="single"/>
        </w:rPr>
        <w:t>以上价款含税，货到同时卖方开据全额增值税专用发票；特殊说明，为保障交货时间，双方协定，如果卖方单方面原因延期交货，将对卖方进行处罚，处罚方式为每延期一天将扣除合同总货款的1％。</w:t>
      </w:r>
    </w:p>
    <w:p>
      <w:pPr>
        <w:spacing w:after="100" w:line="600" w:lineRule="exact"/>
        <w:ind w:left="20" w:firstLine="0"/>
        <w:jc w:val="both"/>
        <w:rPr>
          <w:rFonts w:hint="eastAsia" w:ascii="宋体" w:hAnsi="宋体" w:eastAsia="宋体" w:cs="宋体"/>
          <w:color w:val="000000"/>
          <w:sz w:val="24"/>
          <w:szCs w:val="24"/>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545"/>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60" w:hRule="atLeast"/>
          <w:jc w:val="center"/>
        </w:trPr>
        <w:tc>
          <w:tcPr>
            <w:tcW w:w="4600" w:type="dxa"/>
          </w:tcPr>
          <w:p>
            <w:pPr>
              <w:spacing w:line="360" w:lineRule="auto"/>
              <w:jc w:val="center"/>
              <w:rPr>
                <w:rFonts w:hint="eastAsia"/>
                <w:sz w:val="24"/>
                <w:szCs w:val="22"/>
              </w:rPr>
            </w:pPr>
            <w:r>
              <w:rPr>
                <w:rFonts w:hint="eastAsia"/>
                <w:sz w:val="24"/>
                <w:szCs w:val="22"/>
              </w:rPr>
              <w:t>买方</w:t>
            </w:r>
          </w:p>
          <w:p>
            <w:pPr>
              <w:spacing w:line="360" w:lineRule="auto"/>
              <w:ind w:firstLine="240" w:firstLineChars="100"/>
              <w:jc w:val="left"/>
              <w:rPr>
                <w:rFonts w:hint="eastAsia"/>
                <w:sz w:val="24"/>
                <w:szCs w:val="22"/>
              </w:rPr>
            </w:pPr>
            <w:r>
              <w:rPr>
                <w:rFonts w:hint="eastAsia"/>
                <w:sz w:val="24"/>
                <w:szCs w:val="22"/>
              </w:rPr>
              <w:t>单位名称（章）：</w:t>
            </w:r>
          </w:p>
          <w:p>
            <w:pPr>
              <w:spacing w:line="360" w:lineRule="auto"/>
              <w:ind w:firstLine="240" w:firstLineChars="100"/>
              <w:jc w:val="left"/>
              <w:rPr>
                <w:rFonts w:hint="eastAsia"/>
                <w:sz w:val="24"/>
                <w:szCs w:val="22"/>
              </w:rPr>
            </w:pPr>
            <w:r>
              <w:rPr>
                <w:rFonts w:hint="eastAsia"/>
                <w:sz w:val="24"/>
                <w:szCs w:val="22"/>
              </w:rPr>
              <w:t>单位地址：</w:t>
            </w:r>
          </w:p>
          <w:p>
            <w:pPr>
              <w:spacing w:line="360" w:lineRule="auto"/>
              <w:ind w:firstLine="240" w:firstLineChars="100"/>
              <w:jc w:val="left"/>
              <w:rPr>
                <w:rFonts w:hint="eastAsia"/>
                <w:sz w:val="24"/>
                <w:szCs w:val="22"/>
              </w:rPr>
            </w:pPr>
            <w:r>
              <w:rPr>
                <w:rFonts w:hint="eastAsia"/>
                <w:sz w:val="24"/>
                <w:szCs w:val="22"/>
              </w:rPr>
              <w:t>法定代表人：</w:t>
            </w:r>
          </w:p>
          <w:p>
            <w:pPr>
              <w:spacing w:line="360" w:lineRule="auto"/>
              <w:ind w:firstLine="240" w:firstLineChars="100"/>
              <w:jc w:val="left"/>
              <w:rPr>
                <w:rFonts w:hint="eastAsia"/>
                <w:sz w:val="24"/>
                <w:szCs w:val="22"/>
              </w:rPr>
            </w:pPr>
            <w:r>
              <w:rPr>
                <w:rFonts w:hint="eastAsia"/>
                <w:sz w:val="24"/>
                <w:szCs w:val="22"/>
              </w:rPr>
              <w:t>委托代理人：</w:t>
            </w:r>
          </w:p>
          <w:p>
            <w:pPr>
              <w:spacing w:line="360" w:lineRule="auto"/>
              <w:ind w:firstLine="240" w:firstLineChars="100"/>
              <w:jc w:val="left"/>
              <w:rPr>
                <w:rFonts w:hint="eastAsia"/>
                <w:sz w:val="24"/>
                <w:szCs w:val="22"/>
              </w:rPr>
            </w:pPr>
            <w:r>
              <w:rPr>
                <w:rFonts w:hint="eastAsia"/>
                <w:sz w:val="24"/>
                <w:szCs w:val="22"/>
              </w:rPr>
              <w:t>电话：</w:t>
            </w:r>
          </w:p>
          <w:p>
            <w:pPr>
              <w:spacing w:line="360" w:lineRule="auto"/>
              <w:ind w:firstLine="240" w:firstLineChars="100"/>
              <w:jc w:val="left"/>
              <w:rPr>
                <w:rFonts w:hint="eastAsia"/>
                <w:sz w:val="24"/>
                <w:szCs w:val="22"/>
              </w:rPr>
            </w:pPr>
            <w:r>
              <w:rPr>
                <w:rFonts w:hint="eastAsia"/>
                <w:sz w:val="24"/>
                <w:szCs w:val="22"/>
              </w:rPr>
              <w:t>传真：</w:t>
            </w:r>
          </w:p>
          <w:p>
            <w:pPr>
              <w:spacing w:line="360" w:lineRule="auto"/>
              <w:ind w:firstLine="240" w:firstLineChars="100"/>
              <w:jc w:val="left"/>
              <w:rPr>
                <w:rFonts w:hint="eastAsia"/>
                <w:sz w:val="24"/>
                <w:szCs w:val="22"/>
              </w:rPr>
            </w:pPr>
            <w:r>
              <w:rPr>
                <w:rFonts w:hint="eastAsia"/>
                <w:sz w:val="24"/>
                <w:szCs w:val="22"/>
              </w:rPr>
              <w:t>开户银行：</w:t>
            </w:r>
          </w:p>
          <w:p>
            <w:pPr>
              <w:spacing w:line="360" w:lineRule="auto"/>
              <w:ind w:firstLine="240" w:firstLineChars="100"/>
              <w:jc w:val="left"/>
              <w:rPr>
                <w:rFonts w:hint="eastAsia"/>
                <w:sz w:val="24"/>
                <w:szCs w:val="22"/>
              </w:rPr>
            </w:pPr>
            <w:r>
              <w:rPr>
                <w:rFonts w:hint="eastAsia"/>
                <w:sz w:val="24"/>
                <w:szCs w:val="22"/>
              </w:rPr>
              <w:t>账号：</w:t>
            </w:r>
          </w:p>
          <w:p>
            <w:pPr>
              <w:spacing w:line="360" w:lineRule="auto"/>
              <w:ind w:firstLine="240" w:firstLineChars="100"/>
              <w:jc w:val="left"/>
              <w:rPr>
                <w:rFonts w:hint="eastAsia"/>
                <w:sz w:val="24"/>
                <w:szCs w:val="22"/>
              </w:rPr>
            </w:pPr>
            <w:r>
              <w:rPr>
                <w:rFonts w:hint="eastAsia"/>
                <w:sz w:val="24"/>
                <w:szCs w:val="22"/>
              </w:rPr>
              <w:t>税号：</w:t>
            </w:r>
          </w:p>
          <w:p>
            <w:pPr>
              <w:spacing w:line="360" w:lineRule="auto"/>
              <w:ind w:firstLine="240" w:firstLineChars="100"/>
              <w:jc w:val="left"/>
              <w:rPr>
                <w:rFonts w:hint="eastAsia"/>
                <w:sz w:val="24"/>
                <w:szCs w:val="22"/>
              </w:rPr>
            </w:pPr>
            <w:r>
              <w:rPr>
                <w:rFonts w:hint="eastAsia"/>
                <w:sz w:val="24"/>
                <w:szCs w:val="22"/>
              </w:rPr>
              <w:t>邮政编码：</w:t>
            </w:r>
          </w:p>
        </w:tc>
        <w:tc>
          <w:tcPr>
            <w:tcW w:w="4600" w:type="dxa"/>
          </w:tcPr>
          <w:p>
            <w:pPr>
              <w:spacing w:line="360" w:lineRule="auto"/>
              <w:jc w:val="center"/>
              <w:rPr>
                <w:rFonts w:hint="eastAsia"/>
                <w:sz w:val="24"/>
                <w:szCs w:val="22"/>
              </w:rPr>
            </w:pPr>
            <w:r>
              <w:rPr>
                <w:rFonts w:hint="eastAsia"/>
                <w:sz w:val="24"/>
                <w:szCs w:val="22"/>
              </w:rPr>
              <w:t>卖方</w:t>
            </w:r>
          </w:p>
          <w:p>
            <w:pPr>
              <w:spacing w:line="360" w:lineRule="auto"/>
              <w:ind w:firstLine="240" w:firstLineChars="100"/>
              <w:jc w:val="left"/>
              <w:rPr>
                <w:rFonts w:hint="eastAsia"/>
                <w:sz w:val="24"/>
                <w:szCs w:val="22"/>
              </w:rPr>
            </w:pPr>
            <w:r>
              <w:rPr>
                <w:rFonts w:hint="eastAsia"/>
                <w:sz w:val="24"/>
                <w:szCs w:val="22"/>
              </w:rPr>
              <w:t>单位名称（章）：</w:t>
            </w:r>
          </w:p>
          <w:p>
            <w:pPr>
              <w:spacing w:line="360" w:lineRule="auto"/>
              <w:ind w:firstLine="240" w:firstLineChars="100"/>
              <w:jc w:val="left"/>
              <w:rPr>
                <w:rFonts w:hint="eastAsia"/>
                <w:sz w:val="24"/>
                <w:szCs w:val="22"/>
              </w:rPr>
            </w:pPr>
            <w:r>
              <w:rPr>
                <w:rFonts w:hint="eastAsia"/>
                <w:sz w:val="24"/>
                <w:szCs w:val="22"/>
              </w:rPr>
              <w:t>单位地址：</w:t>
            </w:r>
          </w:p>
          <w:p>
            <w:pPr>
              <w:spacing w:line="360" w:lineRule="auto"/>
              <w:ind w:firstLine="240" w:firstLineChars="100"/>
              <w:jc w:val="left"/>
              <w:rPr>
                <w:rFonts w:hint="eastAsia"/>
                <w:sz w:val="24"/>
                <w:szCs w:val="22"/>
              </w:rPr>
            </w:pPr>
            <w:r>
              <w:rPr>
                <w:rFonts w:hint="eastAsia"/>
                <w:sz w:val="24"/>
                <w:szCs w:val="22"/>
              </w:rPr>
              <w:t>法定代表：</w:t>
            </w:r>
          </w:p>
          <w:p>
            <w:pPr>
              <w:spacing w:line="360" w:lineRule="auto"/>
              <w:ind w:firstLine="240" w:firstLineChars="100"/>
              <w:jc w:val="left"/>
              <w:rPr>
                <w:rFonts w:hint="eastAsia"/>
                <w:sz w:val="24"/>
                <w:szCs w:val="22"/>
              </w:rPr>
            </w:pPr>
            <w:r>
              <w:rPr>
                <w:rFonts w:hint="eastAsia"/>
                <w:sz w:val="24"/>
                <w:szCs w:val="22"/>
              </w:rPr>
              <w:t>委托代理人：</w:t>
            </w:r>
          </w:p>
          <w:p>
            <w:pPr>
              <w:spacing w:line="360" w:lineRule="auto"/>
              <w:ind w:firstLine="240" w:firstLineChars="100"/>
              <w:jc w:val="left"/>
              <w:rPr>
                <w:rFonts w:hint="eastAsia"/>
                <w:sz w:val="24"/>
                <w:szCs w:val="22"/>
              </w:rPr>
            </w:pPr>
            <w:r>
              <w:rPr>
                <w:rFonts w:hint="eastAsia"/>
                <w:sz w:val="24"/>
                <w:szCs w:val="22"/>
              </w:rPr>
              <w:t>电话：</w:t>
            </w:r>
          </w:p>
          <w:p>
            <w:pPr>
              <w:spacing w:line="360" w:lineRule="auto"/>
              <w:ind w:firstLine="240" w:firstLineChars="100"/>
              <w:jc w:val="left"/>
              <w:rPr>
                <w:rFonts w:hint="eastAsia"/>
                <w:sz w:val="24"/>
                <w:szCs w:val="22"/>
              </w:rPr>
            </w:pPr>
            <w:r>
              <w:rPr>
                <w:rFonts w:hint="eastAsia"/>
                <w:sz w:val="24"/>
                <w:szCs w:val="22"/>
              </w:rPr>
              <w:t>传真：</w:t>
            </w:r>
          </w:p>
          <w:p>
            <w:pPr>
              <w:spacing w:line="360" w:lineRule="auto"/>
              <w:ind w:firstLine="240" w:firstLineChars="100"/>
              <w:jc w:val="left"/>
              <w:rPr>
                <w:rFonts w:hint="eastAsia"/>
                <w:sz w:val="24"/>
                <w:szCs w:val="22"/>
              </w:rPr>
            </w:pPr>
            <w:r>
              <w:rPr>
                <w:rFonts w:hint="eastAsia"/>
                <w:sz w:val="24"/>
                <w:szCs w:val="22"/>
              </w:rPr>
              <w:t>开户银行：</w:t>
            </w:r>
          </w:p>
          <w:p>
            <w:pPr>
              <w:spacing w:line="360" w:lineRule="auto"/>
              <w:ind w:firstLine="240" w:firstLineChars="100"/>
              <w:jc w:val="left"/>
              <w:rPr>
                <w:rFonts w:hint="eastAsia"/>
                <w:sz w:val="24"/>
                <w:szCs w:val="22"/>
              </w:rPr>
            </w:pPr>
            <w:r>
              <w:rPr>
                <w:rFonts w:hint="eastAsia"/>
                <w:sz w:val="24"/>
                <w:szCs w:val="22"/>
              </w:rPr>
              <w:t>账号：</w:t>
            </w:r>
          </w:p>
          <w:p>
            <w:pPr>
              <w:spacing w:line="360" w:lineRule="auto"/>
              <w:ind w:firstLine="240" w:firstLineChars="100"/>
              <w:jc w:val="left"/>
              <w:rPr>
                <w:rFonts w:hint="eastAsia"/>
                <w:sz w:val="24"/>
                <w:szCs w:val="22"/>
              </w:rPr>
            </w:pPr>
            <w:r>
              <w:rPr>
                <w:rFonts w:hint="eastAsia"/>
                <w:sz w:val="24"/>
                <w:szCs w:val="22"/>
              </w:rPr>
              <w:t>税号：</w:t>
            </w:r>
          </w:p>
          <w:p>
            <w:pPr>
              <w:spacing w:line="360" w:lineRule="auto"/>
              <w:ind w:firstLine="240" w:firstLineChars="100"/>
              <w:jc w:val="left"/>
              <w:rPr>
                <w:rFonts w:hint="eastAsia"/>
                <w:sz w:val="24"/>
                <w:szCs w:val="22"/>
              </w:rPr>
            </w:pPr>
            <w:r>
              <w:rPr>
                <w:rFonts w:hint="eastAsia"/>
                <w:sz w:val="24"/>
                <w:szCs w:val="22"/>
              </w:rPr>
              <w:t>邮政编码：</w:t>
            </w:r>
          </w:p>
        </w:tc>
      </w:tr>
    </w:tbl>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spacing w:line="360" w:lineRule="auto"/>
        <w:jc w:val="center"/>
        <w:outlineLvl w:val="0"/>
        <w:rPr>
          <w:rFonts w:hint="eastAsia" w:ascii="宋体" w:hAnsi="宋体" w:cs="宋体"/>
          <w:b/>
          <w:kern w:val="44"/>
          <w:sz w:val="36"/>
          <w:szCs w:val="22"/>
        </w:rPr>
      </w:pPr>
    </w:p>
    <w:p>
      <w:pPr>
        <w:keepNext w:val="0"/>
        <w:keepLines w:val="0"/>
        <w:pageBreakBefore w:val="0"/>
        <w:kinsoku/>
        <w:wordWrap/>
        <w:overflowPunct/>
        <w:topLinePunct w:val="0"/>
        <w:bidi w:val="0"/>
        <w:spacing w:line="440" w:lineRule="exact"/>
        <w:jc w:val="center"/>
        <w:textAlignment w:val="auto"/>
        <w:outlineLvl w:val="0"/>
        <w:rPr>
          <w:rFonts w:hint="eastAsia" w:ascii="宋体" w:hAnsi="宋体" w:cs="宋体"/>
          <w:color w:val="000000"/>
          <w:sz w:val="32"/>
          <w:szCs w:val="32"/>
        </w:rPr>
      </w:pPr>
      <w:r>
        <w:rPr>
          <w:rFonts w:hint="eastAsia" w:ascii="宋体" w:hAnsi="宋体" w:cs="宋体"/>
          <w:b/>
          <w:kern w:val="44"/>
          <w:sz w:val="36"/>
          <w:szCs w:val="22"/>
        </w:rPr>
        <w:t xml:space="preserve">第五部分   </w:t>
      </w:r>
      <w:bookmarkEnd w:id="291"/>
      <w:bookmarkEnd w:id="292"/>
      <w:bookmarkEnd w:id="293"/>
      <w:bookmarkEnd w:id="294"/>
      <w:bookmarkEnd w:id="295"/>
      <w:bookmarkEnd w:id="296"/>
      <w:bookmarkEnd w:id="297"/>
      <w:bookmarkEnd w:id="298"/>
      <w:bookmarkEnd w:id="299"/>
      <w:bookmarkEnd w:id="300"/>
      <w:bookmarkEnd w:id="302"/>
      <w:bookmarkStart w:id="303" w:name="_Toc465958129"/>
      <w:bookmarkStart w:id="304" w:name="_Toc246928961"/>
      <w:bookmarkStart w:id="305" w:name="_Toc246928962"/>
      <w:bookmarkStart w:id="306" w:name="_Toc128557264"/>
      <w:bookmarkStart w:id="307" w:name="_Toc389620244"/>
      <w:bookmarkStart w:id="308" w:name="_Toc497711589"/>
      <w:bookmarkStart w:id="309" w:name="_Toc497551824"/>
      <w:bookmarkStart w:id="310" w:name="_Toc385992404"/>
      <w:bookmarkStart w:id="311" w:name="_Toc497712137"/>
      <w:bookmarkStart w:id="312" w:name="_Toc497546922"/>
      <w:bookmarkStart w:id="313" w:name="_Toc492955463"/>
      <w:r>
        <w:rPr>
          <w:rFonts w:hint="eastAsia" w:ascii="宋体" w:hAnsi="宋体" w:cs="宋体"/>
          <w:b/>
          <w:kern w:val="44"/>
          <w:sz w:val="36"/>
          <w:szCs w:val="22"/>
          <w:lang w:eastAsia="zh-CN"/>
        </w:rPr>
        <w:t>采购内容及清单</w:t>
      </w:r>
    </w:p>
    <w:p>
      <w:pPr>
        <w:keepNext w:val="0"/>
        <w:keepLines w:val="0"/>
        <w:pageBreakBefore w:val="0"/>
        <w:kinsoku/>
        <w:wordWrap/>
        <w:overflowPunct/>
        <w:topLinePunct w:val="0"/>
        <w:bidi w:val="0"/>
        <w:spacing w:line="440" w:lineRule="exact"/>
        <w:textAlignment w:val="auto"/>
        <w:rPr>
          <w:rFonts w:hint="default" w:ascii="宋体" w:hAnsi="宋体" w:eastAsia="宋体"/>
          <w:b/>
          <w:sz w:val="24"/>
          <w:lang w:val="en-US" w:eastAsia="zh-CN"/>
        </w:rPr>
      </w:pPr>
      <w:r>
        <w:rPr>
          <w:rFonts w:hint="eastAsia" w:ascii="宋体" w:hAnsi="宋体"/>
          <w:b/>
          <w:sz w:val="24"/>
          <w:lang w:val="en-US" w:eastAsia="zh-CN"/>
        </w:rPr>
        <w:t>一、概述</w:t>
      </w:r>
    </w:p>
    <w:p>
      <w:pPr>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rPr>
      </w:pPr>
      <w:r>
        <w:rPr>
          <w:rFonts w:hint="eastAsia" w:ascii="宋体" w:hAnsi="宋体"/>
          <w:sz w:val="24"/>
          <w:lang w:val="en-US" w:eastAsia="zh-CN"/>
        </w:rPr>
        <w:t>3</w:t>
      </w:r>
      <w:r>
        <w:rPr>
          <w:rFonts w:ascii="宋体" w:hAnsi="宋体"/>
          <w:sz w:val="24"/>
        </w:rPr>
        <w:t>m</w:t>
      </w:r>
      <w:r>
        <w:rPr>
          <w:rFonts w:ascii="宋体" w:hAnsi="宋体"/>
          <w:sz w:val="24"/>
          <w:vertAlign w:val="superscript"/>
        </w:rPr>
        <w:t>3</w:t>
      </w:r>
      <w:r>
        <w:rPr>
          <w:rFonts w:hint="eastAsia" w:ascii="宋体" w:hAnsi="宋体"/>
          <w:sz w:val="24"/>
        </w:rPr>
        <w:t>垃圾收集箱，是一种新型的垃圾转运车箱，它与</w:t>
      </w:r>
      <w:r>
        <w:rPr>
          <w:rFonts w:hint="eastAsia" w:ascii="宋体" w:hAnsi="宋体" w:cs="Times New Roman"/>
          <w:sz w:val="24"/>
          <w:lang w:val="en-US" w:eastAsia="zh-CN"/>
        </w:rPr>
        <w:t>小型拉臂可卸式</w:t>
      </w:r>
      <w:r>
        <w:rPr>
          <w:rFonts w:hint="eastAsia" w:ascii="宋体" w:hAnsi="宋体"/>
          <w:sz w:val="24"/>
        </w:rPr>
        <w:t>垃圾</w:t>
      </w:r>
      <w:r>
        <w:rPr>
          <w:rFonts w:hint="eastAsia" w:ascii="宋体" w:hAnsi="宋体"/>
          <w:sz w:val="24"/>
          <w:lang w:val="en-US" w:eastAsia="zh-CN"/>
        </w:rPr>
        <w:t>车</w:t>
      </w:r>
      <w:r>
        <w:rPr>
          <w:rFonts w:hint="eastAsia" w:ascii="宋体" w:hAnsi="宋体"/>
          <w:sz w:val="24"/>
        </w:rPr>
        <w:t>配套使用。可卸式垃圾箱通过拉臂钩的整体装卸方式，可以与车体分离。垃圾箱装满垃圾后，由</w:t>
      </w:r>
      <w:r>
        <w:rPr>
          <w:rFonts w:hint="eastAsia" w:ascii="宋体" w:hAnsi="宋体" w:cs="Times New Roman"/>
          <w:sz w:val="24"/>
          <w:lang w:val="en-US" w:eastAsia="zh-CN"/>
        </w:rPr>
        <w:t>小型拉臂可卸式</w:t>
      </w:r>
      <w:r>
        <w:rPr>
          <w:rFonts w:hint="eastAsia" w:ascii="宋体" w:hAnsi="宋体"/>
          <w:sz w:val="24"/>
        </w:rPr>
        <w:t>垃圾</w:t>
      </w:r>
      <w:r>
        <w:rPr>
          <w:rFonts w:hint="eastAsia" w:ascii="宋体" w:hAnsi="宋体"/>
          <w:sz w:val="24"/>
          <w:lang w:val="en-US" w:eastAsia="zh-CN"/>
        </w:rPr>
        <w:t>车</w:t>
      </w:r>
      <w:r>
        <w:rPr>
          <w:rFonts w:hint="eastAsia" w:ascii="宋体" w:hAnsi="宋体"/>
          <w:sz w:val="24"/>
        </w:rPr>
        <w:t>运往转运站或垃圾处理场倾倒。投料门位于箱体总成两侧，左右各两个，它是生活垃圾进料的通道；而后门是倾倒垃圾的通道。</w:t>
      </w:r>
    </w:p>
    <w:p>
      <w:pPr>
        <w:keepNext w:val="0"/>
        <w:keepLines w:val="0"/>
        <w:pageBreakBefore w:val="0"/>
        <w:kinsoku/>
        <w:wordWrap/>
        <w:overflowPunct/>
        <w:topLinePunct w:val="0"/>
        <w:bidi w:val="0"/>
        <w:spacing w:line="440" w:lineRule="exact"/>
        <w:ind w:firstLine="360" w:firstLineChars="150"/>
        <w:textAlignment w:val="auto"/>
        <w:rPr>
          <w:rFonts w:hint="eastAsia"/>
          <w:lang w:val="en-US" w:eastAsia="zh-CN"/>
        </w:rPr>
      </w:pPr>
      <w:r>
        <w:rPr>
          <w:rFonts w:hint="eastAsia" w:ascii="宋体" w:hAnsi="宋体"/>
          <w:sz w:val="24"/>
        </w:rPr>
        <w:t>用于露天场所定点收集垃圾，投料口布置应方便合理；与</w:t>
      </w:r>
      <w:r>
        <w:rPr>
          <w:rFonts w:hint="eastAsia" w:ascii="宋体" w:hAnsi="宋体" w:cs="Times New Roman"/>
          <w:sz w:val="24"/>
          <w:lang w:val="en-US" w:eastAsia="zh-CN"/>
        </w:rPr>
        <w:t>小型拉臂可卸式</w:t>
      </w:r>
      <w:r>
        <w:rPr>
          <w:rFonts w:hint="eastAsia" w:ascii="宋体" w:hAnsi="宋体"/>
          <w:sz w:val="24"/>
        </w:rPr>
        <w:t>垃圾</w:t>
      </w:r>
      <w:r>
        <w:rPr>
          <w:rFonts w:hint="eastAsia" w:ascii="宋体" w:hAnsi="宋体"/>
          <w:sz w:val="24"/>
          <w:lang w:val="en-US" w:eastAsia="zh-CN"/>
        </w:rPr>
        <w:t>车</w:t>
      </w:r>
      <w:r>
        <w:rPr>
          <w:rFonts w:hint="eastAsia" w:ascii="宋体" w:hAnsi="宋体"/>
          <w:sz w:val="24"/>
        </w:rPr>
        <w:t>配套使用，并确保倾卸后，箱体内无残留垃圾。</w:t>
      </w:r>
    </w:p>
    <w:p>
      <w:pPr>
        <w:keepNext w:val="0"/>
        <w:keepLines w:val="0"/>
        <w:pageBreakBefore w:val="0"/>
        <w:kinsoku/>
        <w:wordWrap/>
        <w:overflowPunct/>
        <w:topLinePunct w:val="0"/>
        <w:bidi w:val="0"/>
        <w:spacing w:line="440" w:lineRule="exact"/>
        <w:jc w:val="left"/>
        <w:textAlignment w:val="auto"/>
        <w:rPr>
          <w:rFonts w:hint="eastAsia" w:ascii="宋体" w:hAnsi="宋体" w:cs="Times New Roman"/>
          <w:b/>
          <w:bCs/>
          <w:sz w:val="24"/>
        </w:rPr>
      </w:pPr>
      <w:r>
        <w:rPr>
          <w:rFonts w:hint="eastAsia" w:ascii="宋体" w:hAnsi="宋体" w:cs="Times New Roman"/>
          <w:b/>
          <w:bCs/>
          <w:sz w:val="24"/>
          <w:lang w:val="en-US" w:eastAsia="zh-CN"/>
        </w:rPr>
        <w:t>二、</w:t>
      </w:r>
      <w:r>
        <w:rPr>
          <w:rFonts w:hint="eastAsia" w:ascii="宋体" w:hAnsi="宋体" w:cs="Times New Roman"/>
          <w:b/>
          <w:bCs/>
          <w:sz w:val="24"/>
        </w:rPr>
        <w:t>主要参数</w:t>
      </w:r>
    </w:p>
    <w:p>
      <w:pPr>
        <w:keepNext w:val="0"/>
        <w:keepLines w:val="0"/>
        <w:pageBreakBefore w:val="0"/>
        <w:kinsoku/>
        <w:wordWrap/>
        <w:overflowPunct/>
        <w:topLinePunct w:val="0"/>
        <w:bidi w:val="0"/>
        <w:spacing w:line="440" w:lineRule="exact"/>
        <w:ind w:firstLine="360" w:firstLineChars="150"/>
        <w:textAlignment w:val="auto"/>
        <w:rPr>
          <w:rFonts w:hint="eastAsia" w:ascii="宋体" w:hAnsi="宋体" w:cs="Times New Roman"/>
          <w:sz w:val="24"/>
          <w:lang w:val="en-US" w:eastAsia="zh-CN"/>
        </w:rPr>
      </w:pPr>
      <w:r>
        <w:rPr>
          <w:rFonts w:hint="eastAsia" w:ascii="宋体" w:hAnsi="宋体" w:cs="Times New Roman"/>
          <w:sz w:val="24"/>
          <w:lang w:val="en-US" w:eastAsia="zh-CN"/>
        </w:rPr>
        <w:t>1、箱体容积3立方，重量280公斤。</w:t>
      </w:r>
    </w:p>
    <w:p>
      <w:pPr>
        <w:keepNext w:val="0"/>
        <w:keepLines w:val="0"/>
        <w:pageBreakBefore w:val="0"/>
        <w:kinsoku/>
        <w:wordWrap/>
        <w:overflowPunct/>
        <w:topLinePunct w:val="0"/>
        <w:bidi w:val="0"/>
        <w:spacing w:line="440" w:lineRule="exact"/>
        <w:ind w:firstLine="360" w:firstLineChars="150"/>
        <w:textAlignment w:val="auto"/>
        <w:rPr>
          <w:rFonts w:hint="eastAsia" w:ascii="宋体" w:hAnsi="宋体" w:cs="Times New Roman"/>
          <w:sz w:val="24"/>
          <w:lang w:val="en-US" w:eastAsia="zh-CN"/>
        </w:rPr>
      </w:pPr>
      <w:r>
        <w:rPr>
          <w:rFonts w:hint="eastAsia" w:ascii="宋体" w:hAnsi="宋体" w:cs="Times New Roman"/>
          <w:sz w:val="24"/>
          <w:lang w:val="en-US" w:eastAsia="zh-CN"/>
        </w:rPr>
        <w:t>3、外形尺寸(长×宽×高）：2200mm×1450mm×1150mm。</w:t>
      </w:r>
    </w:p>
    <w:p>
      <w:pPr>
        <w:keepNext w:val="0"/>
        <w:keepLines w:val="0"/>
        <w:pageBreakBefore w:val="0"/>
        <w:kinsoku/>
        <w:wordWrap/>
        <w:overflowPunct/>
        <w:topLinePunct w:val="0"/>
        <w:bidi w:val="0"/>
        <w:spacing w:line="440" w:lineRule="exact"/>
        <w:ind w:firstLine="360" w:firstLineChars="150"/>
        <w:textAlignment w:val="auto"/>
        <w:rPr>
          <w:rFonts w:hint="eastAsia" w:ascii="宋体" w:hAnsi="宋体" w:cs="Times New Roman"/>
          <w:sz w:val="24"/>
          <w:lang w:val="en-US" w:eastAsia="zh-CN"/>
        </w:rPr>
      </w:pPr>
      <w:r>
        <w:rPr>
          <w:rFonts w:hint="eastAsia" w:ascii="宋体" w:hAnsi="宋体" w:cs="Times New Roman"/>
          <w:sz w:val="24"/>
          <w:lang w:val="en-US" w:eastAsia="zh-CN"/>
        </w:rPr>
        <w:t>4、为方便投料，箱体两侧各设有2个投料口，投料口尺寸：100mm×440mm，开门设有双拉杆装置。</w:t>
      </w:r>
    </w:p>
    <w:p>
      <w:pPr>
        <w:keepNext w:val="0"/>
        <w:keepLines w:val="0"/>
        <w:pageBreakBefore w:val="0"/>
        <w:kinsoku/>
        <w:wordWrap/>
        <w:overflowPunct/>
        <w:topLinePunct w:val="0"/>
        <w:bidi w:val="0"/>
        <w:spacing w:line="440" w:lineRule="exact"/>
        <w:ind w:firstLine="360" w:firstLineChars="150"/>
        <w:textAlignment w:val="auto"/>
        <w:rPr>
          <w:rFonts w:hint="eastAsia" w:ascii="宋体" w:hAnsi="宋体" w:cs="Times New Roman"/>
          <w:sz w:val="24"/>
          <w:lang w:val="en-US" w:eastAsia="zh-CN"/>
        </w:rPr>
      </w:pPr>
      <w:r>
        <w:rPr>
          <w:rFonts w:hint="eastAsia" w:ascii="宋体" w:hAnsi="宋体" w:cs="Times New Roman"/>
          <w:sz w:val="24"/>
          <w:lang w:val="en-US" w:eastAsia="zh-CN"/>
        </w:rPr>
        <w:t>5、箱体底部大梁、前梁采用120×50mm厚度为3mm的矩形管，底部横梁、后门采用50×30mm厚度≥2.5mm矩形管，箱体侧面、上部竖梁采用50×30mm，厚度2mm的矩形管，箱体整体板材采用厚度≥2mm。</w:t>
      </w:r>
    </w:p>
    <w:p>
      <w:pPr>
        <w:keepNext w:val="0"/>
        <w:keepLines w:val="0"/>
        <w:pageBreakBefore w:val="0"/>
        <w:kinsoku/>
        <w:wordWrap/>
        <w:overflowPunct/>
        <w:topLinePunct w:val="0"/>
        <w:bidi w:val="0"/>
        <w:spacing w:line="440" w:lineRule="exact"/>
        <w:ind w:firstLine="360" w:firstLineChars="150"/>
        <w:textAlignment w:val="auto"/>
        <w:rPr>
          <w:rFonts w:hint="eastAsia" w:ascii="宋体" w:hAnsi="宋体" w:cs="Times New Roman"/>
          <w:sz w:val="24"/>
          <w:lang w:val="en-US" w:eastAsia="zh-CN"/>
        </w:rPr>
      </w:pPr>
      <w:r>
        <w:rPr>
          <w:rFonts w:hint="eastAsia" w:ascii="宋体" w:hAnsi="宋体" w:cs="Times New Roman"/>
          <w:sz w:val="24"/>
          <w:lang w:val="en-US" w:eastAsia="zh-CN"/>
        </w:rPr>
        <w:t>6、后门锁紧采用可调镀锌拉动式机械锁紧装置，方便可靠。</w:t>
      </w:r>
    </w:p>
    <w:p>
      <w:pPr>
        <w:keepNext w:val="0"/>
        <w:keepLines w:val="0"/>
        <w:pageBreakBefore w:val="0"/>
        <w:kinsoku/>
        <w:wordWrap/>
        <w:overflowPunct/>
        <w:topLinePunct w:val="0"/>
        <w:bidi w:val="0"/>
        <w:spacing w:line="440" w:lineRule="exact"/>
        <w:ind w:firstLine="360" w:firstLineChars="150"/>
        <w:textAlignment w:val="auto"/>
        <w:rPr>
          <w:rFonts w:hint="eastAsia" w:ascii="宋体" w:hAnsi="宋体" w:cs="Times New Roman"/>
          <w:sz w:val="24"/>
          <w:lang w:val="en-US" w:eastAsia="zh-CN"/>
        </w:rPr>
      </w:pPr>
      <w:r>
        <w:rPr>
          <w:rFonts w:hint="eastAsia" w:ascii="宋体" w:hAnsi="宋体" w:cs="Times New Roman"/>
          <w:sz w:val="24"/>
          <w:lang w:val="en-US" w:eastAsia="zh-CN"/>
        </w:rPr>
        <w:t>7、为方便移动，箱体底部设有两个行走轮。</w:t>
      </w:r>
    </w:p>
    <w:p>
      <w:pPr>
        <w:keepNext w:val="0"/>
        <w:keepLines w:val="0"/>
        <w:pageBreakBefore w:val="0"/>
        <w:kinsoku/>
        <w:wordWrap/>
        <w:overflowPunct/>
        <w:topLinePunct w:val="0"/>
        <w:bidi w:val="0"/>
        <w:spacing w:line="440" w:lineRule="exact"/>
        <w:ind w:firstLine="360" w:firstLineChars="150"/>
        <w:textAlignment w:val="auto"/>
        <w:rPr>
          <w:rFonts w:hint="eastAsia" w:ascii="宋体" w:hAnsi="宋体" w:cs="宋体"/>
          <w:color w:val="000000"/>
          <w:sz w:val="32"/>
          <w:szCs w:val="32"/>
        </w:rPr>
      </w:pPr>
      <w:r>
        <w:rPr>
          <w:rFonts w:hint="eastAsia" w:ascii="宋体" w:hAnsi="宋体" w:cs="Times New Roman"/>
          <w:sz w:val="24"/>
          <w:lang w:val="en-US" w:eastAsia="zh-CN"/>
        </w:rPr>
        <w:t>8、箱体表面喷涂采用国内知名品牌油漆，内壁喷涂防锈漆，外部喷涂美观大方，并印制相关标识及相关宣传标语。</w:t>
      </w:r>
      <w:r>
        <w:rPr>
          <w:rFonts w:hint="eastAsia" w:ascii="宋体" w:hAnsi="宋体" w:cs="宋体"/>
          <w:color w:val="000000"/>
          <w:sz w:val="32"/>
          <w:szCs w:val="32"/>
          <w:lang w:val="en-US" w:eastAsia="zh-CN"/>
        </w:rPr>
        <w:t xml:space="preserve">                      </w:t>
      </w:r>
    </w:p>
    <w:p>
      <w:pPr>
        <w:keepNext w:val="0"/>
        <w:keepLines w:val="0"/>
        <w:pageBreakBefore w:val="0"/>
        <w:widowControl/>
        <w:suppressLineNumbers w:val="0"/>
        <w:kinsoku/>
        <w:wordWrap/>
        <w:overflowPunct/>
        <w:topLinePunct w:val="0"/>
        <w:bidi w:val="0"/>
        <w:spacing w:line="440" w:lineRule="exact"/>
        <w:jc w:val="left"/>
        <w:textAlignment w:val="auto"/>
        <w:rPr>
          <w:rFonts w:hint="eastAsia" w:ascii="宋体" w:hAnsi="宋体" w:eastAsia="宋体" w:cs="宋体"/>
          <w:b/>
          <w:color w:val="000000"/>
          <w:kern w:val="44"/>
          <w:sz w:val="28"/>
          <w:szCs w:val="28"/>
          <w:lang w:val="en-US" w:eastAsia="zh-CN" w:bidi="ar-SA"/>
        </w:rPr>
      </w:pPr>
      <w:r>
        <w:rPr>
          <w:rFonts w:hint="eastAsia" w:ascii="宋体" w:hAnsi="宋体" w:cs="宋体"/>
          <w:b/>
          <w:color w:val="000000"/>
          <w:kern w:val="44"/>
          <w:sz w:val="28"/>
          <w:szCs w:val="28"/>
          <w:lang w:val="en-US" w:eastAsia="zh-CN" w:bidi="ar-SA"/>
        </w:rPr>
        <w:t>三</w:t>
      </w:r>
      <w:r>
        <w:rPr>
          <w:rFonts w:hint="eastAsia" w:ascii="宋体" w:hAnsi="宋体" w:eastAsia="宋体" w:cs="宋体"/>
          <w:b/>
          <w:color w:val="000000"/>
          <w:kern w:val="44"/>
          <w:sz w:val="28"/>
          <w:szCs w:val="28"/>
          <w:lang w:val="en-US" w:eastAsia="zh-CN" w:bidi="ar-SA"/>
        </w:rPr>
        <w:t>、其他要求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1、供应商须提供所投主要产品的供货来源渠道合法的证明材料。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证明货物（产品）符合谈判文件规定相关文件，可以是文字资料、图纸、数据、宣传彩页等，所有证明文件，表达意思必须统一，如出现前后矛盾、厂家技术资料、检测报告、样品技术指标等不一致等情况将作为无效投标处理。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3、运输：成交单位负责所有垃圾桶的运输。确保垃圾桶安全、完整到达使用地点，税费、运杂费用包含在总价内，包括产品从供货地点到使用地点的运输费、保险费、搬运费等一切费用。 </w:t>
      </w:r>
    </w:p>
    <w:p>
      <w:pPr>
        <w:pStyle w:val="2"/>
        <w:keepNext w:val="0"/>
        <w:keepLines w:val="0"/>
        <w:pageBreakBefore w:val="0"/>
        <w:kinsoku/>
        <w:wordWrap/>
        <w:overflowPunct/>
        <w:topLinePunct w:val="0"/>
        <w:bidi w:val="0"/>
        <w:spacing w:line="440" w:lineRule="exact"/>
        <w:textAlignment w:val="auto"/>
        <w:rPr>
          <w:rFonts w:hint="default"/>
          <w:lang w:val="en-US"/>
        </w:rPr>
      </w:pPr>
      <w:r>
        <w:rPr>
          <w:rFonts w:hint="eastAsia" w:eastAsia="宋体" w:cs="宋体"/>
          <w:sz w:val="24"/>
          <w:szCs w:val="24"/>
          <w:lang w:val="en-US" w:eastAsia="zh-CN"/>
        </w:rPr>
        <w:t>4、质保期：一年。</w:t>
      </w:r>
    </w:p>
    <w:p>
      <w:pPr>
        <w:pStyle w:val="4"/>
        <w:spacing w:line="360" w:lineRule="auto"/>
        <w:jc w:val="center"/>
        <w:rPr>
          <w:rFonts w:hint="eastAsia" w:ascii="宋体" w:hAnsi="宋体" w:eastAsia="宋体" w:cs="宋体"/>
          <w:color w:val="000000"/>
          <w:sz w:val="24"/>
          <w:szCs w:val="24"/>
          <w:lang w:eastAsia="zh-CN"/>
        </w:rPr>
      </w:pPr>
    </w:p>
    <w:p>
      <w:pPr>
        <w:spacing w:line="360" w:lineRule="auto"/>
        <w:rPr>
          <w:sz w:val="24"/>
          <w:szCs w:val="24"/>
        </w:rPr>
        <w:sectPr>
          <w:footerReference r:id="rId14" w:type="default"/>
          <w:footnotePr>
            <w:pos w:val="beneathText"/>
          </w:footnotePr>
          <w:pgSz w:w="11906" w:h="16838"/>
          <w:pgMar w:top="1701" w:right="1418" w:bottom="1701" w:left="1418" w:header="1091" w:footer="992" w:gutter="0"/>
          <w:pgNumType w:fmt="decimal"/>
          <w:cols w:space="720" w:num="1"/>
          <w:titlePg/>
          <w:docGrid w:type="lines" w:linePitch="312" w:charSpace="0"/>
        </w:sectPr>
      </w:pPr>
    </w:p>
    <w:p>
      <w:pPr>
        <w:pStyle w:val="4"/>
        <w:spacing w:line="240" w:lineRule="auto"/>
        <w:jc w:val="center"/>
        <w:rPr>
          <w:rFonts w:ascii="宋体" w:hAnsi="宋体" w:cs="宋体"/>
          <w:bCs/>
          <w:sz w:val="24"/>
          <w:szCs w:val="24"/>
        </w:rPr>
      </w:pPr>
      <w:bookmarkStart w:id="314" w:name="_Toc28145"/>
      <w:r>
        <w:rPr>
          <w:rFonts w:hint="eastAsia" w:ascii="宋体" w:hAnsi="宋体" w:cs="宋体"/>
          <w:sz w:val="36"/>
          <w:szCs w:val="22"/>
        </w:rPr>
        <w:t>第</w:t>
      </w:r>
      <w:r>
        <w:rPr>
          <w:rFonts w:hint="eastAsia" w:ascii="宋体" w:hAnsi="宋体" w:cs="宋体"/>
          <w:sz w:val="36"/>
          <w:szCs w:val="22"/>
          <w:lang w:eastAsia="zh-CN"/>
        </w:rPr>
        <w:t>六</w:t>
      </w:r>
      <w:r>
        <w:rPr>
          <w:rFonts w:hint="eastAsia" w:ascii="宋体" w:hAnsi="宋体" w:cs="宋体"/>
          <w:sz w:val="36"/>
          <w:szCs w:val="22"/>
        </w:rPr>
        <w:t>部分 评审方法</w:t>
      </w:r>
      <w:bookmarkEnd w:id="314"/>
    </w:p>
    <w:p>
      <w:pPr>
        <w:spacing w:line="360" w:lineRule="auto"/>
        <w:rPr>
          <w:rFonts w:ascii="宋体" w:hAnsi="宋体" w:cs="宋体"/>
          <w:b/>
          <w:bCs/>
          <w:sz w:val="24"/>
          <w:szCs w:val="24"/>
        </w:rPr>
      </w:pPr>
      <w:r>
        <w:rPr>
          <w:rFonts w:hint="eastAsia" w:ascii="宋体" w:hAnsi="宋体" w:cs="宋体"/>
          <w:b/>
          <w:bCs/>
          <w:sz w:val="24"/>
          <w:szCs w:val="24"/>
        </w:rPr>
        <w:t>一、评审方法</w:t>
      </w:r>
    </w:p>
    <w:p>
      <w:pPr>
        <w:spacing w:line="360" w:lineRule="auto"/>
        <w:ind w:firstLine="480" w:firstLineChars="200"/>
        <w:rPr>
          <w:rFonts w:ascii="宋体" w:hAnsi="宋体" w:cs="宋体"/>
          <w:sz w:val="24"/>
          <w:szCs w:val="24"/>
        </w:rPr>
      </w:pPr>
      <w:r>
        <w:rPr>
          <w:rFonts w:hint="eastAsia" w:ascii="宋体" w:hAnsi="宋体" w:cs="宋体"/>
          <w:sz w:val="24"/>
          <w:szCs w:val="24"/>
        </w:rPr>
        <w:t>按照中华人民共和国财政部令第 74 号--《政府采购非招标采购方式管理办法》</w:t>
      </w:r>
    </w:p>
    <w:p>
      <w:pPr>
        <w:spacing w:line="360" w:lineRule="auto"/>
        <w:rPr>
          <w:rFonts w:ascii="宋体" w:hAnsi="宋体" w:cs="宋体"/>
          <w:sz w:val="24"/>
          <w:szCs w:val="24"/>
        </w:rPr>
      </w:pPr>
      <w:r>
        <w:rPr>
          <w:rFonts w:hint="eastAsia" w:ascii="宋体" w:hAnsi="宋体" w:cs="宋体"/>
          <w:sz w:val="24"/>
          <w:szCs w:val="24"/>
        </w:rPr>
        <w:t>的规定，本次评审采用最低评标价法，即质量和服务均能满足谈判文件要求的供应</w:t>
      </w:r>
    </w:p>
    <w:p>
      <w:pPr>
        <w:spacing w:line="360" w:lineRule="auto"/>
        <w:rPr>
          <w:rFonts w:ascii="宋体" w:hAnsi="宋体" w:cs="宋体"/>
          <w:sz w:val="24"/>
          <w:szCs w:val="24"/>
        </w:rPr>
      </w:pPr>
      <w:r>
        <w:rPr>
          <w:rFonts w:hint="eastAsia" w:ascii="宋体" w:hAnsi="宋体" w:cs="宋体"/>
          <w:sz w:val="24"/>
          <w:szCs w:val="24"/>
        </w:rPr>
        <w:t>商中，按照最后报价由低到高的顺序依次排序，推荐成交候选人。</w:t>
      </w:r>
    </w:p>
    <w:p>
      <w:pPr>
        <w:spacing w:line="360" w:lineRule="auto"/>
        <w:rPr>
          <w:rFonts w:ascii="宋体" w:hAnsi="宋体" w:cs="宋体"/>
          <w:b/>
          <w:bCs/>
          <w:sz w:val="24"/>
          <w:szCs w:val="24"/>
        </w:rPr>
      </w:pPr>
      <w:r>
        <w:rPr>
          <w:rFonts w:hint="eastAsia" w:ascii="宋体" w:hAnsi="宋体" w:cs="宋体"/>
          <w:b/>
          <w:bCs/>
          <w:sz w:val="24"/>
          <w:szCs w:val="24"/>
        </w:rPr>
        <w:t>二、评审程序</w:t>
      </w:r>
    </w:p>
    <w:p>
      <w:pPr>
        <w:spacing w:line="360" w:lineRule="auto"/>
        <w:ind w:firstLine="480" w:firstLineChars="200"/>
        <w:rPr>
          <w:rFonts w:ascii="宋体" w:hAnsi="宋体" w:cs="宋体"/>
          <w:sz w:val="24"/>
          <w:szCs w:val="24"/>
        </w:rPr>
      </w:pPr>
      <w:r>
        <w:rPr>
          <w:rFonts w:hint="eastAsia" w:ascii="宋体" w:hAnsi="宋体" w:cs="宋体"/>
          <w:sz w:val="24"/>
          <w:szCs w:val="24"/>
        </w:rPr>
        <w:t>按照资格审查、符合性审查、谈判最终报价推荐成交候选单位等步骤进行评审，</w:t>
      </w:r>
    </w:p>
    <w:p>
      <w:pPr>
        <w:spacing w:line="360" w:lineRule="auto"/>
        <w:rPr>
          <w:rFonts w:ascii="宋体" w:hAnsi="宋体" w:cs="宋体"/>
          <w:sz w:val="24"/>
          <w:szCs w:val="24"/>
        </w:rPr>
      </w:pPr>
      <w:r>
        <w:rPr>
          <w:rFonts w:hint="eastAsia" w:ascii="宋体" w:hAnsi="宋体" w:cs="宋体"/>
          <w:sz w:val="24"/>
          <w:szCs w:val="24"/>
        </w:rPr>
        <w:t>资格性审查由采购人和代理机构共同审查，符合性审查由谈判小组审查。在上一步评审中被废标者，不进入下一步的评审。</w:t>
      </w:r>
    </w:p>
    <w:p>
      <w:pPr>
        <w:spacing w:line="360" w:lineRule="auto"/>
        <w:rPr>
          <w:rFonts w:ascii="宋体" w:hAnsi="宋体" w:cs="宋体"/>
          <w:sz w:val="24"/>
          <w:szCs w:val="24"/>
        </w:rPr>
      </w:pPr>
      <w:r>
        <w:rPr>
          <w:rFonts w:hint="eastAsia" w:ascii="宋体" w:hAnsi="宋体" w:cs="宋体"/>
          <w:sz w:val="24"/>
          <w:szCs w:val="24"/>
        </w:rPr>
        <w:t>1、对竞争性谈判响应文件的符合性审查：</w:t>
      </w:r>
    </w:p>
    <w:p>
      <w:pPr>
        <w:spacing w:line="360" w:lineRule="auto"/>
        <w:rPr>
          <w:rFonts w:ascii="宋体" w:hAnsi="宋体" w:cs="宋体"/>
          <w:sz w:val="24"/>
          <w:szCs w:val="24"/>
        </w:rPr>
      </w:pPr>
      <w:r>
        <w:rPr>
          <w:rFonts w:hint="eastAsia" w:ascii="宋体" w:hAnsi="宋体" w:cs="宋体"/>
          <w:sz w:val="24"/>
          <w:szCs w:val="24"/>
        </w:rPr>
        <w:t>按照以下内容对竞争性谈判响应文件符合性审查，一项不合格其投标即为无效投标。</w:t>
      </w:r>
    </w:p>
    <w:tbl>
      <w:tblPr>
        <w:tblStyle w:val="2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973"/>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8" w:type="dxa"/>
            <w:vAlign w:val="center"/>
          </w:tcPr>
          <w:p>
            <w:pPr>
              <w:jc w:val="center"/>
              <w:rPr>
                <w:rFonts w:ascii="宋体" w:hAnsi="宋体" w:cs="宋体"/>
                <w:b/>
                <w:bCs/>
                <w:sz w:val="24"/>
                <w:szCs w:val="24"/>
              </w:rPr>
            </w:pPr>
            <w:r>
              <w:rPr>
                <w:rFonts w:hint="eastAsia" w:ascii="宋体" w:hAnsi="宋体" w:cs="宋体"/>
                <w:b/>
                <w:bCs/>
                <w:sz w:val="24"/>
                <w:szCs w:val="24"/>
              </w:rPr>
              <w:t>序号</w:t>
            </w:r>
          </w:p>
        </w:tc>
        <w:tc>
          <w:tcPr>
            <w:tcW w:w="2973" w:type="dxa"/>
            <w:vAlign w:val="center"/>
          </w:tcPr>
          <w:p>
            <w:pPr>
              <w:jc w:val="center"/>
              <w:rPr>
                <w:rFonts w:ascii="宋体" w:hAnsi="宋体" w:cs="宋体"/>
                <w:b/>
                <w:bCs/>
                <w:sz w:val="24"/>
                <w:szCs w:val="24"/>
              </w:rPr>
            </w:pPr>
            <w:r>
              <w:rPr>
                <w:rFonts w:hint="eastAsia" w:ascii="宋体" w:hAnsi="宋体" w:cs="宋体"/>
                <w:b/>
                <w:bCs/>
                <w:sz w:val="24"/>
                <w:szCs w:val="24"/>
              </w:rPr>
              <w:t>评审名称</w:t>
            </w:r>
          </w:p>
        </w:tc>
        <w:tc>
          <w:tcPr>
            <w:tcW w:w="5536" w:type="dxa"/>
            <w:vAlign w:val="center"/>
          </w:tcPr>
          <w:p>
            <w:pPr>
              <w:jc w:val="center"/>
              <w:rPr>
                <w:rFonts w:ascii="宋体" w:hAnsi="宋体" w:cs="宋体"/>
                <w:b/>
                <w:bCs/>
                <w:sz w:val="24"/>
                <w:szCs w:val="24"/>
              </w:rPr>
            </w:pPr>
            <w:r>
              <w:rPr>
                <w:rFonts w:hint="eastAsia" w:ascii="宋体" w:hAnsi="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78" w:type="dxa"/>
            <w:vAlign w:val="center"/>
          </w:tcPr>
          <w:p>
            <w:pPr>
              <w:jc w:val="center"/>
              <w:rPr>
                <w:rFonts w:ascii="宋体" w:hAnsi="宋体" w:cs="宋体"/>
                <w:sz w:val="24"/>
                <w:szCs w:val="24"/>
              </w:rPr>
            </w:pPr>
            <w:r>
              <w:rPr>
                <w:rFonts w:hint="eastAsia" w:ascii="宋体" w:hAnsi="宋体" w:cs="宋体"/>
                <w:sz w:val="24"/>
                <w:szCs w:val="24"/>
              </w:rPr>
              <w:t>1</w:t>
            </w:r>
          </w:p>
        </w:tc>
        <w:tc>
          <w:tcPr>
            <w:tcW w:w="2973" w:type="dxa"/>
            <w:vAlign w:val="center"/>
          </w:tcPr>
          <w:p>
            <w:pPr>
              <w:jc w:val="center"/>
              <w:rPr>
                <w:rFonts w:ascii="宋体" w:hAnsi="宋体" w:cs="宋体"/>
                <w:sz w:val="24"/>
                <w:szCs w:val="24"/>
              </w:rPr>
            </w:pPr>
            <w:r>
              <w:rPr>
                <w:rFonts w:hint="eastAsia" w:ascii="宋体" w:hAnsi="宋体" w:cs="宋体"/>
                <w:sz w:val="24"/>
                <w:szCs w:val="24"/>
              </w:rPr>
              <w:t>响应函签署、盖章</w:t>
            </w:r>
          </w:p>
        </w:tc>
        <w:tc>
          <w:tcPr>
            <w:tcW w:w="5536" w:type="dxa"/>
            <w:vAlign w:val="center"/>
          </w:tcPr>
          <w:p>
            <w:pPr>
              <w:rPr>
                <w:rFonts w:ascii="宋体" w:hAnsi="宋体" w:cs="宋体"/>
                <w:sz w:val="24"/>
                <w:szCs w:val="24"/>
              </w:rPr>
            </w:pPr>
            <w:r>
              <w:rPr>
                <w:rFonts w:hint="eastAsia" w:ascii="宋体" w:hAnsi="宋体" w:cs="宋体"/>
                <w:sz w:val="24"/>
                <w:szCs w:val="24"/>
              </w:rPr>
              <w:t>谈判函加盖投标人公章，且经法定代表人或其授权代表签字或盖章的。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778" w:type="dxa"/>
            <w:vAlign w:val="center"/>
          </w:tcPr>
          <w:p>
            <w:pPr>
              <w:jc w:val="center"/>
              <w:rPr>
                <w:rFonts w:ascii="宋体" w:hAnsi="宋体" w:cs="宋体"/>
                <w:sz w:val="24"/>
                <w:szCs w:val="24"/>
              </w:rPr>
            </w:pPr>
            <w:r>
              <w:rPr>
                <w:rFonts w:hint="eastAsia" w:ascii="宋体" w:hAnsi="宋体" w:cs="宋体"/>
                <w:sz w:val="24"/>
                <w:szCs w:val="24"/>
              </w:rPr>
              <w:t>2</w:t>
            </w:r>
          </w:p>
        </w:tc>
        <w:tc>
          <w:tcPr>
            <w:tcW w:w="2973" w:type="dxa"/>
            <w:vAlign w:val="center"/>
          </w:tcPr>
          <w:p>
            <w:pPr>
              <w:jc w:val="center"/>
              <w:rPr>
                <w:rFonts w:ascii="宋体" w:hAnsi="宋体" w:cs="宋体"/>
                <w:sz w:val="24"/>
                <w:szCs w:val="24"/>
              </w:rPr>
            </w:pPr>
            <w:r>
              <w:rPr>
                <w:rFonts w:hint="eastAsia" w:ascii="宋体" w:hAnsi="宋体" w:cs="宋体"/>
                <w:sz w:val="24"/>
                <w:szCs w:val="24"/>
              </w:rPr>
              <w:t>投标保证金</w:t>
            </w:r>
          </w:p>
        </w:tc>
        <w:tc>
          <w:tcPr>
            <w:tcW w:w="5536" w:type="dxa"/>
            <w:vAlign w:val="center"/>
          </w:tcPr>
          <w:p>
            <w:pPr>
              <w:rPr>
                <w:rFonts w:ascii="宋体" w:hAnsi="宋体" w:cs="宋体"/>
                <w:sz w:val="24"/>
                <w:szCs w:val="24"/>
              </w:rPr>
            </w:pPr>
            <w:r>
              <w:rPr>
                <w:rFonts w:hint="eastAsia" w:ascii="宋体" w:hAnsi="宋体" w:cs="宋体"/>
                <w:sz w:val="24"/>
                <w:szCs w:val="24"/>
              </w:rPr>
              <w:t>投标单位按照谈判文件规定时间缴纳足额保证金且标明标项</w:t>
            </w:r>
            <w:r>
              <w:rPr>
                <w:rFonts w:hint="eastAsia" w:ascii="宋体" w:hAnsi="宋体" w:cs="宋体"/>
                <w:sz w:val="24"/>
                <w:szCs w:val="24"/>
                <w:lang w:eastAsia="zh-CN"/>
              </w:rPr>
              <w:t>、</w:t>
            </w:r>
            <w:r>
              <w:rPr>
                <w:rFonts w:hint="eastAsia" w:ascii="宋体" w:hAnsi="宋体" w:cs="宋体"/>
                <w:sz w:val="24"/>
                <w:szCs w:val="24"/>
              </w:rPr>
              <w:t>编号的。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78" w:type="dxa"/>
            <w:vAlign w:val="center"/>
          </w:tcPr>
          <w:p>
            <w:pPr>
              <w:jc w:val="center"/>
              <w:rPr>
                <w:rFonts w:ascii="宋体" w:hAnsi="宋体" w:cs="宋体"/>
                <w:sz w:val="24"/>
                <w:szCs w:val="24"/>
              </w:rPr>
            </w:pPr>
            <w:r>
              <w:rPr>
                <w:rFonts w:hint="eastAsia" w:ascii="宋体" w:hAnsi="宋体" w:cs="宋体"/>
                <w:sz w:val="24"/>
                <w:szCs w:val="24"/>
              </w:rPr>
              <w:t>3</w:t>
            </w:r>
          </w:p>
        </w:tc>
        <w:tc>
          <w:tcPr>
            <w:tcW w:w="2973" w:type="dxa"/>
            <w:vAlign w:val="center"/>
          </w:tcPr>
          <w:p>
            <w:pPr>
              <w:jc w:val="center"/>
              <w:rPr>
                <w:rFonts w:ascii="宋体" w:hAnsi="宋体" w:cs="宋体"/>
                <w:sz w:val="24"/>
                <w:szCs w:val="24"/>
              </w:rPr>
            </w:pPr>
            <w:r>
              <w:rPr>
                <w:rFonts w:hint="eastAsia" w:ascii="宋体" w:hAnsi="宋体" w:cs="宋体"/>
                <w:sz w:val="24"/>
                <w:szCs w:val="24"/>
              </w:rPr>
              <w:t>法定代表人授权书</w:t>
            </w:r>
          </w:p>
        </w:tc>
        <w:tc>
          <w:tcPr>
            <w:tcW w:w="5536" w:type="dxa"/>
            <w:vAlign w:val="center"/>
          </w:tcPr>
          <w:p>
            <w:pPr>
              <w:rPr>
                <w:rFonts w:ascii="宋体" w:hAnsi="宋体" w:cs="宋体"/>
                <w:sz w:val="24"/>
                <w:szCs w:val="24"/>
              </w:rPr>
            </w:pPr>
            <w:r>
              <w:rPr>
                <w:rFonts w:hint="eastAsia" w:ascii="宋体" w:hAnsi="宋体" w:cs="宋体"/>
                <w:sz w:val="24"/>
                <w:szCs w:val="24"/>
                <w:lang w:eastAsia="zh-CN"/>
              </w:rPr>
              <w:t>谈判响应文件</w:t>
            </w:r>
            <w:r>
              <w:rPr>
                <w:rFonts w:hint="eastAsia" w:ascii="宋体" w:hAnsi="宋体" w:cs="宋体"/>
                <w:sz w:val="24"/>
                <w:szCs w:val="24"/>
              </w:rPr>
              <w:t>有法定代表人授权书（法人直接投标除外）且授权书的合法</w:t>
            </w:r>
            <w:r>
              <w:rPr>
                <w:rFonts w:hint="eastAsia" w:ascii="宋体" w:hAnsi="宋体" w:cs="宋体"/>
                <w:sz w:val="24"/>
                <w:szCs w:val="24"/>
                <w:lang w:eastAsia="zh-CN"/>
              </w:rPr>
              <w:t>、</w:t>
            </w:r>
            <w:r>
              <w:rPr>
                <w:rFonts w:hint="eastAsia" w:ascii="宋体" w:hAnsi="宋体" w:cs="宋体"/>
                <w:sz w:val="24"/>
                <w:szCs w:val="24"/>
              </w:rPr>
              <w:t>有效性</w:t>
            </w:r>
            <w:r>
              <w:rPr>
                <w:rFonts w:hint="eastAsia" w:ascii="宋体" w:hAnsi="宋体" w:cs="宋体"/>
                <w:sz w:val="24"/>
                <w:szCs w:val="24"/>
                <w:lang w:eastAsia="zh-CN"/>
              </w:rPr>
              <w:t>及有效期</w:t>
            </w:r>
            <w:r>
              <w:rPr>
                <w:rFonts w:hint="eastAsia" w:ascii="宋体" w:hAnsi="宋体" w:cs="宋体"/>
                <w:sz w:val="24"/>
                <w:szCs w:val="24"/>
              </w:rPr>
              <w:t>符合竞争性谈判文件规定的。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78" w:type="dxa"/>
            <w:vAlign w:val="center"/>
          </w:tcPr>
          <w:p>
            <w:pPr>
              <w:jc w:val="center"/>
              <w:rPr>
                <w:rFonts w:ascii="宋体" w:hAnsi="宋体" w:cs="宋体"/>
                <w:sz w:val="24"/>
                <w:szCs w:val="24"/>
              </w:rPr>
            </w:pPr>
            <w:r>
              <w:rPr>
                <w:rFonts w:hint="eastAsia" w:ascii="宋体" w:hAnsi="宋体" w:cs="宋体"/>
                <w:sz w:val="24"/>
                <w:szCs w:val="24"/>
              </w:rPr>
              <w:t>4</w:t>
            </w:r>
          </w:p>
        </w:tc>
        <w:tc>
          <w:tcPr>
            <w:tcW w:w="2973" w:type="dxa"/>
            <w:vAlign w:val="center"/>
          </w:tcPr>
          <w:p>
            <w:pPr>
              <w:jc w:val="center"/>
              <w:rPr>
                <w:rFonts w:ascii="宋体" w:hAnsi="宋体" w:cs="宋体"/>
                <w:sz w:val="24"/>
                <w:szCs w:val="24"/>
              </w:rPr>
            </w:pPr>
            <w:r>
              <w:rPr>
                <w:rFonts w:hint="eastAsia" w:ascii="宋体" w:hAnsi="宋体" w:cs="宋体"/>
                <w:sz w:val="24"/>
                <w:szCs w:val="24"/>
              </w:rPr>
              <w:t>谈判文件签署、盖章及投标有效期</w:t>
            </w:r>
          </w:p>
        </w:tc>
        <w:tc>
          <w:tcPr>
            <w:tcW w:w="5536" w:type="dxa"/>
            <w:vAlign w:val="center"/>
          </w:tcPr>
          <w:p>
            <w:pPr>
              <w:rPr>
                <w:rFonts w:ascii="宋体" w:hAnsi="宋体" w:cs="宋体"/>
                <w:sz w:val="24"/>
                <w:szCs w:val="24"/>
              </w:rPr>
            </w:pPr>
            <w:r>
              <w:rPr>
                <w:rFonts w:hint="eastAsia" w:ascii="宋体" w:hAnsi="宋体" w:cs="宋体"/>
                <w:sz w:val="24"/>
                <w:szCs w:val="24"/>
              </w:rPr>
              <w:t>谈判响应文件按竞争性谈判文件规定要求装订、签署、盖章的,投标有效期达到竞争性谈判文件要求的。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778" w:type="dxa"/>
            <w:vAlign w:val="center"/>
          </w:tcPr>
          <w:p>
            <w:pPr>
              <w:jc w:val="center"/>
              <w:rPr>
                <w:rFonts w:ascii="宋体" w:hAnsi="宋体" w:cs="宋体"/>
                <w:sz w:val="24"/>
                <w:szCs w:val="24"/>
              </w:rPr>
            </w:pPr>
            <w:r>
              <w:rPr>
                <w:rFonts w:hint="eastAsia" w:ascii="宋体" w:hAnsi="宋体" w:cs="宋体"/>
                <w:sz w:val="24"/>
                <w:szCs w:val="24"/>
              </w:rPr>
              <w:t>5</w:t>
            </w:r>
          </w:p>
        </w:tc>
        <w:tc>
          <w:tcPr>
            <w:tcW w:w="2973" w:type="dxa"/>
            <w:vAlign w:val="center"/>
          </w:tcPr>
          <w:p>
            <w:pPr>
              <w:jc w:val="center"/>
              <w:rPr>
                <w:rFonts w:ascii="宋体" w:hAnsi="宋体" w:cs="宋体"/>
                <w:sz w:val="24"/>
                <w:szCs w:val="24"/>
              </w:rPr>
            </w:pPr>
            <w:r>
              <w:rPr>
                <w:rFonts w:hint="eastAsia" w:ascii="宋体" w:hAnsi="宋体" w:cs="宋体"/>
                <w:sz w:val="24"/>
                <w:szCs w:val="24"/>
              </w:rPr>
              <w:t>谈判响应文件编写</w:t>
            </w:r>
          </w:p>
        </w:tc>
        <w:tc>
          <w:tcPr>
            <w:tcW w:w="5536" w:type="dxa"/>
            <w:vAlign w:val="center"/>
          </w:tcPr>
          <w:p>
            <w:pPr>
              <w:rPr>
                <w:rFonts w:ascii="宋体" w:hAnsi="宋体" w:cs="宋体"/>
                <w:sz w:val="24"/>
                <w:szCs w:val="24"/>
              </w:rPr>
            </w:pPr>
            <w:r>
              <w:rPr>
                <w:rFonts w:hint="eastAsia" w:ascii="宋体" w:hAnsi="宋体" w:cs="宋体"/>
                <w:sz w:val="24"/>
                <w:szCs w:val="24"/>
              </w:rPr>
              <w:t>谈判响应文件按照竞争性谈判文件要求的格式编写及谈判响应文件的关键内容字迹清晰、可辨认的。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78" w:type="dxa"/>
            <w:vAlign w:val="center"/>
          </w:tcPr>
          <w:p>
            <w:pPr>
              <w:jc w:val="center"/>
              <w:rPr>
                <w:rFonts w:ascii="宋体" w:hAnsi="宋体" w:cs="宋体"/>
                <w:sz w:val="24"/>
                <w:szCs w:val="24"/>
              </w:rPr>
            </w:pPr>
            <w:r>
              <w:rPr>
                <w:rFonts w:hint="eastAsia" w:ascii="宋体" w:hAnsi="宋体" w:cs="宋体"/>
                <w:sz w:val="24"/>
                <w:szCs w:val="24"/>
              </w:rPr>
              <w:t>6</w:t>
            </w:r>
          </w:p>
        </w:tc>
        <w:tc>
          <w:tcPr>
            <w:tcW w:w="2973" w:type="dxa"/>
            <w:vAlign w:val="center"/>
          </w:tcPr>
          <w:p>
            <w:pPr>
              <w:jc w:val="center"/>
              <w:rPr>
                <w:rFonts w:ascii="宋体" w:hAnsi="宋体" w:cs="宋体"/>
                <w:sz w:val="24"/>
                <w:szCs w:val="24"/>
              </w:rPr>
            </w:pPr>
            <w:r>
              <w:rPr>
                <w:rFonts w:hint="eastAsia" w:ascii="宋体" w:hAnsi="宋体" w:cs="宋体"/>
                <w:sz w:val="24"/>
                <w:szCs w:val="24"/>
              </w:rPr>
              <w:t>虚假材料</w:t>
            </w:r>
          </w:p>
        </w:tc>
        <w:tc>
          <w:tcPr>
            <w:tcW w:w="5536" w:type="dxa"/>
            <w:vAlign w:val="center"/>
          </w:tcPr>
          <w:p>
            <w:pPr>
              <w:rPr>
                <w:rFonts w:ascii="宋体" w:hAnsi="宋体" w:cs="宋体"/>
                <w:sz w:val="24"/>
                <w:szCs w:val="24"/>
              </w:rPr>
            </w:pPr>
            <w:r>
              <w:rPr>
                <w:rFonts w:hint="eastAsia" w:ascii="宋体" w:hAnsi="宋体" w:cs="宋体"/>
                <w:sz w:val="24"/>
                <w:szCs w:val="24"/>
              </w:rPr>
              <w:t>未提供虚假证明（包括第三方提供的虚假证明），未开具虚假资质，未出现虚假应答。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78" w:type="dxa"/>
            <w:vAlign w:val="center"/>
          </w:tcPr>
          <w:p>
            <w:pPr>
              <w:jc w:val="center"/>
              <w:rPr>
                <w:rFonts w:ascii="宋体" w:hAnsi="宋体" w:cs="宋体"/>
                <w:sz w:val="24"/>
                <w:szCs w:val="24"/>
              </w:rPr>
            </w:pPr>
            <w:r>
              <w:rPr>
                <w:rFonts w:hint="eastAsia" w:ascii="宋体" w:hAnsi="宋体" w:cs="宋体"/>
                <w:sz w:val="24"/>
                <w:szCs w:val="24"/>
              </w:rPr>
              <w:t>7</w:t>
            </w:r>
          </w:p>
        </w:tc>
        <w:tc>
          <w:tcPr>
            <w:tcW w:w="2973" w:type="dxa"/>
            <w:vAlign w:val="center"/>
          </w:tcPr>
          <w:p>
            <w:pPr>
              <w:jc w:val="center"/>
              <w:rPr>
                <w:rFonts w:ascii="宋体" w:hAnsi="宋体" w:cs="宋体"/>
                <w:sz w:val="24"/>
                <w:szCs w:val="24"/>
              </w:rPr>
            </w:pPr>
            <w:r>
              <w:rPr>
                <w:rFonts w:hint="eastAsia" w:ascii="宋体" w:hAnsi="宋体" w:cs="宋体"/>
                <w:sz w:val="24"/>
                <w:szCs w:val="24"/>
              </w:rPr>
              <w:t>实质性响应</w:t>
            </w:r>
          </w:p>
        </w:tc>
        <w:tc>
          <w:tcPr>
            <w:tcW w:w="5536" w:type="dxa"/>
            <w:vAlign w:val="center"/>
          </w:tcPr>
          <w:p>
            <w:pPr>
              <w:rPr>
                <w:rFonts w:ascii="宋体" w:hAnsi="宋体" w:cs="宋体"/>
                <w:sz w:val="24"/>
                <w:szCs w:val="24"/>
              </w:rPr>
            </w:pPr>
            <w:r>
              <w:rPr>
                <w:rFonts w:hint="eastAsia" w:ascii="宋体" w:hAnsi="宋体" w:cs="宋体"/>
                <w:sz w:val="24"/>
                <w:szCs w:val="24"/>
              </w:rPr>
              <w:t>对竞争性谈判文件做出了实质性响应没有重大缺项漏项,无明显不符合技术规格、技术标准的要求的。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778" w:type="dxa"/>
            <w:vAlign w:val="center"/>
          </w:tcPr>
          <w:p>
            <w:pPr>
              <w:jc w:val="center"/>
              <w:rPr>
                <w:rFonts w:ascii="宋体" w:hAnsi="宋体" w:cs="宋体"/>
                <w:sz w:val="24"/>
                <w:szCs w:val="24"/>
              </w:rPr>
            </w:pPr>
            <w:r>
              <w:rPr>
                <w:rFonts w:hint="eastAsia" w:ascii="宋体" w:hAnsi="宋体" w:cs="宋体"/>
                <w:sz w:val="24"/>
                <w:szCs w:val="24"/>
              </w:rPr>
              <w:t>8</w:t>
            </w:r>
          </w:p>
        </w:tc>
        <w:tc>
          <w:tcPr>
            <w:tcW w:w="2973" w:type="dxa"/>
            <w:vAlign w:val="center"/>
          </w:tcPr>
          <w:p>
            <w:pPr>
              <w:jc w:val="center"/>
              <w:rPr>
                <w:rFonts w:ascii="宋体" w:hAnsi="宋体" w:cs="宋体"/>
                <w:sz w:val="24"/>
                <w:szCs w:val="24"/>
              </w:rPr>
            </w:pPr>
            <w:r>
              <w:rPr>
                <w:rFonts w:hint="eastAsia" w:ascii="宋体" w:hAnsi="宋体" w:cs="宋体"/>
                <w:sz w:val="24"/>
                <w:szCs w:val="24"/>
              </w:rPr>
              <w:t>报价</w:t>
            </w:r>
          </w:p>
        </w:tc>
        <w:tc>
          <w:tcPr>
            <w:tcW w:w="5536" w:type="dxa"/>
            <w:vAlign w:val="center"/>
          </w:tcPr>
          <w:p>
            <w:pPr>
              <w:rPr>
                <w:rFonts w:ascii="宋体" w:hAnsi="宋体" w:cs="宋体"/>
                <w:sz w:val="24"/>
                <w:szCs w:val="24"/>
              </w:rPr>
            </w:pPr>
            <w:r>
              <w:rPr>
                <w:rFonts w:hint="eastAsia" w:ascii="宋体" w:hAnsi="宋体" w:cs="宋体"/>
                <w:sz w:val="24"/>
                <w:szCs w:val="24"/>
              </w:rPr>
              <w:t>1）供应商在同一份谈判响应文件中，只有一个有效报价的；</w:t>
            </w:r>
          </w:p>
          <w:p>
            <w:pPr>
              <w:rPr>
                <w:rFonts w:ascii="宋体" w:hAnsi="宋体" w:cs="宋体"/>
                <w:sz w:val="24"/>
                <w:szCs w:val="24"/>
              </w:rPr>
            </w:pPr>
            <w:r>
              <w:rPr>
                <w:rFonts w:hint="eastAsia" w:ascii="宋体" w:hAnsi="宋体" w:cs="宋体"/>
                <w:sz w:val="24"/>
                <w:szCs w:val="24"/>
              </w:rPr>
              <w:t>2）报价未超过竞争性谈判文件中规定的预算金额或者未与市场价格偏离较大、形成不正当竞争的。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8" w:type="dxa"/>
            <w:vAlign w:val="center"/>
          </w:tcPr>
          <w:p>
            <w:pPr>
              <w:jc w:val="center"/>
              <w:rPr>
                <w:rFonts w:ascii="宋体" w:hAnsi="宋体" w:cs="宋体"/>
                <w:sz w:val="24"/>
                <w:szCs w:val="24"/>
              </w:rPr>
            </w:pPr>
            <w:r>
              <w:rPr>
                <w:rFonts w:hint="eastAsia" w:ascii="宋体" w:hAnsi="宋体" w:cs="宋体"/>
                <w:sz w:val="24"/>
                <w:szCs w:val="24"/>
              </w:rPr>
              <w:t>9</w:t>
            </w:r>
          </w:p>
        </w:tc>
        <w:tc>
          <w:tcPr>
            <w:tcW w:w="2973" w:type="dxa"/>
            <w:vAlign w:val="center"/>
          </w:tcPr>
          <w:p>
            <w:pPr>
              <w:jc w:val="center"/>
              <w:rPr>
                <w:rFonts w:ascii="宋体" w:hAnsi="宋体" w:cs="宋体"/>
                <w:sz w:val="24"/>
                <w:szCs w:val="24"/>
              </w:rPr>
            </w:pPr>
            <w:r>
              <w:rPr>
                <w:rFonts w:hint="eastAsia" w:ascii="宋体" w:hAnsi="宋体" w:cs="宋体"/>
                <w:sz w:val="24"/>
                <w:szCs w:val="24"/>
              </w:rPr>
              <w:t>商务要求</w:t>
            </w:r>
          </w:p>
        </w:tc>
        <w:tc>
          <w:tcPr>
            <w:tcW w:w="5536" w:type="dxa"/>
            <w:vAlign w:val="center"/>
          </w:tcPr>
          <w:p>
            <w:pPr>
              <w:rPr>
                <w:rFonts w:ascii="宋体" w:hAnsi="宋体" w:cs="宋体"/>
                <w:sz w:val="24"/>
                <w:szCs w:val="24"/>
              </w:rPr>
            </w:pPr>
            <w:r>
              <w:rPr>
                <w:rFonts w:hint="eastAsia" w:ascii="宋体" w:hAnsi="宋体" w:cs="宋体"/>
                <w:sz w:val="24"/>
                <w:szCs w:val="24"/>
              </w:rPr>
              <w:t>商务要求逐条响应并满足竞争性谈判文件要求。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778" w:type="dxa"/>
            <w:vAlign w:val="center"/>
          </w:tcPr>
          <w:p>
            <w:pPr>
              <w:jc w:val="center"/>
              <w:rPr>
                <w:rFonts w:ascii="宋体" w:hAnsi="宋体" w:cs="宋体"/>
                <w:sz w:val="24"/>
                <w:szCs w:val="24"/>
              </w:rPr>
            </w:pPr>
            <w:r>
              <w:rPr>
                <w:rFonts w:hint="eastAsia" w:ascii="宋体" w:hAnsi="宋体" w:cs="宋体"/>
                <w:sz w:val="24"/>
                <w:szCs w:val="24"/>
              </w:rPr>
              <w:t>10</w:t>
            </w:r>
          </w:p>
        </w:tc>
        <w:tc>
          <w:tcPr>
            <w:tcW w:w="2973" w:type="dxa"/>
            <w:vAlign w:val="center"/>
          </w:tcPr>
          <w:p>
            <w:pPr>
              <w:jc w:val="center"/>
              <w:rPr>
                <w:rFonts w:ascii="宋体" w:hAnsi="宋体" w:cs="宋体"/>
                <w:sz w:val="24"/>
                <w:szCs w:val="24"/>
              </w:rPr>
            </w:pPr>
            <w:r>
              <w:rPr>
                <w:rFonts w:hint="eastAsia" w:ascii="宋体" w:hAnsi="宋体" w:cs="宋体"/>
                <w:sz w:val="24"/>
                <w:szCs w:val="24"/>
              </w:rPr>
              <w:t>响应方案</w:t>
            </w:r>
          </w:p>
        </w:tc>
        <w:tc>
          <w:tcPr>
            <w:tcW w:w="5536"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eastAsia="zh-CN"/>
              </w:rPr>
              <w:t>货</w:t>
            </w:r>
            <w:r>
              <w:rPr>
                <w:rFonts w:hint="eastAsia" w:ascii="宋体" w:hAnsi="宋体" w:eastAsia="宋体" w:cs="宋体"/>
                <w:sz w:val="24"/>
                <w:szCs w:val="24"/>
              </w:rPr>
              <w:t>物选型及技术指标说明；</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）对本项目的供货</w:t>
            </w:r>
            <w:r>
              <w:rPr>
                <w:rFonts w:hint="eastAsia" w:ascii="宋体" w:hAnsi="宋体" w:eastAsia="宋体" w:cs="宋体"/>
                <w:sz w:val="24"/>
                <w:szCs w:val="24"/>
                <w:lang w:eastAsia="zh-CN"/>
              </w:rPr>
              <w:t>、</w:t>
            </w:r>
            <w:r>
              <w:rPr>
                <w:rFonts w:hint="eastAsia" w:ascii="宋体" w:hAnsi="宋体" w:cs="宋体"/>
                <w:sz w:val="24"/>
                <w:szCs w:val="24"/>
                <w:lang w:eastAsia="zh-CN"/>
              </w:rPr>
              <w:t>运输</w:t>
            </w:r>
            <w:r>
              <w:rPr>
                <w:rFonts w:hint="eastAsia" w:ascii="宋体" w:hAnsi="宋体" w:eastAsia="宋体" w:cs="宋体"/>
                <w:sz w:val="24"/>
                <w:szCs w:val="24"/>
              </w:rPr>
              <w:t>的组织措施及人员投入情况；</w:t>
            </w:r>
          </w:p>
          <w:p>
            <w:pPr>
              <w:spacing w:line="360" w:lineRule="auto"/>
              <w:rPr>
                <w:rFonts w:hint="default" w:eastAsia="宋体"/>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）质量保证、售后服务计划及措施；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78" w:type="dxa"/>
            <w:vAlign w:val="center"/>
          </w:tcPr>
          <w:p>
            <w:pPr>
              <w:jc w:val="center"/>
              <w:rPr>
                <w:rFonts w:ascii="宋体" w:hAnsi="宋体" w:cs="宋体"/>
                <w:sz w:val="24"/>
                <w:szCs w:val="24"/>
              </w:rPr>
            </w:pPr>
            <w:r>
              <w:rPr>
                <w:rFonts w:hint="eastAsia" w:ascii="宋体" w:hAnsi="宋体" w:cs="宋体"/>
                <w:sz w:val="24"/>
                <w:szCs w:val="24"/>
              </w:rPr>
              <w:t>11</w:t>
            </w:r>
          </w:p>
        </w:tc>
        <w:tc>
          <w:tcPr>
            <w:tcW w:w="2973" w:type="dxa"/>
            <w:vAlign w:val="center"/>
          </w:tcPr>
          <w:p>
            <w:pPr>
              <w:jc w:val="center"/>
              <w:rPr>
                <w:rFonts w:ascii="宋体" w:hAnsi="宋体" w:cs="宋体"/>
                <w:sz w:val="24"/>
                <w:szCs w:val="24"/>
              </w:rPr>
            </w:pPr>
            <w:r>
              <w:rPr>
                <w:rFonts w:hint="eastAsia" w:ascii="宋体" w:hAnsi="宋体" w:cs="宋体"/>
                <w:sz w:val="24"/>
                <w:szCs w:val="24"/>
              </w:rPr>
              <w:t>其他要求</w:t>
            </w:r>
          </w:p>
        </w:tc>
        <w:tc>
          <w:tcPr>
            <w:tcW w:w="5536" w:type="dxa"/>
            <w:vAlign w:val="center"/>
          </w:tcPr>
          <w:p>
            <w:pPr>
              <w:rPr>
                <w:rFonts w:ascii="宋体" w:hAnsi="宋体" w:cs="宋体"/>
                <w:sz w:val="24"/>
                <w:szCs w:val="24"/>
              </w:rPr>
            </w:pPr>
            <w:r>
              <w:rPr>
                <w:rFonts w:hint="eastAsia" w:ascii="宋体" w:hAnsi="宋体" w:cs="宋体"/>
                <w:sz w:val="24"/>
                <w:szCs w:val="24"/>
              </w:rPr>
              <w:t>满足谈判文件规定的其他要求。</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2、对于竞争性谈判响应文件中可能出现的不一致和算术计算错误按以下方法</w:t>
      </w:r>
    </w:p>
    <w:p>
      <w:pPr>
        <w:spacing w:line="360" w:lineRule="auto"/>
        <w:rPr>
          <w:rFonts w:ascii="宋体" w:hAnsi="宋体" w:cs="宋体"/>
          <w:sz w:val="24"/>
          <w:szCs w:val="24"/>
        </w:rPr>
      </w:pPr>
      <w:r>
        <w:rPr>
          <w:rFonts w:hint="eastAsia" w:ascii="宋体" w:hAnsi="宋体" w:cs="宋体"/>
          <w:sz w:val="24"/>
          <w:szCs w:val="24"/>
        </w:rPr>
        <w:t>更正：</w:t>
      </w:r>
    </w:p>
    <w:p>
      <w:pPr>
        <w:spacing w:line="360" w:lineRule="auto"/>
        <w:ind w:firstLine="480" w:firstLineChars="200"/>
        <w:rPr>
          <w:rFonts w:ascii="宋体" w:hAnsi="宋体" w:cs="宋体"/>
          <w:sz w:val="24"/>
          <w:szCs w:val="24"/>
        </w:rPr>
      </w:pPr>
      <w:r>
        <w:rPr>
          <w:rFonts w:hint="eastAsia" w:ascii="宋体" w:hAnsi="宋体" w:cs="宋体"/>
          <w:sz w:val="24"/>
          <w:szCs w:val="24"/>
        </w:rPr>
        <w:t>1）开标时，竞争性谈判响应文件中谈判报价表（报价表）内容与竞争性谈判</w:t>
      </w:r>
    </w:p>
    <w:p>
      <w:pPr>
        <w:spacing w:line="360" w:lineRule="auto"/>
        <w:rPr>
          <w:rFonts w:ascii="宋体" w:hAnsi="宋体" w:cs="宋体"/>
          <w:sz w:val="24"/>
          <w:szCs w:val="24"/>
        </w:rPr>
      </w:pPr>
      <w:r>
        <w:rPr>
          <w:rFonts w:hint="eastAsia" w:ascii="宋体" w:hAnsi="宋体" w:cs="宋体"/>
          <w:sz w:val="24"/>
          <w:szCs w:val="24"/>
        </w:rPr>
        <w:t>响应文件中明细表内容不一致的，以谈判报价表（报价表）为准。</w:t>
      </w:r>
    </w:p>
    <w:p>
      <w:pPr>
        <w:spacing w:line="360" w:lineRule="auto"/>
        <w:ind w:firstLine="480" w:firstLineChars="200"/>
        <w:rPr>
          <w:rFonts w:ascii="宋体" w:hAnsi="宋体" w:cs="宋体"/>
          <w:sz w:val="24"/>
          <w:szCs w:val="24"/>
        </w:rPr>
      </w:pPr>
      <w:r>
        <w:rPr>
          <w:rFonts w:hint="eastAsia" w:ascii="宋体" w:hAnsi="宋体" w:cs="宋体"/>
          <w:sz w:val="24"/>
          <w:szCs w:val="24"/>
        </w:rPr>
        <w:t>2）用数字表示的金额和用文字表示的金额不一致的，以文字表示的金额为准。</w:t>
      </w:r>
    </w:p>
    <w:p>
      <w:pPr>
        <w:spacing w:line="360" w:lineRule="auto"/>
        <w:ind w:firstLine="480" w:firstLineChars="200"/>
        <w:rPr>
          <w:rFonts w:ascii="宋体" w:hAnsi="宋体" w:cs="宋体"/>
          <w:sz w:val="24"/>
          <w:szCs w:val="24"/>
        </w:rPr>
      </w:pPr>
      <w:r>
        <w:rPr>
          <w:rFonts w:hint="eastAsia" w:ascii="宋体" w:hAnsi="宋体" w:cs="宋体"/>
          <w:sz w:val="24"/>
          <w:szCs w:val="24"/>
        </w:rPr>
        <w:t>3）总价金额与按单价汇总金额不一致的，以单价金额计算结果为准；但单价</w:t>
      </w:r>
    </w:p>
    <w:p>
      <w:pPr>
        <w:spacing w:line="360" w:lineRule="auto"/>
        <w:rPr>
          <w:rFonts w:ascii="宋体" w:hAnsi="宋体" w:cs="宋体"/>
          <w:sz w:val="24"/>
          <w:szCs w:val="24"/>
        </w:rPr>
      </w:pPr>
      <w:r>
        <w:rPr>
          <w:rFonts w:hint="eastAsia" w:ascii="宋体" w:hAnsi="宋体" w:cs="宋体"/>
          <w:sz w:val="24"/>
          <w:szCs w:val="24"/>
        </w:rPr>
        <w:t>金额小数点有明显错位的，以总价为准，并修正单价。</w:t>
      </w:r>
    </w:p>
    <w:p>
      <w:pPr>
        <w:spacing w:line="360" w:lineRule="auto"/>
        <w:ind w:firstLine="480" w:firstLineChars="200"/>
        <w:rPr>
          <w:rFonts w:ascii="宋体" w:hAnsi="宋体" w:cs="宋体"/>
          <w:sz w:val="24"/>
          <w:szCs w:val="24"/>
        </w:rPr>
      </w:pPr>
      <w:r>
        <w:rPr>
          <w:rFonts w:hint="eastAsia" w:ascii="宋体" w:hAnsi="宋体" w:cs="宋体"/>
          <w:sz w:val="24"/>
          <w:szCs w:val="24"/>
        </w:rPr>
        <w:t>谈判小组将按照上述修正错误的方法修正竞争性谈判响应文件中的谈判报价，修正后的价格对供应商具有约束力。如果供应商不接受修正后的价格，其谈判将被拒绝。</w:t>
      </w:r>
    </w:p>
    <w:p>
      <w:pPr>
        <w:spacing w:line="360" w:lineRule="auto"/>
        <w:ind w:firstLine="480" w:firstLineChars="200"/>
        <w:rPr>
          <w:rFonts w:ascii="宋体" w:hAnsi="宋体" w:cs="宋体"/>
          <w:sz w:val="24"/>
          <w:szCs w:val="24"/>
        </w:rPr>
      </w:pPr>
      <w:r>
        <w:rPr>
          <w:rFonts w:hint="eastAsia" w:ascii="宋体" w:hAnsi="宋体" w:cs="宋体"/>
          <w:sz w:val="24"/>
          <w:szCs w:val="24"/>
        </w:rPr>
        <w:t>3、对于经初审合格的所有谈判，由谈判小组各成员依据谈判响应文件，从质量和服务均能满足谈判文件要求的供应商中，按照最后报价（依照政策性扣减）由低到高的顺序依次排序，推荐成交候选人。谈判报价相同的，按照技术指标优劣顺序排序或由全体谈判小组成员无记名投票，得票高者排序在前。</w:t>
      </w:r>
    </w:p>
    <w:p>
      <w:pPr>
        <w:spacing w:line="360" w:lineRule="auto"/>
        <w:ind w:firstLine="480" w:firstLineChars="200"/>
        <w:rPr>
          <w:rFonts w:ascii="宋体" w:hAnsi="宋体" w:cs="宋体"/>
          <w:sz w:val="24"/>
          <w:szCs w:val="24"/>
        </w:rPr>
      </w:pPr>
      <w:r>
        <w:rPr>
          <w:rFonts w:hint="eastAsia" w:ascii="宋体" w:hAnsi="宋体" w:cs="宋体"/>
          <w:sz w:val="24"/>
          <w:szCs w:val="24"/>
        </w:rPr>
        <w:t>4、政策性扣减</w:t>
      </w:r>
    </w:p>
    <w:p>
      <w:pPr>
        <w:spacing w:line="360" w:lineRule="auto"/>
        <w:ind w:firstLine="480" w:firstLineChars="200"/>
        <w:rPr>
          <w:rFonts w:ascii="宋体" w:hAnsi="宋体" w:cs="宋体"/>
          <w:sz w:val="24"/>
          <w:szCs w:val="24"/>
        </w:rPr>
      </w:pPr>
      <w:r>
        <w:rPr>
          <w:rFonts w:hint="eastAsia" w:ascii="宋体" w:hAnsi="宋体" w:cs="宋体"/>
          <w:sz w:val="24"/>
          <w:szCs w:val="24"/>
        </w:rPr>
        <w:t>依据《中华人民共和国政府采购法》和《中华人民共和国政府采购实施条例》</w:t>
      </w:r>
    </w:p>
    <w:p>
      <w:pPr>
        <w:spacing w:line="360" w:lineRule="auto"/>
        <w:ind w:firstLine="480" w:firstLineChars="200"/>
        <w:rPr>
          <w:rFonts w:ascii="宋体" w:hAnsi="宋体" w:cs="宋体"/>
          <w:sz w:val="24"/>
          <w:szCs w:val="24"/>
        </w:rPr>
      </w:pPr>
      <w:r>
        <w:rPr>
          <w:rFonts w:hint="eastAsia" w:ascii="宋体" w:hAnsi="宋体" w:cs="宋体"/>
          <w:sz w:val="24"/>
          <w:szCs w:val="24"/>
        </w:rPr>
        <w:t>的有关规定，落实政府采购“扶持小微企业、监狱企业、福利企业”等相关政策。</w:t>
      </w:r>
    </w:p>
    <w:p>
      <w:pPr>
        <w:spacing w:line="360" w:lineRule="auto"/>
        <w:ind w:firstLine="480" w:firstLineChars="200"/>
        <w:rPr>
          <w:rFonts w:ascii="宋体" w:hAnsi="宋体" w:cs="宋体"/>
          <w:sz w:val="24"/>
          <w:szCs w:val="24"/>
        </w:rPr>
      </w:pPr>
      <w:r>
        <w:rPr>
          <w:rFonts w:hint="eastAsia" w:ascii="宋体" w:hAnsi="宋体" w:cs="宋体"/>
          <w:sz w:val="24"/>
          <w:szCs w:val="24"/>
        </w:rPr>
        <w:t>(1)《政府采购促进中小企业发展管理办法》（财库〔2020〕46 号）；</w:t>
      </w:r>
    </w:p>
    <w:p>
      <w:pPr>
        <w:spacing w:line="360" w:lineRule="auto"/>
        <w:ind w:firstLine="480" w:firstLineChars="200"/>
        <w:rPr>
          <w:rFonts w:ascii="宋体" w:hAnsi="宋体" w:cs="宋体"/>
          <w:sz w:val="24"/>
          <w:szCs w:val="24"/>
        </w:rPr>
      </w:pPr>
      <w:r>
        <w:rPr>
          <w:rFonts w:hint="eastAsia" w:ascii="宋体" w:hAnsi="宋体" w:cs="宋体"/>
          <w:sz w:val="24"/>
          <w:szCs w:val="24"/>
        </w:rPr>
        <w:t>(2)《财政部 司法部关于政府采购支持监狱企业发展有关问题的通知》（财</w:t>
      </w:r>
    </w:p>
    <w:p>
      <w:pPr>
        <w:spacing w:line="360" w:lineRule="auto"/>
        <w:ind w:firstLine="480" w:firstLineChars="200"/>
        <w:rPr>
          <w:rFonts w:ascii="宋体" w:hAnsi="宋体" w:cs="宋体"/>
          <w:sz w:val="24"/>
          <w:szCs w:val="24"/>
        </w:rPr>
      </w:pPr>
      <w:r>
        <w:rPr>
          <w:rFonts w:hint="eastAsia" w:ascii="宋体" w:hAnsi="宋体" w:cs="宋体"/>
          <w:sz w:val="24"/>
          <w:szCs w:val="24"/>
        </w:rPr>
        <w:t>库〔2014〕68 号）；</w:t>
      </w:r>
    </w:p>
    <w:p>
      <w:pPr>
        <w:spacing w:line="360" w:lineRule="auto"/>
        <w:ind w:firstLine="480" w:firstLineChars="200"/>
        <w:rPr>
          <w:rFonts w:ascii="宋体" w:hAnsi="宋体" w:cs="宋体"/>
          <w:sz w:val="24"/>
          <w:szCs w:val="24"/>
        </w:rPr>
      </w:pPr>
      <w:r>
        <w:rPr>
          <w:rFonts w:hint="eastAsia" w:ascii="宋体" w:hAnsi="宋体" w:cs="宋体"/>
          <w:sz w:val="24"/>
          <w:szCs w:val="24"/>
        </w:rPr>
        <w:t>(3)《财政部、民政部、中国残疾人联合会关于促进残疾人就业政府采购政策</w:t>
      </w:r>
    </w:p>
    <w:p>
      <w:pPr>
        <w:spacing w:line="360" w:lineRule="auto"/>
        <w:ind w:firstLine="480" w:firstLineChars="200"/>
        <w:rPr>
          <w:rFonts w:ascii="宋体" w:hAnsi="宋体" w:cs="宋体"/>
          <w:sz w:val="24"/>
          <w:szCs w:val="24"/>
        </w:rPr>
      </w:pPr>
      <w:r>
        <w:rPr>
          <w:rFonts w:hint="eastAsia" w:ascii="宋体" w:hAnsi="宋体" w:cs="宋体"/>
          <w:sz w:val="24"/>
          <w:szCs w:val="24"/>
        </w:rPr>
        <w:t>的通知》（财库[2017]141 号）。</w:t>
      </w:r>
    </w:p>
    <w:p>
      <w:pPr>
        <w:spacing w:line="360" w:lineRule="auto"/>
        <w:ind w:firstLine="480" w:firstLineChars="200"/>
        <w:rPr>
          <w:sz w:val="24"/>
          <w:szCs w:val="24"/>
        </w:rPr>
      </w:pPr>
      <w:r>
        <w:rPr>
          <w:rFonts w:hint="eastAsia"/>
          <w:sz w:val="24"/>
          <w:szCs w:val="24"/>
        </w:rPr>
        <w:t>（4）《国务院办公厅关于建立政府强制采购节能产品制度的通知》（国办发〔2007〕</w:t>
      </w:r>
    </w:p>
    <w:p>
      <w:pPr>
        <w:spacing w:line="360" w:lineRule="auto"/>
        <w:rPr>
          <w:sz w:val="24"/>
          <w:szCs w:val="24"/>
        </w:rPr>
      </w:pPr>
      <w:r>
        <w:rPr>
          <w:rFonts w:hint="eastAsia"/>
          <w:sz w:val="24"/>
          <w:szCs w:val="24"/>
        </w:rPr>
        <w:t>51 号）；</w:t>
      </w:r>
    </w:p>
    <w:p>
      <w:pPr>
        <w:spacing w:line="360" w:lineRule="auto"/>
        <w:ind w:firstLine="480" w:firstLineChars="200"/>
        <w:rPr>
          <w:sz w:val="24"/>
          <w:szCs w:val="24"/>
        </w:rPr>
      </w:pPr>
      <w:r>
        <w:rPr>
          <w:rFonts w:hint="eastAsia"/>
          <w:sz w:val="24"/>
          <w:szCs w:val="24"/>
        </w:rPr>
        <w:t>（5）《节能产品政府采购实施意见》（财库[2004]185 号）；</w:t>
      </w:r>
    </w:p>
    <w:p>
      <w:pPr>
        <w:spacing w:line="360" w:lineRule="auto"/>
        <w:ind w:firstLine="480" w:firstLineChars="200"/>
        <w:rPr>
          <w:sz w:val="24"/>
          <w:szCs w:val="24"/>
        </w:rPr>
      </w:pPr>
      <w:r>
        <w:rPr>
          <w:rFonts w:hint="eastAsia"/>
          <w:sz w:val="24"/>
          <w:szCs w:val="24"/>
        </w:rPr>
        <w:t>（6）《环境标志产品政府采购实施的意见》（财库[2006]90 号）；</w:t>
      </w:r>
    </w:p>
    <w:p>
      <w:pPr>
        <w:spacing w:line="360" w:lineRule="auto"/>
        <w:ind w:firstLine="480" w:firstLineChars="200"/>
        <w:rPr>
          <w:sz w:val="24"/>
          <w:szCs w:val="24"/>
        </w:rPr>
      </w:pPr>
      <w:r>
        <w:rPr>
          <w:rFonts w:hint="eastAsia"/>
          <w:sz w:val="24"/>
          <w:szCs w:val="24"/>
        </w:rPr>
        <w:t>（7） 《陕西省中小企业政府采购信用融资办法》（陕财办采〔2018〕23 号）。</w:t>
      </w:r>
    </w:p>
    <w:p>
      <w:pPr>
        <w:spacing w:line="360" w:lineRule="auto"/>
        <w:rPr>
          <w:sz w:val="24"/>
          <w:szCs w:val="24"/>
        </w:rPr>
      </w:pPr>
      <w:r>
        <w:rPr>
          <w:rFonts w:hint="eastAsia"/>
          <w:sz w:val="24"/>
          <w:szCs w:val="24"/>
        </w:rPr>
        <w:t>在政府采购活动中，供应商提供的货物、工程 或者服务符合下列情形的，享受管理办法规定的中小企业扶持政策：</w:t>
      </w:r>
    </w:p>
    <w:p>
      <w:pPr>
        <w:spacing w:line="360" w:lineRule="auto"/>
        <w:ind w:firstLine="480" w:firstLineChars="200"/>
        <w:rPr>
          <w:sz w:val="24"/>
          <w:szCs w:val="24"/>
        </w:rPr>
      </w:pPr>
      <w:r>
        <w:rPr>
          <w:rFonts w:hint="eastAsia"/>
          <w:sz w:val="24"/>
          <w:szCs w:val="24"/>
        </w:rPr>
        <w:t>1）在货物采购项目中，货物由中小企业制造，即货物由中小企业生产且使用该中小企业商号或者注册商标；</w:t>
      </w:r>
    </w:p>
    <w:p>
      <w:pPr>
        <w:spacing w:line="360" w:lineRule="auto"/>
        <w:ind w:firstLine="480" w:firstLineChars="200"/>
        <w:rPr>
          <w:sz w:val="24"/>
          <w:szCs w:val="24"/>
        </w:rPr>
      </w:pPr>
      <w:r>
        <w:rPr>
          <w:rFonts w:hint="eastAsia"/>
          <w:sz w:val="24"/>
          <w:szCs w:val="24"/>
        </w:rPr>
        <w:t>2）在工程采购项目中，工程由中小企业承建，即工程施工单位为中小企业；</w:t>
      </w:r>
    </w:p>
    <w:p>
      <w:pPr>
        <w:spacing w:line="360" w:lineRule="auto"/>
        <w:ind w:firstLine="480" w:firstLineChars="200"/>
        <w:rPr>
          <w:sz w:val="24"/>
          <w:szCs w:val="24"/>
        </w:rPr>
      </w:pPr>
      <w:r>
        <w:rPr>
          <w:rFonts w:hint="eastAsia"/>
          <w:sz w:val="24"/>
          <w:szCs w:val="24"/>
        </w:rPr>
        <w:t>3）在服务采购项目中，服务由中小企业承接，即提供服务的人员为中小企业依照《中华人民共和国劳动合同法》 订立劳动合同的从业人员。</w:t>
      </w:r>
    </w:p>
    <w:p>
      <w:pPr>
        <w:spacing w:line="360" w:lineRule="auto"/>
        <w:ind w:firstLine="480" w:firstLineChars="200"/>
        <w:rPr>
          <w:sz w:val="24"/>
          <w:szCs w:val="24"/>
        </w:rPr>
      </w:pPr>
      <w:r>
        <w:rPr>
          <w:rFonts w:hint="eastAsia"/>
          <w:sz w:val="24"/>
          <w:szCs w:val="24"/>
        </w:rPr>
        <w:t>在货物采购项目中，供应商提供的货物既有中小企业制造货物，也有大型企业制造货物的，不享受管理办法规定的中小企业扶持政策。</w:t>
      </w:r>
    </w:p>
    <w:p>
      <w:pPr>
        <w:spacing w:line="360" w:lineRule="auto"/>
        <w:ind w:firstLine="480" w:firstLineChars="200"/>
        <w:rPr>
          <w:sz w:val="24"/>
          <w:szCs w:val="24"/>
        </w:rPr>
      </w:pPr>
      <w:r>
        <w:rPr>
          <w:rFonts w:hint="eastAsia"/>
          <w:sz w:val="24"/>
          <w:szCs w:val="24"/>
        </w:rPr>
        <w:t>以联合体形式参加政府采购活动，联合体各方均为中小企业的，联合体视同</w:t>
      </w:r>
    </w:p>
    <w:p>
      <w:pPr>
        <w:spacing w:line="360" w:lineRule="auto"/>
        <w:rPr>
          <w:sz w:val="24"/>
          <w:szCs w:val="24"/>
        </w:rPr>
      </w:pPr>
      <w:r>
        <w:rPr>
          <w:rFonts w:hint="eastAsia"/>
          <w:sz w:val="24"/>
          <w:szCs w:val="24"/>
        </w:rPr>
        <w:t>中小企业。其中，联合体各方均为小微企业的，联合体视同小微企业。</w:t>
      </w:r>
    </w:p>
    <w:p>
      <w:pPr>
        <w:spacing w:line="360" w:lineRule="auto"/>
        <w:ind w:firstLine="482" w:firstLineChars="200"/>
        <w:rPr>
          <w:b/>
          <w:bCs/>
          <w:sz w:val="24"/>
          <w:szCs w:val="24"/>
        </w:rPr>
      </w:pPr>
      <w:r>
        <w:rPr>
          <w:rFonts w:hint="eastAsia"/>
          <w:b/>
          <w:bCs/>
          <w:sz w:val="24"/>
          <w:szCs w:val="24"/>
        </w:rPr>
        <w:t>供应商为非联合体参与投标的情况：</w:t>
      </w:r>
    </w:p>
    <w:p>
      <w:pPr>
        <w:spacing w:line="360" w:lineRule="auto"/>
        <w:ind w:firstLine="480" w:firstLineChars="200"/>
        <w:rPr>
          <w:sz w:val="24"/>
          <w:szCs w:val="24"/>
        </w:rPr>
      </w:pPr>
      <w:r>
        <w:rPr>
          <w:rFonts w:hint="eastAsia"/>
          <w:sz w:val="24"/>
          <w:szCs w:val="24"/>
        </w:rPr>
        <w:t>①根据《政府采购促进中小企业发展管理办法》的相关规定，对于经主管预算单位统筹后未预留份额专门面向中小企业采购的采购项目，以及预留份额项目中的非预</w:t>
      </w:r>
      <w:r>
        <w:rPr>
          <w:rFonts w:hint="eastAsia"/>
          <w:sz w:val="24"/>
          <w:szCs w:val="24"/>
          <w:lang w:val="en-US" w:eastAsia="zh-CN"/>
        </w:rPr>
        <w:t>10</w:t>
      </w:r>
      <w:r>
        <w:rPr>
          <w:rFonts w:hint="eastAsia"/>
          <w:sz w:val="24"/>
          <w:szCs w:val="24"/>
        </w:rPr>
        <w:t>%的扣除，用扣除后的价格参加评审。</w:t>
      </w:r>
    </w:p>
    <w:p>
      <w:pPr>
        <w:spacing w:line="360" w:lineRule="auto"/>
        <w:ind w:firstLine="480" w:firstLineChars="200"/>
        <w:rPr>
          <w:sz w:val="24"/>
          <w:szCs w:val="24"/>
        </w:rPr>
      </w:pPr>
      <w:r>
        <w:rPr>
          <w:rFonts w:hint="eastAsia"/>
          <w:sz w:val="24"/>
          <w:szCs w:val="24"/>
        </w:rPr>
        <w:t>②中小企业参加政府采购活动，应当出具管理办法规定的《中小企业声明函》，</w:t>
      </w:r>
    </w:p>
    <w:p>
      <w:pPr>
        <w:spacing w:line="360" w:lineRule="auto"/>
        <w:rPr>
          <w:sz w:val="24"/>
          <w:szCs w:val="24"/>
        </w:rPr>
      </w:pPr>
      <w:r>
        <w:rPr>
          <w:rFonts w:hint="eastAsia"/>
          <w:sz w:val="24"/>
          <w:szCs w:val="24"/>
        </w:rPr>
        <w:t>否则不得享受相关中小企业扶持政策。任何单位和个人不得要求供应商提供《中小企业声明函》之外的中小企业身份证明文件。</w:t>
      </w:r>
    </w:p>
    <w:p>
      <w:pPr>
        <w:spacing w:line="360" w:lineRule="auto"/>
        <w:ind w:firstLine="480" w:firstLineChars="200"/>
        <w:rPr>
          <w:sz w:val="24"/>
          <w:szCs w:val="24"/>
        </w:rPr>
      </w:pPr>
      <w:r>
        <w:rPr>
          <w:rFonts w:hint="eastAsia"/>
          <w:sz w:val="24"/>
          <w:szCs w:val="24"/>
        </w:rPr>
        <w:t>③根据《财政部民政部中国残疾人联合会关于促进残疾人就业政府采购政策的通知》（财库〔2017〕141 号）的规定，对符合条件的残疾人福利性单位产品的价格给予</w:t>
      </w:r>
      <w:r>
        <w:rPr>
          <w:rFonts w:hint="eastAsia"/>
          <w:sz w:val="24"/>
          <w:szCs w:val="24"/>
          <w:lang w:val="en-US" w:eastAsia="zh-CN"/>
        </w:rPr>
        <w:t>10</w:t>
      </w:r>
      <w:r>
        <w:rPr>
          <w:rFonts w:hint="eastAsia"/>
          <w:sz w:val="24"/>
          <w:szCs w:val="24"/>
        </w:rPr>
        <w:t>%的扣除，用扣除后的价格参与评审。</w:t>
      </w:r>
    </w:p>
    <w:p>
      <w:pPr>
        <w:spacing w:line="360" w:lineRule="auto"/>
        <w:ind w:firstLine="480" w:firstLineChars="200"/>
        <w:rPr>
          <w:sz w:val="24"/>
          <w:szCs w:val="24"/>
        </w:rPr>
      </w:pPr>
      <w:r>
        <w:rPr>
          <w:rFonts w:hint="eastAsia"/>
          <w:sz w:val="24"/>
          <w:szCs w:val="24"/>
        </w:rPr>
        <w:t>④中小企业、监狱企业级和残疾人福利企业优惠政策同中小企业，以上政策同时具备的仅对其进行一次</w:t>
      </w:r>
      <w:r>
        <w:rPr>
          <w:rFonts w:hint="eastAsia"/>
          <w:sz w:val="24"/>
          <w:szCs w:val="24"/>
          <w:lang w:val="en-US" w:eastAsia="zh-CN"/>
        </w:rPr>
        <w:t>10</w:t>
      </w:r>
      <w:r>
        <w:rPr>
          <w:rFonts w:hint="eastAsia"/>
          <w:sz w:val="24"/>
          <w:szCs w:val="24"/>
        </w:rPr>
        <w:t>%的价格扣除，不重复扣除。</w:t>
      </w:r>
    </w:p>
    <w:p>
      <w:pPr>
        <w:spacing w:line="360" w:lineRule="auto"/>
        <w:ind w:firstLine="480" w:firstLineChars="200"/>
        <w:rPr>
          <w:sz w:val="24"/>
          <w:szCs w:val="24"/>
        </w:rPr>
      </w:pPr>
      <w:r>
        <w:rPr>
          <w:rFonts w:hint="eastAsia"/>
          <w:sz w:val="24"/>
          <w:szCs w:val="24"/>
        </w:rPr>
        <w:t>评审过程中，如涉及，在同等条件下优先采购具有环境标志、节能、自主创新的产品。</w:t>
      </w:r>
    </w:p>
    <w:p>
      <w:pPr>
        <w:spacing w:line="360" w:lineRule="auto"/>
        <w:ind w:firstLine="480" w:firstLineChars="200"/>
        <w:rPr>
          <w:sz w:val="24"/>
          <w:szCs w:val="24"/>
        </w:rPr>
      </w:pPr>
      <w:r>
        <w:rPr>
          <w:rFonts w:hint="eastAsia"/>
          <w:sz w:val="24"/>
          <w:szCs w:val="24"/>
        </w:rPr>
        <w:t>环境标志产品是指由财政部、国家环境保护总局颁布的环境标志产品政府采购清单”中的有效期内的产品。其评标价=投标报价*（1-1%）；</w:t>
      </w:r>
    </w:p>
    <w:p>
      <w:pPr>
        <w:spacing w:line="360" w:lineRule="auto"/>
        <w:ind w:firstLine="480" w:firstLineChars="200"/>
        <w:rPr>
          <w:sz w:val="24"/>
          <w:szCs w:val="24"/>
        </w:rPr>
      </w:pPr>
      <w:r>
        <w:rPr>
          <w:rFonts w:hint="eastAsia"/>
          <w:sz w:val="24"/>
          <w:szCs w:val="24"/>
        </w:rPr>
        <w:t>节能产品是指由财政部、国家发展改革委颁布的“节能产品政府采购清单”中的有效期内的产品。其评标价=投标报价*（1-3%）；</w:t>
      </w:r>
    </w:p>
    <w:p>
      <w:pPr>
        <w:spacing w:line="360" w:lineRule="auto"/>
        <w:ind w:firstLine="480" w:firstLineChars="200"/>
        <w:rPr>
          <w:sz w:val="24"/>
          <w:szCs w:val="24"/>
        </w:rPr>
      </w:pPr>
      <w:r>
        <w:rPr>
          <w:rFonts w:hint="eastAsia"/>
          <w:sz w:val="24"/>
          <w:szCs w:val="24"/>
        </w:rPr>
        <w:t>根据《政府采购促进中小企业发展管理办法》及《财政部司法部关于政府采购支持监狱企业发展有关问题的通知》，属中小企业的，投标人须提供《中小企业声明函》，其划型标准严格按照工业和信息化部、国家统计局、国家发展和改革委员会、财政部出台的《中小企业划型标准规定》（工信部联企业[2011]300号）执行。提供其他小微企业制造的货物时还需提供货物制造商的小微企业声明函。</w:t>
      </w:r>
    </w:p>
    <w:p>
      <w:pPr>
        <w:spacing w:line="360" w:lineRule="auto"/>
        <w:ind w:firstLine="480" w:firstLineChars="200"/>
        <w:rPr>
          <w:sz w:val="24"/>
          <w:szCs w:val="24"/>
        </w:rPr>
      </w:pPr>
      <w:r>
        <w:rPr>
          <w:rFonts w:hint="eastAsia"/>
          <w:sz w:val="24"/>
          <w:szCs w:val="24"/>
        </w:rPr>
        <w:t>投标人提供的《中小企业声明函》必须真实有效，如果被举报经查实出具虚假声明函的，将被取消投标资格，并按有关规定予以处理。监狱、戒毒企业视同小微企业，享受政府采购相关政策；</w:t>
      </w:r>
    </w:p>
    <w:p>
      <w:pPr>
        <w:spacing w:line="360" w:lineRule="auto"/>
        <w:ind w:firstLine="480" w:firstLineChars="200"/>
        <w:rPr>
          <w:sz w:val="24"/>
          <w:szCs w:val="24"/>
        </w:rPr>
      </w:pPr>
      <w:r>
        <w:rPr>
          <w:rFonts w:hint="eastAsia"/>
          <w:sz w:val="24"/>
          <w:szCs w:val="24"/>
        </w:rPr>
        <w:t>监狱和戒毒企业须提供由省级以上监狱管理局、戒毒管理局(含新疆生产建设兵团)出具的属于监狱企业的证明文件。</w:t>
      </w:r>
    </w:p>
    <w:p>
      <w:pPr>
        <w:spacing w:line="360" w:lineRule="auto"/>
        <w:ind w:firstLine="480" w:firstLineChars="200"/>
        <w:rPr>
          <w:sz w:val="24"/>
          <w:szCs w:val="24"/>
        </w:rPr>
      </w:pPr>
      <w:r>
        <w:rPr>
          <w:rFonts w:hint="eastAsia"/>
          <w:sz w:val="24"/>
          <w:szCs w:val="24"/>
        </w:rPr>
        <w:t>根据《财政部 民政部 中国残疾人联合会关于促进残疾人就业政府采购政策</w:t>
      </w:r>
    </w:p>
    <w:p>
      <w:pPr>
        <w:spacing w:line="360" w:lineRule="auto"/>
        <w:rPr>
          <w:sz w:val="24"/>
          <w:szCs w:val="24"/>
        </w:rPr>
      </w:pPr>
      <w:r>
        <w:rPr>
          <w:rFonts w:hint="eastAsia"/>
          <w:sz w:val="24"/>
          <w:szCs w:val="24"/>
        </w:rPr>
        <w:t>的通知》（财库〔2017〕，符合条件的残疾人福利性单位在参加政府采购活动时，</w:t>
      </w:r>
    </w:p>
    <w:p>
      <w:pPr>
        <w:spacing w:line="360" w:lineRule="auto"/>
        <w:rPr>
          <w:sz w:val="24"/>
          <w:szCs w:val="24"/>
        </w:rPr>
      </w:pPr>
      <w:r>
        <w:rPr>
          <w:rFonts w:hint="eastAsia"/>
          <w:sz w:val="24"/>
          <w:szCs w:val="24"/>
        </w:rPr>
        <w:t>应当提供本通知规定的《残疾人福利性单位声明函》（见附件），并对声明的真</w:t>
      </w:r>
    </w:p>
    <w:p>
      <w:pPr>
        <w:spacing w:line="360" w:lineRule="auto"/>
        <w:rPr>
          <w:sz w:val="24"/>
          <w:szCs w:val="24"/>
        </w:rPr>
      </w:pPr>
      <w:r>
        <w:rPr>
          <w:rFonts w:hint="eastAsia"/>
          <w:sz w:val="24"/>
          <w:szCs w:val="24"/>
        </w:rPr>
        <w:t>实性负责。中标、成交供应商为残疾人福利性单位的，采购人或者其委托的采购</w:t>
      </w:r>
    </w:p>
    <w:p>
      <w:pPr>
        <w:spacing w:line="360" w:lineRule="auto"/>
        <w:rPr>
          <w:sz w:val="24"/>
          <w:szCs w:val="24"/>
        </w:rPr>
      </w:pPr>
      <w:r>
        <w:rPr>
          <w:rFonts w:hint="eastAsia"/>
          <w:sz w:val="24"/>
          <w:szCs w:val="24"/>
        </w:rPr>
        <w:t>代理机构应当随中标、成交结果同时公告其《残疾人福利性单位声明函》，接受</w:t>
      </w:r>
    </w:p>
    <w:p>
      <w:pPr>
        <w:spacing w:line="360" w:lineRule="auto"/>
        <w:rPr>
          <w:sz w:val="24"/>
          <w:szCs w:val="24"/>
        </w:rPr>
      </w:pPr>
      <w:r>
        <w:rPr>
          <w:rFonts w:hint="eastAsia"/>
          <w:sz w:val="24"/>
          <w:szCs w:val="24"/>
        </w:rPr>
        <w:t>社会监督。投标人提供的《残疾人福利性单位声明函》与事实不符的，依照《政</w:t>
      </w:r>
    </w:p>
    <w:p>
      <w:pPr>
        <w:spacing w:line="360" w:lineRule="auto"/>
        <w:rPr>
          <w:sz w:val="24"/>
          <w:szCs w:val="24"/>
        </w:rPr>
      </w:pPr>
      <w:r>
        <w:rPr>
          <w:rFonts w:hint="eastAsia"/>
          <w:sz w:val="24"/>
          <w:szCs w:val="24"/>
        </w:rPr>
        <w:t>府采购法》第七十七条第一款的规定追究法律责任。</w:t>
      </w:r>
    </w:p>
    <w:p>
      <w:pPr>
        <w:rPr>
          <w:rFonts w:ascii="宋体" w:hAnsi="宋体" w:cs="宋体"/>
          <w:sz w:val="24"/>
          <w:szCs w:val="24"/>
        </w:rPr>
      </w:pPr>
      <w:r>
        <w:rPr>
          <w:rFonts w:hint="eastAsia" w:ascii="宋体" w:hAnsi="宋体" w:cs="宋体"/>
          <w:b/>
          <w:bCs/>
          <w:sz w:val="24"/>
          <w:szCs w:val="24"/>
        </w:rPr>
        <w:t>三、谈判方法</w:t>
      </w:r>
    </w:p>
    <w:p>
      <w:pPr>
        <w:spacing w:line="360" w:lineRule="auto"/>
        <w:ind w:firstLine="480" w:firstLineChars="200"/>
        <w:rPr>
          <w:rFonts w:ascii="宋体" w:hAnsi="宋体" w:cs="宋体"/>
          <w:sz w:val="24"/>
          <w:szCs w:val="24"/>
        </w:rPr>
      </w:pPr>
      <w:r>
        <w:rPr>
          <w:rFonts w:hint="eastAsia" w:ascii="宋体" w:hAnsi="宋体" w:cs="宋体"/>
          <w:sz w:val="24"/>
          <w:szCs w:val="24"/>
        </w:rPr>
        <w:t>1、谈判原则：按照财政部令《第 74 号》文件精神，谈判方式应采取“符合采</w:t>
      </w:r>
    </w:p>
    <w:p>
      <w:pPr>
        <w:spacing w:line="360" w:lineRule="auto"/>
        <w:rPr>
          <w:rFonts w:ascii="宋体" w:hAnsi="宋体" w:cs="宋体"/>
          <w:sz w:val="24"/>
          <w:szCs w:val="24"/>
        </w:rPr>
      </w:pPr>
      <w:r>
        <w:rPr>
          <w:rFonts w:hint="eastAsia" w:ascii="宋体" w:hAnsi="宋体" w:cs="宋体"/>
          <w:sz w:val="24"/>
          <w:szCs w:val="24"/>
        </w:rPr>
        <w:t>购需求情况下，坚持低价优先原则。”谈判小组应当从质量和服务均能满足谈判文</w:t>
      </w:r>
    </w:p>
    <w:p>
      <w:pPr>
        <w:spacing w:line="360" w:lineRule="auto"/>
        <w:rPr>
          <w:rFonts w:ascii="宋体" w:hAnsi="宋体" w:cs="宋体"/>
          <w:sz w:val="24"/>
          <w:szCs w:val="24"/>
        </w:rPr>
      </w:pPr>
      <w:r>
        <w:rPr>
          <w:rFonts w:hint="eastAsia" w:ascii="宋体" w:hAnsi="宋体" w:cs="宋体"/>
          <w:sz w:val="24"/>
          <w:szCs w:val="24"/>
        </w:rPr>
        <w:t>件实质性要求的供应商中，按照最后报价由低到高的顺序推荐成交候选供应商，经</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sz w:val="24"/>
          <w:szCs w:val="24"/>
        </w:rPr>
      </w:pPr>
      <w:r>
        <w:rPr>
          <w:rFonts w:hint="eastAsia" w:ascii="宋体" w:hAnsi="宋体" w:cs="宋体"/>
          <w:sz w:val="24"/>
          <w:szCs w:val="24"/>
        </w:rPr>
        <w:t>采购人确认，以供应商的最低报价作为成交价格。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如提供相同品牌产品的不同供应商参加同一合同项下投标的，以其中通过资格审查、符合性审查、技术响应性审查且报价最低的参加评标；报价相同的，由采购人或者采购人委托谈判小组按照谈判文件规定的方式确定一个参加评标的供应商，谈判文件未规定的采取随机抽取方式确定，其他投标无效。</w:t>
      </w:r>
    </w:p>
    <w:p>
      <w:pPr>
        <w:spacing w:line="360" w:lineRule="auto"/>
        <w:ind w:firstLine="480" w:firstLineChars="200"/>
        <w:rPr>
          <w:rFonts w:ascii="宋体" w:hAnsi="宋体" w:cs="宋体"/>
          <w:sz w:val="24"/>
          <w:szCs w:val="24"/>
        </w:rPr>
      </w:pPr>
      <w:r>
        <w:rPr>
          <w:rFonts w:hint="eastAsia" w:ascii="宋体" w:hAnsi="宋体" w:cs="宋体"/>
          <w:sz w:val="24"/>
          <w:szCs w:val="24"/>
        </w:rPr>
        <w:t>2、谈判程序：分步评审，每一步评审不符合者，不进入下一步评审。谈判开始</w:t>
      </w:r>
    </w:p>
    <w:p>
      <w:pPr>
        <w:spacing w:line="360" w:lineRule="auto"/>
        <w:rPr>
          <w:rFonts w:ascii="宋体" w:hAnsi="宋体" w:cs="宋体"/>
          <w:sz w:val="24"/>
          <w:szCs w:val="24"/>
        </w:rPr>
      </w:pPr>
      <w:r>
        <w:rPr>
          <w:rFonts w:hint="eastAsia" w:ascii="宋体" w:hAnsi="宋体" w:cs="宋体"/>
          <w:sz w:val="24"/>
          <w:szCs w:val="24"/>
        </w:rPr>
        <w:t>前将由监督人员当众检验谈判响应文件的密封情况，确认无误后方可进行拆封、谈判。由谈判小组成员集中与单一参加谈判的供应商分别进行谈判，可以进行</w:t>
      </w:r>
    </w:p>
    <w:p>
      <w:pPr>
        <w:spacing w:line="360" w:lineRule="auto"/>
        <w:rPr>
          <w:rFonts w:ascii="宋体" w:hAnsi="宋体" w:cs="宋体"/>
          <w:sz w:val="24"/>
          <w:szCs w:val="24"/>
        </w:rPr>
      </w:pPr>
      <w:r>
        <w:rPr>
          <w:rFonts w:hint="eastAsia" w:ascii="宋体" w:hAnsi="宋体" w:cs="宋体"/>
          <w:sz w:val="24"/>
          <w:szCs w:val="24"/>
        </w:rPr>
        <w:t>多轮报价，直至采购方满意为止。</w:t>
      </w:r>
    </w:p>
    <w:p>
      <w:pPr>
        <w:spacing w:line="360" w:lineRule="auto"/>
        <w:ind w:firstLine="480" w:firstLineChars="200"/>
        <w:rPr>
          <w:rFonts w:ascii="宋体" w:hAnsi="宋体" w:cs="宋体"/>
          <w:sz w:val="24"/>
          <w:szCs w:val="24"/>
        </w:rPr>
      </w:pPr>
      <w:r>
        <w:rPr>
          <w:rFonts w:hint="eastAsia" w:ascii="宋体" w:hAnsi="宋体" w:cs="宋体"/>
          <w:sz w:val="24"/>
          <w:szCs w:val="24"/>
        </w:rPr>
        <w:t>3、竞争性谈判确定的最终价格及服务等仍不能满足采购人的要求，采购人及谈</w:t>
      </w:r>
    </w:p>
    <w:p>
      <w:pPr>
        <w:spacing w:line="360" w:lineRule="auto"/>
        <w:rPr>
          <w:rFonts w:ascii="宋体" w:hAnsi="宋体" w:cs="宋体"/>
          <w:sz w:val="24"/>
          <w:szCs w:val="24"/>
        </w:rPr>
      </w:pPr>
      <w:r>
        <w:rPr>
          <w:rFonts w:hint="eastAsia" w:ascii="宋体" w:hAnsi="宋体" w:cs="宋体"/>
          <w:sz w:val="24"/>
          <w:szCs w:val="24"/>
        </w:rPr>
        <w:t>判小组将保留最终放弃本次谈判的权利。</w:t>
      </w:r>
    </w:p>
    <w:p>
      <w:pPr>
        <w:spacing w:line="360" w:lineRule="auto"/>
        <w:rPr>
          <w:rFonts w:ascii="宋体" w:hAnsi="宋体" w:cs="宋体"/>
          <w:sz w:val="24"/>
          <w:szCs w:val="24"/>
        </w:rPr>
      </w:pPr>
      <w:r>
        <w:rPr>
          <w:rFonts w:hint="eastAsia" w:ascii="宋体" w:hAnsi="宋体" w:cs="宋体"/>
          <w:b/>
          <w:bCs/>
          <w:sz w:val="24"/>
          <w:szCs w:val="24"/>
        </w:rPr>
        <w:t>四、成交：</w:t>
      </w:r>
    </w:p>
    <w:p>
      <w:pPr>
        <w:spacing w:line="360" w:lineRule="auto"/>
        <w:rPr>
          <w:rFonts w:ascii="宋体" w:hAnsi="宋体" w:cs="宋体"/>
          <w:sz w:val="24"/>
          <w:szCs w:val="24"/>
        </w:rPr>
      </w:pPr>
      <w:r>
        <w:rPr>
          <w:rFonts w:hint="eastAsia" w:ascii="宋体" w:hAnsi="宋体" w:cs="宋体"/>
          <w:sz w:val="24"/>
          <w:szCs w:val="24"/>
        </w:rPr>
        <w:t>1、评审结果报告由全体评委签字确认。</w:t>
      </w:r>
    </w:p>
    <w:p>
      <w:pPr>
        <w:spacing w:line="360" w:lineRule="auto"/>
        <w:rPr>
          <w:rFonts w:ascii="宋体" w:hAnsi="宋体" w:cs="宋体"/>
          <w:sz w:val="24"/>
          <w:szCs w:val="24"/>
        </w:rPr>
      </w:pPr>
      <w:r>
        <w:rPr>
          <w:rFonts w:hint="eastAsia" w:ascii="宋体" w:hAnsi="宋体" w:cs="宋体"/>
          <w:sz w:val="24"/>
          <w:szCs w:val="24"/>
        </w:rPr>
        <w:t>2、采购人根据谈判报告中推荐的成交候选人排列顺序确定成交人，以复函通知采购代理公司。</w:t>
      </w:r>
    </w:p>
    <w:p>
      <w:pPr>
        <w:pStyle w:val="4"/>
        <w:spacing w:line="360" w:lineRule="auto"/>
        <w:jc w:val="center"/>
        <w:rPr>
          <w:rFonts w:ascii="宋体" w:hAnsi="宋体" w:cs="宋体"/>
          <w:sz w:val="36"/>
          <w:szCs w:val="22"/>
        </w:rPr>
        <w:sectPr>
          <w:footnotePr>
            <w:pos w:val="beneathText"/>
          </w:footnotePr>
          <w:pgSz w:w="11906" w:h="16838"/>
          <w:pgMar w:top="1701" w:right="1418" w:bottom="1701" w:left="1418" w:header="1091" w:footer="992" w:gutter="0"/>
          <w:pgNumType w:fmt="decimal"/>
          <w:cols w:space="720" w:num="1"/>
          <w:titlePg/>
          <w:docGrid w:type="lines" w:linePitch="312" w:charSpace="0"/>
        </w:sectPr>
      </w:pPr>
    </w:p>
    <w:p>
      <w:pPr>
        <w:pStyle w:val="4"/>
        <w:spacing w:line="360" w:lineRule="auto"/>
        <w:jc w:val="center"/>
        <w:rPr>
          <w:rFonts w:ascii="宋体" w:hAnsi="宋体" w:cs="宋体"/>
          <w:b w:val="0"/>
          <w:bCs/>
          <w:sz w:val="32"/>
          <w:szCs w:val="32"/>
        </w:rPr>
      </w:pPr>
      <w:bookmarkStart w:id="315" w:name="_Toc29159"/>
      <w:r>
        <w:rPr>
          <w:rFonts w:hint="eastAsia" w:ascii="宋体" w:hAnsi="宋体" w:cs="宋体"/>
          <w:sz w:val="36"/>
          <w:szCs w:val="22"/>
        </w:rPr>
        <w:t>第</w:t>
      </w:r>
      <w:r>
        <w:rPr>
          <w:rFonts w:hint="eastAsia" w:ascii="宋体" w:hAnsi="宋体" w:cs="宋体"/>
          <w:sz w:val="36"/>
          <w:szCs w:val="22"/>
          <w:lang w:eastAsia="zh-CN"/>
        </w:rPr>
        <w:t>七</w:t>
      </w:r>
      <w:r>
        <w:rPr>
          <w:rFonts w:hint="eastAsia" w:ascii="宋体" w:hAnsi="宋体" w:cs="宋体"/>
          <w:sz w:val="36"/>
          <w:szCs w:val="22"/>
        </w:rPr>
        <w:t>部分  竞争性谈判响应文件格式</w:t>
      </w:r>
      <w:bookmarkEnd w:id="315"/>
    </w:p>
    <w:p>
      <w:pPr>
        <w:spacing w:line="360" w:lineRule="auto"/>
        <w:rPr>
          <w:rFonts w:ascii="宋体" w:hAnsi="宋体" w:cs="宋体"/>
          <w:bCs/>
          <w:sz w:val="28"/>
          <w:szCs w:val="28"/>
        </w:rPr>
      </w:pPr>
      <w:r>
        <w:rPr>
          <w:rFonts w:hint="eastAsia" w:ascii="宋体" w:hAnsi="宋体" w:cs="宋体"/>
          <w:b/>
          <w:bCs/>
          <w:sz w:val="32"/>
          <w:szCs w:val="32"/>
        </w:rPr>
        <w:t>（封面）</w:t>
      </w:r>
      <w:r>
        <w:rPr>
          <w:rFonts w:hint="eastAsia" w:ascii="宋体" w:hAnsi="宋体" w:cs="宋体"/>
          <w:b/>
          <w:bCs/>
          <w:sz w:val="24"/>
          <w:szCs w:val="24"/>
        </w:rPr>
        <w:t xml:space="preserve">                                                  </w:t>
      </w:r>
      <w:r>
        <w:rPr>
          <w:rFonts w:hint="eastAsia" w:ascii="宋体" w:hAnsi="宋体" w:cs="宋体"/>
          <w:b/>
          <w:kern w:val="0"/>
          <w:sz w:val="36"/>
          <w:szCs w:val="36"/>
          <w:bdr w:val="single" w:color="auto" w:sz="4" w:space="0"/>
        </w:rPr>
        <w:t>正/副本</w:t>
      </w:r>
    </w:p>
    <w:p>
      <w:pPr>
        <w:spacing w:line="360" w:lineRule="auto"/>
        <w:jc w:val="left"/>
        <w:rPr>
          <w:rFonts w:ascii="宋体" w:hAnsi="宋体" w:cs="宋体"/>
          <w:b/>
          <w:sz w:val="28"/>
          <w:szCs w:val="28"/>
        </w:rPr>
      </w:pPr>
      <w:r>
        <w:rPr>
          <w:rFonts w:hint="eastAsia" w:ascii="宋体" w:hAnsi="宋体" w:cs="宋体"/>
          <w:b/>
          <w:sz w:val="28"/>
          <w:szCs w:val="28"/>
        </w:rPr>
        <w:t>采购项目编号：</w:t>
      </w:r>
      <w:bookmarkEnd w:id="303"/>
    </w:p>
    <w:p>
      <w:pPr>
        <w:pStyle w:val="11"/>
      </w:pPr>
    </w:p>
    <w:p/>
    <w:p>
      <w:pPr>
        <w:pStyle w:val="11"/>
        <w:jc w:val="center"/>
        <w:rPr>
          <w:rFonts w:hint="eastAsia" w:ascii="宋体" w:hAnsi="宋体" w:eastAsia="宋体" w:cs="宋体"/>
          <w:b/>
          <w:bCs/>
          <w:spacing w:val="15"/>
          <w:sz w:val="40"/>
          <w:szCs w:val="40"/>
          <w:lang w:eastAsia="zh-CN"/>
        </w:rPr>
      </w:pPr>
      <w:r>
        <w:rPr>
          <w:rFonts w:hint="eastAsia" w:ascii="宋体" w:hAnsi="宋体" w:cs="宋体"/>
          <w:b/>
          <w:bCs/>
          <w:spacing w:val="15"/>
          <w:sz w:val="40"/>
          <w:szCs w:val="40"/>
          <w:lang w:val="en-US" w:eastAsia="zh-CN"/>
        </w:rPr>
        <w:t>神木市中鸡镇人民政府垃圾箱采购项目二次</w:t>
      </w:r>
    </w:p>
    <w:p>
      <w:pPr>
        <w:rPr>
          <w:rFonts w:ascii="宋体" w:hAnsi="宋体" w:cs="宋体"/>
          <w:b/>
          <w:bCs/>
          <w:spacing w:val="15"/>
          <w:sz w:val="52"/>
          <w:szCs w:val="52"/>
        </w:rPr>
      </w:pPr>
    </w:p>
    <w:p>
      <w:pPr>
        <w:pStyle w:val="35"/>
      </w:pPr>
    </w:p>
    <w:p>
      <w:pPr>
        <w:pStyle w:val="11"/>
      </w:pPr>
    </w:p>
    <w:p/>
    <w:p>
      <w:pPr>
        <w:spacing w:line="360" w:lineRule="auto"/>
        <w:jc w:val="center"/>
        <w:rPr>
          <w:rFonts w:ascii="宋体" w:hAnsi="宋体" w:cs="宋体"/>
          <w:b/>
          <w:sz w:val="24"/>
          <w:szCs w:val="24"/>
        </w:rPr>
      </w:pPr>
      <w:r>
        <w:rPr>
          <w:rFonts w:hint="eastAsia" w:ascii="宋体" w:hAnsi="宋体" w:cs="宋体"/>
          <w:b/>
          <w:sz w:val="72"/>
          <w:szCs w:val="72"/>
        </w:rPr>
        <w:t>竞争性谈判响应文件</w:t>
      </w:r>
      <w:r>
        <w:rPr>
          <w:rFonts w:hint="eastAsia" w:ascii="宋体" w:hAnsi="宋体" w:cs="宋体"/>
          <w:b/>
          <w:sz w:val="24"/>
          <w:szCs w:val="24"/>
        </w:rPr>
        <w:t xml:space="preserve"> </w:t>
      </w:r>
    </w:p>
    <w:p/>
    <w:p>
      <w:pPr>
        <w:pStyle w:val="10"/>
      </w:pPr>
    </w:p>
    <w:p>
      <w:pPr>
        <w:pStyle w:val="10"/>
      </w:pPr>
    </w:p>
    <w:p>
      <w:pPr>
        <w:pStyle w:val="10"/>
      </w:pPr>
    </w:p>
    <w:p>
      <w:pPr>
        <w:rPr>
          <w:rFonts w:hint="eastAsia"/>
          <w:lang w:eastAsia="zh-CN"/>
        </w:rPr>
      </w:pPr>
      <w:r>
        <w:rPr>
          <w:rFonts w:hint="eastAsia"/>
          <w:lang w:eastAsia="zh-CN"/>
        </w:rPr>
        <w:t>、</w:t>
      </w:r>
    </w:p>
    <w:p>
      <w:pPr>
        <w:pStyle w:val="35"/>
        <w:rPr>
          <w:rFonts w:hint="eastAsia"/>
          <w:lang w:eastAsia="zh-CN"/>
        </w:rPr>
      </w:pPr>
    </w:p>
    <w:p>
      <w:pPr>
        <w:pStyle w:val="11"/>
      </w:pPr>
    </w:p>
    <w:p>
      <w:pPr>
        <w:spacing w:line="360" w:lineRule="auto"/>
        <w:jc w:val="center"/>
        <w:rPr>
          <w:rFonts w:ascii="宋体" w:hAnsi="宋体" w:cs="宋体"/>
          <w:b/>
          <w:sz w:val="28"/>
          <w:szCs w:val="22"/>
        </w:rPr>
      </w:pPr>
      <w:r>
        <w:rPr>
          <w:rFonts w:hint="eastAsia" w:ascii="宋体" w:hAnsi="宋体" w:cs="宋体"/>
          <w:b/>
          <w:sz w:val="28"/>
          <w:szCs w:val="22"/>
          <w:lang w:eastAsia="zh-CN"/>
        </w:rPr>
        <w:t>谈判供应商</w:t>
      </w:r>
      <w:r>
        <w:rPr>
          <w:rFonts w:hint="eastAsia" w:ascii="宋体" w:hAnsi="宋体" w:cs="宋体"/>
          <w:b/>
          <w:sz w:val="28"/>
          <w:szCs w:val="22"/>
        </w:rPr>
        <w:t>：</w:t>
      </w:r>
      <w:r>
        <w:rPr>
          <w:rFonts w:hint="eastAsia" w:ascii="宋体" w:hAnsi="宋体" w:cs="宋体"/>
          <w:b/>
          <w:sz w:val="28"/>
          <w:u w:val="single"/>
        </w:rPr>
        <w:t xml:space="preserve">                     </w:t>
      </w:r>
      <w:r>
        <w:rPr>
          <w:rFonts w:hint="eastAsia" w:ascii="宋体" w:hAnsi="宋体" w:cs="宋体"/>
          <w:b/>
          <w:sz w:val="28"/>
          <w:szCs w:val="22"/>
        </w:rPr>
        <w:t>（盖章）</w:t>
      </w:r>
    </w:p>
    <w:p>
      <w:pPr>
        <w:spacing w:line="360" w:lineRule="auto"/>
        <w:ind w:firstLine="1265" w:firstLineChars="450"/>
        <w:rPr>
          <w:rFonts w:ascii="宋体" w:hAnsi="宋体" w:cs="宋体"/>
          <w:b/>
          <w:sz w:val="28"/>
          <w:szCs w:val="22"/>
        </w:rPr>
      </w:pPr>
    </w:p>
    <w:p>
      <w:pPr>
        <w:spacing w:line="360" w:lineRule="auto"/>
        <w:ind w:firstLine="1687" w:firstLineChars="600"/>
        <w:rPr>
          <w:rFonts w:ascii="宋体" w:hAnsi="宋体" w:cs="宋体"/>
          <w:b/>
          <w:sz w:val="28"/>
          <w:szCs w:val="22"/>
        </w:rPr>
      </w:pPr>
      <w:r>
        <w:rPr>
          <w:rFonts w:hint="eastAsia" w:ascii="宋体" w:hAnsi="宋体" w:cs="宋体"/>
          <w:b/>
          <w:sz w:val="28"/>
          <w:szCs w:val="22"/>
        </w:rPr>
        <w:t>法定代表人或被授权人（签字或盖章）：</w:t>
      </w:r>
    </w:p>
    <w:p>
      <w:pPr>
        <w:spacing w:line="360" w:lineRule="auto"/>
        <w:jc w:val="center"/>
        <w:rPr>
          <w:rFonts w:ascii="宋体" w:hAnsi="宋体" w:cs="宋体"/>
          <w:b/>
          <w:sz w:val="28"/>
          <w:szCs w:val="22"/>
        </w:rPr>
      </w:pPr>
    </w:p>
    <w:p>
      <w:pPr>
        <w:spacing w:line="360" w:lineRule="auto"/>
        <w:jc w:val="center"/>
        <w:rPr>
          <w:rFonts w:ascii="宋体" w:hAnsi="宋体" w:cs="宋体"/>
          <w:b/>
          <w:sz w:val="28"/>
          <w:szCs w:val="22"/>
        </w:rPr>
      </w:pPr>
      <w:r>
        <w:rPr>
          <w:rFonts w:hint="eastAsia" w:ascii="宋体" w:hAnsi="宋体" w:cs="宋体"/>
          <w:b/>
          <w:sz w:val="28"/>
          <w:szCs w:val="22"/>
          <w:lang w:val="en-US" w:eastAsia="zh-CN"/>
        </w:rPr>
        <w:t>2022</w:t>
      </w:r>
      <w:r>
        <w:rPr>
          <w:rFonts w:hint="eastAsia" w:ascii="宋体" w:hAnsi="宋体" w:cs="宋体"/>
          <w:b/>
          <w:sz w:val="28"/>
          <w:szCs w:val="22"/>
        </w:rPr>
        <w:t>年   月</w:t>
      </w:r>
    </w:p>
    <w:p>
      <w:pPr>
        <w:rPr>
          <w:sz w:val="24"/>
          <w:szCs w:val="24"/>
        </w:rPr>
        <w:sectPr>
          <w:footnotePr>
            <w:pos w:val="beneathText"/>
          </w:footnotePr>
          <w:pgSz w:w="11906" w:h="16838"/>
          <w:pgMar w:top="1701" w:right="1418" w:bottom="1701" w:left="1418" w:header="1091" w:footer="992" w:gutter="0"/>
          <w:pgNumType w:fmt="decimal"/>
          <w:cols w:space="720" w:num="1"/>
          <w:titlePg/>
          <w:docGrid w:type="lines" w:linePitch="312" w:charSpace="0"/>
        </w:sectPr>
      </w:pPr>
      <w:bookmarkStart w:id="316" w:name="_Toc357087380"/>
      <w:bookmarkStart w:id="317" w:name="_Toc21305"/>
    </w:p>
    <w:p>
      <w:bookmarkStart w:id="318" w:name="_Toc15746"/>
      <w:bookmarkStart w:id="319" w:name="_Toc6250"/>
      <w:bookmarkStart w:id="320" w:name="_Toc30709"/>
      <w:bookmarkStart w:id="321" w:name="_Toc465958130"/>
      <w:bookmarkStart w:id="322" w:name="_Toc24244"/>
      <w:bookmarkStart w:id="323" w:name="_Toc22764"/>
    </w:p>
    <w:p>
      <w:pPr>
        <w:tabs>
          <w:tab w:val="left" w:pos="3329"/>
        </w:tabs>
        <w:jc w:val="center"/>
        <w:rPr>
          <w:rFonts w:hint="eastAsia"/>
          <w:b/>
          <w:sz w:val="44"/>
        </w:rPr>
      </w:pPr>
    </w:p>
    <w:p>
      <w:pPr>
        <w:tabs>
          <w:tab w:val="left" w:pos="3329"/>
        </w:tabs>
        <w:jc w:val="center"/>
        <w:rPr>
          <w:b/>
          <w:sz w:val="44"/>
        </w:rPr>
      </w:pPr>
      <w:r>
        <w:rPr>
          <w:rFonts w:hint="eastAsia"/>
          <w:b/>
          <w:sz w:val="44"/>
        </w:rPr>
        <w:t>目  录</w:t>
      </w:r>
    </w:p>
    <w:p>
      <w:pPr>
        <w:jc w:val="center"/>
        <w:rPr>
          <w:rFonts w:hAnsi="宋体"/>
          <w:b/>
          <w:bCs/>
          <w:szCs w:val="24"/>
        </w:rPr>
      </w:pPr>
      <w:r>
        <w:rPr>
          <w:rFonts w:hint="eastAsia" w:ascii="宋体" w:hAnsi="宋体" w:cs="宋体"/>
          <w:b/>
          <w:bCs/>
          <w:kern w:val="0"/>
          <w:sz w:val="24"/>
          <w:szCs w:val="24"/>
        </w:rPr>
        <w:t>(引用三级目录）</w:t>
      </w:r>
    </w:p>
    <w:p>
      <w:pPr>
        <w:jc w:val="center"/>
        <w:rPr>
          <w:rFonts w:hAnsi="宋体"/>
          <w:b/>
          <w:bCs/>
          <w:sz w:val="44"/>
        </w:rPr>
      </w:pPr>
    </w:p>
    <w:p>
      <w:pPr>
        <w:pStyle w:val="5"/>
        <w:rPr>
          <w:rFonts w:ascii="宋体" w:hAnsi="宋体" w:eastAsia="宋体" w:cs="宋体"/>
          <w:szCs w:val="22"/>
        </w:rPr>
      </w:pPr>
    </w:p>
    <w:p>
      <w:pPr>
        <w:pStyle w:val="5"/>
        <w:rPr>
          <w:rFonts w:ascii="宋体" w:hAnsi="宋体" w:eastAsia="宋体" w:cs="宋体"/>
          <w:szCs w:val="22"/>
        </w:rPr>
      </w:pPr>
    </w:p>
    <w:p>
      <w:pPr>
        <w:pStyle w:val="5"/>
        <w:rPr>
          <w:rFonts w:ascii="宋体" w:hAnsi="宋体" w:eastAsia="宋体" w:cs="宋体"/>
          <w:szCs w:val="22"/>
        </w:rPr>
      </w:pPr>
    </w:p>
    <w:p>
      <w:pPr>
        <w:pStyle w:val="5"/>
        <w:rPr>
          <w:rFonts w:ascii="宋体" w:hAnsi="宋体" w:eastAsia="宋体" w:cs="宋体"/>
          <w:szCs w:val="22"/>
        </w:rPr>
      </w:pPr>
    </w:p>
    <w:p>
      <w:pPr>
        <w:pStyle w:val="5"/>
        <w:rPr>
          <w:rFonts w:ascii="宋体" w:hAnsi="宋体" w:eastAsia="宋体" w:cs="宋体"/>
          <w:szCs w:val="22"/>
        </w:rPr>
      </w:pPr>
    </w:p>
    <w:p>
      <w:pPr>
        <w:pStyle w:val="5"/>
        <w:rPr>
          <w:rFonts w:ascii="宋体" w:hAnsi="宋体" w:eastAsia="宋体" w:cs="宋体"/>
          <w:szCs w:val="22"/>
        </w:rPr>
      </w:pPr>
    </w:p>
    <w:p>
      <w:pPr>
        <w:pStyle w:val="5"/>
        <w:rPr>
          <w:rFonts w:ascii="宋体" w:hAnsi="宋体" w:eastAsia="宋体" w:cs="宋体"/>
          <w:szCs w:val="22"/>
        </w:rPr>
      </w:pPr>
    </w:p>
    <w:p>
      <w:pPr>
        <w:pStyle w:val="5"/>
        <w:rPr>
          <w:rFonts w:ascii="宋体" w:hAnsi="宋体" w:eastAsia="宋体" w:cs="宋体"/>
          <w:szCs w:val="22"/>
        </w:rPr>
      </w:pPr>
    </w:p>
    <w:p>
      <w:pPr>
        <w:pStyle w:val="5"/>
        <w:rPr>
          <w:rFonts w:ascii="宋体" w:hAnsi="宋体" w:eastAsia="宋体" w:cs="宋体"/>
          <w:szCs w:val="22"/>
        </w:rPr>
      </w:pPr>
    </w:p>
    <w:bookmarkEnd w:id="304"/>
    <w:bookmarkEnd w:id="316"/>
    <w:bookmarkEnd w:id="317"/>
    <w:bookmarkEnd w:id="318"/>
    <w:bookmarkEnd w:id="319"/>
    <w:bookmarkEnd w:id="320"/>
    <w:bookmarkEnd w:id="321"/>
    <w:bookmarkEnd w:id="322"/>
    <w:bookmarkEnd w:id="323"/>
    <w:p>
      <w:pPr>
        <w:spacing w:line="400" w:lineRule="atLeast"/>
        <w:ind w:firstLine="540" w:firstLineChars="225"/>
        <w:rPr>
          <w:rFonts w:ascii="宋体" w:hAnsi="宋体" w:cs="宋体"/>
          <w:sz w:val="24"/>
          <w:szCs w:val="24"/>
        </w:rPr>
      </w:pPr>
    </w:p>
    <w:p>
      <w:pPr>
        <w:spacing w:line="400" w:lineRule="atLeast"/>
        <w:ind w:firstLine="540" w:firstLineChars="225"/>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pStyle w:val="3"/>
        <w:rPr>
          <w:rFonts w:ascii="宋体" w:hAnsi="宋体" w:cs="宋体"/>
          <w:sz w:val="24"/>
          <w:szCs w:val="24"/>
        </w:rPr>
      </w:pPr>
    </w:p>
    <w:p>
      <w:pPr>
        <w:spacing w:line="360" w:lineRule="auto"/>
        <w:rPr>
          <w:rFonts w:ascii="宋体" w:hAnsi="宋体" w:cs="宋体"/>
          <w:sz w:val="24"/>
          <w:szCs w:val="24"/>
        </w:rPr>
      </w:pPr>
    </w:p>
    <w:p>
      <w:pPr>
        <w:pStyle w:val="5"/>
        <w:rPr>
          <w:rFonts w:ascii="宋体" w:hAnsi="宋体" w:cs="宋体"/>
          <w:sz w:val="24"/>
          <w:szCs w:val="24"/>
        </w:rPr>
      </w:pPr>
      <w:r>
        <w:rPr>
          <w:rFonts w:hint="eastAsia" w:ascii="宋体" w:hAnsi="宋体" w:eastAsia="宋体" w:cs="宋体"/>
          <w:szCs w:val="22"/>
        </w:rPr>
        <w:t>一、响应函</w:t>
      </w:r>
    </w:p>
    <w:bookmarkEnd w:id="305"/>
    <w:bookmarkEnd w:id="306"/>
    <w:p>
      <w:pPr>
        <w:spacing w:line="360" w:lineRule="auto"/>
        <w:rPr>
          <w:rFonts w:hint="eastAsia" w:ascii="宋体" w:hAnsi="宋体" w:eastAsia="宋体" w:cs="宋体"/>
          <w:sz w:val="24"/>
          <w:lang w:eastAsia="zh-CN"/>
        </w:rPr>
      </w:pPr>
      <w:bookmarkStart w:id="324" w:name="_Toc21360"/>
      <w:bookmarkStart w:id="325" w:name="_Toc190"/>
      <w:bookmarkStart w:id="326" w:name="_Toc25167"/>
      <w:bookmarkStart w:id="327" w:name="_Toc698"/>
      <w:bookmarkStart w:id="328" w:name="_Toc465958131"/>
      <w:r>
        <w:rPr>
          <w:rFonts w:hint="eastAsia" w:ascii="宋体" w:hAnsi="宋体" w:cs="宋体"/>
          <w:sz w:val="24"/>
        </w:rPr>
        <w:t>致：</w:t>
      </w:r>
      <w:r>
        <w:rPr>
          <w:rFonts w:hint="eastAsia" w:ascii="宋体" w:hAnsi="宋体" w:cs="宋体"/>
          <w:sz w:val="24"/>
          <w:lang w:eastAsia="zh-CN"/>
        </w:rPr>
        <w:t>采购人</w:t>
      </w:r>
    </w:p>
    <w:p>
      <w:pPr>
        <w:spacing w:line="400" w:lineRule="atLeast"/>
        <w:ind w:firstLine="540" w:firstLineChars="225"/>
        <w:rPr>
          <w:rFonts w:ascii="宋体" w:hAnsi="宋体" w:cs="宋体"/>
          <w:sz w:val="24"/>
        </w:rPr>
      </w:pPr>
      <w:r>
        <w:rPr>
          <w:rFonts w:hint="eastAsia" w:ascii="宋体" w:hAnsi="宋体" w:cs="宋体"/>
          <w:sz w:val="24"/>
        </w:rPr>
        <w:t>根据已收到贵方的采购项目编号为（采购项目编号）的（采购项目名称）的竞争性谈判文件，签字代表</w:t>
      </w:r>
      <w:r>
        <w:rPr>
          <w:rFonts w:hint="eastAsia" w:ascii="宋体" w:hAnsi="宋体" w:cs="宋体"/>
          <w:sz w:val="24"/>
          <w:u w:val="single"/>
        </w:rPr>
        <w:t xml:space="preserve">              </w:t>
      </w:r>
      <w:r>
        <w:rPr>
          <w:rFonts w:hint="eastAsia" w:ascii="宋体" w:hAnsi="宋体" w:cs="宋体"/>
          <w:sz w:val="24"/>
        </w:rPr>
        <w:t>(全名、职务)经正式授权并代表 (供应商名称、地址、统一社会信用代码）。</w:t>
      </w:r>
    </w:p>
    <w:p>
      <w:pPr>
        <w:spacing w:line="360" w:lineRule="auto"/>
        <w:rPr>
          <w:rFonts w:ascii="宋体" w:hAnsi="宋体" w:cs="宋体"/>
          <w:sz w:val="24"/>
        </w:rPr>
      </w:pPr>
      <w:r>
        <w:rPr>
          <w:rFonts w:hint="eastAsia" w:ascii="宋体" w:hAnsi="宋体" w:cs="宋体"/>
          <w:sz w:val="24"/>
        </w:rPr>
        <w:t xml:space="preserve">    (1) </w:t>
      </w:r>
      <w:r>
        <w:rPr>
          <w:rFonts w:hint="eastAsia" w:ascii="宋体" w:hAnsi="宋体" w:cs="宋体"/>
          <w:sz w:val="24"/>
          <w:szCs w:val="24"/>
        </w:rPr>
        <w:t>谈判函</w:t>
      </w:r>
    </w:p>
    <w:p>
      <w:pPr>
        <w:spacing w:line="360" w:lineRule="auto"/>
        <w:rPr>
          <w:rFonts w:ascii="宋体" w:hAnsi="宋体" w:cs="宋体"/>
          <w:sz w:val="24"/>
        </w:rPr>
      </w:pPr>
      <w:r>
        <w:rPr>
          <w:rFonts w:hint="eastAsia" w:ascii="宋体" w:hAnsi="宋体" w:cs="宋体"/>
          <w:sz w:val="24"/>
        </w:rPr>
        <w:t xml:space="preserve">    (2) 报价一览表</w:t>
      </w:r>
    </w:p>
    <w:p>
      <w:pPr>
        <w:spacing w:line="360" w:lineRule="auto"/>
        <w:rPr>
          <w:rFonts w:ascii="宋体" w:hAnsi="宋体" w:cs="宋体"/>
          <w:sz w:val="24"/>
        </w:rPr>
      </w:pPr>
      <w:r>
        <w:rPr>
          <w:rFonts w:hint="eastAsia" w:ascii="宋体" w:hAnsi="宋体" w:cs="宋体"/>
          <w:sz w:val="24"/>
        </w:rPr>
        <w:t xml:space="preserve">    (3) 按供应商须知要求提供的全部文件和竞争性谈判文件要求的响应文件。</w:t>
      </w:r>
    </w:p>
    <w:p>
      <w:pPr>
        <w:spacing w:line="360" w:lineRule="auto"/>
        <w:rPr>
          <w:rFonts w:ascii="宋体" w:hAnsi="宋体" w:cs="宋体"/>
          <w:sz w:val="24"/>
        </w:rPr>
      </w:pPr>
      <w:r>
        <w:rPr>
          <w:rFonts w:hint="eastAsia" w:ascii="宋体" w:hAnsi="宋体" w:cs="宋体"/>
          <w:sz w:val="24"/>
        </w:rPr>
        <w:t xml:space="preserve">    (4) 供应商资格证明文件。</w:t>
      </w:r>
    </w:p>
    <w:p>
      <w:pPr>
        <w:spacing w:line="360" w:lineRule="auto"/>
        <w:ind w:firstLine="480"/>
        <w:rPr>
          <w:rFonts w:ascii="宋体" w:hAnsi="宋体" w:cs="宋体"/>
          <w:sz w:val="24"/>
        </w:rPr>
      </w:pPr>
      <w:r>
        <w:rPr>
          <w:rFonts w:hint="eastAsia" w:ascii="宋体" w:hAnsi="宋体" w:cs="宋体"/>
          <w:sz w:val="24"/>
        </w:rPr>
        <w:t>(5) 已交纳谈判保证金，金额为</w:t>
      </w:r>
      <w:r>
        <w:rPr>
          <w:rFonts w:hint="eastAsia" w:ascii="宋体" w:hAnsi="宋体" w:cs="宋体"/>
          <w:sz w:val="24"/>
          <w:u w:val="single"/>
        </w:rPr>
        <w:t xml:space="preserve">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据此函，签字代表宣布同意如下：</w:t>
      </w:r>
    </w:p>
    <w:p>
      <w:pPr>
        <w:spacing w:line="360" w:lineRule="auto"/>
        <w:rPr>
          <w:rFonts w:ascii="宋体" w:hAnsi="宋体" w:cs="宋体"/>
          <w:sz w:val="24"/>
          <w:u w:val="single"/>
        </w:rPr>
      </w:pP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1. 所附报价一览表中规定的谈判报价为：</w:t>
      </w:r>
      <w:r>
        <w:rPr>
          <w:rFonts w:hint="eastAsia" w:ascii="宋体" w:hAnsi="宋体" w:cs="宋体"/>
          <w:sz w:val="24"/>
          <w:u w:val="single"/>
        </w:rPr>
        <w:t xml:space="preserve">        </w:t>
      </w:r>
      <w:r>
        <w:rPr>
          <w:rFonts w:hint="eastAsia" w:ascii="宋体" w:hAnsi="宋体" w:cs="宋体"/>
          <w:sz w:val="24"/>
        </w:rPr>
        <w:t>元（即：</w:t>
      </w:r>
      <w:r>
        <w:rPr>
          <w:rFonts w:hint="eastAsia" w:ascii="宋体" w:hAnsi="宋体" w:cs="宋体"/>
          <w:sz w:val="24"/>
          <w:u w:val="single"/>
        </w:rPr>
        <w:t xml:space="preserve">         大写金额</w:t>
      </w:r>
      <w:r>
        <w:rPr>
          <w:rFonts w:hint="eastAsia" w:ascii="宋体" w:hAnsi="宋体" w:cs="宋体"/>
          <w:sz w:val="24"/>
        </w:rPr>
        <w:t>），交货期</w:t>
      </w:r>
      <w:r>
        <w:rPr>
          <w:rFonts w:hint="eastAsia" w:ascii="宋体" w:hAnsi="宋体" w:cs="宋体"/>
          <w:sz w:val="24"/>
          <w:u w:val="single"/>
        </w:rPr>
        <w:t xml:space="preserve">         </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2. 供应商将按竞争性谈判文件的规定履行合同责任和义务；</w:t>
      </w:r>
    </w:p>
    <w:p>
      <w:pPr>
        <w:spacing w:line="360" w:lineRule="auto"/>
        <w:ind w:firstLine="420"/>
        <w:rPr>
          <w:rFonts w:ascii="宋体" w:hAnsi="宋体" w:cs="宋体"/>
          <w:sz w:val="24"/>
        </w:rPr>
      </w:pPr>
      <w:r>
        <w:rPr>
          <w:rFonts w:hint="eastAsia" w:ascii="宋体" w:hAnsi="宋体" w:cs="宋体"/>
          <w:sz w:val="24"/>
        </w:rPr>
        <w:t>3. 供应商已详细审查全部竞争性谈判文件，包括修改文件（如有的话）以及全部参考资料和有关附件。我们完全理解并同意放弃对这方面有不明及误解的权利；</w:t>
      </w:r>
    </w:p>
    <w:p>
      <w:pPr>
        <w:spacing w:line="360" w:lineRule="auto"/>
        <w:ind w:firstLine="420"/>
        <w:rPr>
          <w:rFonts w:ascii="宋体" w:hAnsi="宋体" w:cs="宋体"/>
          <w:sz w:val="24"/>
        </w:rPr>
      </w:pPr>
      <w:r>
        <w:rPr>
          <w:rFonts w:hint="eastAsia" w:ascii="宋体" w:hAnsi="宋体" w:cs="宋体"/>
          <w:sz w:val="24"/>
        </w:rPr>
        <w:t>4.  如果在规定的宣读谈判报价时间后，供应商在谈判有效期内撤回谈判报价；或入选后未按竞争性谈判文件中供应商须知规定的向采购代理机构交纳足额的招标代理服务费，其谈判保证金将被贵方没收；</w:t>
      </w:r>
    </w:p>
    <w:p>
      <w:pPr>
        <w:spacing w:line="360" w:lineRule="auto"/>
        <w:ind w:firstLine="420"/>
        <w:rPr>
          <w:rFonts w:ascii="宋体" w:hAnsi="宋体" w:cs="宋体"/>
          <w:sz w:val="24"/>
        </w:rPr>
      </w:pPr>
      <w:r>
        <w:rPr>
          <w:rFonts w:hint="eastAsia" w:ascii="宋体" w:hAnsi="宋体" w:cs="宋体"/>
          <w:sz w:val="24"/>
          <w:lang w:val="en-US" w:eastAsia="zh-CN"/>
        </w:rPr>
        <w:t>5</w:t>
      </w:r>
      <w:r>
        <w:rPr>
          <w:rFonts w:hint="eastAsia" w:ascii="宋体" w:hAnsi="宋体" w:cs="宋体"/>
          <w:sz w:val="24"/>
        </w:rPr>
        <w:t>. 供应商同意提供按照贵方可能要求的与其报价有关的一切数据或资料。</w:t>
      </w:r>
    </w:p>
    <w:p>
      <w:pPr>
        <w:spacing w:line="360" w:lineRule="auto"/>
        <w:ind w:firstLine="420"/>
        <w:rPr>
          <w:rFonts w:hint="default" w:ascii="宋体" w:hAnsi="宋体" w:eastAsia="宋体" w:cs="宋体"/>
          <w:sz w:val="24"/>
          <w:u w:val="single"/>
          <w:lang w:val="en-US" w:eastAsia="zh-CN"/>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u w:val="none"/>
        </w:rPr>
        <w:t xml:space="preserve"> </w:t>
      </w:r>
      <w:r>
        <w:rPr>
          <w:rFonts w:hint="eastAsia" w:ascii="宋体" w:hAnsi="宋体" w:cs="宋体"/>
          <w:sz w:val="24"/>
          <w:u w:val="none"/>
          <w:lang w:eastAsia="zh-CN"/>
        </w:rPr>
        <w:t>其他：</w:t>
      </w:r>
      <w:r>
        <w:rPr>
          <w:rFonts w:hint="eastAsia" w:ascii="宋体" w:hAnsi="宋体" w:cs="宋体"/>
          <w:sz w:val="24"/>
          <w:u w:val="single"/>
          <w:lang w:val="en-US" w:eastAsia="zh-CN"/>
        </w:rPr>
        <w:t xml:space="preserve">                                     。</w:t>
      </w:r>
    </w:p>
    <w:p>
      <w:pPr>
        <w:spacing w:line="360" w:lineRule="auto"/>
        <w:ind w:firstLine="360" w:firstLineChars="15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ind w:firstLine="360" w:firstLineChars="150"/>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360" w:firstLineChars="150"/>
        <w:rPr>
          <w:rFonts w:ascii="宋体" w:hAnsi="宋体" w:cs="宋体"/>
          <w:sz w:val="24"/>
        </w:rPr>
      </w:pPr>
      <w:r>
        <w:rPr>
          <w:rFonts w:hint="eastAsia" w:ascii="宋体" w:hAnsi="宋体" w:cs="宋体"/>
          <w:sz w:val="24"/>
        </w:rPr>
        <w:t>供应商代表姓名、职务：</w:t>
      </w:r>
      <w:r>
        <w:rPr>
          <w:rFonts w:hint="eastAsia" w:ascii="宋体" w:hAnsi="宋体" w:cs="宋体"/>
          <w:sz w:val="24"/>
          <w:u w:val="single"/>
        </w:rPr>
        <w:t xml:space="preserve">                                   </w:t>
      </w:r>
    </w:p>
    <w:p>
      <w:pPr>
        <w:spacing w:line="360" w:lineRule="auto"/>
        <w:ind w:firstLine="360" w:firstLineChars="15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（公章）</w:t>
      </w:r>
    </w:p>
    <w:p>
      <w:pPr>
        <w:spacing w:line="360" w:lineRule="auto"/>
        <w:ind w:firstLine="360" w:firstLineChars="150"/>
        <w:rPr>
          <w:rFonts w:ascii="宋体" w:hAnsi="宋体" w:cs="宋体"/>
          <w:sz w:val="24"/>
        </w:rPr>
      </w:pPr>
      <w:r>
        <w:rPr>
          <w:rFonts w:hint="eastAsia" w:ascii="宋体" w:hAnsi="宋体" w:cs="宋体"/>
          <w:sz w:val="24"/>
          <w:szCs w:val="24"/>
        </w:rPr>
        <w:t>法定代表人或被授权代表（</w:t>
      </w:r>
      <w:r>
        <w:rPr>
          <w:rFonts w:hint="eastAsia" w:ascii="宋体" w:hAnsi="宋体" w:cs="宋体"/>
          <w:sz w:val="24"/>
        </w:rPr>
        <w:t>签字</w:t>
      </w:r>
      <w:r>
        <w:rPr>
          <w:rFonts w:hint="eastAsia" w:ascii="宋体" w:hAnsi="宋体" w:cs="宋体"/>
          <w:sz w:val="24"/>
          <w:lang w:eastAsia="zh-CN"/>
        </w:rPr>
        <w:t>并</w:t>
      </w:r>
      <w:r>
        <w:rPr>
          <w:rFonts w:hint="eastAsia" w:ascii="宋体" w:hAnsi="宋体" w:cs="宋体"/>
          <w:sz w:val="24"/>
        </w:rPr>
        <w:t>盖章</w:t>
      </w:r>
      <w:r>
        <w:rPr>
          <w:rFonts w:hint="eastAsia" w:ascii="宋体" w:hAnsi="宋体" w:cs="宋体"/>
          <w:sz w:val="24"/>
          <w:szCs w:val="24"/>
        </w:rPr>
        <w:t>）</w:t>
      </w:r>
      <w:r>
        <w:rPr>
          <w:rFonts w:hint="eastAsia" w:ascii="宋体" w:hAnsi="宋体" w:cs="宋体"/>
          <w:sz w:val="24"/>
        </w:rPr>
        <w:t>：</w:t>
      </w:r>
      <w:r>
        <w:rPr>
          <w:rFonts w:hint="eastAsia" w:ascii="宋体" w:hAnsi="宋体" w:cs="宋体"/>
          <w:sz w:val="24"/>
          <w:u w:val="single"/>
        </w:rPr>
        <w:t xml:space="preserve">                       </w:t>
      </w:r>
    </w:p>
    <w:p>
      <w:pPr>
        <w:spacing w:line="360" w:lineRule="auto"/>
        <w:ind w:firstLine="360" w:firstLineChars="150"/>
        <w:rPr>
          <w:rFonts w:ascii="宋体" w:hAnsi="宋体" w:cs="宋体"/>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bookmarkEnd w:id="324"/>
    <w:bookmarkEnd w:id="325"/>
    <w:bookmarkEnd w:id="326"/>
    <w:bookmarkEnd w:id="327"/>
    <w:bookmarkEnd w:id="328"/>
    <w:p>
      <w:pPr>
        <w:pStyle w:val="5"/>
        <w:keepLines w:val="0"/>
        <w:numPr>
          <w:ilvl w:val="0"/>
          <w:numId w:val="6"/>
        </w:numPr>
        <w:adjustRightInd w:val="0"/>
        <w:textAlignment w:val="baseline"/>
        <w:rPr>
          <w:rFonts w:ascii="宋体" w:hAnsi="宋体" w:eastAsia="宋体" w:cs="宋体"/>
        </w:rPr>
      </w:pPr>
      <w:r>
        <w:rPr>
          <w:rFonts w:hint="eastAsia" w:ascii="宋体" w:hAnsi="宋体" w:eastAsia="宋体" w:cs="宋体"/>
        </w:rPr>
        <w:t>第一次谈判报价表</w:t>
      </w:r>
    </w:p>
    <w:p>
      <w:pPr>
        <w:pStyle w:val="6"/>
        <w:spacing w:line="360" w:lineRule="auto"/>
        <w:jc w:val="center"/>
      </w:pPr>
      <w:r>
        <w:rPr>
          <w:rFonts w:hint="eastAsia"/>
        </w:rPr>
        <w:t>2.1谈判报价表</w:t>
      </w:r>
    </w:p>
    <w:tbl>
      <w:tblPr>
        <w:tblStyle w:val="20"/>
        <w:tblW w:w="8739"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12"/>
        <w:gridCol w:w="682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80" w:hRule="atLeast"/>
        </w:trPr>
        <w:tc>
          <w:tcPr>
            <w:tcW w:w="1912" w:type="dxa"/>
            <w:vAlign w:val="center"/>
          </w:tcPr>
          <w:p>
            <w:pPr>
              <w:spacing w:line="360" w:lineRule="auto"/>
              <w:jc w:val="center"/>
              <w:rPr>
                <w:rFonts w:ascii="宋体" w:hAnsi="宋体" w:cs="宋体"/>
                <w:b/>
                <w:bCs/>
                <w:sz w:val="24"/>
              </w:rPr>
            </w:pPr>
            <w:bookmarkStart w:id="329" w:name="OLE_LINK14"/>
            <w:r>
              <w:rPr>
                <w:rFonts w:hint="eastAsia" w:ascii="宋体" w:hAnsi="宋体" w:cs="宋体"/>
                <w:b/>
                <w:bCs/>
                <w:sz w:val="24"/>
              </w:rPr>
              <w:t>谈判报价</w:t>
            </w:r>
          </w:p>
          <w:p>
            <w:pPr>
              <w:spacing w:line="360" w:lineRule="auto"/>
              <w:jc w:val="center"/>
              <w:rPr>
                <w:rFonts w:ascii="宋体" w:hAnsi="宋体" w:cs="宋体"/>
                <w:b/>
                <w:bCs/>
                <w:sz w:val="24"/>
              </w:rPr>
            </w:pPr>
            <w:r>
              <w:rPr>
                <w:rFonts w:hint="eastAsia" w:ascii="宋体" w:hAnsi="宋体" w:cs="宋体"/>
                <w:b/>
                <w:bCs/>
                <w:sz w:val="24"/>
              </w:rPr>
              <w:t>（人民币）</w:t>
            </w:r>
          </w:p>
        </w:tc>
        <w:tc>
          <w:tcPr>
            <w:tcW w:w="6827" w:type="dxa"/>
          </w:tcPr>
          <w:p>
            <w:pPr>
              <w:spacing w:line="360" w:lineRule="auto"/>
              <w:rPr>
                <w:rFonts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ascii="宋体" w:hAnsi="宋体" w:cs="宋体"/>
                <w:b/>
                <w:bCs/>
                <w:sz w:val="24"/>
              </w:rPr>
            </w:pPr>
            <w:r>
              <w:rPr>
                <w:rFonts w:hint="eastAsia" w:ascii="宋体" w:hAnsi="宋体" w:cs="宋体"/>
                <w:b/>
                <w:bCs/>
                <w:sz w:val="24"/>
              </w:rPr>
              <w:t>人 民 币（大写）：</w:t>
            </w:r>
            <w:r>
              <w:rPr>
                <w:rFonts w:hint="eastAsia" w:ascii="宋体" w:hAnsi="宋体" w:cs="宋体"/>
                <w:b/>
                <w:bCs/>
                <w:sz w:val="24"/>
                <w:u w:val="single"/>
              </w:rPr>
              <w:t xml:space="preserve">                  </w:t>
            </w:r>
            <w:r>
              <w:rPr>
                <w:rFonts w:hint="eastAsia" w:ascii="宋体" w:hAnsi="宋体" w:cs="宋体"/>
                <w:b/>
                <w:bCs/>
                <w:sz w:val="24"/>
              </w:rPr>
              <w:t xml:space="preserve"> 元</w:t>
            </w: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人 民 币（小写）：</w:t>
            </w:r>
            <w:r>
              <w:rPr>
                <w:rFonts w:hint="eastAsia" w:ascii="宋体" w:hAnsi="宋体" w:cs="宋体"/>
                <w:b/>
                <w:bCs/>
                <w:sz w:val="24"/>
                <w:u w:val="single"/>
              </w:rPr>
              <w:t xml:space="preserve">                 </w:t>
            </w:r>
            <w:r>
              <w:rPr>
                <w:rFonts w:hint="eastAsia" w:ascii="宋体" w:hAnsi="宋体" w:cs="宋体"/>
                <w:b/>
                <w:bCs/>
                <w:sz w:val="24"/>
              </w:rPr>
              <w:t xml:space="preserve"> 元</w:t>
            </w:r>
          </w:p>
          <w:p>
            <w:pPr>
              <w:spacing w:line="360" w:lineRule="auto"/>
              <w:rPr>
                <w:rFonts w:ascii="宋体" w:hAnsi="宋体" w:cs="宋体"/>
                <w:b/>
                <w:bCs/>
                <w:sz w:val="24"/>
              </w:rPr>
            </w:pPr>
            <w:r>
              <w:rPr>
                <w:rFonts w:hint="eastAsia" w:ascii="宋体" w:hAnsi="宋体" w:cs="宋体"/>
                <w:b/>
                <w:bCs/>
                <w:sz w:val="24"/>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38" w:hRule="atLeast"/>
        </w:trPr>
        <w:tc>
          <w:tcPr>
            <w:tcW w:w="1912" w:type="dxa"/>
            <w:vAlign w:val="center"/>
          </w:tcPr>
          <w:p>
            <w:pPr>
              <w:spacing w:line="360" w:lineRule="auto"/>
              <w:jc w:val="center"/>
              <w:rPr>
                <w:rFonts w:ascii="宋体" w:hAnsi="宋体" w:cs="宋体"/>
                <w:b/>
                <w:bCs/>
                <w:sz w:val="24"/>
              </w:rPr>
            </w:pPr>
            <w:r>
              <w:rPr>
                <w:rFonts w:hint="eastAsia" w:ascii="宋体" w:hAnsi="宋体" w:cs="宋体"/>
                <w:b/>
                <w:bCs/>
                <w:sz w:val="24"/>
                <w:lang w:eastAsia="zh-CN"/>
              </w:rPr>
              <w:t>供货</w:t>
            </w:r>
            <w:r>
              <w:rPr>
                <w:rFonts w:hint="eastAsia" w:ascii="宋体" w:hAnsi="宋体" w:cs="宋体"/>
                <w:b/>
                <w:bCs/>
                <w:sz w:val="24"/>
              </w:rPr>
              <w:t>期</w:t>
            </w:r>
          </w:p>
        </w:tc>
        <w:tc>
          <w:tcPr>
            <w:tcW w:w="6827" w:type="dxa"/>
          </w:tcPr>
          <w:p>
            <w:pPr>
              <w:spacing w:line="360" w:lineRule="auto"/>
              <w:rPr>
                <w:rFonts w:ascii="宋体" w:hAnsi="宋体" w:cs="宋体"/>
                <w:b/>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05" w:hRule="atLeast"/>
        </w:trPr>
        <w:tc>
          <w:tcPr>
            <w:tcW w:w="1912" w:type="dxa"/>
            <w:vAlign w:val="center"/>
          </w:tcPr>
          <w:p>
            <w:pPr>
              <w:spacing w:line="360" w:lineRule="auto"/>
              <w:ind w:firstLine="482" w:firstLineChars="200"/>
              <w:jc w:val="both"/>
              <w:rPr>
                <w:rFonts w:hint="default" w:ascii="宋体" w:hAnsi="宋体" w:eastAsia="宋体" w:cs="宋体"/>
                <w:b/>
                <w:bCs/>
                <w:sz w:val="24"/>
                <w:lang w:val="en-US" w:eastAsia="zh-CN"/>
              </w:rPr>
            </w:pPr>
            <w:r>
              <w:rPr>
                <w:rFonts w:hint="eastAsia" w:ascii="宋体" w:hAnsi="宋体" w:cs="宋体"/>
                <w:b/>
                <w:bCs/>
                <w:sz w:val="24"/>
                <w:lang w:val="en-US" w:eastAsia="zh-CN"/>
              </w:rPr>
              <w:t>质保期</w:t>
            </w:r>
          </w:p>
        </w:tc>
        <w:tc>
          <w:tcPr>
            <w:tcW w:w="6827" w:type="dxa"/>
          </w:tcPr>
          <w:p>
            <w:pPr>
              <w:spacing w:line="360" w:lineRule="auto"/>
              <w:rPr>
                <w:rFonts w:ascii="宋体" w:hAnsi="宋体" w:cs="宋体"/>
                <w:b/>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05" w:hRule="atLeast"/>
        </w:trPr>
        <w:tc>
          <w:tcPr>
            <w:tcW w:w="1912" w:type="dxa"/>
            <w:vAlign w:val="center"/>
          </w:tcPr>
          <w:p>
            <w:pPr>
              <w:spacing w:line="360" w:lineRule="auto"/>
              <w:jc w:val="center"/>
              <w:rPr>
                <w:rFonts w:ascii="宋体" w:hAnsi="宋体" w:cs="宋体"/>
                <w:b/>
                <w:bCs/>
                <w:sz w:val="24"/>
              </w:rPr>
            </w:pPr>
            <w:r>
              <w:rPr>
                <w:rFonts w:hint="eastAsia" w:ascii="宋体" w:hAnsi="宋体" w:cs="宋体"/>
                <w:b/>
                <w:bCs/>
                <w:sz w:val="24"/>
              </w:rPr>
              <w:t>投标声明</w:t>
            </w:r>
          </w:p>
        </w:tc>
        <w:tc>
          <w:tcPr>
            <w:tcW w:w="6827" w:type="dxa"/>
          </w:tcPr>
          <w:p>
            <w:pPr>
              <w:spacing w:line="360" w:lineRule="auto"/>
              <w:rPr>
                <w:rFonts w:ascii="宋体" w:hAnsi="宋体" w:cs="宋体"/>
                <w:b/>
                <w:bCs/>
                <w:sz w:val="24"/>
              </w:rPr>
            </w:pPr>
          </w:p>
        </w:tc>
      </w:tr>
      <w:bookmarkEnd w:id="329"/>
    </w:tbl>
    <w:p>
      <w:pPr>
        <w:spacing w:line="360" w:lineRule="auto"/>
        <w:ind w:right="-161"/>
        <w:rPr>
          <w:rFonts w:hint="eastAsia" w:ascii="宋体" w:hAnsi="宋体" w:eastAsia="宋体" w:cs="宋体"/>
          <w:sz w:val="24"/>
          <w:szCs w:val="24"/>
          <w:lang w:eastAsia="zh-CN"/>
        </w:rPr>
      </w:pPr>
    </w:p>
    <w:p>
      <w:pPr>
        <w:pStyle w:val="3"/>
        <w:rPr>
          <w:rFonts w:hint="eastAsia" w:ascii="宋体" w:hAnsi="宋体" w:eastAsia="宋体" w:cs="宋体"/>
          <w:sz w:val="24"/>
          <w:szCs w:val="24"/>
          <w:lang w:eastAsia="zh-CN"/>
        </w:rPr>
      </w:pPr>
    </w:p>
    <w:p>
      <w:pPr>
        <w:pStyle w:val="3"/>
        <w:rPr>
          <w:rFonts w:hint="eastAsia" w:ascii="宋体" w:hAnsi="宋体" w:eastAsia="宋体" w:cs="宋体"/>
          <w:sz w:val="24"/>
          <w:szCs w:val="24"/>
          <w:lang w:eastAsia="zh-CN"/>
        </w:rPr>
      </w:pPr>
    </w:p>
    <w:p>
      <w:pPr>
        <w:pStyle w:val="3"/>
        <w:rPr>
          <w:rFonts w:hint="eastAsia" w:ascii="宋体" w:hAnsi="宋体" w:eastAsia="宋体" w:cs="宋体"/>
          <w:sz w:val="24"/>
          <w:szCs w:val="24"/>
          <w:lang w:eastAsia="zh-CN"/>
        </w:rPr>
      </w:pPr>
    </w:p>
    <w:p>
      <w:pPr>
        <w:spacing w:line="360" w:lineRule="auto"/>
        <w:ind w:right="-161"/>
        <w:rPr>
          <w:rFonts w:ascii="宋体" w:hAnsi="宋体" w:cs="宋体"/>
          <w:sz w:val="24"/>
          <w:szCs w:val="24"/>
        </w:rPr>
      </w:pPr>
    </w:p>
    <w:p>
      <w:pPr>
        <w:spacing w:line="360" w:lineRule="auto"/>
        <w:ind w:right="-161" w:firstLine="2640" w:firstLineChars="1100"/>
        <w:rPr>
          <w:rFonts w:ascii="宋体" w:hAnsi="宋体" w:cs="宋体"/>
          <w:sz w:val="24"/>
          <w:szCs w:val="24"/>
        </w:rPr>
      </w:pPr>
      <w:r>
        <w:rPr>
          <w:rFonts w:hint="eastAsia" w:ascii="宋体" w:hAnsi="宋体" w:cs="宋体"/>
          <w:sz w:val="24"/>
          <w:szCs w:val="24"/>
        </w:rPr>
        <w:t>法定代表人或被授权代表（签章）：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right="-161" w:firstLine="2640" w:firstLineChars="1100"/>
        <w:rPr>
          <w:rFonts w:ascii="宋体" w:hAnsi="宋体" w:cs="宋体"/>
          <w:sz w:val="24"/>
          <w:szCs w:val="24"/>
        </w:rPr>
      </w:pPr>
      <w:r>
        <w:rPr>
          <w:rFonts w:hint="eastAsia" w:ascii="宋体" w:hAnsi="宋体" w:cs="宋体"/>
          <w:sz w:val="24"/>
          <w:szCs w:val="24"/>
        </w:rPr>
        <w:t>供       应       商（公        章）：</w:t>
      </w:r>
      <w:r>
        <w:rPr>
          <w:rFonts w:hint="eastAsia" w:ascii="宋体" w:hAnsi="宋体" w:cs="宋体"/>
          <w:sz w:val="24"/>
          <w:szCs w:val="24"/>
          <w:u w:val="single"/>
        </w:rPr>
        <w:t xml:space="preserve">                                    </w:t>
      </w:r>
    </w:p>
    <w:p>
      <w:pPr>
        <w:spacing w:line="360" w:lineRule="auto"/>
        <w:ind w:firstLine="2640" w:firstLineChars="1100"/>
        <w:rPr>
          <w:rFonts w:ascii="宋体" w:hAnsi="宋体" w:cs="宋体"/>
          <w:sz w:val="24"/>
          <w:szCs w:val="24"/>
        </w:rPr>
      </w:pPr>
      <w:r>
        <w:rPr>
          <w:rFonts w:hint="eastAsia" w:ascii="宋体" w:hAnsi="宋体" w:cs="宋体"/>
          <w:sz w:val="24"/>
          <w:szCs w:val="24"/>
        </w:rPr>
        <w:t>日                              期  ：</w:t>
      </w:r>
      <w:r>
        <w:rPr>
          <w:rFonts w:hint="eastAsia" w:ascii="宋体" w:hAnsi="宋体" w:cs="宋体"/>
          <w:sz w:val="24"/>
          <w:szCs w:val="24"/>
          <w:u w:val="single"/>
        </w:rPr>
        <w:t xml:space="preserve">                            </w:t>
      </w:r>
    </w:p>
    <w:bookmarkEnd w:id="307"/>
    <w:bookmarkEnd w:id="308"/>
    <w:bookmarkEnd w:id="309"/>
    <w:bookmarkEnd w:id="310"/>
    <w:bookmarkEnd w:id="311"/>
    <w:bookmarkEnd w:id="312"/>
    <w:bookmarkEnd w:id="313"/>
    <w:p>
      <w:pPr>
        <w:pStyle w:val="6"/>
        <w:spacing w:line="360" w:lineRule="auto"/>
        <w:jc w:val="center"/>
        <w:rPr>
          <w:rFonts w:hint="eastAsia"/>
        </w:rPr>
      </w:pPr>
      <w:bookmarkStart w:id="330" w:name="_Toc23496"/>
      <w:bookmarkStart w:id="331" w:name="_Toc30603"/>
      <w:bookmarkStart w:id="332" w:name="_Toc29567"/>
      <w:bookmarkStart w:id="333" w:name="_Toc29346"/>
      <w:bookmarkStart w:id="334" w:name="_Toc9067"/>
      <w:bookmarkStart w:id="335" w:name="_Toc8483"/>
      <w:bookmarkStart w:id="336" w:name="_Toc27665"/>
      <w:bookmarkStart w:id="337" w:name="_Toc31054"/>
      <w:bookmarkStart w:id="338" w:name="_Toc7129"/>
      <w:bookmarkStart w:id="339" w:name="_Toc465958133"/>
      <w:bookmarkStart w:id="340" w:name="_Toc14320"/>
      <w:bookmarkStart w:id="341" w:name="_Toc30297"/>
      <w:bookmarkStart w:id="342" w:name="_Toc26959"/>
      <w:bookmarkStart w:id="343" w:name="_Toc25449"/>
    </w:p>
    <w:bookmarkEnd w:id="330"/>
    <w:p>
      <w:pPr>
        <w:spacing w:line="480" w:lineRule="auto"/>
        <w:ind w:right="-161"/>
        <w:jc w:val="center"/>
        <w:outlineLvl w:val="0"/>
        <w:rPr>
          <w:rFonts w:hint="eastAsia"/>
          <w:b/>
          <w:bCs/>
          <w:sz w:val="36"/>
          <w:szCs w:val="16"/>
        </w:rPr>
      </w:pPr>
    </w:p>
    <w:p>
      <w:pPr>
        <w:rPr>
          <w:rFonts w:hint="eastAsia"/>
        </w:rPr>
      </w:pPr>
    </w:p>
    <w:p>
      <w:pPr>
        <w:spacing w:line="480" w:lineRule="auto"/>
        <w:ind w:right="-161"/>
        <w:jc w:val="center"/>
        <w:outlineLvl w:val="0"/>
        <w:rPr>
          <w:rFonts w:ascii="宋体" w:hAnsi="宋体" w:cs="宋体"/>
          <w:b/>
          <w:bCs/>
          <w:sz w:val="24"/>
          <w:szCs w:val="24"/>
          <w:u w:val="single"/>
        </w:rPr>
      </w:pPr>
      <w:r>
        <w:rPr>
          <w:rFonts w:hint="eastAsia"/>
          <w:b/>
          <w:bCs/>
          <w:sz w:val="36"/>
          <w:szCs w:val="16"/>
        </w:rPr>
        <w:t>三、资格证明文件</w:t>
      </w:r>
      <w:bookmarkEnd w:id="331"/>
      <w:bookmarkEnd w:id="332"/>
      <w:bookmarkEnd w:id="333"/>
      <w:bookmarkEnd w:id="334"/>
      <w:bookmarkEnd w:id="335"/>
      <w:bookmarkEnd w:id="336"/>
    </w:p>
    <w:p>
      <w:pPr>
        <w:spacing w:line="360" w:lineRule="auto"/>
        <w:ind w:firstLine="482" w:firstLineChars="200"/>
        <w:rPr>
          <w:b/>
          <w:bCs/>
        </w:rPr>
      </w:pPr>
      <w:r>
        <w:rPr>
          <w:rFonts w:hint="eastAsia" w:ascii="宋体" w:hAnsi="宋体" w:cs="宋体"/>
          <w:b/>
          <w:bCs/>
          <w:sz w:val="24"/>
          <w:szCs w:val="24"/>
        </w:rPr>
        <w:t>谈判响应文件中附以下资质证明文件的复印件加盖公章。</w:t>
      </w:r>
    </w:p>
    <w:p>
      <w:pPr>
        <w:spacing w:line="360" w:lineRule="auto"/>
        <w:ind w:firstLine="720" w:firstLineChars="300"/>
        <w:rPr>
          <w:rFonts w:ascii="宋体" w:hAnsi="宋体" w:cs="仿宋_GB2312"/>
          <w:bCs/>
          <w:kern w:val="0"/>
          <w:sz w:val="24"/>
          <w:szCs w:val="24"/>
        </w:rPr>
      </w:pPr>
      <w:r>
        <w:rPr>
          <w:rFonts w:hint="eastAsia" w:ascii="宋体" w:hAnsi="宋体" w:cs="宋体"/>
          <w:kern w:val="0"/>
          <w:sz w:val="24"/>
          <w:szCs w:val="24"/>
        </w:rPr>
        <w:t>1、供应商为本项目提供的资格证明要求见供应商须知前附表；</w:t>
      </w:r>
    </w:p>
    <w:p>
      <w:pPr>
        <w:spacing w:line="360" w:lineRule="auto"/>
        <w:ind w:firstLine="720" w:firstLineChars="300"/>
        <w:rPr>
          <w:rFonts w:ascii="宋体" w:hAnsi="宋体" w:cs="仿宋_GB2312"/>
          <w:bCs/>
          <w:kern w:val="0"/>
          <w:sz w:val="24"/>
          <w:szCs w:val="24"/>
        </w:rPr>
      </w:pPr>
      <w:r>
        <w:rPr>
          <w:rFonts w:hint="eastAsia" w:ascii="宋体" w:hAnsi="宋体" w:cs="仿宋_GB2312"/>
          <w:bCs/>
          <w:kern w:val="0"/>
          <w:sz w:val="24"/>
          <w:szCs w:val="24"/>
        </w:rPr>
        <w:t>2、供应商按照谈判文件要求提供本项目所需要的其他资质证明材料。</w:t>
      </w:r>
    </w:p>
    <w:p>
      <w:pPr>
        <w:spacing w:line="360" w:lineRule="auto"/>
        <w:ind w:firstLine="720" w:firstLineChars="300"/>
      </w:pPr>
      <w:r>
        <w:rPr>
          <w:rFonts w:hint="eastAsia" w:ascii="宋体" w:hAnsi="宋体" w:cs="仿宋_GB2312"/>
          <w:bCs/>
          <w:kern w:val="0"/>
          <w:sz w:val="24"/>
          <w:szCs w:val="24"/>
        </w:rPr>
        <w:t>3、其他可以证明供应商实力的文件。</w:t>
      </w:r>
    </w:p>
    <w:p>
      <w:pPr>
        <w:pStyle w:val="14"/>
      </w:pPr>
    </w:p>
    <w:p>
      <w:pPr>
        <w:pStyle w:val="5"/>
        <w:rPr>
          <w:rFonts w:ascii="宋体" w:hAnsi="宋体" w:eastAsia="宋体" w:cs="宋体"/>
          <w:szCs w:val="22"/>
        </w:rPr>
      </w:pPr>
    </w:p>
    <w:p>
      <w:pPr>
        <w:pStyle w:val="5"/>
        <w:rPr>
          <w:rFonts w:ascii="宋体" w:hAnsi="宋体" w:eastAsia="宋体" w:cs="宋体"/>
          <w:szCs w:val="22"/>
        </w:rPr>
      </w:pPr>
    </w:p>
    <w:p>
      <w:pPr>
        <w:pStyle w:val="5"/>
        <w:rPr>
          <w:rFonts w:ascii="宋体" w:hAnsi="宋体" w:eastAsia="宋体" w:cs="宋体"/>
          <w:szCs w:val="22"/>
        </w:rPr>
      </w:pPr>
    </w:p>
    <w:p>
      <w:pPr>
        <w:pStyle w:val="5"/>
        <w:rPr>
          <w:rFonts w:ascii="宋体" w:hAnsi="宋体" w:eastAsia="宋体" w:cs="宋体"/>
          <w:szCs w:val="22"/>
        </w:rPr>
      </w:pPr>
    </w:p>
    <w:p>
      <w:pPr>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rPr>
          <w:rFonts w:ascii="宋体" w:hAnsi="宋体" w:cs="宋体"/>
          <w:szCs w:val="22"/>
        </w:rPr>
      </w:pPr>
    </w:p>
    <w:p>
      <w:pPr>
        <w:pStyle w:val="14"/>
        <w:jc w:val="both"/>
        <w:rPr>
          <w:rFonts w:ascii="宋体" w:hAnsi="宋体" w:cs="宋体"/>
          <w:b/>
          <w:sz w:val="32"/>
          <w:szCs w:val="22"/>
        </w:rPr>
        <w:sectPr>
          <w:type w:val="continuous"/>
          <w:pgSz w:w="11906" w:h="16838"/>
          <w:pgMar w:top="1157" w:right="1703" w:bottom="1157" w:left="1701" w:header="720" w:footer="720" w:gutter="0"/>
          <w:pgNumType w:fmt="decimal"/>
          <w:cols w:space="720" w:num="1"/>
          <w:docGrid w:type="lines" w:linePitch="312" w:charSpace="0"/>
        </w:sectPr>
      </w:pPr>
    </w:p>
    <w:p>
      <w:pPr>
        <w:spacing w:line="360" w:lineRule="atLeast"/>
        <w:rPr>
          <w:rFonts w:ascii="宋体" w:hAnsi="宋体" w:cs="宋体"/>
          <w:b/>
          <w:bCs/>
          <w:sz w:val="28"/>
          <w:szCs w:val="28"/>
        </w:rPr>
      </w:pPr>
      <w:r>
        <w:rPr>
          <w:rFonts w:hint="eastAsia" w:ascii="宋体" w:hAnsi="宋体" w:cs="宋体"/>
          <w:b/>
          <w:bCs/>
          <w:sz w:val="28"/>
          <w:szCs w:val="28"/>
        </w:rPr>
        <w:t>附件：</w:t>
      </w:r>
    </w:p>
    <w:p>
      <w:pPr>
        <w:pStyle w:val="18"/>
        <w:widowControl/>
        <w:shd w:val="clear" w:color="060000" w:fill="FFFFFF"/>
        <w:adjustRightInd w:val="0"/>
        <w:snapToGrid w:val="0"/>
        <w:spacing w:before="0" w:beforeAutospacing="0" w:after="150" w:afterAutospacing="0" w:line="500" w:lineRule="exact"/>
        <w:ind w:firstLine="480"/>
        <w:jc w:val="center"/>
        <w:rPr>
          <w:rFonts w:ascii="宋体" w:hAnsi="宋体" w:cs="宋体"/>
          <w:color w:val="333333"/>
          <w:szCs w:val="24"/>
        </w:rPr>
      </w:pPr>
      <w:r>
        <w:rPr>
          <w:rFonts w:hint="eastAsia" w:ascii="宋体" w:hAnsi="宋体" w:cs="宋体"/>
          <w:b/>
          <w:bCs/>
          <w:color w:val="333333"/>
          <w:sz w:val="36"/>
          <w:szCs w:val="36"/>
          <w:shd w:val="clear" w:color="070000" w:fill="FFFFFF"/>
        </w:rPr>
        <w:t>榆林市政府采购货物类项目供应商信用承诺书</w:t>
      </w:r>
    </w:p>
    <w:p>
      <w:pPr>
        <w:pStyle w:val="18"/>
        <w:widowControl/>
        <w:shd w:val="clear" w:color="auto" w:fill="FFFFFF"/>
        <w:adjustRightInd w:val="0"/>
        <w:snapToGrid w:val="0"/>
        <w:spacing w:before="0" w:beforeAutospacing="0" w:after="150" w:afterAutospacing="0" w:line="560" w:lineRule="exact"/>
        <w:ind w:firstLine="480"/>
        <w:jc w:val="both"/>
        <w:rPr>
          <w:rFonts w:ascii="宋体" w:hAnsi="宋体" w:cs="宋体"/>
          <w:color w:val="333333"/>
          <w:sz w:val="21"/>
          <w:szCs w:val="21"/>
        </w:rPr>
      </w:pPr>
      <w:r>
        <w:rPr>
          <w:rFonts w:hint="eastAsia" w:ascii="宋体" w:hAnsi="宋体" w:cs="宋体"/>
          <w:color w:val="333333"/>
          <w:sz w:val="24"/>
          <w:szCs w:val="24"/>
          <w:shd w:val="clear" w:color="auto" w:fill="FFFFFF"/>
        </w:rPr>
        <w:t>市场主体名称：</w:t>
      </w:r>
    </w:p>
    <w:p>
      <w:pPr>
        <w:pStyle w:val="18"/>
        <w:widowControl/>
        <w:shd w:val="clear" w:color="auto" w:fill="FFFFFF"/>
        <w:adjustRightInd w:val="0"/>
        <w:snapToGrid w:val="0"/>
        <w:spacing w:before="0" w:beforeAutospacing="0" w:after="150" w:afterAutospacing="0" w:line="560" w:lineRule="exact"/>
        <w:ind w:firstLine="480"/>
        <w:jc w:val="both"/>
        <w:rPr>
          <w:rFonts w:ascii="宋体" w:hAnsi="宋体" w:cs="宋体"/>
          <w:color w:val="333333"/>
          <w:sz w:val="21"/>
          <w:szCs w:val="21"/>
        </w:rPr>
      </w:pPr>
      <w:r>
        <w:rPr>
          <w:rFonts w:hint="eastAsia" w:ascii="宋体" w:hAnsi="宋体" w:cs="宋体"/>
          <w:color w:val="333333"/>
          <w:sz w:val="24"/>
          <w:szCs w:val="24"/>
          <w:shd w:val="clear" w:color="auto" w:fill="FFFFFF"/>
        </w:rPr>
        <w:t>证件类型：统一社会信用代码</w:t>
      </w:r>
    </w:p>
    <w:p>
      <w:pPr>
        <w:pStyle w:val="18"/>
        <w:widowControl/>
        <w:shd w:val="clear" w:color="auto" w:fill="FFFFFF"/>
        <w:adjustRightInd w:val="0"/>
        <w:snapToGrid w:val="0"/>
        <w:spacing w:before="0" w:beforeAutospacing="0" w:after="150" w:afterAutospacing="0" w:line="560" w:lineRule="exact"/>
        <w:ind w:firstLine="480"/>
        <w:jc w:val="both"/>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证件号码：</w:t>
      </w:r>
    </w:p>
    <w:p>
      <w:pPr>
        <w:pStyle w:val="18"/>
        <w:widowControl/>
        <w:shd w:val="clear" w:color="auto" w:fill="FFFFFF"/>
        <w:adjustRightInd w:val="0"/>
        <w:snapToGrid w:val="0"/>
        <w:spacing w:before="0" w:beforeAutospacing="0" w:after="150" w:afterAutospacing="0" w:line="560" w:lineRule="exact"/>
        <w:ind w:firstLine="480"/>
        <w:jc w:val="both"/>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法人代表：</w:t>
      </w:r>
    </w:p>
    <w:p>
      <w:pPr>
        <w:pStyle w:val="18"/>
        <w:widowControl/>
        <w:shd w:val="clear" w:color="auto" w:fill="FFFFFF"/>
        <w:adjustRightInd w:val="0"/>
        <w:snapToGrid w:val="0"/>
        <w:spacing w:before="0" w:beforeAutospacing="0" w:after="150" w:afterAutospacing="0" w:line="560" w:lineRule="exact"/>
        <w:ind w:firstLine="480"/>
        <w:jc w:val="both"/>
        <w:rPr>
          <w:rFonts w:hint="eastAsia"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承诺有效期限：   年    月   日—   年   月   日</w:t>
      </w:r>
    </w:p>
    <w:p>
      <w:pPr>
        <w:pStyle w:val="18"/>
        <w:widowControl/>
        <w:shd w:val="clear" w:color="auto" w:fill="FFFFFF"/>
        <w:adjustRightInd w:val="0"/>
        <w:snapToGrid w:val="0"/>
        <w:spacing w:before="0" w:beforeAutospacing="0" w:after="150" w:afterAutospacing="0" w:line="560" w:lineRule="exact"/>
        <w:ind w:firstLine="480"/>
        <w:jc w:val="both"/>
        <w:rPr>
          <w:rFonts w:ascii="宋体" w:hAnsi="宋体" w:cs="宋体"/>
          <w:color w:val="333333"/>
          <w:sz w:val="21"/>
          <w:szCs w:val="21"/>
        </w:rPr>
      </w:pPr>
      <w:r>
        <w:rPr>
          <w:rFonts w:hint="eastAsia" w:ascii="宋体" w:hAnsi="宋体" w:cs="宋体"/>
          <w:color w:val="333333"/>
          <w:sz w:val="24"/>
          <w:szCs w:val="24"/>
          <w:shd w:val="clear" w:color="auto" w:fill="FFFFFF"/>
        </w:rPr>
        <w:t>承诺内容：</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1"/>
          <w:szCs w:val="21"/>
        </w:rPr>
      </w:pPr>
      <w:r>
        <w:rPr>
          <w:rFonts w:hint="eastAsia" w:ascii="宋体" w:hAnsi="宋体" w:cs="宋体"/>
          <w:color w:val="333333"/>
          <w:sz w:val="24"/>
          <w:szCs w:val="24"/>
          <w:shd w:val="clear" w:color="auto" w:fill="FFFFFF"/>
        </w:rPr>
        <w:t>为维护公开、公平、公正的政府采购市场秩序，树立诚实守信的政府采购供应商形象，本单位自愿做出以下承诺：</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1"/>
          <w:szCs w:val="21"/>
        </w:rPr>
      </w:pPr>
      <w:r>
        <w:rPr>
          <w:rFonts w:hint="eastAsia" w:ascii="宋体" w:hAnsi="宋体" w:cs="宋体"/>
          <w:color w:val="333333"/>
          <w:sz w:val="24"/>
          <w:szCs w:val="24"/>
          <w:shd w:val="clear" w:color="auto" w:fill="FFFFFF"/>
        </w:rPr>
        <w:t>一、承诺本单位严格遵守国家法律、法规和规章，全面履行应尽的责任和义务，全面做到履约守信，具备《政府采购法》第二十二条第一款规定的条件;</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1"/>
          <w:szCs w:val="21"/>
        </w:rPr>
      </w:pPr>
      <w:r>
        <w:rPr>
          <w:rFonts w:hint="eastAsia" w:ascii="宋体" w:hAnsi="宋体" w:cs="宋体"/>
          <w:color w:val="333333"/>
          <w:sz w:val="24"/>
          <w:szCs w:val="24"/>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1"/>
          <w:szCs w:val="21"/>
        </w:rPr>
      </w:pPr>
      <w:r>
        <w:rPr>
          <w:rFonts w:hint="eastAsia" w:ascii="宋体" w:hAnsi="宋体" w:cs="宋体"/>
          <w:color w:val="333333"/>
          <w:sz w:val="24"/>
          <w:szCs w:val="24"/>
          <w:shd w:val="clear" w:color="auto" w:fill="FFFFFF"/>
        </w:rPr>
        <w:t>三、承诺本单位严格依法开展生产经营活动，主动接受行业监管，自愿接受依法开展的日常检查；违法失信经营后将自愿接受约束和惩戒，并依法承担相应责任；</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1"/>
          <w:szCs w:val="21"/>
        </w:rPr>
      </w:pPr>
      <w:r>
        <w:rPr>
          <w:rFonts w:hint="eastAsia" w:ascii="宋体" w:hAnsi="宋体" w:cs="宋体"/>
          <w:color w:val="333333"/>
          <w:sz w:val="24"/>
          <w:szCs w:val="24"/>
          <w:shd w:val="clear" w:color="auto" w:fill="FFFFFF"/>
        </w:rPr>
        <w:t>四、承诺本单位自觉接受行政管理部门、行业组织、社会公众、新闻舆论的监督；</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1"/>
          <w:szCs w:val="21"/>
        </w:rPr>
      </w:pPr>
      <w:r>
        <w:rPr>
          <w:rFonts w:hint="eastAsia" w:ascii="宋体" w:hAnsi="宋体" w:cs="宋体"/>
          <w:color w:val="333333"/>
          <w:sz w:val="24"/>
          <w:szCs w:val="24"/>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1"/>
          <w:szCs w:val="21"/>
        </w:rPr>
      </w:pPr>
      <w:r>
        <w:rPr>
          <w:rFonts w:hint="eastAsia" w:ascii="宋体" w:hAnsi="宋体" w:cs="宋体"/>
          <w:color w:val="333333"/>
          <w:sz w:val="24"/>
          <w:szCs w:val="24"/>
          <w:shd w:val="clear" w:color="auto" w:fill="FFFFFF"/>
        </w:rPr>
        <w:t>六、承诺本单位提出政府采购质疑和投诉坚持依法依规、诚实信用原则，在全国范围12个月内没有三次以上查无实据的政府采购投诉；</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1"/>
          <w:szCs w:val="21"/>
        </w:rPr>
      </w:pPr>
      <w:r>
        <w:rPr>
          <w:rFonts w:hint="eastAsia" w:ascii="宋体" w:hAnsi="宋体" w:cs="宋体"/>
          <w:color w:val="333333"/>
          <w:sz w:val="24"/>
          <w:szCs w:val="24"/>
          <w:shd w:val="clear" w:color="auto" w:fill="FFFFFF"/>
        </w:rPr>
        <w:t>七、根据政府采购相关法律法规的规定需要作出的其他承诺：</w:t>
      </w:r>
      <w:r>
        <w:rPr>
          <w:rFonts w:hint="eastAsia" w:ascii="宋体" w:hAnsi="宋体" w:cs="宋体"/>
          <w:color w:val="333333"/>
          <w:sz w:val="24"/>
          <w:szCs w:val="24"/>
          <w:u w:val="single"/>
          <w:shd w:val="clear" w:color="auto" w:fill="FFFFFF"/>
        </w:rPr>
        <w:t>                                                              </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1"/>
          <w:szCs w:val="21"/>
        </w:rPr>
      </w:pPr>
      <w:r>
        <w:rPr>
          <w:rFonts w:hint="eastAsia" w:ascii="宋体" w:hAnsi="宋体" w:cs="宋体"/>
          <w:color w:val="333333"/>
          <w:sz w:val="24"/>
          <w:szCs w:val="24"/>
          <w:shd w:val="clear" w:color="auto" w:fill="FFFFFF"/>
        </w:rPr>
        <w:t xml:space="preserve">              承诺单位（盖章）：</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      法定代表人（负责人）：          </w:t>
      </w:r>
    </w:p>
    <w:p>
      <w:pPr>
        <w:pStyle w:val="18"/>
        <w:widowControl/>
        <w:shd w:val="clear" w:color="auto" w:fill="FFFFFF"/>
        <w:adjustRightInd w:val="0"/>
        <w:snapToGrid w:val="0"/>
        <w:spacing w:before="0" w:beforeAutospacing="0" w:after="150" w:afterAutospacing="0" w:line="560" w:lineRule="exact"/>
        <w:ind w:firstLine="2160" w:firstLineChars="900"/>
        <w:jc w:val="both"/>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法定代表人（负责人）身份证号：</w:t>
      </w:r>
    </w:p>
    <w:p>
      <w:pPr>
        <w:pStyle w:val="18"/>
        <w:widowControl/>
        <w:shd w:val="clear" w:color="auto" w:fill="FFFFFF"/>
        <w:adjustRightInd w:val="0"/>
        <w:snapToGrid w:val="0"/>
        <w:spacing w:before="0" w:beforeAutospacing="0" w:after="150" w:afterAutospacing="0" w:line="560" w:lineRule="exact"/>
        <w:ind w:firstLine="640"/>
        <w:jc w:val="both"/>
        <w:rPr>
          <w:rFonts w:ascii="宋体" w:hAnsi="宋体" w:cs="宋体"/>
          <w:color w:val="333333"/>
          <w:sz w:val="21"/>
          <w:szCs w:val="21"/>
        </w:rPr>
      </w:pPr>
      <w:r>
        <w:rPr>
          <w:rFonts w:hint="eastAsia" w:ascii="宋体" w:hAnsi="宋体" w:cs="宋体"/>
          <w:color w:val="333333"/>
          <w:sz w:val="24"/>
          <w:szCs w:val="24"/>
          <w:shd w:val="clear" w:color="auto" w:fill="FFFFFF"/>
        </w:rPr>
        <w:t>         承诺日期：</w:t>
      </w:r>
    </w:p>
    <w:p>
      <w:pPr>
        <w:pStyle w:val="18"/>
        <w:widowControl/>
        <w:shd w:val="clear" w:color="auto" w:fill="FFFFFF"/>
        <w:adjustRightInd w:val="0"/>
        <w:snapToGrid w:val="0"/>
        <w:spacing w:before="0" w:beforeAutospacing="0" w:after="150" w:afterAutospacing="0" w:line="560" w:lineRule="exact"/>
        <w:ind w:firstLine="480" w:firstLineChars="200"/>
        <w:jc w:val="both"/>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注：法定代表人或负责人、主体名称发生变更的应当重新做出承诺；承诺书标题按照工程类、货物类、服务类确定。</w:t>
      </w:r>
    </w:p>
    <w:p>
      <w:pPr>
        <w:pStyle w:val="11"/>
        <w:adjustRightInd w:val="0"/>
        <w:snapToGrid w:val="0"/>
        <w:spacing w:line="500" w:lineRule="exact"/>
        <w:rPr>
          <w:rFonts w:hint="default" w:ascii="宋体" w:hAnsi="宋体" w:eastAsia="宋体" w:cs="宋体"/>
          <w:color w:val="333333"/>
          <w:kern w:val="0"/>
          <w:sz w:val="28"/>
          <w:szCs w:val="28"/>
          <w:shd w:val="clear" w:color="070000" w:fill="FFFFFF"/>
          <w:lang w:val="en-US" w:eastAsia="zh-CN"/>
        </w:rPr>
      </w:pPr>
      <w:r>
        <w:rPr>
          <w:rFonts w:hint="eastAsia" w:ascii="宋体" w:hAnsi="宋体" w:cs="宋体"/>
          <w:b/>
          <w:sz w:val="22"/>
          <w:szCs w:val="18"/>
        </w:rPr>
        <w:t xml:space="preserve">    </w:t>
      </w:r>
      <w:r>
        <w:rPr>
          <w:rFonts w:hint="eastAsia" w:ascii="宋体" w:hAnsi="宋体" w:cs="宋体"/>
          <w:b/>
          <w:sz w:val="22"/>
          <w:szCs w:val="18"/>
          <w:lang w:val="en-US" w:eastAsia="zh-CN"/>
        </w:rPr>
        <w:t xml:space="preserve">  </w:t>
      </w:r>
    </w:p>
    <w:p>
      <w:pPr>
        <w:rPr>
          <w:rFonts w:ascii="宋体" w:hAnsi="宋体" w:cs="宋体"/>
          <w:color w:val="333333"/>
          <w:kern w:val="0"/>
          <w:sz w:val="31"/>
          <w:szCs w:val="31"/>
          <w:shd w:val="clear" w:color="070000" w:fill="FFFFFF"/>
        </w:rPr>
      </w:pPr>
    </w:p>
    <w:p>
      <w:pPr>
        <w:pStyle w:val="11"/>
        <w:rPr>
          <w:rFonts w:ascii="宋体" w:hAnsi="宋体" w:cs="宋体"/>
          <w:color w:val="333333"/>
          <w:kern w:val="0"/>
          <w:sz w:val="31"/>
          <w:szCs w:val="31"/>
          <w:shd w:val="clear" w:color="070000" w:fill="FFFFFF"/>
        </w:rPr>
      </w:pPr>
    </w:p>
    <w:p>
      <w:pPr>
        <w:rPr>
          <w:rFonts w:ascii="宋体" w:hAnsi="宋体" w:cs="宋体"/>
          <w:color w:val="333333"/>
          <w:kern w:val="0"/>
          <w:sz w:val="31"/>
          <w:szCs w:val="31"/>
          <w:shd w:val="clear" w:color="070000" w:fill="FFFFFF"/>
        </w:rPr>
      </w:pPr>
    </w:p>
    <w:p>
      <w:pPr>
        <w:pStyle w:val="11"/>
        <w:rPr>
          <w:rFonts w:ascii="宋体" w:hAnsi="宋体" w:cs="宋体"/>
          <w:color w:val="333333"/>
          <w:kern w:val="0"/>
          <w:sz w:val="31"/>
          <w:szCs w:val="31"/>
          <w:shd w:val="clear" w:color="070000" w:fill="FFFFFF"/>
        </w:rPr>
      </w:pPr>
    </w:p>
    <w:p>
      <w:pPr>
        <w:rPr>
          <w:rFonts w:ascii="宋体" w:hAnsi="宋体" w:cs="宋体"/>
          <w:color w:val="333333"/>
          <w:kern w:val="0"/>
          <w:sz w:val="31"/>
          <w:szCs w:val="31"/>
          <w:shd w:val="clear" w:color="070000" w:fill="FFFFFF"/>
        </w:rPr>
      </w:pPr>
    </w:p>
    <w:p>
      <w:pPr>
        <w:pStyle w:val="11"/>
      </w:pPr>
    </w:p>
    <w:p/>
    <w:p>
      <w:pPr>
        <w:pStyle w:val="11"/>
      </w:pPr>
    </w:p>
    <w:p/>
    <w:p>
      <w:pPr>
        <w:pStyle w:val="11"/>
      </w:pPr>
    </w:p>
    <w:p/>
    <w:p>
      <w:pPr>
        <w:pStyle w:val="11"/>
      </w:pPr>
    </w:p>
    <w:p>
      <w:pPr>
        <w:pStyle w:val="14"/>
        <w:rPr>
          <w:rFonts w:ascii="宋体" w:hAnsi="宋体" w:cs="宋体"/>
          <w:szCs w:val="22"/>
        </w:rPr>
      </w:pPr>
    </w:p>
    <w:p>
      <w:pPr>
        <w:pStyle w:val="14"/>
        <w:jc w:val="center"/>
        <w:rPr>
          <w:rFonts w:hint="eastAsia" w:ascii="宋体" w:hAnsi="宋体" w:eastAsia="宋体" w:cs="宋体"/>
          <w:b/>
          <w:sz w:val="32"/>
          <w:szCs w:val="22"/>
          <w:lang w:eastAsia="zh-CN"/>
        </w:rPr>
      </w:pPr>
      <w:r>
        <w:rPr>
          <w:rFonts w:hint="eastAsia" w:ascii="宋体" w:hAnsi="宋体" w:cs="宋体"/>
          <w:b/>
          <w:sz w:val="32"/>
          <w:szCs w:val="22"/>
        </w:rPr>
        <w:t>四、</w:t>
      </w:r>
      <w:r>
        <w:rPr>
          <w:rFonts w:hint="eastAsia" w:ascii="宋体" w:hAnsi="宋体" w:cs="宋体"/>
          <w:b/>
          <w:sz w:val="32"/>
          <w:szCs w:val="22"/>
          <w:lang w:eastAsia="zh-CN"/>
        </w:rPr>
        <w:t>供应商概况</w:t>
      </w:r>
    </w:p>
    <w:p>
      <w:pPr>
        <w:pStyle w:val="14"/>
        <w:jc w:val="center"/>
        <w:rPr>
          <w:rFonts w:hint="eastAsia" w:ascii="宋体" w:hAnsi="宋体" w:cs="宋体"/>
          <w:b/>
          <w:sz w:val="32"/>
          <w:szCs w:val="22"/>
        </w:rPr>
      </w:pPr>
    </w:p>
    <w:p>
      <w:pPr>
        <w:pStyle w:val="5"/>
        <w:adjustRightInd w:val="0"/>
        <w:textAlignment w:val="baseline"/>
        <w:rPr>
          <w:rFonts w:ascii="宋体" w:hAnsi="宋体" w:eastAsia="宋体" w:cs="宋体"/>
          <w:color w:val="000000"/>
          <w:szCs w:val="22"/>
        </w:rPr>
      </w:pPr>
      <w:r>
        <w:rPr>
          <w:b/>
          <w:sz w:val="28"/>
          <w:szCs w:val="18"/>
        </w:rPr>
        <w:t>一、</w:t>
      </w:r>
      <w:r>
        <w:rPr>
          <w:rFonts w:hint="eastAsia" w:ascii="宋体" w:hAnsi="宋体" w:eastAsia="宋体" w:cs="宋体"/>
          <w:color w:val="000000"/>
          <w:szCs w:val="22"/>
        </w:rPr>
        <w:t>法定代表人证明书及法定代表人授权委托书</w:t>
      </w:r>
    </w:p>
    <w:p>
      <w:pPr>
        <w:pStyle w:val="5"/>
        <w:adjustRightInd w:val="0"/>
        <w:textAlignment w:val="baseline"/>
        <w:rPr>
          <w:rFonts w:ascii="宋体" w:hAnsi="宋体" w:eastAsia="宋体" w:cs="宋体"/>
          <w:color w:val="000000"/>
          <w:szCs w:val="22"/>
        </w:rPr>
      </w:pPr>
      <w:r>
        <w:rPr>
          <w:rFonts w:hint="eastAsia" w:ascii="宋体" w:hAnsi="宋体" w:eastAsia="宋体" w:cs="宋体"/>
          <w:color w:val="000000"/>
          <w:szCs w:val="22"/>
        </w:rPr>
        <w:t>法定代表人证明书</w:t>
      </w:r>
    </w:p>
    <w:tbl>
      <w:tblPr>
        <w:tblStyle w:val="2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207"/>
        <w:gridCol w:w="2205"/>
        <w:gridCol w:w="186"/>
        <w:gridCol w:w="2203"/>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540" w:type="dxa"/>
            <w:gridSpan w:val="6"/>
            <w:vAlign w:val="center"/>
          </w:tcPr>
          <w:p>
            <w:pPr>
              <w:tabs>
                <w:tab w:val="left" w:pos="210"/>
              </w:tabs>
              <w:spacing w:line="320" w:lineRule="exact"/>
              <w:rPr>
                <w:rFonts w:hint="eastAsia" w:ascii="宋体" w:hAnsi="宋体" w:eastAsia="宋体" w:cs="Arial"/>
                <w:color w:val="000000"/>
                <w:kern w:val="0"/>
                <w:sz w:val="24"/>
                <w:lang w:eastAsia="zh-CN"/>
              </w:rPr>
            </w:pPr>
            <w:r>
              <w:rPr>
                <w:rFonts w:hint="eastAsia" w:ascii="宋体" w:hAnsi="宋体" w:cs="Arial"/>
                <w:color w:val="000000"/>
                <w:kern w:val="0"/>
                <w:sz w:val="24"/>
              </w:rPr>
              <w:t>致：</w:t>
            </w:r>
            <w:r>
              <w:rPr>
                <w:rFonts w:hint="eastAsia" w:ascii="宋体" w:hAnsi="宋体" w:cs="Arial"/>
                <w:color w:val="000000"/>
                <w:kern w:val="0"/>
                <w:sz w:val="24"/>
                <w:lang w:eastAsia="zh-CN"/>
              </w:rPr>
              <w:t>陕西博皓项目管理有限公司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79" w:type="dxa"/>
            <w:vMerge w:val="restart"/>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企</w:t>
            </w:r>
          </w:p>
          <w:p>
            <w:pPr>
              <w:tabs>
                <w:tab w:val="left" w:pos="210"/>
              </w:tabs>
              <w:spacing w:line="320" w:lineRule="exact"/>
              <w:jc w:val="center"/>
              <w:rPr>
                <w:rFonts w:ascii="宋体" w:hAnsi="宋体" w:cs="Arial"/>
                <w:color w:val="000000"/>
                <w:kern w:val="0"/>
                <w:sz w:val="24"/>
              </w:rPr>
            </w:pPr>
          </w:p>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业</w:t>
            </w:r>
          </w:p>
          <w:p>
            <w:pPr>
              <w:tabs>
                <w:tab w:val="left" w:pos="210"/>
              </w:tabs>
              <w:spacing w:line="320" w:lineRule="exact"/>
              <w:jc w:val="center"/>
              <w:rPr>
                <w:rFonts w:ascii="宋体" w:hAnsi="宋体" w:cs="Arial"/>
                <w:color w:val="000000"/>
                <w:kern w:val="0"/>
                <w:sz w:val="24"/>
              </w:rPr>
            </w:pPr>
          </w:p>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法</w:t>
            </w:r>
          </w:p>
          <w:p>
            <w:pPr>
              <w:tabs>
                <w:tab w:val="left" w:pos="210"/>
              </w:tabs>
              <w:spacing w:line="320" w:lineRule="exact"/>
              <w:jc w:val="center"/>
              <w:rPr>
                <w:rFonts w:ascii="宋体" w:hAnsi="宋体" w:cs="Arial"/>
                <w:color w:val="000000"/>
                <w:kern w:val="0"/>
                <w:sz w:val="24"/>
              </w:rPr>
            </w:pPr>
          </w:p>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人</w:t>
            </w:r>
          </w:p>
        </w:tc>
        <w:tc>
          <w:tcPr>
            <w:tcW w:w="2207"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企业名称</w:t>
            </w:r>
          </w:p>
        </w:tc>
        <w:tc>
          <w:tcPr>
            <w:tcW w:w="6754" w:type="dxa"/>
            <w:gridSpan w:val="4"/>
            <w:vAlign w:val="center"/>
          </w:tcPr>
          <w:p>
            <w:pPr>
              <w:tabs>
                <w:tab w:val="left" w:pos="210"/>
              </w:tabs>
              <w:spacing w:line="320" w:lineRule="exact"/>
              <w:jc w:val="center"/>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79" w:type="dxa"/>
            <w:vMerge w:val="continue"/>
            <w:vAlign w:val="center"/>
          </w:tcPr>
          <w:p>
            <w:pPr>
              <w:tabs>
                <w:tab w:val="left" w:pos="210"/>
              </w:tabs>
              <w:spacing w:line="320" w:lineRule="exact"/>
              <w:jc w:val="center"/>
              <w:rPr>
                <w:rFonts w:ascii="宋体" w:hAnsi="宋体" w:cs="Arial"/>
                <w:color w:val="000000"/>
                <w:kern w:val="0"/>
                <w:sz w:val="24"/>
              </w:rPr>
            </w:pPr>
          </w:p>
        </w:tc>
        <w:tc>
          <w:tcPr>
            <w:tcW w:w="2207"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法定地址</w:t>
            </w:r>
          </w:p>
        </w:tc>
        <w:tc>
          <w:tcPr>
            <w:tcW w:w="6754" w:type="dxa"/>
            <w:gridSpan w:val="4"/>
            <w:vAlign w:val="center"/>
          </w:tcPr>
          <w:p>
            <w:pPr>
              <w:tabs>
                <w:tab w:val="left" w:pos="210"/>
              </w:tabs>
              <w:spacing w:line="320" w:lineRule="exact"/>
              <w:jc w:val="center"/>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79" w:type="dxa"/>
            <w:vMerge w:val="continue"/>
            <w:vAlign w:val="center"/>
          </w:tcPr>
          <w:p>
            <w:pPr>
              <w:tabs>
                <w:tab w:val="left" w:pos="210"/>
              </w:tabs>
              <w:spacing w:line="320" w:lineRule="exact"/>
              <w:jc w:val="center"/>
              <w:rPr>
                <w:rFonts w:ascii="宋体" w:hAnsi="宋体" w:cs="Arial"/>
                <w:color w:val="000000"/>
                <w:kern w:val="0"/>
                <w:sz w:val="24"/>
              </w:rPr>
            </w:pPr>
          </w:p>
        </w:tc>
        <w:tc>
          <w:tcPr>
            <w:tcW w:w="2207"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邮政编码</w:t>
            </w:r>
          </w:p>
        </w:tc>
        <w:tc>
          <w:tcPr>
            <w:tcW w:w="6754" w:type="dxa"/>
            <w:gridSpan w:val="4"/>
            <w:vAlign w:val="center"/>
          </w:tcPr>
          <w:p>
            <w:pPr>
              <w:tabs>
                <w:tab w:val="left" w:pos="210"/>
              </w:tabs>
              <w:spacing w:line="320" w:lineRule="exact"/>
              <w:jc w:val="center"/>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79" w:type="dxa"/>
            <w:vMerge w:val="continue"/>
            <w:vAlign w:val="center"/>
          </w:tcPr>
          <w:p>
            <w:pPr>
              <w:tabs>
                <w:tab w:val="left" w:pos="210"/>
              </w:tabs>
              <w:spacing w:line="320" w:lineRule="exact"/>
              <w:jc w:val="center"/>
              <w:rPr>
                <w:rFonts w:ascii="宋体" w:hAnsi="宋体" w:cs="Arial"/>
                <w:color w:val="000000"/>
                <w:kern w:val="0"/>
                <w:sz w:val="24"/>
              </w:rPr>
            </w:pPr>
          </w:p>
        </w:tc>
        <w:tc>
          <w:tcPr>
            <w:tcW w:w="2207"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工商登记机关</w:t>
            </w:r>
          </w:p>
        </w:tc>
        <w:tc>
          <w:tcPr>
            <w:tcW w:w="6754" w:type="dxa"/>
            <w:gridSpan w:val="4"/>
            <w:vAlign w:val="center"/>
          </w:tcPr>
          <w:p>
            <w:pPr>
              <w:tabs>
                <w:tab w:val="left" w:pos="210"/>
              </w:tabs>
              <w:spacing w:line="320" w:lineRule="exact"/>
              <w:jc w:val="center"/>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79" w:type="dxa"/>
            <w:vMerge w:val="continue"/>
            <w:vAlign w:val="center"/>
          </w:tcPr>
          <w:p>
            <w:pPr>
              <w:tabs>
                <w:tab w:val="left" w:pos="210"/>
              </w:tabs>
              <w:spacing w:line="320" w:lineRule="exact"/>
              <w:jc w:val="center"/>
              <w:rPr>
                <w:rFonts w:ascii="宋体" w:hAnsi="宋体" w:cs="Arial"/>
                <w:color w:val="000000"/>
                <w:kern w:val="0"/>
                <w:sz w:val="24"/>
              </w:rPr>
            </w:pPr>
          </w:p>
        </w:tc>
        <w:tc>
          <w:tcPr>
            <w:tcW w:w="2207"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税务登记机关</w:t>
            </w:r>
          </w:p>
        </w:tc>
        <w:tc>
          <w:tcPr>
            <w:tcW w:w="6754" w:type="dxa"/>
            <w:gridSpan w:val="4"/>
            <w:vAlign w:val="center"/>
          </w:tcPr>
          <w:p>
            <w:pPr>
              <w:tabs>
                <w:tab w:val="left" w:pos="210"/>
              </w:tabs>
              <w:spacing w:line="320" w:lineRule="exact"/>
              <w:jc w:val="center"/>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79" w:type="dxa"/>
            <w:vMerge w:val="continue"/>
            <w:vAlign w:val="center"/>
          </w:tcPr>
          <w:p>
            <w:pPr>
              <w:tabs>
                <w:tab w:val="left" w:pos="210"/>
              </w:tabs>
              <w:spacing w:line="320" w:lineRule="exact"/>
              <w:jc w:val="center"/>
              <w:rPr>
                <w:rFonts w:ascii="宋体" w:hAnsi="宋体" w:cs="Arial"/>
                <w:color w:val="000000"/>
                <w:kern w:val="0"/>
                <w:sz w:val="24"/>
              </w:rPr>
            </w:pPr>
          </w:p>
        </w:tc>
        <w:tc>
          <w:tcPr>
            <w:tcW w:w="2207"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机构代码证号</w:t>
            </w:r>
          </w:p>
        </w:tc>
        <w:tc>
          <w:tcPr>
            <w:tcW w:w="6754" w:type="dxa"/>
            <w:gridSpan w:val="4"/>
            <w:vAlign w:val="center"/>
          </w:tcPr>
          <w:p>
            <w:pPr>
              <w:tabs>
                <w:tab w:val="left" w:pos="210"/>
              </w:tabs>
              <w:spacing w:line="320" w:lineRule="exact"/>
              <w:jc w:val="center"/>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79" w:type="dxa"/>
            <w:vMerge w:val="restart"/>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法定代表人</w:t>
            </w:r>
          </w:p>
        </w:tc>
        <w:tc>
          <w:tcPr>
            <w:tcW w:w="2207"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姓名</w:t>
            </w:r>
          </w:p>
        </w:tc>
        <w:tc>
          <w:tcPr>
            <w:tcW w:w="2391" w:type="dxa"/>
            <w:gridSpan w:val="2"/>
            <w:vAlign w:val="center"/>
          </w:tcPr>
          <w:p>
            <w:pPr>
              <w:tabs>
                <w:tab w:val="left" w:pos="210"/>
              </w:tabs>
              <w:spacing w:line="320" w:lineRule="exact"/>
              <w:jc w:val="center"/>
              <w:rPr>
                <w:rFonts w:ascii="宋体" w:hAnsi="宋体" w:cs="Arial"/>
                <w:color w:val="000000"/>
                <w:kern w:val="0"/>
                <w:sz w:val="24"/>
              </w:rPr>
            </w:pPr>
          </w:p>
        </w:tc>
        <w:tc>
          <w:tcPr>
            <w:tcW w:w="2203"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性别</w:t>
            </w:r>
          </w:p>
        </w:tc>
        <w:tc>
          <w:tcPr>
            <w:tcW w:w="2160" w:type="dxa"/>
            <w:vAlign w:val="center"/>
          </w:tcPr>
          <w:p>
            <w:pPr>
              <w:tabs>
                <w:tab w:val="left" w:pos="210"/>
              </w:tabs>
              <w:spacing w:line="320" w:lineRule="exact"/>
              <w:jc w:val="center"/>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79" w:type="dxa"/>
            <w:vMerge w:val="continue"/>
            <w:vAlign w:val="center"/>
          </w:tcPr>
          <w:p>
            <w:pPr>
              <w:tabs>
                <w:tab w:val="left" w:pos="210"/>
              </w:tabs>
              <w:spacing w:line="320" w:lineRule="exact"/>
              <w:jc w:val="center"/>
              <w:rPr>
                <w:rFonts w:ascii="宋体" w:hAnsi="宋体" w:cs="Arial"/>
                <w:color w:val="000000"/>
                <w:kern w:val="0"/>
                <w:sz w:val="24"/>
              </w:rPr>
            </w:pPr>
          </w:p>
        </w:tc>
        <w:tc>
          <w:tcPr>
            <w:tcW w:w="2207"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职务</w:t>
            </w:r>
          </w:p>
        </w:tc>
        <w:tc>
          <w:tcPr>
            <w:tcW w:w="2391" w:type="dxa"/>
            <w:gridSpan w:val="2"/>
            <w:vAlign w:val="center"/>
          </w:tcPr>
          <w:p>
            <w:pPr>
              <w:tabs>
                <w:tab w:val="left" w:pos="210"/>
              </w:tabs>
              <w:spacing w:line="320" w:lineRule="exact"/>
              <w:jc w:val="center"/>
              <w:rPr>
                <w:rFonts w:ascii="宋体" w:hAnsi="宋体" w:cs="Arial"/>
                <w:color w:val="000000"/>
                <w:kern w:val="0"/>
                <w:sz w:val="24"/>
              </w:rPr>
            </w:pPr>
          </w:p>
        </w:tc>
        <w:tc>
          <w:tcPr>
            <w:tcW w:w="2203"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联系电话</w:t>
            </w:r>
          </w:p>
        </w:tc>
        <w:tc>
          <w:tcPr>
            <w:tcW w:w="2160" w:type="dxa"/>
            <w:vAlign w:val="center"/>
          </w:tcPr>
          <w:p>
            <w:pPr>
              <w:tabs>
                <w:tab w:val="left" w:pos="210"/>
              </w:tabs>
              <w:spacing w:line="320" w:lineRule="exact"/>
              <w:jc w:val="center"/>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79" w:type="dxa"/>
            <w:vMerge w:val="continue"/>
            <w:vAlign w:val="center"/>
          </w:tcPr>
          <w:p>
            <w:pPr>
              <w:tabs>
                <w:tab w:val="left" w:pos="210"/>
              </w:tabs>
              <w:spacing w:line="320" w:lineRule="exact"/>
              <w:jc w:val="center"/>
              <w:rPr>
                <w:rFonts w:ascii="宋体" w:hAnsi="宋体" w:cs="Arial"/>
                <w:color w:val="000000"/>
                <w:kern w:val="0"/>
                <w:sz w:val="24"/>
              </w:rPr>
            </w:pPr>
          </w:p>
        </w:tc>
        <w:tc>
          <w:tcPr>
            <w:tcW w:w="2207" w:type="dxa"/>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传真</w:t>
            </w:r>
          </w:p>
        </w:tc>
        <w:tc>
          <w:tcPr>
            <w:tcW w:w="6754" w:type="dxa"/>
            <w:gridSpan w:val="4"/>
            <w:vAlign w:val="center"/>
          </w:tcPr>
          <w:p>
            <w:pPr>
              <w:tabs>
                <w:tab w:val="left" w:pos="210"/>
              </w:tabs>
              <w:spacing w:line="320" w:lineRule="exact"/>
              <w:jc w:val="center"/>
              <w:rPr>
                <w:rFonts w:ascii="宋体" w:hAnsi="宋体"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991" w:type="dxa"/>
            <w:gridSpan w:val="3"/>
            <w:vMerge w:val="restart"/>
            <w:vAlign w:val="center"/>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法定代表人身份证（正反面）复印件</w:t>
            </w:r>
          </w:p>
        </w:tc>
        <w:tc>
          <w:tcPr>
            <w:tcW w:w="4549" w:type="dxa"/>
            <w:gridSpan w:val="3"/>
            <w:vAlign w:val="center"/>
          </w:tcPr>
          <w:p>
            <w:pPr>
              <w:tabs>
                <w:tab w:val="left" w:pos="210"/>
              </w:tabs>
              <w:spacing w:line="320" w:lineRule="exact"/>
              <w:jc w:val="center"/>
              <w:rPr>
                <w:rFonts w:hint="eastAsia" w:ascii="宋体" w:hAnsi="宋体" w:eastAsia="宋体" w:cs="Arial"/>
                <w:color w:val="000000"/>
                <w:kern w:val="0"/>
                <w:sz w:val="24"/>
                <w:lang w:eastAsia="zh-CN"/>
              </w:rPr>
            </w:pPr>
            <w:r>
              <w:rPr>
                <w:rFonts w:hint="eastAsia" w:ascii="宋体" w:hAnsi="宋体" w:cs="Arial"/>
                <w:color w:val="000000"/>
                <w:kern w:val="0"/>
                <w:sz w:val="24"/>
              </w:rPr>
              <w:t>法定代表人签</w:t>
            </w:r>
            <w:r>
              <w:rPr>
                <w:rFonts w:hint="eastAsia" w:ascii="宋体" w:hAnsi="宋体" w:cs="Arial"/>
                <w:color w:val="000000"/>
                <w:kern w:val="0"/>
                <w:sz w:val="24"/>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4991" w:type="dxa"/>
            <w:gridSpan w:val="3"/>
            <w:vMerge w:val="continue"/>
            <w:tcBorders>
              <w:bottom w:val="single" w:color="auto" w:sz="4" w:space="0"/>
            </w:tcBorders>
            <w:vAlign w:val="center"/>
          </w:tcPr>
          <w:p>
            <w:pPr>
              <w:tabs>
                <w:tab w:val="left" w:pos="210"/>
              </w:tabs>
              <w:spacing w:line="320" w:lineRule="exact"/>
              <w:jc w:val="center"/>
              <w:rPr>
                <w:rFonts w:ascii="宋体" w:hAnsi="宋体" w:cs="Arial"/>
                <w:color w:val="000000"/>
                <w:kern w:val="0"/>
                <w:sz w:val="24"/>
              </w:rPr>
            </w:pPr>
          </w:p>
        </w:tc>
        <w:tc>
          <w:tcPr>
            <w:tcW w:w="4549" w:type="dxa"/>
            <w:gridSpan w:val="3"/>
            <w:tcBorders>
              <w:bottom w:val="single" w:color="auto" w:sz="4" w:space="0"/>
            </w:tcBorders>
            <w:vAlign w:val="bottom"/>
          </w:tcPr>
          <w:p>
            <w:pPr>
              <w:tabs>
                <w:tab w:val="left" w:pos="210"/>
              </w:tabs>
              <w:spacing w:line="320" w:lineRule="exact"/>
              <w:jc w:val="center"/>
              <w:rPr>
                <w:rFonts w:ascii="宋体" w:hAnsi="宋体" w:cs="Arial"/>
                <w:color w:val="000000"/>
                <w:kern w:val="0"/>
                <w:sz w:val="24"/>
              </w:rPr>
            </w:pPr>
            <w:r>
              <w:rPr>
                <w:rFonts w:hint="eastAsia" w:ascii="宋体" w:hAnsi="宋体" w:cs="Arial"/>
                <w:color w:val="000000"/>
                <w:kern w:val="0"/>
                <w:sz w:val="24"/>
              </w:rPr>
              <w:t>（公章）</w:t>
            </w:r>
          </w:p>
          <w:p>
            <w:pPr>
              <w:tabs>
                <w:tab w:val="left" w:pos="210"/>
              </w:tabs>
              <w:spacing w:line="320" w:lineRule="exact"/>
              <w:jc w:val="center"/>
              <w:rPr>
                <w:rFonts w:ascii="宋体" w:hAnsi="宋体" w:cs="Arial"/>
                <w:color w:val="000000"/>
                <w:kern w:val="0"/>
                <w:sz w:val="24"/>
              </w:rPr>
            </w:pPr>
          </w:p>
          <w:p>
            <w:pPr>
              <w:tabs>
                <w:tab w:val="left" w:pos="210"/>
              </w:tabs>
              <w:spacing w:line="320" w:lineRule="exact"/>
              <w:jc w:val="center"/>
              <w:rPr>
                <w:rFonts w:ascii="宋体" w:hAnsi="宋体" w:cs="Arial"/>
                <w:color w:val="000000"/>
                <w:kern w:val="0"/>
                <w:sz w:val="24"/>
              </w:rPr>
            </w:pPr>
          </w:p>
          <w:p>
            <w:pPr>
              <w:tabs>
                <w:tab w:val="left" w:pos="210"/>
              </w:tabs>
              <w:spacing w:line="320" w:lineRule="exact"/>
              <w:jc w:val="center"/>
              <w:rPr>
                <w:rFonts w:ascii="宋体" w:hAnsi="宋体" w:cs="Arial"/>
                <w:color w:val="000000"/>
                <w:kern w:val="0"/>
                <w:sz w:val="24"/>
              </w:rPr>
            </w:pPr>
          </w:p>
          <w:p>
            <w:pPr>
              <w:tabs>
                <w:tab w:val="left" w:pos="210"/>
              </w:tabs>
              <w:spacing w:line="320" w:lineRule="exact"/>
              <w:jc w:val="right"/>
              <w:rPr>
                <w:rFonts w:ascii="宋体" w:hAnsi="宋体" w:cs="Arial"/>
                <w:color w:val="000000"/>
                <w:kern w:val="0"/>
                <w:sz w:val="24"/>
              </w:rPr>
            </w:pPr>
            <w:r>
              <w:rPr>
                <w:rFonts w:hint="eastAsia" w:ascii="宋体" w:hAnsi="宋体" w:cs="Arial"/>
                <w:color w:val="000000"/>
                <w:kern w:val="0"/>
                <w:sz w:val="24"/>
              </w:rPr>
              <w:t xml:space="preserve">年  月  日 </w:t>
            </w:r>
          </w:p>
        </w:tc>
      </w:tr>
    </w:tbl>
    <w:p>
      <w:pPr>
        <w:pStyle w:val="5"/>
        <w:adjustRightInd w:val="0"/>
        <w:textAlignment w:val="baseline"/>
        <w:rPr>
          <w:rFonts w:hint="eastAsia" w:ascii="宋体" w:hAnsi="宋体" w:eastAsia="宋体" w:cs="宋体"/>
          <w:color w:val="000000"/>
          <w:szCs w:val="22"/>
        </w:rPr>
      </w:pPr>
    </w:p>
    <w:p>
      <w:pPr>
        <w:pStyle w:val="5"/>
        <w:adjustRightInd w:val="0"/>
        <w:textAlignment w:val="baseline"/>
        <w:rPr>
          <w:rFonts w:ascii="宋体" w:hAnsi="宋体" w:eastAsia="宋体" w:cs="宋体"/>
          <w:color w:val="000000"/>
          <w:sz w:val="24"/>
          <w:szCs w:val="24"/>
        </w:rPr>
      </w:pPr>
      <w:r>
        <w:rPr>
          <w:rFonts w:hint="eastAsia" w:ascii="宋体" w:hAnsi="宋体" w:eastAsia="宋体" w:cs="宋体"/>
          <w:color w:val="000000"/>
          <w:szCs w:val="22"/>
        </w:rPr>
        <w:t>法定代表人授权委托书</w:t>
      </w:r>
    </w:p>
    <w:p>
      <w:pPr>
        <w:tabs>
          <w:tab w:val="left" w:pos="8820"/>
        </w:tabs>
        <w:spacing w:line="480" w:lineRule="auto"/>
        <w:ind w:firstLine="570"/>
        <w:rPr>
          <w:rFonts w:ascii="宋体" w:hAnsi="宋体" w:cs="宋体"/>
          <w:color w:val="000000"/>
          <w:sz w:val="24"/>
          <w:szCs w:val="24"/>
          <w:u w:val="single"/>
        </w:rPr>
      </w:pPr>
      <w:r>
        <w:rPr>
          <w:rFonts w:hint="eastAsia" w:ascii="宋体" w:hAnsi="宋体" w:cs="宋体"/>
          <w:color w:val="000000"/>
          <w:sz w:val="24"/>
          <w:szCs w:val="24"/>
        </w:rPr>
        <w:t>本授权委托书声明：我</w:t>
      </w:r>
      <w:r>
        <w:rPr>
          <w:rFonts w:hint="eastAsia" w:ascii="宋体" w:hAnsi="宋体" w:cs="宋体"/>
          <w:color w:val="000000"/>
          <w:sz w:val="24"/>
          <w:szCs w:val="24"/>
          <w:u w:val="single"/>
        </w:rPr>
        <w:t>（法定代表人姓名）</w:t>
      </w:r>
      <w:r>
        <w:rPr>
          <w:rFonts w:hint="eastAsia" w:ascii="宋体" w:hAnsi="宋体" w:cs="宋体"/>
          <w:color w:val="000000"/>
          <w:sz w:val="24"/>
          <w:szCs w:val="24"/>
        </w:rPr>
        <w:t>系注册于</w:t>
      </w:r>
      <w:r>
        <w:rPr>
          <w:rFonts w:hint="eastAsia" w:ascii="宋体" w:hAnsi="宋体" w:cs="宋体"/>
          <w:color w:val="000000"/>
          <w:sz w:val="24"/>
          <w:szCs w:val="24"/>
          <w:u w:val="single"/>
        </w:rPr>
        <w:t xml:space="preserve">  （供应商地址）           </w:t>
      </w:r>
      <w:r>
        <w:rPr>
          <w:rFonts w:hint="eastAsia" w:ascii="宋体" w:hAnsi="宋体" w:cs="宋体"/>
          <w:color w:val="000000"/>
          <w:sz w:val="24"/>
          <w:szCs w:val="24"/>
        </w:rPr>
        <w:t>的</w:t>
      </w:r>
      <w:r>
        <w:rPr>
          <w:rFonts w:hint="eastAsia" w:ascii="宋体" w:hAnsi="宋体" w:cs="宋体"/>
          <w:color w:val="000000"/>
          <w:sz w:val="24"/>
          <w:szCs w:val="24"/>
          <w:u w:val="single"/>
        </w:rPr>
        <w:t xml:space="preserve">（供应商名称）  </w:t>
      </w:r>
      <w:r>
        <w:rPr>
          <w:rFonts w:hint="eastAsia" w:ascii="宋体" w:hAnsi="宋体" w:cs="宋体"/>
          <w:color w:val="000000"/>
          <w:sz w:val="24"/>
          <w:szCs w:val="24"/>
        </w:rPr>
        <w:t>的法定代表人，现代表公司授权下面签字的</w:t>
      </w:r>
      <w:r>
        <w:rPr>
          <w:rFonts w:hint="eastAsia" w:ascii="宋体" w:hAnsi="宋体" w:cs="宋体"/>
          <w:color w:val="000000"/>
          <w:sz w:val="24"/>
          <w:szCs w:val="24"/>
          <w:u w:val="single"/>
        </w:rPr>
        <w:t>（被授权人的姓名、职务）</w:t>
      </w:r>
      <w:r>
        <w:rPr>
          <w:rFonts w:hint="eastAsia" w:ascii="宋体" w:hAnsi="宋体" w:cs="宋体"/>
          <w:color w:val="000000"/>
          <w:sz w:val="24"/>
          <w:szCs w:val="24"/>
        </w:rPr>
        <w:t>为我公司合法代理人，代表本公司参加</w:t>
      </w:r>
      <w:r>
        <w:rPr>
          <w:rFonts w:hint="eastAsia" w:ascii="宋体" w:hAnsi="宋体" w:cs="宋体"/>
          <w:color w:val="000000"/>
          <w:sz w:val="24"/>
          <w:szCs w:val="24"/>
          <w:u w:val="single"/>
        </w:rPr>
        <w:t xml:space="preserve">  （采购项目名称） (</w:t>
      </w:r>
      <w:r>
        <w:rPr>
          <w:rFonts w:hint="eastAsia" w:ascii="宋体" w:hAnsi="宋体" w:cs="宋体"/>
          <w:color w:val="000000"/>
          <w:sz w:val="24"/>
          <w:szCs w:val="24"/>
        </w:rPr>
        <w:t>采购项目编号)为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的谈判活动。代理人在本次谈判中所签署的一切文件和处理的一切有关事物，我公司均予承认。</w:t>
      </w:r>
    </w:p>
    <w:p>
      <w:pPr>
        <w:spacing w:line="48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本授权书于 </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日签字（盖章）生效，有效期</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天，特此声明。</w:t>
      </w:r>
    </w:p>
    <w:p>
      <w:pPr>
        <w:spacing w:line="360" w:lineRule="auto"/>
        <w:outlineLvl w:val="0"/>
        <w:rPr>
          <w:rFonts w:ascii="宋体" w:hAnsi="宋体" w:cs="宋体"/>
          <w:color w:val="000000"/>
          <w:sz w:val="24"/>
          <w:szCs w:val="24"/>
        </w:rPr>
      </w:pPr>
      <w:r>
        <w:rPr>
          <w:rFonts w:hint="eastAsia" w:ascii="宋体" w:hAnsi="宋体" w:cs="宋体"/>
          <w:color w:val="000000"/>
          <w:sz w:val="24"/>
          <w:szCs w:val="24"/>
        </w:rPr>
        <w:t xml:space="preserve">    </w:t>
      </w:r>
      <w:bookmarkStart w:id="344" w:name="_Toc12419"/>
      <w:bookmarkStart w:id="345" w:name="_Toc17538"/>
      <w:bookmarkStart w:id="346" w:name="_Toc26509"/>
      <w:bookmarkStart w:id="347" w:name="_Toc3685"/>
      <w:r>
        <w:rPr>
          <w:rFonts w:hint="eastAsia" w:ascii="宋体" w:hAnsi="宋体" w:cs="宋体"/>
          <w:color w:val="000000"/>
          <w:sz w:val="24"/>
          <w:szCs w:val="24"/>
        </w:rPr>
        <w:t>附：法定代表人、被授权人身份证复印件。（注：如使用二代身份证需复印正、反两面）</w:t>
      </w:r>
      <w:bookmarkEnd w:id="344"/>
      <w:bookmarkEnd w:id="345"/>
      <w:bookmarkEnd w:id="346"/>
      <w:bookmarkEnd w:id="347"/>
    </w:p>
    <w:tbl>
      <w:tblPr>
        <w:tblStyle w:val="2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2"/>
        <w:gridCol w:w="4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43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szCs w:val="24"/>
              </w:rPr>
            </w:pPr>
          </w:p>
          <w:p>
            <w:pPr>
              <w:spacing w:line="360" w:lineRule="auto"/>
              <w:jc w:val="center"/>
              <w:outlineLvl w:val="0"/>
              <w:rPr>
                <w:rFonts w:ascii="宋体" w:hAnsi="宋体" w:cs="宋体"/>
                <w:color w:val="000000"/>
                <w:sz w:val="24"/>
                <w:szCs w:val="24"/>
              </w:rPr>
            </w:pPr>
            <w:bookmarkStart w:id="348" w:name="_Toc3175"/>
            <w:bookmarkStart w:id="349" w:name="_Toc12606"/>
            <w:bookmarkStart w:id="350" w:name="_Toc19741"/>
            <w:bookmarkStart w:id="351" w:name="_Toc5583"/>
            <w:r>
              <w:rPr>
                <w:rFonts w:hint="eastAsia" w:ascii="宋体" w:hAnsi="宋体" w:cs="宋体"/>
                <w:color w:val="000000"/>
                <w:sz w:val="24"/>
                <w:szCs w:val="24"/>
              </w:rPr>
              <w:t>法定代表人身份证复印件</w:t>
            </w:r>
            <w:bookmarkEnd w:id="348"/>
            <w:bookmarkEnd w:id="349"/>
            <w:bookmarkEnd w:id="350"/>
            <w:bookmarkEnd w:id="351"/>
          </w:p>
          <w:p>
            <w:pPr>
              <w:spacing w:line="360" w:lineRule="auto"/>
              <w:jc w:val="center"/>
              <w:rPr>
                <w:rFonts w:ascii="宋体" w:hAnsi="宋体" w:cs="宋体"/>
                <w:color w:val="000000"/>
                <w:sz w:val="24"/>
                <w:szCs w:val="24"/>
              </w:rPr>
            </w:pPr>
          </w:p>
        </w:tc>
        <w:tc>
          <w:tcPr>
            <w:tcW w:w="4397" w:type="dxa"/>
            <w:tcBorders>
              <w:left w:val="single" w:color="auto" w:sz="4" w:space="0"/>
            </w:tcBorders>
            <w:vAlign w:val="center"/>
          </w:tcPr>
          <w:p>
            <w:pPr>
              <w:spacing w:line="360" w:lineRule="auto"/>
              <w:jc w:val="center"/>
              <w:outlineLvl w:val="0"/>
              <w:rPr>
                <w:rFonts w:ascii="宋体" w:hAnsi="宋体" w:cs="宋体"/>
                <w:color w:val="000000"/>
                <w:sz w:val="24"/>
                <w:szCs w:val="24"/>
              </w:rPr>
            </w:pPr>
            <w:bookmarkStart w:id="352" w:name="_Toc31188"/>
            <w:bookmarkStart w:id="353" w:name="_Toc2151"/>
            <w:bookmarkStart w:id="354" w:name="_Toc14341"/>
            <w:bookmarkStart w:id="355" w:name="_Toc28825"/>
            <w:r>
              <w:rPr>
                <w:rFonts w:hint="eastAsia" w:ascii="宋体" w:hAnsi="宋体" w:cs="宋体"/>
                <w:color w:val="000000"/>
                <w:sz w:val="24"/>
                <w:szCs w:val="24"/>
              </w:rPr>
              <w:t>被授权人身份证复印件</w:t>
            </w:r>
            <w:bookmarkEnd w:id="352"/>
            <w:bookmarkEnd w:id="353"/>
            <w:bookmarkEnd w:id="354"/>
            <w:bookmarkEnd w:id="355"/>
          </w:p>
          <w:p>
            <w:pPr>
              <w:spacing w:line="360" w:lineRule="auto"/>
              <w:jc w:val="center"/>
              <w:outlineLvl w:val="0"/>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43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color w:val="000000"/>
                <w:sz w:val="24"/>
                <w:szCs w:val="24"/>
              </w:rPr>
            </w:pPr>
            <w:bookmarkStart w:id="356" w:name="_Toc12477"/>
            <w:bookmarkStart w:id="357" w:name="_Toc14312"/>
            <w:bookmarkStart w:id="358" w:name="_Toc28695"/>
            <w:bookmarkStart w:id="359" w:name="_Toc28549"/>
            <w:r>
              <w:rPr>
                <w:rFonts w:hint="eastAsia" w:ascii="宋体" w:hAnsi="宋体" w:cs="宋体"/>
                <w:color w:val="000000"/>
                <w:sz w:val="24"/>
                <w:szCs w:val="24"/>
              </w:rPr>
              <w:t>法定代表人身份证复印件</w:t>
            </w:r>
            <w:bookmarkEnd w:id="356"/>
            <w:bookmarkEnd w:id="357"/>
            <w:bookmarkEnd w:id="358"/>
            <w:bookmarkEnd w:id="359"/>
          </w:p>
          <w:p>
            <w:pPr>
              <w:spacing w:line="360" w:lineRule="auto"/>
              <w:jc w:val="center"/>
              <w:outlineLvl w:val="0"/>
              <w:rPr>
                <w:rFonts w:ascii="宋体" w:hAnsi="宋体" w:cs="宋体"/>
                <w:color w:val="000000"/>
                <w:sz w:val="24"/>
                <w:szCs w:val="24"/>
              </w:rPr>
            </w:pPr>
          </w:p>
        </w:tc>
        <w:tc>
          <w:tcPr>
            <w:tcW w:w="4397" w:type="dxa"/>
            <w:tcBorders>
              <w:left w:val="single" w:color="auto" w:sz="4" w:space="0"/>
            </w:tcBorders>
            <w:vAlign w:val="center"/>
          </w:tcPr>
          <w:p>
            <w:pPr>
              <w:spacing w:line="360" w:lineRule="auto"/>
              <w:jc w:val="center"/>
              <w:outlineLvl w:val="0"/>
              <w:rPr>
                <w:rFonts w:ascii="宋体" w:hAnsi="宋体" w:cs="宋体"/>
                <w:color w:val="000000"/>
                <w:sz w:val="24"/>
                <w:szCs w:val="24"/>
              </w:rPr>
            </w:pPr>
            <w:bookmarkStart w:id="360" w:name="_Toc17968"/>
            <w:bookmarkStart w:id="361" w:name="_Toc17870"/>
            <w:bookmarkStart w:id="362" w:name="_Toc7697"/>
            <w:bookmarkStart w:id="363" w:name="_Toc5386"/>
            <w:r>
              <w:rPr>
                <w:rFonts w:hint="eastAsia" w:ascii="宋体" w:hAnsi="宋体" w:cs="宋体"/>
                <w:color w:val="000000"/>
                <w:sz w:val="24"/>
                <w:szCs w:val="24"/>
              </w:rPr>
              <w:t>被授权人身份证复印件</w:t>
            </w:r>
            <w:bookmarkEnd w:id="360"/>
            <w:bookmarkEnd w:id="361"/>
            <w:bookmarkEnd w:id="362"/>
            <w:bookmarkEnd w:id="363"/>
          </w:p>
          <w:p>
            <w:pPr>
              <w:spacing w:line="360" w:lineRule="auto"/>
              <w:jc w:val="center"/>
              <w:outlineLvl w:val="0"/>
              <w:rPr>
                <w:rFonts w:ascii="宋体" w:hAnsi="宋体" w:cs="宋体"/>
                <w:color w:val="000000"/>
                <w:sz w:val="24"/>
                <w:szCs w:val="24"/>
              </w:rPr>
            </w:pPr>
          </w:p>
        </w:tc>
      </w:tr>
    </w:tbl>
    <w:p>
      <w:pPr>
        <w:spacing w:line="360" w:lineRule="auto"/>
        <w:ind w:firstLine="3360" w:firstLineChars="1400"/>
        <w:rPr>
          <w:rFonts w:hint="eastAsia" w:ascii="宋体" w:hAnsi="宋体" w:cs="宋体"/>
          <w:color w:val="000000"/>
          <w:sz w:val="24"/>
          <w:szCs w:val="24"/>
        </w:rPr>
      </w:pPr>
    </w:p>
    <w:p>
      <w:pPr>
        <w:spacing w:line="360" w:lineRule="auto"/>
        <w:ind w:firstLine="3360" w:firstLineChars="1400"/>
        <w:rPr>
          <w:rFonts w:hint="eastAsia" w:ascii="宋体" w:hAnsi="宋体" w:cs="宋体"/>
          <w:color w:val="000000"/>
          <w:sz w:val="24"/>
          <w:szCs w:val="24"/>
        </w:rPr>
      </w:pPr>
    </w:p>
    <w:p>
      <w:pPr>
        <w:spacing w:line="360" w:lineRule="auto"/>
        <w:ind w:firstLine="3360" w:firstLineChars="1400"/>
        <w:rPr>
          <w:rFonts w:ascii="宋体" w:hAnsi="宋体" w:cs="宋体"/>
          <w:color w:val="000000"/>
          <w:sz w:val="24"/>
          <w:szCs w:val="24"/>
        </w:rPr>
      </w:pPr>
      <w:r>
        <w:rPr>
          <w:rFonts w:hint="eastAsia" w:ascii="宋体" w:hAnsi="宋体" w:cs="宋体"/>
          <w:color w:val="000000"/>
          <w:sz w:val="24"/>
          <w:szCs w:val="24"/>
        </w:rPr>
        <w:t>供应商：</w:t>
      </w:r>
      <w:r>
        <w:rPr>
          <w:rFonts w:hint="eastAsia" w:ascii="宋体" w:hAnsi="宋体" w:cs="宋体"/>
          <w:color w:val="000000"/>
          <w:sz w:val="24"/>
          <w:szCs w:val="24"/>
          <w:u w:val="single"/>
        </w:rPr>
        <w:t xml:space="preserve">                            </w:t>
      </w:r>
      <w:r>
        <w:rPr>
          <w:rFonts w:hint="eastAsia" w:ascii="宋体" w:hAnsi="宋体" w:cs="宋体"/>
          <w:color w:val="000000"/>
          <w:sz w:val="24"/>
          <w:szCs w:val="24"/>
        </w:rPr>
        <w:t>（公章）</w:t>
      </w:r>
    </w:p>
    <w:p>
      <w:pPr>
        <w:spacing w:line="360" w:lineRule="auto"/>
        <w:rPr>
          <w:rFonts w:ascii="宋体" w:hAnsi="宋体" w:cs="宋体"/>
          <w:color w:val="000000"/>
          <w:sz w:val="24"/>
          <w:szCs w:val="24"/>
          <w:u w:val="single"/>
        </w:rPr>
      </w:pPr>
      <w:r>
        <w:rPr>
          <w:rFonts w:hint="eastAsia" w:ascii="宋体" w:hAnsi="宋体" w:cs="宋体"/>
          <w:color w:val="000000"/>
          <w:sz w:val="24"/>
          <w:szCs w:val="24"/>
        </w:rPr>
        <w:t xml:space="preserve">                            法定代表人（签字</w:t>
      </w:r>
      <w:r>
        <w:rPr>
          <w:rFonts w:hint="eastAsia" w:ascii="宋体" w:hAnsi="宋体" w:cs="宋体"/>
          <w:color w:val="000000"/>
          <w:sz w:val="24"/>
          <w:szCs w:val="24"/>
          <w:lang w:eastAsia="zh-CN"/>
        </w:rPr>
        <w:t>并</w:t>
      </w:r>
      <w:r>
        <w:rPr>
          <w:rFonts w:hint="eastAsia" w:ascii="宋体" w:hAnsi="宋体" w:cs="宋体"/>
          <w:color w:val="000000"/>
          <w:sz w:val="24"/>
          <w:szCs w:val="24"/>
        </w:rPr>
        <w:t>盖章）：</w:t>
      </w:r>
      <w:r>
        <w:rPr>
          <w:rFonts w:hint="eastAsia" w:ascii="宋体" w:hAnsi="宋体" w:cs="宋体"/>
          <w:color w:val="000000"/>
          <w:sz w:val="24"/>
          <w:szCs w:val="24"/>
          <w:u w:val="single"/>
        </w:rPr>
        <w:t xml:space="preserve">                  </w:t>
      </w:r>
    </w:p>
    <w:p>
      <w:pPr>
        <w:spacing w:line="360" w:lineRule="auto"/>
        <w:ind w:firstLine="3360" w:firstLineChars="1400"/>
        <w:rPr>
          <w:rFonts w:ascii="宋体" w:hAnsi="宋体" w:cs="宋体"/>
          <w:color w:val="000000"/>
          <w:sz w:val="24"/>
          <w:szCs w:val="24"/>
        </w:rPr>
      </w:pPr>
      <w:r>
        <w:rPr>
          <w:rFonts w:hint="eastAsia" w:ascii="宋体" w:hAnsi="宋体" w:cs="宋体"/>
          <w:color w:val="000000"/>
          <w:sz w:val="24"/>
          <w:szCs w:val="24"/>
        </w:rPr>
        <w:t xml:space="preserve">被授权代表（签字）：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before="1"/>
        <w:ind w:left="298" w:right="0" w:firstLine="0"/>
        <w:jc w:val="center"/>
        <w:rPr>
          <w:b/>
          <w:sz w:val="28"/>
          <w:szCs w:val="18"/>
        </w:rPr>
      </w:pPr>
    </w:p>
    <w:p>
      <w:pPr>
        <w:spacing w:line="360" w:lineRule="auto"/>
        <w:ind w:firstLine="480" w:firstLineChars="20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 xml:space="preserve"> </w:t>
      </w:r>
    </w:p>
    <w:p>
      <w:pPr>
        <w:spacing w:before="1"/>
        <w:ind w:left="298" w:right="0" w:firstLine="0"/>
        <w:jc w:val="center"/>
        <w:rPr>
          <w:b/>
          <w:sz w:val="28"/>
          <w:szCs w:val="18"/>
        </w:rPr>
      </w:pPr>
    </w:p>
    <w:p>
      <w:pPr>
        <w:spacing w:before="1"/>
        <w:ind w:left="298" w:right="0" w:firstLine="0"/>
        <w:jc w:val="center"/>
        <w:rPr>
          <w:b/>
          <w:sz w:val="28"/>
          <w:szCs w:val="18"/>
        </w:rPr>
      </w:pPr>
    </w:p>
    <w:p>
      <w:pPr>
        <w:spacing w:before="1"/>
        <w:ind w:left="298" w:right="0" w:firstLine="0"/>
        <w:jc w:val="center"/>
        <w:rPr>
          <w:b/>
          <w:sz w:val="28"/>
          <w:szCs w:val="18"/>
        </w:rPr>
      </w:pPr>
    </w:p>
    <w:p>
      <w:pPr>
        <w:spacing w:before="1"/>
        <w:ind w:left="298" w:right="0" w:firstLine="0"/>
        <w:jc w:val="center"/>
        <w:rPr>
          <w:b/>
          <w:sz w:val="28"/>
          <w:szCs w:val="18"/>
        </w:rPr>
      </w:pPr>
    </w:p>
    <w:p>
      <w:pPr>
        <w:spacing w:before="1"/>
        <w:ind w:left="298" w:right="0" w:firstLine="0"/>
        <w:jc w:val="center"/>
        <w:rPr>
          <w:b/>
          <w:sz w:val="28"/>
          <w:szCs w:val="18"/>
        </w:rPr>
      </w:pPr>
    </w:p>
    <w:p>
      <w:pPr>
        <w:spacing w:before="1"/>
        <w:ind w:left="298" w:right="0" w:firstLine="0"/>
        <w:jc w:val="center"/>
        <w:rPr>
          <w:b/>
          <w:sz w:val="28"/>
          <w:szCs w:val="18"/>
        </w:rPr>
      </w:pPr>
      <w:r>
        <w:rPr>
          <w:rFonts w:hint="eastAsia"/>
          <w:b/>
          <w:sz w:val="28"/>
          <w:szCs w:val="18"/>
          <w:lang w:eastAsia="zh-CN"/>
        </w:rPr>
        <w:t>二、</w:t>
      </w:r>
      <w:r>
        <w:rPr>
          <w:b/>
          <w:sz w:val="28"/>
          <w:szCs w:val="18"/>
        </w:rPr>
        <w:t>投标人性质及其概况</w:t>
      </w:r>
    </w:p>
    <w:p>
      <w:pPr>
        <w:pStyle w:val="11"/>
        <w:spacing w:before="11"/>
        <w:ind w:left="0"/>
        <w:rPr>
          <w:b/>
          <w:sz w:val="24"/>
        </w:rPr>
      </w:pPr>
    </w:p>
    <w:p>
      <w:pPr>
        <w:pStyle w:val="8"/>
        <w:spacing w:after="22"/>
        <w:ind w:left="298"/>
      </w:pPr>
      <w:r>
        <w:t>（一）投标人基本信息</w:t>
      </w:r>
    </w:p>
    <w:tbl>
      <w:tblPr>
        <w:tblStyle w:val="20"/>
        <w:tblW w:w="0" w:type="auto"/>
        <w:tblInd w:w="25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87"/>
        <w:gridCol w:w="1584"/>
        <w:gridCol w:w="1533"/>
        <w:gridCol w:w="1418"/>
        <w:gridCol w:w="1559"/>
        <w:gridCol w:w="139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9177" w:type="dxa"/>
            <w:gridSpan w:val="6"/>
            <w:tcBorders>
              <w:bottom w:val="single" w:color="000000" w:sz="6" w:space="0"/>
            </w:tcBorders>
            <w:shd w:val="clear" w:color="auto" w:fill="E4B8B7"/>
          </w:tcPr>
          <w:p>
            <w:pPr>
              <w:pStyle w:val="54"/>
              <w:spacing w:before="83"/>
              <w:ind w:left="107"/>
              <w:rPr>
                <w:sz w:val="24"/>
              </w:rPr>
            </w:pPr>
            <w:r>
              <w:rPr>
                <w:sz w:val="24"/>
              </w:rPr>
              <w:t>单位基本情况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1687" w:type="dxa"/>
            <w:tcBorders>
              <w:top w:val="single" w:color="000000" w:sz="6" w:space="0"/>
              <w:bottom w:val="single" w:color="000000" w:sz="6" w:space="0"/>
              <w:right w:val="single" w:color="000000" w:sz="6" w:space="0"/>
            </w:tcBorders>
          </w:tcPr>
          <w:p>
            <w:pPr>
              <w:pStyle w:val="54"/>
              <w:spacing w:before="139"/>
              <w:ind w:left="107"/>
              <w:rPr>
                <w:sz w:val="24"/>
              </w:rPr>
            </w:pPr>
            <w:r>
              <w:rPr>
                <w:rFonts w:hint="eastAsia"/>
                <w:sz w:val="24"/>
                <w:lang w:eastAsia="zh-CN"/>
              </w:rPr>
              <w:t>供应商</w:t>
            </w:r>
            <w:r>
              <w:rPr>
                <w:sz w:val="24"/>
              </w:rPr>
              <w:t>全称</w:t>
            </w:r>
          </w:p>
        </w:tc>
        <w:tc>
          <w:tcPr>
            <w:tcW w:w="7490" w:type="dxa"/>
            <w:gridSpan w:val="5"/>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1687" w:type="dxa"/>
            <w:tcBorders>
              <w:top w:val="single" w:color="000000" w:sz="6" w:space="0"/>
              <w:bottom w:val="single" w:color="000000" w:sz="6" w:space="0"/>
              <w:right w:val="single" w:color="000000" w:sz="6" w:space="0"/>
            </w:tcBorders>
          </w:tcPr>
          <w:p>
            <w:pPr>
              <w:pStyle w:val="54"/>
              <w:spacing w:before="141"/>
              <w:ind w:left="107"/>
              <w:rPr>
                <w:sz w:val="24"/>
              </w:rPr>
            </w:pPr>
            <w:r>
              <w:rPr>
                <w:sz w:val="24"/>
              </w:rPr>
              <w:t>注册地址</w:t>
            </w:r>
          </w:p>
        </w:tc>
        <w:tc>
          <w:tcPr>
            <w:tcW w:w="3117" w:type="dxa"/>
            <w:gridSpan w:val="2"/>
            <w:tcBorders>
              <w:top w:val="single" w:color="000000" w:sz="6" w:space="0"/>
              <w:left w:val="single" w:color="000000" w:sz="6" w:space="0"/>
              <w:bottom w:val="single" w:color="000000" w:sz="6" w:space="0"/>
              <w:right w:val="single" w:color="000000" w:sz="6" w:space="0"/>
            </w:tcBorders>
          </w:tcPr>
          <w:p>
            <w:pPr>
              <w:pStyle w:val="54"/>
              <w:rPr>
                <w:rFonts w:ascii="Times New Roman"/>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54"/>
              <w:spacing w:before="141"/>
              <w:ind w:left="116"/>
              <w:rPr>
                <w:sz w:val="24"/>
              </w:rPr>
            </w:pPr>
            <w:r>
              <w:rPr>
                <w:sz w:val="24"/>
              </w:rPr>
              <w:t>成立时间</w:t>
            </w:r>
          </w:p>
        </w:tc>
        <w:tc>
          <w:tcPr>
            <w:tcW w:w="2955" w:type="dxa"/>
            <w:gridSpan w:val="2"/>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687" w:type="dxa"/>
            <w:tcBorders>
              <w:top w:val="single" w:color="000000" w:sz="6" w:space="0"/>
              <w:bottom w:val="single" w:color="000000" w:sz="6" w:space="0"/>
              <w:right w:val="single" w:color="000000" w:sz="6" w:space="0"/>
            </w:tcBorders>
          </w:tcPr>
          <w:p>
            <w:pPr>
              <w:pStyle w:val="54"/>
              <w:spacing w:before="139"/>
              <w:ind w:left="107"/>
              <w:rPr>
                <w:sz w:val="24"/>
              </w:rPr>
            </w:pPr>
            <w:r>
              <w:rPr>
                <w:sz w:val="24"/>
              </w:rPr>
              <w:t>登记证号</w:t>
            </w:r>
          </w:p>
        </w:tc>
        <w:tc>
          <w:tcPr>
            <w:tcW w:w="3117" w:type="dxa"/>
            <w:gridSpan w:val="2"/>
            <w:tcBorders>
              <w:top w:val="single" w:color="000000" w:sz="6" w:space="0"/>
              <w:left w:val="single" w:color="000000" w:sz="6" w:space="0"/>
              <w:bottom w:val="single" w:color="000000" w:sz="6" w:space="0"/>
              <w:right w:val="single" w:color="000000" w:sz="6" w:space="0"/>
            </w:tcBorders>
          </w:tcPr>
          <w:p>
            <w:pPr>
              <w:pStyle w:val="54"/>
              <w:rPr>
                <w:rFonts w:ascii="Times New Roman"/>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54"/>
              <w:spacing w:before="139"/>
              <w:ind w:left="116"/>
              <w:rPr>
                <w:sz w:val="24"/>
              </w:rPr>
            </w:pPr>
            <w:r>
              <w:rPr>
                <w:sz w:val="24"/>
              </w:rPr>
              <w:t>单位性质</w:t>
            </w:r>
          </w:p>
        </w:tc>
        <w:tc>
          <w:tcPr>
            <w:tcW w:w="2955" w:type="dxa"/>
            <w:gridSpan w:val="2"/>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1687" w:type="dxa"/>
            <w:tcBorders>
              <w:top w:val="single" w:color="000000" w:sz="6" w:space="0"/>
              <w:bottom w:val="single" w:color="000000" w:sz="6" w:space="0"/>
              <w:right w:val="single" w:color="000000" w:sz="6" w:space="0"/>
            </w:tcBorders>
          </w:tcPr>
          <w:p>
            <w:pPr>
              <w:pStyle w:val="54"/>
              <w:spacing w:before="16"/>
              <w:ind w:left="107"/>
              <w:rPr>
                <w:sz w:val="24"/>
              </w:rPr>
            </w:pPr>
            <w:r>
              <w:rPr>
                <w:sz w:val="24"/>
              </w:rPr>
              <w:t>法定代表人</w:t>
            </w:r>
          </w:p>
          <w:p>
            <w:pPr>
              <w:pStyle w:val="54"/>
              <w:spacing w:before="14" w:line="282" w:lineRule="exact"/>
              <w:ind w:left="107"/>
              <w:rPr>
                <w:sz w:val="24"/>
              </w:rPr>
            </w:pPr>
            <w:r>
              <w:rPr>
                <w:sz w:val="24"/>
              </w:rPr>
              <w:t>(主要负责人)</w:t>
            </w:r>
          </w:p>
        </w:tc>
        <w:tc>
          <w:tcPr>
            <w:tcW w:w="3117" w:type="dxa"/>
            <w:gridSpan w:val="2"/>
            <w:tcBorders>
              <w:top w:val="single" w:color="000000" w:sz="6" w:space="0"/>
              <w:left w:val="single" w:color="000000" w:sz="6" w:space="0"/>
              <w:bottom w:val="single" w:color="000000" w:sz="6" w:space="0"/>
              <w:right w:val="single" w:color="000000" w:sz="6" w:space="0"/>
            </w:tcBorders>
          </w:tcPr>
          <w:p>
            <w:pPr>
              <w:pStyle w:val="54"/>
              <w:rPr>
                <w:rFonts w:ascii="Times New Roman"/>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54"/>
              <w:spacing w:before="4"/>
              <w:rPr>
                <w:b/>
                <w:sz w:val="26"/>
              </w:rPr>
            </w:pPr>
          </w:p>
          <w:p>
            <w:pPr>
              <w:pStyle w:val="54"/>
              <w:spacing w:before="1" w:line="282" w:lineRule="exact"/>
              <w:ind w:left="116"/>
              <w:rPr>
                <w:sz w:val="24"/>
              </w:rPr>
            </w:pPr>
            <w:r>
              <w:rPr>
                <w:sz w:val="24"/>
              </w:rPr>
              <w:t>所属行业</w:t>
            </w:r>
          </w:p>
        </w:tc>
        <w:tc>
          <w:tcPr>
            <w:tcW w:w="2955" w:type="dxa"/>
            <w:gridSpan w:val="2"/>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1687" w:type="dxa"/>
            <w:tcBorders>
              <w:top w:val="single" w:color="000000" w:sz="6" w:space="0"/>
              <w:bottom w:val="single" w:color="000000" w:sz="6" w:space="0"/>
              <w:right w:val="single" w:color="000000" w:sz="6" w:space="0"/>
            </w:tcBorders>
          </w:tcPr>
          <w:p>
            <w:pPr>
              <w:pStyle w:val="54"/>
              <w:spacing w:before="4" w:line="320" w:lineRule="atLeast"/>
              <w:ind w:left="107" w:right="586"/>
              <w:rPr>
                <w:sz w:val="24"/>
              </w:rPr>
            </w:pPr>
            <w:r>
              <w:rPr>
                <w:sz w:val="24"/>
              </w:rPr>
              <w:t>上 年 度 营业收入</w:t>
            </w:r>
          </w:p>
        </w:tc>
        <w:tc>
          <w:tcPr>
            <w:tcW w:w="3117" w:type="dxa"/>
            <w:gridSpan w:val="2"/>
            <w:tcBorders>
              <w:top w:val="single" w:color="000000" w:sz="6" w:space="0"/>
              <w:left w:val="single" w:color="000000" w:sz="6" w:space="0"/>
              <w:bottom w:val="single" w:color="000000" w:sz="6" w:space="0"/>
              <w:right w:val="single" w:color="000000" w:sz="6" w:space="0"/>
            </w:tcBorders>
          </w:tcPr>
          <w:p>
            <w:pPr>
              <w:pStyle w:val="54"/>
              <w:rPr>
                <w:rFonts w:ascii="Times New Roman"/>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54"/>
              <w:spacing w:before="177"/>
              <w:ind w:left="116"/>
              <w:rPr>
                <w:sz w:val="24"/>
              </w:rPr>
            </w:pPr>
            <w:r>
              <w:rPr>
                <w:sz w:val="24"/>
              </w:rPr>
              <w:t>资产总额</w:t>
            </w:r>
          </w:p>
        </w:tc>
        <w:tc>
          <w:tcPr>
            <w:tcW w:w="2955" w:type="dxa"/>
            <w:gridSpan w:val="2"/>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5" w:hRule="atLeast"/>
        </w:trPr>
        <w:tc>
          <w:tcPr>
            <w:tcW w:w="1687" w:type="dxa"/>
            <w:tcBorders>
              <w:top w:val="single" w:color="000000" w:sz="6" w:space="0"/>
              <w:bottom w:val="single" w:color="000000" w:sz="6" w:space="0"/>
              <w:right w:val="single" w:color="000000" w:sz="6" w:space="0"/>
            </w:tcBorders>
          </w:tcPr>
          <w:p>
            <w:pPr>
              <w:pStyle w:val="54"/>
              <w:spacing w:before="12" w:line="249" w:lineRule="auto"/>
              <w:ind w:left="107" w:right="89"/>
              <w:rPr>
                <w:sz w:val="24"/>
              </w:rPr>
            </w:pPr>
            <w:r>
              <w:rPr>
                <w:spacing w:val="1"/>
                <w:sz w:val="24"/>
              </w:rPr>
              <w:t>所获得资质及</w:t>
            </w:r>
            <w:r>
              <w:rPr>
                <w:spacing w:val="-1"/>
                <w:sz w:val="24"/>
              </w:rPr>
              <w:t>等级( 国家行</w:t>
            </w:r>
          </w:p>
          <w:p>
            <w:pPr>
              <w:pStyle w:val="54"/>
              <w:spacing w:before="2" w:line="282" w:lineRule="exact"/>
              <w:ind w:left="107"/>
              <w:rPr>
                <w:sz w:val="24"/>
              </w:rPr>
            </w:pPr>
            <w:r>
              <w:rPr>
                <w:sz w:val="24"/>
              </w:rPr>
              <w:t>政部门颁发)</w:t>
            </w:r>
          </w:p>
        </w:tc>
        <w:tc>
          <w:tcPr>
            <w:tcW w:w="7490" w:type="dxa"/>
            <w:gridSpan w:val="5"/>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687" w:type="dxa"/>
            <w:tcBorders>
              <w:top w:val="single" w:color="000000" w:sz="6" w:space="0"/>
              <w:bottom w:val="single" w:color="000000" w:sz="6" w:space="0"/>
              <w:right w:val="single" w:color="000000" w:sz="6" w:space="0"/>
            </w:tcBorders>
          </w:tcPr>
          <w:p>
            <w:pPr>
              <w:pStyle w:val="54"/>
              <w:spacing w:before="170"/>
              <w:ind w:left="107"/>
              <w:rPr>
                <w:sz w:val="24"/>
              </w:rPr>
            </w:pPr>
            <w:r>
              <w:rPr>
                <w:sz w:val="24"/>
              </w:rPr>
              <w:t>经营范围</w:t>
            </w:r>
          </w:p>
        </w:tc>
        <w:tc>
          <w:tcPr>
            <w:tcW w:w="7490" w:type="dxa"/>
            <w:gridSpan w:val="5"/>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9177" w:type="dxa"/>
            <w:gridSpan w:val="6"/>
            <w:tcBorders>
              <w:top w:val="single" w:color="000000" w:sz="6" w:space="0"/>
              <w:bottom w:val="single" w:color="000000" w:sz="6" w:space="0"/>
            </w:tcBorders>
            <w:shd w:val="clear" w:color="auto" w:fill="E4B8B7"/>
          </w:tcPr>
          <w:p>
            <w:pPr>
              <w:pStyle w:val="54"/>
              <w:spacing w:before="86"/>
              <w:ind w:left="107"/>
              <w:rPr>
                <w:sz w:val="24"/>
              </w:rPr>
            </w:pPr>
            <w:r>
              <w:rPr>
                <w:sz w:val="24"/>
              </w:rPr>
              <w:t>人员情况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1687" w:type="dxa"/>
            <w:vMerge w:val="restart"/>
            <w:tcBorders>
              <w:top w:val="single" w:color="000000" w:sz="6" w:space="0"/>
              <w:bottom w:val="single" w:color="000000" w:sz="6" w:space="0"/>
              <w:right w:val="single" w:color="000000" w:sz="6" w:space="0"/>
            </w:tcBorders>
          </w:tcPr>
          <w:p>
            <w:pPr>
              <w:pStyle w:val="54"/>
              <w:rPr>
                <w:b/>
                <w:sz w:val="24"/>
              </w:rPr>
            </w:pPr>
          </w:p>
          <w:p>
            <w:pPr>
              <w:pStyle w:val="54"/>
              <w:spacing w:before="196"/>
              <w:ind w:left="107"/>
              <w:rPr>
                <w:sz w:val="24"/>
              </w:rPr>
            </w:pPr>
            <w:r>
              <w:rPr>
                <w:sz w:val="24"/>
              </w:rPr>
              <w:t>从业人员总数</w:t>
            </w:r>
          </w:p>
        </w:tc>
        <w:tc>
          <w:tcPr>
            <w:tcW w:w="1584" w:type="dxa"/>
            <w:vMerge w:val="restart"/>
            <w:tcBorders>
              <w:top w:val="single" w:color="000000" w:sz="6" w:space="0"/>
              <w:left w:val="single" w:color="000000" w:sz="6" w:space="0"/>
              <w:bottom w:val="single" w:color="000000" w:sz="6" w:space="0"/>
              <w:right w:val="single" w:color="000000" w:sz="6" w:space="0"/>
            </w:tcBorders>
          </w:tcPr>
          <w:p>
            <w:pPr>
              <w:pStyle w:val="54"/>
              <w:rPr>
                <w:rFonts w:ascii="Times New Roman"/>
                <w:sz w:val="24"/>
              </w:rPr>
            </w:pPr>
          </w:p>
        </w:tc>
        <w:tc>
          <w:tcPr>
            <w:tcW w:w="1533" w:type="dxa"/>
            <w:tcBorders>
              <w:top w:val="single" w:color="000000" w:sz="6" w:space="0"/>
              <w:left w:val="single" w:color="000000" w:sz="6" w:space="0"/>
              <w:bottom w:val="single" w:color="000000" w:sz="6" w:space="0"/>
              <w:right w:val="single" w:color="000000" w:sz="6" w:space="0"/>
            </w:tcBorders>
          </w:tcPr>
          <w:p>
            <w:pPr>
              <w:pStyle w:val="54"/>
              <w:spacing w:before="4" w:line="320" w:lineRule="atLeast"/>
              <w:ind w:left="115" w:right="88"/>
              <w:rPr>
                <w:sz w:val="24"/>
              </w:rPr>
            </w:pPr>
            <w:r>
              <w:rPr>
                <w:sz w:val="24"/>
              </w:rPr>
              <w:t>管理人员数量</w:t>
            </w:r>
          </w:p>
        </w:tc>
        <w:tc>
          <w:tcPr>
            <w:tcW w:w="1418" w:type="dxa"/>
            <w:tcBorders>
              <w:top w:val="single" w:color="000000" w:sz="6" w:space="0"/>
              <w:left w:val="single" w:color="000000" w:sz="6" w:space="0"/>
              <w:bottom w:val="single" w:color="000000" w:sz="6" w:space="0"/>
              <w:right w:val="single" w:color="000000" w:sz="6" w:space="0"/>
            </w:tcBorders>
          </w:tcPr>
          <w:p>
            <w:pPr>
              <w:pStyle w:val="54"/>
              <w:rPr>
                <w:rFonts w:ascii="Times New Roman"/>
                <w:sz w:val="24"/>
              </w:rPr>
            </w:pPr>
          </w:p>
        </w:tc>
        <w:tc>
          <w:tcPr>
            <w:tcW w:w="1559" w:type="dxa"/>
            <w:tcBorders>
              <w:top w:val="single" w:color="000000" w:sz="6" w:space="0"/>
              <w:left w:val="single" w:color="000000" w:sz="6" w:space="0"/>
              <w:bottom w:val="single" w:color="000000" w:sz="6" w:space="0"/>
              <w:right w:val="single" w:color="000000" w:sz="6" w:space="0"/>
            </w:tcBorders>
          </w:tcPr>
          <w:p>
            <w:pPr>
              <w:pStyle w:val="54"/>
              <w:spacing w:before="4" w:line="320" w:lineRule="atLeast"/>
              <w:ind w:left="114" w:right="458"/>
              <w:rPr>
                <w:sz w:val="24"/>
              </w:rPr>
            </w:pPr>
            <w:r>
              <w:rPr>
                <w:sz w:val="24"/>
              </w:rPr>
              <w:t>专业技术人员数量</w:t>
            </w:r>
          </w:p>
        </w:tc>
        <w:tc>
          <w:tcPr>
            <w:tcW w:w="1396" w:type="dxa"/>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7" w:hRule="atLeast"/>
        </w:trPr>
        <w:tc>
          <w:tcPr>
            <w:tcW w:w="1687" w:type="dxa"/>
            <w:vMerge w:val="continue"/>
            <w:tcBorders>
              <w:top w:val="nil"/>
              <w:bottom w:val="single" w:color="000000" w:sz="6" w:space="0"/>
              <w:right w:val="single" w:color="000000" w:sz="6" w:space="0"/>
            </w:tcBorders>
          </w:tcPr>
          <w:p>
            <w:pPr>
              <w:rPr>
                <w:sz w:val="2"/>
                <w:szCs w:val="2"/>
              </w:rPr>
            </w:pPr>
          </w:p>
        </w:tc>
        <w:tc>
          <w:tcPr>
            <w:tcW w:w="1584" w:type="dxa"/>
            <w:vMerge w:val="continue"/>
            <w:tcBorders>
              <w:top w:val="nil"/>
              <w:left w:val="single" w:color="000000" w:sz="6" w:space="0"/>
              <w:bottom w:val="single" w:color="000000" w:sz="6" w:space="0"/>
              <w:right w:val="single" w:color="000000" w:sz="6" w:space="0"/>
            </w:tcBorders>
          </w:tcPr>
          <w:p>
            <w:pPr>
              <w:rPr>
                <w:sz w:val="2"/>
                <w:szCs w:val="2"/>
              </w:rPr>
            </w:pPr>
          </w:p>
        </w:tc>
        <w:tc>
          <w:tcPr>
            <w:tcW w:w="1533" w:type="dxa"/>
            <w:tcBorders>
              <w:top w:val="single" w:color="000000" w:sz="6" w:space="0"/>
              <w:left w:val="single" w:color="000000" w:sz="6" w:space="0"/>
              <w:bottom w:val="single" w:color="000000" w:sz="6" w:space="0"/>
              <w:right w:val="single" w:color="000000" w:sz="6" w:space="0"/>
            </w:tcBorders>
          </w:tcPr>
          <w:p>
            <w:pPr>
              <w:pStyle w:val="54"/>
              <w:spacing w:before="174"/>
              <w:ind w:left="115"/>
              <w:rPr>
                <w:sz w:val="24"/>
              </w:rPr>
            </w:pPr>
            <w:r>
              <w:rPr>
                <w:sz w:val="24"/>
              </w:rPr>
              <w:t>残疾人人数</w:t>
            </w:r>
          </w:p>
        </w:tc>
        <w:tc>
          <w:tcPr>
            <w:tcW w:w="1418" w:type="dxa"/>
            <w:tcBorders>
              <w:top w:val="single" w:color="000000" w:sz="6" w:space="0"/>
              <w:left w:val="single" w:color="000000" w:sz="6" w:space="0"/>
              <w:bottom w:val="single" w:color="000000" w:sz="6" w:space="0"/>
              <w:right w:val="single" w:color="000000" w:sz="6" w:space="0"/>
            </w:tcBorders>
          </w:tcPr>
          <w:p>
            <w:pPr>
              <w:pStyle w:val="54"/>
              <w:rPr>
                <w:rFonts w:ascii="Times New Roman"/>
                <w:sz w:val="24"/>
              </w:rPr>
            </w:pPr>
          </w:p>
        </w:tc>
        <w:tc>
          <w:tcPr>
            <w:tcW w:w="1559" w:type="dxa"/>
            <w:tcBorders>
              <w:top w:val="single" w:color="000000" w:sz="6" w:space="0"/>
              <w:left w:val="single" w:color="000000" w:sz="6" w:space="0"/>
              <w:bottom w:val="single" w:color="000000" w:sz="6" w:space="0"/>
              <w:right w:val="single" w:color="000000" w:sz="6" w:space="0"/>
            </w:tcBorders>
          </w:tcPr>
          <w:p>
            <w:pPr>
              <w:pStyle w:val="54"/>
              <w:spacing w:line="320" w:lineRule="atLeast"/>
              <w:ind w:left="114" w:right="89"/>
              <w:rPr>
                <w:sz w:val="24"/>
              </w:rPr>
            </w:pPr>
            <w:r>
              <w:rPr>
                <w:sz w:val="24"/>
              </w:rPr>
              <w:t>少数民族人数</w:t>
            </w:r>
          </w:p>
        </w:tc>
        <w:tc>
          <w:tcPr>
            <w:tcW w:w="1396" w:type="dxa"/>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9" w:hRule="atLeast"/>
        </w:trPr>
        <w:tc>
          <w:tcPr>
            <w:tcW w:w="9177" w:type="dxa"/>
            <w:gridSpan w:val="6"/>
            <w:tcBorders>
              <w:top w:val="single" w:color="000000" w:sz="6" w:space="0"/>
              <w:bottom w:val="single" w:color="000000" w:sz="6" w:space="0"/>
            </w:tcBorders>
            <w:shd w:val="clear" w:color="auto" w:fill="E4B8B7"/>
          </w:tcPr>
          <w:p>
            <w:pPr>
              <w:pStyle w:val="54"/>
              <w:spacing w:before="80"/>
              <w:ind w:left="107"/>
              <w:rPr>
                <w:sz w:val="24"/>
              </w:rPr>
            </w:pPr>
            <w:r>
              <w:rPr>
                <w:sz w:val="24"/>
              </w:rPr>
              <w:t>存在直接控股、管理关系的相关投标人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687" w:type="dxa"/>
            <w:tcBorders>
              <w:top w:val="single" w:color="000000" w:sz="6" w:space="0"/>
              <w:bottom w:val="single" w:color="000000" w:sz="6" w:space="0"/>
              <w:right w:val="single" w:color="000000" w:sz="6" w:space="0"/>
            </w:tcBorders>
          </w:tcPr>
          <w:p>
            <w:pPr>
              <w:pStyle w:val="54"/>
              <w:spacing w:before="83"/>
              <w:ind w:left="107"/>
              <w:rPr>
                <w:sz w:val="24"/>
              </w:rPr>
            </w:pPr>
            <w:r>
              <w:rPr>
                <w:sz w:val="24"/>
              </w:rPr>
              <w:t>关系</w:t>
            </w:r>
          </w:p>
        </w:tc>
        <w:tc>
          <w:tcPr>
            <w:tcW w:w="7490" w:type="dxa"/>
            <w:gridSpan w:val="5"/>
            <w:tcBorders>
              <w:top w:val="single" w:color="000000" w:sz="6" w:space="0"/>
              <w:left w:val="single" w:color="000000" w:sz="6" w:space="0"/>
              <w:bottom w:val="single" w:color="000000" w:sz="6" w:space="0"/>
            </w:tcBorders>
          </w:tcPr>
          <w:p>
            <w:pPr>
              <w:pStyle w:val="54"/>
              <w:spacing w:before="83"/>
              <w:ind w:left="112"/>
              <w:rPr>
                <w:sz w:val="24"/>
              </w:rPr>
            </w:pPr>
            <w:r>
              <w:rPr>
                <w:sz w:val="24"/>
              </w:rPr>
              <w:t>投标人名称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1687" w:type="dxa"/>
            <w:tcBorders>
              <w:top w:val="single" w:color="000000" w:sz="6" w:space="0"/>
              <w:bottom w:val="single" w:color="000000" w:sz="6" w:space="0"/>
              <w:right w:val="single" w:color="000000" w:sz="6" w:space="0"/>
            </w:tcBorders>
          </w:tcPr>
          <w:p>
            <w:pPr>
              <w:pStyle w:val="54"/>
              <w:rPr>
                <w:rFonts w:ascii="Times New Roman"/>
                <w:sz w:val="24"/>
              </w:rPr>
            </w:pPr>
          </w:p>
        </w:tc>
        <w:tc>
          <w:tcPr>
            <w:tcW w:w="7490" w:type="dxa"/>
            <w:gridSpan w:val="5"/>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687" w:type="dxa"/>
            <w:tcBorders>
              <w:top w:val="single" w:color="000000" w:sz="6" w:space="0"/>
              <w:bottom w:val="single" w:color="000000" w:sz="6" w:space="0"/>
              <w:right w:val="single" w:color="000000" w:sz="6" w:space="0"/>
            </w:tcBorders>
          </w:tcPr>
          <w:p>
            <w:pPr>
              <w:pStyle w:val="54"/>
              <w:rPr>
                <w:rFonts w:ascii="Times New Roman"/>
                <w:sz w:val="24"/>
              </w:rPr>
            </w:pPr>
          </w:p>
        </w:tc>
        <w:tc>
          <w:tcPr>
            <w:tcW w:w="7490" w:type="dxa"/>
            <w:gridSpan w:val="5"/>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1687" w:type="dxa"/>
            <w:tcBorders>
              <w:top w:val="single" w:color="000000" w:sz="6" w:space="0"/>
              <w:bottom w:val="single" w:color="000000" w:sz="6" w:space="0"/>
              <w:right w:val="single" w:color="000000" w:sz="6" w:space="0"/>
            </w:tcBorders>
          </w:tcPr>
          <w:p>
            <w:pPr>
              <w:pStyle w:val="54"/>
              <w:rPr>
                <w:rFonts w:ascii="Times New Roman"/>
                <w:sz w:val="24"/>
              </w:rPr>
            </w:pPr>
          </w:p>
        </w:tc>
        <w:tc>
          <w:tcPr>
            <w:tcW w:w="7490" w:type="dxa"/>
            <w:gridSpan w:val="5"/>
            <w:tcBorders>
              <w:top w:val="single" w:color="000000" w:sz="6" w:space="0"/>
              <w:left w:val="single" w:color="000000" w:sz="6" w:space="0"/>
              <w:bottom w:val="single" w:color="000000" w:sz="6" w:space="0"/>
            </w:tcBorders>
          </w:tcPr>
          <w:p>
            <w:pPr>
              <w:pStyle w:val="54"/>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94" w:hRule="atLeast"/>
        </w:trPr>
        <w:tc>
          <w:tcPr>
            <w:tcW w:w="1687" w:type="dxa"/>
            <w:tcBorders>
              <w:top w:val="single" w:color="000000" w:sz="6" w:space="0"/>
              <w:right w:val="single" w:color="000000" w:sz="6" w:space="0"/>
            </w:tcBorders>
          </w:tcPr>
          <w:p>
            <w:pPr>
              <w:pStyle w:val="54"/>
              <w:rPr>
                <w:b/>
                <w:sz w:val="24"/>
              </w:rPr>
            </w:pPr>
          </w:p>
          <w:p>
            <w:pPr>
              <w:pStyle w:val="54"/>
              <w:rPr>
                <w:b/>
                <w:sz w:val="24"/>
              </w:rPr>
            </w:pPr>
          </w:p>
          <w:p>
            <w:pPr>
              <w:pStyle w:val="54"/>
              <w:spacing w:before="8"/>
              <w:rPr>
                <w:b/>
                <w:sz w:val="22"/>
              </w:rPr>
            </w:pPr>
          </w:p>
          <w:p>
            <w:pPr>
              <w:pStyle w:val="54"/>
              <w:ind w:left="107"/>
              <w:rPr>
                <w:sz w:val="24"/>
              </w:rPr>
            </w:pPr>
            <w:r>
              <w:rPr>
                <w:sz w:val="24"/>
              </w:rPr>
              <w:t>说明</w:t>
            </w:r>
          </w:p>
        </w:tc>
        <w:tc>
          <w:tcPr>
            <w:tcW w:w="7490" w:type="dxa"/>
            <w:gridSpan w:val="5"/>
            <w:tcBorders>
              <w:top w:val="single" w:color="000000" w:sz="6" w:space="0"/>
              <w:left w:val="single" w:color="000000" w:sz="6" w:space="0"/>
            </w:tcBorders>
          </w:tcPr>
          <w:p>
            <w:pPr>
              <w:pStyle w:val="54"/>
              <w:spacing w:before="105" w:line="249" w:lineRule="auto"/>
              <w:ind w:left="472" w:right="79" w:hanging="360"/>
              <w:rPr>
                <w:sz w:val="24"/>
              </w:rPr>
            </w:pPr>
            <w:r>
              <w:rPr>
                <w:sz w:val="24"/>
              </w:rPr>
              <w:t>1、登记证号指营业执照/事业单位法人证书/专业服务机构执业许可证/民办非企业单位登记证书中的登记号。</w:t>
            </w:r>
          </w:p>
          <w:p>
            <w:pPr>
              <w:pStyle w:val="54"/>
              <w:spacing w:line="252" w:lineRule="auto"/>
              <w:ind w:left="472" w:right="79" w:hanging="360"/>
              <w:rPr>
                <w:sz w:val="24"/>
              </w:rPr>
            </w:pPr>
            <w:r>
              <w:rPr>
                <w:sz w:val="24"/>
              </w:rPr>
              <w:t>2、成立时间至提交投标文件截止时间不足一年的可不提供“上年度营业收入”。</w:t>
            </w:r>
          </w:p>
          <w:p>
            <w:pPr>
              <w:pStyle w:val="54"/>
              <w:spacing w:line="249" w:lineRule="auto"/>
              <w:ind w:left="472" w:right="87" w:hanging="360"/>
              <w:rPr>
                <w:sz w:val="24"/>
              </w:rPr>
            </w:pPr>
            <w:r>
              <w:rPr>
                <w:sz w:val="24"/>
              </w:rPr>
              <w:t>3、投标人应如实填写上述信息。招标文件允许联合体投标的，联合体各方均应提供。</w:t>
            </w:r>
          </w:p>
        </w:tc>
      </w:tr>
    </w:tbl>
    <w:p>
      <w:pPr>
        <w:spacing w:after="0" w:line="249" w:lineRule="auto"/>
        <w:rPr>
          <w:sz w:val="24"/>
        </w:rPr>
        <w:sectPr>
          <w:pgSz w:w="11910" w:h="16840"/>
          <w:pgMar w:top="1360" w:right="1100" w:bottom="960" w:left="1120" w:header="874" w:footer="779" w:gutter="0"/>
          <w:cols w:space="720" w:num="1"/>
        </w:sectPr>
      </w:pPr>
    </w:p>
    <w:p>
      <w:pPr>
        <w:pStyle w:val="11"/>
        <w:spacing w:before="2"/>
        <w:ind w:left="0"/>
        <w:rPr>
          <w:b/>
          <w:sz w:val="8"/>
        </w:rPr>
      </w:pPr>
    </w:p>
    <w:p>
      <w:pPr>
        <w:spacing w:before="61"/>
        <w:ind w:left="867" w:right="0" w:firstLine="0"/>
        <w:jc w:val="left"/>
        <w:rPr>
          <w:b/>
          <w:sz w:val="28"/>
        </w:rPr>
      </w:pPr>
      <w:r>
        <w:rPr>
          <w:b/>
          <w:sz w:val="28"/>
        </w:rPr>
        <w:t>（二）</w:t>
      </w:r>
      <w:r>
        <w:rPr>
          <w:rFonts w:hint="eastAsia"/>
          <w:b/>
          <w:sz w:val="28"/>
          <w:lang w:eastAsia="zh-CN"/>
        </w:rPr>
        <w:t>供应商</w:t>
      </w:r>
      <w:r>
        <w:rPr>
          <w:b/>
          <w:sz w:val="28"/>
        </w:rPr>
        <w:t>性质</w:t>
      </w:r>
    </w:p>
    <w:p>
      <w:pPr>
        <w:pStyle w:val="11"/>
        <w:spacing w:before="143" w:line="333" w:lineRule="auto"/>
        <w:ind w:right="315" w:firstLine="566"/>
        <w:jc w:val="both"/>
      </w:pPr>
      <w:r>
        <w:rPr>
          <w:rFonts w:hint="eastAsia"/>
          <w:lang w:eastAsia="zh-CN"/>
        </w:rPr>
        <w:t>中小</w:t>
      </w:r>
      <w:r>
        <w:t>企业、残疾人福利性单位投标时，应提供声明函（按下文给定格式）。未提供或未按给定格式提供</w:t>
      </w:r>
      <w:r>
        <w:rPr>
          <w:b/>
        </w:rPr>
        <w:t>声明函</w:t>
      </w:r>
      <w:r>
        <w:t>的，其投标产品中的小型、微型</w:t>
      </w:r>
      <w:r>
        <w:rPr>
          <w:rFonts w:hint="eastAsia"/>
          <w:lang w:eastAsia="zh-CN"/>
        </w:rPr>
        <w:t>、中型</w:t>
      </w:r>
      <w:r>
        <w:t>企业产品、残疾人福利性单位生产的产品将不能享受招标文件规定的价格扣除，但不影响投标文件的有效性。</w:t>
      </w:r>
    </w:p>
    <w:p>
      <w:pPr>
        <w:pStyle w:val="11"/>
        <w:spacing w:before="5" w:line="333" w:lineRule="auto"/>
        <w:ind w:right="313" w:firstLine="566"/>
        <w:jc w:val="both"/>
      </w:pPr>
      <w:r>
        <w:t>监狱企业投标时，应当提供由省级以上监狱管理局、戒毒管理局（含新疆生产建设兵团）出具的属于监狱企业的</w:t>
      </w:r>
      <w:r>
        <w:rPr>
          <w:b/>
        </w:rPr>
        <w:t>证明文件</w:t>
      </w:r>
      <w:r>
        <w:t>（格式不做要求）。未提供证明文件的不能享受招标文件规定的价格扣除，但不影响投标文件的有效性。</w:t>
      </w:r>
    </w:p>
    <w:p>
      <w:pPr>
        <w:pStyle w:val="11"/>
        <w:spacing w:before="5" w:line="333" w:lineRule="auto"/>
        <w:ind w:right="316" w:firstLine="566"/>
        <w:jc w:val="both"/>
      </w:pPr>
      <w:r>
        <w:t>招标文件允许联合体投标的，联合体成员应分别提供上述声明函或证明文件，此外，还须按下文给定格式提供联合体协议书。投标联合体未提供联合体协议书的，其投标文件无效。</w:t>
      </w:r>
    </w:p>
    <w:p>
      <w:pPr>
        <w:pStyle w:val="11"/>
        <w:spacing w:before="4" w:line="336" w:lineRule="auto"/>
        <w:ind w:right="316" w:firstLine="566"/>
      </w:pPr>
      <w:r>
        <w:t>非小微企业、残疾人福利性单位、监狱企业，也无联合体情况的，可不提供此项内容。</w:t>
      </w:r>
    </w:p>
    <w:p>
      <w:pPr>
        <w:pStyle w:val="8"/>
        <w:spacing w:before="186"/>
      </w:pPr>
      <w:r>
        <w:t>（三）其他</w:t>
      </w:r>
    </w:p>
    <w:p>
      <w:pPr>
        <w:pStyle w:val="11"/>
        <w:spacing w:before="143"/>
        <w:ind w:left="865"/>
      </w:pPr>
      <w:r>
        <w:t>如：经营状况、同类服务业绩、客户评价证明、获得奖励及证书等。</w:t>
      </w:r>
    </w:p>
    <w:p>
      <w:pPr>
        <w:spacing w:after="0"/>
        <w:sectPr>
          <w:pgSz w:w="11910" w:h="16840"/>
          <w:pgMar w:top="1360" w:right="1100" w:bottom="960" w:left="1120" w:header="874" w:footer="779" w:gutter="0"/>
          <w:cols w:space="720" w:num="1"/>
        </w:sectPr>
      </w:pPr>
    </w:p>
    <w:p>
      <w:pPr>
        <w:widowControl/>
        <w:ind w:firstLine="3614" w:firstLineChars="1000"/>
        <w:rPr>
          <w:rFonts w:ascii="宋体" w:hAnsi="宋体" w:cs="宋体"/>
          <w:b/>
          <w:bCs/>
          <w:kern w:val="0"/>
          <w:sz w:val="36"/>
          <w:szCs w:val="36"/>
        </w:rPr>
      </w:pPr>
      <w:r>
        <w:rPr>
          <w:rFonts w:hint="eastAsia" w:ascii="宋体" w:hAnsi="宋体" w:cs="宋体"/>
          <w:b/>
          <w:bCs/>
          <w:kern w:val="0"/>
          <w:sz w:val="36"/>
          <w:szCs w:val="36"/>
        </w:rPr>
        <w:t>中小企业</w:t>
      </w:r>
    </w:p>
    <w:p>
      <w:pPr>
        <w:pStyle w:val="11"/>
      </w:pPr>
    </w:p>
    <w:p>
      <w:pPr>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（标的名称） </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 xml:space="preserve"> （标的名称） </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rPr>
      </w:pPr>
    </w:p>
    <w:p>
      <w:pPr>
        <w:spacing w:line="360" w:lineRule="auto"/>
        <w:ind w:firstLine="480" w:firstLineChars="200"/>
        <w:jc w:val="center"/>
        <w:rPr>
          <w:rFonts w:ascii="宋体" w:hAnsi="宋体" w:cs="宋体"/>
          <w:sz w:val="24"/>
          <w:u w:val="single"/>
        </w:rPr>
      </w:pPr>
      <w:r>
        <w:rPr>
          <w:rFonts w:hint="eastAsia" w:ascii="宋体" w:hAnsi="宋体" w:cs="宋体"/>
          <w:sz w:val="24"/>
          <w:lang w:eastAsia="zh-CN"/>
        </w:rPr>
        <w:t>供应商</w:t>
      </w:r>
      <w:r>
        <w:rPr>
          <w:rFonts w:hint="eastAsia" w:ascii="宋体" w:hAnsi="宋体" w:cs="宋体"/>
          <w:sz w:val="24"/>
        </w:rPr>
        <w:t xml:space="preserve">名称（盖章）： </w:t>
      </w:r>
      <w:r>
        <w:rPr>
          <w:rFonts w:hint="eastAsia" w:ascii="宋体" w:hAnsi="宋体" w:cs="宋体"/>
          <w:sz w:val="24"/>
          <w:u w:val="single"/>
        </w:rPr>
        <w:t xml:space="preserve">                  </w:t>
      </w:r>
    </w:p>
    <w:p>
      <w:pPr>
        <w:spacing w:line="360" w:lineRule="auto"/>
        <w:ind w:firstLine="480" w:firstLineChars="20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szCs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备注：1、</w:t>
      </w:r>
      <w:r>
        <w:rPr>
          <w:rFonts w:hint="eastAsia" w:ascii="宋体" w:hAnsi="宋体" w:cs="宋体"/>
          <w:b/>
          <w:bCs/>
          <w:sz w:val="24"/>
        </w:rPr>
        <w:t>非中小企业请划“/</w:t>
      </w:r>
      <w:r>
        <w:rPr>
          <w:rFonts w:hint="eastAsia" w:ascii="宋体" w:hAnsi="宋体" w:cs="宋体"/>
          <w:b/>
          <w:bCs/>
          <w:sz w:val="24"/>
          <w:szCs w:val="24"/>
        </w:rPr>
        <w:t>”，不得删除本表；</w:t>
      </w:r>
    </w:p>
    <w:p>
      <w:pPr>
        <w:spacing w:line="360" w:lineRule="auto"/>
        <w:ind w:firstLine="1205" w:firstLineChars="500"/>
        <w:rPr>
          <w:rFonts w:ascii="宋体" w:hAnsi="宋体" w:cs="宋体"/>
          <w:sz w:val="24"/>
          <w:szCs w:val="24"/>
        </w:rPr>
      </w:pPr>
      <w:r>
        <w:rPr>
          <w:rFonts w:hint="eastAsia" w:ascii="宋体" w:hAnsi="宋体" w:cs="宋体"/>
          <w:b/>
          <w:bCs/>
          <w:sz w:val="24"/>
          <w:szCs w:val="24"/>
        </w:rPr>
        <w:t>2、</w:t>
      </w:r>
      <w:r>
        <w:rPr>
          <w:rFonts w:hint="eastAsia" w:ascii="宋体" w:hAnsi="宋体" w:cs="宋体"/>
          <w:b/>
          <w:bCs/>
          <w:sz w:val="24"/>
        </w:rPr>
        <w:t>从业人员、营业收入、资产总额填报上一年度数据，无上一年度数据的新成立企业可不填报。</w:t>
      </w:r>
    </w:p>
    <w:p>
      <w:pPr>
        <w:spacing w:line="500" w:lineRule="atLeast"/>
        <w:ind w:firstLine="480" w:firstLineChars="200"/>
        <w:rPr>
          <w:rFonts w:ascii="宋体" w:hAnsi="宋体" w:cs="仿宋"/>
          <w:kern w:val="0"/>
          <w:sz w:val="24"/>
        </w:rPr>
      </w:pPr>
    </w:p>
    <w:p>
      <w:pPr>
        <w:tabs>
          <w:tab w:val="left" w:pos="1755"/>
        </w:tabs>
        <w:spacing w:line="500" w:lineRule="atLeast"/>
        <w:rPr>
          <w:rFonts w:ascii="仿宋" w:hAnsi="仿宋" w:eastAsia="仿宋" w:cs="仿宋"/>
          <w:b/>
          <w:bCs/>
          <w:sz w:val="32"/>
          <w:szCs w:val="32"/>
        </w:rPr>
      </w:pPr>
    </w:p>
    <w:p>
      <w:pPr>
        <w:pStyle w:val="11"/>
        <w:rPr>
          <w:rFonts w:ascii="仿宋" w:hAnsi="仿宋" w:eastAsia="仿宋" w:cs="仿宋"/>
          <w:b/>
          <w:bCs/>
          <w:sz w:val="32"/>
          <w:szCs w:val="32"/>
        </w:rPr>
      </w:pPr>
    </w:p>
    <w:p/>
    <w:p>
      <w:pPr>
        <w:tabs>
          <w:tab w:val="left" w:pos="1755"/>
        </w:tabs>
        <w:spacing w:line="500" w:lineRule="atLeast"/>
        <w:jc w:val="center"/>
        <w:rPr>
          <w:rFonts w:ascii="仿宋" w:hAnsi="仿宋" w:eastAsia="仿宋" w:cs="仿宋"/>
          <w:b/>
          <w:bCs/>
          <w:sz w:val="32"/>
          <w:szCs w:val="32"/>
        </w:rPr>
        <w:sectPr>
          <w:pgSz w:w="11906" w:h="16838"/>
          <w:pgMar w:top="1157" w:right="1703" w:bottom="1157" w:left="1701" w:header="720" w:footer="720" w:gutter="0"/>
          <w:pgNumType w:fmt="decimal"/>
          <w:cols w:space="720" w:num="1"/>
          <w:docGrid w:type="lines" w:linePitch="312" w:charSpace="0"/>
        </w:sectPr>
      </w:pPr>
    </w:p>
    <w:p>
      <w:pPr>
        <w:pStyle w:val="14"/>
      </w:pPr>
    </w:p>
    <w:p>
      <w:pPr>
        <w:tabs>
          <w:tab w:val="left" w:pos="1755"/>
        </w:tabs>
        <w:spacing w:line="360" w:lineRule="auto"/>
        <w:jc w:val="center"/>
        <w:outlineLvl w:val="2"/>
        <w:rPr>
          <w:rFonts w:ascii="宋体" w:hAnsi="宋体" w:cs="仿宋"/>
          <w:b/>
          <w:bCs/>
          <w:sz w:val="28"/>
          <w:szCs w:val="28"/>
        </w:rPr>
      </w:pPr>
      <w:r>
        <w:rPr>
          <w:rFonts w:hint="eastAsia" w:ascii="宋体" w:hAnsi="宋体" w:cs="宋体"/>
          <w:b/>
          <w:kern w:val="0"/>
          <w:sz w:val="28"/>
          <w:szCs w:val="28"/>
          <w:lang w:val="zh-CN"/>
        </w:rPr>
        <w:t>残疾人福利性单位声明函</w:t>
      </w:r>
    </w:p>
    <w:p>
      <w:pPr>
        <w:spacing w:line="360" w:lineRule="auto"/>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sz w:val="24"/>
          <w:u w:val="single"/>
        </w:rPr>
        <w:t xml:space="preserve">            </w:t>
      </w:r>
      <w:r>
        <w:rPr>
          <w:rFonts w:hint="eastAsia" w:ascii="宋体" w:hAnsi="宋体"/>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860"/>
          <w:tab w:val="left" w:pos="8040"/>
          <w:tab w:val="left" w:pos="8160"/>
        </w:tabs>
        <w:spacing w:line="360" w:lineRule="auto"/>
        <w:ind w:right="862" w:firstLine="480" w:firstLineChars="200"/>
        <w:jc w:val="center"/>
        <w:rPr>
          <w:rFonts w:ascii="宋体" w:hAnsi="宋体"/>
          <w:sz w:val="24"/>
          <w:u w:val="single"/>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名称（盖章）：</w:t>
      </w:r>
      <w:r>
        <w:rPr>
          <w:rFonts w:hint="eastAsia" w:ascii="宋体" w:hAnsi="宋体"/>
          <w:sz w:val="24"/>
          <w:u w:val="single"/>
        </w:rPr>
        <w:t xml:space="preserve">                   </w:t>
      </w:r>
    </w:p>
    <w:p>
      <w:pPr>
        <w:tabs>
          <w:tab w:val="left" w:pos="4860"/>
        </w:tabs>
        <w:spacing w:line="360" w:lineRule="auto"/>
        <w:ind w:right="1560" w:firstLine="480" w:firstLineChars="200"/>
        <w:jc w:val="center"/>
        <w:rPr>
          <w:rFonts w:ascii="宋体" w:hAnsi="宋体"/>
          <w:sz w:val="24"/>
        </w:rPr>
      </w:pPr>
      <w:r>
        <w:rPr>
          <w:rFonts w:hint="eastAsia" w:ascii="宋体" w:hAnsi="宋体"/>
          <w:sz w:val="24"/>
        </w:rPr>
        <w:t xml:space="preserve">       </w:t>
      </w:r>
    </w:p>
    <w:p>
      <w:pPr>
        <w:tabs>
          <w:tab w:val="left" w:pos="4860"/>
        </w:tabs>
        <w:spacing w:line="360" w:lineRule="auto"/>
        <w:ind w:right="1560" w:firstLine="480" w:firstLineChars="200"/>
        <w:jc w:val="center"/>
        <w:rPr>
          <w:rFonts w:ascii="宋体" w:hAnsi="宋体"/>
          <w:sz w:val="24"/>
        </w:rPr>
      </w:pPr>
      <w:r>
        <w:rPr>
          <w:rFonts w:hint="eastAsia" w:ascii="宋体" w:hAnsi="宋体"/>
          <w:sz w:val="24"/>
        </w:rPr>
        <w:t xml:space="preserve">                      日  </w:t>
      </w:r>
      <w:r>
        <w:rPr>
          <w:rFonts w:hint="eastAsia" w:ascii="宋体" w:hAnsi="宋体"/>
          <w:sz w:val="24"/>
          <w:lang w:val="en-US" w:eastAsia="zh-CN"/>
        </w:rPr>
        <w:t xml:space="preserve"> </w:t>
      </w:r>
      <w:r>
        <w:rPr>
          <w:rFonts w:hint="eastAsia" w:ascii="宋体" w:hAnsi="宋体"/>
          <w:sz w:val="24"/>
        </w:rPr>
        <w:t>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06" w:firstLineChars="200"/>
        <w:rPr>
          <w:rFonts w:ascii="宋体" w:hAnsi="宋体"/>
          <w:b/>
          <w:spacing w:val="6"/>
          <w:sz w:val="24"/>
          <w:shd w:val="pct10" w:color="auto" w:fill="FFFFFF"/>
        </w:rPr>
      </w:pPr>
    </w:p>
    <w:p>
      <w:pPr>
        <w:spacing w:line="360" w:lineRule="auto"/>
        <w:ind w:firstLine="506" w:firstLineChars="200"/>
        <w:rPr>
          <w:rFonts w:ascii="宋体" w:hAnsi="宋体"/>
          <w:b/>
          <w:spacing w:val="6"/>
          <w:sz w:val="24"/>
          <w:shd w:val="pct10" w:color="auto" w:fill="FFFFFF"/>
        </w:rPr>
      </w:pPr>
    </w:p>
    <w:p>
      <w:pPr>
        <w:kinsoku w:val="0"/>
        <w:spacing w:line="360" w:lineRule="auto"/>
        <w:rPr>
          <w:rFonts w:ascii="宋体" w:hAnsi="宋体" w:cs="宋体"/>
          <w:b/>
          <w:bCs/>
          <w:kern w:val="0"/>
          <w:sz w:val="24"/>
        </w:rPr>
      </w:pPr>
      <w:r>
        <w:rPr>
          <w:rFonts w:hint="eastAsia" w:ascii="宋体" w:hAnsi="宋体" w:cs="宋体"/>
          <w:b/>
          <w:bCs/>
          <w:kern w:val="0"/>
          <w:sz w:val="24"/>
          <w:lang w:val="zh-CN"/>
        </w:rPr>
        <w:t>备注：</w:t>
      </w:r>
      <w:r>
        <w:rPr>
          <w:rFonts w:hint="eastAsia" w:ascii="宋体" w:hAnsi="宋体" w:cs="宋体"/>
          <w:b/>
          <w:bCs/>
          <w:kern w:val="0"/>
          <w:sz w:val="24"/>
        </w:rPr>
        <w:t>1</w:t>
      </w:r>
      <w:r>
        <w:rPr>
          <w:rFonts w:hint="eastAsia" w:ascii="宋体" w:hAnsi="宋体" w:cs="宋体"/>
          <w:b/>
          <w:bCs/>
          <w:sz w:val="24"/>
          <w:szCs w:val="24"/>
        </w:rPr>
        <w:t>、</w:t>
      </w:r>
      <w:r>
        <w:rPr>
          <w:rFonts w:hint="eastAsia" w:ascii="宋体" w:hAnsi="宋体" w:cs="宋体"/>
          <w:b/>
          <w:bCs/>
          <w:sz w:val="24"/>
          <w:szCs w:val="24"/>
          <w:lang w:val="zh-CN"/>
        </w:rPr>
        <w:t>非</w:t>
      </w:r>
      <w:r>
        <w:rPr>
          <w:rFonts w:hint="eastAsia" w:ascii="宋体" w:hAnsi="宋体" w:cs="宋体"/>
          <w:b/>
          <w:bCs/>
          <w:sz w:val="24"/>
          <w:szCs w:val="24"/>
        </w:rPr>
        <w:t>残疾人福利企业请划“/”，不得删除本表；</w:t>
      </w:r>
    </w:p>
    <w:p>
      <w:pPr>
        <w:kinsoku w:val="0"/>
        <w:spacing w:line="360" w:lineRule="auto"/>
        <w:ind w:firstLine="723" w:firstLineChars="300"/>
        <w:rPr>
          <w:rFonts w:ascii="宋体" w:hAnsi="宋体" w:cs="宋体"/>
          <w:b/>
          <w:bCs/>
          <w:kern w:val="0"/>
          <w:sz w:val="24"/>
          <w:lang w:val="zh-CN"/>
        </w:rPr>
      </w:pPr>
      <w:r>
        <w:rPr>
          <w:rFonts w:hint="eastAsia" w:ascii="宋体" w:hAnsi="宋体" w:cs="宋体"/>
          <w:b/>
          <w:bCs/>
          <w:kern w:val="0"/>
          <w:sz w:val="24"/>
        </w:rPr>
        <w:t>2、</w:t>
      </w:r>
      <w:r>
        <w:rPr>
          <w:rFonts w:hint="eastAsia" w:ascii="宋体" w:hAnsi="宋体" w:cs="宋体"/>
          <w:b/>
          <w:bCs/>
          <w:kern w:val="0"/>
          <w:sz w:val="24"/>
          <w:lang w:val="zh-CN"/>
        </w:rPr>
        <w:t>供应商提供的《残疾人福利性单位声明函》必须真实有效，如果被举报经查实出具虚假声明函的，将被取消投标资格，并按有关规定予以处理。</w:t>
      </w:r>
    </w:p>
    <w:p>
      <w:pPr>
        <w:pStyle w:val="11"/>
        <w:spacing w:before="11"/>
        <w:ind w:left="0"/>
        <w:rPr>
          <w:sz w:val="12"/>
        </w:rPr>
      </w:pPr>
    </w:p>
    <w:p>
      <w:pPr>
        <w:pStyle w:val="6"/>
        <w:spacing w:before="55"/>
        <w:ind w:left="623" w:right="3"/>
        <w:jc w:val="center"/>
      </w:pPr>
    </w:p>
    <w:p>
      <w:pPr>
        <w:pStyle w:val="6"/>
        <w:spacing w:before="55"/>
        <w:ind w:left="623" w:right="3"/>
        <w:jc w:val="center"/>
      </w:pPr>
    </w:p>
    <w:p/>
    <w:p>
      <w:pPr>
        <w:pStyle w:val="11"/>
      </w:pPr>
    </w:p>
    <w:p/>
    <w:p>
      <w:pPr>
        <w:pStyle w:val="6"/>
        <w:keepNext w:val="0"/>
        <w:keepLines w:val="0"/>
        <w:pageBreakBefore w:val="0"/>
        <w:widowControl w:val="0"/>
        <w:kinsoku/>
        <w:wordWrap/>
        <w:overflowPunct/>
        <w:topLinePunct w:val="0"/>
        <w:autoSpaceDE/>
        <w:autoSpaceDN/>
        <w:bidi w:val="0"/>
        <w:adjustRightInd/>
        <w:snapToGrid/>
        <w:spacing w:before="55"/>
        <w:ind w:left="624" w:right="6"/>
        <w:jc w:val="center"/>
        <w:textAlignment w:val="auto"/>
      </w:pPr>
    </w:p>
    <w:p>
      <w:pPr>
        <w:pStyle w:val="6"/>
        <w:keepNext w:val="0"/>
        <w:keepLines w:val="0"/>
        <w:pageBreakBefore w:val="0"/>
        <w:widowControl w:val="0"/>
        <w:kinsoku/>
        <w:wordWrap/>
        <w:overflowPunct/>
        <w:topLinePunct w:val="0"/>
        <w:autoSpaceDE/>
        <w:autoSpaceDN/>
        <w:bidi w:val="0"/>
        <w:adjustRightInd/>
        <w:snapToGrid/>
        <w:spacing w:before="55"/>
        <w:ind w:left="624" w:right="6"/>
        <w:jc w:val="center"/>
        <w:textAlignment w:val="auto"/>
      </w:pPr>
    </w:p>
    <w:p>
      <w:pPr>
        <w:pStyle w:val="6"/>
        <w:keepNext w:val="0"/>
        <w:keepLines w:val="0"/>
        <w:pageBreakBefore w:val="0"/>
        <w:widowControl w:val="0"/>
        <w:kinsoku/>
        <w:wordWrap/>
        <w:overflowPunct/>
        <w:topLinePunct w:val="0"/>
        <w:autoSpaceDE/>
        <w:autoSpaceDN/>
        <w:bidi w:val="0"/>
        <w:adjustRightInd/>
        <w:snapToGrid/>
        <w:spacing w:before="55"/>
        <w:ind w:left="624" w:right="6"/>
        <w:jc w:val="center"/>
        <w:textAlignment w:val="auto"/>
      </w:pPr>
    </w:p>
    <w:p>
      <w:pPr>
        <w:pStyle w:val="6"/>
        <w:keepNext w:val="0"/>
        <w:keepLines w:val="0"/>
        <w:pageBreakBefore w:val="0"/>
        <w:widowControl w:val="0"/>
        <w:kinsoku/>
        <w:wordWrap/>
        <w:overflowPunct/>
        <w:topLinePunct w:val="0"/>
        <w:autoSpaceDE/>
        <w:autoSpaceDN/>
        <w:bidi w:val="0"/>
        <w:adjustRightInd/>
        <w:snapToGrid/>
        <w:spacing w:before="55"/>
        <w:ind w:left="624" w:right="6"/>
        <w:jc w:val="center"/>
        <w:textAlignment w:val="auto"/>
      </w:pPr>
    </w:p>
    <w:p>
      <w:pPr>
        <w:pStyle w:val="6"/>
        <w:keepNext w:val="0"/>
        <w:keepLines w:val="0"/>
        <w:pageBreakBefore w:val="0"/>
        <w:widowControl w:val="0"/>
        <w:kinsoku/>
        <w:wordWrap/>
        <w:overflowPunct/>
        <w:topLinePunct w:val="0"/>
        <w:autoSpaceDE/>
        <w:autoSpaceDN/>
        <w:bidi w:val="0"/>
        <w:adjustRightInd/>
        <w:snapToGrid/>
        <w:spacing w:before="55"/>
        <w:ind w:left="624" w:right="6"/>
        <w:jc w:val="center"/>
        <w:textAlignment w:val="auto"/>
      </w:pPr>
    </w:p>
    <w:p>
      <w:pPr>
        <w:pStyle w:val="6"/>
        <w:keepNext w:val="0"/>
        <w:keepLines w:val="0"/>
        <w:pageBreakBefore w:val="0"/>
        <w:widowControl w:val="0"/>
        <w:kinsoku/>
        <w:wordWrap/>
        <w:overflowPunct/>
        <w:topLinePunct w:val="0"/>
        <w:autoSpaceDE/>
        <w:autoSpaceDN/>
        <w:bidi w:val="0"/>
        <w:adjustRightInd/>
        <w:snapToGrid/>
        <w:spacing w:before="55"/>
        <w:ind w:left="624" w:right="6"/>
        <w:jc w:val="center"/>
        <w:textAlignment w:val="auto"/>
      </w:pPr>
    </w:p>
    <w:p>
      <w:pPr>
        <w:pStyle w:val="6"/>
        <w:keepNext w:val="0"/>
        <w:keepLines w:val="0"/>
        <w:pageBreakBefore w:val="0"/>
        <w:widowControl w:val="0"/>
        <w:kinsoku/>
        <w:wordWrap/>
        <w:overflowPunct/>
        <w:topLinePunct w:val="0"/>
        <w:autoSpaceDE/>
        <w:autoSpaceDN/>
        <w:bidi w:val="0"/>
        <w:adjustRightInd/>
        <w:snapToGrid/>
        <w:spacing w:before="55"/>
        <w:ind w:left="624" w:right="6"/>
        <w:jc w:val="center"/>
        <w:textAlignment w:val="auto"/>
      </w:pPr>
    </w:p>
    <w:p>
      <w:pPr>
        <w:pStyle w:val="6"/>
        <w:keepNext w:val="0"/>
        <w:keepLines w:val="0"/>
        <w:pageBreakBefore w:val="0"/>
        <w:widowControl w:val="0"/>
        <w:kinsoku/>
        <w:wordWrap/>
        <w:overflowPunct/>
        <w:topLinePunct w:val="0"/>
        <w:autoSpaceDE/>
        <w:autoSpaceDN/>
        <w:bidi w:val="0"/>
        <w:adjustRightInd/>
        <w:snapToGrid/>
        <w:spacing w:before="55"/>
        <w:ind w:left="624" w:right="6"/>
        <w:jc w:val="center"/>
        <w:textAlignment w:val="auto"/>
      </w:pPr>
    </w:p>
    <w:p>
      <w:pPr>
        <w:pStyle w:val="6"/>
        <w:keepNext w:val="0"/>
        <w:keepLines w:val="0"/>
        <w:pageBreakBefore w:val="0"/>
        <w:widowControl w:val="0"/>
        <w:kinsoku/>
        <w:wordWrap/>
        <w:overflowPunct/>
        <w:topLinePunct w:val="0"/>
        <w:autoSpaceDE/>
        <w:autoSpaceDN/>
        <w:bidi w:val="0"/>
        <w:adjustRightInd/>
        <w:snapToGrid/>
        <w:spacing w:before="55"/>
        <w:ind w:left="624" w:right="6"/>
        <w:jc w:val="center"/>
        <w:textAlignment w:val="auto"/>
      </w:pPr>
    </w:p>
    <w:p>
      <w:pPr>
        <w:pStyle w:val="6"/>
        <w:keepNext w:val="0"/>
        <w:keepLines w:val="0"/>
        <w:pageBreakBefore w:val="0"/>
        <w:widowControl w:val="0"/>
        <w:kinsoku/>
        <w:wordWrap/>
        <w:overflowPunct/>
        <w:topLinePunct w:val="0"/>
        <w:autoSpaceDE/>
        <w:autoSpaceDN/>
        <w:bidi w:val="0"/>
        <w:adjustRightInd/>
        <w:snapToGrid/>
        <w:spacing w:before="55"/>
        <w:ind w:left="624" w:right="6"/>
        <w:jc w:val="center"/>
        <w:textAlignment w:val="auto"/>
      </w:pPr>
    </w:p>
    <w:p>
      <w:pPr>
        <w:pStyle w:val="6"/>
        <w:spacing w:before="55"/>
        <w:ind w:left="623" w:right="3"/>
        <w:jc w:val="center"/>
      </w:pPr>
    </w:p>
    <w:p>
      <w:pPr>
        <w:pStyle w:val="6"/>
        <w:spacing w:before="55"/>
        <w:ind w:left="623" w:right="3"/>
        <w:jc w:val="center"/>
      </w:pPr>
      <w:r>
        <w:t>监狱企业证明函</w:t>
      </w:r>
    </w:p>
    <w:p>
      <w:pPr>
        <w:pStyle w:val="11"/>
        <w:spacing w:before="5"/>
        <w:ind w:left="0"/>
        <w:rPr>
          <w:b/>
          <w:sz w:val="23"/>
        </w:rPr>
      </w:pPr>
    </w:p>
    <w:p>
      <w:pPr>
        <w:pStyle w:val="11"/>
        <w:spacing w:line="333" w:lineRule="auto"/>
        <w:ind w:right="315" w:firstLine="566"/>
        <w:jc w:val="both"/>
      </w:pPr>
      <w:r>
        <w:t>监狱企业参加政府采购活动，要求享受相关优惠政策的，应当提供由省级以上监狱管理局、戒毒管理局（含新疆生产建设兵团）出具的属于监狱企业的证明文件。</w:t>
      </w:r>
    </w:p>
    <w:p>
      <w:pPr>
        <w:spacing w:before="74" w:line="446" w:lineRule="auto"/>
        <w:ind w:left="298" w:right="312" w:firstLine="427"/>
        <w:jc w:val="both"/>
        <w:rPr>
          <w:sz w:val="21"/>
        </w:rPr>
      </w:pPr>
      <w:r>
        <w:rPr>
          <w:sz w:val="21"/>
        </w:rPr>
        <w:t>备注：财政部 司法部《关于政府采购支持监狱企业发展有关问题的通知》（财库〔2014〕68 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jc w:val="center"/>
        <w:rPr>
          <w:rFonts w:hint="eastAsia" w:ascii="宋体" w:hAnsi="宋体" w:cs="宋体"/>
          <w:b/>
          <w:bCs/>
          <w:sz w:val="28"/>
          <w:szCs w:val="28"/>
        </w:rPr>
      </w:pPr>
      <w:r>
        <w:rPr>
          <w:rFonts w:hint="eastAsia" w:ascii="宋体" w:hAnsi="宋体" w:cs="宋体"/>
          <w:b/>
          <w:bCs/>
          <w:sz w:val="28"/>
          <w:szCs w:val="28"/>
        </w:rPr>
        <w:tab/>
      </w: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b/>
          <w:bCs/>
          <w:sz w:val="28"/>
          <w:szCs w:val="28"/>
        </w:rPr>
      </w:pPr>
    </w:p>
    <w:p>
      <w:pPr>
        <w:spacing w:line="560" w:lineRule="exact"/>
        <w:jc w:val="center"/>
        <w:rPr>
          <w:rFonts w:hint="eastAsia" w:ascii="宋体" w:hAnsi="宋体" w:cs="宋体"/>
          <w:sz w:val="28"/>
          <w:szCs w:val="28"/>
        </w:rPr>
      </w:pPr>
      <w:r>
        <w:rPr>
          <w:rFonts w:hint="eastAsia" w:ascii="宋体" w:hAnsi="宋体" w:cs="宋体"/>
          <w:b/>
          <w:bCs/>
          <w:sz w:val="28"/>
          <w:szCs w:val="28"/>
        </w:rPr>
        <w:t>节能环保、环境标志产品明细表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82"/>
        <w:gridCol w:w="990"/>
        <w:gridCol w:w="1016"/>
        <w:gridCol w:w="873"/>
        <w:gridCol w:w="1069"/>
        <w:gridCol w:w="717"/>
        <w:gridCol w:w="757"/>
        <w:gridCol w:w="756"/>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30" w:type="dxa"/>
            <w:noWrap w:val="0"/>
            <w:vAlign w:val="center"/>
          </w:tcPr>
          <w:p>
            <w:pPr>
              <w:spacing w:line="560" w:lineRule="exact"/>
              <w:jc w:val="center"/>
              <w:rPr>
                <w:rFonts w:hint="eastAsia" w:ascii="宋体" w:hAnsi="宋体" w:cs="宋体"/>
                <w:szCs w:val="21"/>
              </w:rPr>
            </w:pPr>
            <w:r>
              <w:rPr>
                <w:rFonts w:hint="eastAsia" w:ascii="宋体" w:hAnsi="宋体" w:cs="宋体"/>
                <w:szCs w:val="21"/>
              </w:rPr>
              <w:t>序号</w:t>
            </w:r>
          </w:p>
        </w:tc>
        <w:tc>
          <w:tcPr>
            <w:tcW w:w="882" w:type="dxa"/>
            <w:noWrap w:val="0"/>
            <w:vAlign w:val="center"/>
          </w:tcPr>
          <w:p>
            <w:pPr>
              <w:spacing w:line="560" w:lineRule="exact"/>
              <w:jc w:val="center"/>
              <w:rPr>
                <w:rFonts w:hint="eastAsia" w:ascii="宋体" w:hAnsi="宋体" w:cs="宋体"/>
                <w:szCs w:val="21"/>
              </w:rPr>
            </w:pPr>
            <w:r>
              <w:rPr>
                <w:rFonts w:hint="eastAsia" w:ascii="宋体" w:hAnsi="宋体" w:cs="宋体"/>
                <w:szCs w:val="21"/>
              </w:rPr>
              <w:t>产品</w:t>
            </w:r>
          </w:p>
          <w:p>
            <w:pPr>
              <w:spacing w:line="560" w:lineRule="exact"/>
              <w:jc w:val="center"/>
              <w:rPr>
                <w:rFonts w:hint="eastAsia" w:ascii="宋体" w:hAnsi="宋体" w:cs="宋体"/>
                <w:szCs w:val="21"/>
              </w:rPr>
            </w:pPr>
            <w:r>
              <w:rPr>
                <w:rFonts w:hint="eastAsia" w:ascii="宋体" w:hAnsi="宋体" w:cs="宋体"/>
                <w:szCs w:val="21"/>
              </w:rPr>
              <w:t>名称</w:t>
            </w:r>
          </w:p>
        </w:tc>
        <w:tc>
          <w:tcPr>
            <w:tcW w:w="990" w:type="dxa"/>
            <w:noWrap w:val="0"/>
            <w:vAlign w:val="center"/>
          </w:tcPr>
          <w:p>
            <w:pPr>
              <w:spacing w:line="560" w:lineRule="exact"/>
              <w:jc w:val="center"/>
              <w:rPr>
                <w:rFonts w:hint="eastAsia" w:ascii="宋体" w:hAnsi="宋体" w:cs="宋体"/>
                <w:szCs w:val="21"/>
              </w:rPr>
            </w:pPr>
            <w:r>
              <w:rPr>
                <w:rFonts w:hint="eastAsia" w:ascii="宋体" w:hAnsi="宋体" w:cs="宋体"/>
                <w:szCs w:val="21"/>
              </w:rPr>
              <w:t>制造</w:t>
            </w:r>
          </w:p>
          <w:p>
            <w:pPr>
              <w:spacing w:line="560" w:lineRule="exact"/>
              <w:jc w:val="center"/>
              <w:rPr>
                <w:rFonts w:hint="eastAsia" w:ascii="宋体" w:hAnsi="宋体" w:cs="宋体"/>
                <w:szCs w:val="21"/>
              </w:rPr>
            </w:pPr>
            <w:r>
              <w:rPr>
                <w:rFonts w:hint="eastAsia" w:ascii="宋体" w:hAnsi="宋体" w:cs="宋体"/>
                <w:szCs w:val="21"/>
              </w:rPr>
              <w:t>厂家</w:t>
            </w:r>
          </w:p>
        </w:tc>
        <w:tc>
          <w:tcPr>
            <w:tcW w:w="1016" w:type="dxa"/>
            <w:noWrap w:val="0"/>
            <w:vAlign w:val="center"/>
          </w:tcPr>
          <w:p>
            <w:pPr>
              <w:spacing w:line="560" w:lineRule="exact"/>
              <w:jc w:val="center"/>
              <w:rPr>
                <w:rFonts w:hint="eastAsia" w:ascii="宋体" w:hAnsi="宋体" w:cs="宋体"/>
                <w:szCs w:val="21"/>
              </w:rPr>
            </w:pPr>
            <w:r>
              <w:rPr>
                <w:rFonts w:hint="eastAsia" w:ascii="宋体" w:hAnsi="宋体" w:cs="宋体"/>
                <w:szCs w:val="21"/>
              </w:rPr>
              <w:t>规格</w:t>
            </w:r>
          </w:p>
          <w:p>
            <w:pPr>
              <w:spacing w:line="560" w:lineRule="exact"/>
              <w:jc w:val="center"/>
              <w:rPr>
                <w:rFonts w:hint="eastAsia" w:ascii="宋体" w:hAnsi="宋体" w:cs="宋体"/>
                <w:szCs w:val="21"/>
              </w:rPr>
            </w:pPr>
            <w:r>
              <w:rPr>
                <w:rFonts w:hint="eastAsia" w:ascii="宋体" w:hAnsi="宋体" w:cs="宋体"/>
                <w:szCs w:val="21"/>
              </w:rPr>
              <w:t>型号</w:t>
            </w:r>
          </w:p>
        </w:tc>
        <w:tc>
          <w:tcPr>
            <w:tcW w:w="873" w:type="dxa"/>
            <w:noWrap w:val="0"/>
            <w:vAlign w:val="center"/>
          </w:tcPr>
          <w:p>
            <w:pPr>
              <w:spacing w:line="560" w:lineRule="exact"/>
              <w:jc w:val="center"/>
              <w:rPr>
                <w:rFonts w:hint="eastAsia" w:ascii="宋体" w:hAnsi="宋体" w:cs="宋体"/>
                <w:szCs w:val="21"/>
              </w:rPr>
            </w:pPr>
            <w:r>
              <w:rPr>
                <w:rFonts w:hint="eastAsia" w:ascii="宋体" w:hAnsi="宋体" w:cs="宋体"/>
                <w:szCs w:val="21"/>
              </w:rPr>
              <w:t>类别</w:t>
            </w:r>
          </w:p>
        </w:tc>
        <w:tc>
          <w:tcPr>
            <w:tcW w:w="1069" w:type="dxa"/>
            <w:noWrap w:val="0"/>
            <w:vAlign w:val="center"/>
          </w:tcPr>
          <w:p>
            <w:pPr>
              <w:spacing w:line="560" w:lineRule="exact"/>
              <w:jc w:val="center"/>
              <w:rPr>
                <w:rFonts w:hint="eastAsia" w:ascii="宋体" w:hAnsi="宋体" w:cs="宋体"/>
                <w:szCs w:val="21"/>
              </w:rPr>
            </w:pPr>
            <w:r>
              <w:rPr>
                <w:rFonts w:hint="eastAsia" w:ascii="宋体" w:hAnsi="宋体" w:cs="宋体"/>
                <w:szCs w:val="21"/>
              </w:rPr>
              <w:t>认证证书编号</w:t>
            </w:r>
          </w:p>
        </w:tc>
        <w:tc>
          <w:tcPr>
            <w:tcW w:w="717" w:type="dxa"/>
            <w:noWrap w:val="0"/>
            <w:vAlign w:val="center"/>
          </w:tcPr>
          <w:p>
            <w:pPr>
              <w:spacing w:line="560" w:lineRule="exact"/>
              <w:jc w:val="center"/>
              <w:rPr>
                <w:rFonts w:hint="eastAsia" w:ascii="宋体" w:hAnsi="宋体" w:cs="宋体"/>
                <w:szCs w:val="21"/>
              </w:rPr>
            </w:pPr>
            <w:r>
              <w:rPr>
                <w:rFonts w:hint="eastAsia" w:ascii="宋体" w:hAnsi="宋体" w:cs="宋体"/>
                <w:szCs w:val="21"/>
              </w:rPr>
              <w:t>数量</w:t>
            </w:r>
          </w:p>
        </w:tc>
        <w:tc>
          <w:tcPr>
            <w:tcW w:w="757" w:type="dxa"/>
            <w:noWrap w:val="0"/>
            <w:vAlign w:val="center"/>
          </w:tcPr>
          <w:p>
            <w:pPr>
              <w:spacing w:line="560" w:lineRule="exact"/>
              <w:jc w:val="center"/>
              <w:rPr>
                <w:rFonts w:hint="eastAsia" w:ascii="宋体" w:hAnsi="宋体" w:cs="宋体"/>
                <w:szCs w:val="21"/>
              </w:rPr>
            </w:pPr>
            <w:r>
              <w:rPr>
                <w:rFonts w:hint="eastAsia" w:ascii="宋体" w:hAnsi="宋体" w:cs="宋体"/>
                <w:szCs w:val="21"/>
              </w:rPr>
              <w:t>单价</w:t>
            </w:r>
          </w:p>
        </w:tc>
        <w:tc>
          <w:tcPr>
            <w:tcW w:w="756" w:type="dxa"/>
            <w:noWrap w:val="0"/>
            <w:vAlign w:val="center"/>
          </w:tcPr>
          <w:p>
            <w:pPr>
              <w:spacing w:line="560" w:lineRule="exact"/>
              <w:jc w:val="center"/>
              <w:rPr>
                <w:rFonts w:hint="eastAsia" w:ascii="宋体" w:hAnsi="宋体" w:cs="宋体"/>
                <w:szCs w:val="21"/>
              </w:rPr>
            </w:pPr>
            <w:r>
              <w:rPr>
                <w:rFonts w:hint="eastAsia" w:ascii="宋体" w:hAnsi="宋体" w:cs="宋体"/>
                <w:szCs w:val="21"/>
              </w:rPr>
              <w:t>总价</w:t>
            </w:r>
          </w:p>
        </w:tc>
        <w:tc>
          <w:tcPr>
            <w:tcW w:w="630" w:type="dxa"/>
            <w:noWrap w:val="0"/>
            <w:vAlign w:val="center"/>
          </w:tcPr>
          <w:p>
            <w:pPr>
              <w:spacing w:line="56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0" w:type="dxa"/>
            <w:noWrap w:val="0"/>
            <w:vAlign w:val="top"/>
          </w:tcPr>
          <w:p>
            <w:pPr>
              <w:spacing w:line="560" w:lineRule="exact"/>
              <w:rPr>
                <w:rFonts w:hint="eastAsia" w:ascii="宋体" w:hAnsi="宋体" w:cs="宋体"/>
                <w:sz w:val="24"/>
              </w:rPr>
            </w:pPr>
          </w:p>
        </w:tc>
        <w:tc>
          <w:tcPr>
            <w:tcW w:w="882" w:type="dxa"/>
            <w:noWrap w:val="0"/>
            <w:vAlign w:val="top"/>
          </w:tcPr>
          <w:p>
            <w:pPr>
              <w:spacing w:line="560" w:lineRule="exact"/>
              <w:rPr>
                <w:rFonts w:hint="eastAsia" w:ascii="宋体" w:hAnsi="宋体" w:cs="宋体"/>
                <w:sz w:val="24"/>
              </w:rPr>
            </w:pPr>
          </w:p>
        </w:tc>
        <w:tc>
          <w:tcPr>
            <w:tcW w:w="990" w:type="dxa"/>
            <w:noWrap w:val="0"/>
            <w:vAlign w:val="top"/>
          </w:tcPr>
          <w:p>
            <w:pPr>
              <w:spacing w:line="560" w:lineRule="exact"/>
              <w:rPr>
                <w:rFonts w:hint="eastAsia" w:ascii="宋体" w:hAnsi="宋体" w:cs="宋体"/>
                <w:sz w:val="24"/>
              </w:rPr>
            </w:pPr>
          </w:p>
        </w:tc>
        <w:tc>
          <w:tcPr>
            <w:tcW w:w="1016" w:type="dxa"/>
            <w:noWrap w:val="0"/>
            <w:vAlign w:val="top"/>
          </w:tcPr>
          <w:p>
            <w:pPr>
              <w:spacing w:line="560" w:lineRule="exact"/>
              <w:rPr>
                <w:rFonts w:hint="eastAsia" w:ascii="宋体" w:hAnsi="宋体" w:cs="宋体"/>
                <w:sz w:val="24"/>
              </w:rPr>
            </w:pPr>
          </w:p>
        </w:tc>
        <w:tc>
          <w:tcPr>
            <w:tcW w:w="873" w:type="dxa"/>
            <w:noWrap w:val="0"/>
            <w:vAlign w:val="top"/>
          </w:tcPr>
          <w:p>
            <w:pPr>
              <w:spacing w:line="560" w:lineRule="exact"/>
              <w:rPr>
                <w:rFonts w:hint="eastAsia" w:ascii="宋体" w:hAnsi="宋体" w:cs="宋体"/>
                <w:sz w:val="24"/>
              </w:rPr>
            </w:pPr>
          </w:p>
        </w:tc>
        <w:tc>
          <w:tcPr>
            <w:tcW w:w="1069" w:type="dxa"/>
            <w:noWrap w:val="0"/>
            <w:vAlign w:val="top"/>
          </w:tcPr>
          <w:p>
            <w:pPr>
              <w:spacing w:line="560" w:lineRule="exact"/>
              <w:rPr>
                <w:rFonts w:hint="eastAsia" w:ascii="宋体" w:hAnsi="宋体" w:cs="宋体"/>
                <w:sz w:val="24"/>
              </w:rPr>
            </w:pPr>
          </w:p>
        </w:tc>
        <w:tc>
          <w:tcPr>
            <w:tcW w:w="717" w:type="dxa"/>
            <w:noWrap w:val="0"/>
            <w:vAlign w:val="top"/>
          </w:tcPr>
          <w:p>
            <w:pPr>
              <w:spacing w:line="560" w:lineRule="exact"/>
              <w:rPr>
                <w:rFonts w:hint="eastAsia" w:ascii="宋体" w:hAnsi="宋体" w:cs="宋体"/>
                <w:sz w:val="24"/>
              </w:rPr>
            </w:pPr>
          </w:p>
        </w:tc>
        <w:tc>
          <w:tcPr>
            <w:tcW w:w="757" w:type="dxa"/>
            <w:noWrap w:val="0"/>
            <w:vAlign w:val="top"/>
          </w:tcPr>
          <w:p>
            <w:pPr>
              <w:spacing w:line="560" w:lineRule="exact"/>
              <w:rPr>
                <w:rFonts w:hint="eastAsia" w:ascii="宋体" w:hAnsi="宋体" w:cs="宋体"/>
                <w:sz w:val="24"/>
              </w:rPr>
            </w:pPr>
          </w:p>
        </w:tc>
        <w:tc>
          <w:tcPr>
            <w:tcW w:w="756" w:type="dxa"/>
            <w:noWrap w:val="0"/>
            <w:vAlign w:val="top"/>
          </w:tcPr>
          <w:p>
            <w:pPr>
              <w:spacing w:line="560" w:lineRule="exact"/>
              <w:rPr>
                <w:rFonts w:hint="eastAsia" w:ascii="宋体" w:hAnsi="宋体" w:cs="宋体"/>
                <w:sz w:val="24"/>
              </w:rPr>
            </w:pPr>
          </w:p>
        </w:tc>
        <w:tc>
          <w:tcPr>
            <w:tcW w:w="630" w:type="dxa"/>
            <w:noWrap w:val="0"/>
            <w:vAlign w:val="top"/>
          </w:tcPr>
          <w:p>
            <w:pPr>
              <w:spacing w:line="56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0" w:type="dxa"/>
            <w:noWrap w:val="0"/>
            <w:vAlign w:val="top"/>
          </w:tcPr>
          <w:p>
            <w:pPr>
              <w:spacing w:line="560" w:lineRule="exact"/>
              <w:rPr>
                <w:rFonts w:hint="eastAsia" w:ascii="宋体" w:hAnsi="宋体" w:cs="宋体"/>
                <w:sz w:val="24"/>
              </w:rPr>
            </w:pPr>
          </w:p>
        </w:tc>
        <w:tc>
          <w:tcPr>
            <w:tcW w:w="882" w:type="dxa"/>
            <w:noWrap w:val="0"/>
            <w:vAlign w:val="top"/>
          </w:tcPr>
          <w:p>
            <w:pPr>
              <w:spacing w:line="560" w:lineRule="exact"/>
              <w:rPr>
                <w:rFonts w:hint="eastAsia" w:ascii="宋体" w:hAnsi="宋体" w:cs="宋体"/>
                <w:sz w:val="24"/>
              </w:rPr>
            </w:pPr>
          </w:p>
        </w:tc>
        <w:tc>
          <w:tcPr>
            <w:tcW w:w="990" w:type="dxa"/>
            <w:noWrap w:val="0"/>
            <w:vAlign w:val="top"/>
          </w:tcPr>
          <w:p>
            <w:pPr>
              <w:spacing w:line="560" w:lineRule="exact"/>
              <w:rPr>
                <w:rFonts w:hint="eastAsia" w:ascii="宋体" w:hAnsi="宋体" w:cs="宋体"/>
                <w:sz w:val="24"/>
              </w:rPr>
            </w:pPr>
          </w:p>
        </w:tc>
        <w:tc>
          <w:tcPr>
            <w:tcW w:w="1016" w:type="dxa"/>
            <w:noWrap w:val="0"/>
            <w:vAlign w:val="top"/>
          </w:tcPr>
          <w:p>
            <w:pPr>
              <w:spacing w:line="560" w:lineRule="exact"/>
              <w:rPr>
                <w:rFonts w:hint="eastAsia" w:ascii="宋体" w:hAnsi="宋体" w:cs="宋体"/>
                <w:sz w:val="24"/>
              </w:rPr>
            </w:pPr>
          </w:p>
        </w:tc>
        <w:tc>
          <w:tcPr>
            <w:tcW w:w="873" w:type="dxa"/>
            <w:noWrap w:val="0"/>
            <w:vAlign w:val="top"/>
          </w:tcPr>
          <w:p>
            <w:pPr>
              <w:spacing w:line="560" w:lineRule="exact"/>
              <w:rPr>
                <w:rFonts w:hint="eastAsia" w:ascii="宋体" w:hAnsi="宋体" w:cs="宋体"/>
                <w:sz w:val="24"/>
              </w:rPr>
            </w:pPr>
          </w:p>
        </w:tc>
        <w:tc>
          <w:tcPr>
            <w:tcW w:w="1069" w:type="dxa"/>
            <w:noWrap w:val="0"/>
            <w:vAlign w:val="top"/>
          </w:tcPr>
          <w:p>
            <w:pPr>
              <w:spacing w:line="560" w:lineRule="exact"/>
              <w:rPr>
                <w:rFonts w:hint="eastAsia" w:ascii="宋体" w:hAnsi="宋体" w:cs="宋体"/>
                <w:sz w:val="24"/>
              </w:rPr>
            </w:pPr>
          </w:p>
        </w:tc>
        <w:tc>
          <w:tcPr>
            <w:tcW w:w="717" w:type="dxa"/>
            <w:noWrap w:val="0"/>
            <w:vAlign w:val="top"/>
          </w:tcPr>
          <w:p>
            <w:pPr>
              <w:spacing w:line="560" w:lineRule="exact"/>
              <w:rPr>
                <w:rFonts w:hint="eastAsia" w:ascii="宋体" w:hAnsi="宋体" w:cs="宋体"/>
                <w:sz w:val="24"/>
              </w:rPr>
            </w:pPr>
          </w:p>
        </w:tc>
        <w:tc>
          <w:tcPr>
            <w:tcW w:w="757" w:type="dxa"/>
            <w:noWrap w:val="0"/>
            <w:vAlign w:val="top"/>
          </w:tcPr>
          <w:p>
            <w:pPr>
              <w:spacing w:line="560" w:lineRule="exact"/>
              <w:rPr>
                <w:rFonts w:hint="eastAsia" w:ascii="宋体" w:hAnsi="宋体" w:cs="宋体"/>
                <w:sz w:val="24"/>
              </w:rPr>
            </w:pPr>
          </w:p>
        </w:tc>
        <w:tc>
          <w:tcPr>
            <w:tcW w:w="756" w:type="dxa"/>
            <w:noWrap w:val="0"/>
            <w:vAlign w:val="top"/>
          </w:tcPr>
          <w:p>
            <w:pPr>
              <w:spacing w:line="560" w:lineRule="exact"/>
              <w:rPr>
                <w:rFonts w:hint="eastAsia" w:ascii="宋体" w:hAnsi="宋体" w:cs="宋体"/>
                <w:sz w:val="24"/>
              </w:rPr>
            </w:pPr>
          </w:p>
        </w:tc>
        <w:tc>
          <w:tcPr>
            <w:tcW w:w="630" w:type="dxa"/>
            <w:noWrap w:val="0"/>
            <w:vAlign w:val="top"/>
          </w:tcPr>
          <w:p>
            <w:pPr>
              <w:spacing w:line="56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0" w:type="dxa"/>
            <w:noWrap w:val="0"/>
            <w:vAlign w:val="top"/>
          </w:tcPr>
          <w:p>
            <w:pPr>
              <w:spacing w:line="560" w:lineRule="exact"/>
              <w:rPr>
                <w:rFonts w:hint="eastAsia" w:ascii="宋体" w:hAnsi="宋体" w:cs="宋体"/>
                <w:sz w:val="24"/>
              </w:rPr>
            </w:pPr>
          </w:p>
        </w:tc>
        <w:tc>
          <w:tcPr>
            <w:tcW w:w="882" w:type="dxa"/>
            <w:noWrap w:val="0"/>
            <w:vAlign w:val="top"/>
          </w:tcPr>
          <w:p>
            <w:pPr>
              <w:spacing w:line="560" w:lineRule="exact"/>
              <w:rPr>
                <w:rFonts w:hint="eastAsia" w:ascii="宋体" w:hAnsi="宋体" w:cs="宋体"/>
                <w:sz w:val="24"/>
              </w:rPr>
            </w:pPr>
          </w:p>
        </w:tc>
        <w:tc>
          <w:tcPr>
            <w:tcW w:w="990" w:type="dxa"/>
            <w:noWrap w:val="0"/>
            <w:vAlign w:val="top"/>
          </w:tcPr>
          <w:p>
            <w:pPr>
              <w:spacing w:line="560" w:lineRule="exact"/>
              <w:rPr>
                <w:rFonts w:hint="eastAsia" w:ascii="宋体" w:hAnsi="宋体" w:cs="宋体"/>
                <w:sz w:val="24"/>
              </w:rPr>
            </w:pPr>
          </w:p>
        </w:tc>
        <w:tc>
          <w:tcPr>
            <w:tcW w:w="1016" w:type="dxa"/>
            <w:noWrap w:val="0"/>
            <w:vAlign w:val="top"/>
          </w:tcPr>
          <w:p>
            <w:pPr>
              <w:spacing w:line="560" w:lineRule="exact"/>
              <w:rPr>
                <w:rFonts w:hint="eastAsia" w:ascii="宋体" w:hAnsi="宋体" w:cs="宋体"/>
                <w:sz w:val="24"/>
              </w:rPr>
            </w:pPr>
          </w:p>
        </w:tc>
        <w:tc>
          <w:tcPr>
            <w:tcW w:w="873" w:type="dxa"/>
            <w:noWrap w:val="0"/>
            <w:vAlign w:val="top"/>
          </w:tcPr>
          <w:p>
            <w:pPr>
              <w:spacing w:line="560" w:lineRule="exact"/>
              <w:rPr>
                <w:rFonts w:hint="eastAsia" w:ascii="宋体" w:hAnsi="宋体" w:cs="宋体"/>
                <w:sz w:val="24"/>
              </w:rPr>
            </w:pPr>
          </w:p>
        </w:tc>
        <w:tc>
          <w:tcPr>
            <w:tcW w:w="1069" w:type="dxa"/>
            <w:noWrap w:val="0"/>
            <w:vAlign w:val="top"/>
          </w:tcPr>
          <w:p>
            <w:pPr>
              <w:spacing w:line="560" w:lineRule="exact"/>
              <w:rPr>
                <w:rFonts w:hint="eastAsia" w:ascii="宋体" w:hAnsi="宋体" w:cs="宋体"/>
                <w:sz w:val="24"/>
              </w:rPr>
            </w:pPr>
          </w:p>
        </w:tc>
        <w:tc>
          <w:tcPr>
            <w:tcW w:w="717" w:type="dxa"/>
            <w:noWrap w:val="0"/>
            <w:vAlign w:val="top"/>
          </w:tcPr>
          <w:p>
            <w:pPr>
              <w:spacing w:line="560" w:lineRule="exact"/>
              <w:rPr>
                <w:rFonts w:hint="eastAsia" w:ascii="宋体" w:hAnsi="宋体" w:cs="宋体"/>
                <w:sz w:val="24"/>
              </w:rPr>
            </w:pPr>
          </w:p>
        </w:tc>
        <w:tc>
          <w:tcPr>
            <w:tcW w:w="757" w:type="dxa"/>
            <w:noWrap w:val="0"/>
            <w:vAlign w:val="top"/>
          </w:tcPr>
          <w:p>
            <w:pPr>
              <w:spacing w:line="560" w:lineRule="exact"/>
              <w:rPr>
                <w:rFonts w:hint="eastAsia" w:ascii="宋体" w:hAnsi="宋体" w:cs="宋体"/>
                <w:sz w:val="24"/>
              </w:rPr>
            </w:pPr>
          </w:p>
        </w:tc>
        <w:tc>
          <w:tcPr>
            <w:tcW w:w="756" w:type="dxa"/>
            <w:noWrap w:val="0"/>
            <w:vAlign w:val="top"/>
          </w:tcPr>
          <w:p>
            <w:pPr>
              <w:spacing w:line="560" w:lineRule="exact"/>
              <w:rPr>
                <w:rFonts w:hint="eastAsia" w:ascii="宋体" w:hAnsi="宋体" w:cs="宋体"/>
                <w:sz w:val="24"/>
              </w:rPr>
            </w:pPr>
          </w:p>
        </w:tc>
        <w:tc>
          <w:tcPr>
            <w:tcW w:w="630" w:type="dxa"/>
            <w:noWrap w:val="0"/>
            <w:vAlign w:val="top"/>
          </w:tcPr>
          <w:p>
            <w:pPr>
              <w:spacing w:line="56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0" w:type="dxa"/>
            <w:noWrap w:val="0"/>
            <w:vAlign w:val="top"/>
          </w:tcPr>
          <w:p>
            <w:pPr>
              <w:spacing w:line="560" w:lineRule="exact"/>
              <w:rPr>
                <w:rFonts w:hint="eastAsia" w:ascii="宋体" w:hAnsi="宋体" w:cs="宋体"/>
                <w:sz w:val="24"/>
              </w:rPr>
            </w:pPr>
          </w:p>
        </w:tc>
        <w:tc>
          <w:tcPr>
            <w:tcW w:w="882" w:type="dxa"/>
            <w:noWrap w:val="0"/>
            <w:vAlign w:val="top"/>
          </w:tcPr>
          <w:p>
            <w:pPr>
              <w:spacing w:line="560" w:lineRule="exact"/>
              <w:rPr>
                <w:rFonts w:hint="eastAsia" w:ascii="宋体" w:hAnsi="宋体" w:cs="宋体"/>
                <w:sz w:val="24"/>
              </w:rPr>
            </w:pPr>
          </w:p>
        </w:tc>
        <w:tc>
          <w:tcPr>
            <w:tcW w:w="990" w:type="dxa"/>
            <w:noWrap w:val="0"/>
            <w:vAlign w:val="top"/>
          </w:tcPr>
          <w:p>
            <w:pPr>
              <w:spacing w:line="560" w:lineRule="exact"/>
              <w:rPr>
                <w:rFonts w:hint="eastAsia" w:ascii="宋体" w:hAnsi="宋体" w:cs="宋体"/>
                <w:sz w:val="24"/>
              </w:rPr>
            </w:pPr>
          </w:p>
        </w:tc>
        <w:tc>
          <w:tcPr>
            <w:tcW w:w="1016" w:type="dxa"/>
            <w:noWrap w:val="0"/>
            <w:vAlign w:val="top"/>
          </w:tcPr>
          <w:p>
            <w:pPr>
              <w:spacing w:line="560" w:lineRule="exact"/>
              <w:rPr>
                <w:rFonts w:hint="eastAsia" w:ascii="宋体" w:hAnsi="宋体" w:cs="宋体"/>
                <w:sz w:val="24"/>
              </w:rPr>
            </w:pPr>
          </w:p>
        </w:tc>
        <w:tc>
          <w:tcPr>
            <w:tcW w:w="873" w:type="dxa"/>
            <w:noWrap w:val="0"/>
            <w:vAlign w:val="top"/>
          </w:tcPr>
          <w:p>
            <w:pPr>
              <w:spacing w:line="560" w:lineRule="exact"/>
              <w:rPr>
                <w:rFonts w:hint="eastAsia" w:ascii="宋体" w:hAnsi="宋体" w:cs="宋体"/>
                <w:sz w:val="24"/>
              </w:rPr>
            </w:pPr>
          </w:p>
        </w:tc>
        <w:tc>
          <w:tcPr>
            <w:tcW w:w="1069" w:type="dxa"/>
            <w:noWrap w:val="0"/>
            <w:vAlign w:val="top"/>
          </w:tcPr>
          <w:p>
            <w:pPr>
              <w:spacing w:line="560" w:lineRule="exact"/>
              <w:rPr>
                <w:rFonts w:hint="eastAsia" w:ascii="宋体" w:hAnsi="宋体" w:cs="宋体"/>
                <w:sz w:val="24"/>
              </w:rPr>
            </w:pPr>
          </w:p>
        </w:tc>
        <w:tc>
          <w:tcPr>
            <w:tcW w:w="717" w:type="dxa"/>
            <w:noWrap w:val="0"/>
            <w:vAlign w:val="top"/>
          </w:tcPr>
          <w:p>
            <w:pPr>
              <w:spacing w:line="560" w:lineRule="exact"/>
              <w:rPr>
                <w:rFonts w:hint="eastAsia" w:ascii="宋体" w:hAnsi="宋体" w:cs="宋体"/>
                <w:sz w:val="24"/>
              </w:rPr>
            </w:pPr>
          </w:p>
        </w:tc>
        <w:tc>
          <w:tcPr>
            <w:tcW w:w="757" w:type="dxa"/>
            <w:noWrap w:val="0"/>
            <w:vAlign w:val="top"/>
          </w:tcPr>
          <w:p>
            <w:pPr>
              <w:spacing w:line="560" w:lineRule="exact"/>
              <w:rPr>
                <w:rFonts w:hint="eastAsia" w:ascii="宋体" w:hAnsi="宋体" w:cs="宋体"/>
                <w:sz w:val="24"/>
              </w:rPr>
            </w:pPr>
          </w:p>
        </w:tc>
        <w:tc>
          <w:tcPr>
            <w:tcW w:w="756" w:type="dxa"/>
            <w:noWrap w:val="0"/>
            <w:vAlign w:val="top"/>
          </w:tcPr>
          <w:p>
            <w:pPr>
              <w:spacing w:line="560" w:lineRule="exact"/>
              <w:rPr>
                <w:rFonts w:hint="eastAsia" w:ascii="宋体" w:hAnsi="宋体" w:cs="宋体"/>
                <w:sz w:val="24"/>
              </w:rPr>
            </w:pPr>
          </w:p>
        </w:tc>
        <w:tc>
          <w:tcPr>
            <w:tcW w:w="630" w:type="dxa"/>
            <w:noWrap w:val="0"/>
            <w:vAlign w:val="top"/>
          </w:tcPr>
          <w:p>
            <w:pPr>
              <w:spacing w:line="56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0" w:type="dxa"/>
            <w:noWrap w:val="0"/>
            <w:vAlign w:val="top"/>
          </w:tcPr>
          <w:p>
            <w:pPr>
              <w:spacing w:line="560" w:lineRule="exact"/>
              <w:rPr>
                <w:rFonts w:hint="eastAsia" w:ascii="宋体" w:hAnsi="宋体" w:cs="宋体"/>
                <w:sz w:val="24"/>
              </w:rPr>
            </w:pPr>
          </w:p>
        </w:tc>
        <w:tc>
          <w:tcPr>
            <w:tcW w:w="882" w:type="dxa"/>
            <w:noWrap w:val="0"/>
            <w:vAlign w:val="top"/>
          </w:tcPr>
          <w:p>
            <w:pPr>
              <w:spacing w:line="560" w:lineRule="exact"/>
              <w:rPr>
                <w:rFonts w:hint="eastAsia" w:ascii="宋体" w:hAnsi="宋体" w:cs="宋体"/>
                <w:sz w:val="24"/>
              </w:rPr>
            </w:pPr>
          </w:p>
        </w:tc>
        <w:tc>
          <w:tcPr>
            <w:tcW w:w="990" w:type="dxa"/>
            <w:noWrap w:val="0"/>
            <w:vAlign w:val="top"/>
          </w:tcPr>
          <w:p>
            <w:pPr>
              <w:spacing w:line="560" w:lineRule="exact"/>
              <w:rPr>
                <w:rFonts w:hint="eastAsia" w:ascii="宋体" w:hAnsi="宋体" w:cs="宋体"/>
                <w:sz w:val="24"/>
              </w:rPr>
            </w:pPr>
          </w:p>
        </w:tc>
        <w:tc>
          <w:tcPr>
            <w:tcW w:w="1016" w:type="dxa"/>
            <w:noWrap w:val="0"/>
            <w:vAlign w:val="top"/>
          </w:tcPr>
          <w:p>
            <w:pPr>
              <w:spacing w:line="560" w:lineRule="exact"/>
              <w:rPr>
                <w:rFonts w:hint="eastAsia" w:ascii="宋体" w:hAnsi="宋体" w:cs="宋体"/>
                <w:sz w:val="24"/>
              </w:rPr>
            </w:pPr>
          </w:p>
        </w:tc>
        <w:tc>
          <w:tcPr>
            <w:tcW w:w="873" w:type="dxa"/>
            <w:noWrap w:val="0"/>
            <w:vAlign w:val="top"/>
          </w:tcPr>
          <w:p>
            <w:pPr>
              <w:spacing w:line="560" w:lineRule="exact"/>
              <w:rPr>
                <w:rFonts w:hint="eastAsia" w:ascii="宋体" w:hAnsi="宋体" w:cs="宋体"/>
                <w:sz w:val="24"/>
              </w:rPr>
            </w:pPr>
          </w:p>
        </w:tc>
        <w:tc>
          <w:tcPr>
            <w:tcW w:w="1069" w:type="dxa"/>
            <w:noWrap w:val="0"/>
            <w:vAlign w:val="top"/>
          </w:tcPr>
          <w:p>
            <w:pPr>
              <w:spacing w:line="560" w:lineRule="exact"/>
              <w:rPr>
                <w:rFonts w:hint="eastAsia" w:ascii="宋体" w:hAnsi="宋体" w:cs="宋体"/>
                <w:sz w:val="24"/>
              </w:rPr>
            </w:pPr>
          </w:p>
        </w:tc>
        <w:tc>
          <w:tcPr>
            <w:tcW w:w="717" w:type="dxa"/>
            <w:noWrap w:val="0"/>
            <w:vAlign w:val="top"/>
          </w:tcPr>
          <w:p>
            <w:pPr>
              <w:spacing w:line="560" w:lineRule="exact"/>
              <w:rPr>
                <w:rFonts w:hint="eastAsia" w:ascii="宋体" w:hAnsi="宋体" w:cs="宋体"/>
                <w:sz w:val="24"/>
              </w:rPr>
            </w:pPr>
          </w:p>
        </w:tc>
        <w:tc>
          <w:tcPr>
            <w:tcW w:w="757" w:type="dxa"/>
            <w:noWrap w:val="0"/>
            <w:vAlign w:val="top"/>
          </w:tcPr>
          <w:p>
            <w:pPr>
              <w:spacing w:line="560" w:lineRule="exact"/>
              <w:rPr>
                <w:rFonts w:hint="eastAsia" w:ascii="宋体" w:hAnsi="宋体" w:cs="宋体"/>
                <w:sz w:val="24"/>
              </w:rPr>
            </w:pPr>
          </w:p>
        </w:tc>
        <w:tc>
          <w:tcPr>
            <w:tcW w:w="756" w:type="dxa"/>
            <w:noWrap w:val="0"/>
            <w:vAlign w:val="top"/>
          </w:tcPr>
          <w:p>
            <w:pPr>
              <w:spacing w:line="560" w:lineRule="exact"/>
              <w:rPr>
                <w:rFonts w:hint="eastAsia" w:ascii="宋体" w:hAnsi="宋体" w:cs="宋体"/>
                <w:sz w:val="24"/>
              </w:rPr>
            </w:pPr>
          </w:p>
        </w:tc>
        <w:tc>
          <w:tcPr>
            <w:tcW w:w="630" w:type="dxa"/>
            <w:noWrap w:val="0"/>
            <w:vAlign w:val="top"/>
          </w:tcPr>
          <w:p>
            <w:pPr>
              <w:spacing w:line="56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0" w:type="dxa"/>
            <w:noWrap w:val="0"/>
            <w:vAlign w:val="top"/>
          </w:tcPr>
          <w:p>
            <w:pPr>
              <w:spacing w:line="560" w:lineRule="exact"/>
              <w:rPr>
                <w:rFonts w:hint="eastAsia" w:ascii="宋体" w:hAnsi="宋体" w:cs="宋体"/>
                <w:sz w:val="24"/>
              </w:rPr>
            </w:pPr>
          </w:p>
        </w:tc>
        <w:tc>
          <w:tcPr>
            <w:tcW w:w="882" w:type="dxa"/>
            <w:noWrap w:val="0"/>
            <w:vAlign w:val="top"/>
          </w:tcPr>
          <w:p>
            <w:pPr>
              <w:spacing w:line="560" w:lineRule="exact"/>
              <w:rPr>
                <w:rFonts w:hint="eastAsia" w:ascii="宋体" w:hAnsi="宋体" w:cs="宋体"/>
                <w:sz w:val="24"/>
              </w:rPr>
            </w:pPr>
          </w:p>
        </w:tc>
        <w:tc>
          <w:tcPr>
            <w:tcW w:w="990" w:type="dxa"/>
            <w:noWrap w:val="0"/>
            <w:vAlign w:val="top"/>
          </w:tcPr>
          <w:p>
            <w:pPr>
              <w:spacing w:line="560" w:lineRule="exact"/>
              <w:rPr>
                <w:rFonts w:hint="eastAsia" w:ascii="宋体" w:hAnsi="宋体" w:cs="宋体"/>
                <w:sz w:val="24"/>
              </w:rPr>
            </w:pPr>
          </w:p>
        </w:tc>
        <w:tc>
          <w:tcPr>
            <w:tcW w:w="1016" w:type="dxa"/>
            <w:noWrap w:val="0"/>
            <w:vAlign w:val="top"/>
          </w:tcPr>
          <w:p>
            <w:pPr>
              <w:spacing w:line="560" w:lineRule="exact"/>
              <w:rPr>
                <w:rFonts w:hint="eastAsia" w:ascii="宋体" w:hAnsi="宋体" w:cs="宋体"/>
                <w:sz w:val="24"/>
              </w:rPr>
            </w:pPr>
          </w:p>
        </w:tc>
        <w:tc>
          <w:tcPr>
            <w:tcW w:w="873" w:type="dxa"/>
            <w:noWrap w:val="0"/>
            <w:vAlign w:val="top"/>
          </w:tcPr>
          <w:p>
            <w:pPr>
              <w:spacing w:line="560" w:lineRule="exact"/>
              <w:rPr>
                <w:rFonts w:hint="eastAsia" w:ascii="宋体" w:hAnsi="宋体" w:cs="宋体"/>
                <w:sz w:val="24"/>
              </w:rPr>
            </w:pPr>
          </w:p>
        </w:tc>
        <w:tc>
          <w:tcPr>
            <w:tcW w:w="1069" w:type="dxa"/>
            <w:noWrap w:val="0"/>
            <w:vAlign w:val="top"/>
          </w:tcPr>
          <w:p>
            <w:pPr>
              <w:spacing w:line="560" w:lineRule="exact"/>
              <w:rPr>
                <w:rFonts w:hint="eastAsia" w:ascii="宋体" w:hAnsi="宋体" w:cs="宋体"/>
                <w:sz w:val="24"/>
              </w:rPr>
            </w:pPr>
          </w:p>
        </w:tc>
        <w:tc>
          <w:tcPr>
            <w:tcW w:w="717" w:type="dxa"/>
            <w:noWrap w:val="0"/>
            <w:vAlign w:val="top"/>
          </w:tcPr>
          <w:p>
            <w:pPr>
              <w:spacing w:line="560" w:lineRule="exact"/>
              <w:rPr>
                <w:rFonts w:hint="eastAsia" w:ascii="宋体" w:hAnsi="宋体" w:cs="宋体"/>
                <w:sz w:val="24"/>
              </w:rPr>
            </w:pPr>
          </w:p>
        </w:tc>
        <w:tc>
          <w:tcPr>
            <w:tcW w:w="757" w:type="dxa"/>
            <w:noWrap w:val="0"/>
            <w:vAlign w:val="top"/>
          </w:tcPr>
          <w:p>
            <w:pPr>
              <w:spacing w:line="560" w:lineRule="exact"/>
              <w:rPr>
                <w:rFonts w:hint="eastAsia" w:ascii="宋体" w:hAnsi="宋体" w:cs="宋体"/>
                <w:sz w:val="24"/>
              </w:rPr>
            </w:pPr>
          </w:p>
        </w:tc>
        <w:tc>
          <w:tcPr>
            <w:tcW w:w="756" w:type="dxa"/>
            <w:noWrap w:val="0"/>
            <w:vAlign w:val="top"/>
          </w:tcPr>
          <w:p>
            <w:pPr>
              <w:spacing w:line="560" w:lineRule="exact"/>
              <w:rPr>
                <w:rFonts w:hint="eastAsia" w:ascii="宋体" w:hAnsi="宋体" w:cs="宋体"/>
                <w:sz w:val="24"/>
              </w:rPr>
            </w:pPr>
          </w:p>
        </w:tc>
        <w:tc>
          <w:tcPr>
            <w:tcW w:w="630" w:type="dxa"/>
            <w:noWrap w:val="0"/>
            <w:vAlign w:val="top"/>
          </w:tcPr>
          <w:p>
            <w:pPr>
              <w:spacing w:line="56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391" w:type="dxa"/>
            <w:gridSpan w:val="5"/>
            <w:noWrap w:val="0"/>
            <w:vAlign w:val="center"/>
          </w:tcPr>
          <w:p>
            <w:pPr>
              <w:spacing w:line="560" w:lineRule="exact"/>
              <w:jc w:val="center"/>
              <w:rPr>
                <w:rFonts w:hint="eastAsia" w:ascii="宋体" w:hAnsi="宋体" w:cs="宋体"/>
                <w:sz w:val="24"/>
              </w:rPr>
            </w:pPr>
            <w:r>
              <w:rPr>
                <w:rFonts w:hint="eastAsia" w:ascii="宋体" w:hAnsi="宋体" w:cs="宋体"/>
                <w:szCs w:val="21"/>
              </w:rPr>
              <w:t>合计（人民币）</w:t>
            </w:r>
          </w:p>
        </w:tc>
        <w:tc>
          <w:tcPr>
            <w:tcW w:w="3929" w:type="dxa"/>
            <w:gridSpan w:val="5"/>
            <w:noWrap w:val="0"/>
            <w:vAlign w:val="top"/>
          </w:tcPr>
          <w:p>
            <w:pPr>
              <w:spacing w:line="560" w:lineRule="exact"/>
              <w:rPr>
                <w:rFonts w:hint="eastAsia" w:ascii="宋体" w:hAnsi="宋体" w:cs="宋体"/>
                <w:sz w:val="24"/>
              </w:rPr>
            </w:pPr>
          </w:p>
        </w:tc>
      </w:tr>
    </w:tbl>
    <w:p>
      <w:pPr>
        <w:spacing w:line="560" w:lineRule="exact"/>
        <w:rPr>
          <w:rFonts w:hint="eastAsia" w:ascii="宋体" w:hAnsi="宋体" w:cs="宋体"/>
          <w:sz w:val="24"/>
        </w:rPr>
      </w:pPr>
    </w:p>
    <w:p>
      <w:pPr>
        <w:spacing w:line="560" w:lineRule="exact"/>
        <w:ind w:firstLine="4560" w:firstLineChars="1900"/>
        <w:rPr>
          <w:rFonts w:hint="eastAsia" w:ascii="宋体" w:hAnsi="宋体" w:cs="宋体"/>
          <w:sz w:val="24"/>
        </w:rPr>
      </w:pPr>
      <w:r>
        <w:rPr>
          <w:rFonts w:hint="eastAsia" w:ascii="宋体" w:hAnsi="宋体" w:cs="宋体"/>
          <w:sz w:val="24"/>
        </w:rPr>
        <w:t>供应商名称（盖章）：</w:t>
      </w:r>
    </w:p>
    <w:p>
      <w:pPr>
        <w:spacing w:line="560" w:lineRule="exact"/>
        <w:ind w:firstLine="4440" w:firstLineChars="1850"/>
        <w:jc w:val="right"/>
        <w:rPr>
          <w:rFonts w:hint="eastAsia" w:ascii="宋体" w:hAnsi="宋体" w:cs="宋体"/>
          <w:sz w:val="24"/>
        </w:rPr>
      </w:pPr>
      <w:r>
        <w:rPr>
          <w:rFonts w:hint="eastAsia" w:ascii="宋体" w:hAnsi="宋体" w:cs="宋体"/>
          <w:sz w:val="24"/>
        </w:rPr>
        <w:t xml:space="preserve"> </w:t>
      </w:r>
    </w:p>
    <w:p>
      <w:pPr>
        <w:spacing w:line="560" w:lineRule="exact"/>
        <w:ind w:firstLine="4680" w:firstLineChars="1950"/>
        <w:rPr>
          <w:rFonts w:hint="eastAsia" w:ascii="宋体" w:hAnsi="宋体" w:cs="宋体"/>
          <w:sz w:val="24"/>
        </w:rPr>
      </w:pPr>
      <w:r>
        <w:rPr>
          <w:rFonts w:hint="eastAsia" w:ascii="宋体" w:hAnsi="宋体" w:cs="宋体"/>
          <w:sz w:val="24"/>
        </w:rPr>
        <w:t>法定代表人或授权代表（签字）：</w:t>
      </w:r>
    </w:p>
    <w:p>
      <w:pPr>
        <w:spacing w:line="560" w:lineRule="exact"/>
        <w:rPr>
          <w:rFonts w:hint="eastAsia" w:ascii="宋体" w:hAnsi="宋体" w:cs="宋体"/>
          <w:sz w:val="24"/>
        </w:rPr>
      </w:pPr>
    </w:p>
    <w:p>
      <w:pPr>
        <w:spacing w:line="560" w:lineRule="exact"/>
        <w:ind w:firstLine="3240" w:firstLineChars="1350"/>
        <w:jc w:val="center"/>
        <w:rPr>
          <w:rFonts w:hint="eastAsia" w:ascii="宋体" w:hAnsi="宋体" w:cs="宋体"/>
          <w:b/>
          <w:sz w:val="24"/>
        </w:rPr>
      </w:pPr>
      <w:r>
        <w:rPr>
          <w:rFonts w:hint="eastAsia" w:ascii="宋体" w:hAnsi="宋体" w:cs="宋体"/>
          <w:sz w:val="24"/>
        </w:rPr>
        <w:t xml:space="preserve">    年  月  日</w:t>
      </w:r>
    </w:p>
    <w:p>
      <w:pPr>
        <w:spacing w:line="560" w:lineRule="exact"/>
        <w:ind w:firstLine="482"/>
        <w:rPr>
          <w:rFonts w:hint="eastAsia" w:ascii="宋体" w:hAnsi="宋体" w:cs="宋体"/>
          <w:b/>
          <w:sz w:val="24"/>
        </w:rPr>
      </w:pPr>
      <w:r>
        <w:rPr>
          <w:rFonts w:hint="eastAsia" w:ascii="宋体" w:hAnsi="宋体" w:cs="宋体"/>
          <w:b/>
          <w:sz w:val="24"/>
        </w:rPr>
        <w:t>注：1.如投标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且提供相关证明材料。</w:t>
      </w:r>
    </w:p>
    <w:p>
      <w:pPr>
        <w:pStyle w:val="19"/>
        <w:ind w:firstLine="482"/>
        <w:rPr>
          <w:rFonts w:hint="eastAsia" w:hAnsi="宋体"/>
          <w:b/>
          <w:spacing w:val="4"/>
          <w:sz w:val="30"/>
          <w:szCs w:val="30"/>
        </w:rPr>
      </w:pPr>
      <w:r>
        <w:rPr>
          <w:rFonts w:hint="eastAsia" w:ascii="宋体" w:cs="宋体"/>
          <w:b/>
          <w:sz w:val="24"/>
        </w:rPr>
        <w:t>2.类别填写：节能环保产品或环境标志产品。</w:t>
      </w:r>
    </w:p>
    <w:p>
      <w:pPr>
        <w:tabs>
          <w:tab w:val="left" w:pos="7839"/>
        </w:tabs>
        <w:rPr>
          <w:rFonts w:hAnsi="宋体"/>
        </w:rPr>
      </w:pPr>
    </w:p>
    <w:p>
      <w:pPr>
        <w:spacing w:after="0" w:line="446" w:lineRule="auto"/>
        <w:jc w:val="both"/>
        <w:rPr>
          <w:sz w:val="21"/>
        </w:rPr>
        <w:sectPr>
          <w:pgSz w:w="11910" w:h="16840"/>
          <w:pgMar w:top="1360" w:right="1100" w:bottom="960" w:left="1120" w:header="874" w:footer="779" w:gutter="0"/>
          <w:cols w:space="720" w:num="1"/>
        </w:sectPr>
      </w:pPr>
    </w:p>
    <w:p>
      <w:pPr>
        <w:pStyle w:val="14"/>
        <w:jc w:val="center"/>
        <w:rPr>
          <w:rFonts w:hint="eastAsia" w:ascii="宋体" w:hAnsi="宋体" w:cs="宋体"/>
          <w:b/>
          <w:sz w:val="32"/>
          <w:szCs w:val="22"/>
        </w:rPr>
      </w:pPr>
    </w:p>
    <w:p>
      <w:pPr>
        <w:rPr>
          <w:rFonts w:hint="eastAsia"/>
        </w:rPr>
      </w:pPr>
    </w:p>
    <w:p>
      <w:pPr>
        <w:pStyle w:val="14"/>
        <w:numPr>
          <w:ilvl w:val="0"/>
          <w:numId w:val="7"/>
        </w:numPr>
        <w:jc w:val="center"/>
        <w:rPr>
          <w:rFonts w:hint="eastAsia" w:ascii="宋体" w:hAnsi="宋体" w:cs="宋体"/>
          <w:b/>
          <w:sz w:val="32"/>
          <w:szCs w:val="22"/>
          <w:lang w:eastAsia="zh-CN"/>
        </w:rPr>
      </w:pPr>
      <w:r>
        <w:rPr>
          <w:rFonts w:hint="eastAsia" w:ascii="宋体" w:hAnsi="宋体" w:cs="宋体"/>
          <w:b/>
          <w:sz w:val="32"/>
          <w:szCs w:val="22"/>
          <w:lang w:eastAsia="zh-CN"/>
        </w:rPr>
        <w:t>供应商</w:t>
      </w:r>
      <w:r>
        <w:rPr>
          <w:rFonts w:hint="eastAsia" w:ascii="宋体" w:hAnsi="宋体" w:cs="宋体"/>
          <w:b/>
          <w:sz w:val="32"/>
          <w:szCs w:val="32"/>
        </w:rPr>
        <w:t>参加政府采购活动承诺书</w:t>
      </w:r>
    </w:p>
    <w:p>
      <w:pPr>
        <w:numPr>
          <w:ilvl w:val="0"/>
          <w:numId w:val="0"/>
        </w:numPr>
        <w:rPr>
          <w:rFonts w:hint="default" w:eastAsia="宋体"/>
          <w:lang w:val="en-US" w:eastAsia="zh-CN"/>
        </w:rPr>
      </w:pPr>
    </w:p>
    <w:p>
      <w:pPr>
        <w:pStyle w:val="3"/>
        <w:jc w:val="center"/>
        <w:rPr>
          <w:rFonts w:hint="eastAsia" w:hAnsi="宋体" w:cs="宋体"/>
          <w:b/>
          <w:szCs w:val="16"/>
        </w:rPr>
      </w:pPr>
      <w:r>
        <w:rPr>
          <w:rFonts w:hint="eastAsia" w:hAnsi="宋体" w:cs="宋体"/>
        </w:rPr>
        <w:t xml:space="preserve">  </w:t>
      </w:r>
      <w:r>
        <w:rPr>
          <w:rFonts w:hint="eastAsia" w:hAnsi="宋体" w:cs="宋体"/>
          <w:b/>
          <w:szCs w:val="16"/>
        </w:rPr>
        <w:t>陕西省政府采购投标人拒绝政府采购领域</w:t>
      </w:r>
    </w:p>
    <w:p>
      <w:pPr>
        <w:pStyle w:val="3"/>
        <w:jc w:val="center"/>
        <w:rPr>
          <w:rFonts w:hint="eastAsia" w:hAnsi="宋体" w:cs="宋体"/>
          <w:b/>
          <w:szCs w:val="16"/>
        </w:rPr>
      </w:pPr>
      <w:r>
        <w:rPr>
          <w:rFonts w:hint="eastAsia" w:hAnsi="宋体" w:cs="宋体"/>
          <w:b/>
          <w:szCs w:val="16"/>
        </w:rPr>
        <w:t>商业贿赂承诺书</w:t>
      </w:r>
    </w:p>
    <w:p>
      <w:pPr>
        <w:rPr>
          <w:rFonts w:hint="eastAsia" w:ascii="宋体" w:hAnsi="宋体" w:cs="宋体"/>
        </w:rPr>
      </w:pPr>
    </w:p>
    <w:p>
      <w:pPr>
        <w:spacing w:line="360" w:lineRule="auto"/>
        <w:ind w:firstLine="360" w:firstLineChars="150"/>
        <w:rPr>
          <w:rFonts w:hint="eastAsia"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2、不向政府采购单位、采购代理机构和政府采购评审专家进行任何形式的商业贿赂以谋取交易机会。</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3、不向政府采购代理机构和采购单位提供虚假资质文件或采用虚假应标方式参与政府采购市场竞争并谋取中标。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5、不采取不正当手段诋毁、排挤其他投标单位。</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6、不在提供商品和服务时“偷梁换柱、以次充好”损害采购单位的合法权益。</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7、不与采购单位、采购代理机构政府采购评审专家或其它投标单位恶意串通，进行质疑和投诉，维护政府采购市场秩序。</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8、尊重和接受政府采购监督管理部门的监督和政府采购代理机构招标采购要求，承担因违约行为给采购单位造成的损失。</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9、不发生其他有悖于政府采购公开、公平、公正和诚信原则的行为。</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承诺单位：（盖章）</w:t>
      </w:r>
    </w:p>
    <w:p>
      <w:pPr>
        <w:spacing w:line="360" w:lineRule="auto"/>
        <w:ind w:firstLine="360" w:firstLineChars="15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全权代表：（签字）</w:t>
      </w:r>
    </w:p>
    <w:p>
      <w:pPr>
        <w:spacing w:line="360" w:lineRule="auto"/>
        <w:ind w:firstLine="360" w:firstLineChars="15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地址：                              邮编：</w:t>
      </w:r>
    </w:p>
    <w:p>
      <w:pPr>
        <w:spacing w:line="360" w:lineRule="auto"/>
        <w:ind w:firstLine="480" w:firstLineChars="200"/>
        <w:rPr>
          <w:rFonts w:hint="eastAsia" w:ascii="宋体" w:hAnsi="宋体" w:cs="宋体"/>
          <w:sz w:val="24"/>
          <w:szCs w:val="28"/>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电话：</w:t>
      </w:r>
    </w:p>
    <w:p>
      <w:pPr>
        <w:spacing w:line="360" w:lineRule="auto"/>
        <w:ind w:right="480" w:firstLine="360" w:firstLineChars="150"/>
        <w:jc w:val="center"/>
        <w:rPr>
          <w:rFonts w:hint="eastAsia" w:ascii="宋体" w:hAnsi="宋体" w:cs="宋体"/>
          <w:sz w:val="24"/>
          <w:szCs w:val="28"/>
        </w:rPr>
      </w:pPr>
      <w:r>
        <w:rPr>
          <w:rFonts w:hint="eastAsia" w:ascii="宋体" w:hAnsi="宋体" w:cs="宋体"/>
          <w:sz w:val="24"/>
          <w:szCs w:val="28"/>
        </w:rPr>
        <w:t xml:space="preserve">                                                 年  月  日</w:t>
      </w:r>
    </w:p>
    <w:p>
      <w:pPr>
        <w:pStyle w:val="14"/>
        <w:jc w:val="center"/>
        <w:rPr>
          <w:rFonts w:hint="eastAsia" w:ascii="宋体" w:hAnsi="宋体" w:cs="宋体"/>
          <w:b/>
          <w:sz w:val="32"/>
          <w:szCs w:val="22"/>
        </w:rPr>
      </w:pPr>
    </w:p>
    <w:p>
      <w:pPr>
        <w:rPr>
          <w:rFonts w:hint="eastAsia" w:ascii="宋体" w:hAnsi="宋体" w:cs="宋体"/>
          <w:b/>
          <w:sz w:val="32"/>
          <w:szCs w:val="22"/>
        </w:rPr>
      </w:pPr>
    </w:p>
    <w:p>
      <w:pPr>
        <w:pStyle w:val="14"/>
        <w:jc w:val="center"/>
        <w:rPr>
          <w:rFonts w:hint="eastAsia" w:ascii="宋体" w:hAnsi="宋体" w:cs="宋体"/>
          <w:b/>
          <w:sz w:val="32"/>
          <w:szCs w:val="22"/>
        </w:rPr>
      </w:pPr>
    </w:p>
    <w:p>
      <w:pPr>
        <w:pStyle w:val="14"/>
        <w:jc w:val="center"/>
        <w:rPr>
          <w:rFonts w:hint="eastAsia" w:ascii="宋体" w:hAnsi="宋体" w:cs="宋体"/>
          <w:b/>
          <w:sz w:val="32"/>
          <w:szCs w:val="22"/>
        </w:rPr>
      </w:pPr>
    </w:p>
    <w:p>
      <w:pPr>
        <w:pStyle w:val="14"/>
        <w:jc w:val="center"/>
        <w:rPr>
          <w:rFonts w:hint="eastAsia" w:ascii="宋体" w:hAnsi="宋体" w:cs="宋体"/>
          <w:bCs/>
          <w:sz w:val="32"/>
          <w:szCs w:val="32"/>
          <w:lang w:val="en-US" w:eastAsia="zh-CN"/>
        </w:rPr>
      </w:pPr>
      <w:r>
        <w:rPr>
          <w:rFonts w:hint="eastAsia" w:ascii="宋体" w:hAnsi="宋体" w:cs="宋体"/>
          <w:b/>
          <w:sz w:val="32"/>
          <w:szCs w:val="22"/>
          <w:lang w:eastAsia="zh-CN"/>
        </w:rPr>
        <w:t>六、</w:t>
      </w:r>
      <w:r>
        <w:rPr>
          <w:rFonts w:hint="eastAsia" w:ascii="宋体" w:hAnsi="宋体" w:cs="宋体"/>
          <w:b/>
          <w:sz w:val="32"/>
          <w:szCs w:val="22"/>
        </w:rPr>
        <w:t>响应方案</w:t>
      </w:r>
    </w:p>
    <w:p>
      <w:pPr>
        <w:spacing w:line="580" w:lineRule="exact"/>
        <w:ind w:firstLine="480" w:firstLineChars="200"/>
        <w:rPr>
          <w:rFonts w:hint="eastAsia" w:ascii="宋体" w:hAnsi="宋体"/>
          <w:sz w:val="24"/>
          <w:szCs w:val="24"/>
        </w:rPr>
      </w:pPr>
      <w:r>
        <w:rPr>
          <w:rFonts w:hint="eastAsia" w:ascii="宋体" w:hAnsi="宋体"/>
          <w:sz w:val="24"/>
          <w:szCs w:val="24"/>
        </w:rPr>
        <w:t>按照竞争性谈判文件的要求编制的谈判</w:t>
      </w:r>
      <w:r>
        <w:rPr>
          <w:rFonts w:hint="eastAsia" w:ascii="宋体" w:hAnsi="宋体"/>
          <w:sz w:val="24"/>
          <w:szCs w:val="24"/>
          <w:lang w:eastAsia="zh-CN"/>
        </w:rPr>
        <w:t>供货</w:t>
      </w:r>
      <w:r>
        <w:rPr>
          <w:rFonts w:hint="eastAsia" w:ascii="宋体" w:hAnsi="宋体"/>
          <w:sz w:val="24"/>
          <w:szCs w:val="24"/>
        </w:rPr>
        <w:t>方案说明书，</w:t>
      </w:r>
      <w:r>
        <w:rPr>
          <w:rFonts w:hint="eastAsia" w:ascii="宋体" w:hAnsi="宋体"/>
          <w:b/>
          <w:sz w:val="24"/>
          <w:szCs w:val="24"/>
        </w:rPr>
        <w:t>至少应包括如下</w:t>
      </w:r>
      <w:r>
        <w:rPr>
          <w:rFonts w:hint="eastAsia" w:ascii="宋体" w:hAnsi="宋体"/>
          <w:sz w:val="24"/>
          <w:szCs w:val="24"/>
        </w:rPr>
        <w:t>：</w:t>
      </w:r>
    </w:p>
    <w:p>
      <w:pPr>
        <w:spacing w:line="540" w:lineRule="exact"/>
        <w:rPr>
          <w:rFonts w:hint="eastAsia" w:ascii="宋体" w:hAnsi="宋体"/>
          <w:sz w:val="24"/>
          <w:szCs w:val="24"/>
        </w:rPr>
      </w:pPr>
      <w:r>
        <w:rPr>
          <w:rFonts w:hint="eastAsia" w:ascii="宋体" w:hAnsi="宋体"/>
          <w:sz w:val="24"/>
          <w:szCs w:val="24"/>
        </w:rPr>
        <w:t>评审时除考虑谈判报价竞争有利性以外，还将考虑以下因素：</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1）技术说明书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1.1 完成项目的技术方案，要求供应商针对本项目的需求提出全面、完整的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技术方案；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1.2 所投产品的商标、型号、功能、技术规格等；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1.3 填写投标产品技术参数和要求偏差表（见附表）；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1.4 所投产品的质量标准、检测标准及相关认证等；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1.5 所投产品的彩页、检验报告；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1.6 技术规格优于或偏离招标要求的指标（如有）；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2）整体实施方案，要求供应商针对本项目的需求提出完成本项目，全面、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完整的整体实施方案，至少应包括：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2.1 供货一览表，服务范围和服务内容的详细说明；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2.2 整体组织部署项目的实施计划；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2.3 质量保证措施及承诺、培训方案、售后服务方案及承诺、响应时间、拟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为本项目配备的人员（承诺需经供应商代表签字并加盖公章）；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2.4 提供的维保服务点的名称、地址、电话联系人、应在谈判响应文件中说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明；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2.5 供应商完成本项目的保障能力；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2.6 验收依据、项目整体验收计划；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2.7 供应商服务承诺书； </w:t>
      </w:r>
    </w:p>
    <w:p>
      <w:pPr>
        <w:spacing w:line="58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2.8 供应商认为有必要说明的问题。</w:t>
      </w:r>
    </w:p>
    <w:p>
      <w:pPr>
        <w:pStyle w:val="36"/>
      </w:pPr>
    </w:p>
    <w:bookmarkEnd w:id="337"/>
    <w:bookmarkEnd w:id="338"/>
    <w:bookmarkEnd w:id="339"/>
    <w:bookmarkEnd w:id="340"/>
    <w:bookmarkEnd w:id="341"/>
    <w:bookmarkEnd w:id="342"/>
    <w:bookmarkEnd w:id="343"/>
    <w:p>
      <w:pPr>
        <w:pStyle w:val="11"/>
        <w:jc w:val="center"/>
        <w:rPr>
          <w:rFonts w:hint="eastAsia" w:ascii="宋体" w:hAnsi="宋体" w:cs="宋体"/>
          <w:b/>
          <w:color w:val="000000"/>
          <w:sz w:val="32"/>
          <w:szCs w:val="32"/>
        </w:rPr>
      </w:pPr>
    </w:p>
    <w:p>
      <w:pPr>
        <w:pStyle w:val="11"/>
        <w:jc w:val="center"/>
        <w:rPr>
          <w:rFonts w:ascii="宋体" w:hAnsi="宋体" w:cs="宋体"/>
          <w:b/>
          <w:color w:val="000000"/>
          <w:sz w:val="32"/>
          <w:szCs w:val="32"/>
        </w:rPr>
      </w:pPr>
      <w:r>
        <w:rPr>
          <w:rFonts w:hint="eastAsia" w:ascii="宋体" w:hAnsi="宋体" w:cs="宋体"/>
          <w:b/>
          <w:color w:val="000000"/>
          <w:sz w:val="32"/>
          <w:szCs w:val="32"/>
          <w:lang w:eastAsia="zh-CN"/>
        </w:rPr>
        <w:t>七、</w:t>
      </w:r>
      <w:r>
        <w:rPr>
          <w:rFonts w:hint="eastAsia" w:ascii="宋体" w:hAnsi="宋体" w:cs="宋体"/>
          <w:b/>
          <w:color w:val="000000"/>
          <w:sz w:val="32"/>
          <w:szCs w:val="32"/>
        </w:rPr>
        <w:t>商务</w:t>
      </w:r>
      <w:r>
        <w:rPr>
          <w:rFonts w:hint="eastAsia" w:ascii="宋体" w:hAnsi="宋体" w:cs="宋体"/>
          <w:b/>
          <w:color w:val="000000"/>
          <w:sz w:val="32"/>
          <w:szCs w:val="32"/>
          <w:lang w:eastAsia="zh-CN"/>
        </w:rPr>
        <w:t>响应</w:t>
      </w:r>
      <w:r>
        <w:rPr>
          <w:rFonts w:hint="eastAsia" w:ascii="宋体" w:hAnsi="宋体" w:cs="宋体"/>
          <w:b/>
          <w:color w:val="000000"/>
          <w:sz w:val="32"/>
          <w:szCs w:val="32"/>
        </w:rPr>
        <w:t xml:space="preserve">表 </w:t>
      </w:r>
    </w:p>
    <w:p>
      <w:pPr>
        <w:spacing w:line="360" w:lineRule="auto"/>
        <w:ind w:firstLine="240" w:firstLineChars="100"/>
        <w:rPr>
          <w:rFonts w:ascii="宋体" w:hAnsi="宋体" w:cs="宋体"/>
          <w:color w:val="000000"/>
          <w:sz w:val="24"/>
          <w:u w:val="single"/>
        </w:rPr>
      </w:pPr>
      <w:r>
        <w:rPr>
          <w:rFonts w:hint="eastAsia" w:ascii="宋体" w:hAnsi="宋体" w:cs="宋体"/>
          <w:color w:val="000000"/>
          <w:sz w:val="24"/>
        </w:rPr>
        <w:t>供应商名称：                             采购项目编号：</w:t>
      </w:r>
    </w:p>
    <w:tbl>
      <w:tblPr>
        <w:tblStyle w:val="20"/>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1"/>
        <w:gridCol w:w="2931"/>
        <w:gridCol w:w="3231"/>
        <w:gridCol w:w="807"/>
        <w:gridCol w:w="10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751" w:type="dxa"/>
          </w:tcPr>
          <w:p>
            <w:pPr>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2931" w:type="dxa"/>
          </w:tcPr>
          <w:p>
            <w:pPr>
              <w:spacing w:line="360" w:lineRule="auto"/>
              <w:jc w:val="center"/>
              <w:rPr>
                <w:rFonts w:ascii="宋体" w:hAnsi="宋体" w:cs="宋体"/>
                <w:b/>
                <w:color w:val="000000"/>
                <w:sz w:val="24"/>
              </w:rPr>
            </w:pPr>
            <w:r>
              <w:rPr>
                <w:rFonts w:hint="eastAsia" w:ascii="宋体" w:hAnsi="宋体" w:cs="宋体"/>
                <w:b/>
                <w:color w:val="000000"/>
                <w:sz w:val="24"/>
              </w:rPr>
              <w:t>竞争性谈判文件商务要求</w:t>
            </w:r>
          </w:p>
        </w:tc>
        <w:tc>
          <w:tcPr>
            <w:tcW w:w="3231" w:type="dxa"/>
          </w:tcPr>
          <w:p>
            <w:pPr>
              <w:spacing w:line="360" w:lineRule="auto"/>
              <w:jc w:val="center"/>
              <w:rPr>
                <w:rFonts w:ascii="宋体" w:hAnsi="宋体" w:cs="宋体"/>
                <w:b/>
                <w:color w:val="000000"/>
                <w:sz w:val="24"/>
              </w:rPr>
            </w:pPr>
            <w:r>
              <w:rPr>
                <w:rFonts w:hint="eastAsia" w:ascii="宋体" w:hAnsi="宋体" w:cs="宋体"/>
                <w:b/>
                <w:color w:val="000000"/>
                <w:sz w:val="24"/>
              </w:rPr>
              <w:t>竞争性谈判响应文件商务响应</w:t>
            </w:r>
          </w:p>
        </w:tc>
        <w:tc>
          <w:tcPr>
            <w:tcW w:w="807" w:type="dxa"/>
          </w:tcPr>
          <w:p>
            <w:pPr>
              <w:spacing w:line="360" w:lineRule="auto"/>
              <w:jc w:val="center"/>
              <w:rPr>
                <w:rFonts w:ascii="宋体" w:hAnsi="宋体" w:cs="宋体"/>
                <w:b/>
                <w:color w:val="000000"/>
                <w:sz w:val="24"/>
              </w:rPr>
            </w:pPr>
            <w:r>
              <w:rPr>
                <w:rFonts w:hint="eastAsia" w:ascii="宋体" w:hAnsi="宋体" w:cs="宋体"/>
                <w:b/>
                <w:color w:val="000000"/>
                <w:sz w:val="24"/>
              </w:rPr>
              <w:t>偏离</w:t>
            </w:r>
          </w:p>
        </w:tc>
        <w:tc>
          <w:tcPr>
            <w:tcW w:w="1072" w:type="dxa"/>
          </w:tcPr>
          <w:p>
            <w:pPr>
              <w:spacing w:line="360" w:lineRule="auto"/>
              <w:jc w:val="center"/>
              <w:rPr>
                <w:rFonts w:ascii="宋体" w:hAnsi="宋体" w:cs="宋体"/>
                <w:b/>
                <w:color w:val="000000"/>
                <w:sz w:val="24"/>
              </w:rPr>
            </w:pPr>
            <w:r>
              <w:rPr>
                <w:rFonts w:hint="eastAsia" w:ascii="宋体" w:hAnsi="宋体" w:cs="宋体"/>
                <w:b/>
                <w:color w:val="000000"/>
                <w:sz w:val="24"/>
              </w:rPr>
              <w:t>响应</w:t>
            </w:r>
            <w:r>
              <w:rPr>
                <w:rFonts w:hint="eastAsia" w:ascii="宋体" w:hAnsi="宋体" w:cs="宋体"/>
                <w:b/>
                <w:color w:val="000000"/>
                <w:sz w:val="24"/>
                <w:szCs w:val="22"/>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tcPr>
          <w:p>
            <w:pPr>
              <w:spacing w:line="360" w:lineRule="auto"/>
              <w:jc w:val="center"/>
              <w:rPr>
                <w:rFonts w:ascii="宋体" w:hAnsi="宋体" w:cs="宋体"/>
                <w:color w:val="000000"/>
                <w:sz w:val="24"/>
              </w:rPr>
            </w:pPr>
          </w:p>
        </w:tc>
        <w:tc>
          <w:tcPr>
            <w:tcW w:w="2931" w:type="dxa"/>
          </w:tcPr>
          <w:p>
            <w:pPr>
              <w:spacing w:line="360" w:lineRule="auto"/>
              <w:jc w:val="center"/>
              <w:rPr>
                <w:rFonts w:ascii="宋体" w:hAnsi="宋体" w:cs="宋体"/>
                <w:color w:val="000000"/>
                <w:sz w:val="24"/>
              </w:rPr>
            </w:pPr>
          </w:p>
        </w:tc>
        <w:tc>
          <w:tcPr>
            <w:tcW w:w="3231" w:type="dxa"/>
          </w:tcPr>
          <w:p>
            <w:pPr>
              <w:spacing w:line="360" w:lineRule="auto"/>
              <w:jc w:val="center"/>
              <w:rPr>
                <w:rFonts w:ascii="宋体" w:hAnsi="宋体" w:cs="宋体"/>
                <w:color w:val="000000"/>
                <w:sz w:val="24"/>
              </w:rPr>
            </w:pPr>
          </w:p>
        </w:tc>
        <w:tc>
          <w:tcPr>
            <w:tcW w:w="807" w:type="dxa"/>
          </w:tcPr>
          <w:p>
            <w:pPr>
              <w:spacing w:line="360" w:lineRule="auto"/>
              <w:jc w:val="center"/>
              <w:rPr>
                <w:rFonts w:ascii="宋体" w:hAnsi="宋体" w:cs="宋体"/>
                <w:color w:val="000000"/>
                <w:sz w:val="24"/>
              </w:rPr>
            </w:pPr>
          </w:p>
        </w:tc>
        <w:tc>
          <w:tcPr>
            <w:tcW w:w="1072" w:type="dxa"/>
          </w:tcPr>
          <w:p>
            <w:pPr>
              <w:spacing w:line="360" w:lineRule="auto"/>
              <w:jc w:val="center"/>
              <w:rPr>
                <w:rFonts w:ascii="宋体" w:hAnsi="宋体" w:cs="宋体"/>
                <w:color w:val="000000"/>
                <w:sz w:val="24"/>
              </w:rPr>
            </w:pPr>
          </w:p>
        </w:tc>
      </w:tr>
    </w:tbl>
    <w:p>
      <w:pPr>
        <w:spacing w:line="360" w:lineRule="auto"/>
        <w:ind w:right="-161"/>
        <w:rPr>
          <w:rFonts w:ascii="宋体" w:hAnsi="宋体" w:cs="宋体"/>
          <w:color w:val="000000"/>
          <w:sz w:val="24"/>
        </w:rPr>
      </w:pPr>
      <w:r>
        <w:rPr>
          <w:rFonts w:hint="eastAsia" w:ascii="宋体" w:hAnsi="宋体" w:cs="宋体"/>
          <w:color w:val="000000"/>
          <w:sz w:val="24"/>
        </w:rPr>
        <w:t>说明：</w:t>
      </w:r>
    </w:p>
    <w:p>
      <w:pPr>
        <w:spacing w:line="360" w:lineRule="auto"/>
        <w:ind w:right="-161"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谈判响应文件</w:t>
      </w:r>
      <w:r>
        <w:rPr>
          <w:rFonts w:hint="eastAsia" w:ascii="宋体" w:hAnsi="宋体" w:cs="宋体"/>
          <w:color w:val="000000"/>
          <w:sz w:val="24"/>
        </w:rPr>
        <w:t>根据第五部分商务要求如实填写；</w:t>
      </w:r>
    </w:p>
    <w:p>
      <w:pPr>
        <w:spacing w:line="360" w:lineRule="auto"/>
        <w:ind w:right="-161" w:firstLine="480" w:firstLineChars="200"/>
        <w:rPr>
          <w:rFonts w:ascii="宋体" w:hAnsi="宋体" w:cs="宋体"/>
          <w:color w:val="000000"/>
          <w:sz w:val="24"/>
        </w:rPr>
      </w:pPr>
      <w:r>
        <w:rPr>
          <w:rFonts w:hint="eastAsia" w:ascii="宋体" w:hAnsi="宋体" w:cs="宋体"/>
          <w:color w:val="000000"/>
          <w:sz w:val="24"/>
        </w:rPr>
        <w:t>2、偏离填写：优于、相同、低于；</w:t>
      </w:r>
    </w:p>
    <w:p>
      <w:pPr>
        <w:spacing w:line="360" w:lineRule="auto"/>
        <w:ind w:right="-161" w:firstLine="480" w:firstLineChars="200"/>
      </w:pPr>
      <w:r>
        <w:rPr>
          <w:rFonts w:hint="eastAsia" w:ascii="宋体" w:hAnsi="宋体" w:cs="宋体"/>
          <w:color w:val="000000"/>
          <w:sz w:val="24"/>
        </w:rPr>
        <w:t xml:space="preserve">3、响应说明填写：对偏离做出详细的说明。 </w:t>
      </w:r>
      <w:r>
        <w:rPr>
          <w:rFonts w:hint="eastAsia" w:ascii="宋体" w:hAnsi="宋体" w:cs="宋体"/>
          <w:sz w:val="24"/>
        </w:rPr>
        <w:t xml:space="preserve"> </w:t>
      </w:r>
    </w:p>
    <w:p>
      <w:pPr>
        <w:spacing w:line="360" w:lineRule="auto"/>
        <w:ind w:right="-161" w:firstLine="2640" w:firstLineChars="1100"/>
        <w:rPr>
          <w:rFonts w:ascii="宋体" w:hAnsi="宋体" w:cs="宋体"/>
          <w:color w:val="000000"/>
          <w:sz w:val="24"/>
          <w:szCs w:val="24"/>
        </w:rPr>
      </w:pPr>
    </w:p>
    <w:p>
      <w:pPr>
        <w:spacing w:line="480" w:lineRule="auto"/>
        <w:ind w:right="-161" w:firstLine="2640" w:firstLineChars="1100"/>
        <w:rPr>
          <w:rFonts w:ascii="宋体" w:hAnsi="宋体" w:cs="仿宋_GB2312"/>
          <w:sz w:val="24"/>
          <w:szCs w:val="24"/>
          <w:u w:val="single"/>
        </w:rPr>
      </w:pPr>
      <w:r>
        <w:rPr>
          <w:rFonts w:hint="eastAsia" w:ascii="宋体" w:hAnsi="宋体" w:cs="宋体"/>
          <w:sz w:val="24"/>
          <w:szCs w:val="24"/>
        </w:rPr>
        <w:t>法定代表人或被授权代表（</w:t>
      </w:r>
      <w:r>
        <w:rPr>
          <w:rFonts w:hint="eastAsia" w:ascii="宋体" w:hAnsi="宋体" w:cs="宋体"/>
          <w:sz w:val="24"/>
        </w:rPr>
        <w:t>签字或盖章</w:t>
      </w:r>
      <w:r>
        <w:rPr>
          <w:rFonts w:hint="eastAsia" w:ascii="宋体" w:hAnsi="宋体" w:cs="宋体"/>
          <w:sz w:val="24"/>
          <w:szCs w:val="24"/>
        </w:rPr>
        <w:t>）</w:t>
      </w:r>
      <w:r>
        <w:rPr>
          <w:rFonts w:hint="eastAsia" w:ascii="宋体" w:hAnsi="宋体" w:cs="仿宋_GB2312"/>
          <w:sz w:val="24"/>
          <w:szCs w:val="24"/>
        </w:rPr>
        <w:t>：</w:t>
      </w:r>
      <w:r>
        <w:rPr>
          <w:rFonts w:hint="eastAsia" w:ascii="宋体" w:hAnsi="宋体" w:cs="仿宋_GB2312"/>
          <w:sz w:val="24"/>
          <w:szCs w:val="24"/>
          <w:u w:val="single"/>
        </w:rPr>
        <w:t xml:space="preserve">                      </w:t>
      </w:r>
    </w:p>
    <w:p>
      <w:pPr>
        <w:spacing w:line="480" w:lineRule="auto"/>
        <w:ind w:right="-161" w:firstLine="2640" w:firstLineChars="1100"/>
        <w:rPr>
          <w:rFonts w:ascii="宋体" w:hAnsi="宋体" w:cs="仿宋_GB2312"/>
          <w:sz w:val="24"/>
          <w:szCs w:val="24"/>
        </w:rPr>
      </w:pPr>
      <w:r>
        <w:rPr>
          <w:rFonts w:hint="eastAsia" w:ascii="宋体" w:hAnsi="宋体" w:cs="仿宋_GB2312"/>
          <w:sz w:val="24"/>
          <w:szCs w:val="24"/>
          <w:lang w:eastAsia="zh-CN"/>
        </w:rPr>
        <w:t>供应商（</w:t>
      </w:r>
      <w:r>
        <w:rPr>
          <w:rFonts w:hint="eastAsia" w:ascii="宋体" w:hAnsi="宋体" w:cs="仿宋_GB2312"/>
          <w:sz w:val="24"/>
          <w:szCs w:val="24"/>
        </w:rPr>
        <w:t xml:space="preserve"> 公  章</w:t>
      </w:r>
      <w:r>
        <w:rPr>
          <w:rFonts w:hint="eastAsia" w:ascii="宋体" w:hAnsi="宋体" w:cs="仿宋_GB2312"/>
          <w:sz w:val="24"/>
          <w:szCs w:val="24"/>
          <w:lang w:eastAsia="zh-CN"/>
        </w:rPr>
        <w:t>）</w:t>
      </w:r>
      <w:r>
        <w:rPr>
          <w:rFonts w:hint="eastAsia" w:ascii="宋体" w:hAnsi="宋体" w:cs="仿宋_GB2312"/>
          <w:sz w:val="24"/>
          <w:szCs w:val="24"/>
        </w:rPr>
        <w:t xml:space="preserve"> ：</w:t>
      </w:r>
      <w:r>
        <w:rPr>
          <w:rFonts w:hint="eastAsia" w:ascii="宋体" w:hAnsi="宋体" w:cs="仿宋_GB2312"/>
          <w:sz w:val="24"/>
          <w:szCs w:val="24"/>
          <w:u w:val="single"/>
        </w:rPr>
        <w:t xml:space="preserve">                      </w:t>
      </w:r>
    </w:p>
    <w:p>
      <w:pPr>
        <w:spacing w:line="480" w:lineRule="auto"/>
        <w:ind w:right="480" w:firstLine="2640" w:firstLineChars="1100"/>
        <w:rPr>
          <w:rFonts w:hint="eastAsia" w:ascii="宋体" w:hAnsi="宋体" w:cs="仿宋_GB2312"/>
          <w:sz w:val="24"/>
          <w:szCs w:val="24"/>
          <w:u w:val="single"/>
        </w:rPr>
      </w:pPr>
      <w:r>
        <w:rPr>
          <w:rFonts w:hint="eastAsia" w:ascii="宋体" w:hAnsi="宋体" w:cs="仿宋_GB2312"/>
          <w:sz w:val="24"/>
          <w:szCs w:val="24"/>
        </w:rPr>
        <w:t>日              期：</w:t>
      </w:r>
      <w:r>
        <w:rPr>
          <w:rFonts w:hint="eastAsia" w:ascii="宋体" w:hAnsi="宋体" w:cs="仿宋_GB2312"/>
          <w:sz w:val="24"/>
          <w:szCs w:val="24"/>
          <w:u w:val="single"/>
        </w:rPr>
        <w:t xml:space="preserve">                   </w:t>
      </w:r>
      <w:bookmarkStart w:id="364" w:name="_Hlt491765868"/>
      <w:bookmarkEnd w:id="364"/>
      <w:bookmarkStart w:id="365" w:name="_Hlt491572882"/>
      <w:bookmarkEnd w:id="365"/>
      <w:bookmarkStart w:id="366" w:name="_Hlt491765944"/>
      <w:bookmarkEnd w:id="366"/>
      <w:bookmarkStart w:id="367" w:name="_Hlt491573425"/>
      <w:bookmarkEnd w:id="367"/>
      <w:bookmarkStart w:id="368" w:name="_Hlt491766019"/>
      <w:bookmarkEnd w:id="368"/>
    </w:p>
    <w:p>
      <w:pPr>
        <w:pStyle w:val="11"/>
        <w:rPr>
          <w:rFonts w:hint="eastAsia" w:ascii="宋体" w:hAnsi="宋体" w:cs="仿宋_GB2312"/>
          <w:sz w:val="24"/>
          <w:szCs w:val="24"/>
          <w:u w:val="single"/>
        </w:rPr>
      </w:pPr>
    </w:p>
    <w:p>
      <w:pPr>
        <w:rPr>
          <w:rFonts w:hint="eastAsia" w:ascii="宋体" w:hAnsi="宋体" w:cs="仿宋_GB2312"/>
          <w:sz w:val="24"/>
          <w:szCs w:val="24"/>
          <w:u w:val="single"/>
        </w:rPr>
      </w:pPr>
    </w:p>
    <w:p>
      <w:pPr>
        <w:pStyle w:val="11"/>
        <w:rPr>
          <w:rFonts w:hint="eastAsia" w:ascii="宋体" w:hAnsi="宋体" w:cs="仿宋_GB2312"/>
          <w:sz w:val="24"/>
          <w:szCs w:val="24"/>
          <w:u w:val="single"/>
        </w:rPr>
      </w:pPr>
    </w:p>
    <w:p>
      <w:pPr>
        <w:spacing w:line="480" w:lineRule="auto"/>
        <w:ind w:right="-161"/>
        <w:jc w:val="center"/>
        <w:rPr>
          <w:rFonts w:hint="eastAsia" w:ascii="宋体" w:hAnsi="宋体" w:cs="宋体"/>
          <w:b/>
          <w:bCs/>
          <w:sz w:val="30"/>
          <w:szCs w:val="30"/>
        </w:rPr>
      </w:pPr>
      <w:r>
        <w:rPr>
          <w:rFonts w:hint="eastAsia" w:ascii="宋体" w:hAnsi="宋体" w:cs="宋体"/>
          <w:b/>
          <w:bCs/>
          <w:sz w:val="30"/>
          <w:szCs w:val="30"/>
          <w:lang w:eastAsia="zh-CN"/>
        </w:rPr>
        <w:t>八、</w:t>
      </w:r>
      <w:r>
        <w:rPr>
          <w:rFonts w:hint="eastAsia" w:ascii="宋体" w:hAnsi="宋体" w:cs="宋体"/>
          <w:b/>
          <w:bCs/>
          <w:sz w:val="30"/>
          <w:szCs w:val="30"/>
        </w:rPr>
        <w:t>规格技术参数偏离表</w:t>
      </w:r>
    </w:p>
    <w:p>
      <w:pPr>
        <w:rPr>
          <w:rFonts w:hint="eastAsia" w:ascii="宋体" w:hAnsi="宋体" w:cs="宋体"/>
        </w:rPr>
      </w:pPr>
    </w:p>
    <w:p>
      <w:pPr>
        <w:spacing w:line="360" w:lineRule="auto"/>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采购项目编号：</w:t>
      </w:r>
      <w:r>
        <w:rPr>
          <w:rFonts w:hint="eastAsia" w:ascii="宋体" w:hAnsi="宋体" w:cs="宋体"/>
          <w:sz w:val="24"/>
          <w:u w:val="single"/>
        </w:rPr>
        <w:t xml:space="preserve">             </w:t>
      </w:r>
      <w:r>
        <w:rPr>
          <w:rFonts w:hint="eastAsia" w:ascii="宋体" w:hAnsi="宋体" w:cs="宋体"/>
          <w:sz w:val="24"/>
        </w:rPr>
        <w:t xml:space="preserve">                             </w:t>
      </w:r>
    </w:p>
    <w:tbl>
      <w:tblPr>
        <w:tblStyle w:val="20"/>
        <w:tblW w:w="96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325"/>
        <w:gridCol w:w="1969"/>
        <w:gridCol w:w="2404"/>
        <w:gridCol w:w="1559"/>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内容</w:t>
            </w:r>
          </w:p>
        </w:tc>
        <w:tc>
          <w:tcPr>
            <w:tcW w:w="1969"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采购需求</w:t>
            </w:r>
          </w:p>
        </w:tc>
        <w:tc>
          <w:tcPr>
            <w:tcW w:w="2404"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投标响应</w:t>
            </w:r>
          </w:p>
        </w:tc>
        <w:tc>
          <w:tcPr>
            <w:tcW w:w="1559"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偏离情况</w:t>
            </w:r>
          </w:p>
        </w:tc>
        <w:tc>
          <w:tcPr>
            <w:tcW w:w="1417"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偏离说明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center"/>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top"/>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top"/>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top"/>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top"/>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top"/>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top"/>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top"/>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top"/>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top"/>
          </w:tcPr>
          <w:p>
            <w:pPr>
              <w:spacing w:line="360" w:lineRule="auto"/>
              <w:jc w:val="center"/>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cs="宋体"/>
                <w:sz w:val="24"/>
              </w:rPr>
            </w:pPr>
          </w:p>
        </w:tc>
        <w:tc>
          <w:tcPr>
            <w:tcW w:w="1969" w:type="dxa"/>
            <w:noWrap w:val="0"/>
            <w:vAlign w:val="center"/>
          </w:tcPr>
          <w:p>
            <w:pPr>
              <w:spacing w:line="360" w:lineRule="auto"/>
              <w:jc w:val="center"/>
              <w:rPr>
                <w:rFonts w:hint="eastAsia" w:ascii="宋体" w:hAnsi="宋体" w:cs="宋体"/>
                <w:sz w:val="24"/>
              </w:rPr>
            </w:pPr>
          </w:p>
        </w:tc>
        <w:tc>
          <w:tcPr>
            <w:tcW w:w="2404" w:type="dxa"/>
            <w:noWrap w:val="0"/>
            <w:vAlign w:val="center"/>
          </w:tcPr>
          <w:p>
            <w:pPr>
              <w:spacing w:line="360" w:lineRule="auto"/>
              <w:jc w:val="center"/>
              <w:rPr>
                <w:rFonts w:hint="eastAsia" w:ascii="宋体" w:hAnsi="宋体" w:cs="宋体"/>
                <w:sz w:val="24"/>
              </w:rPr>
            </w:pPr>
          </w:p>
        </w:tc>
        <w:tc>
          <w:tcPr>
            <w:tcW w:w="1559" w:type="dxa"/>
            <w:noWrap w:val="0"/>
            <w:vAlign w:val="center"/>
          </w:tcPr>
          <w:p>
            <w:pPr>
              <w:spacing w:line="360" w:lineRule="auto"/>
              <w:jc w:val="center"/>
              <w:rPr>
                <w:rFonts w:hint="eastAsia" w:ascii="宋体" w:hAnsi="宋体" w:cs="宋体"/>
                <w:sz w:val="24"/>
              </w:rPr>
            </w:pPr>
          </w:p>
        </w:tc>
        <w:tc>
          <w:tcPr>
            <w:tcW w:w="1417" w:type="dxa"/>
            <w:noWrap w:val="0"/>
            <w:vAlign w:val="top"/>
          </w:tcPr>
          <w:p>
            <w:pPr>
              <w:spacing w:line="360" w:lineRule="auto"/>
              <w:jc w:val="center"/>
              <w:rPr>
                <w:rFonts w:hint="eastAsia" w:ascii="宋体" w:hAnsi="宋体" w:cs="宋体"/>
                <w:sz w:val="24"/>
              </w:rPr>
            </w:pPr>
          </w:p>
        </w:tc>
      </w:tr>
    </w:tbl>
    <w:p>
      <w:pPr>
        <w:pStyle w:val="3"/>
        <w:spacing w:line="360" w:lineRule="auto"/>
        <w:rPr>
          <w:rFonts w:hint="eastAsia" w:hAnsi="宋体" w:cs="宋体"/>
        </w:rPr>
      </w:pPr>
      <w:r>
        <w:rPr>
          <w:rFonts w:hint="eastAsia" w:hAnsi="宋体" w:cs="宋体"/>
        </w:rPr>
        <w:t>说明：</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1、请按项目的实际技术参数，逐条对应招标文件的“采购内容及要求”，认真填写本表。偏离情况填写：优于、等于或低于，偏离说明对偏离情况做出详细说明。</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2、投标人应按实际情况填写。</w:t>
      </w:r>
    </w:p>
    <w:p>
      <w:pPr>
        <w:spacing w:line="360" w:lineRule="auto"/>
        <w:ind w:right="-161"/>
        <w:jc w:val="center"/>
        <w:rPr>
          <w:rFonts w:hint="eastAsia"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法人代表</w:t>
      </w:r>
      <w:r>
        <w:rPr>
          <w:rFonts w:hint="eastAsia" w:ascii="宋体" w:hAnsi="宋体" w:cs="宋体"/>
          <w:sz w:val="24"/>
          <w:lang w:eastAsia="zh-CN"/>
        </w:rPr>
        <w:t>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lang w:bidi="ar"/>
        </w:rPr>
        <w:t>（</w:t>
      </w:r>
      <w:r>
        <w:rPr>
          <w:rFonts w:hint="eastAsia" w:ascii="宋体" w:hAnsi="宋体" w:cs="宋体"/>
          <w:kern w:val="0"/>
          <w:sz w:val="24"/>
          <w:lang w:eastAsia="zh-CN" w:bidi="ar"/>
        </w:rPr>
        <w:t>签章</w:t>
      </w:r>
      <w:r>
        <w:rPr>
          <w:rFonts w:hint="eastAsia" w:ascii="宋体" w:hAnsi="宋体" w:cs="宋体"/>
          <w:kern w:val="0"/>
          <w:sz w:val="24"/>
          <w:lang w:bidi="ar"/>
        </w:rPr>
        <w:t>）</w:t>
      </w:r>
    </w:p>
    <w:p>
      <w:pPr>
        <w:widowControl/>
        <w:spacing w:line="360" w:lineRule="auto"/>
        <w:jc w:val="center"/>
        <w:rPr>
          <w:rFonts w:hint="eastAsia" w:ascii="宋体" w:hAnsi="宋体" w:cs="宋体"/>
          <w:sz w:val="24"/>
          <w:u w:val="single"/>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投标人  ：</w:t>
      </w:r>
      <w:r>
        <w:rPr>
          <w:rFonts w:hint="eastAsia" w:ascii="宋体" w:hAnsi="宋体" w:cs="宋体"/>
          <w:sz w:val="24"/>
          <w:u w:val="single"/>
        </w:rPr>
        <w:t xml:space="preserve">                </w:t>
      </w:r>
      <w:r>
        <w:rPr>
          <w:rFonts w:hint="eastAsia" w:ascii="宋体" w:hAnsi="宋体" w:cs="宋体"/>
          <w:kern w:val="0"/>
          <w:sz w:val="24"/>
          <w:lang w:bidi="ar"/>
        </w:rPr>
        <w:t xml:space="preserve">（盖单位章） </w:t>
      </w:r>
    </w:p>
    <w:p>
      <w:pPr>
        <w:spacing w:line="360" w:lineRule="auto"/>
        <w:ind w:firstLine="2880" w:firstLineChars="1200"/>
        <w:rPr>
          <w:rFonts w:hint="eastAsia" w:ascii="宋体" w:hAnsi="宋体" w:cs="宋体"/>
          <w:b/>
          <w:sz w:val="32"/>
          <w:szCs w:val="22"/>
        </w:rPr>
      </w:pPr>
      <w:r>
        <w:rPr>
          <w:rFonts w:hint="eastAsia" w:ascii="宋体" w:hAnsi="宋体" w:cs="宋体"/>
          <w:sz w:val="24"/>
        </w:rPr>
        <w:t>日     期：</w:t>
      </w:r>
      <w:r>
        <w:rPr>
          <w:rFonts w:hint="eastAsia" w:ascii="宋体" w:hAnsi="宋体" w:cs="宋体"/>
          <w:sz w:val="24"/>
          <w:u w:val="single"/>
        </w:rPr>
        <w:t xml:space="preserve">                      </w:t>
      </w:r>
    </w:p>
    <w:p/>
    <w:sectPr>
      <w:pgSz w:w="11906" w:h="16838"/>
      <w:pgMar w:top="1157" w:right="1703" w:bottom="1157" w:left="1701"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思源宋体 CN Light">
    <w:altName w:val="宋体"/>
    <w:panose1 w:val="020203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22"/>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22"/>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22"/>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22"/>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 xml:space="preserve">                                             </w:t>
    </w:r>
    <w:r>
      <w:rPr>
        <w:rFonts w:hint="eastAsia"/>
        <w:sz w:val="16"/>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napToGrid w:val="0"/>
      <w:jc w:val="center"/>
      <w:textAlignment w:val="baseline"/>
      <w:rPr>
        <w:rStyle w:val="41"/>
        <w:rFonts w:ascii="Times New Roman" w:hAnsi="Times New Roman" w:eastAsia="宋体"/>
        <w:kern w:val="2"/>
        <w:sz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mc:Fallback>
      </mc:AlternateContent>
    </w:r>
    <w:r>
      <w:rPr>
        <w:rStyle w:val="41"/>
        <w:rFonts w:ascii="Times New Roman" w:hAnsi="Times New Roman" w:eastAsia="宋体"/>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widowControl/>
                            <w:snapToGrid w:val="0"/>
                            <w:jc w:val="left"/>
                            <w:textAlignment w:val="baseline"/>
                            <w:rPr>
                              <w:rStyle w:val="41"/>
                              <w:rFonts w:ascii="Times New Roman" w:hAnsi="Times New Roman" w:eastAsia="宋体"/>
                              <w:kern w:val="2"/>
                              <w:sz w:val="18"/>
                              <w:lang w:val="en-US" w:eastAsia="zh-CN" w:bidi="ar-SA"/>
                            </w:rPr>
                          </w:pPr>
                        </w:p>
                        <w:p>
                          <w:pPr>
                            <w:widowControl/>
                            <w:textAlignment w:val="baseline"/>
                            <w:rPr>
                              <w:rStyle w:val="41"/>
                            </w:rPr>
                          </w:pPr>
                        </w:p>
                      </w:txbxContent>
                    </wps:txbx>
                    <wps:bodyPr lIns="0" tIns="0" rIns="0" bIns="0" anchor="t" anchorCtr="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ZpPZA0gAAAAUBAAAPAAAAAAAAAAEAIAAAACIAAABkcnMvZG93bnJldi54bWxQSwEC&#10;FAAUAAAACACHTuJASOR7ssEBAACNAwAADgAAAAAAAAABACAAAAAhAQAAZHJzL2Uyb0RvYy54bWxQ&#10;SwUGAAAAAAYABgBZAQAAVAUAAAAA&#10;">
              <v:fill on="f" focussize="0,0"/>
              <v:stroke on="f"/>
              <v:imagedata o:title=""/>
              <o:lock v:ext="edit" aspectratio="f"/>
              <v:textbox inset="0mm,0mm,0mm,0mm">
                <w:txbxContent>
                  <w:p>
                    <w:pPr>
                      <w:pStyle w:val="14"/>
                      <w:widowControl/>
                      <w:snapToGrid w:val="0"/>
                      <w:jc w:val="left"/>
                      <w:textAlignment w:val="baseline"/>
                      <w:rPr>
                        <w:rStyle w:val="41"/>
                        <w:rFonts w:ascii="Times New Roman" w:hAnsi="Times New Roman" w:eastAsia="宋体"/>
                        <w:kern w:val="2"/>
                        <w:sz w:val="18"/>
                        <w:lang w:val="en-US" w:eastAsia="zh-CN" w:bidi="ar-SA"/>
                      </w:rPr>
                    </w:pPr>
                  </w:p>
                  <w:p>
                    <w:pPr>
                      <w:widowControl/>
                      <w:textAlignment w:val="baseline"/>
                      <w:rPr>
                        <w:rStyle w:val="4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left" w:pos="7864"/>
        <w:tab w:val="clear" w:pos="4153"/>
      </w:tabs>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szCs w:val="18"/>
        <w:lang w:eastAsia="zh-CN"/>
      </w:rPr>
      <w:t>陕西博皓项目管理有限公司</w:t>
    </w:r>
    <w:r>
      <w:rPr>
        <w:rFonts w:hint="eastAsia"/>
        <w:szCs w:val="18"/>
      </w:rPr>
      <w:t xml:space="preserve">                                            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left" w:pos="7864"/>
        <w:tab w:val="clear" w:pos="4153"/>
      </w:tabs>
      <w:jc w:val="left"/>
      <w:rPr>
        <w:sz w:val="10"/>
        <w:szCs w:val="10"/>
        <w:u w:val="single"/>
      </w:rPr>
    </w:pPr>
    <w:r>
      <w:rPr>
        <w:rFonts w:hint="eastAsia" w:ascii="宋体" w:hAnsi="宋体" w:cs="宋体"/>
        <w:sz w:val="15"/>
        <w:szCs w:val="15"/>
        <w:u w:val="single"/>
        <w:lang w:eastAsia="zh-CN"/>
      </w:rPr>
      <w:t>陕西博皓项目管理有限公司</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 xml:space="preserve">                             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szCs w:val="18"/>
        <w:lang w:eastAsia="zh-CN"/>
      </w:rPr>
      <w:t>陕西博皓项目管理有限公司</w:t>
    </w:r>
    <w:r>
      <w:rPr>
        <w:rFonts w:hint="eastAsia"/>
        <w:szCs w:val="18"/>
      </w:rPr>
      <w:t xml:space="preserve">              </w:t>
    </w:r>
    <w:r>
      <w:rPr>
        <w:rFonts w:hint="eastAsia"/>
        <w:szCs w:val="18"/>
        <w:lang w:val="en-US" w:eastAsia="zh-CN"/>
      </w:rPr>
      <w:t xml:space="preserve">                </w:t>
    </w:r>
    <w:r>
      <w:rPr>
        <w:rFonts w:hint="eastAsia"/>
        <w:szCs w:val="18"/>
      </w:rPr>
      <w:t xml:space="preserve">                           竞争性谈判文件</w:t>
    </w:r>
  </w:p>
  <w:p>
    <w:pPr>
      <w:pStyle w:val="16"/>
      <w:pBdr>
        <w:bottom w:val="none" w:color="auto" w:sz="0" w:space="1"/>
      </w:pBdr>
      <w:tabs>
        <w:tab w:val="left" w:pos="7864"/>
        <w:tab w:val="clear" w:pos="4153"/>
      </w:tabs>
      <w:rPr>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szCs w:val="18"/>
        <w:lang w:eastAsia="zh-CN"/>
      </w:rPr>
      <w:t>陕西博皓项目管理有限公司</w:t>
    </w:r>
    <w:r>
      <w:rPr>
        <w:rFonts w:hint="eastAsia"/>
        <w:szCs w:val="18"/>
      </w:rPr>
      <w:t xml:space="preserve">                             </w:t>
    </w:r>
    <w:r>
      <w:rPr>
        <w:rFonts w:hint="eastAsia"/>
        <w:szCs w:val="18"/>
        <w:lang w:val="en-US" w:eastAsia="zh-CN"/>
      </w:rPr>
      <w:t xml:space="preserve">           </w:t>
    </w:r>
    <w:r>
      <w:rPr>
        <w:rFonts w:hint="eastAsia"/>
        <w:szCs w:val="18"/>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F79D6"/>
    <w:multiLevelType w:val="singleLevel"/>
    <w:tmpl w:val="AE6F79D6"/>
    <w:lvl w:ilvl="0" w:tentative="0">
      <w:start w:val="1"/>
      <w:numFmt w:val="decimal"/>
      <w:suff w:val="nothing"/>
      <w:lvlText w:val="%1）"/>
      <w:lvlJc w:val="left"/>
    </w:lvl>
  </w:abstractNum>
  <w:abstractNum w:abstractNumId="1">
    <w:nsid w:val="E87660C1"/>
    <w:multiLevelType w:val="singleLevel"/>
    <w:tmpl w:val="E87660C1"/>
    <w:lvl w:ilvl="0" w:tentative="0">
      <w:start w:val="2"/>
      <w:numFmt w:val="chineseCounting"/>
      <w:suff w:val="nothing"/>
      <w:lvlText w:val="%1、"/>
      <w:lvlJc w:val="left"/>
      <w:rPr>
        <w:rFonts w:hint="eastAsia"/>
      </w:rPr>
    </w:lvl>
  </w:abstractNum>
  <w:abstractNum w:abstractNumId="2">
    <w:nsid w:val="F811A6E0"/>
    <w:multiLevelType w:val="singleLevel"/>
    <w:tmpl w:val="F811A6E0"/>
    <w:lvl w:ilvl="0" w:tentative="0">
      <w:start w:val="5"/>
      <w:numFmt w:val="chineseCounting"/>
      <w:suff w:val="nothing"/>
      <w:lvlText w:val="%1、"/>
      <w:lvlJc w:val="left"/>
      <w:rPr>
        <w:rFonts w:hint="eastAsia"/>
      </w:rPr>
    </w:lvl>
  </w:abstractNum>
  <w:abstractNum w:abstractNumId="3">
    <w:nsid w:val="00000000"/>
    <w:multiLevelType w:val="singleLevel"/>
    <w:tmpl w:val="00000000"/>
    <w:lvl w:ilvl="0" w:tentative="0">
      <w:start w:val="15"/>
      <w:numFmt w:val="chineseCounting"/>
      <w:suff w:val="space"/>
      <w:lvlText w:val="第%1条"/>
      <w:lvlJc w:val="left"/>
      <w:rPr>
        <w:rFonts w:hint="eastAsia"/>
      </w:rPr>
    </w:lvl>
  </w:abstractNum>
  <w:abstractNum w:abstractNumId="4">
    <w:nsid w:val="00000032"/>
    <w:multiLevelType w:val="multilevel"/>
    <w:tmpl w:val="00000032"/>
    <w:lvl w:ilvl="0" w:tentative="0">
      <w:start w:val="1"/>
      <w:numFmt w:val="decimal"/>
      <w:lvlText w:val="%1"/>
      <w:lvlJc w:val="left"/>
      <w:pPr>
        <w:tabs>
          <w:tab w:val="left" w:pos="420"/>
        </w:tabs>
        <w:ind w:left="460" w:hanging="25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FB0796"/>
    <w:multiLevelType w:val="singleLevel"/>
    <w:tmpl w:val="59FB0796"/>
    <w:lvl w:ilvl="0" w:tentative="0">
      <w:start w:val="1"/>
      <w:numFmt w:val="decimal"/>
      <w:suff w:val="nothing"/>
      <w:lvlText w:val="%1、"/>
      <w:lvlJc w:val="left"/>
    </w:lvl>
  </w:abstractNum>
  <w:abstractNum w:abstractNumId="6">
    <w:nsid w:val="5A1F7005"/>
    <w:multiLevelType w:val="singleLevel"/>
    <w:tmpl w:val="5A1F7005"/>
    <w:lvl w:ilvl="0" w:tentative="0">
      <w:start w:val="2"/>
      <w:numFmt w:val="chineseCounting"/>
      <w:suff w:val="space"/>
      <w:lvlText w:val="第%1部分"/>
      <w:lvlJc w:val="left"/>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MWYyYTdiMDM5ZWY2OWZhN2E2MTE0NTE3YjhjYzQifQ=="/>
  </w:docVars>
  <w:rsids>
    <w:rsidRoot w:val="7AD2169E"/>
    <w:rsid w:val="0020796E"/>
    <w:rsid w:val="00531B7A"/>
    <w:rsid w:val="008C36D4"/>
    <w:rsid w:val="008D1106"/>
    <w:rsid w:val="00DB6DE4"/>
    <w:rsid w:val="00E41943"/>
    <w:rsid w:val="03401B03"/>
    <w:rsid w:val="038D51FF"/>
    <w:rsid w:val="039F7EA0"/>
    <w:rsid w:val="066010F8"/>
    <w:rsid w:val="071A3B9D"/>
    <w:rsid w:val="0895092A"/>
    <w:rsid w:val="0A1125AF"/>
    <w:rsid w:val="0A334D52"/>
    <w:rsid w:val="0B9F1F73"/>
    <w:rsid w:val="0C360B29"/>
    <w:rsid w:val="0C940771"/>
    <w:rsid w:val="0D2C67AC"/>
    <w:rsid w:val="0EB333E1"/>
    <w:rsid w:val="148A0BF6"/>
    <w:rsid w:val="14C4231A"/>
    <w:rsid w:val="16E93A50"/>
    <w:rsid w:val="18340673"/>
    <w:rsid w:val="18C12044"/>
    <w:rsid w:val="197D7D98"/>
    <w:rsid w:val="19D76D7C"/>
    <w:rsid w:val="1ADD6614"/>
    <w:rsid w:val="1EE83676"/>
    <w:rsid w:val="1FE93FAC"/>
    <w:rsid w:val="205C7FDB"/>
    <w:rsid w:val="22C97D11"/>
    <w:rsid w:val="25190773"/>
    <w:rsid w:val="26246288"/>
    <w:rsid w:val="289A4DA8"/>
    <w:rsid w:val="2B543CC4"/>
    <w:rsid w:val="2B8F7B89"/>
    <w:rsid w:val="2C0B6B25"/>
    <w:rsid w:val="2C13572F"/>
    <w:rsid w:val="2CDD4919"/>
    <w:rsid w:val="2F2A5E74"/>
    <w:rsid w:val="2F8027B5"/>
    <w:rsid w:val="313905F0"/>
    <w:rsid w:val="31FF7E5D"/>
    <w:rsid w:val="33B87B91"/>
    <w:rsid w:val="340E3BF6"/>
    <w:rsid w:val="366C4FC4"/>
    <w:rsid w:val="388F1B0F"/>
    <w:rsid w:val="390037A2"/>
    <w:rsid w:val="390E2081"/>
    <w:rsid w:val="39913BA4"/>
    <w:rsid w:val="39C469EF"/>
    <w:rsid w:val="3A571AE7"/>
    <w:rsid w:val="3AC23D63"/>
    <w:rsid w:val="3B016F16"/>
    <w:rsid w:val="3C0A464E"/>
    <w:rsid w:val="3D9F7A2D"/>
    <w:rsid w:val="3E860A9B"/>
    <w:rsid w:val="3E9B60A4"/>
    <w:rsid w:val="3F604F9A"/>
    <w:rsid w:val="4175335E"/>
    <w:rsid w:val="42873B0C"/>
    <w:rsid w:val="43133B07"/>
    <w:rsid w:val="45216E60"/>
    <w:rsid w:val="46661630"/>
    <w:rsid w:val="482B7A3F"/>
    <w:rsid w:val="495516A9"/>
    <w:rsid w:val="49A43D68"/>
    <w:rsid w:val="4AC2591E"/>
    <w:rsid w:val="4B217CD3"/>
    <w:rsid w:val="4BC92119"/>
    <w:rsid w:val="4CF076DB"/>
    <w:rsid w:val="4DE53493"/>
    <w:rsid w:val="4DED0003"/>
    <w:rsid w:val="5058443B"/>
    <w:rsid w:val="5139564B"/>
    <w:rsid w:val="53810937"/>
    <w:rsid w:val="54612090"/>
    <w:rsid w:val="546F6672"/>
    <w:rsid w:val="55843C1A"/>
    <w:rsid w:val="55C64900"/>
    <w:rsid w:val="599C4537"/>
    <w:rsid w:val="5AFB2BCB"/>
    <w:rsid w:val="5D41670D"/>
    <w:rsid w:val="5DDF7E09"/>
    <w:rsid w:val="5E0E058B"/>
    <w:rsid w:val="5E1717A5"/>
    <w:rsid w:val="5EBA01A2"/>
    <w:rsid w:val="5F7F179D"/>
    <w:rsid w:val="5FFFB061"/>
    <w:rsid w:val="60287A7B"/>
    <w:rsid w:val="613178B8"/>
    <w:rsid w:val="61BF4336"/>
    <w:rsid w:val="63B43AF8"/>
    <w:rsid w:val="6577464E"/>
    <w:rsid w:val="65CC0212"/>
    <w:rsid w:val="66B6356E"/>
    <w:rsid w:val="691322E3"/>
    <w:rsid w:val="6A62547B"/>
    <w:rsid w:val="6D4164CC"/>
    <w:rsid w:val="717D271A"/>
    <w:rsid w:val="72C24A5E"/>
    <w:rsid w:val="777832A2"/>
    <w:rsid w:val="7AD2169E"/>
    <w:rsid w:val="7D653A0A"/>
    <w:rsid w:val="7DCC7162"/>
    <w:rsid w:val="9AFDBDAC"/>
    <w:rsid w:val="BF7FD488"/>
    <w:rsid w:val="CB7FF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360" w:lineRule="auto"/>
      <w:jc w:val="center"/>
      <w:outlineLvl w:val="1"/>
    </w:pPr>
    <w:rPr>
      <w:rFonts w:ascii="Arial" w:hAnsi="Arial" w:eastAsia="黑体"/>
      <w:b/>
      <w:bCs/>
      <w:sz w:val="32"/>
      <w:szCs w:val="32"/>
    </w:rPr>
  </w:style>
  <w:style w:type="paragraph" w:styleId="6">
    <w:name w:val="heading 3"/>
    <w:basedOn w:val="1"/>
    <w:next w:val="1"/>
    <w:link w:val="37"/>
    <w:unhideWhenUsed/>
    <w:qFormat/>
    <w:uiPriority w:val="0"/>
    <w:pPr>
      <w:keepNext/>
      <w:keepLines/>
      <w:jc w:val="left"/>
      <w:outlineLvl w:val="2"/>
    </w:pPr>
    <w:rPr>
      <w:b/>
      <w:bCs/>
      <w:sz w:val="28"/>
      <w:szCs w:val="32"/>
    </w:rPr>
  </w:style>
  <w:style w:type="paragraph" w:styleId="7">
    <w:name w:val="heading 4"/>
    <w:basedOn w:val="1"/>
    <w:next w:val="1"/>
    <w:unhideWhenUsed/>
    <w:qFormat/>
    <w:uiPriority w:val="0"/>
    <w:pPr>
      <w:keepNext/>
      <w:keepLines/>
      <w:spacing w:beforeLines="50" w:afterLines="50"/>
      <w:jc w:val="left"/>
      <w:outlineLvl w:val="3"/>
    </w:pPr>
    <w:rPr>
      <w:rFonts w:ascii="Calibri" w:hAnsi="Calibri"/>
      <w:b/>
      <w:bCs/>
      <w:sz w:val="24"/>
      <w:szCs w:val="28"/>
      <w:lang w:val="zh-CN"/>
    </w:rPr>
  </w:style>
  <w:style w:type="paragraph" w:styleId="8">
    <w:name w:val="heading 5"/>
    <w:basedOn w:val="1"/>
    <w:next w:val="1"/>
    <w:qFormat/>
    <w:uiPriority w:val="1"/>
    <w:pPr>
      <w:ind w:left="867"/>
      <w:outlineLvl w:val="5"/>
    </w:pPr>
    <w:rPr>
      <w:rFonts w:ascii="仿宋" w:hAnsi="仿宋" w:eastAsia="仿宋" w:cs="仿宋"/>
      <w:b/>
      <w:bCs/>
      <w:sz w:val="28"/>
      <w:szCs w:val="28"/>
      <w:lang w:val="zh-CN" w:eastAsia="zh-CN" w:bidi="zh-CN"/>
    </w:rPr>
  </w:style>
  <w:style w:type="paragraph" w:styleId="9">
    <w:name w:val="heading 6"/>
    <w:basedOn w:val="1"/>
    <w:next w:val="1"/>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lock Text"/>
    <w:basedOn w:val="1"/>
    <w:next w:val="3"/>
    <w:qFormat/>
    <w:uiPriority w:val="0"/>
    <w:pPr>
      <w:autoSpaceDE w:val="0"/>
      <w:autoSpaceDN w:val="0"/>
      <w:adjustRightInd w:val="0"/>
      <w:spacing w:line="360" w:lineRule="auto"/>
      <w:ind w:left="237" w:right="216" w:firstLine="420"/>
    </w:pPr>
    <w:rPr>
      <w:rFonts w:ascii="宋体" w:hAnsi="宋体"/>
      <w:kern w:val="0"/>
      <w:sz w:val="24"/>
      <w:szCs w:val="21"/>
    </w:rPr>
  </w:style>
  <w:style w:type="paragraph" w:styleId="3">
    <w:name w:val="Plain Text"/>
    <w:basedOn w:val="1"/>
    <w:next w:val="1"/>
    <w:unhideWhenUsed/>
    <w:qFormat/>
    <w:uiPriority w:val="99"/>
    <w:rPr>
      <w:rFonts w:hint="eastAsia" w:ascii="宋体" w:hAnsi="Courier New"/>
      <w:sz w:val="24"/>
    </w:rPr>
  </w:style>
  <w:style w:type="paragraph" w:styleId="10">
    <w:name w:val="Normal Indent"/>
    <w:basedOn w:val="1"/>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11">
    <w:name w:val="Body Text"/>
    <w:basedOn w:val="1"/>
    <w:next w:val="1"/>
    <w:qFormat/>
    <w:uiPriority w:val="0"/>
  </w:style>
  <w:style w:type="paragraph" w:styleId="12">
    <w:name w:val="Body Text Indent"/>
    <w:basedOn w:val="1"/>
    <w:next w:val="1"/>
    <w:qFormat/>
    <w:uiPriority w:val="0"/>
    <w:pPr>
      <w:ind w:left="1083" w:leftChars="30" w:hanging="1020" w:hangingChars="425"/>
    </w:pPr>
    <w:rPr>
      <w:rFonts w:ascii="宋体" w:hAnsi="宋体"/>
      <w:sz w:val="24"/>
    </w:rPr>
  </w:style>
  <w:style w:type="paragraph" w:styleId="13">
    <w:name w:val="Balloon Text"/>
    <w:basedOn w:val="1"/>
    <w:link w:val="44"/>
    <w:qFormat/>
    <w:uiPriority w:val="0"/>
    <w:rPr>
      <w:sz w:val="18"/>
      <w:szCs w:val="18"/>
    </w:rPr>
  </w:style>
  <w:style w:type="paragraph" w:styleId="14">
    <w:name w:val="footer"/>
    <w:basedOn w:val="1"/>
    <w:next w:val="1"/>
    <w:unhideWhenUsed/>
    <w:qFormat/>
    <w:uiPriority w:val="99"/>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unhideWhenUsed/>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7">
    <w:name w:val="toc 1"/>
    <w:basedOn w:val="1"/>
    <w:next w:val="1"/>
    <w:unhideWhenUsed/>
    <w:qFormat/>
    <w:uiPriority w:val="39"/>
  </w:style>
  <w:style w:type="paragraph" w:styleId="18">
    <w:name w:val="Normal (Web)"/>
    <w:basedOn w:val="1"/>
    <w:next w:val="15"/>
    <w:unhideWhenUsed/>
    <w:qFormat/>
    <w:uiPriority w:val="99"/>
    <w:pPr>
      <w:spacing w:before="100" w:beforeAutospacing="1" w:after="100" w:afterAutospacing="1"/>
      <w:jc w:val="left"/>
    </w:pPr>
    <w:rPr>
      <w:kern w:val="0"/>
      <w:sz w:val="24"/>
    </w:rPr>
  </w:style>
  <w:style w:type="paragraph" w:styleId="19">
    <w:name w:val="Body Text First Indent 2"/>
    <w:basedOn w:val="12"/>
    <w:qFormat/>
    <w:uiPriority w:val="99"/>
    <w:pPr>
      <w:spacing w:after="120"/>
      <w:ind w:left="420" w:leftChars="200" w:firstLine="420" w:firstLineChars="200"/>
      <w:jc w:val="left"/>
    </w:pPr>
    <w:rPr>
      <w:rFonts w:ascii="Times New Roman"/>
      <w:sz w:val="20"/>
      <w:szCs w:val="22"/>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rFonts w:hint="eastAsia" w:ascii="宋体" w:hAnsi="宋体" w:eastAsia="宋体" w:cs="宋体"/>
      <w:color w:val="000000"/>
      <w:sz w:val="18"/>
      <w:szCs w:val="18"/>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List2"/>
    <w:basedOn w:val="1"/>
    <w:qFormat/>
    <w:uiPriority w:val="0"/>
    <w:pPr>
      <w:spacing w:line="360" w:lineRule="auto"/>
      <w:ind w:left="100" w:leftChars="200" w:hanging="200" w:hangingChars="200"/>
      <w:jc w:val="both"/>
      <w:textAlignment w:val="baseline"/>
    </w:pPr>
    <w:rPr>
      <w:rFonts w:ascii="Times New Roman" w:hAnsi="Times New Roman" w:eastAsia="宋体"/>
      <w:kern w:val="2"/>
      <w:sz w:val="21"/>
      <w:szCs w:val="20"/>
      <w:lang w:val="en-US" w:eastAsia="zh-CN" w:bidi="ar-SA"/>
    </w:rPr>
  </w:style>
  <w:style w:type="paragraph" w:customStyle="1" w:styleId="36">
    <w:name w:val="正文缩进1"/>
    <w:basedOn w:val="1"/>
    <w:qFormat/>
    <w:uiPriority w:val="0"/>
    <w:pPr>
      <w:ind w:firstLine="420" w:firstLineChars="200"/>
    </w:pPr>
  </w:style>
  <w:style w:type="character" w:customStyle="1" w:styleId="37">
    <w:name w:val="标题 3 Char"/>
    <w:link w:val="6"/>
    <w:qFormat/>
    <w:uiPriority w:val="0"/>
    <w:rPr>
      <w:rFonts w:ascii="Times New Roman" w:hAnsi="Times New Roman" w:eastAsia="宋体" w:cs="Times New Roman"/>
      <w:b/>
      <w:bCs/>
      <w:sz w:val="28"/>
      <w:szCs w:val="32"/>
    </w:rPr>
  </w:style>
  <w:style w:type="paragraph" w:customStyle="1" w:styleId="38">
    <w:name w:val="样式1"/>
    <w:basedOn w:val="1"/>
    <w:qFormat/>
    <w:uiPriority w:val="0"/>
    <w:rPr>
      <w:sz w:val="18"/>
    </w:rPr>
  </w:style>
  <w:style w:type="paragraph" w:customStyle="1" w:styleId="3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Heading2"/>
    <w:basedOn w:val="1"/>
    <w:next w:val="1"/>
    <w:qFormat/>
    <w:uiPriority w:val="0"/>
    <w:pPr>
      <w:keepNext/>
      <w:keepLines/>
      <w:spacing w:before="260" w:after="260"/>
      <w:jc w:val="center"/>
    </w:pPr>
    <w:rPr>
      <w:rFonts w:ascii="Arial" w:hAnsi="Arial"/>
      <w:b/>
      <w:sz w:val="30"/>
    </w:rPr>
  </w:style>
  <w:style w:type="character" w:customStyle="1" w:styleId="41">
    <w:name w:val="NormalCharacter"/>
    <w:link w:val="42"/>
    <w:qFormat/>
    <w:uiPriority w:val="0"/>
    <w:rPr>
      <w:rFonts w:ascii="Times New Roman" w:hAnsi="Times New Roman" w:eastAsia="宋体" w:cs="Times New Roman"/>
      <w:kern w:val="2"/>
      <w:sz w:val="21"/>
      <w:lang w:val="en-US" w:eastAsia="zh-CN" w:bidi="ar-SA"/>
    </w:rPr>
  </w:style>
  <w:style w:type="paragraph" w:customStyle="1" w:styleId="42">
    <w:name w:val="UserStyle_34"/>
    <w:basedOn w:val="1"/>
    <w:link w:val="41"/>
    <w:qFormat/>
    <w:uiPriority w:val="0"/>
  </w:style>
  <w:style w:type="paragraph" w:customStyle="1" w:styleId="43">
    <w:name w:val="List Paragraph"/>
    <w:basedOn w:val="1"/>
    <w:qFormat/>
    <w:uiPriority w:val="34"/>
    <w:pPr>
      <w:ind w:firstLine="420" w:firstLineChars="200"/>
    </w:pPr>
    <w:rPr>
      <w:szCs w:val="24"/>
    </w:rPr>
  </w:style>
  <w:style w:type="character" w:customStyle="1" w:styleId="44">
    <w:name w:val="批注框文本 Char"/>
    <w:basedOn w:val="22"/>
    <w:link w:val="13"/>
    <w:qFormat/>
    <w:uiPriority w:val="0"/>
    <w:rPr>
      <w:kern w:val="2"/>
      <w:sz w:val="18"/>
      <w:szCs w:val="18"/>
    </w:rPr>
  </w:style>
  <w:style w:type="character" w:customStyle="1" w:styleId="45">
    <w:name w:val="font91"/>
    <w:basedOn w:val="22"/>
    <w:qFormat/>
    <w:uiPriority w:val="0"/>
    <w:rPr>
      <w:rFonts w:hint="eastAsia" w:ascii="宋体" w:hAnsi="宋体" w:eastAsia="宋体" w:cs="宋体"/>
      <w:color w:val="000000"/>
      <w:sz w:val="24"/>
      <w:szCs w:val="24"/>
      <w:u w:val="none"/>
    </w:rPr>
  </w:style>
  <w:style w:type="character" w:customStyle="1" w:styleId="46">
    <w:name w:val="font121"/>
    <w:basedOn w:val="22"/>
    <w:qFormat/>
    <w:uiPriority w:val="0"/>
    <w:rPr>
      <w:rFonts w:hint="eastAsia" w:ascii="宋体" w:hAnsi="宋体" w:eastAsia="宋体" w:cs="宋体"/>
      <w:color w:val="000000"/>
      <w:sz w:val="24"/>
      <w:szCs w:val="24"/>
      <w:u w:val="none"/>
    </w:rPr>
  </w:style>
  <w:style w:type="character" w:customStyle="1" w:styleId="47">
    <w:name w:val="font141"/>
    <w:basedOn w:val="22"/>
    <w:qFormat/>
    <w:uiPriority w:val="0"/>
    <w:rPr>
      <w:rFonts w:hint="eastAsia" w:ascii="宋体" w:hAnsi="宋体" w:eastAsia="宋体" w:cs="宋体"/>
      <w:color w:val="000000"/>
      <w:sz w:val="24"/>
      <w:szCs w:val="24"/>
      <w:u w:val="none"/>
    </w:rPr>
  </w:style>
  <w:style w:type="character" w:customStyle="1" w:styleId="48">
    <w:name w:val="font212"/>
    <w:basedOn w:val="22"/>
    <w:qFormat/>
    <w:uiPriority w:val="0"/>
    <w:rPr>
      <w:rFonts w:hint="eastAsia" w:ascii="宋体" w:hAnsi="宋体" w:eastAsia="宋体" w:cs="宋体"/>
      <w:color w:val="000000"/>
      <w:sz w:val="24"/>
      <w:szCs w:val="24"/>
      <w:u w:val="none"/>
      <w:vertAlign w:val="superscript"/>
    </w:rPr>
  </w:style>
  <w:style w:type="character" w:customStyle="1" w:styleId="49">
    <w:name w:val="font31"/>
    <w:basedOn w:val="22"/>
    <w:qFormat/>
    <w:uiPriority w:val="0"/>
    <w:rPr>
      <w:rFonts w:hint="eastAsia" w:ascii="宋体" w:hAnsi="宋体" w:eastAsia="宋体" w:cs="宋体"/>
      <w:color w:val="000000"/>
      <w:sz w:val="24"/>
      <w:szCs w:val="24"/>
      <w:u w:val="none"/>
    </w:rPr>
  </w:style>
  <w:style w:type="character" w:customStyle="1" w:styleId="50">
    <w:name w:val="font231"/>
    <w:basedOn w:val="22"/>
    <w:qFormat/>
    <w:uiPriority w:val="0"/>
    <w:rPr>
      <w:rFonts w:hint="eastAsia" w:ascii="宋体" w:hAnsi="宋体" w:eastAsia="宋体" w:cs="宋体"/>
      <w:color w:val="000000"/>
      <w:sz w:val="24"/>
      <w:szCs w:val="24"/>
      <w:u w:val="none"/>
    </w:rPr>
  </w:style>
  <w:style w:type="character" w:customStyle="1" w:styleId="51">
    <w:name w:val="font11"/>
    <w:basedOn w:val="22"/>
    <w:qFormat/>
    <w:uiPriority w:val="0"/>
    <w:rPr>
      <w:rFonts w:ascii="宋体" w:hAnsi="宋体" w:eastAsia="宋体" w:cs="宋体"/>
      <w:color w:val="000000"/>
      <w:sz w:val="61"/>
      <w:szCs w:val="61"/>
      <w:u w:val="none"/>
    </w:rPr>
  </w:style>
  <w:style w:type="character" w:customStyle="1" w:styleId="52">
    <w:name w:val="first-child"/>
    <w:basedOn w:val="22"/>
    <w:qFormat/>
    <w:uiPriority w:val="0"/>
  </w:style>
  <w:style w:type="character" w:customStyle="1" w:styleId="53">
    <w:name w:val="layui-layer-tabnow"/>
    <w:basedOn w:val="22"/>
    <w:qFormat/>
    <w:uiPriority w:val="0"/>
    <w:rPr>
      <w:bdr w:val="single" w:color="CCCCCC" w:sz="6" w:space="0"/>
      <w:shd w:val="clear" w:fill="FFFFFF"/>
    </w:rPr>
  </w:style>
  <w:style w:type="paragraph" w:customStyle="1" w:styleId="54">
    <w:name w:val="Table Paragraph"/>
    <w:basedOn w:val="1"/>
    <w:qFormat/>
    <w:uiPriority w:val="1"/>
    <w:rPr>
      <w:rFonts w:ascii="仿宋" w:hAnsi="仿宋" w:eastAsia="仿宋" w:cs="仿宋"/>
      <w:lang w:val="zh-CN" w:eastAsia="zh-CN" w:bidi="zh-CN"/>
    </w:rPr>
  </w:style>
  <w:style w:type="character" w:customStyle="1" w:styleId="55">
    <w:name w:val="mini-tree-nodetext2"/>
    <w:basedOn w:val="22"/>
    <w:qFormat/>
    <w:uiPriority w:val="0"/>
  </w:style>
  <w:style w:type="character" w:customStyle="1" w:styleId="56">
    <w:name w:val="mini-tree-nodetext3"/>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28461</Words>
  <Characters>30587</Characters>
  <Lines>320</Lines>
  <Paragraphs>90</Paragraphs>
  <TotalTime>8</TotalTime>
  <ScaleCrop>false</ScaleCrop>
  <LinksUpToDate>false</LinksUpToDate>
  <CharactersWithSpaces>32872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2021-10-28T17:47:00Z</dcterms:created>
  <dc:creator>、许多年以后</dc:creator>
  <cp:lastModifiedBy>Z^_^Z</cp:lastModifiedBy>
  <cp:lastPrinted>2022-06-07T17:41:00Z</cp:lastPrinted>
  <dcterms:modified xsi:type="dcterms:W3CDTF">2022-12-02T03:46:31Z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3048833932174DC1BFB80B0A796F0C99</vt:lpwstr>
  </property>
</Properties>
</file>