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政府采购项目</w:t>
      </w:r>
    </w:p>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eastAsia="zh-CN"/>
        </w:rPr>
      </w:pPr>
      <w:r>
        <w:rPr>
          <w:rFonts w:hint="eastAsia" w:ascii="仿宋" w:hAnsi="仿宋" w:eastAsia="仿宋" w:cs="仿宋"/>
          <w:b/>
          <w:bCs/>
          <w:i w:val="0"/>
          <w:iCs w:val="0"/>
          <w:color w:val="auto"/>
          <w:sz w:val="30"/>
          <w:szCs w:val="30"/>
          <w:highlight w:val="none"/>
          <w:lang w:val="zh-CN"/>
        </w:rPr>
        <w:t>采购项目编号：SCZK2023-JT-2293/001</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 xml:space="preserve"> </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36"/>
          <w:szCs w:val="36"/>
          <w:highlight w:val="none"/>
          <w:lang w:val="zh-CN" w:eastAsia="zh-CN"/>
        </w:rPr>
      </w:pPr>
      <w:r>
        <w:rPr>
          <w:rFonts w:hint="eastAsia" w:ascii="仿宋" w:hAnsi="仿宋" w:eastAsia="仿宋" w:cs="仿宋"/>
          <w:b/>
          <w:bCs/>
          <w:i w:val="0"/>
          <w:iCs w:val="0"/>
          <w:color w:val="auto"/>
          <w:sz w:val="44"/>
          <w:szCs w:val="44"/>
          <w:highlight w:val="none"/>
          <w:lang w:eastAsia="zh-CN"/>
        </w:rPr>
        <w:t>中共神木市委政法委员会综治视联网全覆盖工程项目</w:t>
      </w: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52"/>
          <w:szCs w:val="52"/>
          <w:highlight w:val="none"/>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竞争性谈判文件</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lang w:val="zh-CN"/>
        </w:rPr>
        <w:t xml:space="preserve"> 陕西省采购招标有限责任公司</w:t>
      </w:r>
      <w:r>
        <w:rPr>
          <w:rFonts w:hint="eastAsia" w:ascii="仿宋" w:hAnsi="仿宋" w:eastAsia="仿宋" w:cs="仿宋"/>
          <w:b/>
          <w:bCs/>
          <w:i w:val="0"/>
          <w:iCs w:val="0"/>
          <w:color w:val="auto"/>
          <w:sz w:val="30"/>
          <w:szCs w:val="30"/>
          <w:highlight w:val="none"/>
        </w:rPr>
        <w:t xml:space="preserve"> </w:t>
      </w:r>
    </w:p>
    <w:p>
      <w:pPr>
        <w:tabs>
          <w:tab w:val="left" w:pos="546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二〇二三年十一月</w:t>
      </w:r>
    </w:p>
    <w:p>
      <w:pPr>
        <w:tabs>
          <w:tab w:val="left" w:pos="3739"/>
        </w:tabs>
        <w:jc w:val="left"/>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ab/>
      </w:r>
    </w:p>
    <w:p>
      <w:pP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br w:type="page"/>
      </w:r>
    </w:p>
    <w:p>
      <w:pPr>
        <w:pStyle w:val="23"/>
        <w:rPr>
          <w:rFonts w:hint="eastAsia" w:ascii="仿宋" w:hAnsi="仿宋" w:eastAsia="仿宋" w:cs="仿宋"/>
          <w:i w:val="0"/>
          <w:iCs w:val="0"/>
          <w:color w:val="auto"/>
          <w:highlight w:val="none"/>
        </w:rPr>
        <w:sectPr>
          <w:headerReference r:id="rId5" w:type="first"/>
          <w:headerReference r:id="rId3" w:type="default"/>
          <w:headerReference r:id="rId4" w:type="even"/>
          <w:footerReference r:id="rId6" w:type="even"/>
          <w:pgSz w:w="11906" w:h="16838"/>
          <w:pgMar w:top="1440" w:right="1083" w:bottom="1440" w:left="1083" w:header="851" w:footer="992" w:gutter="0"/>
          <w:pgBorders>
            <w:top w:val="none" w:sz="0" w:space="0"/>
            <w:left w:val="none" w:sz="0" w:space="0"/>
            <w:bottom w:val="none" w:sz="0" w:space="0"/>
            <w:right w:val="none" w:sz="0" w:space="0"/>
          </w:pgBorders>
          <w:pgNumType w:start="0"/>
          <w:cols w:space="720" w:num="1"/>
          <w:titlePg/>
          <w:docGrid w:linePitch="312" w:charSpace="0"/>
        </w:sectPr>
      </w:pPr>
    </w:p>
    <w:p>
      <w:pPr>
        <w:pStyle w:val="6"/>
        <w:ind w:firstLine="0" w:firstLineChars="0"/>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t>目  录</w:t>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sz w:val="20"/>
          <w:highlight w:val="none"/>
        </w:rPr>
        <w:fldChar w:fldCharType="begin"/>
      </w:r>
      <w:r>
        <w:rPr>
          <w:rFonts w:hint="eastAsia" w:ascii="仿宋" w:hAnsi="仿宋" w:eastAsia="仿宋" w:cs="仿宋"/>
          <w:i w:val="0"/>
          <w:iCs w:val="0"/>
          <w:color w:val="auto"/>
          <w:sz w:val="20"/>
          <w:highlight w:val="none"/>
        </w:rPr>
        <w:instrText xml:space="preserve"> TOC \o "1-2" \h \z \u </w:instrText>
      </w:r>
      <w:r>
        <w:rPr>
          <w:rFonts w:hint="eastAsia" w:ascii="仿宋" w:hAnsi="仿宋" w:eastAsia="仿宋" w:cs="仿宋"/>
          <w:i w:val="0"/>
          <w:iCs w:val="0"/>
          <w:color w:val="auto"/>
          <w:sz w:val="20"/>
          <w:highlight w:val="none"/>
        </w:rPr>
        <w:fldChar w:fldCharType="separate"/>
      </w: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"_Toc58504659"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第一章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谈判公告</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_Toc58504659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"_Toc58504660"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第二章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供应商须知</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_Toc58504660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"_Toc58504668"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第三章</w:t>
      </w:r>
      <w:r>
        <w:rPr>
          <w:rFonts w:hint="eastAsia" w:ascii="仿宋" w:hAnsi="仿宋" w:eastAsia="仿宋" w:cs="仿宋"/>
          <w:b w:val="0"/>
          <w:bCs w:val="0"/>
          <w:i w:val="0"/>
          <w:iCs w:val="0"/>
          <w:caps w:val="0"/>
          <w:color w:val="auto"/>
          <w:szCs w:val="24"/>
          <w:highlight w:val="none"/>
        </w:rPr>
        <w:tab/>
      </w:r>
      <w:r>
        <w:rPr>
          <w:rFonts w:hint="eastAsia" w:ascii="仿宋" w:hAnsi="仿宋" w:eastAsia="仿宋" w:cs="仿宋"/>
          <w:b w:val="0"/>
          <w:bCs w:val="0"/>
          <w:i w:val="0"/>
          <w:iCs w:val="0"/>
          <w:caps w:val="0"/>
          <w:color w:val="auto"/>
          <w:szCs w:val="24"/>
          <w:highlight w:val="none"/>
        </w:rPr>
        <w:t>拟签订的合同文本</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_Toc58504668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33</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"_Toc58504669"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第四章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采购内容及要求</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38</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i w:val="0"/>
          <w:iCs w:val="0"/>
          <w:color w:val="auto"/>
          <w:szCs w:val="24"/>
          <w:highlight w:val="none"/>
          <w:lang w:val="en-US" w:eastAsia="zh-CN"/>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"_Toc58504670"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第五章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谈判响应文件格式</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lang w:val="en-US" w:eastAsia="zh-CN"/>
        </w:rPr>
        <w:t>3</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lang w:val="en-US" w:eastAsia="zh-CN"/>
        </w:rPr>
        <w:t>9</w:t>
      </w:r>
    </w:p>
    <w:p>
      <w:pPr>
        <w:rPr>
          <w:rFonts w:hint="eastAsia" w:ascii="仿宋" w:hAnsi="仿宋" w:eastAsia="仿宋" w:cs="仿宋"/>
          <w:i w:val="0"/>
          <w:iCs w:val="0"/>
          <w:color w:val="auto"/>
          <w:sz w:val="24"/>
          <w:highlight w:val="none"/>
        </w:rPr>
      </w:pPr>
    </w:p>
    <w:p>
      <w:pPr>
        <w:pStyle w:val="23"/>
        <w:rPr>
          <w:rFonts w:hint="eastAsia" w:ascii="仿宋" w:hAnsi="仿宋" w:eastAsia="仿宋" w:cs="仿宋"/>
          <w:i w:val="0"/>
          <w:iCs w:val="0"/>
          <w:color w:val="auto"/>
          <w:sz w:val="24"/>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lang w:val="en-US" w:eastAsia="zh-CN" w:bidi="ar-SA"/>
        </w:rPr>
      </w:pPr>
      <w:r>
        <w:rPr>
          <w:rFonts w:hint="eastAsia" w:ascii="仿宋" w:hAnsi="仿宋" w:eastAsia="仿宋" w:cs="仿宋"/>
          <w:i w:val="0"/>
          <w:iCs w:val="0"/>
          <w:color w:val="auto"/>
          <w:szCs w:val="20"/>
          <w:highlight w:val="none"/>
        </w:rPr>
        <w:fldChar w:fldCharType="end"/>
      </w:r>
      <w:bookmarkStart w:id="0" w:name="_Toc58504445"/>
      <w:bookmarkStart w:id="1" w:name="_Toc21755"/>
      <w:bookmarkStart w:id="2" w:name="_Toc58504659"/>
      <w:bookmarkStart w:id="3" w:name="_Toc415499894"/>
      <w:bookmarkStart w:id="4" w:name="_Toc177189234"/>
      <w:bookmarkStart w:id="5" w:name="_Toc53722839"/>
      <w:bookmarkStart w:id="6" w:name="_Toc499711041"/>
      <w:bookmarkStart w:id="7" w:name="_Toc176882541"/>
      <w:bookmarkStart w:id="8" w:name="_Toc177995472"/>
      <w:bookmarkStart w:id="9" w:name="_Toc492955413"/>
      <w:bookmarkStart w:id="10" w:name="_Toc503063420"/>
      <w:bookmarkStart w:id="11" w:name="_Toc499711882"/>
      <w:bookmarkStart w:id="12" w:name="_Toc500747060"/>
      <w:bookmarkStart w:id="13" w:name="_Toc500746964"/>
      <w:bookmarkStart w:id="14" w:name="_Toc177817333"/>
      <w:bookmarkStart w:id="15" w:name="_Toc496324577"/>
      <w:bookmarkStart w:id="16" w:name="_Toc500747187"/>
      <w:bookmarkStart w:id="17" w:name="_Toc70687138"/>
      <w:bookmarkStart w:id="18" w:name="_Toc385992325"/>
      <w:bookmarkStart w:id="19" w:name="_Toc385992324"/>
      <w:r>
        <w:rPr>
          <w:rFonts w:hint="eastAsia" w:ascii="仿宋" w:hAnsi="仿宋" w:eastAsia="仿宋" w:cs="仿宋"/>
          <w:b/>
          <w:i w:val="0"/>
          <w:iCs w:val="0"/>
          <w:color w:val="auto"/>
          <w:kern w:val="0"/>
          <w:sz w:val="32"/>
          <w:szCs w:val="32"/>
          <w:highlight w:val="none"/>
          <w:lang w:val="en-US" w:eastAsia="zh-CN" w:bidi="ar-SA"/>
        </w:rPr>
        <w:t>第一章  谈判</w:t>
      </w:r>
      <w:r>
        <w:rPr>
          <w:rFonts w:hint="eastAsia" w:ascii="仿宋" w:hAnsi="仿宋" w:eastAsia="仿宋" w:cs="仿宋"/>
          <w:b/>
          <w:i w:val="0"/>
          <w:iCs w:val="0"/>
          <w:color w:val="auto"/>
          <w:kern w:val="0"/>
          <w:sz w:val="32"/>
          <w:szCs w:val="32"/>
          <w:highlight w:val="none"/>
          <w:lang w:val="en-US" w:eastAsia="zh-CN"/>
        </w:rPr>
        <w:t>公告</w:t>
      </w:r>
      <w:bookmarkEnd w:id="0"/>
      <w:bookmarkEnd w:id="1"/>
      <w:bookmarkEnd w:id="2"/>
      <w:bookmarkEnd w:id="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leftChars="0" w:right="0" w:firstLine="0" w:firstLineChars="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项目概况</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shd w:val="clear" w:color="auto" w:fill="FFFFFF"/>
          <w:lang w:eastAsia="zh-CN"/>
        </w:rPr>
        <w:t>中共神木市委政法委员会综治视联网全覆盖工程项目</w:t>
      </w:r>
      <w:r>
        <w:rPr>
          <w:rFonts w:hint="eastAsia" w:ascii="仿宋" w:hAnsi="仿宋" w:eastAsia="仿宋" w:cs="仿宋"/>
          <w:i w:val="0"/>
          <w:iCs w:val="0"/>
          <w:caps w:val="0"/>
          <w:color w:val="auto"/>
          <w:spacing w:val="0"/>
          <w:sz w:val="24"/>
          <w:szCs w:val="24"/>
          <w:shd w:val="clear" w:color="auto" w:fill="FFFFFF"/>
        </w:rPr>
        <w:t>的潜在供应商应在全国公共资源交易</w:t>
      </w:r>
      <w:r>
        <w:rPr>
          <w:rFonts w:hint="eastAsia" w:ascii="仿宋" w:hAnsi="仿宋" w:eastAsia="仿宋" w:cs="仿宋"/>
          <w:i w:val="0"/>
          <w:iCs w:val="0"/>
          <w:caps w:val="0"/>
          <w:color w:val="auto"/>
          <w:spacing w:val="0"/>
          <w:sz w:val="24"/>
          <w:szCs w:val="24"/>
          <w:highlight w:val="none"/>
          <w:shd w:val="clear" w:color="auto" w:fill="FFFFFF"/>
        </w:rPr>
        <w:t>中心平台（陕西省）（http://www.sxggzyjy.cn/）获取采购文件，并于 202</w:t>
      </w:r>
      <w:r>
        <w:rPr>
          <w:rFonts w:hint="eastAsia" w:ascii="仿宋" w:hAnsi="仿宋" w:eastAsia="仿宋" w:cs="仿宋"/>
          <w:i w:val="0"/>
          <w:iCs w:val="0"/>
          <w:caps w:val="0"/>
          <w:color w:val="auto"/>
          <w:spacing w:val="0"/>
          <w:sz w:val="24"/>
          <w:szCs w:val="24"/>
          <w:highlight w:val="none"/>
          <w:shd w:val="clear" w:color="auto" w:fill="FFFFFF"/>
          <w:lang w:val="en-US" w:eastAsia="zh-CN"/>
        </w:rPr>
        <w:t>3</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11月15日09</w:t>
      </w:r>
      <w:r>
        <w:rPr>
          <w:rFonts w:hint="eastAsia" w:ascii="仿宋" w:hAnsi="仿宋" w:eastAsia="仿宋" w:cs="仿宋"/>
          <w:i w:val="0"/>
          <w:iCs w:val="0"/>
          <w:caps w:val="0"/>
          <w:color w:val="auto"/>
          <w:spacing w:val="0"/>
          <w:sz w:val="24"/>
          <w:szCs w:val="24"/>
          <w:highlight w:val="none"/>
          <w:shd w:val="clear" w:color="auto" w:fill="FFFFFF"/>
        </w:rPr>
        <w:t>时30分 （北京时间）前提交响应文件。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3"/>
          <w:rFonts w:hint="eastAsia" w:ascii="仿宋" w:hAnsi="仿宋" w:eastAsia="仿宋" w:cs="仿宋"/>
          <w:b/>
          <w:bCs/>
          <w:i w:val="0"/>
          <w:iCs w:val="0"/>
          <w:caps w:val="0"/>
          <w:color w:val="auto"/>
          <w:spacing w:val="0"/>
          <w:sz w:val="24"/>
          <w:szCs w:val="24"/>
          <w:highlight w:val="none"/>
          <w:shd w:val="clear" w:color="auto" w:fill="FFFFFF"/>
        </w:rPr>
        <w:t>一、项目基本情况</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FFFFFF"/>
        </w:rPr>
        <w:t>项目编号：</w:t>
      </w:r>
      <w:r>
        <w:rPr>
          <w:rFonts w:hint="eastAsia" w:ascii="仿宋" w:hAnsi="仿宋" w:eastAsia="仿宋" w:cs="仿宋"/>
          <w:i w:val="0"/>
          <w:iCs w:val="0"/>
          <w:caps w:val="0"/>
          <w:color w:val="auto"/>
          <w:spacing w:val="0"/>
          <w:sz w:val="24"/>
          <w:szCs w:val="24"/>
          <w:highlight w:val="none"/>
          <w:shd w:val="clear" w:color="auto" w:fill="FFFFFF"/>
          <w:lang w:eastAsia="zh-CN"/>
        </w:rPr>
        <w:t>SCZK2023-JT-2293/001</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项目名称：</w:t>
      </w:r>
      <w:r>
        <w:rPr>
          <w:rFonts w:hint="eastAsia" w:ascii="仿宋" w:hAnsi="仿宋" w:eastAsia="仿宋" w:cs="仿宋"/>
          <w:i w:val="0"/>
          <w:iCs w:val="0"/>
          <w:caps w:val="0"/>
          <w:color w:val="auto"/>
          <w:spacing w:val="0"/>
          <w:sz w:val="24"/>
          <w:szCs w:val="24"/>
          <w:highlight w:val="none"/>
          <w:shd w:val="clear" w:color="auto" w:fill="FFFFFF"/>
          <w:lang w:eastAsia="zh-CN"/>
        </w:rPr>
        <w:t>中共神木市委政法委员会综治视联网全覆盖工程项目</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采购方式：竞争性谈判</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预算金额：</w:t>
      </w:r>
      <w:r>
        <w:rPr>
          <w:rFonts w:hint="eastAsia" w:ascii="仿宋" w:hAnsi="仿宋" w:eastAsia="仿宋" w:cs="仿宋"/>
          <w:i w:val="0"/>
          <w:iCs w:val="0"/>
          <w:caps w:val="0"/>
          <w:color w:val="auto"/>
          <w:spacing w:val="0"/>
          <w:sz w:val="24"/>
          <w:szCs w:val="24"/>
          <w:highlight w:val="none"/>
          <w:shd w:val="clear" w:color="auto" w:fill="FFFFFF"/>
          <w:lang w:val="en-US" w:eastAsia="zh-CN"/>
        </w:rPr>
        <w:t>1965000.00</w:t>
      </w:r>
      <w:r>
        <w:rPr>
          <w:rFonts w:hint="eastAsia" w:ascii="仿宋" w:hAnsi="仿宋" w:eastAsia="仿宋" w:cs="仿宋"/>
          <w:i w:val="0"/>
          <w:iCs w:val="0"/>
          <w:caps w:val="0"/>
          <w:color w:val="auto"/>
          <w:spacing w:val="0"/>
          <w:sz w:val="24"/>
          <w:szCs w:val="24"/>
          <w:highlight w:val="none"/>
          <w:shd w:val="clear" w:color="auto" w:fill="FFFFFF"/>
        </w:rPr>
        <w:t>元</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采购需求：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合同包1(</w:t>
      </w:r>
      <w:r>
        <w:rPr>
          <w:rFonts w:hint="eastAsia" w:ascii="仿宋" w:hAnsi="仿宋" w:eastAsia="仿宋" w:cs="仿宋"/>
          <w:i w:val="0"/>
          <w:iCs w:val="0"/>
          <w:caps w:val="0"/>
          <w:color w:val="auto"/>
          <w:spacing w:val="0"/>
          <w:sz w:val="24"/>
          <w:szCs w:val="24"/>
          <w:highlight w:val="none"/>
          <w:shd w:val="clear" w:color="auto" w:fill="FFFFFF"/>
          <w:lang w:eastAsia="zh-CN"/>
        </w:rPr>
        <w:t>中共神木市委政法委员会综治视联网全覆盖工程项目</w:t>
      </w:r>
      <w:r>
        <w:rPr>
          <w:rFonts w:hint="eastAsia" w:ascii="仿宋" w:hAnsi="仿宋" w:eastAsia="仿宋" w:cs="仿宋"/>
          <w:i w:val="0"/>
          <w:iCs w:val="0"/>
          <w:caps w:val="0"/>
          <w:color w:val="auto"/>
          <w:spacing w:val="0"/>
          <w:sz w:val="24"/>
          <w:szCs w:val="24"/>
          <w:highlight w:val="none"/>
          <w:shd w:val="clear" w:color="auto" w:fill="FFFFFF"/>
        </w:rPr>
        <w:t>):</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合同包预算金额：</w:t>
      </w:r>
      <w:r>
        <w:rPr>
          <w:rFonts w:hint="eastAsia" w:ascii="仿宋" w:hAnsi="仿宋" w:eastAsia="仿宋" w:cs="仿宋"/>
          <w:i w:val="0"/>
          <w:iCs w:val="0"/>
          <w:caps w:val="0"/>
          <w:color w:val="auto"/>
          <w:spacing w:val="0"/>
          <w:sz w:val="24"/>
          <w:szCs w:val="24"/>
          <w:highlight w:val="none"/>
          <w:shd w:val="clear" w:color="auto" w:fill="FFFFFF"/>
          <w:lang w:val="en-US" w:eastAsia="zh-CN"/>
        </w:rPr>
        <w:t>1965000.00</w:t>
      </w:r>
      <w:r>
        <w:rPr>
          <w:rFonts w:hint="eastAsia" w:ascii="仿宋" w:hAnsi="仿宋" w:eastAsia="仿宋" w:cs="仿宋"/>
          <w:i w:val="0"/>
          <w:iCs w:val="0"/>
          <w:caps w:val="0"/>
          <w:color w:val="auto"/>
          <w:spacing w:val="0"/>
          <w:sz w:val="24"/>
          <w:szCs w:val="24"/>
          <w:highlight w:val="none"/>
          <w:shd w:val="clear" w:color="auto" w:fill="FFFFFF"/>
        </w:rPr>
        <w:t>元</w:t>
      </w:r>
    </w:p>
    <w:tbl>
      <w:tblPr>
        <w:tblStyle w:val="50"/>
        <w:tblW w:w="94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35"/>
        <w:gridCol w:w="1242"/>
        <w:gridCol w:w="1957"/>
        <w:gridCol w:w="1445"/>
        <w:gridCol w:w="1632"/>
        <w:gridCol w:w="1413"/>
        <w:gridCol w:w="102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7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品目号</w:t>
            </w:r>
          </w:p>
        </w:tc>
        <w:tc>
          <w:tcPr>
            <w:tcW w:w="124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品目名称</w:t>
            </w:r>
          </w:p>
        </w:tc>
        <w:tc>
          <w:tcPr>
            <w:tcW w:w="1957"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采购标的</w:t>
            </w:r>
          </w:p>
        </w:tc>
        <w:tc>
          <w:tcPr>
            <w:tcW w:w="144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数量（单位）</w:t>
            </w:r>
          </w:p>
        </w:tc>
        <w:tc>
          <w:tcPr>
            <w:tcW w:w="163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技术规格、参数及要求</w:t>
            </w:r>
          </w:p>
        </w:tc>
        <w:tc>
          <w:tcPr>
            <w:tcW w:w="141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品目预算(元)</w:t>
            </w:r>
          </w:p>
        </w:tc>
        <w:tc>
          <w:tcPr>
            <w:tcW w:w="102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7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1-1</w:t>
            </w:r>
          </w:p>
        </w:tc>
        <w:tc>
          <w:tcPr>
            <w:tcW w:w="124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其他终端设备</w:t>
            </w:r>
          </w:p>
        </w:tc>
        <w:tc>
          <w:tcPr>
            <w:tcW w:w="1957"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综治视联网全覆盖工程</w:t>
            </w:r>
          </w:p>
        </w:tc>
        <w:tc>
          <w:tcPr>
            <w:tcW w:w="144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批</w:t>
            </w:r>
            <w:r>
              <w:rPr>
                <w:rFonts w:hint="eastAsia" w:ascii="仿宋" w:hAnsi="仿宋" w:eastAsia="仿宋" w:cs="仿宋"/>
                <w:color w:val="auto"/>
                <w:sz w:val="24"/>
                <w:szCs w:val="24"/>
                <w:highlight w:val="none"/>
              </w:rPr>
              <w:t>)</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详见采购文件</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lang w:val="en-US" w:eastAsia="zh-CN"/>
              </w:rPr>
              <w:t>1965000.00</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righ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bl>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本合同包</w:t>
      </w:r>
      <w:r>
        <w:rPr>
          <w:rFonts w:hint="eastAsia" w:ascii="仿宋" w:hAnsi="仿宋" w:eastAsia="仿宋" w:cs="仿宋"/>
          <w:i w:val="0"/>
          <w:iCs w:val="0"/>
          <w:caps w:val="0"/>
          <w:color w:val="auto"/>
          <w:spacing w:val="0"/>
          <w:sz w:val="24"/>
          <w:szCs w:val="24"/>
          <w:shd w:val="clear" w:color="auto" w:fill="FFFFFF"/>
          <w:lang w:eastAsia="zh-CN"/>
        </w:rPr>
        <w:t>不</w:t>
      </w:r>
      <w:r>
        <w:rPr>
          <w:rFonts w:hint="eastAsia" w:ascii="仿宋" w:hAnsi="仿宋" w:eastAsia="仿宋" w:cs="仿宋"/>
          <w:i w:val="0"/>
          <w:iCs w:val="0"/>
          <w:caps w:val="0"/>
          <w:color w:val="auto"/>
          <w:spacing w:val="0"/>
          <w:sz w:val="24"/>
          <w:szCs w:val="24"/>
          <w:shd w:val="clear" w:color="auto" w:fill="FFFFFF"/>
        </w:rPr>
        <w:t>接受联合体投标</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shd w:val="clear" w:color="auto" w:fill="FFFFFF"/>
        </w:rPr>
        <w:t>合同履行期</w:t>
      </w:r>
      <w:r>
        <w:rPr>
          <w:rFonts w:hint="eastAsia" w:ascii="仿宋" w:hAnsi="仿宋" w:eastAsia="仿宋" w:cs="仿宋"/>
          <w:i w:val="0"/>
          <w:iCs w:val="0"/>
          <w:caps w:val="0"/>
          <w:color w:val="auto"/>
          <w:spacing w:val="0"/>
          <w:sz w:val="24"/>
          <w:szCs w:val="24"/>
          <w:highlight w:val="none"/>
          <w:shd w:val="clear" w:color="auto" w:fill="FFFFFF"/>
        </w:rPr>
        <w:t>限：</w:t>
      </w:r>
      <w:r>
        <w:rPr>
          <w:rFonts w:hint="eastAsia" w:ascii="仿宋" w:hAnsi="仿宋" w:eastAsia="仿宋" w:cs="仿宋"/>
          <w:i w:val="0"/>
          <w:iCs w:val="0"/>
          <w:caps w:val="0"/>
          <w:color w:val="auto"/>
          <w:spacing w:val="0"/>
          <w:sz w:val="24"/>
          <w:szCs w:val="24"/>
          <w:highlight w:val="none"/>
          <w:shd w:val="clear" w:color="auto" w:fill="FFFFFF"/>
          <w:lang w:eastAsia="zh-CN"/>
        </w:rPr>
        <w:t>合同签订后一个月内完成网络覆盖；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3"/>
          <w:rFonts w:hint="eastAsia" w:ascii="仿宋" w:hAnsi="仿宋" w:eastAsia="仿宋" w:cs="仿宋"/>
          <w:b/>
          <w:bCs/>
          <w:i w:val="0"/>
          <w:iCs w:val="0"/>
          <w:caps w:val="0"/>
          <w:color w:val="auto"/>
          <w:spacing w:val="0"/>
          <w:sz w:val="24"/>
          <w:szCs w:val="24"/>
          <w:highlight w:val="none"/>
          <w:shd w:val="clear" w:color="auto" w:fill="FFFFFF"/>
        </w:rPr>
        <w:t>二、申请人的资格要求：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1.满足《中华人民共和国政府采购法》第二十二条规定;</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2.落实政府采购政策需满足的资格要求：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合同包1(</w:t>
      </w:r>
      <w:r>
        <w:rPr>
          <w:rFonts w:hint="eastAsia" w:ascii="仿宋" w:hAnsi="仿宋" w:eastAsia="仿宋" w:cs="仿宋"/>
          <w:i w:val="0"/>
          <w:iCs w:val="0"/>
          <w:caps w:val="0"/>
          <w:color w:val="auto"/>
          <w:spacing w:val="0"/>
          <w:sz w:val="24"/>
          <w:szCs w:val="24"/>
          <w:highlight w:val="none"/>
          <w:shd w:val="clear" w:color="auto" w:fill="FFFFFF"/>
          <w:lang w:eastAsia="zh-CN"/>
        </w:rPr>
        <w:t>中共神木市委政法委员会综治视联网全覆盖工程项目</w:t>
      </w:r>
      <w:r>
        <w:rPr>
          <w:rFonts w:hint="eastAsia" w:ascii="仿宋" w:hAnsi="仿宋" w:eastAsia="仿宋" w:cs="仿宋"/>
          <w:i w:val="0"/>
          <w:iCs w:val="0"/>
          <w:caps w:val="0"/>
          <w:color w:val="auto"/>
          <w:spacing w:val="0"/>
          <w:sz w:val="24"/>
          <w:szCs w:val="24"/>
          <w:highlight w:val="none"/>
          <w:shd w:val="clear" w:color="auto" w:fill="FFFFFF"/>
        </w:rPr>
        <w:t>)落实政府采购政策需满足的资格要求如下:</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本项目为</w:t>
      </w:r>
      <w:r>
        <w:rPr>
          <w:rFonts w:hint="eastAsia" w:ascii="仿宋" w:hAnsi="仿宋" w:eastAsia="仿宋" w:cs="仿宋"/>
          <w:i w:val="0"/>
          <w:iCs w:val="0"/>
          <w:caps w:val="0"/>
          <w:color w:val="auto"/>
          <w:spacing w:val="0"/>
          <w:sz w:val="24"/>
          <w:szCs w:val="24"/>
          <w:shd w:val="clear" w:color="auto" w:fill="FFFFFF"/>
          <w:lang w:eastAsia="zh-CN"/>
        </w:rPr>
        <w:t>非</w:t>
      </w:r>
      <w:r>
        <w:rPr>
          <w:rFonts w:hint="eastAsia" w:ascii="仿宋" w:hAnsi="仿宋" w:eastAsia="仿宋" w:cs="仿宋"/>
          <w:i w:val="0"/>
          <w:iCs w:val="0"/>
          <w:caps w:val="0"/>
          <w:color w:val="auto"/>
          <w:spacing w:val="0"/>
          <w:sz w:val="24"/>
          <w:szCs w:val="24"/>
          <w:shd w:val="clear" w:color="auto" w:fill="FFFFFF"/>
        </w:rPr>
        <w:t>专门面向中小企业的项目。</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3.本项目的特定资格要求：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中共神木市委政法委员会综治视联网全覆盖工程项目</w:t>
      </w:r>
      <w:r>
        <w:rPr>
          <w:rFonts w:hint="eastAsia" w:ascii="仿宋" w:hAnsi="仿宋" w:eastAsia="仿宋" w:cs="仿宋"/>
          <w:i w:val="0"/>
          <w:iCs w:val="0"/>
          <w:caps w:val="0"/>
          <w:color w:val="auto"/>
          <w:spacing w:val="0"/>
          <w:sz w:val="24"/>
          <w:szCs w:val="24"/>
          <w:shd w:val="clear" w:color="auto" w:fill="FFFFFF"/>
        </w:rPr>
        <w:t>)特定资格要求如下:</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3.1具有独立承担民事责任的能力（提供有效的营业执照或自然人的身份证明）；</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3.2</w:t>
      </w:r>
      <w:r>
        <w:rPr>
          <w:rFonts w:hint="eastAsia" w:ascii="仿宋" w:hAnsi="仿宋" w:eastAsia="仿宋" w:cs="仿宋"/>
          <w:kern w:val="2"/>
          <w:sz w:val="24"/>
          <w:szCs w:val="24"/>
          <w:lang w:val="en-US" w:eastAsia="zh-CN" w:bidi="ar-SA"/>
        </w:rPr>
        <w:t>投标供应商须具有良好的商业信誉和健全的财务会计制度（投标供应商近一年经审计的财务报表或投标截止时间前六个月中任意三个月的公司财务报表或本年度基本开户银行出具的资信证明）；</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3.3依法缴纳税收的证明</w:t>
      </w:r>
      <w:r>
        <w:rPr>
          <w:rFonts w:hint="eastAsia" w:ascii="仿宋" w:hAnsi="仿宋" w:eastAsia="仿宋" w:cs="仿宋"/>
          <w:color w:val="auto"/>
          <w:sz w:val="24"/>
          <w:szCs w:val="24"/>
          <w:lang w:eastAsia="zh-CN"/>
        </w:rPr>
        <w:t>：</w:t>
      </w:r>
    </w:p>
    <w:p>
      <w:pPr>
        <w:pStyle w:val="4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）投标供应商应提供近六个月中任何一个月的依法缴纳税收凭证（银行出具的缴税凭证或税务机关出具的证明的复印件，并加盖本单位公章）；</w:t>
      </w:r>
    </w:p>
    <w:p>
      <w:pPr>
        <w:pStyle w:val="4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依法免税的</w:t>
      </w:r>
      <w:r>
        <w:rPr>
          <w:rFonts w:hint="eastAsia" w:ascii="仿宋" w:hAnsi="仿宋" w:eastAsia="仿宋" w:cs="仿宋"/>
          <w:sz w:val="24"/>
          <w:lang w:eastAsia="zh-CN"/>
        </w:rPr>
        <w:t>供应商</w:t>
      </w:r>
      <w:r>
        <w:rPr>
          <w:rFonts w:hint="eastAsia" w:ascii="仿宋" w:hAnsi="仿宋" w:eastAsia="仿宋" w:cs="仿宋"/>
          <w:sz w:val="24"/>
        </w:rPr>
        <w:t>，应提供相应文件证明其依法免税</w:t>
      </w:r>
      <w:r>
        <w:rPr>
          <w:rFonts w:hint="eastAsia" w:ascii="仿宋" w:hAnsi="仿宋" w:eastAsia="仿宋" w:cs="仿宋"/>
          <w:sz w:val="24"/>
          <w:lang w:eastAsia="zh-CN"/>
        </w:rPr>
        <w:t>；</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386" w:right="0" w:firstLine="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3.4社会保障资金缴纳记录：</w:t>
      </w: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60" w:lineRule="auto"/>
        <w:ind w:right="0" w:righ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val="en-US" w:eastAsia="zh-CN"/>
        </w:rPr>
        <w:t>（1）</w:t>
      </w:r>
      <w:r>
        <w:rPr>
          <w:rFonts w:hint="eastAsia" w:ascii="仿宋" w:hAnsi="仿宋" w:eastAsia="仿宋" w:cs="仿宋"/>
          <w:sz w:val="24"/>
        </w:rPr>
        <w:t>供应商应提供近六个月中至少一个月的社会缴纳社会保险的凭据（专用收据或社会保险缴纳清单），并加盖本单位公章</w:t>
      </w:r>
      <w:r>
        <w:rPr>
          <w:rFonts w:hint="eastAsia" w:ascii="仿宋" w:hAnsi="仿宋" w:eastAsia="仿宋" w:cs="仿宋"/>
          <w:sz w:val="24"/>
          <w:lang w:eastAsia="zh-CN"/>
        </w:rPr>
        <w:t>；</w:t>
      </w: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60" w:lineRule="auto"/>
        <w:ind w:right="0" w:righ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val="en-US" w:eastAsia="zh-CN"/>
        </w:rPr>
        <w:t>（2）</w:t>
      </w:r>
      <w:r>
        <w:rPr>
          <w:rFonts w:hint="eastAsia" w:ascii="仿宋" w:hAnsi="仿宋" w:eastAsia="仿宋" w:cs="仿宋"/>
          <w:sz w:val="24"/>
        </w:rPr>
        <w:t>不需要缴纳社会保障资金的供应商，应提供相应文件证明其不需要缴纳社会保障资金</w:t>
      </w:r>
      <w:r>
        <w:rPr>
          <w:rFonts w:hint="eastAsia" w:ascii="仿宋" w:hAnsi="仿宋" w:eastAsia="仿宋" w:cs="仿宋"/>
          <w:sz w:val="24"/>
          <w:lang w:eastAsia="zh-CN"/>
        </w:rPr>
        <w:t>；</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386" w:right="0" w:firstLine="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3.5具备履行合同所必需的设备和专业技术能力承诺书；</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386" w:right="0" w:firstLine="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参加政府采购活动前三年内，在经营活动中没有重大违法记录（提供书面申明）；</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3.7</w:t>
      </w:r>
      <w:r>
        <w:rPr>
          <w:rFonts w:hint="eastAsia" w:ascii="仿宋" w:hAnsi="仿宋" w:eastAsia="仿宋" w:cs="仿宋"/>
          <w:color w:val="auto"/>
          <w:sz w:val="24"/>
          <w:szCs w:val="24"/>
        </w:rPr>
        <w:t>供应商不得存在下列情形之一：</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（1）单位负责人为同一人或者存在直接控股、管理关系的不同供应商，不得参加本次采购活动；</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rPr>
        <w:t>（2）</w:t>
      </w:r>
      <w:r>
        <w:rPr>
          <w:rFonts w:hint="eastAsia" w:ascii="仿宋" w:hAnsi="仿宋" w:eastAsia="仿宋" w:cs="仿宋"/>
          <w:color w:val="auto"/>
          <w:sz w:val="24"/>
          <w:szCs w:val="24"/>
          <w:highlight w:val="none"/>
        </w:rPr>
        <w:t>为本项目提供整体设计、规范编制或者项目管理、监理、检测等服务的供应商，不得再参加本项目的采购活动；</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b w:val="0"/>
          <w:color w:val="auto"/>
          <w:kern w:val="0"/>
          <w:sz w:val="24"/>
          <w:szCs w:val="24"/>
          <w:lang w:val="en-US" w:eastAsia="zh-CN" w:bidi="ar-SA"/>
        </w:rPr>
      </w:pPr>
      <w:r>
        <w:rPr>
          <w:rFonts w:hint="eastAsia" w:ascii="仿宋" w:hAnsi="仿宋" w:eastAsia="仿宋" w:cs="仿宋"/>
          <w:b w:val="0"/>
          <w:color w:val="auto"/>
          <w:kern w:val="0"/>
          <w:sz w:val="24"/>
          <w:szCs w:val="24"/>
          <w:lang w:val="en-US" w:eastAsia="zh-CN" w:bidi="ar-SA"/>
        </w:rPr>
        <w:t>3.8投标供应商在“信用中国”网站（www.creditchina.gov.cn）和中国政府采购网（www.ccgp.gov.cn）上未被列入失信被执行人、重大税收违法失信主体、政府采购严重违法失信行为记录名单（提供网站截图）；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三、获取采购文件</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时间： 202</w:t>
      </w:r>
      <w:r>
        <w:rPr>
          <w:rFonts w:hint="eastAsia" w:ascii="仿宋" w:hAnsi="仿宋" w:eastAsia="仿宋" w:cs="仿宋"/>
          <w:i w:val="0"/>
          <w:iCs w:val="0"/>
          <w:caps w:val="0"/>
          <w:color w:val="auto"/>
          <w:spacing w:val="0"/>
          <w:sz w:val="24"/>
          <w:szCs w:val="24"/>
          <w:highlight w:val="none"/>
          <w:shd w:val="clear" w:color="auto" w:fill="FFFFFF"/>
          <w:lang w:val="en-US" w:eastAsia="zh-CN"/>
        </w:rPr>
        <w:t>3</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11</w:t>
      </w:r>
      <w:r>
        <w:rPr>
          <w:rFonts w:hint="eastAsia" w:ascii="仿宋" w:hAnsi="仿宋" w:eastAsia="仿宋" w:cs="仿宋"/>
          <w:i w:val="0"/>
          <w:iCs w:val="0"/>
          <w:caps w:val="0"/>
          <w:color w:val="auto"/>
          <w:spacing w:val="0"/>
          <w:sz w:val="24"/>
          <w:szCs w:val="24"/>
          <w:highlight w:val="none"/>
          <w:shd w:val="clear" w:color="auto" w:fill="FFFFFF"/>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07</w:t>
      </w:r>
      <w:r>
        <w:rPr>
          <w:rFonts w:hint="eastAsia" w:ascii="仿宋" w:hAnsi="仿宋" w:eastAsia="仿宋" w:cs="仿宋"/>
          <w:i w:val="0"/>
          <w:iCs w:val="0"/>
          <w:caps w:val="0"/>
          <w:color w:val="auto"/>
          <w:spacing w:val="0"/>
          <w:sz w:val="24"/>
          <w:szCs w:val="24"/>
          <w:highlight w:val="none"/>
          <w:shd w:val="clear" w:color="auto" w:fill="FFFFFF"/>
        </w:rPr>
        <w:t>日 至 202</w:t>
      </w:r>
      <w:r>
        <w:rPr>
          <w:rFonts w:hint="eastAsia" w:ascii="仿宋" w:hAnsi="仿宋" w:eastAsia="仿宋" w:cs="仿宋"/>
          <w:i w:val="0"/>
          <w:iCs w:val="0"/>
          <w:caps w:val="0"/>
          <w:color w:val="auto"/>
          <w:spacing w:val="0"/>
          <w:sz w:val="24"/>
          <w:szCs w:val="24"/>
          <w:highlight w:val="none"/>
          <w:shd w:val="clear" w:color="auto" w:fill="FFFFFF"/>
          <w:lang w:val="en-US" w:eastAsia="zh-CN"/>
        </w:rPr>
        <w:t>3</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11</w:t>
      </w:r>
      <w:r>
        <w:rPr>
          <w:rFonts w:hint="eastAsia" w:ascii="仿宋" w:hAnsi="仿宋" w:eastAsia="仿宋" w:cs="仿宋"/>
          <w:i w:val="0"/>
          <w:iCs w:val="0"/>
          <w:caps w:val="0"/>
          <w:color w:val="auto"/>
          <w:spacing w:val="0"/>
          <w:sz w:val="24"/>
          <w:szCs w:val="24"/>
          <w:highlight w:val="none"/>
          <w:shd w:val="clear" w:color="auto" w:fill="FFFFFF"/>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09</w:t>
      </w:r>
      <w:r>
        <w:rPr>
          <w:rFonts w:hint="eastAsia" w:ascii="仿宋" w:hAnsi="仿宋" w:eastAsia="仿宋" w:cs="仿宋"/>
          <w:i w:val="0"/>
          <w:iCs w:val="0"/>
          <w:caps w:val="0"/>
          <w:color w:val="auto"/>
          <w:spacing w:val="0"/>
          <w:sz w:val="24"/>
          <w:szCs w:val="24"/>
          <w:highlight w:val="none"/>
          <w:shd w:val="clear" w:color="auto" w:fill="FFFFFF"/>
        </w:rPr>
        <w:t>日 ，每天上午 00:00:00 至 12:00:00 ，下午 12:00:00 至 23:59:00 （北京时间,法定节假日除外）</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lang w:eastAsia="zh-CN"/>
        </w:rPr>
        <w:t>途径</w:t>
      </w:r>
      <w:r>
        <w:rPr>
          <w:rFonts w:hint="eastAsia" w:ascii="仿宋" w:hAnsi="仿宋" w:eastAsia="仿宋" w:cs="仿宋"/>
          <w:i w:val="0"/>
          <w:iCs w:val="0"/>
          <w:caps w:val="0"/>
          <w:color w:val="auto"/>
          <w:spacing w:val="0"/>
          <w:sz w:val="24"/>
          <w:szCs w:val="24"/>
          <w:shd w:val="clear" w:color="auto" w:fill="FFFFFF"/>
        </w:rPr>
        <w:t>：全国公共资源交易中心平台（陕西省）（http://www.sxggzyjy.cn/）</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方式：在线获取</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售价：免费获取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四、响应文件提交</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截止时间： 202</w:t>
      </w:r>
      <w:r>
        <w:rPr>
          <w:rFonts w:hint="eastAsia" w:ascii="仿宋" w:hAnsi="仿宋" w:eastAsia="仿宋" w:cs="仿宋"/>
          <w:i w:val="0"/>
          <w:iCs w:val="0"/>
          <w:caps w:val="0"/>
          <w:color w:val="auto"/>
          <w:spacing w:val="0"/>
          <w:sz w:val="24"/>
          <w:szCs w:val="24"/>
          <w:highlight w:val="none"/>
          <w:shd w:val="clear" w:color="auto" w:fill="FFFFFF"/>
          <w:lang w:val="en-US" w:eastAsia="zh-CN"/>
        </w:rPr>
        <w:t>3</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11月15日09</w:t>
      </w:r>
      <w:r>
        <w:rPr>
          <w:rFonts w:hint="eastAsia" w:ascii="仿宋" w:hAnsi="仿宋" w:eastAsia="仿宋" w:cs="仿宋"/>
          <w:i w:val="0"/>
          <w:iCs w:val="0"/>
          <w:caps w:val="0"/>
          <w:color w:val="auto"/>
          <w:spacing w:val="0"/>
          <w:sz w:val="24"/>
          <w:szCs w:val="24"/>
          <w:highlight w:val="none"/>
          <w:shd w:val="clear" w:color="auto" w:fill="FFFFFF"/>
        </w:rPr>
        <w:t>时30分00秒 （北京时间）</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地点：</w:t>
      </w:r>
      <w:r>
        <w:rPr>
          <w:rFonts w:hint="eastAsia" w:ascii="仿宋" w:hAnsi="仿宋" w:eastAsia="仿宋" w:cs="仿宋"/>
          <w:i w:val="0"/>
          <w:iCs w:val="0"/>
          <w:caps w:val="0"/>
          <w:color w:val="auto"/>
          <w:spacing w:val="0"/>
          <w:sz w:val="24"/>
          <w:szCs w:val="24"/>
          <w:highlight w:val="none"/>
          <w:shd w:val="clear" w:color="auto" w:fill="FFFFFF"/>
          <w:lang w:eastAsia="zh-CN"/>
        </w:rPr>
        <w:t>线上递交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3"/>
          <w:rFonts w:hint="eastAsia" w:ascii="仿宋" w:hAnsi="仿宋" w:eastAsia="仿宋" w:cs="仿宋"/>
          <w:b/>
          <w:bCs/>
          <w:i w:val="0"/>
          <w:iCs w:val="0"/>
          <w:caps w:val="0"/>
          <w:color w:val="auto"/>
          <w:spacing w:val="0"/>
          <w:sz w:val="24"/>
          <w:szCs w:val="24"/>
          <w:highlight w:val="none"/>
          <w:shd w:val="clear" w:color="auto" w:fill="FFFFFF"/>
        </w:rPr>
        <w:t>五、开启</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时间： 202</w:t>
      </w:r>
      <w:r>
        <w:rPr>
          <w:rFonts w:hint="eastAsia" w:ascii="仿宋" w:hAnsi="仿宋" w:eastAsia="仿宋" w:cs="仿宋"/>
          <w:i w:val="0"/>
          <w:iCs w:val="0"/>
          <w:caps w:val="0"/>
          <w:color w:val="auto"/>
          <w:spacing w:val="0"/>
          <w:sz w:val="24"/>
          <w:szCs w:val="24"/>
          <w:highlight w:val="none"/>
          <w:shd w:val="clear" w:color="auto" w:fill="FFFFFF"/>
          <w:lang w:val="en-US" w:eastAsia="zh-CN"/>
        </w:rPr>
        <w:t>3</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11</w:t>
      </w:r>
      <w:r>
        <w:rPr>
          <w:rFonts w:hint="eastAsia" w:ascii="仿宋" w:hAnsi="仿宋" w:eastAsia="仿宋" w:cs="仿宋"/>
          <w:i w:val="0"/>
          <w:iCs w:val="0"/>
          <w:caps w:val="0"/>
          <w:color w:val="auto"/>
          <w:spacing w:val="0"/>
          <w:sz w:val="24"/>
          <w:szCs w:val="24"/>
          <w:highlight w:val="none"/>
          <w:shd w:val="clear" w:color="auto" w:fill="FFFFFF"/>
          <w:lang w:eastAsia="zh-CN"/>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15</w:t>
      </w:r>
      <w:r>
        <w:rPr>
          <w:rFonts w:hint="eastAsia" w:ascii="仿宋" w:hAnsi="仿宋" w:eastAsia="仿宋" w:cs="仿宋"/>
          <w:i w:val="0"/>
          <w:iCs w:val="0"/>
          <w:caps w:val="0"/>
          <w:color w:val="auto"/>
          <w:spacing w:val="0"/>
          <w:sz w:val="24"/>
          <w:szCs w:val="24"/>
          <w:highlight w:val="none"/>
          <w:shd w:val="clear" w:color="auto" w:fill="FFFFFF"/>
          <w:lang w:eastAsia="zh-CN"/>
        </w:rPr>
        <w:t>日</w:t>
      </w:r>
      <w:r>
        <w:rPr>
          <w:rFonts w:hint="eastAsia" w:ascii="仿宋" w:hAnsi="仿宋" w:eastAsia="仿宋" w:cs="仿宋"/>
          <w:i w:val="0"/>
          <w:iCs w:val="0"/>
          <w:caps w:val="0"/>
          <w:color w:val="auto"/>
          <w:spacing w:val="0"/>
          <w:sz w:val="24"/>
          <w:szCs w:val="24"/>
          <w:highlight w:val="none"/>
          <w:shd w:val="clear" w:color="auto" w:fill="FFFFFF"/>
          <w:lang w:val="en-US" w:eastAsia="zh-CN"/>
        </w:rPr>
        <w:t>09</w:t>
      </w:r>
      <w:r>
        <w:rPr>
          <w:rFonts w:hint="eastAsia" w:ascii="仿宋" w:hAnsi="仿宋" w:eastAsia="仿宋" w:cs="仿宋"/>
          <w:i w:val="0"/>
          <w:iCs w:val="0"/>
          <w:caps w:val="0"/>
          <w:color w:val="auto"/>
          <w:spacing w:val="0"/>
          <w:sz w:val="24"/>
          <w:szCs w:val="24"/>
          <w:highlight w:val="none"/>
          <w:shd w:val="clear" w:color="auto" w:fill="FFFFFF"/>
        </w:rPr>
        <w:t>时30分00秒 （北京时间）</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地点：</w:t>
      </w:r>
      <w:r>
        <w:rPr>
          <w:rFonts w:hint="eastAsia" w:ascii="仿宋" w:hAnsi="仿宋" w:eastAsia="仿宋" w:cs="仿宋"/>
          <w:i w:val="0"/>
          <w:iCs w:val="0"/>
          <w:caps w:val="0"/>
          <w:color w:val="auto"/>
          <w:spacing w:val="0"/>
          <w:sz w:val="24"/>
          <w:szCs w:val="24"/>
          <w:highlight w:val="none"/>
          <w:shd w:val="clear" w:color="auto" w:fill="FFFFFF"/>
          <w:lang w:eastAsia="zh-CN"/>
        </w:rPr>
        <w:t>线上开启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3"/>
          <w:rFonts w:hint="eastAsia" w:ascii="仿宋" w:hAnsi="仿宋" w:eastAsia="仿宋" w:cs="仿宋"/>
          <w:b/>
          <w:bCs/>
          <w:i w:val="0"/>
          <w:iCs w:val="0"/>
          <w:caps w:val="0"/>
          <w:color w:val="auto"/>
          <w:spacing w:val="0"/>
          <w:sz w:val="24"/>
          <w:szCs w:val="24"/>
          <w:highlight w:val="none"/>
          <w:shd w:val="clear" w:color="auto" w:fill="FFFFFF"/>
        </w:rPr>
        <w:t>六、公告期限</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自本公告发布之日起3个工作日。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七、其他补充事宜</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1、落实政府采购政策：</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1.1《关于进一步加大政府采购支持中小企业力度的通知》（财库</w:t>
      </w:r>
      <w:r>
        <w:rPr>
          <w:rFonts w:hint="eastAsia" w:ascii="仿宋" w:hAnsi="仿宋" w:eastAsia="仿宋" w:cs="仿宋"/>
        </w:rPr>
        <w:t>〔</w:t>
      </w:r>
      <w:r>
        <w:rPr>
          <w:rFonts w:hint="eastAsia" w:ascii="仿宋" w:hAnsi="仿宋" w:eastAsia="仿宋" w:cs="仿宋"/>
          <w:sz w:val="24"/>
        </w:rPr>
        <w:t>2022</w:t>
      </w:r>
      <w:r>
        <w:rPr>
          <w:rFonts w:hint="eastAsia" w:ascii="仿宋" w:hAnsi="仿宋" w:eastAsia="仿宋" w:cs="仿宋"/>
        </w:rPr>
        <w:t>〕</w:t>
      </w:r>
      <w:r>
        <w:rPr>
          <w:rFonts w:hint="eastAsia" w:ascii="仿宋" w:hAnsi="仿宋" w:eastAsia="仿宋" w:cs="仿宋"/>
          <w:sz w:val="24"/>
        </w:rPr>
        <w:t>19号）、《政府采购促进中小企业发展管理办法》（财库〔2020〕46号）、《关于政府采购支持监狱企业发展有关问题的通知》（财库〔2014〕68号）、《关于促进残疾人就业政府采购政策的通知》（财库〔2017〕141号）。</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pStyle w:val="23"/>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pStyle w:val="23"/>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1.4财政部 国家发展改革委 信息产业部 关于印发无线局域网产品政府采购实施意见的通知》（财库〔2005〕366号）、《国家互联网信息办公室 工业和信息化部 公安部 财政部 国家认证认可监督管理委员会关于调整网络安全专用产品安全管理有关事项的公告》（2023年第1号）。</w:t>
      </w:r>
    </w:p>
    <w:p>
      <w:pPr>
        <w:pStyle w:val="23"/>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1.5《陕西省财政厅关于加快推进我省中小企业政府采购信用融资工作的通知》（陕财办采〔2020〕15 号）。</w:t>
      </w:r>
    </w:p>
    <w:p>
      <w:pPr>
        <w:pStyle w:val="23"/>
        <w:pageBreakBefore w:val="0"/>
        <w:widowControl w:val="0"/>
        <w:tabs>
          <w:tab w:val="left" w:pos="567"/>
        </w:tabs>
        <w:kinsoku/>
        <w:wordWrap/>
        <w:overflowPunct/>
        <w:topLinePunct w:val="0"/>
        <w:autoSpaceDE/>
        <w:autoSpaceDN/>
        <w:bidi w:val="0"/>
        <w:spacing w:before="0" w:beforeAutospacing="0" w:afterAutospacing="0" w:line="520" w:lineRule="exact"/>
        <w:ind w:firstLine="48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1.6《榆林市财政局关于进一步加大政府采购支持中小企业力度的通知》（榆政财采发〔2022〕10号）。</w:t>
      </w:r>
    </w:p>
    <w:p>
      <w:pPr>
        <w:pStyle w:val="23"/>
        <w:pageBreakBefore w:val="0"/>
        <w:widowControl w:val="0"/>
        <w:tabs>
          <w:tab w:val="left" w:pos="567"/>
        </w:tabs>
        <w:kinsoku/>
        <w:wordWrap/>
        <w:overflowPunct/>
        <w:topLinePunct w:val="0"/>
        <w:autoSpaceDE/>
        <w:autoSpaceDN/>
        <w:bidi w:val="0"/>
        <w:spacing w:before="0" w:beforeAutospacing="0" w:afterAutospacing="0" w:line="520" w:lineRule="exact"/>
        <w:ind w:firstLine="48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1.7《陕西省财政厅关于印发&lt;陕西省中小企业政府采购信用融资办法&gt;的通知》（陕财办采〔2018〕23号）相关政策、业务流程、办理平台（http://www.ccgp-shaanxi.gov.cn/zcdservice/zcd/shanxi/）。</w:t>
      </w:r>
    </w:p>
    <w:p>
      <w:pPr>
        <w:pStyle w:val="23"/>
        <w:pageBreakBefore w:val="0"/>
        <w:widowControl w:val="0"/>
        <w:tabs>
          <w:tab w:val="left" w:pos="567"/>
        </w:tabs>
        <w:kinsoku/>
        <w:wordWrap/>
        <w:overflowPunct/>
        <w:topLinePunct w:val="0"/>
        <w:autoSpaceDE/>
        <w:autoSpaceDN/>
        <w:bidi w:val="0"/>
        <w:spacing w:before="0" w:beforeAutospacing="0" w:afterAutospacing="0" w:line="520" w:lineRule="exact"/>
        <w:ind w:firstLine="48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若享受以上政策优惠的企业，提供相应声明函或品目清单范围内产品的有效认证证书。</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获取</w:t>
      </w:r>
      <w:r>
        <w:rPr>
          <w:rFonts w:hint="eastAsia" w:ascii="仿宋" w:hAnsi="仿宋" w:eastAsia="仿宋" w:cs="仿宋"/>
          <w:sz w:val="24"/>
        </w:rPr>
        <w:t>方式：投标人可登录全国公共资源交易中心平台（陕西省）（http://www.sxggzyjy.cn/）,选择“电子交易平台-陕西政府采购交易系统-陕西省公共资源交易平台-投标人”进行登录，登录后选择“交易乙方”身份进入投标人界面进行报名并免费下载采购文件。</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3、投标人初次使用交易平台，须先完成诚信入库登记、CA锁认证及企业信息绑定。相关操作流程详见全国公共资源交易平台（陕西省）网站【首页、服务指南、下载专区】中的《陕西省公共资源交易中心政府采购项目投标指南》。特别提醒：本项目采用电子化招投标的方式</w:t>
      </w:r>
      <w:r>
        <w:rPr>
          <w:rFonts w:hint="eastAsia" w:ascii="仿宋" w:hAnsi="仿宋" w:eastAsia="仿宋" w:cs="仿宋"/>
          <w:sz w:val="24"/>
          <w:highlight w:val="none"/>
        </w:rPr>
        <w:t>，电子响应文件制作软件技术支持热线：400-998-0000 CA 锁购买：榆林市市民大厦3楼，E18、E19窗口，联系电话：0912-3452148。</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4、请投标人按照陕西省财政厅关于政府采购投标人注册登记有关事项的通知中的要求，通过陕西省政府采购网（http://www.ccgp-shaanxi.gov.cn/）注册登记加入陕西省政府采购投标人库。</w:t>
      </w:r>
    </w:p>
    <w:p>
      <w:pPr>
        <w:spacing w:line="520" w:lineRule="exact"/>
        <w:ind w:firstLine="480" w:firstLineChars="200"/>
        <w:outlineLvl w:val="1"/>
        <w:rPr>
          <w:rFonts w:hint="eastAsia" w:ascii="仿宋" w:hAnsi="仿宋" w:eastAsia="仿宋" w:cs="仿宋"/>
          <w:color w:val="auto"/>
          <w:sz w:val="24"/>
          <w:szCs w:val="24"/>
        </w:rPr>
      </w:pPr>
      <w:r>
        <w:rPr>
          <w:rFonts w:hint="eastAsia" w:ascii="仿宋" w:hAnsi="仿宋" w:eastAsia="仿宋" w:cs="仿宋"/>
          <w:sz w:val="24"/>
          <w:lang w:val="en-US" w:eastAsia="zh-CN"/>
        </w:rPr>
        <w:t>5、</w:t>
      </w:r>
      <w:r>
        <w:rPr>
          <w:rFonts w:hint="eastAsia" w:ascii="仿宋" w:hAnsi="仿宋" w:eastAsia="仿宋" w:cs="仿宋"/>
          <w:sz w:val="24"/>
        </w:rPr>
        <w:t>本项目采用电子化不见面开标方式，</w:t>
      </w:r>
      <w:r>
        <w:rPr>
          <w:rFonts w:hint="eastAsia" w:ascii="仿宋" w:hAnsi="仿宋" w:eastAsia="仿宋" w:cs="仿宋"/>
          <w:sz w:val="24"/>
          <w:lang w:eastAsia="zh-CN"/>
        </w:rPr>
        <w:t>投标供应商</w:t>
      </w:r>
      <w:r>
        <w:rPr>
          <w:rFonts w:hint="eastAsia" w:ascii="仿宋" w:hAnsi="仿宋" w:eastAsia="仿宋" w:cs="仿宋"/>
          <w:sz w:val="24"/>
        </w:rPr>
        <w:t>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w:t>
      </w:r>
      <w:r>
        <w:rPr>
          <w:rFonts w:hint="eastAsia" w:ascii="仿宋" w:hAnsi="仿宋" w:eastAsia="仿宋" w:cs="仿宋"/>
          <w:sz w:val="24"/>
          <w:lang w:eastAsia="zh-CN"/>
        </w:rPr>
        <w:t>投标供应商</w:t>
      </w:r>
      <w:r>
        <w:rPr>
          <w:rFonts w:hint="eastAsia" w:ascii="仿宋" w:hAnsi="仿宋" w:eastAsia="仿宋" w:cs="仿宋"/>
          <w:sz w:val="24"/>
        </w:rPr>
        <w:t>仔细阅读操作手册，了解操作流程，熟练掌握不见面开标、不见面询标操作相关事宜，若无法正常投标，</w:t>
      </w:r>
      <w:r>
        <w:rPr>
          <w:rFonts w:hint="eastAsia" w:ascii="仿宋" w:hAnsi="仿宋" w:eastAsia="仿宋" w:cs="仿宋"/>
          <w:sz w:val="24"/>
          <w:lang w:eastAsia="zh-CN"/>
        </w:rPr>
        <w:t>投标供应商</w:t>
      </w:r>
      <w:r>
        <w:rPr>
          <w:rFonts w:hint="eastAsia" w:ascii="仿宋" w:hAnsi="仿宋" w:eastAsia="仿宋" w:cs="仿宋"/>
          <w:sz w:val="24"/>
        </w:rPr>
        <w:t>自行承担责任。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八、凡对本次采购提出询问，请按以下方式联系。</w:t>
      </w:r>
    </w:p>
    <w:p>
      <w:pPr>
        <w:spacing w:line="520" w:lineRule="exact"/>
        <w:outlineLvl w:val="1"/>
        <w:rPr>
          <w:rFonts w:hint="eastAsia" w:ascii="仿宋" w:hAnsi="仿宋" w:eastAsia="仿宋" w:cs="仿宋"/>
          <w:sz w:val="24"/>
        </w:rPr>
      </w:pPr>
      <w:r>
        <w:rPr>
          <w:rFonts w:hint="eastAsia" w:ascii="仿宋" w:hAnsi="仿宋" w:eastAsia="仿宋" w:cs="仿宋"/>
          <w:sz w:val="24"/>
        </w:rPr>
        <w:t>1、采购人信息</w:t>
      </w:r>
    </w:p>
    <w:p>
      <w:pPr>
        <w:spacing w:line="520" w:lineRule="exact"/>
        <w:ind w:firstLine="480" w:firstLineChars="200"/>
        <w:outlineLvl w:val="1"/>
        <w:rPr>
          <w:rFonts w:hint="eastAsia" w:ascii="仿宋" w:hAnsi="仿宋" w:eastAsia="仿宋" w:cs="仿宋"/>
          <w:sz w:val="24"/>
          <w:highlight w:val="none"/>
          <w:lang w:eastAsia="zh-CN"/>
        </w:rPr>
      </w:pPr>
      <w:r>
        <w:rPr>
          <w:rFonts w:hint="eastAsia" w:ascii="仿宋" w:hAnsi="仿宋" w:eastAsia="仿宋" w:cs="仿宋"/>
          <w:sz w:val="24"/>
          <w:highlight w:val="none"/>
        </w:rPr>
        <w:t>名称：</w:t>
      </w:r>
    </w:p>
    <w:p>
      <w:pPr>
        <w:spacing w:line="520" w:lineRule="exact"/>
        <w:ind w:firstLine="480" w:firstLineChars="200"/>
        <w:outlineLvl w:val="1"/>
        <w:rPr>
          <w:rFonts w:hint="eastAsia" w:ascii="仿宋" w:hAnsi="仿宋" w:eastAsia="仿宋" w:cs="仿宋"/>
          <w:sz w:val="24"/>
          <w:highlight w:val="none"/>
          <w:lang w:eastAsia="zh-CN"/>
        </w:rPr>
      </w:pPr>
      <w:r>
        <w:rPr>
          <w:rFonts w:hint="eastAsia" w:ascii="仿宋" w:hAnsi="仿宋" w:eastAsia="仿宋" w:cs="仿宋"/>
          <w:sz w:val="24"/>
          <w:highlight w:val="none"/>
        </w:rPr>
        <w:t>地址：</w:t>
      </w:r>
    </w:p>
    <w:p>
      <w:pPr>
        <w:spacing w:line="520" w:lineRule="exact"/>
        <w:ind w:firstLine="480" w:firstLineChars="200"/>
        <w:outlineLvl w:val="1"/>
        <w:rPr>
          <w:rFonts w:hint="eastAsia" w:ascii="仿宋" w:hAnsi="仿宋" w:eastAsia="仿宋" w:cs="仿宋"/>
          <w:sz w:val="24"/>
          <w:highlight w:val="none"/>
          <w:lang w:eastAsia="zh-CN"/>
        </w:rPr>
      </w:pPr>
      <w:r>
        <w:rPr>
          <w:rFonts w:hint="eastAsia" w:ascii="仿宋" w:hAnsi="仿宋" w:eastAsia="仿宋" w:cs="仿宋"/>
          <w:sz w:val="24"/>
          <w:highlight w:val="none"/>
        </w:rPr>
        <w:t>联系方式：</w:t>
      </w:r>
    </w:p>
    <w:p>
      <w:pPr>
        <w:spacing w:line="520" w:lineRule="exact"/>
        <w:outlineLvl w:val="1"/>
        <w:rPr>
          <w:rFonts w:hint="eastAsia" w:ascii="仿宋" w:hAnsi="仿宋" w:eastAsia="仿宋" w:cs="仿宋"/>
          <w:sz w:val="24"/>
        </w:rPr>
      </w:pPr>
      <w:r>
        <w:rPr>
          <w:rFonts w:hint="eastAsia" w:ascii="仿宋" w:hAnsi="仿宋" w:eastAsia="仿宋" w:cs="仿宋"/>
          <w:sz w:val="24"/>
        </w:rPr>
        <w:t>2、采购代理机构信息</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名称：陕西省采购招标有限责任公司</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地址：西安市高新二路2号山西证券大厦21楼</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联系方式：0912-3683703</w:t>
      </w:r>
    </w:p>
    <w:p>
      <w:pPr>
        <w:spacing w:line="520" w:lineRule="exact"/>
        <w:outlineLvl w:val="1"/>
        <w:rPr>
          <w:rFonts w:hint="eastAsia" w:ascii="仿宋" w:hAnsi="仿宋" w:eastAsia="仿宋" w:cs="仿宋"/>
          <w:sz w:val="24"/>
        </w:rPr>
      </w:pPr>
      <w:r>
        <w:rPr>
          <w:rFonts w:hint="eastAsia" w:ascii="仿宋" w:hAnsi="仿宋" w:eastAsia="仿宋" w:cs="仿宋"/>
          <w:sz w:val="24"/>
        </w:rPr>
        <w:t>3、项目联系方式</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尚智</w:t>
      </w:r>
      <w:r>
        <w:rPr>
          <w:rFonts w:hint="eastAsia" w:ascii="仿宋" w:hAnsi="仿宋" w:eastAsia="仿宋" w:cs="仿宋"/>
          <w:sz w:val="24"/>
        </w:rPr>
        <w:t xml:space="preserve">     </w:t>
      </w:r>
    </w:p>
    <w:p>
      <w:pPr>
        <w:spacing w:line="520" w:lineRule="exact"/>
        <w:ind w:firstLine="480" w:firstLineChars="200"/>
        <w:outlineLvl w:val="1"/>
        <w:rPr>
          <w:rFonts w:hint="default" w:ascii="仿宋" w:hAnsi="仿宋" w:eastAsia="仿宋" w:cs="仿宋"/>
          <w:sz w:val="24"/>
          <w:lang w:val="en-US" w:eastAsia="zh-CN"/>
        </w:rPr>
      </w:pPr>
      <w:r>
        <w:rPr>
          <w:rFonts w:hint="eastAsia" w:ascii="仿宋" w:hAnsi="仿宋" w:eastAsia="仿宋" w:cs="仿宋"/>
          <w:sz w:val="24"/>
        </w:rPr>
        <w:t>电 话：1</w:t>
      </w:r>
      <w:r>
        <w:rPr>
          <w:rFonts w:hint="eastAsia" w:ascii="仿宋" w:hAnsi="仿宋" w:eastAsia="仿宋" w:cs="仿宋"/>
          <w:sz w:val="24"/>
          <w:lang w:val="en-US" w:eastAsia="zh-CN"/>
        </w:rPr>
        <w:t>7349251183</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20" w:name="_Toc230013631"/>
      <w:bookmarkStart w:id="21" w:name="_Toc58504660"/>
      <w:bookmarkStart w:id="22" w:name="_Toc415499895"/>
      <w:bookmarkStart w:id="23" w:name="_Toc256342142"/>
      <w:bookmarkStart w:id="24" w:name="_Toc249515277"/>
      <w:bookmarkStart w:id="25" w:name="_Toc230583540"/>
      <w:bookmarkStart w:id="26" w:name="_Toc21126"/>
      <w:bookmarkStart w:id="27" w:name="_Toc249515389"/>
      <w:bookmarkStart w:id="28" w:name="_Toc232395211"/>
      <w:bookmarkStart w:id="29" w:name="_Toc249525158"/>
      <w:bookmarkStart w:id="30" w:name="_Toc230099796"/>
      <w:bookmarkStart w:id="31" w:name="_Toc232176271"/>
      <w:bookmarkStart w:id="32" w:name="_Toc184043011"/>
      <w:bookmarkStart w:id="33" w:name="_Toc58504446"/>
      <w:bookmarkStart w:id="34" w:name="_Toc232176272"/>
      <w:bookmarkStart w:id="35" w:name="_Toc500746965"/>
      <w:bookmarkStart w:id="36" w:name="_Toc496324578"/>
      <w:bookmarkStart w:id="37" w:name="_Toc500747188"/>
      <w:bookmarkStart w:id="38" w:name="_Toc503063421"/>
      <w:bookmarkStart w:id="39" w:name="_Toc70687139"/>
      <w:bookmarkStart w:id="40" w:name="_Toc184043012"/>
      <w:bookmarkStart w:id="41" w:name="_Toc177995473"/>
      <w:bookmarkStart w:id="42" w:name="_Toc232395212"/>
      <w:bookmarkStart w:id="43" w:name="_Toc230013632"/>
      <w:bookmarkStart w:id="44" w:name="_Toc499711883"/>
      <w:bookmarkStart w:id="45" w:name="_Toc256342143"/>
      <w:bookmarkStart w:id="46" w:name="_Toc177189235"/>
      <w:bookmarkStart w:id="47" w:name="_Toc249525159"/>
      <w:bookmarkStart w:id="48" w:name="_Toc500747061"/>
      <w:bookmarkStart w:id="49" w:name="_Toc249515390"/>
      <w:bookmarkStart w:id="50" w:name="_Toc176882542"/>
      <w:bookmarkStart w:id="51" w:name="_Toc499711042"/>
      <w:bookmarkStart w:id="52" w:name="_Toc53722840"/>
      <w:bookmarkStart w:id="53" w:name="_Toc492955414"/>
      <w:bookmarkStart w:id="54" w:name="_Toc230099797"/>
      <w:bookmarkStart w:id="55" w:name="_Toc249515278"/>
      <w:bookmarkStart w:id="56" w:name="_Toc230583541"/>
      <w:bookmarkStart w:id="57" w:name="_Toc177817334"/>
      <w:r>
        <w:rPr>
          <w:rFonts w:hint="eastAsia" w:ascii="仿宋" w:hAnsi="仿宋" w:eastAsia="仿宋" w:cs="仿宋"/>
          <w:b/>
          <w:i w:val="0"/>
          <w:iCs w:val="0"/>
          <w:color w:val="auto"/>
          <w:kern w:val="0"/>
          <w:sz w:val="32"/>
          <w:szCs w:val="32"/>
          <w:highlight w:val="none"/>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58" w:name="_Toc58504661"/>
      <w:r>
        <w:rPr>
          <w:rFonts w:hint="eastAsia" w:ascii="仿宋" w:hAnsi="仿宋" w:eastAsia="仿宋" w:cs="仿宋"/>
          <w:b/>
          <w:i w:val="0"/>
          <w:iCs w:val="0"/>
          <w:color w:val="auto"/>
          <w:kern w:val="0"/>
          <w:sz w:val="28"/>
          <w:szCs w:val="28"/>
          <w:highlight w:val="none"/>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本表是对供应商须知的具体补充和修改，如有矛盾，均以本表为准。</w:t>
      </w:r>
    </w:p>
    <w:p>
      <w:pPr>
        <w:ind w:left="720" w:hanging="720" w:hangingChars="343"/>
        <w:rPr>
          <w:rFonts w:hint="eastAsia" w:ascii="仿宋" w:hAnsi="仿宋" w:eastAsia="仿宋" w:cs="仿宋"/>
          <w:b/>
          <w:i w:val="0"/>
          <w:iCs w:val="0"/>
          <w:color w:val="auto"/>
          <w:sz w:val="20"/>
          <w:szCs w:val="20"/>
          <w:highlight w:val="none"/>
        </w:rPr>
      </w:pPr>
      <w:r>
        <w:rPr>
          <w:rFonts w:hint="eastAsia" w:ascii="仿宋" w:hAnsi="仿宋" w:eastAsia="仿宋" w:cs="仿宋"/>
          <w:i w:val="0"/>
          <w:iCs w:val="0"/>
          <w:color w:val="auto"/>
          <w:szCs w:val="21"/>
          <w:highlight w:val="none"/>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9"/>
              <w:adjustRightInd w:val="0"/>
              <w:snapToGrid w:val="0"/>
              <w:spacing w:line="240" w:lineRule="auto"/>
              <w:jc w:val="center"/>
              <w:rPr>
                <w:rFonts w:hint="eastAsia" w:ascii="仿宋" w:hAnsi="仿宋" w:eastAsia="仿宋" w:cs="仿宋"/>
                <w:b/>
                <w:i w:val="0"/>
                <w:iCs w:val="0"/>
                <w:color w:val="auto"/>
                <w:sz w:val="24"/>
                <w:szCs w:val="24"/>
                <w:highlight w:val="none"/>
              </w:rPr>
            </w:pPr>
            <w:bookmarkStart w:id="59" w:name="_Hlt14560610"/>
            <w:bookmarkEnd w:id="59"/>
            <w:bookmarkStart w:id="60" w:name="_Toc499711885"/>
            <w:bookmarkStart w:id="61" w:name="_Toc389620165"/>
            <w:bookmarkStart w:id="62" w:name="_Toc500747190"/>
            <w:bookmarkStart w:id="63" w:name="_Toc499711044"/>
            <w:bookmarkStart w:id="64" w:name="_Toc503063423"/>
            <w:bookmarkStart w:id="65" w:name="_Toc492955416"/>
            <w:bookmarkStart w:id="66" w:name="_Toc385992326"/>
            <w:bookmarkStart w:id="67" w:name="_Toc500747063"/>
            <w:bookmarkStart w:id="68" w:name="_Toc496324580"/>
            <w:bookmarkStart w:id="69" w:name="_Toc500746967"/>
            <w:r>
              <w:rPr>
                <w:rFonts w:hint="eastAsia" w:ascii="仿宋" w:hAnsi="仿宋" w:eastAsia="仿宋" w:cs="仿宋"/>
                <w:b/>
                <w:i w:val="0"/>
                <w:iCs w:val="0"/>
                <w:color w:val="auto"/>
                <w:sz w:val="24"/>
                <w:szCs w:val="24"/>
                <w:highlight w:val="none"/>
              </w:rPr>
              <w:t>条款号</w:t>
            </w:r>
          </w:p>
        </w:tc>
        <w:tc>
          <w:tcPr>
            <w:tcW w:w="7650" w:type="dxa"/>
            <w:vAlign w:val="center"/>
          </w:tcPr>
          <w:p>
            <w:pPr>
              <w:pStyle w:val="29"/>
              <w:adjustRightInd w:val="0"/>
              <w:snapToGrid w:val="0"/>
              <w:spacing w:line="240" w:lineRule="auto"/>
              <w:jc w:val="center"/>
              <w:rPr>
                <w:rFonts w:hint="eastAsia" w:ascii="仿宋" w:hAnsi="仿宋" w:eastAsia="仿宋" w:cs="仿宋"/>
                <w:b/>
                <w:i w:val="0"/>
                <w:iCs w:val="0"/>
                <w:color w:val="auto"/>
                <w:sz w:val="24"/>
                <w:szCs w:val="24"/>
                <w:highlight w:val="none"/>
              </w:rPr>
            </w:pPr>
            <w:r>
              <w:rPr>
                <w:rFonts w:hint="eastAsia" w:ascii="仿宋" w:hAnsi="仿宋" w:eastAsia="仿宋" w:cs="仿宋"/>
                <w:b/>
                <w:i w:val="0"/>
                <w:iCs w:val="0"/>
                <w:color w:val="auto"/>
                <w:sz w:val="24"/>
                <w:szCs w:val="24"/>
                <w:highlight w:val="none"/>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1.1</w:t>
            </w:r>
          </w:p>
        </w:tc>
        <w:tc>
          <w:tcPr>
            <w:tcW w:w="765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项目名称：</w:t>
            </w:r>
            <w:r>
              <w:rPr>
                <w:rFonts w:hint="eastAsia" w:ascii="仿宋" w:hAnsi="仿宋" w:eastAsia="仿宋" w:cs="仿宋"/>
                <w:i w:val="0"/>
                <w:iCs w:val="0"/>
                <w:color w:val="auto"/>
                <w:sz w:val="24"/>
                <w:szCs w:val="24"/>
                <w:highlight w:val="none"/>
                <w:lang w:eastAsia="zh-CN"/>
              </w:rPr>
              <w:t>中共神木市委政法委员会综治视联网全覆盖工程项目</w:t>
            </w:r>
          </w:p>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项目编号：</w:t>
            </w:r>
            <w:r>
              <w:rPr>
                <w:rFonts w:hint="eastAsia" w:ascii="仿宋" w:hAnsi="仿宋" w:eastAsia="仿宋" w:cs="仿宋"/>
                <w:i w:val="0"/>
                <w:iCs w:val="0"/>
                <w:color w:val="auto"/>
                <w:sz w:val="24"/>
                <w:szCs w:val="24"/>
                <w:highlight w:val="none"/>
                <w:lang w:eastAsia="zh-CN"/>
              </w:rPr>
              <w:t>SCZK2023-JT-2293/001</w:t>
            </w:r>
          </w:p>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资金来源：财政资金</w:t>
            </w:r>
          </w:p>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预算金额：</w:t>
            </w:r>
            <w:r>
              <w:rPr>
                <w:rFonts w:hint="eastAsia" w:ascii="仿宋" w:hAnsi="仿宋" w:eastAsia="仿宋" w:cs="仿宋"/>
                <w:i w:val="0"/>
                <w:iCs w:val="0"/>
                <w:caps w:val="0"/>
                <w:color w:val="auto"/>
                <w:spacing w:val="0"/>
                <w:sz w:val="24"/>
                <w:szCs w:val="24"/>
                <w:highlight w:val="none"/>
                <w:shd w:val="clear" w:color="auto" w:fill="FFFFFF"/>
                <w:lang w:val="en-US" w:eastAsia="zh-CN"/>
              </w:rPr>
              <w:t>1965000.00</w:t>
            </w:r>
            <w:r>
              <w:rPr>
                <w:rFonts w:hint="eastAsia" w:ascii="仿宋" w:hAnsi="仿宋" w:eastAsia="仿宋" w:cs="仿宋"/>
                <w:i w:val="0"/>
                <w:iCs w:val="0"/>
                <w:color w:val="auto"/>
                <w:sz w:val="24"/>
                <w:szCs w:val="24"/>
                <w:highlight w:val="none"/>
                <w:lang w:val="en-US" w:eastAsia="zh-CN"/>
              </w:rPr>
              <w:t>元</w:t>
            </w:r>
          </w:p>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采购方式：竞争性谈判</w:t>
            </w:r>
          </w:p>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采购内容：详见本谈判文件第四章</w:t>
            </w:r>
          </w:p>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项目所属行业：工业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w:t>
            </w:r>
          </w:p>
        </w:tc>
        <w:tc>
          <w:tcPr>
            <w:tcW w:w="7650" w:type="dxa"/>
            <w:vAlign w:val="center"/>
          </w:tcPr>
          <w:p>
            <w:pPr>
              <w:pStyle w:val="29"/>
              <w:adjustRightInd w:val="0"/>
              <w:snapToGrid w:val="0"/>
              <w:spacing w:line="240" w:lineRule="auto"/>
              <w:rPr>
                <w:rFonts w:hint="default"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采购人：</w:t>
            </w:r>
            <w:r>
              <w:rPr>
                <w:rFonts w:hint="eastAsia" w:ascii="仿宋" w:hAnsi="仿宋" w:eastAsia="仿宋" w:cs="仿宋"/>
                <w:i w:val="0"/>
                <w:iCs w:val="0"/>
                <w:color w:val="auto"/>
                <w:sz w:val="24"/>
                <w:szCs w:val="24"/>
                <w:highlight w:val="none"/>
                <w:lang w:eastAsia="zh-CN"/>
              </w:rPr>
              <w:t>中共神木市委政法委员会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2.2</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2.3</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邀请供应商的方式：</w:t>
            </w:r>
            <w:r>
              <w:rPr>
                <w:rFonts w:hint="eastAsia" w:ascii="仿宋" w:hAnsi="仿宋" w:eastAsia="仿宋" w:cs="仿宋"/>
                <w:sz w:val="24"/>
                <w:szCs w:val="24"/>
                <w:highlight w:val="none"/>
              </w:rPr>
              <w:t>发布谈判公告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080" w:type="dxa"/>
            <w:vAlign w:val="center"/>
          </w:tcPr>
          <w:p>
            <w:pPr>
              <w:pStyle w:val="29"/>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3.1</w:t>
            </w:r>
          </w:p>
        </w:tc>
        <w:tc>
          <w:tcPr>
            <w:tcW w:w="7650" w:type="dxa"/>
            <w:vAlign w:val="center"/>
          </w:tcPr>
          <w:p>
            <w:pPr>
              <w:pStyle w:val="15"/>
              <w:keepNext w:val="0"/>
              <w:keepLines w:val="0"/>
              <w:pageBreakBefore w:val="0"/>
              <w:widowControl w:val="0"/>
              <w:kinsoku/>
              <w:wordWrap/>
              <w:overflowPunct/>
              <w:topLinePunct w:val="0"/>
              <w:bidi w:val="0"/>
              <w:adjustRightInd w:val="0"/>
              <w:spacing w:line="240" w:lineRule="auto"/>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kern w:val="2"/>
                <w:highlight w:val="none"/>
              </w:rPr>
              <w:t>对供应商的资格要求：</w:t>
            </w:r>
            <w:r>
              <w:rPr>
                <w:rFonts w:hint="eastAsia" w:ascii="仿宋" w:hAnsi="仿宋" w:eastAsia="仿宋" w:cs="仿宋"/>
                <w:i w:val="0"/>
                <w:iCs w:val="0"/>
                <w:color w:val="auto"/>
                <w:kern w:val="2"/>
                <w:highlight w:val="none"/>
                <w:u w:val="single"/>
              </w:rPr>
              <w:t>详见谈判响应文件格式中第六部分资格证明文件内容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5</w:t>
            </w:r>
          </w:p>
        </w:tc>
        <w:tc>
          <w:tcPr>
            <w:tcW w:w="7650" w:type="dxa"/>
            <w:vAlign w:val="center"/>
          </w:tcPr>
          <w:p>
            <w:pPr>
              <w:pStyle w:val="15"/>
              <w:keepNext w:val="0"/>
              <w:keepLines w:val="0"/>
              <w:pageBreakBefore w:val="0"/>
              <w:widowControl w:val="0"/>
              <w:kinsoku/>
              <w:wordWrap/>
              <w:overflowPunct/>
              <w:topLinePunct w:val="0"/>
              <w:bidi w:val="0"/>
              <w:adjustRightInd w:val="0"/>
              <w:spacing w:line="240" w:lineRule="auto"/>
              <w:textAlignment w:val="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是否允许采购进口产品：</w:t>
            </w:r>
            <w:r>
              <w:rPr>
                <w:rFonts w:hint="eastAsia" w:ascii="仿宋" w:hAnsi="仿宋" w:eastAsia="仿宋" w:cs="仿宋"/>
                <w:i w:val="0"/>
                <w:iCs w:val="0"/>
                <w:color w:val="auto"/>
                <w:kern w:val="2"/>
                <w:highlight w:val="none"/>
                <w:u w:val="singl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6</w:t>
            </w:r>
          </w:p>
        </w:tc>
        <w:tc>
          <w:tcPr>
            <w:tcW w:w="7650" w:type="dxa"/>
            <w:vAlign w:val="center"/>
          </w:tcPr>
          <w:p>
            <w:pPr>
              <w:pStyle w:val="15"/>
              <w:spacing w:line="360" w:lineRule="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是否允许联合体</w:t>
            </w:r>
            <w:r>
              <w:rPr>
                <w:rFonts w:hint="eastAsia" w:ascii="仿宋" w:hAnsi="仿宋" w:eastAsia="仿宋" w:cs="仿宋"/>
                <w:i w:val="0"/>
                <w:iCs w:val="0"/>
                <w:color w:val="auto"/>
                <w:kern w:val="2"/>
                <w:highlight w:val="none"/>
                <w:lang w:val="en-US" w:eastAsia="zh-CN"/>
              </w:rPr>
              <w:t>谈判</w:t>
            </w:r>
            <w:r>
              <w:rPr>
                <w:rFonts w:hint="eastAsia" w:ascii="仿宋" w:hAnsi="仿宋" w:eastAsia="仿宋" w:cs="仿宋"/>
                <w:i w:val="0"/>
                <w:iCs w:val="0"/>
                <w:color w:val="auto"/>
                <w:kern w:val="2"/>
                <w:highlight w:val="none"/>
              </w:rPr>
              <w:t>：</w:t>
            </w:r>
            <w:r>
              <w:rPr>
                <w:rFonts w:hint="eastAsia" w:ascii="仿宋" w:hAnsi="仿宋" w:eastAsia="仿宋" w:cs="仿宋"/>
                <w:i w:val="0"/>
                <w:iCs w:val="0"/>
                <w:color w:val="auto"/>
                <w:kern w:val="2"/>
                <w:highlight w:val="none"/>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3.7</w:t>
            </w:r>
          </w:p>
        </w:tc>
        <w:tc>
          <w:tcPr>
            <w:tcW w:w="7650" w:type="dxa"/>
            <w:vAlign w:val="center"/>
          </w:tcPr>
          <w:p>
            <w:pPr>
              <w:pStyle w:val="15"/>
              <w:spacing w:line="360" w:lineRule="auto"/>
              <w:rPr>
                <w:rFonts w:hint="eastAsia" w:ascii="仿宋" w:hAnsi="仿宋" w:eastAsia="仿宋" w:cs="仿宋"/>
                <w:i w:val="0"/>
                <w:iCs w:val="0"/>
                <w:color w:val="auto"/>
                <w:highlight w:val="none"/>
                <w:lang w:val="en-US" w:eastAsia="zh-CN"/>
              </w:rPr>
            </w:pPr>
            <w:r>
              <w:rPr>
                <w:rFonts w:hint="eastAsia" w:ascii="仿宋" w:hAnsi="仿宋" w:eastAsia="仿宋" w:cs="仿宋"/>
                <w:i w:val="0"/>
                <w:iCs w:val="0"/>
                <w:color w:val="auto"/>
                <w:sz w:val="24"/>
                <w:highlight w:val="none"/>
              </w:rPr>
              <w:t>是否为专门面向中小企业采购：</w:t>
            </w:r>
            <w:r>
              <w:rPr>
                <w:rFonts w:hint="eastAsia" w:ascii="仿宋" w:hAnsi="仿宋" w:eastAsia="仿宋" w:cs="仿宋"/>
                <w:i w:val="0"/>
                <w:iCs w:val="0"/>
                <w:color w:val="auto"/>
                <w:sz w:val="24"/>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12.1</w:t>
            </w:r>
          </w:p>
        </w:tc>
        <w:tc>
          <w:tcPr>
            <w:tcW w:w="7650" w:type="dxa"/>
            <w:vAlign w:val="center"/>
          </w:tcPr>
          <w:p>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货物响应报价为完成本项目并达到谈判文件要求所需要的全部费用。包括产品供货、运杂费（含装卸、保险费、损耗费）</w:t>
            </w:r>
            <w:r>
              <w:rPr>
                <w:rFonts w:hint="eastAsia" w:ascii="仿宋" w:hAnsi="仿宋" w:eastAsia="仿宋" w:cs="仿宋"/>
                <w:i w:val="0"/>
                <w:iCs w:val="0"/>
                <w:color w:val="auto"/>
                <w:sz w:val="24"/>
                <w:highlight w:val="none"/>
                <w:lang w:eastAsia="zh-CN"/>
              </w:rPr>
              <w:t>网络建设安装费用</w:t>
            </w:r>
            <w:r>
              <w:rPr>
                <w:rFonts w:hint="eastAsia" w:ascii="仿宋" w:hAnsi="仿宋" w:eastAsia="仿宋" w:cs="仿宋"/>
                <w:i w:val="0"/>
                <w:iCs w:val="0"/>
                <w:color w:val="auto"/>
                <w:sz w:val="24"/>
                <w:highlight w:val="none"/>
              </w:rPr>
              <w:t xml:space="preserve">。 </w:t>
            </w:r>
          </w:p>
          <w:p>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（1）报价货币：人民币；</w:t>
            </w:r>
          </w:p>
          <w:p>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p>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14.1</w:t>
            </w:r>
          </w:p>
          <w:p>
            <w:pPr>
              <w:pStyle w:val="29"/>
              <w:adjustRightInd w:val="0"/>
              <w:snapToGrid w:val="0"/>
              <w:spacing w:line="240" w:lineRule="auto"/>
              <w:rPr>
                <w:rFonts w:hint="eastAsia" w:ascii="仿宋" w:hAnsi="仿宋" w:eastAsia="仿宋" w:cs="仿宋"/>
                <w:i w:val="0"/>
                <w:iCs w:val="0"/>
                <w:color w:val="auto"/>
                <w:sz w:val="24"/>
                <w:szCs w:val="24"/>
                <w:highlight w:val="none"/>
              </w:rPr>
            </w:pPr>
          </w:p>
        </w:tc>
        <w:tc>
          <w:tcPr>
            <w:tcW w:w="76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kern w:val="2"/>
                <w:sz w:val="24"/>
                <w:szCs w:val="21"/>
                <w:lang w:val="en-US" w:eastAsia="zh-CN" w:bidi="ar-SA"/>
              </w:rPr>
            </w:pPr>
            <w:r>
              <w:rPr>
                <w:rFonts w:hint="eastAsia" w:ascii="仿宋" w:hAnsi="仿宋" w:eastAsia="仿宋" w:cs="仿宋"/>
                <w:kern w:val="2"/>
                <w:sz w:val="24"/>
                <w:szCs w:val="21"/>
                <w:lang w:val="en-US" w:eastAsia="zh-CN" w:bidi="ar-SA"/>
              </w:rPr>
              <w:t>本项目采用“投标信用承诺书”代替投标保证金，投标人须在投标截止时间前在“信用中国（陕西榆林）”网站进行注册、登录、自主上报投标信用承诺书（网址：https://credit.yl.gov.cn/）。</w:t>
            </w:r>
          </w:p>
          <w:p>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i w:val="0"/>
                <w:iCs w:val="0"/>
                <w:color w:val="auto"/>
                <w:sz w:val="24"/>
                <w:highlight w:val="none"/>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15.1</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谈判有效期：自响应文件递交之日起</w:t>
            </w:r>
            <w:r>
              <w:rPr>
                <w:rFonts w:hint="eastAsia" w:ascii="仿宋" w:hAnsi="仿宋" w:eastAsia="仿宋" w:cs="仿宋"/>
                <w:i w:val="0"/>
                <w:iCs w:val="0"/>
                <w:color w:val="auto"/>
                <w:sz w:val="24"/>
                <w:szCs w:val="24"/>
                <w:highlight w:val="none"/>
                <w:u w:val="single"/>
              </w:rPr>
              <w:t xml:space="preserve">  60  </w:t>
            </w:r>
            <w:r>
              <w:rPr>
                <w:rFonts w:hint="eastAsia" w:ascii="仿宋" w:hAnsi="仿宋" w:eastAsia="仿宋" w:cs="仿宋"/>
                <w:i w:val="0"/>
                <w:iCs w:val="0"/>
                <w:color w:val="auto"/>
                <w:sz w:val="24"/>
                <w:szCs w:val="24"/>
                <w:highlight w:val="none"/>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16.1</w:t>
            </w:r>
          </w:p>
        </w:tc>
        <w:tc>
          <w:tcPr>
            <w:tcW w:w="7650" w:type="dxa"/>
            <w:vAlign w:val="center"/>
          </w:tcPr>
          <w:p>
            <w:pPr>
              <w:spacing w:line="360" w:lineRule="auto"/>
              <w:rPr>
                <w:rFonts w:hint="eastAsia" w:ascii="仿宋" w:hAnsi="仿宋" w:eastAsia="仿宋" w:cs="仿宋"/>
                <w:i w:val="0"/>
                <w:iCs w:val="0"/>
                <w:color w:val="auto"/>
                <w:sz w:val="24"/>
                <w:szCs w:val="24"/>
                <w:highlight w:val="none"/>
              </w:rPr>
            </w:pPr>
            <w:r>
              <w:rPr>
                <w:rFonts w:hint="eastAsia" w:ascii="仿宋" w:hAnsi="仿宋" w:eastAsia="仿宋" w:cs="仿宋"/>
                <w:sz w:val="24"/>
                <w:lang w:val="en-US" w:eastAsia="zh-CN"/>
              </w:rPr>
              <w:t>为积极响应榆林市公共资源交易中心的相关政策，本项目采用</w:t>
            </w:r>
            <w:r>
              <w:rPr>
                <w:rFonts w:hint="eastAsia" w:ascii="仿宋" w:hAnsi="仿宋" w:eastAsia="仿宋" w:cs="仿宋"/>
                <w:sz w:val="24"/>
                <w:lang w:val="zh-CN"/>
              </w:rPr>
              <w:t>电子化招</w:t>
            </w:r>
            <w:r>
              <w:rPr>
                <w:rFonts w:hint="eastAsia" w:ascii="仿宋" w:hAnsi="仿宋" w:eastAsia="仿宋" w:cs="仿宋"/>
                <w:sz w:val="24"/>
                <w:lang w:val="zh-CN" w:eastAsia="zh-CN"/>
              </w:rPr>
              <w:t>投标，电子投标</w:t>
            </w:r>
            <w:r>
              <w:rPr>
                <w:rFonts w:hint="eastAsia" w:ascii="仿宋" w:hAnsi="仿宋" w:eastAsia="仿宋" w:cs="仿宋"/>
                <w:sz w:val="24"/>
                <w:lang w:val="zh-CN"/>
              </w:rPr>
              <w:t>文件需在投标截止时间之前在陕西省公共资源交易中心平台（http://xxxq.sxggzyjy.cn/）递交；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17.3</w:t>
            </w:r>
          </w:p>
        </w:tc>
        <w:tc>
          <w:tcPr>
            <w:tcW w:w="7650" w:type="dxa"/>
            <w:vAlign w:val="center"/>
          </w:tcPr>
          <w:p>
            <w:pPr>
              <w:pStyle w:val="29"/>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sym w:font="Wingdings 2" w:char="0052"/>
            </w:r>
            <w:r>
              <w:rPr>
                <w:rFonts w:hint="eastAsia" w:ascii="仿宋" w:hAnsi="仿宋" w:eastAsia="仿宋" w:cs="仿宋"/>
                <w:i w:val="0"/>
                <w:iCs w:val="0"/>
                <w:color w:val="auto"/>
                <w:sz w:val="24"/>
                <w:szCs w:val="24"/>
                <w:highlight w:val="none"/>
              </w:rPr>
              <w:t xml:space="preserve"> 本项目不要求提交样品。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18.1</w:t>
            </w:r>
          </w:p>
        </w:tc>
        <w:tc>
          <w:tcPr>
            <w:tcW w:w="7650" w:type="dxa"/>
            <w:vAlign w:val="center"/>
          </w:tcPr>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响应文件递交截止时间：20</w:t>
            </w:r>
            <w:r>
              <w:rPr>
                <w:rFonts w:hint="eastAsia" w:ascii="仿宋" w:hAnsi="仿宋" w:eastAsia="仿宋" w:cs="仿宋"/>
                <w:i w:val="0"/>
                <w:iCs w:val="0"/>
                <w:color w:val="auto"/>
                <w:kern w:val="24"/>
                <w:sz w:val="24"/>
                <w:szCs w:val="21"/>
                <w:highlight w:val="none"/>
                <w:lang w:val="en-US" w:eastAsia="zh-CN"/>
              </w:rPr>
              <w:t>23</w:t>
            </w:r>
            <w:r>
              <w:rPr>
                <w:rFonts w:hint="eastAsia" w:ascii="仿宋" w:hAnsi="仿宋" w:eastAsia="仿宋" w:cs="仿宋"/>
                <w:i w:val="0"/>
                <w:iCs w:val="0"/>
                <w:color w:val="auto"/>
                <w:kern w:val="24"/>
                <w:sz w:val="24"/>
                <w:szCs w:val="21"/>
                <w:highlight w:val="none"/>
              </w:rPr>
              <w:t>年</w:t>
            </w:r>
            <w:r>
              <w:rPr>
                <w:rFonts w:hint="eastAsia" w:ascii="仿宋" w:hAnsi="仿宋" w:eastAsia="仿宋" w:cs="仿宋"/>
                <w:i w:val="0"/>
                <w:iCs w:val="0"/>
                <w:color w:val="auto"/>
                <w:kern w:val="24"/>
                <w:sz w:val="24"/>
                <w:szCs w:val="21"/>
                <w:highlight w:val="none"/>
                <w:lang w:val="en-US" w:eastAsia="zh-CN"/>
              </w:rPr>
              <w:t>11月15日09</w:t>
            </w:r>
            <w:r>
              <w:rPr>
                <w:rFonts w:hint="eastAsia" w:ascii="仿宋" w:hAnsi="仿宋" w:eastAsia="仿宋" w:cs="仿宋"/>
                <w:i w:val="0"/>
                <w:iCs w:val="0"/>
                <w:color w:val="auto"/>
                <w:kern w:val="24"/>
                <w:sz w:val="24"/>
                <w:szCs w:val="21"/>
                <w:highlight w:val="none"/>
              </w:rPr>
              <w:t>:</w:t>
            </w:r>
            <w:r>
              <w:rPr>
                <w:rFonts w:hint="eastAsia" w:ascii="仿宋" w:hAnsi="仿宋" w:eastAsia="仿宋" w:cs="仿宋"/>
                <w:i w:val="0"/>
                <w:iCs w:val="0"/>
                <w:color w:val="auto"/>
                <w:kern w:val="24"/>
                <w:sz w:val="24"/>
                <w:szCs w:val="21"/>
                <w:highlight w:val="none"/>
                <w:lang w:val="en-US" w:eastAsia="zh-CN"/>
              </w:rPr>
              <w:t>3</w:t>
            </w:r>
            <w:r>
              <w:rPr>
                <w:rFonts w:hint="eastAsia" w:ascii="仿宋" w:hAnsi="仿宋" w:eastAsia="仿宋" w:cs="仿宋"/>
                <w:i w:val="0"/>
                <w:iCs w:val="0"/>
                <w:color w:val="auto"/>
                <w:kern w:val="24"/>
                <w:sz w:val="24"/>
                <w:szCs w:val="21"/>
                <w:highlight w:val="none"/>
              </w:rPr>
              <w:t>0（北京时间）。</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kern w:val="24"/>
                <w:sz w:val="24"/>
                <w:szCs w:val="21"/>
                <w:highlight w:val="none"/>
              </w:rPr>
              <w:t>响应文件递交地点：</w:t>
            </w:r>
            <w:r>
              <w:rPr>
                <w:rFonts w:hint="eastAsia" w:ascii="仿宋" w:hAnsi="仿宋" w:eastAsia="仿宋" w:cs="仿宋"/>
                <w:i w:val="0"/>
                <w:iCs w:val="0"/>
                <w:color w:val="auto"/>
                <w:kern w:val="24"/>
                <w:sz w:val="24"/>
                <w:szCs w:val="21"/>
                <w:highlight w:val="none"/>
                <w:lang w:eastAsia="zh-CN"/>
              </w:rPr>
              <w:t>线上递交</w:t>
            </w:r>
            <w:r>
              <w:rPr>
                <w:rFonts w:hint="eastAsia" w:ascii="仿宋" w:hAnsi="仿宋" w:eastAsia="仿宋" w:cs="仿宋"/>
                <w:i w:val="0"/>
                <w:iCs w:val="0"/>
                <w:color w:val="auto"/>
                <w:kern w:val="24"/>
                <w:sz w:val="2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w:t>
            </w:r>
          </w:p>
        </w:tc>
        <w:tc>
          <w:tcPr>
            <w:tcW w:w="7650" w:type="dxa"/>
            <w:vAlign w:val="center"/>
          </w:tcPr>
          <w:p>
            <w:pPr>
              <w:spacing w:line="360" w:lineRule="exac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谈判小组由</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rPr>
              <w:t xml:space="preserve">3 </w:t>
            </w:r>
            <w:r>
              <w:rPr>
                <w:rFonts w:hint="eastAsia" w:ascii="仿宋" w:hAnsi="仿宋" w:eastAsia="仿宋" w:cs="仿宋"/>
                <w:i w:val="0"/>
                <w:iCs w:val="0"/>
                <w:color w:val="auto"/>
                <w:sz w:val="24"/>
                <w:highlight w:val="none"/>
              </w:rPr>
              <w:t>人组成，其中评审专家</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人，采购人代表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1</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w:t>
            </w:r>
          </w:p>
        </w:tc>
        <w:tc>
          <w:tcPr>
            <w:tcW w:w="765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本项目要求履约保证金，金额为成交合同金额的</w:t>
            </w:r>
            <w:r>
              <w:rPr>
                <w:rFonts w:hint="eastAsia" w:ascii="仿宋" w:hAnsi="仿宋" w:eastAsia="仿宋" w:cs="仿宋"/>
                <w:i w:val="0"/>
                <w:iCs w:val="0"/>
                <w:color w:val="auto"/>
                <w:sz w:val="24"/>
                <w:highlight w:val="none"/>
                <w:u w:val="singl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32</w:t>
            </w:r>
          </w:p>
        </w:tc>
        <w:tc>
          <w:tcPr>
            <w:tcW w:w="7650" w:type="dxa"/>
            <w:vAlign w:val="center"/>
          </w:tcPr>
          <w:p>
            <w:pPr>
              <w:tabs>
                <w:tab w:val="left" w:pos="588"/>
              </w:tabs>
              <w:spacing w:line="360" w:lineRule="auto"/>
              <w:rPr>
                <w:rFonts w:hint="eastAsia" w:ascii="仿宋" w:hAnsi="仿宋" w:eastAsia="仿宋" w:cs="仿宋"/>
                <w:i w:val="0"/>
                <w:iCs w:val="0"/>
                <w:color w:val="auto"/>
                <w:kern w:val="24"/>
                <w:sz w:val="24"/>
                <w:szCs w:val="21"/>
                <w:highlight w:val="none"/>
                <w:lang w:eastAsia="zh-CN"/>
              </w:rPr>
            </w:pPr>
            <w:r>
              <w:rPr>
                <w:rFonts w:hint="eastAsia" w:ascii="仿宋" w:hAnsi="仿宋" w:eastAsia="仿宋" w:cs="仿宋"/>
                <w:i w:val="0"/>
                <w:iCs w:val="0"/>
                <w:color w:val="auto"/>
                <w:kern w:val="24"/>
                <w:sz w:val="24"/>
                <w:szCs w:val="21"/>
                <w:highlight w:val="none"/>
                <w:lang w:eastAsia="zh-CN"/>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pPr>
              <w:tabs>
                <w:tab w:val="left" w:pos="588"/>
              </w:tabs>
              <w:spacing w:line="360" w:lineRule="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kern w:val="24"/>
                <w:sz w:val="24"/>
                <w:szCs w:val="21"/>
                <w:highlight w:val="none"/>
                <w:lang w:eastAsia="zh-CN"/>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33.1</w:t>
            </w:r>
          </w:p>
        </w:tc>
        <w:tc>
          <w:tcPr>
            <w:tcW w:w="7650" w:type="dxa"/>
            <w:vAlign w:val="center"/>
          </w:tcPr>
          <w:p>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pPr>
              <w:numPr>
                <w:ilvl w:val="0"/>
                <w:numId w:val="6"/>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响应</w:t>
            </w:r>
            <w:r>
              <w:rPr>
                <w:rFonts w:hint="eastAsia" w:ascii="仿宋" w:hAnsi="仿宋" w:eastAsia="仿宋" w:cs="仿宋"/>
                <w:sz w:val="24"/>
              </w:rPr>
              <w:t>文件，逾期提交系统将拒绝接收。</w:t>
            </w:r>
          </w:p>
          <w:p>
            <w:pPr>
              <w:numPr>
                <w:ilvl w:val="0"/>
                <w:numId w:val="6"/>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供应商可登录榆林交易平台〖首页〉不见面开标〗在线参与开评标过程，详见文件以及交易平台〖首页〉服务指南〉下载专区〗中的《榆林市不见面开标大厅操作手册（供应商）》</w:t>
            </w:r>
          </w:p>
          <w:p>
            <w:pPr>
              <w:numPr>
                <w:ilvl w:val="0"/>
                <w:numId w:val="6"/>
              </w:numPr>
              <w:spacing w:line="360" w:lineRule="auto"/>
              <w:rPr>
                <w:rFonts w:hint="eastAsia" w:ascii="仿宋" w:hAnsi="仿宋" w:eastAsia="仿宋" w:cs="仿宋"/>
                <w:b/>
                <w:sz w:val="24"/>
              </w:rPr>
            </w:pPr>
            <w:r>
              <w:rPr>
                <w:rFonts w:hint="eastAsia" w:ascii="仿宋" w:hAnsi="仿宋" w:eastAsia="仿宋" w:cs="仿宋"/>
                <w:b/>
                <w:sz w:val="24"/>
              </w:rPr>
              <w:t>不见面开标流程</w:t>
            </w:r>
          </w:p>
          <w:p>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响应</w:t>
            </w:r>
            <w:r>
              <w:rPr>
                <w:rFonts w:hint="eastAsia" w:ascii="仿宋" w:hAnsi="仿宋" w:eastAsia="仿宋" w:cs="仿宋"/>
                <w:sz w:val="24"/>
              </w:rPr>
              <w:t>文件时所用CA相同；注：解密时间为30分钟，在解密时间内供应商全部解密完成后，可提前进入开标下一阶段。</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i w:val="0"/>
                <w:iCs w:val="0"/>
                <w:color w:val="auto"/>
                <w:sz w:val="24"/>
                <w:highlight w:val="none"/>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34</w:t>
            </w:r>
          </w:p>
        </w:tc>
        <w:tc>
          <w:tcPr>
            <w:tcW w:w="7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宋体" w:hAnsi="宋体" w:cs="宋体"/>
                <w:b/>
                <w:bCs/>
                <w:sz w:val="24"/>
              </w:rPr>
            </w:pPr>
            <w:r>
              <w:rPr>
                <w:rFonts w:hint="eastAsia" w:ascii="宋体" w:hAnsi="宋体" w:cs="宋体"/>
                <w:b/>
                <w:bCs/>
                <w:sz w:val="24"/>
              </w:rPr>
              <w:t>中小企业规模的划分标准：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00" w:lineRule="auto"/>
              <w:ind w:left="0" w:right="0"/>
              <w:textAlignment w:val="auto"/>
              <w:rPr>
                <w:rFonts w:hint="eastAsia" w:ascii="仿宋" w:hAnsi="仿宋" w:eastAsia="仿宋" w:cs="仿宋"/>
                <w:sz w:val="24"/>
              </w:rPr>
            </w:pPr>
            <w:r>
              <w:rPr>
                <w:rFonts w:hint="eastAsia" w:ascii="仿宋" w:hAnsi="仿宋" w:eastAsia="仿宋" w:cs="仿宋"/>
                <w:sz w:val="24"/>
              </w:rPr>
              <w:t>各行业划分标准具体为：</w:t>
            </w:r>
          </w:p>
          <w:p>
            <w:pPr>
              <w:keepNext w:val="0"/>
              <w:keepLines w:val="0"/>
              <w:suppressLineNumbers w:val="0"/>
              <w:spacing w:before="0" w:beforeAutospacing="0" w:after="0" w:afterAutospacing="0" w:line="360" w:lineRule="auto"/>
              <w:ind w:left="0" w:right="0"/>
              <w:rPr>
                <w:rFonts w:hint="default" w:ascii="宋体" w:hAnsi="宋体" w:cs="宋体"/>
                <w:sz w:val="24"/>
              </w:rPr>
            </w:pPr>
            <w:r>
              <w:rPr>
                <w:rFonts w:hint="eastAsia" w:ascii="仿宋" w:hAnsi="仿宋" w:eastAsia="仿宋" w:cs="仿宋"/>
                <w:sz w:val="24"/>
              </w:rPr>
              <w:t>　　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r>
              <w:rPr>
                <w:rFonts w:hint="default" w:ascii="宋体" w:hAnsi="宋体" w:cs="宋体"/>
                <w:sz w:val="24"/>
              </w:rPr>
              <w:t>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b/>
                <w:bCs/>
                <w:sz w:val="24"/>
                <w:lang w:val="en-US" w:eastAsia="zh-CN"/>
              </w:rPr>
              <w:t>备注：与大企业的负责人为同一人，或者与大企业存在直接控股、管理关系的中小微企业不享受中小企业优惠政策。</w:t>
            </w:r>
          </w:p>
        </w:tc>
      </w:tr>
    </w:tbl>
    <w:p>
      <w:pPr>
        <w:adjustRightInd w:val="0"/>
        <w:spacing w:before="240" w:beforeLines="100" w:line="360" w:lineRule="auto"/>
        <w:ind w:right="-22"/>
        <w:jc w:val="center"/>
        <w:textAlignment w:val="baseline"/>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bookmarkStart w:id="70" w:name="_Toc249515391"/>
      <w:bookmarkStart w:id="71" w:name="_Toc177817335"/>
      <w:bookmarkStart w:id="72" w:name="_Toc230099798"/>
      <w:bookmarkStart w:id="73" w:name="_Toc176882543"/>
      <w:bookmarkStart w:id="74" w:name="_Toc70687140"/>
      <w:bookmarkStart w:id="75" w:name="_Toc249515279"/>
      <w:bookmarkStart w:id="76" w:name="_Toc232395213"/>
      <w:bookmarkStart w:id="77" w:name="_Toc177189236"/>
      <w:bookmarkStart w:id="78" w:name="_Toc230013633"/>
      <w:bookmarkStart w:id="79" w:name="_Toc177995474"/>
      <w:bookmarkStart w:id="80" w:name="_Toc256342144"/>
      <w:bookmarkStart w:id="81" w:name="_Toc184043013"/>
      <w:bookmarkStart w:id="82" w:name="_Toc53722841"/>
      <w:bookmarkStart w:id="83" w:name="_Toc249525160"/>
      <w:bookmarkStart w:id="84" w:name="_Toc230583542"/>
      <w:bookmarkStart w:id="85" w:name="_Toc232176273"/>
      <w:bookmarkStart w:id="86" w:name="_Toc58504662"/>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（二）供应商须知</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
        <w:rPr>
          <w:rFonts w:hint="eastAsia" w:ascii="仿宋" w:hAnsi="仿宋" w:eastAsia="仿宋" w:cs="仿宋"/>
          <w:b/>
          <w:i w:val="0"/>
          <w:iCs w:val="0"/>
          <w:color w:val="auto"/>
          <w:sz w:val="24"/>
          <w:szCs w:val="21"/>
          <w:highlight w:val="none"/>
        </w:rPr>
      </w:pPr>
      <w:bookmarkStart w:id="87" w:name="_Hlt14560612"/>
      <w:bookmarkEnd w:id="87"/>
      <w:bookmarkStart w:id="88" w:name="_Toc25504"/>
      <w:bookmarkStart w:id="89" w:name="_Toc184043014"/>
      <w:bookmarkStart w:id="90" w:name="_Toc249515392"/>
      <w:bookmarkStart w:id="91" w:name="_Toc249525161"/>
      <w:bookmarkStart w:id="92" w:name="_Toc249515280"/>
      <w:r>
        <w:rPr>
          <w:rFonts w:hint="eastAsia" w:ascii="仿宋" w:hAnsi="仿宋" w:eastAsia="仿宋" w:cs="仿宋"/>
          <w:b/>
          <w:i w:val="0"/>
          <w:iCs w:val="0"/>
          <w:color w:val="auto"/>
          <w:sz w:val="24"/>
          <w:szCs w:val="21"/>
          <w:highlight w:val="none"/>
        </w:rPr>
        <w:t>1.     项目说明</w:t>
      </w:r>
      <w:bookmarkEnd w:id="88"/>
      <w:bookmarkEnd w:id="89"/>
      <w:bookmarkEnd w:id="90"/>
      <w:bookmarkEnd w:id="91"/>
      <w:bookmarkEnd w:id="92"/>
    </w:p>
    <w:p>
      <w:pPr>
        <w:pStyle w:val="66"/>
        <w:widowControl w:val="0"/>
        <w:numPr>
          <w:ilvl w:val="1"/>
          <w:numId w:val="7"/>
        </w:numPr>
        <w:tabs>
          <w:tab w:val="left" w:pos="588"/>
        </w:tabs>
        <w:spacing w:before="0" w:beforeAutospacing="0" w:after="0" w:afterAutospacing="0"/>
        <w:textAlignment w:val="auto"/>
        <w:rPr>
          <w:rFonts w:hint="eastAsia" w:ascii="仿宋" w:hAnsi="仿宋" w:eastAsia="仿宋" w:cs="仿宋"/>
          <w:i w:val="0"/>
          <w:iCs w:val="0"/>
          <w:color w:val="auto"/>
          <w:kern w:val="24"/>
          <w:szCs w:val="21"/>
          <w:highlight w:val="none"/>
        </w:rPr>
      </w:pPr>
      <w:r>
        <w:rPr>
          <w:rFonts w:hint="eastAsia" w:ascii="仿宋" w:hAnsi="仿宋" w:eastAsia="仿宋" w:cs="仿宋"/>
          <w:i w:val="0"/>
          <w:iCs w:val="0"/>
          <w:color w:val="auto"/>
          <w:kern w:val="24"/>
          <w:szCs w:val="21"/>
          <w:highlight w:val="none"/>
        </w:rPr>
        <w:t xml:space="preserve">    项目说明：</w:t>
      </w:r>
      <w:r>
        <w:rPr>
          <w:rFonts w:hint="eastAsia" w:ascii="仿宋" w:hAnsi="仿宋" w:eastAsia="仿宋" w:cs="仿宋"/>
          <w:b/>
          <w:i w:val="0"/>
          <w:iCs w:val="0"/>
          <w:color w:val="auto"/>
          <w:kern w:val="24"/>
          <w:szCs w:val="21"/>
          <w:highlight w:val="none"/>
        </w:rPr>
        <w:t>见供应商须知前附表</w:t>
      </w:r>
      <w:r>
        <w:rPr>
          <w:rFonts w:hint="eastAsia" w:ascii="仿宋" w:hAnsi="仿宋" w:eastAsia="仿宋" w:cs="仿宋"/>
          <w:i w:val="0"/>
          <w:iCs w:val="0"/>
          <w:color w:val="auto"/>
          <w:kern w:val="24"/>
          <w:szCs w:val="21"/>
          <w:highlight w:val="none"/>
        </w:rPr>
        <w:t>。</w:t>
      </w:r>
    </w:p>
    <w:p>
      <w:pPr>
        <w:pStyle w:val="5"/>
        <w:rPr>
          <w:rFonts w:hint="eastAsia" w:ascii="仿宋" w:hAnsi="仿宋" w:eastAsia="仿宋" w:cs="仿宋"/>
          <w:b/>
          <w:i w:val="0"/>
          <w:iCs w:val="0"/>
          <w:color w:val="auto"/>
          <w:sz w:val="24"/>
          <w:szCs w:val="21"/>
          <w:highlight w:val="none"/>
        </w:rPr>
      </w:pPr>
      <w:bookmarkStart w:id="93" w:name="_Toc249525162"/>
      <w:bookmarkStart w:id="94" w:name="_Toc249515393"/>
      <w:bookmarkStart w:id="95" w:name="_Toc249515281"/>
      <w:bookmarkStart w:id="96" w:name="_Toc184043015"/>
      <w:bookmarkStart w:id="97" w:name="_Toc70687142"/>
      <w:bookmarkStart w:id="98" w:name="_Toc31509"/>
      <w:r>
        <w:rPr>
          <w:rFonts w:hint="eastAsia" w:ascii="仿宋" w:hAnsi="仿宋" w:eastAsia="仿宋" w:cs="仿宋"/>
          <w:b/>
          <w:i w:val="0"/>
          <w:iCs w:val="0"/>
          <w:color w:val="auto"/>
          <w:sz w:val="24"/>
          <w:szCs w:val="21"/>
          <w:highlight w:val="none"/>
        </w:rPr>
        <w:t>2.     定义</w:t>
      </w:r>
      <w:bookmarkEnd w:id="93"/>
      <w:bookmarkEnd w:id="94"/>
      <w:bookmarkEnd w:id="95"/>
      <w:bookmarkEnd w:id="96"/>
      <w:bookmarkEnd w:id="97"/>
      <w:bookmarkEnd w:id="98"/>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2.1    采购人：</w:t>
      </w:r>
      <w:r>
        <w:rPr>
          <w:rFonts w:hint="eastAsia" w:ascii="仿宋" w:hAnsi="仿宋" w:eastAsia="仿宋" w:cs="仿宋"/>
          <w:b/>
          <w:i w:val="0"/>
          <w:iCs w:val="0"/>
          <w:color w:val="auto"/>
          <w:sz w:val="24"/>
          <w:highlight w:val="none"/>
        </w:rPr>
        <w:t>见供应商须知前附表</w:t>
      </w:r>
      <w:r>
        <w:rPr>
          <w:rFonts w:hint="eastAsia" w:ascii="仿宋" w:hAnsi="仿宋" w:eastAsia="仿宋" w:cs="仿宋"/>
          <w:i w:val="0"/>
          <w:iCs w:val="0"/>
          <w:color w:val="auto"/>
          <w:sz w:val="24"/>
          <w:highlight w:val="none"/>
        </w:rPr>
        <w:t>。</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2.2    采购代理机构：</w:t>
      </w:r>
      <w:r>
        <w:rPr>
          <w:rFonts w:hint="eastAsia" w:ascii="仿宋" w:hAnsi="仿宋" w:eastAsia="仿宋" w:cs="仿宋"/>
          <w:b/>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3"/>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2.3    供应商：指响应谈判文件要求、参加竞争性谈判采购的法人、其他组织或者自然人。本次政府采购项目邀请供应商方式</w:t>
      </w:r>
      <w:r>
        <w:rPr>
          <w:rFonts w:hint="eastAsia" w:ascii="仿宋" w:hAnsi="仿宋" w:eastAsia="仿宋" w:cs="仿宋"/>
          <w:b/>
          <w:bCs/>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3"/>
        <w:tabs>
          <w:tab w:val="left" w:pos="360"/>
        </w:tabs>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    谈判小组：指依据《中华人民共和国政府采购法》和财政部《政府采购非招标采购方式管理办法》有关规定组建，依法依规履行其职责和义务的机构。</w:t>
      </w:r>
    </w:p>
    <w:p>
      <w:pPr>
        <w:pStyle w:val="5"/>
        <w:rPr>
          <w:rFonts w:hint="eastAsia" w:ascii="仿宋" w:hAnsi="仿宋" w:eastAsia="仿宋" w:cs="仿宋"/>
          <w:b/>
          <w:i w:val="0"/>
          <w:iCs w:val="0"/>
          <w:color w:val="auto"/>
          <w:sz w:val="24"/>
          <w:szCs w:val="21"/>
          <w:highlight w:val="none"/>
        </w:rPr>
      </w:pPr>
      <w:bookmarkStart w:id="99" w:name="_Toc389620168"/>
      <w:bookmarkStart w:id="100" w:name="_Toc70687143"/>
      <w:bookmarkStart w:id="101" w:name="_Toc184043016"/>
      <w:bookmarkStart w:id="102" w:name="_Toc23705"/>
      <w:bookmarkStart w:id="103" w:name="_Toc249515394"/>
      <w:bookmarkStart w:id="104" w:name="_Toc385992329"/>
      <w:bookmarkStart w:id="105" w:name="_Toc249525163"/>
      <w:bookmarkStart w:id="106" w:name="_Toc249515282"/>
      <w:r>
        <w:rPr>
          <w:rFonts w:hint="eastAsia" w:ascii="仿宋" w:hAnsi="仿宋" w:eastAsia="仿宋" w:cs="仿宋"/>
          <w:b/>
          <w:i w:val="0"/>
          <w:iCs w:val="0"/>
          <w:color w:val="auto"/>
          <w:sz w:val="24"/>
          <w:szCs w:val="21"/>
          <w:highlight w:val="none"/>
        </w:rPr>
        <w:t>3.     合格的供应商</w:t>
      </w:r>
      <w:bookmarkEnd w:id="99"/>
      <w:bookmarkEnd w:id="100"/>
      <w:bookmarkEnd w:id="101"/>
      <w:bookmarkEnd w:id="102"/>
      <w:bookmarkEnd w:id="103"/>
      <w:bookmarkEnd w:id="104"/>
      <w:bookmarkEnd w:id="105"/>
      <w:bookmarkEnd w:id="106"/>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3.1    供应商基本资质要求详见</w:t>
      </w:r>
      <w:r>
        <w:rPr>
          <w:rFonts w:hint="eastAsia" w:ascii="仿宋" w:hAnsi="仿宋" w:eastAsia="仿宋" w:cs="仿宋"/>
          <w:b/>
          <w:i w:val="0"/>
          <w:iCs w:val="0"/>
          <w:color w:val="auto"/>
          <w:kern w:val="24"/>
          <w:sz w:val="24"/>
          <w:szCs w:val="21"/>
          <w:highlight w:val="none"/>
        </w:rPr>
        <w:t>供应商须知前附表</w:t>
      </w:r>
      <w:r>
        <w:rPr>
          <w:rFonts w:hint="eastAsia" w:ascii="仿宋" w:hAnsi="仿宋" w:eastAsia="仿宋" w:cs="仿宋"/>
          <w:i w:val="0"/>
          <w:iCs w:val="0"/>
          <w:color w:val="auto"/>
          <w:kern w:val="24"/>
          <w:sz w:val="24"/>
          <w:szCs w:val="21"/>
          <w:highlight w:val="none"/>
        </w:rPr>
        <w:t>。</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    本项目将执行在政府采购活动中查询及使用信用记录的规定，具体要求为：</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3.2.1  供应商应当未被列入失信被执行人、</w:t>
      </w:r>
      <w:r>
        <w:rPr>
          <w:rFonts w:hint="eastAsia" w:ascii="仿宋" w:hAnsi="仿宋" w:eastAsia="仿宋" w:cs="仿宋"/>
          <w:i w:val="0"/>
          <w:iCs w:val="0"/>
          <w:color w:val="auto"/>
          <w:sz w:val="24"/>
          <w:highlight w:val="none"/>
        </w:rPr>
        <w:t>税收违法黑名单</w:t>
      </w:r>
      <w:r>
        <w:rPr>
          <w:rFonts w:hint="eastAsia" w:ascii="仿宋" w:hAnsi="仿宋" w:eastAsia="仿宋" w:cs="仿宋"/>
          <w:i w:val="0"/>
          <w:iCs w:val="0"/>
          <w:color w:val="auto"/>
          <w:kern w:val="24"/>
          <w:sz w:val="24"/>
          <w:szCs w:val="21"/>
          <w:highlight w:val="none"/>
        </w:rPr>
        <w:t>、政府采购严重违法失信行为记录名单，否则不得参与政府采购活动。</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3.2.2  信用信息查询的时间：响应文件递交截止时间之后至谈判</w:t>
      </w:r>
      <w:r>
        <w:rPr>
          <w:rFonts w:hint="eastAsia" w:ascii="仿宋" w:hAnsi="仿宋" w:eastAsia="仿宋" w:cs="仿宋"/>
          <w:i w:val="0"/>
          <w:iCs w:val="0"/>
          <w:color w:val="auto"/>
          <w:sz w:val="24"/>
          <w:highlight w:val="none"/>
        </w:rPr>
        <w:t>资格性检查结束</w:t>
      </w:r>
      <w:r>
        <w:rPr>
          <w:rFonts w:hint="eastAsia" w:ascii="仿宋" w:hAnsi="仿宋" w:eastAsia="仿宋" w:cs="仿宋"/>
          <w:i w:val="0"/>
          <w:iCs w:val="0"/>
          <w:color w:val="auto"/>
          <w:kern w:val="24"/>
          <w:sz w:val="24"/>
          <w:szCs w:val="21"/>
          <w:highlight w:val="none"/>
        </w:rPr>
        <w:t xml:space="preserve">。 </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3.2.3  查询渠道：“信用中国”网站（www.creditchina.gov.cn）和中国政府采购网（www.ccgp.gov.cn）。</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.4  信用信息查询记录和证据留存具体方式：将经查询存在不良信用记录的潜在供应商的查询结果网页截图作为查询记录和证据，与其他采购文件一并保存。</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.5  信用信息的使用规则：采购人或采购代理机构若发现参与本项目政府采购活动的供应商在存在不良信用记录的，将信用信息查询记录提交给谈判小组，作无效文件进行处理。</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3.3    供应商必须</w:t>
      </w:r>
      <w:r>
        <w:rPr>
          <w:rFonts w:hint="eastAsia" w:ascii="仿宋" w:hAnsi="仿宋" w:eastAsia="仿宋" w:cs="仿宋"/>
          <w:i w:val="0"/>
          <w:iCs w:val="0"/>
          <w:color w:val="auto"/>
          <w:kern w:val="24"/>
          <w:sz w:val="24"/>
          <w:szCs w:val="21"/>
          <w:highlight w:val="none"/>
          <w:lang w:eastAsia="zh-CN"/>
        </w:rPr>
        <w:t>按照谈判文件要求</w:t>
      </w:r>
      <w:r>
        <w:rPr>
          <w:rFonts w:hint="eastAsia" w:ascii="仿宋" w:hAnsi="仿宋" w:eastAsia="仿宋" w:cs="仿宋"/>
          <w:i w:val="0"/>
          <w:iCs w:val="0"/>
          <w:color w:val="auto"/>
          <w:kern w:val="24"/>
          <w:sz w:val="24"/>
          <w:szCs w:val="21"/>
          <w:highlight w:val="none"/>
          <w:lang w:val="en-US" w:eastAsia="zh-CN"/>
        </w:rPr>
        <w:t>获取</w:t>
      </w:r>
      <w:r>
        <w:rPr>
          <w:rFonts w:hint="eastAsia" w:ascii="仿宋" w:hAnsi="仿宋" w:eastAsia="仿宋" w:cs="仿宋"/>
          <w:i w:val="0"/>
          <w:iCs w:val="0"/>
          <w:color w:val="auto"/>
          <w:kern w:val="24"/>
          <w:sz w:val="24"/>
          <w:szCs w:val="21"/>
          <w:highlight w:val="none"/>
        </w:rPr>
        <w:t>谈判文件。</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4</w:t>
      </w:r>
      <w:r>
        <w:rPr>
          <w:rFonts w:hint="eastAsia" w:ascii="仿宋" w:hAnsi="仿宋" w:eastAsia="仿宋" w:cs="仿宋"/>
          <w:i w:val="0"/>
          <w:iCs w:val="0"/>
          <w:color w:val="auto"/>
          <w:kern w:val="24"/>
          <w:sz w:val="24"/>
          <w:szCs w:val="21"/>
          <w:highlight w:val="none"/>
        </w:rPr>
        <w:t xml:space="preserve">    供应商应遵守《中华人民共和国政府采购法》及其它有关的中国法律和法规。</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5</w:t>
      </w:r>
      <w:r>
        <w:rPr>
          <w:rFonts w:hint="eastAsia" w:ascii="仿宋" w:hAnsi="仿宋" w:eastAsia="仿宋" w:cs="仿宋"/>
          <w:i w:val="0"/>
          <w:iCs w:val="0"/>
          <w:color w:val="auto"/>
          <w:kern w:val="24"/>
          <w:sz w:val="24"/>
          <w:szCs w:val="21"/>
          <w:highlight w:val="none"/>
        </w:rPr>
        <w:t xml:space="preserve">    若前附表中写明允许采购进口产品，供应商应保证所投产品可履行合法报通关手续进入中国关境内。</w:t>
      </w:r>
    </w:p>
    <w:p>
      <w:pPr>
        <w:pStyle w:val="23"/>
        <w:ind w:left="838" w:leftChars="399" w:firstLine="0" w:firstLineChars="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若前附表中不允许采购进口产品，如供应商所投产品为进口产品，其响应文件将被认定为无效。</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 xml:space="preserve">    如须知前附表中允许联合体投标，对联合体规定如下：</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.1  两个及以上供应商可以组成一个投标联合体，以一个供应商的身份投标。</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.2  联合体各方均应符合本须知规定。</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.3  采购人根据采购项目对供应商的特殊要求，联合体中至少应当有一方符合相关规定。</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.4  联合体各方应签订共同</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响应协议，明确约定联合体各方承担的工作和相应的责任，并将共同响应协议作为响应文件的内容提交。</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.5  大中型企业、其他自然人、法人或者其他组织与小型、微型企业组成联合体共同参加磋商，共同响应协议中应写明小型、微型企业的协议合同金额占到共同响应协议报价总金额的比例。</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.6  以联合体形式参加政府采购活动的，联合体各方不得再单独参加或者与其他供应商另外组成联合体参加本项目同一合同项下的</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，否则相关响应文件将被认定为无效。</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.7  对联合体</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的其他资格要求见须知前附表。</w:t>
      </w:r>
    </w:p>
    <w:p>
      <w:pPr>
        <w:pStyle w:val="23"/>
        <w:ind w:left="840" w:leftChars="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lang w:val="en-US" w:eastAsia="zh-CN"/>
        </w:rPr>
        <w:t xml:space="preserve">3.7    </w:t>
      </w:r>
      <w:r>
        <w:rPr>
          <w:rFonts w:hint="eastAsia" w:ascii="仿宋" w:hAnsi="仿宋" w:eastAsia="仿宋" w:cs="仿宋"/>
          <w:i w:val="0"/>
          <w:iCs w:val="0"/>
          <w:color w:val="auto"/>
          <w:sz w:val="24"/>
          <w:highlight w:val="none"/>
        </w:rPr>
        <w:t>若</w:t>
      </w:r>
      <w:r>
        <w:rPr>
          <w:rFonts w:hint="eastAsia" w:ascii="仿宋" w:hAnsi="仿宋" w:eastAsia="仿宋" w:cs="仿宋"/>
          <w:i w:val="0"/>
          <w:iCs w:val="0"/>
          <w:color w:val="auto"/>
          <w:sz w:val="24"/>
          <w:highlight w:val="none"/>
          <w:u w:val="none"/>
        </w:rPr>
        <w:t>前附表</w:t>
      </w:r>
      <w:r>
        <w:rPr>
          <w:rFonts w:hint="eastAsia" w:ascii="仿宋" w:hAnsi="仿宋" w:eastAsia="仿宋" w:cs="仿宋"/>
          <w:i w:val="0"/>
          <w:iCs w:val="0"/>
          <w:color w:val="auto"/>
          <w:sz w:val="24"/>
          <w:highlight w:val="none"/>
        </w:rPr>
        <w:t>中写明专门面向中小企业采购的，如</w:t>
      </w: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为非中小企业或所投产品为非中小企业产品，其</w:t>
      </w:r>
      <w:r>
        <w:rPr>
          <w:rFonts w:hint="eastAsia" w:ascii="仿宋" w:hAnsi="仿宋" w:eastAsia="仿宋" w:cs="仿宋"/>
          <w:i w:val="0"/>
          <w:iCs w:val="0"/>
          <w:color w:val="auto"/>
          <w:sz w:val="24"/>
          <w:highlight w:val="none"/>
          <w:lang w:eastAsia="zh-CN"/>
        </w:rPr>
        <w:t>响应文件</w:t>
      </w:r>
      <w:r>
        <w:rPr>
          <w:rFonts w:hint="eastAsia" w:ascii="仿宋" w:hAnsi="仿宋" w:eastAsia="仿宋" w:cs="仿宋"/>
          <w:i w:val="0"/>
          <w:iCs w:val="0"/>
          <w:color w:val="auto"/>
          <w:sz w:val="24"/>
          <w:highlight w:val="none"/>
        </w:rPr>
        <w:t>将被认定为</w:t>
      </w:r>
      <w:r>
        <w:rPr>
          <w:rFonts w:hint="eastAsia" w:ascii="仿宋" w:hAnsi="仿宋" w:eastAsia="仿宋" w:cs="仿宋"/>
          <w:b w:val="0"/>
          <w:bCs w:val="0"/>
          <w:i w:val="0"/>
          <w:iCs w:val="0"/>
          <w:color w:val="auto"/>
          <w:sz w:val="24"/>
          <w:highlight w:val="none"/>
        </w:rPr>
        <w:t>无效。</w:t>
      </w:r>
    </w:p>
    <w:p>
      <w:pPr>
        <w:pStyle w:val="5"/>
        <w:rPr>
          <w:rFonts w:hint="eastAsia" w:ascii="仿宋" w:hAnsi="仿宋" w:eastAsia="仿宋" w:cs="仿宋"/>
          <w:b/>
          <w:i w:val="0"/>
          <w:iCs w:val="0"/>
          <w:color w:val="auto"/>
          <w:sz w:val="24"/>
          <w:szCs w:val="21"/>
          <w:highlight w:val="none"/>
        </w:rPr>
      </w:pPr>
      <w:bookmarkStart w:id="107" w:name="_Toc389620169"/>
      <w:bookmarkStart w:id="108" w:name="_Toc249515395"/>
      <w:bookmarkStart w:id="109" w:name="_Toc26580"/>
      <w:bookmarkStart w:id="110" w:name="_Toc184043017"/>
      <w:bookmarkStart w:id="111" w:name="_Toc249515283"/>
      <w:bookmarkStart w:id="112" w:name="_Toc70687144"/>
      <w:bookmarkStart w:id="113" w:name="_Toc249525164"/>
      <w:bookmarkStart w:id="114" w:name="_Toc385992330"/>
      <w:r>
        <w:rPr>
          <w:rFonts w:hint="eastAsia" w:ascii="仿宋" w:hAnsi="仿宋" w:eastAsia="仿宋" w:cs="仿宋"/>
          <w:b/>
          <w:i w:val="0"/>
          <w:iCs w:val="0"/>
          <w:color w:val="auto"/>
          <w:sz w:val="24"/>
          <w:szCs w:val="21"/>
          <w:highlight w:val="none"/>
        </w:rPr>
        <w:t>4.     响应费用</w:t>
      </w:r>
      <w:bookmarkEnd w:id="107"/>
      <w:bookmarkEnd w:id="108"/>
      <w:bookmarkEnd w:id="109"/>
      <w:bookmarkEnd w:id="110"/>
      <w:bookmarkEnd w:id="111"/>
      <w:bookmarkEnd w:id="112"/>
      <w:bookmarkEnd w:id="113"/>
      <w:bookmarkEnd w:id="114"/>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4.1    供应商应承担所有与编写和提交响应文件有关的费用，无论响应过程和结果如何，采购人在任何情况下均无义务和责任承担这些费用。</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115" w:name="_Toc184043018"/>
      <w:bookmarkStart w:id="116" w:name="_Toc177995475"/>
      <w:bookmarkStart w:id="117" w:name="_Toc53722842"/>
      <w:bookmarkStart w:id="118" w:name="_Toc499711045"/>
      <w:bookmarkStart w:id="119" w:name="_Toc249515284"/>
      <w:bookmarkStart w:id="120" w:name="_Toc500747064"/>
      <w:bookmarkStart w:id="121" w:name="_Toc70687145"/>
      <w:bookmarkStart w:id="122" w:name="_Toc230583543"/>
      <w:bookmarkStart w:id="123" w:name="_Toc503063424"/>
      <w:bookmarkStart w:id="124" w:name="_Toc176882544"/>
      <w:bookmarkStart w:id="125" w:name="_Toc500747191"/>
      <w:bookmarkStart w:id="126" w:name="_Toc230013634"/>
      <w:bookmarkStart w:id="127" w:name="_Toc230099799"/>
      <w:bookmarkStart w:id="128" w:name="_Toc177189237"/>
      <w:bookmarkStart w:id="129" w:name="_Toc232395214"/>
      <w:bookmarkStart w:id="130" w:name="_Toc249515396"/>
      <w:bookmarkStart w:id="131" w:name="_Toc249525165"/>
      <w:bookmarkStart w:id="132" w:name="_Toc496324581"/>
      <w:bookmarkStart w:id="133" w:name="_Toc256342145"/>
      <w:bookmarkStart w:id="134" w:name="_Toc232176274"/>
      <w:bookmarkStart w:id="135" w:name="_Toc177817336"/>
      <w:bookmarkStart w:id="136" w:name="_Toc389620170"/>
      <w:bookmarkStart w:id="137" w:name="_Toc499711886"/>
      <w:bookmarkStart w:id="138" w:name="_Toc385992331"/>
      <w:bookmarkStart w:id="139" w:name="_Toc492955417"/>
      <w:bookmarkStart w:id="140" w:name="_Toc500746968"/>
      <w:bookmarkStart w:id="141" w:name="_Toc58504663"/>
      <w:r>
        <w:rPr>
          <w:rFonts w:hint="eastAsia" w:ascii="仿宋" w:hAnsi="仿宋" w:eastAsia="仿宋" w:cs="仿宋"/>
          <w:b/>
          <w:i w:val="0"/>
          <w:iCs w:val="0"/>
          <w:color w:val="auto"/>
          <w:kern w:val="0"/>
          <w:sz w:val="28"/>
          <w:szCs w:val="28"/>
          <w:highlight w:val="none"/>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仿宋" w:hAnsi="仿宋" w:eastAsia="仿宋" w:cs="仿宋"/>
          <w:b/>
          <w:i w:val="0"/>
          <w:iCs w:val="0"/>
          <w:color w:val="auto"/>
          <w:kern w:val="0"/>
          <w:sz w:val="28"/>
          <w:szCs w:val="28"/>
          <w:highlight w:val="none"/>
        </w:rPr>
        <w:t>谈判文件说明</w:t>
      </w:r>
      <w:bookmarkEnd w:id="141"/>
    </w:p>
    <w:p>
      <w:pPr>
        <w:pStyle w:val="5"/>
        <w:rPr>
          <w:rFonts w:hint="eastAsia" w:ascii="仿宋" w:hAnsi="仿宋" w:eastAsia="仿宋" w:cs="仿宋"/>
          <w:b/>
          <w:i w:val="0"/>
          <w:iCs w:val="0"/>
          <w:color w:val="auto"/>
          <w:sz w:val="24"/>
          <w:szCs w:val="21"/>
          <w:highlight w:val="none"/>
        </w:rPr>
      </w:pPr>
      <w:bookmarkStart w:id="142" w:name="_Toc128"/>
      <w:bookmarkStart w:id="143" w:name="_Toc249515397"/>
      <w:bookmarkStart w:id="144" w:name="_Toc249515285"/>
      <w:bookmarkStart w:id="145" w:name="_Toc389620171"/>
      <w:bookmarkStart w:id="146" w:name="_Toc184043019"/>
      <w:bookmarkStart w:id="147" w:name="_Toc249525166"/>
      <w:bookmarkStart w:id="148" w:name="_Toc70687146"/>
      <w:bookmarkStart w:id="149" w:name="_Toc385992332"/>
      <w:r>
        <w:rPr>
          <w:rFonts w:hint="eastAsia" w:ascii="仿宋" w:hAnsi="仿宋" w:eastAsia="仿宋" w:cs="仿宋"/>
          <w:b/>
          <w:i w:val="0"/>
          <w:iCs w:val="0"/>
          <w:color w:val="auto"/>
          <w:sz w:val="24"/>
          <w:szCs w:val="21"/>
          <w:highlight w:val="none"/>
        </w:rPr>
        <w:t>5.     通知</w:t>
      </w:r>
      <w:bookmarkEnd w:id="142"/>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5.1    对与本项目有关的通知，采购人或采购代理机构将以书面（包括书面材料、信函、传真、电子邮件等，下同）的形式，送达所有与通知有关的已</w:t>
      </w:r>
      <w:r>
        <w:rPr>
          <w:rFonts w:hint="eastAsia" w:ascii="仿宋" w:hAnsi="仿宋" w:eastAsia="仿宋" w:cs="仿宋"/>
          <w:i w:val="0"/>
          <w:iCs w:val="0"/>
          <w:color w:val="auto"/>
          <w:kern w:val="24"/>
          <w:sz w:val="24"/>
          <w:szCs w:val="21"/>
          <w:highlight w:val="none"/>
          <w:lang w:val="en-US" w:eastAsia="zh-CN"/>
        </w:rPr>
        <w:t>获取</w:t>
      </w:r>
      <w:r>
        <w:rPr>
          <w:rFonts w:hint="eastAsia" w:ascii="仿宋" w:hAnsi="仿宋" w:eastAsia="仿宋" w:cs="仿宋"/>
          <w:i w:val="0"/>
          <w:iCs w:val="0"/>
          <w:color w:val="auto"/>
          <w:kern w:val="24"/>
          <w:sz w:val="24"/>
          <w:szCs w:val="21"/>
          <w:highlight w:val="none"/>
        </w:rPr>
        <w:t>了谈判文件的供应商（潜在供应商）。供应商应于收到通知后按规定时间以书面方式予以回复确认。因登记有误或传真线路故障导致通知延迟送达或无法送达，采购人或采购代理机构不承担责任。</w:t>
      </w:r>
    </w:p>
    <w:p>
      <w:pPr>
        <w:pStyle w:val="5"/>
        <w:rPr>
          <w:rFonts w:hint="eastAsia" w:ascii="仿宋" w:hAnsi="仿宋" w:eastAsia="仿宋" w:cs="仿宋"/>
          <w:b/>
          <w:i w:val="0"/>
          <w:iCs w:val="0"/>
          <w:color w:val="auto"/>
          <w:sz w:val="24"/>
          <w:szCs w:val="21"/>
          <w:highlight w:val="none"/>
        </w:rPr>
      </w:pPr>
      <w:bookmarkStart w:id="150" w:name="_Toc27223"/>
      <w:r>
        <w:rPr>
          <w:rFonts w:hint="eastAsia" w:ascii="仿宋" w:hAnsi="仿宋" w:eastAsia="仿宋" w:cs="仿宋"/>
          <w:b/>
          <w:i w:val="0"/>
          <w:iCs w:val="0"/>
          <w:color w:val="auto"/>
          <w:sz w:val="24"/>
          <w:szCs w:val="21"/>
          <w:highlight w:val="none"/>
        </w:rPr>
        <w:t>6.     谈判文件的构成</w:t>
      </w:r>
      <w:bookmarkEnd w:id="143"/>
      <w:bookmarkEnd w:id="144"/>
      <w:bookmarkEnd w:id="145"/>
      <w:bookmarkEnd w:id="146"/>
      <w:bookmarkEnd w:id="147"/>
      <w:bookmarkEnd w:id="148"/>
      <w:bookmarkEnd w:id="149"/>
      <w:bookmarkEnd w:id="150"/>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6.1    谈判文件用以阐明供应商所需提供的服务以及其它类似的义务、采购响应程序和合同条款。谈判文件包括如下五章内容：</w:t>
      </w:r>
    </w:p>
    <w:p>
      <w:pPr>
        <w:pStyle w:val="23"/>
        <w:ind w:left="838" w:leftChars="399"/>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第一章 谈判</w:t>
      </w:r>
      <w:r>
        <w:rPr>
          <w:rFonts w:hint="eastAsia" w:ascii="仿宋" w:hAnsi="仿宋" w:eastAsia="仿宋" w:cs="仿宋"/>
          <w:i w:val="0"/>
          <w:iCs w:val="0"/>
          <w:color w:val="auto"/>
          <w:sz w:val="24"/>
          <w:highlight w:val="none"/>
          <w:lang w:eastAsia="zh-CN"/>
        </w:rPr>
        <w:t>公告</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第二章 供应商须知</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第三章 合同草案条款</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第四章 采购内容及要求</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第五章 谈判响应文件格式</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6.2    供应商应认真阅读谈判文件中所有的事项、格式条款和规范要求等。供应商没有对谈判文件做出全面的实质性响应是供应商的风险。采购人有权拒绝没有对谈判文件要求做出实质性响应的响应文件。</w:t>
      </w:r>
    </w:p>
    <w:p>
      <w:pPr>
        <w:pStyle w:val="5"/>
        <w:rPr>
          <w:rFonts w:hint="eastAsia" w:ascii="仿宋" w:hAnsi="仿宋" w:eastAsia="仿宋" w:cs="仿宋"/>
          <w:b/>
          <w:i w:val="0"/>
          <w:iCs w:val="0"/>
          <w:color w:val="auto"/>
          <w:sz w:val="24"/>
          <w:szCs w:val="21"/>
          <w:highlight w:val="none"/>
        </w:rPr>
      </w:pPr>
      <w:bookmarkStart w:id="151" w:name="_Toc385992333"/>
      <w:bookmarkStart w:id="152" w:name="_Toc249515398"/>
      <w:bookmarkStart w:id="153" w:name="_Toc389620172"/>
      <w:bookmarkStart w:id="154" w:name="_Toc184043020"/>
      <w:bookmarkStart w:id="155" w:name="_Toc249525167"/>
      <w:bookmarkStart w:id="156" w:name="_Toc70687147"/>
      <w:bookmarkStart w:id="157" w:name="_Toc249515286"/>
      <w:bookmarkStart w:id="158" w:name="_Toc10350"/>
      <w:r>
        <w:rPr>
          <w:rFonts w:hint="eastAsia" w:ascii="仿宋" w:hAnsi="仿宋" w:eastAsia="仿宋" w:cs="仿宋"/>
          <w:b/>
          <w:i w:val="0"/>
          <w:iCs w:val="0"/>
          <w:color w:val="auto"/>
          <w:sz w:val="24"/>
          <w:szCs w:val="21"/>
          <w:highlight w:val="none"/>
        </w:rPr>
        <w:t xml:space="preserve">7.    </w:t>
      </w:r>
      <w:r>
        <w:rPr>
          <w:rFonts w:hint="eastAsia" w:ascii="仿宋" w:hAnsi="仿宋" w:eastAsia="仿宋" w:cs="仿宋"/>
          <w:b/>
          <w:i w:val="0"/>
          <w:iCs w:val="0"/>
          <w:color w:val="auto"/>
          <w:sz w:val="24"/>
          <w:szCs w:val="21"/>
          <w:highlight w:val="none"/>
          <w:lang w:val="en-US" w:eastAsia="zh-CN"/>
        </w:rPr>
        <w:t xml:space="preserve"> </w:t>
      </w:r>
      <w:r>
        <w:rPr>
          <w:rFonts w:hint="eastAsia" w:ascii="仿宋" w:hAnsi="仿宋" w:eastAsia="仿宋" w:cs="仿宋"/>
          <w:b/>
          <w:i w:val="0"/>
          <w:iCs w:val="0"/>
          <w:color w:val="auto"/>
          <w:sz w:val="24"/>
          <w:szCs w:val="21"/>
          <w:highlight w:val="none"/>
        </w:rPr>
        <w:t>谈判文件的澄清</w:t>
      </w:r>
      <w:bookmarkEnd w:id="151"/>
      <w:bookmarkEnd w:id="152"/>
      <w:bookmarkEnd w:id="153"/>
      <w:bookmarkEnd w:id="154"/>
      <w:bookmarkEnd w:id="155"/>
      <w:bookmarkEnd w:id="156"/>
      <w:bookmarkEnd w:id="157"/>
      <w:r>
        <w:rPr>
          <w:rFonts w:hint="eastAsia" w:ascii="仿宋" w:hAnsi="仿宋" w:eastAsia="仿宋" w:cs="仿宋"/>
          <w:b/>
          <w:i w:val="0"/>
          <w:iCs w:val="0"/>
          <w:color w:val="auto"/>
          <w:sz w:val="24"/>
          <w:szCs w:val="21"/>
          <w:highlight w:val="none"/>
        </w:rPr>
        <w:t>和修改</w:t>
      </w:r>
      <w:bookmarkEnd w:id="158"/>
    </w:p>
    <w:p>
      <w:pPr>
        <w:tabs>
          <w:tab w:val="left" w:pos="588"/>
        </w:tabs>
        <w:spacing w:line="360" w:lineRule="auto"/>
        <w:ind w:left="840" w:hanging="840" w:hangingChars="350"/>
        <w:rPr>
          <w:rFonts w:hint="eastAsia" w:ascii="仿宋" w:hAnsi="仿宋" w:eastAsia="仿宋" w:cs="仿宋"/>
          <w:i w:val="0"/>
          <w:iCs w:val="0"/>
          <w:color w:val="auto"/>
          <w:sz w:val="24"/>
          <w:highlight w:val="none"/>
        </w:rPr>
      </w:pPr>
      <w:bookmarkStart w:id="159" w:name="_Toc385992334"/>
      <w:bookmarkStart w:id="160" w:name="_Toc389620173"/>
      <w:bookmarkStart w:id="161" w:name="_Toc70687148"/>
      <w:r>
        <w:rPr>
          <w:rFonts w:hint="eastAsia" w:ascii="仿宋" w:hAnsi="仿宋" w:eastAsia="仿宋" w:cs="仿宋"/>
          <w:i w:val="0"/>
          <w:iCs w:val="0"/>
          <w:color w:val="auto"/>
          <w:sz w:val="24"/>
          <w:highlight w:val="none"/>
        </w:rPr>
        <w:t xml:space="preserve">7.1   </w:t>
      </w:r>
      <w:bookmarkEnd w:id="159"/>
      <w:bookmarkEnd w:id="160"/>
      <w:bookmarkEnd w:id="161"/>
      <w:bookmarkStart w:id="162" w:name="_Hlt491765710"/>
      <w:bookmarkEnd w:id="162"/>
      <w:bookmarkStart w:id="163" w:name="_Hlt497729436"/>
      <w:bookmarkEnd w:id="163"/>
      <w:bookmarkStart w:id="164" w:name="_Toc70687149"/>
      <w:bookmarkStart w:id="165" w:name="_Toc500747065"/>
      <w:bookmarkStart w:id="166" w:name="_Toc492955418"/>
      <w:bookmarkStart w:id="167" w:name="_Toc503063425"/>
      <w:bookmarkStart w:id="168" w:name="_Toc389620174"/>
      <w:bookmarkStart w:id="169" w:name="_Toc500747192"/>
      <w:bookmarkStart w:id="170" w:name="_Toc496324582"/>
      <w:bookmarkStart w:id="171" w:name="_Toc385992335"/>
      <w:bookmarkStart w:id="172" w:name="_Toc499711887"/>
      <w:bookmarkStart w:id="173" w:name="_Toc500746969"/>
      <w:bookmarkStart w:id="174" w:name="_Toc499711046"/>
      <w:bookmarkStart w:id="175" w:name="_Toc53722843"/>
      <w:r>
        <w:rPr>
          <w:rFonts w:hint="eastAsia" w:ascii="仿宋" w:hAnsi="仿宋" w:eastAsia="仿宋" w:cs="仿宋"/>
          <w:i w:val="0"/>
          <w:iCs w:val="0"/>
          <w:color w:val="auto"/>
          <w:sz w:val="24"/>
          <w:highlight w:val="none"/>
        </w:rPr>
        <w:t xml:space="preserve"> 在首次响应文件递交截止时间前，采购人或采购代理机构可主动地或在解答供应商提出的澄清问题时对谈判文件进行必要的澄清或修改，澄清或修改的内容为谈判文件的组成部分。</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7.2    谈判文件的修改将以书面形式通知所有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谈判文件的供应商，并对其具有约束力。供应商在收到上述通知后，应立即向采购人回函确认。</w:t>
      </w:r>
    </w:p>
    <w:p>
      <w:pPr>
        <w:tabs>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7.3    澄清或修改的内容可能影响响应文件编制的，采购人或采购代理机构可适当延长首次响应文件递交截止时间，并以书面形式通知所有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w:t>
      </w:r>
    </w:p>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28"/>
          <w:szCs w:val="28"/>
          <w:highlight w:val="none"/>
        </w:rPr>
      </w:pPr>
      <w:bookmarkStart w:id="176" w:name="_Toc184043022"/>
      <w:bookmarkStart w:id="177" w:name="_Toc176882545"/>
      <w:bookmarkStart w:id="178" w:name="_Toc177995476"/>
      <w:bookmarkStart w:id="179" w:name="_Toc230099800"/>
      <w:bookmarkStart w:id="180" w:name="_Toc249515288"/>
      <w:bookmarkStart w:id="181" w:name="_Toc230583544"/>
      <w:bookmarkStart w:id="182" w:name="_Toc58504664"/>
      <w:bookmarkStart w:id="183" w:name="_Toc177189238"/>
      <w:bookmarkStart w:id="184" w:name="_Toc249515400"/>
      <w:bookmarkStart w:id="185" w:name="_Toc230013635"/>
      <w:bookmarkStart w:id="186" w:name="_Toc177817337"/>
      <w:bookmarkStart w:id="187" w:name="_Toc249525169"/>
      <w:bookmarkStart w:id="188" w:name="_Toc232395215"/>
      <w:bookmarkStart w:id="189" w:name="_Toc256342146"/>
      <w:bookmarkStart w:id="190" w:name="_Toc232176275"/>
      <w:r>
        <w:rPr>
          <w:rFonts w:hint="eastAsia" w:ascii="仿宋" w:hAnsi="仿宋" w:eastAsia="仿宋" w:cs="仿宋"/>
          <w:b/>
          <w:i w:val="0"/>
          <w:iCs w:val="0"/>
          <w:color w:val="auto"/>
          <w:kern w:val="0"/>
          <w:sz w:val="28"/>
          <w:szCs w:val="28"/>
          <w:highlight w:val="none"/>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5"/>
        <w:tabs>
          <w:tab w:val="left" w:pos="360"/>
        </w:tabs>
        <w:rPr>
          <w:rFonts w:hint="eastAsia" w:ascii="仿宋" w:hAnsi="仿宋" w:eastAsia="仿宋" w:cs="仿宋"/>
          <w:b/>
          <w:i w:val="0"/>
          <w:iCs w:val="0"/>
          <w:color w:val="auto"/>
          <w:sz w:val="24"/>
          <w:szCs w:val="21"/>
          <w:highlight w:val="none"/>
        </w:rPr>
      </w:pPr>
      <w:bookmarkStart w:id="191" w:name="_Toc249525170"/>
      <w:bookmarkStart w:id="192" w:name="_Toc249515401"/>
      <w:bookmarkStart w:id="193" w:name="_Toc249515289"/>
      <w:bookmarkStart w:id="194" w:name="_Toc30150"/>
      <w:bookmarkStart w:id="195" w:name="_Toc184043023"/>
      <w:bookmarkStart w:id="196" w:name="_Toc70687150"/>
      <w:bookmarkStart w:id="197" w:name="_Toc389620176"/>
      <w:bookmarkStart w:id="198" w:name="_Toc385992337"/>
      <w:r>
        <w:rPr>
          <w:rFonts w:hint="eastAsia" w:ascii="仿宋" w:hAnsi="仿宋" w:eastAsia="仿宋" w:cs="仿宋"/>
          <w:b/>
          <w:i w:val="0"/>
          <w:iCs w:val="0"/>
          <w:color w:val="auto"/>
          <w:sz w:val="24"/>
          <w:szCs w:val="21"/>
          <w:highlight w:val="none"/>
        </w:rPr>
        <w:t>8.     响应文件语言</w:t>
      </w:r>
      <w:bookmarkEnd w:id="191"/>
      <w:bookmarkEnd w:id="192"/>
      <w:bookmarkEnd w:id="193"/>
      <w:bookmarkEnd w:id="194"/>
      <w:bookmarkEnd w:id="195"/>
      <w:bookmarkEnd w:id="196"/>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8.1    响应文件及与响应相关的所有文件均应以中文书写。</w:t>
      </w:r>
    </w:p>
    <w:p>
      <w:pPr>
        <w:pStyle w:val="5"/>
        <w:tabs>
          <w:tab w:val="left" w:pos="360"/>
        </w:tabs>
        <w:rPr>
          <w:rFonts w:hint="eastAsia" w:ascii="仿宋" w:hAnsi="仿宋" w:eastAsia="仿宋" w:cs="仿宋"/>
          <w:b/>
          <w:i w:val="0"/>
          <w:iCs w:val="0"/>
          <w:color w:val="auto"/>
          <w:sz w:val="24"/>
          <w:szCs w:val="21"/>
          <w:highlight w:val="none"/>
        </w:rPr>
      </w:pPr>
      <w:bookmarkStart w:id="199" w:name="_Toc184043024"/>
      <w:bookmarkStart w:id="200" w:name="_Toc249515290"/>
      <w:bookmarkStart w:id="201" w:name="_Toc249515402"/>
      <w:bookmarkStart w:id="202" w:name="_Toc18327"/>
      <w:bookmarkStart w:id="203" w:name="_Toc70687151"/>
      <w:bookmarkStart w:id="204" w:name="_Toc249525171"/>
      <w:r>
        <w:rPr>
          <w:rFonts w:hint="eastAsia" w:ascii="仿宋" w:hAnsi="仿宋" w:eastAsia="仿宋" w:cs="仿宋"/>
          <w:b/>
          <w:i w:val="0"/>
          <w:iCs w:val="0"/>
          <w:color w:val="auto"/>
          <w:sz w:val="24"/>
          <w:szCs w:val="21"/>
          <w:highlight w:val="none"/>
        </w:rPr>
        <w:t>9.     计量单位</w:t>
      </w:r>
      <w:bookmarkEnd w:id="197"/>
      <w:bookmarkEnd w:id="198"/>
      <w:bookmarkEnd w:id="199"/>
      <w:bookmarkEnd w:id="200"/>
      <w:bookmarkEnd w:id="201"/>
      <w:bookmarkEnd w:id="202"/>
      <w:bookmarkEnd w:id="203"/>
      <w:bookmarkEnd w:id="204"/>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9.1    除在谈判文件的技术规格中另有规定外，计量单位应使用中华人民共和国法定计量单位。</w:t>
      </w:r>
    </w:p>
    <w:p>
      <w:pPr>
        <w:pStyle w:val="5"/>
        <w:tabs>
          <w:tab w:val="left" w:pos="360"/>
        </w:tabs>
        <w:rPr>
          <w:rFonts w:hint="eastAsia" w:ascii="仿宋" w:hAnsi="仿宋" w:eastAsia="仿宋" w:cs="仿宋"/>
          <w:b/>
          <w:i w:val="0"/>
          <w:iCs w:val="0"/>
          <w:color w:val="auto"/>
          <w:sz w:val="24"/>
          <w:szCs w:val="21"/>
          <w:highlight w:val="none"/>
        </w:rPr>
      </w:pPr>
      <w:bookmarkStart w:id="205" w:name="_Toc184043025"/>
      <w:bookmarkStart w:id="206" w:name="_Toc29318"/>
      <w:bookmarkStart w:id="207" w:name="_Toc389620177"/>
      <w:bookmarkStart w:id="208" w:name="_Toc249525172"/>
      <w:bookmarkStart w:id="209" w:name="_Toc385992338"/>
      <w:bookmarkStart w:id="210" w:name="_Toc249515291"/>
      <w:bookmarkStart w:id="211" w:name="_Toc249515403"/>
      <w:bookmarkStart w:id="212" w:name="_Toc70687152"/>
      <w:r>
        <w:rPr>
          <w:rFonts w:hint="eastAsia" w:ascii="仿宋" w:hAnsi="仿宋" w:eastAsia="仿宋" w:cs="仿宋"/>
          <w:b/>
          <w:i w:val="0"/>
          <w:iCs w:val="0"/>
          <w:color w:val="auto"/>
          <w:sz w:val="24"/>
          <w:szCs w:val="21"/>
          <w:highlight w:val="none"/>
        </w:rPr>
        <w:t>10.    响应文件的组成</w:t>
      </w:r>
      <w:bookmarkEnd w:id="205"/>
      <w:bookmarkEnd w:id="206"/>
      <w:bookmarkEnd w:id="207"/>
      <w:bookmarkEnd w:id="208"/>
      <w:bookmarkEnd w:id="209"/>
      <w:bookmarkEnd w:id="210"/>
      <w:bookmarkEnd w:id="211"/>
      <w:bookmarkEnd w:id="212"/>
    </w:p>
    <w:p>
      <w:pPr>
        <w:tabs>
          <w:tab w:val="left" w:pos="588"/>
        </w:tabs>
        <w:spacing w:line="360" w:lineRule="auto"/>
        <w:ind w:left="840" w:leftChars="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10.1   供应商编写的响应文件</w:t>
      </w:r>
      <w:r>
        <w:rPr>
          <w:rFonts w:hint="eastAsia" w:ascii="仿宋" w:hAnsi="仿宋" w:eastAsia="仿宋" w:cs="仿宋"/>
          <w:b/>
          <w:i w:val="0"/>
          <w:iCs w:val="0"/>
          <w:color w:val="auto"/>
          <w:sz w:val="24"/>
          <w:highlight w:val="none"/>
        </w:rPr>
        <w:t>由《</w:t>
      </w:r>
      <w:r>
        <w:rPr>
          <w:rFonts w:hint="eastAsia" w:ascii="仿宋" w:hAnsi="仿宋" w:eastAsia="仿宋" w:cs="仿宋"/>
          <w:b/>
          <w:i w:val="0"/>
          <w:iCs w:val="0"/>
          <w:color w:val="auto"/>
          <w:sz w:val="24"/>
          <w:highlight w:val="none"/>
          <w:lang w:eastAsia="zh-CN"/>
        </w:rPr>
        <w:t>谈判响应文件</w:t>
      </w:r>
      <w:r>
        <w:rPr>
          <w:rFonts w:hint="eastAsia" w:ascii="仿宋" w:hAnsi="仿宋" w:eastAsia="仿宋" w:cs="仿宋"/>
          <w:b/>
          <w:i w:val="0"/>
          <w:iCs w:val="0"/>
          <w:color w:val="auto"/>
          <w:sz w:val="24"/>
          <w:highlight w:val="none"/>
        </w:rPr>
        <w:t>》</w:t>
      </w:r>
      <w:r>
        <w:rPr>
          <w:rFonts w:hint="eastAsia" w:ascii="仿宋" w:hAnsi="仿宋" w:eastAsia="仿宋" w:cs="仿宋"/>
          <w:i w:val="0"/>
          <w:iCs w:val="0"/>
          <w:color w:val="auto"/>
          <w:sz w:val="24"/>
          <w:highlight w:val="none"/>
        </w:rPr>
        <w:t>组成。供应商应完整地按照</w:t>
      </w:r>
      <w:r>
        <w:rPr>
          <w:rFonts w:hint="eastAsia" w:ascii="仿宋" w:hAnsi="仿宋" w:eastAsia="仿宋" w:cs="仿宋"/>
          <w:i w:val="0"/>
          <w:iCs w:val="0"/>
          <w:color w:val="auto"/>
          <w:sz w:val="24"/>
          <w:highlight w:val="none"/>
          <w:lang w:eastAsia="zh-CN"/>
        </w:rPr>
        <w:t>谈判</w:t>
      </w:r>
      <w:r>
        <w:rPr>
          <w:rFonts w:hint="eastAsia" w:ascii="仿宋" w:hAnsi="仿宋" w:eastAsia="仿宋" w:cs="仿宋"/>
          <w:i w:val="0"/>
          <w:iCs w:val="0"/>
          <w:color w:val="auto"/>
          <w:sz w:val="24"/>
          <w:highlight w:val="none"/>
        </w:rPr>
        <w:t>文件提供的响应文件格式及要求编写响应文件。响应文件中资格审查和符合性审查涉及的事项不满足要求的，其响应文件将被认定为无效。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en-US" w:eastAsia="zh-CN"/>
        </w:rPr>
        <w:t xml:space="preserve">10.2    </w:t>
      </w:r>
      <w:r>
        <w:rPr>
          <w:rFonts w:hint="eastAsia" w:ascii="仿宋" w:hAnsi="仿宋" w:eastAsia="仿宋" w:cs="仿宋"/>
          <w:i w:val="0"/>
          <w:iCs w:val="0"/>
          <w:color w:val="auto"/>
          <w:sz w:val="24"/>
          <w:highlight w:val="none"/>
        </w:rPr>
        <w:t>供应商编写的响应文件由以下</w:t>
      </w:r>
      <w:r>
        <w:rPr>
          <w:rFonts w:hint="eastAsia" w:ascii="仿宋" w:hAnsi="仿宋" w:eastAsia="仿宋" w:cs="仿宋"/>
          <w:i w:val="0"/>
          <w:iCs w:val="0"/>
          <w:color w:val="auto"/>
          <w:sz w:val="24"/>
          <w:highlight w:val="none"/>
          <w:lang w:eastAsia="zh-CN"/>
        </w:rPr>
        <w:t>七</w:t>
      </w:r>
      <w:r>
        <w:rPr>
          <w:rFonts w:hint="eastAsia" w:ascii="仿宋" w:hAnsi="仿宋" w:eastAsia="仿宋" w:cs="仿宋"/>
          <w:i w:val="0"/>
          <w:iCs w:val="0"/>
          <w:color w:val="auto"/>
          <w:sz w:val="24"/>
          <w:highlight w:val="none"/>
        </w:rPr>
        <w:t>部分组成，应包括但不限于以下内容：</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第一部分  谈判响应函</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第二部分  谈判响应报价表 </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第三部分  偏离表</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第四部分  响应方案说明</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第五部分  授权委托书及法定代表人证明</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第六部分  资格证明文件</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第七部分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小微企业、监狱企业、残疾人福利单位声明函或证明</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w:t>
      </w:r>
      <w:r>
        <w:rPr>
          <w:rFonts w:hint="eastAsia" w:ascii="仿宋" w:hAnsi="仿宋" w:eastAsia="仿宋" w:cs="仿宋"/>
          <w:i w:val="0"/>
          <w:iCs w:val="0"/>
          <w:color w:val="auto"/>
          <w:sz w:val="24"/>
          <w:highlight w:val="none"/>
          <w:lang w:val="en-US" w:eastAsia="zh-CN"/>
        </w:rPr>
        <w:t>3</w:t>
      </w:r>
      <w:r>
        <w:rPr>
          <w:rFonts w:hint="eastAsia" w:ascii="仿宋" w:hAnsi="仿宋" w:eastAsia="仿宋" w:cs="仿宋"/>
          <w:i w:val="0"/>
          <w:iCs w:val="0"/>
          <w:color w:val="auto"/>
          <w:sz w:val="24"/>
          <w:highlight w:val="none"/>
        </w:rPr>
        <w:t xml:space="preserve">   供应商提供的以上材料必须真实有效，任何一项的虚假将导致其响应被拒绝。</w:t>
      </w:r>
    </w:p>
    <w:p>
      <w:pPr>
        <w:pStyle w:val="5"/>
        <w:tabs>
          <w:tab w:val="left" w:pos="360"/>
        </w:tabs>
        <w:rPr>
          <w:rFonts w:hint="eastAsia" w:ascii="仿宋" w:hAnsi="仿宋" w:eastAsia="仿宋" w:cs="仿宋"/>
          <w:b/>
          <w:i w:val="0"/>
          <w:iCs w:val="0"/>
          <w:color w:val="auto"/>
          <w:sz w:val="24"/>
          <w:szCs w:val="21"/>
          <w:highlight w:val="none"/>
        </w:rPr>
      </w:pPr>
      <w:bookmarkStart w:id="213" w:name="_Toc184043026"/>
      <w:bookmarkStart w:id="214" w:name="_Toc249525173"/>
      <w:bookmarkStart w:id="215" w:name="_Toc385992339"/>
      <w:bookmarkStart w:id="216" w:name="_Toc70687153"/>
      <w:bookmarkStart w:id="217" w:name="_Toc389620178"/>
      <w:bookmarkStart w:id="218" w:name="_Toc26312"/>
      <w:bookmarkStart w:id="219" w:name="_Toc249515404"/>
      <w:bookmarkStart w:id="220" w:name="_Toc249515292"/>
      <w:r>
        <w:rPr>
          <w:rFonts w:hint="eastAsia" w:ascii="仿宋" w:hAnsi="仿宋" w:eastAsia="仿宋" w:cs="仿宋"/>
          <w:b/>
          <w:i w:val="0"/>
          <w:iCs w:val="0"/>
          <w:color w:val="auto"/>
          <w:sz w:val="24"/>
          <w:highlight w:val="none"/>
        </w:rPr>
        <w:t>11.    响应文件格式</w:t>
      </w:r>
      <w:bookmarkEnd w:id="213"/>
      <w:bookmarkEnd w:id="214"/>
      <w:bookmarkEnd w:id="215"/>
      <w:bookmarkEnd w:id="216"/>
      <w:bookmarkEnd w:id="217"/>
      <w:bookmarkEnd w:id="218"/>
      <w:bookmarkEnd w:id="219"/>
      <w:bookmarkEnd w:id="220"/>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11.1   对于谈判文件第五章中已经提供了格式的响应文件内容，供应商必须按提供的响应文件格式进行填写和编制，没有提供格式的可自行设计。</w:t>
      </w:r>
    </w:p>
    <w:p>
      <w:pPr>
        <w:pStyle w:val="5"/>
        <w:tabs>
          <w:tab w:val="left" w:pos="360"/>
        </w:tabs>
        <w:rPr>
          <w:rFonts w:hint="eastAsia" w:ascii="仿宋" w:hAnsi="仿宋" w:eastAsia="仿宋" w:cs="仿宋"/>
          <w:b/>
          <w:i w:val="0"/>
          <w:iCs w:val="0"/>
          <w:color w:val="auto"/>
          <w:sz w:val="24"/>
          <w:szCs w:val="21"/>
          <w:highlight w:val="none"/>
        </w:rPr>
      </w:pPr>
      <w:bookmarkStart w:id="221" w:name="_Toc26688"/>
      <w:r>
        <w:rPr>
          <w:rFonts w:hint="eastAsia" w:ascii="仿宋" w:hAnsi="仿宋" w:eastAsia="仿宋" w:cs="仿宋"/>
          <w:b/>
          <w:i w:val="0"/>
          <w:iCs w:val="0"/>
          <w:color w:val="auto"/>
          <w:sz w:val="24"/>
          <w:szCs w:val="21"/>
          <w:highlight w:val="none"/>
        </w:rPr>
        <w:t>12.    响应报价</w:t>
      </w:r>
      <w:bookmarkEnd w:id="221"/>
    </w:p>
    <w:p>
      <w:pPr>
        <w:tabs>
          <w:tab w:val="left" w:pos="540"/>
          <w:tab w:val="left" w:pos="720"/>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i w:val="0"/>
          <w:iCs w:val="0"/>
          <w:color w:val="auto"/>
          <w:kern w:val="24"/>
          <w:sz w:val="24"/>
          <w:szCs w:val="21"/>
          <w:highlight w:val="none"/>
        </w:rPr>
        <w:t>供应商须知前附表。</w:t>
      </w:r>
    </w:p>
    <w:p>
      <w:pPr>
        <w:tabs>
          <w:tab w:val="left" w:pos="540"/>
          <w:tab w:val="left" w:pos="8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12.2   供应商应在响应分项报价表中详细列出所报货物和</w:t>
      </w:r>
      <w:r>
        <w:rPr>
          <w:rFonts w:hint="eastAsia" w:ascii="仿宋" w:hAnsi="仿宋" w:eastAsia="仿宋" w:cs="仿宋"/>
          <w:i w:val="0"/>
          <w:iCs w:val="0"/>
          <w:color w:val="auto"/>
          <w:sz w:val="24"/>
          <w:highlight w:val="none"/>
        </w:rPr>
        <w:t>服务</w:t>
      </w:r>
      <w:r>
        <w:rPr>
          <w:rFonts w:hint="eastAsia" w:ascii="仿宋" w:hAnsi="仿宋" w:eastAsia="仿宋" w:cs="仿宋"/>
          <w:i w:val="0"/>
          <w:iCs w:val="0"/>
          <w:color w:val="auto"/>
          <w:kern w:val="24"/>
          <w:sz w:val="24"/>
          <w:szCs w:val="21"/>
          <w:highlight w:val="none"/>
        </w:rPr>
        <w:t>的单价（如适用）和总价，并由法定代表人或其授权代表签署并加盖公章。响应分项报价表上的价格应按谈判文件第五章的格式填写。</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12.5   供应商每次对每种</w:t>
      </w:r>
      <w:r>
        <w:rPr>
          <w:rFonts w:hint="eastAsia" w:ascii="仿宋" w:hAnsi="仿宋" w:eastAsia="仿宋" w:cs="仿宋"/>
          <w:i w:val="0"/>
          <w:iCs w:val="0"/>
          <w:color w:val="auto"/>
          <w:kern w:val="24"/>
          <w:sz w:val="24"/>
          <w:szCs w:val="21"/>
          <w:highlight w:val="none"/>
          <w:u w:val="single"/>
        </w:rPr>
        <w:t>产品（或服务）</w:t>
      </w:r>
      <w:r>
        <w:rPr>
          <w:rFonts w:hint="eastAsia" w:ascii="仿宋" w:hAnsi="仿宋" w:eastAsia="仿宋" w:cs="仿宋"/>
          <w:i w:val="0"/>
          <w:iCs w:val="0"/>
          <w:color w:val="auto"/>
          <w:kern w:val="24"/>
          <w:sz w:val="24"/>
          <w:szCs w:val="21"/>
          <w:highlight w:val="none"/>
        </w:rPr>
        <w:t>只允许有一个报价，采购人不接受有任何选择的报价。</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highlight w:val="none"/>
        </w:rPr>
        <w:t>12.6   供应商根据本须知12.2条规定将响应报价分成几部分并按</w:t>
      </w:r>
      <w:r>
        <w:rPr>
          <w:rFonts w:hint="eastAsia" w:ascii="仿宋" w:hAnsi="仿宋" w:eastAsia="仿宋" w:cs="仿宋"/>
          <w:i w:val="0"/>
          <w:iCs w:val="0"/>
          <w:color w:val="auto"/>
          <w:kern w:val="24"/>
          <w:sz w:val="24"/>
          <w:szCs w:val="21"/>
          <w:highlight w:val="none"/>
        </w:rPr>
        <w:t>谈判文件第五章提供的格式填写“响应分项报价表”，只是为了方便采购人对响应文件进行比较，并不限制采购人以其它方式签订合同的权力。</w:t>
      </w:r>
    </w:p>
    <w:p>
      <w:pPr>
        <w:pStyle w:val="5"/>
        <w:tabs>
          <w:tab w:val="left" w:pos="360"/>
        </w:tabs>
        <w:rPr>
          <w:rFonts w:hint="eastAsia" w:ascii="仿宋" w:hAnsi="仿宋" w:eastAsia="仿宋" w:cs="仿宋"/>
          <w:b/>
          <w:i w:val="0"/>
          <w:iCs w:val="0"/>
          <w:color w:val="auto"/>
          <w:sz w:val="24"/>
          <w:szCs w:val="21"/>
          <w:highlight w:val="none"/>
        </w:rPr>
      </w:pPr>
      <w:bookmarkStart w:id="222" w:name="_Toc385992341"/>
      <w:bookmarkStart w:id="223" w:name="_Toc249525175"/>
      <w:bookmarkStart w:id="224" w:name="_Toc184043028"/>
      <w:bookmarkStart w:id="225" w:name="_Toc249515406"/>
      <w:bookmarkStart w:id="226" w:name="_Toc70687155"/>
      <w:bookmarkStart w:id="227" w:name="_Toc20687"/>
      <w:bookmarkStart w:id="228" w:name="_Toc249515294"/>
      <w:bookmarkStart w:id="229" w:name="_Toc389620180"/>
      <w:r>
        <w:rPr>
          <w:rFonts w:hint="eastAsia" w:ascii="仿宋" w:hAnsi="仿宋" w:eastAsia="仿宋" w:cs="仿宋"/>
          <w:b/>
          <w:i w:val="0"/>
          <w:iCs w:val="0"/>
          <w:color w:val="auto"/>
          <w:sz w:val="24"/>
          <w:szCs w:val="21"/>
          <w:highlight w:val="none"/>
        </w:rPr>
        <w:t>13.    报价货币</w:t>
      </w:r>
      <w:bookmarkEnd w:id="222"/>
      <w:bookmarkEnd w:id="223"/>
      <w:bookmarkEnd w:id="224"/>
      <w:bookmarkEnd w:id="225"/>
      <w:bookmarkEnd w:id="226"/>
      <w:bookmarkEnd w:id="227"/>
      <w:bookmarkEnd w:id="228"/>
      <w:bookmarkEnd w:id="229"/>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13.1   谈判响应函、响应报价一览表、响应分项报价表、最后报价表等所有报价一律用人民币填报。采购人不接受任何非人民币币种的报价。</w:t>
      </w:r>
      <w:bookmarkStart w:id="230" w:name="_Toc385992342"/>
      <w:bookmarkStart w:id="231" w:name="_Toc389620181"/>
    </w:p>
    <w:bookmarkEnd w:id="230"/>
    <w:bookmarkEnd w:id="231"/>
    <w:p>
      <w:pPr>
        <w:pStyle w:val="5"/>
        <w:rPr>
          <w:rFonts w:hint="eastAsia" w:ascii="仿宋" w:hAnsi="仿宋" w:eastAsia="仿宋" w:cs="仿宋"/>
          <w:b/>
          <w:kern w:val="24"/>
          <w:sz w:val="24"/>
          <w:szCs w:val="21"/>
          <w:lang w:eastAsia="zh-CN"/>
        </w:rPr>
      </w:pPr>
      <w:bookmarkStart w:id="232" w:name="止观"/>
      <w:bookmarkEnd w:id="232"/>
      <w:r>
        <w:rPr>
          <w:rFonts w:hint="eastAsia" w:ascii="仿宋" w:hAnsi="仿宋" w:eastAsia="仿宋" w:cs="仿宋"/>
          <w:b/>
          <w:i w:val="0"/>
          <w:iCs w:val="0"/>
          <w:color w:val="auto"/>
          <w:sz w:val="24"/>
          <w:szCs w:val="21"/>
          <w:highlight w:val="none"/>
        </w:rPr>
        <w:t xml:space="preserve">14.    </w:t>
      </w:r>
      <w:r>
        <w:rPr>
          <w:rFonts w:hint="eastAsia" w:ascii="仿宋" w:hAnsi="仿宋" w:eastAsia="仿宋" w:cs="仿宋"/>
          <w:b/>
          <w:sz w:val="24"/>
          <w:szCs w:val="21"/>
          <w:lang w:eastAsia="zh-CN"/>
        </w:rPr>
        <w:t>投标信用承诺书</w:t>
      </w:r>
    </w:p>
    <w:p>
      <w:pPr>
        <w:keepNext w:val="0"/>
        <w:keepLines w:val="0"/>
        <w:pageBreakBefore w:val="0"/>
        <w:widowControl w:val="0"/>
        <w:numPr>
          <w:ilvl w:val="0"/>
          <w:numId w:val="0"/>
        </w:numPr>
        <w:tabs>
          <w:tab w:val="left" w:pos="425"/>
          <w:tab w:val="left" w:pos="588"/>
        </w:tabs>
        <w:kinsoku/>
        <w:wordWrap/>
        <w:overflowPunct/>
        <w:topLinePunct w:val="0"/>
        <w:autoSpaceDE/>
        <w:autoSpaceDN/>
        <w:bidi w:val="0"/>
        <w:adjustRightInd/>
        <w:snapToGrid/>
        <w:spacing w:line="360" w:lineRule="auto"/>
        <w:ind w:left="840" w:hanging="840" w:hangingChars="350"/>
        <w:textAlignment w:val="auto"/>
        <w:rPr>
          <w:rFonts w:hint="eastAsia" w:ascii="仿宋" w:hAnsi="仿宋" w:eastAsia="仿宋" w:cs="仿宋"/>
          <w:i w:val="0"/>
          <w:iCs w:val="0"/>
          <w:color w:val="auto"/>
          <w:kern w:val="24"/>
          <w:sz w:val="24"/>
          <w:szCs w:val="21"/>
          <w:highlight w:val="none"/>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pPr>
        <w:pStyle w:val="5"/>
        <w:numPr>
          <w:ilvl w:val="0"/>
          <w:numId w:val="8"/>
        </w:numPr>
        <w:tabs>
          <w:tab w:val="left" w:pos="360"/>
        </w:tabs>
        <w:rPr>
          <w:rFonts w:hint="eastAsia" w:ascii="仿宋" w:hAnsi="仿宋" w:eastAsia="仿宋" w:cs="仿宋"/>
          <w:b/>
          <w:i w:val="0"/>
          <w:iCs w:val="0"/>
          <w:color w:val="auto"/>
          <w:sz w:val="24"/>
          <w:szCs w:val="21"/>
          <w:highlight w:val="none"/>
        </w:rPr>
      </w:pPr>
      <w:bookmarkStart w:id="233" w:name="_Toc249515296"/>
      <w:bookmarkStart w:id="234" w:name="_Toc249525177"/>
      <w:bookmarkStart w:id="235" w:name="_Toc249515408"/>
      <w:bookmarkStart w:id="236" w:name="_Toc7949"/>
      <w:r>
        <w:rPr>
          <w:rFonts w:hint="eastAsia" w:ascii="仿宋" w:hAnsi="仿宋" w:eastAsia="仿宋" w:cs="仿宋"/>
          <w:b/>
          <w:i w:val="0"/>
          <w:iCs w:val="0"/>
          <w:color w:val="auto"/>
          <w:sz w:val="24"/>
          <w:szCs w:val="21"/>
          <w:highlight w:val="none"/>
        </w:rPr>
        <w:t xml:space="preserve">   谈判有效期</w:t>
      </w:r>
      <w:bookmarkEnd w:id="233"/>
      <w:bookmarkEnd w:id="234"/>
      <w:bookmarkEnd w:id="235"/>
      <w:bookmarkEnd w:id="236"/>
    </w:p>
    <w:p>
      <w:pPr>
        <w:tabs>
          <w:tab w:val="left" w:pos="588"/>
        </w:tabs>
        <w:spacing w:line="360" w:lineRule="auto"/>
        <w:ind w:left="840" w:hanging="840" w:hangingChars="350"/>
        <w:rPr>
          <w:rFonts w:hint="eastAsia" w:ascii="仿宋" w:hAnsi="仿宋" w:eastAsia="仿宋" w:cs="仿宋"/>
          <w:sz w:val="24"/>
        </w:rPr>
      </w:pPr>
      <w:bookmarkStart w:id="237" w:name="_Toc385992346"/>
      <w:bookmarkStart w:id="238" w:name="_Toc184043033"/>
      <w:bookmarkStart w:id="239" w:name="_Toc249525178"/>
      <w:bookmarkStart w:id="240" w:name="_Toc249515409"/>
      <w:bookmarkStart w:id="241" w:name="_Toc249515297"/>
      <w:bookmarkStart w:id="242" w:name="_Toc389620185"/>
      <w:bookmarkStart w:id="243" w:name="_Toc16612"/>
      <w:bookmarkStart w:id="244" w:name="_Toc70687160"/>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特殊情况下，采购人可于原磋商有效期满之前要求供应商同意延长有效期，要求与答复均应为书面形式。</w:t>
      </w:r>
    </w:p>
    <w:p>
      <w:pPr>
        <w:pStyle w:val="5"/>
        <w:tabs>
          <w:tab w:val="left" w:pos="360"/>
        </w:tabs>
        <w:rPr>
          <w:rFonts w:hint="eastAsia" w:ascii="仿宋" w:hAnsi="仿宋" w:eastAsia="仿宋" w:cs="仿宋"/>
          <w:b/>
          <w:i w:val="0"/>
          <w:iCs w:val="0"/>
          <w:color w:val="auto"/>
          <w:sz w:val="24"/>
          <w:szCs w:val="21"/>
          <w:highlight w:val="none"/>
          <w:lang w:eastAsia="zh-CN"/>
        </w:rPr>
      </w:pPr>
      <w:r>
        <w:rPr>
          <w:rFonts w:hint="eastAsia" w:ascii="仿宋" w:hAnsi="仿宋" w:eastAsia="仿宋" w:cs="仿宋"/>
          <w:b/>
          <w:i w:val="0"/>
          <w:iCs w:val="0"/>
          <w:color w:val="auto"/>
          <w:sz w:val="24"/>
          <w:szCs w:val="21"/>
          <w:highlight w:val="none"/>
        </w:rPr>
        <w:t>16.    响应文件的制作和签署</w:t>
      </w:r>
      <w:bookmarkEnd w:id="237"/>
      <w:bookmarkEnd w:id="238"/>
      <w:bookmarkEnd w:id="239"/>
      <w:bookmarkEnd w:id="240"/>
      <w:bookmarkEnd w:id="241"/>
      <w:bookmarkEnd w:id="242"/>
      <w:bookmarkEnd w:id="243"/>
      <w:bookmarkEnd w:id="244"/>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 xml:space="preserve">16.1   </w:t>
      </w:r>
      <w:r>
        <w:rPr>
          <w:rFonts w:hint="eastAsia" w:ascii="仿宋" w:hAnsi="仿宋" w:eastAsia="仿宋" w:cs="仿宋"/>
          <w:i w:val="0"/>
          <w:iCs w:val="0"/>
          <w:color w:val="auto"/>
          <w:sz w:val="24"/>
          <w:highlight w:val="none"/>
          <w:lang w:eastAsia="zh-CN"/>
        </w:rPr>
        <w:t>供应商需上传电子版响应文件，无需递交纸质版响应文件。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16.2   响应文件须用中文编写</w:t>
      </w:r>
      <w:r>
        <w:rPr>
          <w:rFonts w:hint="eastAsia" w:ascii="仿宋" w:hAnsi="仿宋" w:eastAsia="仿宋" w:cs="仿宋"/>
          <w:i w:val="0"/>
          <w:iCs w:val="0"/>
          <w:color w:val="auto"/>
          <w:sz w:val="24"/>
          <w:highlight w:val="none"/>
          <w:lang w:eastAsia="zh-CN"/>
        </w:rPr>
        <w:t>。</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16.3   由供应商的法定代表人或其授权的代理人签署。</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16.4   任何行间插字、涂改或增删，必须由响应文件签字人将姓或首字母在旁边签字才有效。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16.5   采购人不接受以电报、电话、传真、电子邮件形式递交的响应文件。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16.6   供应商在谈判过程中，签订、履行、通知等事项的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245" w:name="_Hlt491765640"/>
      <w:bookmarkEnd w:id="245"/>
      <w:bookmarkStart w:id="246" w:name="_Toc249525179"/>
      <w:bookmarkStart w:id="247" w:name="_Toc492955419"/>
      <w:bookmarkStart w:id="248" w:name="_Toc249515298"/>
      <w:bookmarkStart w:id="249" w:name="_Toc385992347"/>
      <w:bookmarkStart w:id="250" w:name="_Toc503063426"/>
      <w:bookmarkStart w:id="251" w:name="_Toc249515410"/>
      <w:bookmarkStart w:id="252" w:name="_Toc184043034"/>
      <w:bookmarkStart w:id="253" w:name="_Toc58504665"/>
      <w:bookmarkStart w:id="254" w:name="_Toc230013636"/>
      <w:bookmarkStart w:id="255" w:name="_Toc496324583"/>
      <w:bookmarkStart w:id="256" w:name="_Toc176882546"/>
      <w:bookmarkStart w:id="257" w:name="_Toc177995477"/>
      <w:bookmarkStart w:id="258" w:name="_Toc230583545"/>
      <w:bookmarkStart w:id="259" w:name="_Toc500747066"/>
      <w:bookmarkStart w:id="260" w:name="_Toc256342147"/>
      <w:bookmarkStart w:id="261" w:name="_Toc230099801"/>
      <w:bookmarkStart w:id="262" w:name="_Toc232395216"/>
      <w:bookmarkStart w:id="263" w:name="_Toc177817338"/>
      <w:bookmarkStart w:id="264" w:name="_Toc500746970"/>
      <w:bookmarkStart w:id="265" w:name="_Toc232176276"/>
      <w:bookmarkStart w:id="266" w:name="_Toc53722844"/>
      <w:bookmarkStart w:id="267" w:name="_Toc500747193"/>
      <w:bookmarkStart w:id="268" w:name="_Toc499711888"/>
      <w:bookmarkStart w:id="269" w:name="_Toc389620186"/>
      <w:bookmarkStart w:id="270" w:name="_Toc70687161"/>
      <w:bookmarkStart w:id="271" w:name="_Toc177189239"/>
      <w:bookmarkStart w:id="272" w:name="_Toc499711047"/>
      <w:r>
        <w:rPr>
          <w:rFonts w:hint="eastAsia" w:ascii="仿宋" w:hAnsi="仿宋" w:eastAsia="仿宋" w:cs="仿宋"/>
          <w:b/>
          <w:i w:val="0"/>
          <w:iCs w:val="0"/>
          <w:color w:val="auto"/>
          <w:kern w:val="0"/>
          <w:sz w:val="28"/>
          <w:szCs w:val="28"/>
          <w:highlight w:val="none"/>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5"/>
        <w:tabs>
          <w:tab w:val="left" w:pos="360"/>
        </w:tabs>
        <w:rPr>
          <w:rFonts w:hint="eastAsia" w:ascii="仿宋" w:hAnsi="仿宋" w:eastAsia="仿宋" w:cs="仿宋"/>
          <w:b/>
          <w:i w:val="0"/>
          <w:iCs w:val="0"/>
          <w:color w:val="auto"/>
          <w:sz w:val="24"/>
          <w:szCs w:val="21"/>
          <w:highlight w:val="none"/>
        </w:rPr>
      </w:pPr>
      <w:bookmarkStart w:id="273" w:name="_Toc4042"/>
      <w:bookmarkStart w:id="274" w:name="_Toc249515299"/>
      <w:bookmarkStart w:id="275" w:name="_Toc385992348"/>
      <w:bookmarkStart w:id="276" w:name="_Toc249515411"/>
      <w:bookmarkStart w:id="277" w:name="_Toc249525180"/>
      <w:bookmarkStart w:id="278" w:name="_Toc389620187"/>
      <w:bookmarkStart w:id="279" w:name="_Toc184043035"/>
      <w:bookmarkStart w:id="280" w:name="_Toc70687162"/>
      <w:r>
        <w:rPr>
          <w:rFonts w:hint="eastAsia" w:ascii="仿宋" w:hAnsi="仿宋" w:eastAsia="仿宋" w:cs="仿宋"/>
          <w:b/>
          <w:i w:val="0"/>
          <w:iCs w:val="0"/>
          <w:color w:val="auto"/>
          <w:sz w:val="24"/>
          <w:szCs w:val="21"/>
          <w:highlight w:val="none"/>
        </w:rPr>
        <w:t>17.    响应文件的密封和标记</w:t>
      </w:r>
      <w:bookmarkEnd w:id="273"/>
      <w:bookmarkEnd w:id="274"/>
      <w:bookmarkEnd w:id="275"/>
      <w:bookmarkEnd w:id="276"/>
      <w:bookmarkEnd w:id="277"/>
      <w:bookmarkEnd w:id="278"/>
      <w:bookmarkEnd w:id="279"/>
      <w:bookmarkEnd w:id="280"/>
    </w:p>
    <w:p>
      <w:pPr>
        <w:pStyle w:val="23"/>
        <w:ind w:left="840" w:hanging="840" w:hangingChars="350"/>
        <w:rPr>
          <w:rFonts w:hint="eastAsia" w:ascii="仿宋" w:hAnsi="仿宋" w:eastAsia="仿宋" w:cs="仿宋"/>
          <w:i w:val="0"/>
          <w:iCs w:val="0"/>
          <w:color w:val="auto"/>
          <w:sz w:val="24"/>
          <w:highlight w:val="none"/>
        </w:rPr>
      </w:pPr>
      <w:bookmarkStart w:id="281" w:name="_Toc385992349"/>
      <w:bookmarkStart w:id="282" w:name="_Toc389620188"/>
      <w:bookmarkStart w:id="283" w:name="_Toc184043036"/>
      <w:bookmarkStart w:id="284" w:name="_Toc70687163"/>
      <w:r>
        <w:rPr>
          <w:rFonts w:hint="eastAsia" w:ascii="仿宋" w:hAnsi="仿宋" w:eastAsia="仿宋" w:cs="仿宋"/>
          <w:i w:val="0"/>
          <w:iCs w:val="0"/>
          <w:color w:val="auto"/>
          <w:kern w:val="0"/>
          <w:sz w:val="24"/>
          <w:szCs w:val="21"/>
          <w:highlight w:val="none"/>
        </w:rPr>
        <w:t xml:space="preserve">17.1   </w:t>
      </w:r>
      <w:r>
        <w:rPr>
          <w:rFonts w:hint="eastAsia" w:ascii="仿宋" w:hAnsi="仿宋" w:eastAsia="仿宋" w:cs="仿宋"/>
          <w:i w:val="0"/>
          <w:iCs w:val="0"/>
          <w:color w:val="auto"/>
          <w:sz w:val="24"/>
          <w:highlight w:val="none"/>
        </w:rPr>
        <w:t>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bookmarkEnd w:id="281"/>
    <w:bookmarkEnd w:id="282"/>
    <w:p>
      <w:pPr>
        <w:pStyle w:val="5"/>
        <w:tabs>
          <w:tab w:val="left" w:pos="360"/>
        </w:tabs>
        <w:rPr>
          <w:rFonts w:hint="eastAsia" w:ascii="仿宋" w:hAnsi="仿宋" w:eastAsia="仿宋" w:cs="仿宋"/>
          <w:b/>
          <w:i w:val="0"/>
          <w:iCs w:val="0"/>
          <w:color w:val="auto"/>
          <w:sz w:val="24"/>
          <w:szCs w:val="21"/>
          <w:highlight w:val="none"/>
        </w:rPr>
      </w:pPr>
      <w:bookmarkStart w:id="285" w:name="_Toc31171"/>
      <w:bookmarkStart w:id="286" w:name="_Toc249515300"/>
      <w:bookmarkStart w:id="287" w:name="_Toc249525181"/>
      <w:bookmarkStart w:id="288" w:name="_Toc249515412"/>
      <w:r>
        <w:rPr>
          <w:rFonts w:hint="eastAsia" w:ascii="仿宋" w:hAnsi="仿宋" w:eastAsia="仿宋" w:cs="仿宋"/>
          <w:b/>
          <w:i w:val="0"/>
          <w:iCs w:val="0"/>
          <w:color w:val="auto"/>
          <w:sz w:val="24"/>
          <w:szCs w:val="21"/>
          <w:highlight w:val="none"/>
        </w:rPr>
        <w:t>18.    响应文件递交截止时间</w:t>
      </w:r>
      <w:bookmarkEnd w:id="283"/>
      <w:bookmarkEnd w:id="284"/>
      <w:bookmarkEnd w:id="285"/>
      <w:bookmarkEnd w:id="286"/>
      <w:bookmarkEnd w:id="287"/>
      <w:bookmarkEnd w:id="288"/>
    </w:p>
    <w:p>
      <w:pPr>
        <w:tabs>
          <w:tab w:val="left" w:pos="360"/>
          <w:tab w:val="left" w:pos="502"/>
          <w:tab w:val="left" w:pos="588"/>
        </w:tabs>
        <w:spacing w:line="360" w:lineRule="auto"/>
        <w:rPr>
          <w:rFonts w:hint="eastAsia" w:ascii="仿宋" w:hAnsi="仿宋" w:eastAsia="仿宋" w:cs="仿宋"/>
          <w:i w:val="0"/>
          <w:iCs w:val="0"/>
          <w:color w:val="auto"/>
          <w:sz w:val="24"/>
          <w:highlight w:val="none"/>
        </w:rPr>
      </w:pPr>
      <w:bookmarkStart w:id="289" w:name="_Toc389620189"/>
      <w:bookmarkStart w:id="290" w:name="_Toc385992350"/>
      <w:bookmarkStart w:id="291" w:name="_Toc184043037"/>
      <w:bookmarkStart w:id="292" w:name="_Toc70687164"/>
      <w:r>
        <w:rPr>
          <w:rFonts w:hint="eastAsia" w:ascii="仿宋" w:hAnsi="仿宋" w:eastAsia="仿宋" w:cs="仿宋"/>
          <w:i w:val="0"/>
          <w:iCs w:val="0"/>
          <w:color w:val="auto"/>
          <w:sz w:val="24"/>
          <w:highlight w:val="none"/>
        </w:rPr>
        <w:t>18.1   响应文件递交截止时间和地点见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18.2   供应商须由其合法的授权人在响应文件递交截止时间之前将响应文件在响应文件递交地点送达采购人并签字确认。供应商须承担因未送达并签字所造成的一切责任。</w:t>
      </w:r>
    </w:p>
    <w:p>
      <w:pPr>
        <w:tabs>
          <w:tab w:val="left" w:pos="360"/>
          <w:tab w:val="left" w:pos="502"/>
          <w:tab w:val="left" w:pos="588"/>
        </w:tabs>
        <w:spacing w:line="360" w:lineRule="auto"/>
        <w:ind w:left="854" w:hanging="854"/>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18.3   采购人可以按本须知第7条规定，通知修改谈判文件，适当延长响应文件递交截止时间。在此情况下，采购人和供应商受响应文件递交截止时间制约的所有权利和义务均应延长至新的截止期。</w:t>
      </w:r>
    </w:p>
    <w:p>
      <w:pPr>
        <w:pStyle w:val="5"/>
        <w:tabs>
          <w:tab w:val="left" w:pos="360"/>
        </w:tabs>
        <w:rPr>
          <w:rFonts w:hint="eastAsia" w:ascii="仿宋" w:hAnsi="仿宋" w:eastAsia="仿宋" w:cs="仿宋"/>
          <w:b/>
          <w:i w:val="0"/>
          <w:iCs w:val="0"/>
          <w:color w:val="auto"/>
          <w:sz w:val="24"/>
          <w:szCs w:val="21"/>
          <w:highlight w:val="none"/>
        </w:rPr>
      </w:pPr>
      <w:bookmarkStart w:id="293" w:name="_Toc7175"/>
      <w:bookmarkStart w:id="294" w:name="_Toc249525182"/>
      <w:bookmarkStart w:id="295" w:name="_Toc249515413"/>
      <w:bookmarkStart w:id="296" w:name="_Toc249515301"/>
      <w:r>
        <w:rPr>
          <w:rFonts w:hint="eastAsia" w:ascii="仿宋" w:hAnsi="仿宋" w:eastAsia="仿宋" w:cs="仿宋"/>
          <w:b/>
          <w:i w:val="0"/>
          <w:iCs w:val="0"/>
          <w:color w:val="auto"/>
          <w:sz w:val="24"/>
          <w:szCs w:val="21"/>
          <w:highlight w:val="none"/>
        </w:rPr>
        <w:t>19.    迟交的响应文件</w:t>
      </w:r>
      <w:bookmarkEnd w:id="289"/>
      <w:bookmarkEnd w:id="290"/>
      <w:bookmarkEnd w:id="291"/>
      <w:bookmarkEnd w:id="292"/>
      <w:bookmarkEnd w:id="293"/>
      <w:bookmarkEnd w:id="294"/>
      <w:bookmarkEnd w:id="295"/>
      <w:bookmarkEnd w:id="29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19.1   采购人将拒绝接收第18条规定的响应文件递交截止时间后递交的任何响应文件。</w:t>
      </w:r>
    </w:p>
    <w:p>
      <w:pPr>
        <w:pStyle w:val="5"/>
        <w:tabs>
          <w:tab w:val="left" w:pos="360"/>
        </w:tabs>
        <w:rPr>
          <w:rFonts w:hint="eastAsia" w:ascii="仿宋" w:hAnsi="仿宋" w:eastAsia="仿宋" w:cs="仿宋"/>
          <w:b/>
          <w:i w:val="0"/>
          <w:iCs w:val="0"/>
          <w:color w:val="auto"/>
          <w:sz w:val="24"/>
          <w:szCs w:val="21"/>
          <w:highlight w:val="none"/>
        </w:rPr>
      </w:pPr>
      <w:bookmarkStart w:id="297" w:name="_Toc249525183"/>
      <w:bookmarkStart w:id="298" w:name="_Toc184043038"/>
      <w:bookmarkStart w:id="299" w:name="_Toc385992351"/>
      <w:bookmarkStart w:id="300" w:name="_Toc249515414"/>
      <w:bookmarkStart w:id="301" w:name="_Toc70687165"/>
      <w:bookmarkStart w:id="302" w:name="_Toc10272"/>
      <w:bookmarkStart w:id="303" w:name="_Toc389620190"/>
      <w:bookmarkStart w:id="304" w:name="_Toc249515302"/>
      <w:r>
        <w:rPr>
          <w:rFonts w:hint="eastAsia" w:ascii="仿宋" w:hAnsi="仿宋" w:eastAsia="仿宋" w:cs="仿宋"/>
          <w:b/>
          <w:i w:val="0"/>
          <w:iCs w:val="0"/>
          <w:color w:val="auto"/>
          <w:sz w:val="24"/>
          <w:szCs w:val="21"/>
          <w:highlight w:val="none"/>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i w:val="0"/>
          <w:iCs w:val="0"/>
          <w:color w:val="auto"/>
          <w:sz w:val="24"/>
          <w:szCs w:val="21"/>
          <w:highlight w:val="none"/>
        </w:rPr>
        <w:t>回</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20.2   供应商对响应文件修改的书面材料或撤回的通知应按第16和17条规定进行编写、密封、标注和递送，并注明“修改响应文件”或“撤回响应文件”字样。</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20.3   在响应文件递交截止时间之后，供应商不得对其响应文件做任何修改。</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20.4   供应商不得在响应文件递交截止时间起至响应文件有效期期满前撤销其响应文件。</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05" w:name="_Hlt497729441"/>
      <w:bookmarkEnd w:id="305"/>
      <w:bookmarkStart w:id="306" w:name="_Hlt491765712"/>
      <w:bookmarkEnd w:id="306"/>
      <w:bookmarkStart w:id="307" w:name="_Toc214357452"/>
      <w:bookmarkStart w:id="308" w:name="_Toc232176277"/>
      <w:bookmarkStart w:id="309" w:name="_Toc232395217"/>
      <w:bookmarkStart w:id="310" w:name="_Toc249515303"/>
      <w:bookmarkStart w:id="311" w:name="_Toc249525184"/>
      <w:bookmarkStart w:id="312" w:name="_Toc256342148"/>
      <w:bookmarkStart w:id="313" w:name="_Toc249515415"/>
      <w:bookmarkStart w:id="314" w:name="_Toc58504666"/>
      <w:bookmarkStart w:id="315" w:name="_Toc492955420"/>
      <w:bookmarkStart w:id="316" w:name="_Toc389620191"/>
      <w:bookmarkStart w:id="317" w:name="_Toc500746971"/>
      <w:bookmarkStart w:id="318" w:name="_Toc500747194"/>
      <w:bookmarkStart w:id="319" w:name="_Toc385992352"/>
      <w:bookmarkStart w:id="320" w:name="_Toc503063427"/>
      <w:bookmarkStart w:id="321" w:name="_Toc177189240"/>
      <w:bookmarkStart w:id="322" w:name="_Toc496324584"/>
      <w:bookmarkStart w:id="323" w:name="_Toc500747067"/>
      <w:bookmarkStart w:id="324" w:name="_Toc499711889"/>
      <w:bookmarkStart w:id="325" w:name="_Toc177995478"/>
      <w:bookmarkStart w:id="326" w:name="_Toc70687166"/>
      <w:bookmarkStart w:id="327" w:name="_Toc176882547"/>
      <w:bookmarkStart w:id="328" w:name="_Toc184043039"/>
      <w:bookmarkStart w:id="329" w:name="_Toc177817339"/>
      <w:bookmarkStart w:id="330" w:name="_Toc53722845"/>
      <w:bookmarkStart w:id="331" w:name="_Toc499711048"/>
      <w:r>
        <w:rPr>
          <w:rFonts w:hint="eastAsia" w:ascii="仿宋" w:hAnsi="仿宋" w:eastAsia="仿宋" w:cs="仿宋"/>
          <w:b/>
          <w:i w:val="0"/>
          <w:iCs w:val="0"/>
          <w:color w:val="auto"/>
          <w:kern w:val="0"/>
          <w:sz w:val="28"/>
          <w:szCs w:val="28"/>
          <w:highlight w:val="none"/>
        </w:rPr>
        <w:t>五、</w:t>
      </w:r>
      <w:bookmarkEnd w:id="307"/>
      <w:bookmarkEnd w:id="308"/>
      <w:bookmarkEnd w:id="309"/>
      <w:r>
        <w:rPr>
          <w:rFonts w:hint="eastAsia" w:ascii="仿宋" w:hAnsi="仿宋" w:eastAsia="仿宋" w:cs="仿宋"/>
          <w:b/>
          <w:i w:val="0"/>
          <w:iCs w:val="0"/>
          <w:color w:val="auto"/>
          <w:kern w:val="0"/>
          <w:sz w:val="28"/>
          <w:szCs w:val="28"/>
          <w:highlight w:val="none"/>
        </w:rPr>
        <w:t>评审与</w:t>
      </w:r>
      <w:bookmarkEnd w:id="310"/>
      <w:bookmarkEnd w:id="311"/>
      <w:bookmarkEnd w:id="312"/>
      <w:bookmarkEnd w:id="313"/>
      <w:r>
        <w:rPr>
          <w:rFonts w:hint="eastAsia" w:ascii="仿宋" w:hAnsi="仿宋" w:eastAsia="仿宋" w:cs="仿宋"/>
          <w:b/>
          <w:i w:val="0"/>
          <w:iCs w:val="0"/>
          <w:color w:val="auto"/>
          <w:kern w:val="0"/>
          <w:sz w:val="28"/>
          <w:szCs w:val="28"/>
          <w:highlight w:val="none"/>
        </w:rPr>
        <w:t>谈判</w:t>
      </w:r>
      <w:bookmarkEnd w:id="314"/>
    </w:p>
    <w:p>
      <w:pPr>
        <w:pStyle w:val="5"/>
        <w:tabs>
          <w:tab w:val="left" w:pos="360"/>
        </w:tabs>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21.    谈判小组</w:t>
      </w:r>
    </w:p>
    <w:p>
      <w:pPr>
        <w:pStyle w:val="29"/>
        <w:adjustRightInd w:val="0"/>
        <w:snapToGrid w:val="0"/>
        <w:ind w:left="840" w:hanging="840" w:hangingChars="3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   在谈判开始前组建谈判小组，谈判小组由采购人代表及有关专家组成。专家从政府采购评审专家库相关专业中随机抽取。谈判小组组成见</w:t>
      </w:r>
      <w:r>
        <w:rPr>
          <w:rFonts w:hint="eastAsia" w:ascii="仿宋" w:hAnsi="仿宋" w:eastAsia="仿宋" w:cs="仿宋"/>
          <w:b/>
          <w:i w:val="0"/>
          <w:iCs w:val="0"/>
          <w:color w:val="auto"/>
          <w:sz w:val="24"/>
          <w:highlight w:val="none"/>
        </w:rPr>
        <w:t>供应商须知前附表。</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21.2   谈判小组职责</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（1）确认竞争性谈判文件。审阅谈判文件，无修改进行签字确认。有修改，修改内容经采购人确认后，谈判小组以书面形式通知所有供应商。</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（2）确定符合要求的供应商参加谈判；</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（3）审查供应商的响应文件并做出评价；</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（4）要求供应商解释或者澄清其响应文件；</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（5）编写评审报告；</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（6）告知采购人、采购代理机构在评审过程中发现的供应商的违法违规行为。</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21.3   谈判小组义务</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（1）遵纪守法、客观、公正、廉洁地履行职责；</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（2）根据谈判文件的规定独立进行评审，对个人的评审意见承担法律责任；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（3）参与评审报告的起草；</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（4）配合采购人、采购代理机构答复供应商提出的质疑；</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（5）配合财政部门的投诉处理和监督检查工作。</w:t>
      </w:r>
    </w:p>
    <w:p>
      <w:pPr>
        <w:pStyle w:val="29"/>
        <w:adjustRightInd w:val="0"/>
        <w:snapToGrid w:val="0"/>
        <w:rPr>
          <w:rFonts w:hint="eastAsia" w:ascii="仿宋" w:hAnsi="仿宋" w:eastAsia="仿宋" w:cs="仿宋"/>
          <w:i w:val="0"/>
          <w:iCs w:val="0"/>
          <w:color w:val="auto"/>
          <w:sz w:val="24"/>
          <w:szCs w:val="24"/>
          <w:highlight w:val="none"/>
        </w:rPr>
      </w:pPr>
      <w:bookmarkStart w:id="332" w:name="_Toc83547667"/>
      <w:r>
        <w:rPr>
          <w:rFonts w:hint="eastAsia" w:ascii="仿宋" w:hAnsi="仿宋" w:eastAsia="仿宋" w:cs="仿宋"/>
          <w:i w:val="0"/>
          <w:iCs w:val="0"/>
          <w:color w:val="auto"/>
          <w:sz w:val="24"/>
          <w:szCs w:val="24"/>
          <w:highlight w:val="none"/>
        </w:rPr>
        <w:t>21.4   谈判小组成员有下列情形之一的，应当回避：</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（1）参加采购活动前3年内与供应商存在劳动关系；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（2）参加采购活动前3年内担任供应商的董事、监事；</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（3）参加采购活动前3年内是供应商的控股股东或者实际控制人；</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（4）与供应商的法定代表人或者负责人有夫妻、直系血亲、三代以内旁系血亲或者近姻亲关系；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（5）与供应商有其他可能影响政府采购活动公平、公正进行的关系。</w:t>
      </w:r>
    </w:p>
    <w:p>
      <w:pPr>
        <w:pStyle w:val="5"/>
        <w:tabs>
          <w:tab w:val="left" w:pos="360"/>
        </w:tabs>
        <w:rPr>
          <w:rFonts w:hint="eastAsia" w:ascii="仿宋" w:hAnsi="仿宋" w:eastAsia="仿宋" w:cs="仿宋"/>
          <w:b/>
          <w:i w:val="0"/>
          <w:iCs w:val="0"/>
          <w:color w:val="auto"/>
          <w:sz w:val="24"/>
          <w:szCs w:val="21"/>
          <w:highlight w:val="none"/>
        </w:rPr>
      </w:pPr>
      <w:bookmarkStart w:id="333" w:name="_Toc20608"/>
      <w:bookmarkStart w:id="334" w:name="_Toc249515306"/>
      <w:bookmarkStart w:id="335" w:name="_Toc249525187"/>
      <w:bookmarkStart w:id="336" w:name="_Toc249515418"/>
      <w:r>
        <w:rPr>
          <w:rFonts w:hint="eastAsia" w:ascii="仿宋" w:hAnsi="仿宋" w:eastAsia="仿宋" w:cs="仿宋"/>
          <w:b/>
          <w:i w:val="0"/>
          <w:iCs w:val="0"/>
          <w:color w:val="auto"/>
          <w:sz w:val="24"/>
          <w:szCs w:val="21"/>
          <w:highlight w:val="none"/>
        </w:rPr>
        <w:t>22.    谈判程序</w:t>
      </w:r>
    </w:p>
    <w:p>
      <w:pPr>
        <w:pStyle w:val="5"/>
        <w:tabs>
          <w:tab w:val="left" w:pos="360"/>
        </w:tabs>
        <w:rPr>
          <w:rFonts w:hint="eastAsia" w:ascii="仿宋" w:hAnsi="仿宋" w:eastAsia="仿宋" w:cs="仿宋"/>
          <w:b/>
          <w:i w:val="0"/>
          <w:iCs w:val="0"/>
          <w:color w:val="auto"/>
          <w:sz w:val="24"/>
          <w:szCs w:val="21"/>
          <w:highlight w:val="none"/>
        </w:rPr>
      </w:pPr>
      <w:bookmarkStart w:id="337" w:name="_Toc58504507"/>
      <w:r>
        <w:rPr>
          <w:rFonts w:hint="eastAsia" w:ascii="仿宋" w:hAnsi="仿宋" w:eastAsia="仿宋" w:cs="仿宋"/>
          <w:b/>
          <w:i w:val="0"/>
          <w:iCs w:val="0"/>
          <w:color w:val="auto"/>
          <w:sz w:val="24"/>
          <w:szCs w:val="21"/>
          <w:highlight w:val="none"/>
        </w:rPr>
        <w:t>22.1   谈判会议</w:t>
      </w:r>
      <w:bookmarkEnd w:id="337"/>
    </w:p>
    <w:p>
      <w:pPr>
        <w:pStyle w:val="23"/>
        <w:ind w:left="840" w:leftChars="400"/>
        <w:rPr>
          <w:rFonts w:hint="eastAsia" w:ascii="仿宋" w:hAnsi="仿宋" w:eastAsia="仿宋" w:cs="仿宋"/>
          <w:i w:val="0"/>
          <w:iCs w:val="0"/>
          <w:color w:val="auto"/>
          <w:sz w:val="24"/>
          <w:highlight w:val="none"/>
          <w:lang w:eastAsia="zh-CN"/>
        </w:rPr>
      </w:pPr>
      <w:bookmarkStart w:id="338" w:name="_Toc58504508"/>
      <w:r>
        <w:rPr>
          <w:rFonts w:hint="eastAsia" w:ascii="仿宋" w:hAnsi="仿宋" w:eastAsia="仿宋" w:cs="仿宋"/>
          <w:i w:val="0"/>
          <w:iCs w:val="0"/>
          <w:color w:val="auto"/>
          <w:sz w:val="24"/>
          <w:highlight w:val="none"/>
        </w:rPr>
        <w:t>在谈判文件规定的时间和地点，由采购代理机构组织谈判工作，</w:t>
      </w:r>
      <w:bookmarkEnd w:id="338"/>
      <w:r>
        <w:rPr>
          <w:rFonts w:hint="eastAsia" w:ascii="仿宋" w:hAnsi="仿宋" w:eastAsia="仿宋" w:cs="仿宋"/>
          <w:i w:val="0"/>
          <w:iCs w:val="0"/>
          <w:color w:val="auto"/>
          <w:sz w:val="24"/>
          <w:highlight w:val="none"/>
          <w:lang w:eastAsia="zh-CN"/>
        </w:rPr>
        <w:t>供应商根据采购代理机构所述流程进行谈判会议的开标工作。</w:t>
      </w:r>
    </w:p>
    <w:p>
      <w:pPr>
        <w:pStyle w:val="5"/>
        <w:tabs>
          <w:tab w:val="left" w:pos="360"/>
        </w:tabs>
        <w:rPr>
          <w:rFonts w:hint="eastAsia" w:ascii="仿宋" w:hAnsi="仿宋" w:eastAsia="仿宋" w:cs="仿宋"/>
          <w:b/>
          <w:i w:val="0"/>
          <w:iCs w:val="0"/>
          <w:color w:val="auto"/>
          <w:sz w:val="24"/>
          <w:szCs w:val="21"/>
          <w:highlight w:val="none"/>
        </w:rPr>
      </w:pPr>
      <w:bookmarkStart w:id="339" w:name="_Toc58504511"/>
      <w:r>
        <w:rPr>
          <w:rFonts w:hint="eastAsia" w:ascii="仿宋" w:hAnsi="仿宋" w:eastAsia="仿宋" w:cs="仿宋"/>
          <w:b/>
          <w:i w:val="0"/>
          <w:iCs w:val="0"/>
          <w:color w:val="auto"/>
          <w:sz w:val="24"/>
          <w:szCs w:val="21"/>
          <w:highlight w:val="none"/>
        </w:rPr>
        <w:t>22.2   响应文件</w:t>
      </w:r>
      <w:bookmarkEnd w:id="332"/>
      <w:bookmarkEnd w:id="333"/>
      <w:bookmarkEnd w:id="334"/>
      <w:bookmarkEnd w:id="335"/>
      <w:bookmarkEnd w:id="336"/>
      <w:r>
        <w:rPr>
          <w:rFonts w:hint="eastAsia" w:ascii="仿宋" w:hAnsi="仿宋" w:eastAsia="仿宋" w:cs="仿宋"/>
          <w:b/>
          <w:i w:val="0"/>
          <w:iCs w:val="0"/>
          <w:color w:val="auto"/>
          <w:sz w:val="24"/>
          <w:szCs w:val="21"/>
          <w:highlight w:val="none"/>
        </w:rPr>
        <w:t>评审</w:t>
      </w:r>
      <w:bookmarkEnd w:id="339"/>
    </w:p>
    <w:p>
      <w:pPr>
        <w:tabs>
          <w:tab w:val="left" w:pos="360"/>
          <w:tab w:val="left" w:pos="588"/>
        </w:tabs>
        <w:spacing w:line="360" w:lineRule="auto"/>
        <w:ind w:left="843" w:hanging="843" w:hangingChars="350"/>
        <w:rPr>
          <w:rFonts w:hint="eastAsia" w:ascii="仿宋" w:hAnsi="仿宋" w:eastAsia="仿宋" w:cs="仿宋"/>
          <w:i w:val="0"/>
          <w:iCs w:val="0"/>
          <w:color w:val="auto"/>
          <w:sz w:val="24"/>
          <w:highlight w:val="none"/>
        </w:rPr>
      </w:pPr>
      <w:bookmarkStart w:id="340" w:name="_Toc83547671"/>
      <w:r>
        <w:rPr>
          <w:rFonts w:hint="eastAsia" w:ascii="仿宋" w:hAnsi="仿宋" w:eastAsia="仿宋" w:cs="仿宋"/>
          <w:b/>
          <w:i w:val="0"/>
          <w:iCs w:val="0"/>
          <w:color w:val="auto"/>
          <w:sz w:val="24"/>
          <w:highlight w:val="none"/>
        </w:rPr>
        <w:t>22.2.1 响应文件的资格性审查</w:t>
      </w:r>
      <w:r>
        <w:rPr>
          <w:rFonts w:hint="eastAsia" w:ascii="仿宋" w:hAnsi="仿宋" w:eastAsia="仿宋" w:cs="仿宋"/>
          <w:i w:val="0"/>
          <w:iCs w:val="0"/>
          <w:color w:val="auto"/>
          <w:sz w:val="24"/>
          <w:highlight w:val="none"/>
        </w:rPr>
        <w:t>。依据《政府采购法》第二十三条和谈判文件的规定，</w:t>
      </w:r>
      <w:r>
        <w:rPr>
          <w:rFonts w:hint="eastAsia" w:ascii="仿宋" w:hAnsi="仿宋" w:eastAsia="仿宋" w:cs="仿宋"/>
          <w:b/>
          <w:i w:val="0"/>
          <w:iCs w:val="0"/>
          <w:color w:val="auto"/>
          <w:sz w:val="24"/>
          <w:highlight w:val="none"/>
        </w:rPr>
        <w:t>采购人或采购代理机构</w:t>
      </w:r>
      <w:r>
        <w:rPr>
          <w:rFonts w:hint="eastAsia" w:ascii="仿宋" w:hAnsi="仿宋" w:eastAsia="仿宋" w:cs="仿宋"/>
          <w:i w:val="0"/>
          <w:iCs w:val="0"/>
          <w:color w:val="auto"/>
          <w:sz w:val="24"/>
          <w:highlight w:val="none"/>
        </w:rPr>
        <w:t>负责对响应文件中的资格证明文件、信用查询记录等进行审查，以确认供应商具备相应资格。资格性审查出现下列情况者（但不限于），按无效文件处理：</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（1）供应商资格不符合《中华人民共和国政府采购法》第二十二条的规定和特定资格条件要求的。</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（2）供应商没有经过正常渠道购买或免费领取谈判文件或供应商的名称与</w:t>
      </w:r>
      <w:r>
        <w:rPr>
          <w:rFonts w:hint="eastAsia" w:ascii="仿宋" w:hAnsi="仿宋" w:eastAsia="仿宋" w:cs="仿宋"/>
          <w:i w:val="0"/>
          <w:iCs w:val="0"/>
          <w:color w:val="auto"/>
          <w:sz w:val="24"/>
          <w:szCs w:val="32"/>
          <w:highlight w:val="none"/>
          <w:lang w:val="en-US" w:eastAsia="zh-CN"/>
        </w:rPr>
        <w:t>获取</w:t>
      </w:r>
      <w:r>
        <w:rPr>
          <w:rFonts w:hint="eastAsia" w:ascii="仿宋" w:hAnsi="仿宋" w:eastAsia="仿宋" w:cs="仿宋"/>
          <w:i w:val="0"/>
          <w:iCs w:val="0"/>
          <w:color w:val="auto"/>
          <w:sz w:val="24"/>
          <w:szCs w:val="32"/>
          <w:highlight w:val="none"/>
        </w:rPr>
        <w:t>谈判文件单位的名称不符。</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（3）谈判响应文件中未提交法定代表人授权书（法定代表人直接参加谈判未按要求提交其有效身份证）或授权书的合法性或有效性不符合谈判文件规定。授权代表本单位证明的有效性或符合性不符合要求的。</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（4）信用查询中列入失信被执行人、</w:t>
      </w:r>
      <w:r>
        <w:rPr>
          <w:rFonts w:hint="eastAsia" w:ascii="仿宋" w:hAnsi="仿宋" w:eastAsia="仿宋" w:cs="仿宋"/>
          <w:i w:val="0"/>
          <w:iCs w:val="0"/>
          <w:color w:val="auto"/>
          <w:sz w:val="24"/>
          <w:szCs w:val="32"/>
          <w:highlight w:val="none"/>
          <w:lang w:eastAsia="zh-CN"/>
        </w:rPr>
        <w:t>重大税收违法失信主体</w:t>
      </w:r>
      <w:r>
        <w:rPr>
          <w:rFonts w:hint="eastAsia" w:ascii="仿宋" w:hAnsi="仿宋" w:eastAsia="仿宋" w:cs="仿宋"/>
          <w:i w:val="0"/>
          <w:iCs w:val="0"/>
          <w:color w:val="auto"/>
          <w:sz w:val="24"/>
          <w:szCs w:val="32"/>
          <w:highlight w:val="none"/>
        </w:rPr>
        <w:t>、政府采购严重违法失信行为记录名单及其他不符合《中华人民共和国政府采购法》第二十二条规定条件的供应商，拒绝参与政府采购活动。</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w:t>
      </w:r>
      <w:r>
        <w:rPr>
          <w:rFonts w:hint="eastAsia" w:ascii="仿宋" w:hAnsi="仿宋" w:eastAsia="仿宋" w:cs="仿宋"/>
          <w:i w:val="0"/>
          <w:iCs w:val="0"/>
          <w:color w:val="auto"/>
          <w:sz w:val="24"/>
          <w:szCs w:val="32"/>
          <w:highlight w:val="none"/>
          <w:lang w:val="en-US" w:eastAsia="zh-CN"/>
        </w:rPr>
        <w:t>5</w:t>
      </w:r>
      <w:r>
        <w:rPr>
          <w:rFonts w:hint="eastAsia" w:ascii="仿宋" w:hAnsi="仿宋" w:eastAsia="仿宋" w:cs="仿宋"/>
          <w:i w:val="0"/>
          <w:iCs w:val="0"/>
          <w:color w:val="auto"/>
          <w:sz w:val="24"/>
          <w:szCs w:val="32"/>
          <w:highlight w:val="none"/>
        </w:rPr>
        <w:t>）采购人或采购代理机构通过“信用中国”网站(www.creditchina.gov.cn)、中国政府采购网(www.ccgp.gov.cn) 等查询相关主体信用记录，并将查询网页打印、存档备查。</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w:t>
      </w:r>
      <w:r>
        <w:rPr>
          <w:rFonts w:hint="eastAsia" w:ascii="仿宋" w:hAnsi="仿宋" w:eastAsia="仿宋" w:cs="仿宋"/>
          <w:i w:val="0"/>
          <w:iCs w:val="0"/>
          <w:color w:val="auto"/>
          <w:sz w:val="24"/>
          <w:szCs w:val="32"/>
          <w:highlight w:val="none"/>
          <w:lang w:val="en-US" w:eastAsia="zh-CN"/>
        </w:rPr>
        <w:t>6</w:t>
      </w:r>
      <w:r>
        <w:rPr>
          <w:rFonts w:hint="eastAsia" w:ascii="仿宋" w:hAnsi="仿宋" w:eastAsia="仿宋" w:cs="仿宋"/>
          <w:i w:val="0"/>
          <w:iCs w:val="0"/>
          <w:color w:val="auto"/>
          <w:sz w:val="24"/>
          <w:szCs w:val="32"/>
          <w:highlight w:val="none"/>
        </w:rPr>
        <w:t>）查询时间为谈判文件发售期至评审截止时间前，此段时间段外，网站信息发生的任何变更均不作为资格审查依据。</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供应商不良信用记录以采购人或采购代理机构查询结果为准。供应商自行提供的与网站信息不一致的其他证明材料亦不作为资格审查依据。</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w:t>
      </w:r>
      <w:r>
        <w:rPr>
          <w:rFonts w:hint="eastAsia" w:ascii="仿宋" w:hAnsi="仿宋" w:eastAsia="仿宋" w:cs="仿宋"/>
          <w:i w:val="0"/>
          <w:iCs w:val="0"/>
          <w:color w:val="auto"/>
          <w:sz w:val="24"/>
          <w:szCs w:val="32"/>
          <w:highlight w:val="none"/>
          <w:lang w:val="en-US" w:eastAsia="zh-CN"/>
        </w:rPr>
        <w:t>7</w:t>
      </w:r>
      <w:r>
        <w:rPr>
          <w:rFonts w:hint="eastAsia" w:ascii="仿宋" w:hAnsi="仿宋" w:eastAsia="仿宋" w:cs="仿宋"/>
          <w:i w:val="0"/>
          <w:iCs w:val="0"/>
          <w:color w:val="auto"/>
          <w:sz w:val="24"/>
          <w:szCs w:val="32"/>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3"/>
        <w:ind w:left="843" w:hanging="843" w:hangingChars="350"/>
        <w:rPr>
          <w:rFonts w:hint="eastAsia" w:ascii="仿宋" w:hAnsi="仿宋" w:eastAsia="仿宋" w:cs="仿宋"/>
          <w:i w:val="0"/>
          <w:iCs w:val="0"/>
          <w:color w:val="auto"/>
          <w:sz w:val="24"/>
          <w:highlight w:val="none"/>
        </w:rPr>
      </w:pPr>
      <w:r>
        <w:rPr>
          <w:rFonts w:hint="eastAsia" w:ascii="仿宋" w:hAnsi="仿宋" w:eastAsia="仿宋" w:cs="仿宋"/>
          <w:b/>
          <w:i w:val="0"/>
          <w:iCs w:val="0"/>
          <w:color w:val="auto"/>
          <w:sz w:val="24"/>
          <w:highlight w:val="none"/>
        </w:rPr>
        <w:t>22.2.2 谈判响应文件有效性、完整性和响应程度审查：谈判小组</w:t>
      </w:r>
      <w:r>
        <w:rPr>
          <w:rFonts w:hint="eastAsia" w:ascii="仿宋" w:hAnsi="仿宋" w:eastAsia="仿宋" w:cs="仿宋"/>
          <w:i w:val="0"/>
          <w:iCs w:val="0"/>
          <w:color w:val="auto"/>
          <w:sz w:val="24"/>
          <w:highlight w:val="none"/>
        </w:rPr>
        <w:t>依据谈判文件的规定，对响应文件的有效性、完整性和响应性进行审查，以确定是否满足谈判文件要求，出现下列情况者（但不限于），按无效文件处理。</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（1）供应商未按谈判文件要求加盖单位公章；</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（2）谈判响应文件未按谈判文件要求法定代表人或其授权代表签字；</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（3）无有效期或有效期达不到谈判文件的要求</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（4）供应商首次谈判报价出现选择性报价</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（5）首次谈判报价超出采购预算；</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（6）响应文件中对合同草案条款附加了采购人难以接受的条件</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（7）谈判内容出现漏项或数量与要求不符，出现重大负偏差</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（8）响应文件技术指标达不到采购要求，降低了产品档次或影响产品性能、功能</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（9）响应报价与市场价偏离较大，低于成本，形成不正当竞争</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（10）供应商提供虚假证明，开具虚假资质，出现虚假应答或故意隐瞒行为</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11</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按照</w:t>
      </w:r>
      <w:r>
        <w:rPr>
          <w:rFonts w:hint="eastAsia" w:ascii="仿宋" w:hAnsi="仿宋" w:eastAsia="仿宋" w:cs="仿宋"/>
          <w:i w:val="0"/>
          <w:iCs w:val="0"/>
          <w:color w:val="auto"/>
          <w:sz w:val="24"/>
          <w:highlight w:val="none"/>
          <w:lang w:eastAsia="zh-CN"/>
        </w:rPr>
        <w:t>谈判</w:t>
      </w:r>
      <w:r>
        <w:rPr>
          <w:rFonts w:hint="eastAsia" w:ascii="仿宋" w:hAnsi="仿宋" w:eastAsia="仿宋" w:cs="仿宋"/>
          <w:i w:val="0"/>
          <w:iCs w:val="0"/>
          <w:color w:val="auto"/>
          <w:sz w:val="24"/>
          <w:highlight w:val="none"/>
        </w:rPr>
        <w:t>文件给出格式填写投标保证金信用承诺书；</w:t>
      </w:r>
    </w:p>
    <w:p>
      <w:pPr>
        <w:pStyle w:val="5"/>
        <w:tabs>
          <w:tab w:val="left" w:pos="360"/>
        </w:tabs>
        <w:rPr>
          <w:rFonts w:hint="eastAsia" w:ascii="仿宋" w:hAnsi="仿宋" w:eastAsia="仿宋" w:cs="仿宋"/>
          <w:b/>
          <w:i w:val="0"/>
          <w:iCs w:val="0"/>
          <w:color w:val="auto"/>
          <w:sz w:val="24"/>
          <w:szCs w:val="21"/>
          <w:highlight w:val="none"/>
        </w:rPr>
      </w:pPr>
      <w:bookmarkStart w:id="341" w:name="_Toc58504512"/>
      <w:r>
        <w:rPr>
          <w:rFonts w:hint="eastAsia" w:ascii="仿宋" w:hAnsi="仿宋" w:eastAsia="仿宋" w:cs="仿宋"/>
          <w:b/>
          <w:i w:val="0"/>
          <w:iCs w:val="0"/>
          <w:color w:val="auto"/>
          <w:sz w:val="24"/>
          <w:szCs w:val="21"/>
          <w:highlight w:val="none"/>
        </w:rPr>
        <w:t>23.    谈判</w:t>
      </w:r>
      <w:bookmarkEnd w:id="341"/>
    </w:p>
    <w:p>
      <w:pPr>
        <w:pStyle w:val="23"/>
        <w:ind w:left="840" w:hanging="840" w:hangingChars="350"/>
        <w:rPr>
          <w:rFonts w:hint="eastAsia" w:ascii="仿宋" w:hAnsi="仿宋" w:eastAsia="仿宋" w:cs="仿宋"/>
          <w:i w:val="0"/>
          <w:iCs w:val="0"/>
          <w:color w:val="auto"/>
          <w:sz w:val="24"/>
          <w:highlight w:val="none"/>
        </w:rPr>
      </w:pPr>
      <w:bookmarkStart w:id="342" w:name="_Toc58504513"/>
      <w:r>
        <w:rPr>
          <w:rFonts w:hint="eastAsia" w:ascii="仿宋" w:hAnsi="仿宋" w:eastAsia="仿宋" w:cs="仿宋"/>
          <w:i w:val="0"/>
          <w:iCs w:val="0"/>
          <w:color w:val="auto"/>
          <w:sz w:val="24"/>
          <w:highlight w:val="none"/>
        </w:rPr>
        <w:t>23.3.1 谈判小组集中与各供应商分别进行谈判，并给所有参加谈判供应商平等的谈判机会。</w:t>
      </w:r>
      <w:bookmarkEnd w:id="342"/>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pPr>
        <w:pStyle w:val="23"/>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23.3.4 如出现下述情形之一的，视为供应商主动退出谈判，其响应将被拒绝：</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（1）供应商未按要求确认谈判小组确定的本项目最终技术需求的；</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（2）最后报价未实质性响应谈判小组确定的本项目最终技术需求的，或附有采购人无法接受的条件的。</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23.3.5 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23"/>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23.4   最后报价</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23.4.1 谈判结束后，有效响应供应商不少于3家。谈判小组要求供应商在规定时间内提交最后报价，最后报价是供应商响应文件的有效组成部分。</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5"/>
        <w:tabs>
          <w:tab w:val="left" w:pos="360"/>
        </w:tabs>
        <w:rPr>
          <w:rFonts w:hint="eastAsia" w:ascii="仿宋" w:hAnsi="仿宋" w:eastAsia="仿宋" w:cs="仿宋"/>
          <w:b/>
          <w:bCs/>
          <w:i w:val="0"/>
          <w:iCs w:val="0"/>
          <w:color w:val="auto"/>
          <w:sz w:val="24"/>
          <w:szCs w:val="21"/>
          <w:highlight w:val="none"/>
        </w:rPr>
      </w:pPr>
      <w:bookmarkStart w:id="343" w:name="_Toc150480784"/>
      <w:bookmarkStart w:id="344" w:name="_Toc249525191"/>
      <w:bookmarkStart w:id="345" w:name="_Toc150509297"/>
      <w:bookmarkStart w:id="346" w:name="_Toc150774751"/>
      <w:bookmarkStart w:id="347" w:name="_Toc142311048"/>
      <w:bookmarkStart w:id="348" w:name="_Toc127161460"/>
      <w:bookmarkStart w:id="349" w:name="_Toc249515422"/>
      <w:bookmarkStart w:id="350" w:name="_Toc164229387"/>
      <w:bookmarkStart w:id="351" w:name="_Toc151190173"/>
      <w:bookmarkStart w:id="352" w:name="_Toc150774646"/>
      <w:bookmarkStart w:id="353" w:name="_Ref467307010"/>
      <w:bookmarkStart w:id="354" w:name="_Toc249515310"/>
      <w:bookmarkStart w:id="355" w:name="_Toc151193644"/>
      <w:bookmarkStart w:id="356" w:name="_Toc164608660"/>
      <w:bookmarkStart w:id="357" w:name="_Toc13753"/>
      <w:bookmarkStart w:id="358" w:name="_Toc151193788"/>
      <w:bookmarkStart w:id="359" w:name="_Toc151193860"/>
      <w:bookmarkStart w:id="360" w:name="_Toc127151747"/>
      <w:bookmarkStart w:id="361" w:name="_Toc151193934"/>
      <w:bookmarkStart w:id="362" w:name="_Toc164351640"/>
      <w:bookmarkStart w:id="363" w:name="_Toc164229241"/>
      <w:bookmarkStart w:id="364" w:name="_Toc520356170"/>
      <w:bookmarkStart w:id="365" w:name="_Toc195842911"/>
      <w:bookmarkStart w:id="366" w:name="_Toc151193716"/>
      <w:bookmarkStart w:id="367" w:name="_Toc127151546"/>
      <w:bookmarkStart w:id="368" w:name="_Toc164608815"/>
      <w:bookmarkStart w:id="369" w:name="_Toc149720839"/>
      <w:r>
        <w:rPr>
          <w:rFonts w:hint="eastAsia" w:ascii="仿宋" w:hAnsi="仿宋" w:eastAsia="仿宋" w:cs="仿宋"/>
          <w:b/>
          <w:bCs/>
          <w:i w:val="0"/>
          <w:iCs w:val="0"/>
          <w:color w:val="auto"/>
          <w:sz w:val="24"/>
          <w:szCs w:val="21"/>
          <w:highlight w:val="none"/>
        </w:rPr>
        <w:t>24.    评审办法及</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rFonts w:hint="eastAsia" w:ascii="仿宋" w:hAnsi="仿宋" w:eastAsia="仿宋" w:cs="仿宋"/>
          <w:b/>
          <w:bCs/>
          <w:i w:val="0"/>
          <w:iCs w:val="0"/>
          <w:color w:val="auto"/>
          <w:sz w:val="24"/>
          <w:szCs w:val="21"/>
          <w:highlight w:val="none"/>
        </w:rPr>
        <w:t>落实政府采购政策</w:t>
      </w:r>
    </w:p>
    <w:bookmarkEnd w:id="340"/>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24.1   谈判小组按照谈判文件规定的评审方法和标准，对审查合格的文件进行商务和技术评审，比较和评价。</w:t>
      </w:r>
    </w:p>
    <w:p>
      <w:pPr>
        <w:pStyle w:val="70"/>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24.2   评审办法：比照最低评标价法，在质量和服务均能满足谈判文件实质性响应要求的供应商中，按照最后报价由低到高的顺序提出3名以上成交候选人，并编写评审报告。</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840" w:right="0" w:hanging="840" w:hangingChars="350"/>
        <w:jc w:val="both"/>
        <w:textAlignment w:val="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 xml:space="preserve">24.3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aps w:val="0"/>
          <w:color w:val="auto"/>
          <w:spacing w:val="0"/>
          <w:sz w:val="24"/>
          <w:szCs w:val="24"/>
          <w:shd w:val="clear" w:color="auto" w:fill="FFFFFF"/>
        </w:rPr>
        <w:t>本项目为</w:t>
      </w:r>
      <w:r>
        <w:rPr>
          <w:rFonts w:hint="eastAsia" w:ascii="仿宋" w:hAnsi="仿宋" w:eastAsia="仿宋" w:cs="仿宋"/>
          <w:i w:val="0"/>
          <w:iCs w:val="0"/>
          <w:caps w:val="0"/>
          <w:color w:val="auto"/>
          <w:spacing w:val="0"/>
          <w:sz w:val="24"/>
          <w:szCs w:val="24"/>
          <w:shd w:val="clear" w:color="auto" w:fill="FFFFFF"/>
          <w:lang w:eastAsia="zh-CN"/>
        </w:rPr>
        <w:t>非专门面向中小企业采购。</w:t>
      </w:r>
    </w:p>
    <w:p>
      <w:pPr>
        <w:pStyle w:val="23"/>
        <w:tabs>
          <w:tab w:val="left" w:pos="840"/>
        </w:tabs>
        <w:ind w:left="840" w:leftChars="400" w:firstLine="0" w:firstLineChars="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（1）为缓解中小企业融资困难，</w:t>
      </w:r>
      <w:r>
        <w:rPr>
          <w:rFonts w:hint="eastAsia" w:ascii="仿宋" w:hAnsi="仿宋" w:eastAsia="仿宋" w:cs="仿宋"/>
          <w:i w:val="0"/>
          <w:iCs w:val="0"/>
          <w:color w:val="auto"/>
          <w:sz w:val="24"/>
          <w:highlight w:val="none"/>
          <w:lang w:eastAsia="zh-CN"/>
        </w:rPr>
        <w:t>陕西省财政厅</w:t>
      </w:r>
      <w:r>
        <w:rPr>
          <w:rFonts w:hint="eastAsia" w:ascii="仿宋" w:hAnsi="仿宋" w:eastAsia="仿宋" w:cs="仿宋"/>
          <w:i w:val="0"/>
          <w:iCs w:val="0"/>
          <w:color w:val="auto"/>
          <w:sz w:val="24"/>
          <w:highlight w:val="none"/>
        </w:rPr>
        <w:t>出台了</w:t>
      </w:r>
      <w:r>
        <w:rPr>
          <w:rFonts w:hint="eastAsia" w:ascii="仿宋" w:hAnsi="仿宋" w:eastAsia="仿宋" w:cs="仿宋"/>
          <w:i w:val="0"/>
          <w:iCs w:val="0"/>
          <w:color w:val="auto"/>
          <w:sz w:val="24"/>
          <w:highlight w:val="none"/>
          <w:lang w:eastAsia="zh-CN"/>
        </w:rPr>
        <w:t>《陕西省中小企业政府采购信用融资办法》（陕财办采﹝</w:t>
      </w:r>
      <w:r>
        <w:rPr>
          <w:rFonts w:hint="eastAsia" w:ascii="仿宋" w:hAnsi="仿宋" w:eastAsia="仿宋" w:cs="仿宋"/>
          <w:i w:val="0"/>
          <w:iCs w:val="0"/>
          <w:color w:val="auto"/>
          <w:sz w:val="24"/>
          <w:highlight w:val="none"/>
          <w:lang w:val="en-US" w:eastAsia="zh-CN"/>
        </w:rPr>
        <w:t>2018</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23号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，成交供应商如有融资需求，可登录“陕西省政府采购网-陕西省政府采购信用融资平台”了解详情。</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24.4   谈判产品为节能、环境标志产品，符合谈判文件要求的，可优先采购，价格扣除百分比计算公式为：节能、环境标志产品清单中的产品价格占谈判响应总价的</w:t>
      </w:r>
      <w:r>
        <w:rPr>
          <w:rFonts w:hint="eastAsia" w:ascii="仿宋" w:hAnsi="仿宋" w:eastAsia="仿宋" w:cs="仿宋"/>
          <w:b/>
          <w:i w:val="0"/>
          <w:iCs w:val="0"/>
          <w:color w:val="auto"/>
          <w:sz w:val="24"/>
          <w:highlight w:val="none"/>
        </w:rPr>
        <w:t>百分比×5%</w:t>
      </w:r>
      <w:r>
        <w:rPr>
          <w:rFonts w:hint="eastAsia" w:ascii="仿宋" w:hAnsi="仿宋" w:eastAsia="仿宋" w:cs="仿宋"/>
          <w:i w:val="0"/>
          <w:iCs w:val="0"/>
          <w:color w:val="auto"/>
          <w:sz w:val="24"/>
          <w:highlight w:val="none"/>
        </w:rPr>
        <w:t>，用扣除后的价格参与评审。</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环境标志</w:t>
      </w:r>
      <w:r>
        <w:rPr>
          <w:rFonts w:hint="eastAsia" w:ascii="仿宋" w:hAnsi="仿宋" w:eastAsia="仿宋" w:cs="仿宋"/>
          <w:i w:val="0"/>
          <w:iCs w:val="0"/>
          <w:color w:val="auto"/>
          <w:sz w:val="24"/>
          <w:highlight w:val="none"/>
        </w:rPr>
        <w:t>产品依据品目清单和认证证书实施政府采购优先采购和强制采购。</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（2）以在有效期之内的，国家确定的认证机构出具的节能产品、环境标志产品认证证书为依据，复印件须加盖供应商公章，否则不予扣除。</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（3）供应商在响应文件中对所响应产品为节能、环境标志</w:t>
      </w:r>
      <w:r>
        <w:rPr>
          <w:rFonts w:hint="eastAsia" w:ascii="仿宋" w:hAnsi="仿宋" w:eastAsia="仿宋" w:cs="仿宋"/>
          <w:i w:val="0"/>
          <w:iCs w:val="0"/>
          <w:color w:val="auto"/>
          <w:sz w:val="24"/>
          <w:highlight w:val="none"/>
          <w:lang w:val="en-US" w:eastAsia="zh-CN"/>
        </w:rPr>
        <w:t>品目</w:t>
      </w:r>
      <w:r>
        <w:rPr>
          <w:rFonts w:hint="eastAsia" w:ascii="仿宋" w:hAnsi="仿宋" w:eastAsia="仿宋" w:cs="仿宋"/>
          <w:i w:val="0"/>
          <w:iCs w:val="0"/>
          <w:color w:val="auto"/>
          <w:sz w:val="24"/>
          <w:highlight w:val="none"/>
        </w:rPr>
        <w:t>清单中的产品，在谈判报价时必须对此类产品单独分项报价，未提供节能、环境标志产品计分明细表不予扣除。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（4）若节能、环境标志清单内的产品仅是构成响应产品的部件、组件或零件的，则该产品不享受鼓励优惠政策。</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（5）同一包内的节能、环境标志产品部分计分只对属于清单内的非强制类产品进行计分，强制类产品不给予扣除。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（6）节能、环境标志产品不重复扣除；同时列入国家级清单和省级清单的产品不重复扣除。</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24.5   响应文件出现下列情况之一者，谈判小组在评审过程中按以下原则修正：</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（1）大写金额与小写金额不一致的，以大写金额为准；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（2）总价金额与按单价汇总金额不一致的，以单价金额计算结果为准；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（3）单价金额小数点有明显错位的，应以总价为准，并修改单价；</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（4）对不同文字文本响应文件的解释发生异议的，以中文文本为准；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（5）文字与图表不一致的，以文字为准；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（6）正本与副本不一致的，以正本为准；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（7）响应文件的文字叙述与制造厂商的产品样本/检测报告不符时，以产品样本/检测报告为准。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70" w:name="_Hlt491765714"/>
      <w:bookmarkEnd w:id="370"/>
      <w:bookmarkStart w:id="371" w:name="_Hlt497729446"/>
      <w:bookmarkEnd w:id="371"/>
      <w:bookmarkStart w:id="372" w:name="_Toc249525192"/>
      <w:bookmarkStart w:id="373" w:name="_Toc232395218"/>
      <w:bookmarkStart w:id="374" w:name="_Toc256342149"/>
      <w:bookmarkStart w:id="375" w:name="_Toc58504667"/>
      <w:bookmarkStart w:id="376" w:name="_Toc232176278"/>
      <w:bookmarkStart w:id="377" w:name="_Toc249515311"/>
      <w:bookmarkStart w:id="378" w:name="_Toc249515423"/>
      <w:bookmarkStart w:id="379" w:name="_Toc184043047"/>
      <w:bookmarkStart w:id="380" w:name="_Toc53722846"/>
      <w:bookmarkStart w:id="381" w:name="_Toc500746972"/>
      <w:bookmarkStart w:id="382" w:name="_Toc176882548"/>
      <w:bookmarkStart w:id="383" w:name="_Toc177995479"/>
      <w:bookmarkStart w:id="384" w:name="_Toc389620199"/>
      <w:bookmarkStart w:id="385" w:name="_Toc503063428"/>
      <w:bookmarkStart w:id="386" w:name="_Toc177817340"/>
      <w:bookmarkStart w:id="387" w:name="_Toc177189241"/>
      <w:bookmarkStart w:id="388" w:name="_Toc70687174"/>
      <w:bookmarkStart w:id="389" w:name="_Toc500747195"/>
      <w:bookmarkStart w:id="390" w:name="_Toc500747068"/>
      <w:bookmarkStart w:id="391" w:name="_Toc496324585"/>
      <w:bookmarkStart w:id="392" w:name="_Toc492955421"/>
      <w:bookmarkStart w:id="393" w:name="_Toc499711890"/>
      <w:bookmarkStart w:id="394" w:name="_Toc385992360"/>
      <w:bookmarkStart w:id="395" w:name="_Toc499711049"/>
      <w:r>
        <w:rPr>
          <w:rFonts w:hint="eastAsia" w:ascii="仿宋" w:hAnsi="仿宋" w:eastAsia="仿宋" w:cs="仿宋"/>
          <w:b/>
          <w:i w:val="0"/>
          <w:iCs w:val="0"/>
          <w:color w:val="auto"/>
          <w:kern w:val="0"/>
          <w:sz w:val="28"/>
          <w:szCs w:val="28"/>
          <w:highlight w:val="none"/>
        </w:rPr>
        <w:t>六、确定成交单位、授予合同</w:t>
      </w:r>
      <w:bookmarkEnd w:id="372"/>
      <w:bookmarkEnd w:id="373"/>
      <w:bookmarkEnd w:id="374"/>
      <w:bookmarkEnd w:id="375"/>
      <w:bookmarkEnd w:id="376"/>
      <w:bookmarkEnd w:id="377"/>
      <w:bookmarkEnd w:id="378"/>
    </w:p>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Pr>
        <w:pStyle w:val="5"/>
        <w:tabs>
          <w:tab w:val="left" w:pos="360"/>
        </w:tabs>
        <w:rPr>
          <w:rFonts w:hint="eastAsia" w:ascii="仿宋" w:hAnsi="仿宋" w:eastAsia="仿宋" w:cs="仿宋"/>
          <w:b/>
          <w:bCs/>
          <w:i w:val="0"/>
          <w:iCs w:val="0"/>
          <w:color w:val="auto"/>
          <w:sz w:val="24"/>
          <w:szCs w:val="21"/>
          <w:highlight w:val="none"/>
        </w:rPr>
      </w:pPr>
      <w:bookmarkStart w:id="396" w:name="_Toc249515424"/>
      <w:bookmarkStart w:id="397" w:name="_Toc385992361"/>
      <w:bookmarkStart w:id="398" w:name="_Toc249525193"/>
      <w:bookmarkStart w:id="399" w:name="_Toc184043048"/>
      <w:bookmarkStart w:id="400" w:name="_Toc70687175"/>
      <w:bookmarkStart w:id="401" w:name="_Toc249515312"/>
      <w:bookmarkStart w:id="402" w:name="_Toc389620200"/>
      <w:bookmarkStart w:id="403" w:name="_Toc27151"/>
      <w:r>
        <w:rPr>
          <w:rFonts w:hint="eastAsia" w:ascii="仿宋" w:hAnsi="仿宋" w:eastAsia="仿宋" w:cs="仿宋"/>
          <w:b/>
          <w:bCs/>
          <w:i w:val="0"/>
          <w:iCs w:val="0"/>
          <w:color w:val="auto"/>
          <w:sz w:val="24"/>
          <w:szCs w:val="21"/>
          <w:highlight w:val="none"/>
        </w:rPr>
        <w:t>25.    确定成交</w:t>
      </w:r>
      <w:bookmarkEnd w:id="396"/>
      <w:bookmarkEnd w:id="397"/>
      <w:bookmarkEnd w:id="398"/>
      <w:bookmarkEnd w:id="399"/>
      <w:bookmarkEnd w:id="400"/>
      <w:bookmarkEnd w:id="401"/>
      <w:bookmarkEnd w:id="402"/>
      <w:bookmarkEnd w:id="403"/>
      <w:r>
        <w:rPr>
          <w:rFonts w:hint="eastAsia" w:ascii="仿宋" w:hAnsi="仿宋" w:eastAsia="仿宋" w:cs="仿宋"/>
          <w:b/>
          <w:bCs/>
          <w:i w:val="0"/>
          <w:iCs w:val="0"/>
          <w:color w:val="auto"/>
          <w:sz w:val="24"/>
          <w:szCs w:val="21"/>
          <w:highlight w:val="none"/>
        </w:rPr>
        <w:t>单位</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25.1   采购代理机构应在评审结束后两个工作日内，将评审报告送采购人。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25.2   采购人在收到评审报告后五个工作日内，根据评审报告对评审过程及结果进行严格审核后确定成交供应商，复函采购代理机构。</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25.3   采购代理机构在接到采购人的成交复函后，</w:t>
      </w:r>
      <w:r>
        <w:rPr>
          <w:rFonts w:hint="eastAsia" w:ascii="仿宋" w:hAnsi="仿宋" w:eastAsia="仿宋" w:cs="仿宋"/>
          <w:i w:val="0"/>
          <w:iCs w:val="0"/>
          <w:color w:val="auto"/>
          <w:sz w:val="24"/>
          <w:highlight w:val="none"/>
          <w:lang w:val="en-US" w:eastAsia="zh-CN"/>
        </w:rPr>
        <w:t>两个工作日内</w:t>
      </w:r>
      <w:r>
        <w:rPr>
          <w:rFonts w:hint="eastAsia" w:ascii="仿宋" w:hAnsi="仿宋" w:eastAsia="仿宋" w:cs="仿宋"/>
          <w:i w:val="0"/>
          <w:iCs w:val="0"/>
          <w:color w:val="auto"/>
          <w:sz w:val="24"/>
          <w:highlight w:val="none"/>
        </w:rPr>
        <w:t>在财政部门指定的政府采购信息发布媒体上公告，公告期限为一个工作日，并向成交供应商发出“成交通知书”。《成交通知书》是合同文件的组成部分。</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25.4   采购代理机构将评审过程及成交供应商情况书面报监督机构备案。</w:t>
      </w:r>
      <w:bookmarkStart w:id="404" w:name="_Toc389620203"/>
      <w:bookmarkStart w:id="405" w:name="_Toc385992364"/>
    </w:p>
    <w:bookmarkEnd w:id="404"/>
    <w:bookmarkEnd w:id="405"/>
    <w:p>
      <w:pPr>
        <w:pStyle w:val="5"/>
        <w:tabs>
          <w:tab w:val="left" w:pos="360"/>
        </w:tabs>
        <w:rPr>
          <w:rFonts w:hint="eastAsia" w:ascii="仿宋" w:hAnsi="仿宋" w:eastAsia="仿宋" w:cs="仿宋"/>
          <w:b/>
          <w:bCs/>
          <w:i w:val="0"/>
          <w:iCs w:val="0"/>
          <w:color w:val="auto"/>
          <w:sz w:val="24"/>
          <w:szCs w:val="21"/>
          <w:highlight w:val="none"/>
        </w:rPr>
      </w:pPr>
      <w:bookmarkStart w:id="406" w:name="_Toc389620204"/>
      <w:bookmarkStart w:id="407" w:name="_Toc385992365"/>
      <w:r>
        <w:rPr>
          <w:rFonts w:hint="eastAsia" w:ascii="仿宋" w:hAnsi="仿宋" w:eastAsia="仿宋" w:cs="仿宋"/>
          <w:b/>
          <w:bCs/>
          <w:i w:val="0"/>
          <w:iCs w:val="0"/>
          <w:color w:val="auto"/>
          <w:sz w:val="24"/>
          <w:szCs w:val="21"/>
          <w:highlight w:val="none"/>
        </w:rPr>
        <w:t>26.    合同</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26.1   自成交通知书发出后十日内，按照谈判文件和成交供应商响应文件的约定，采购人与成交供应商洽谈合同条款，并签订合同。谈判文件及成交供应商的响应文件均作为合同的组成部分。</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26.2   确定成交单位后，成交供应商因自身原因未按程序签订合同，采购人将取消其成交资格，同时报请监督机构备案。在此情况下，采购人可按评审结果顺序将合同授予下一成交候选人或重新采购。</w:t>
      </w:r>
    </w:p>
    <w:p>
      <w:pPr>
        <w:pStyle w:val="5"/>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27.    询问与质疑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27.1   供应商对政府采购活动事项有疑问的，可以向采购人提出询问。</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27.2   供应商认为采购文件、采购过程和中标、成交结果使自己的权益受到损害的，可以在知道或者应知其权益受到损害之日起七个工作日内，以书面形式向采购人提出质疑。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27.3   质疑供应商在法定质疑期内须一次性提出针对同一采购程序环节的质疑。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27.4   供应商提出质疑应当提交质疑函和必要的证明材料。质疑函应当包括下列内容：</w:t>
      </w:r>
    </w:p>
    <w:p>
      <w:pPr>
        <w:pStyle w:val="70"/>
        <w:numPr>
          <w:ilvl w:val="0"/>
          <w:numId w:val="9"/>
        </w:numPr>
        <w:tabs>
          <w:tab w:val="left" w:pos="588"/>
        </w:tabs>
        <w:spacing w:line="360" w:lineRule="auto"/>
        <w:ind w:left="846" w:hanging="6" w:firstLineChars="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供应商的姓名或者名称、地址、邮编、联系人及联系电话；</w:t>
      </w:r>
    </w:p>
    <w:p>
      <w:pPr>
        <w:pStyle w:val="70"/>
        <w:numPr>
          <w:ilvl w:val="0"/>
          <w:numId w:val="9"/>
        </w:numPr>
        <w:tabs>
          <w:tab w:val="left" w:pos="588"/>
        </w:tabs>
        <w:spacing w:line="360" w:lineRule="auto"/>
        <w:ind w:left="846" w:hanging="6" w:firstLineChars="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质疑项目的名称、编号；</w:t>
      </w:r>
    </w:p>
    <w:p>
      <w:pPr>
        <w:pStyle w:val="70"/>
        <w:numPr>
          <w:ilvl w:val="0"/>
          <w:numId w:val="9"/>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具体、明确的质疑事项和与质疑事项相关的请求；</w:t>
      </w:r>
    </w:p>
    <w:p>
      <w:pPr>
        <w:pStyle w:val="70"/>
        <w:numPr>
          <w:ilvl w:val="0"/>
          <w:numId w:val="9"/>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事实依据；</w:t>
      </w:r>
    </w:p>
    <w:p>
      <w:pPr>
        <w:pStyle w:val="70"/>
        <w:numPr>
          <w:ilvl w:val="0"/>
          <w:numId w:val="9"/>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必要的法律依据；</w:t>
      </w:r>
    </w:p>
    <w:p>
      <w:pPr>
        <w:pStyle w:val="70"/>
        <w:numPr>
          <w:ilvl w:val="0"/>
          <w:numId w:val="9"/>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提出质疑的日期。</w:t>
      </w:r>
    </w:p>
    <w:p>
      <w:pPr>
        <w:pStyle w:val="70"/>
        <w:tabs>
          <w:tab w:val="left" w:pos="840"/>
        </w:tabs>
        <w:spacing w:line="360" w:lineRule="auto"/>
        <w:ind w:left="838" w:leftChars="399" w:firstLine="0"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供应商为自然人的，应当由本人签字；供应商为法人或者其他组织的，应当由法定代表人或负责人签字或盖章，同时其授权代表签字，并加盖公章。</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27.5   符合要求的质疑，采购代理机构将予以受理并答复。联系电话：029-85235014，联系人：李萍、王亚宁</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27.6   供应商进行虚假和恶意质疑的，采购代理机构将提供相关资料报监督机构，按其情况进行相应处理。</w:t>
      </w:r>
    </w:p>
    <w:bookmarkEnd w:id="406"/>
    <w:bookmarkEnd w:id="407"/>
    <w:p>
      <w:pPr>
        <w:pStyle w:val="5"/>
        <w:tabs>
          <w:tab w:val="left" w:pos="360"/>
        </w:tabs>
        <w:rPr>
          <w:rFonts w:hint="eastAsia" w:ascii="仿宋" w:hAnsi="仿宋" w:eastAsia="仿宋" w:cs="仿宋"/>
          <w:b/>
          <w:bCs/>
          <w:i w:val="0"/>
          <w:iCs w:val="0"/>
          <w:color w:val="auto"/>
          <w:sz w:val="24"/>
          <w:szCs w:val="21"/>
          <w:highlight w:val="none"/>
        </w:rPr>
      </w:pPr>
      <w:bookmarkStart w:id="408" w:name="_Toc25547"/>
      <w:r>
        <w:rPr>
          <w:rFonts w:hint="eastAsia" w:ascii="仿宋" w:hAnsi="仿宋" w:eastAsia="仿宋" w:cs="仿宋"/>
          <w:b/>
          <w:bCs/>
          <w:i w:val="0"/>
          <w:iCs w:val="0"/>
          <w:color w:val="auto"/>
          <w:sz w:val="24"/>
          <w:szCs w:val="21"/>
          <w:highlight w:val="none"/>
        </w:rPr>
        <w:t>28.    履约保证金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   履约保证金金额见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28.2   履约保证金缴纳时间：合同签订前必须交纳至（采购人）。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28.3   履约保证金缴纳形式：成交供应商应当以支票、汇票、本票、保函（格式见附件2）等非现金形式缴纳。</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28.4   履约保证金收取单位名称：</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账号：</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               联系电话：</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28.5   履约保证金退还的方式、时间、条件：</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28.6   履约保证金不予退还的情况：</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28.7   逾期退还履约保证金的违约责任：</w:t>
      </w:r>
    </w:p>
    <w:p>
      <w:pPr>
        <w:pStyle w:val="5"/>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29.    成交服务费</w:t>
      </w:r>
      <w:bookmarkEnd w:id="408"/>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29.1   成交供应商在领取成交通知书前，须向采购代理机构支付代理服务费，代理服务费由采购人与采购代理机构约定：</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52"/>
      </w:r>
      <w:r>
        <w:rPr>
          <w:rFonts w:hint="eastAsia" w:ascii="仿宋" w:hAnsi="仿宋" w:eastAsia="仿宋" w:cs="仿宋"/>
          <w:i w:val="0"/>
          <w:iCs w:val="0"/>
          <w:color w:val="auto"/>
          <w:sz w:val="24"/>
          <w:highlight w:val="none"/>
        </w:rPr>
        <w:t>参照原国家计委计价格〔2002〕1980号文和国家发改委发改办价格〔2003〕857号文的计算方法（按标段）</w:t>
      </w:r>
      <w:r>
        <w:rPr>
          <w:rFonts w:hint="eastAsia" w:ascii="仿宋" w:hAnsi="仿宋" w:eastAsia="仿宋" w:cs="仿宋"/>
          <w:i w:val="0"/>
          <w:iCs w:val="0"/>
          <w:color w:val="auto"/>
          <w:sz w:val="24"/>
          <w:highlight w:val="none"/>
          <w:lang w:eastAsia="zh-CN"/>
        </w:rPr>
        <w:t>标准</w:t>
      </w:r>
      <w:r>
        <w:rPr>
          <w:rFonts w:hint="eastAsia" w:ascii="仿宋" w:hAnsi="仿宋" w:eastAsia="仿宋" w:cs="仿宋"/>
          <w:i w:val="0"/>
          <w:iCs w:val="0"/>
          <w:color w:val="auto"/>
          <w:sz w:val="24"/>
          <w:highlight w:val="none"/>
        </w:rPr>
        <w:t>收取。</w:t>
      </w:r>
    </w:p>
    <w:p>
      <w:pPr>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29.2   成交单位的代理服务费交纳信息</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银行户名：陕西省采购招标有限责任公司</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开户银行：中国光大银行西安友谊路支行</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    号：78560188000095264</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联系人：张婕   联系电话：029-85263975</w:t>
      </w:r>
    </w:p>
    <w:p>
      <w:pPr>
        <w:pStyle w:val="5"/>
        <w:numPr>
          <w:ilvl w:val="0"/>
          <w:numId w:val="10"/>
        </w:numPr>
        <w:tabs>
          <w:tab w:val="left" w:pos="360"/>
        </w:tabs>
        <w:rPr>
          <w:rFonts w:hint="eastAsia" w:ascii="仿宋" w:hAnsi="仿宋" w:eastAsia="仿宋" w:cs="仿宋"/>
          <w:b/>
          <w:bCs/>
          <w:i w:val="0"/>
          <w:iCs w:val="0"/>
          <w:color w:val="auto"/>
          <w:sz w:val="24"/>
          <w:szCs w:val="21"/>
          <w:highlight w:val="none"/>
        </w:rPr>
      </w:pPr>
      <w:bookmarkStart w:id="409" w:name="_Toc1585"/>
      <w:r>
        <w:rPr>
          <w:rFonts w:hint="eastAsia" w:ascii="仿宋" w:hAnsi="仿宋" w:eastAsia="仿宋" w:cs="仿宋"/>
          <w:b/>
          <w:bCs/>
          <w:i w:val="0"/>
          <w:iCs w:val="0"/>
          <w:color w:val="auto"/>
          <w:sz w:val="24"/>
          <w:szCs w:val="21"/>
          <w:highlight w:val="none"/>
        </w:rPr>
        <w:t xml:space="preserve">   采购人追加采购数量的权力</w:t>
      </w:r>
      <w:bookmarkEnd w:id="409"/>
    </w:p>
    <w:p>
      <w:pPr>
        <w:tabs>
          <w:tab w:val="left" w:pos="588"/>
        </w:tabs>
        <w:spacing w:line="360" w:lineRule="auto"/>
        <w:ind w:left="840" w:leftChars="400"/>
        <w:rPr>
          <w:rFonts w:hint="eastAsia" w:ascii="仿宋" w:hAnsi="仿宋" w:eastAsia="仿宋" w:cs="仿宋"/>
          <w:i w:val="0"/>
          <w:iCs w:val="0"/>
          <w:color w:val="auto"/>
          <w:sz w:val="24"/>
          <w:highlight w:val="none"/>
        </w:rPr>
      </w:pPr>
      <w:bookmarkStart w:id="410" w:name="_Toc385992366"/>
      <w:bookmarkStart w:id="411" w:name="_Toc389620205"/>
      <w:r>
        <w:rPr>
          <w:rFonts w:hint="eastAsia" w:ascii="仿宋" w:hAnsi="仿宋" w:eastAsia="仿宋" w:cs="仿宋"/>
          <w:i w:val="0"/>
          <w:iCs w:val="0"/>
          <w:color w:val="auto"/>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pPr>
        <w:pStyle w:val="23"/>
        <w:numPr>
          <w:ilvl w:val="0"/>
          <w:numId w:val="10"/>
        </w:numPr>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 xml:space="preserve">   其他情况</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31.1   谈判截止时间结束后，递交响应文件或者经评审的实质性响应谈判文件的供应商不足三家，采购代理机构应当终止竞争性谈判活动，发布项目终止公告并说明原因，重新开展采购活动。</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31.2   连续两次进行竞争性谈判活动，因符合谈判要求供应商不足3家，经请示政府采购管理部门同意后，可继续进行竞争性谈判活动。 </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   政府采购信用担保</w:t>
      </w:r>
    </w:p>
    <w:p>
      <w:pPr>
        <w:pStyle w:val="23"/>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31.3.1 供应商递交的履约担保函应符合本谈判文件的规定。</w:t>
      </w:r>
    </w:p>
    <w:p>
      <w:pPr>
        <w:spacing w:line="360" w:lineRule="auto"/>
        <w:ind w:left="850" w:hanging="849" w:hangingChars="354"/>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highlight w:val="none"/>
          <w:lang w:val="en-US" w:eastAsia="zh-CN"/>
        </w:rPr>
        <w:t xml:space="preserve">31.3.2 </w:t>
      </w:r>
      <w:r>
        <w:rPr>
          <w:rFonts w:hint="eastAsia" w:ascii="仿宋" w:hAnsi="仿宋" w:eastAsia="仿宋" w:cs="仿宋"/>
          <w:i w:val="0"/>
          <w:iCs w:val="0"/>
          <w:color w:val="auto"/>
          <w:sz w:val="24"/>
          <w:highlight w:val="none"/>
        </w:rPr>
        <w:t>为缓解中小企业融资困难，陕西省财政厅出台了《陕西省中小企业政府采购信用融资办法》（陕财办采﹝2018﹞23号），中标供应商如有融资需求，可登录“陕西省政府采购网-陕西省政府采购信用融资平台</w:t>
      </w:r>
      <w:r>
        <w:rPr>
          <w:rFonts w:hint="eastAsia" w:ascii="仿宋" w:hAnsi="仿宋" w:eastAsia="仿宋" w:cs="仿宋"/>
          <w:i w:val="0"/>
          <w:iCs w:val="0"/>
          <w:color w:val="auto"/>
          <w:sz w:val="24"/>
          <w:highlight w:val="none"/>
          <w:lang w:eastAsia="zh-CN"/>
        </w:rPr>
        <w:t>（http://www.ccgp-shaanxi.gov.cn/zcdservice/zcd/shanxi/）</w:t>
      </w:r>
      <w:r>
        <w:rPr>
          <w:rFonts w:hint="eastAsia" w:ascii="仿宋" w:hAnsi="仿宋" w:eastAsia="仿宋" w:cs="仿宋"/>
          <w:i w:val="0"/>
          <w:iCs w:val="0"/>
          <w:color w:val="auto"/>
          <w:sz w:val="24"/>
          <w:highlight w:val="none"/>
        </w:rPr>
        <w:t>”了解详情。</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业务流程简图如下：</w:t>
      </w:r>
    </w:p>
    <w:p>
      <w:pPr>
        <w:pStyle w:val="23"/>
        <w:tabs>
          <w:tab w:val="left" w:pos="567"/>
        </w:tabs>
        <w:spacing w:line="360" w:lineRule="auto"/>
        <w:jc w:val="center"/>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756275" cy="3310255"/>
                    </a:xfrm>
                    <a:prstGeom prst="rect">
                      <a:avLst/>
                    </a:prstGeom>
                    <a:noFill/>
                    <a:ln>
                      <a:noFill/>
                    </a:ln>
                  </pic:spPr>
                </pic:pic>
              </a:graphicData>
            </a:graphic>
          </wp:inline>
        </w:drawing>
      </w:r>
    </w:p>
    <w:p>
      <w:pPr>
        <w:pStyle w:val="23"/>
        <w:shd w:val="clear" w:color="auto"/>
        <w:ind w:left="840" w:hanging="735" w:hangingChars="350"/>
        <w:jc w:val="center"/>
        <w:rPr>
          <w:rFonts w:hint="eastAsia" w:ascii="仿宋" w:hAnsi="仿宋" w:eastAsia="仿宋" w:cs="仿宋"/>
          <w:i w:val="0"/>
          <w:iCs w:val="0"/>
          <w:color w:val="auto"/>
          <w:sz w:val="24"/>
          <w:highlight w:val="none"/>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9"/>
                    <a:stretch>
                      <a:fillRect/>
                    </a:stretch>
                  </pic:blipFill>
                  <pic:spPr>
                    <a:xfrm>
                      <a:off x="0" y="0"/>
                      <a:ext cx="5758815" cy="3242310"/>
                    </a:xfrm>
                    <a:prstGeom prst="rect">
                      <a:avLst/>
                    </a:prstGeom>
                    <a:noFill/>
                    <a:ln>
                      <a:noFill/>
                    </a:ln>
                  </pic:spPr>
                </pic:pic>
              </a:graphicData>
            </a:graphic>
          </wp:inline>
        </w:drawing>
      </w:r>
    </w:p>
    <w:p>
      <w:pPr>
        <w:pStyle w:val="23"/>
        <w:tabs>
          <w:tab w:val="left" w:pos="567"/>
        </w:tabs>
        <w:rPr>
          <w:rFonts w:hint="eastAsia" w:ascii="仿宋" w:hAnsi="仿宋" w:eastAsia="仿宋" w:cs="仿宋"/>
          <w:i w:val="0"/>
          <w:iCs w:val="0"/>
          <w:color w:val="auto"/>
          <w:sz w:val="24"/>
          <w:szCs w:val="32"/>
          <w:highlight w:val="none"/>
          <w:lang w:eastAsia="zh-CN"/>
        </w:rPr>
      </w:pPr>
      <w:r>
        <w:rPr>
          <w:rFonts w:hint="eastAsia" w:ascii="仿宋" w:hAnsi="仿宋" w:eastAsia="仿宋" w:cs="仿宋"/>
          <w:i w:val="0"/>
          <w:iCs w:val="0"/>
          <w:color w:val="auto"/>
          <w:sz w:val="24"/>
          <w:szCs w:val="32"/>
          <w:highlight w:val="none"/>
          <w:lang w:val="en-US" w:eastAsia="zh-CN"/>
        </w:rPr>
        <w:t>省级政府采购项目</w:t>
      </w:r>
      <w:r>
        <w:rPr>
          <w:rFonts w:hint="eastAsia" w:ascii="仿宋" w:hAnsi="仿宋" w:eastAsia="仿宋" w:cs="仿宋"/>
          <w:i w:val="0"/>
          <w:iCs w:val="0"/>
          <w:color w:val="auto"/>
          <w:sz w:val="24"/>
          <w:szCs w:val="32"/>
          <w:highlight w:val="none"/>
        </w:rPr>
        <w:t>贷款银行信息</w:t>
      </w:r>
      <w:r>
        <w:rPr>
          <w:rFonts w:hint="eastAsia" w:ascii="仿宋" w:hAnsi="仿宋" w:eastAsia="仿宋" w:cs="仿宋"/>
          <w:i w:val="0"/>
          <w:iCs w:val="0"/>
          <w:color w:val="auto"/>
          <w:sz w:val="24"/>
          <w:szCs w:val="32"/>
          <w:highlight w:val="none"/>
          <w:lang w:eastAsia="zh-CN"/>
        </w:rPr>
        <w:t>：</w:t>
      </w:r>
    </w:p>
    <w:p>
      <w:pPr>
        <w:rPr>
          <w:rFonts w:hint="eastAsia" w:ascii="仿宋" w:hAnsi="仿宋" w:eastAsia="仿宋" w:cs="仿宋"/>
          <w:b/>
          <w:i w:val="0"/>
          <w:iCs w:val="0"/>
          <w:color w:val="auto"/>
          <w:szCs w:val="21"/>
          <w:highlight w:val="none"/>
        </w:rPr>
      </w:pP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b/>
          <w:i w:val="0"/>
          <w:iCs w:val="0"/>
          <w:color w:val="auto"/>
          <w:szCs w:val="21"/>
          <w:highlight w:val="none"/>
        </w:rPr>
        <w:t>一、陕西建行（E政通）</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陕西省分行营业部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西安市南广济街38号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白玉皓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13201603166</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西安莲湖路支行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西安市莲湖路35号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冲</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17702902131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西安市雁塔南路2216号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樊理君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18691568151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西安高新区支行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西安市高新路42号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卞斯超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15191075651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西安经开区支行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西安市未央路125号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惠  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17792256100</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西安南大街支行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西安市南大街15号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乔  鉴</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18089136919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西安和平路支行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西安市和平路101号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  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18691816821</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西安市兴庆路61号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13892880386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西安市南新街29号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朱子君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18629286269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西安长安区支行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西安市长安区青年街2号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王淑芸</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13572289603</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咸阳市西兰路4号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邰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13299079906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宝鸡市红旗路36号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18629019817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铜川市新区正阳路与长虹路十字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张小波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18691932636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榆林市高新技术产业园区创业大厦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张君君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15991929275</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延安市宝塔区中心街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陈进佃</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15609110557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汉中市石灰巷21号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王晨旭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15319375850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安康市育才路102号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张少帅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13165762680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商洛市名人街广电大楼下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17809267188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二、北京银行（政府订单贷）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刘晓伟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029-61828763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18066630518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西安高新开发区支行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梁凡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029-61828531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18681945597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西安曲江文创支行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蒋超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029-65667366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15891737329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西安经济技术开发区支行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孟庆龙</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029-61828272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13991990373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西安长缨路支行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范凯</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029-68717760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13991315609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长安区西长安街支行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陈明</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029-85724301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18149209660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泾渭工业园支行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杨奕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029-68213773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15934802021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北客站科技支行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周洁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029-61828129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18629518636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解放路支行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王莉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029-61828185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15802966196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奥宝森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0911-8076038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15592925222</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三、工商银行（政采贷）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0912-6183827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15353386777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0917-3238282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18991749262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郑婕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0915-3236275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15667856663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彭东东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0919-2151878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17392898832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党莹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0911-2380826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15291142933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杨薇薇</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部门副经理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0916-2606773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18591607453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09132095066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15229730006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袁霖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029-33259370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18591006506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18691410305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余勇博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18092802280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巩越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029-87609419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18629450680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四、中信银行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西安市朱雀大街中段1号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曹晓聪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13759957407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秦皇中路绿苑大厦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杭群</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13992016859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宝鸡市高新大道50号财富大厦B座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13636762976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渭南市朝阳大街中段信达广场世纪明珠大厦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18191815559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榆林市高新区长兴路248号中信银行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刘洪巍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13636885556</w:t>
      </w:r>
    </w:p>
    <w:p>
      <w:pPr>
        <w:ind w:left="1680" w:leftChars="200" w:hanging="1260" w:hangingChars="6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汉中市汉台区西二环路与劳动西路东南汉中滨江•公园壹号（产业孵化区）3B号楼</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18509165068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五、中国光大银行（阳光政采贷）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0917-3451055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18329677163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尚云鹏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0912-3548019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18690473126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汪昊田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0911-8011831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13509115500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侯 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32100021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15229500088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营销一部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87236311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13772031109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营销二部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朱翰辰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87236201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17791788078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张翔琮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18829235568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电子城支行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张曼玉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88247071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18009298787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明德门支行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85350770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13991249430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东大街支行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87438914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15029673754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经济开发区支行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陆家俊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86525176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18629303397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凤城九路支行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宋 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89155022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18966911622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司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83290033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18629251819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长乐西路支行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82566208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15877390201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友谊路支行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贠程敏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88422067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18792795210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边家村支行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85251673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15309223048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北关支行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菅新培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86248203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18092169361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南郊支行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程 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85265234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13772491661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西关正街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 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89548109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13772337373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丈八东路支行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杨筱凡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81026910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15129044185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雁塔路支行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闫梓闶</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82222501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18691561524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唐延路支行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尉二宝</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88329478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13991930150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枫林绿洲支行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87302120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13609199490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南关正街支行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85230722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18066610983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南二环支行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88362861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18192080396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田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81205890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13991937977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太白路支行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马振林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68912880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15353736656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明光路支行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刘二渭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81623506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13201793405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凤城二路支行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86680267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13720423343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昆明路支行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84592506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13991821278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丈八北路支行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81875192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15667087662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余振东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87251680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18066617238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六、浦发银行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吴晨雨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029-63603803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15991724645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陈福全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17782511994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韩瑾</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18202909790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李瑞雪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18220862398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陈晓晓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0912-2216068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15691269965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郭小东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15291820586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张一岚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0917-8662919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18690008816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朱强</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0917-8662926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13909176381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王晓峰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0913-3357080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13992363166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薛晗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029-32083788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15109226216</w:t>
      </w:r>
    </w:p>
    <w:p>
      <w:pPr>
        <w:rPr>
          <w:rFonts w:hint="eastAsia" w:ascii="仿宋" w:hAnsi="仿宋" w:eastAsia="仿宋" w:cs="仿宋"/>
          <w:i w:val="0"/>
          <w:iCs w:val="0"/>
          <w:color w:val="auto"/>
          <w:szCs w:val="21"/>
          <w:highlight w:val="none"/>
        </w:rPr>
      </w:pP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七、兴业银行（政采贷）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总监</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029-87482998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13363979983</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八、中国民生银行（政采贷）</w:t>
      </w:r>
    </w:p>
    <w:p>
      <w:pPr>
        <w:ind w:left="2310" w:leftChars="200" w:hanging="1890" w:hangingChars="900"/>
        <w:rPr>
          <w:rFonts w:hint="eastAsia" w:ascii="仿宋" w:hAnsi="仿宋" w:eastAsia="仿宋" w:cs="仿宋"/>
          <w:i w:val="0"/>
          <w:iCs w:val="0"/>
          <w:color w:val="auto"/>
          <w:szCs w:val="21"/>
          <w:highlight w:val="none"/>
          <w:lang w:eastAsia="zh-CN"/>
        </w:rPr>
      </w:pPr>
      <w:r>
        <w:rPr>
          <w:rFonts w:hint="eastAsia" w:ascii="仿宋" w:hAnsi="仿宋" w:eastAsia="仿宋" w:cs="仿宋"/>
          <w:i w:val="0"/>
          <w:iCs w:val="0"/>
          <w:color w:val="auto"/>
          <w:szCs w:val="21"/>
          <w:highlight w:val="none"/>
        </w:rPr>
        <w:t>民生银行西安分行  联系人：陈经理 联系电话：61815275 /18821669199</w:t>
      </w:r>
    </w:p>
    <w:p>
      <w:pPr>
        <w:ind w:left="2310" w:leftChars="200" w:hanging="1890" w:hangingChars="9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联系人：王经理 联系电话：61815280 /18591953690 </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九、浙商银行 （政采贷）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西安市雁塔区科技路259号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曹金辉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18710993980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 招商银行（政采贷）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招商银行西安分行   联系人：任瑾；85438988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十一、 长安银行（小微贷）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长安银行西安曲江新区支行 地址：西安市曲江新区雁南一路3号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联系人：陈瑶 13629266833 </w:t>
      </w:r>
    </w:p>
    <w:p>
      <w:pPr>
        <w:rPr>
          <w:rFonts w:hint="eastAsia" w:ascii="仿宋" w:hAnsi="仿宋" w:eastAsia="仿宋" w:cs="仿宋"/>
          <w:b/>
          <w:i w:val="0"/>
          <w:iCs w:val="0"/>
          <w:color w:val="auto"/>
          <w:sz w:val="21"/>
          <w:szCs w:val="21"/>
          <w:highlight w:val="none"/>
          <w:lang w:eastAsia="zh-CN"/>
        </w:rPr>
      </w:pPr>
      <w:r>
        <w:rPr>
          <w:rFonts w:hint="eastAsia" w:ascii="仿宋" w:hAnsi="仿宋" w:eastAsia="仿宋" w:cs="仿宋"/>
          <w:b/>
          <w:i w:val="0"/>
          <w:iCs w:val="0"/>
          <w:color w:val="auto"/>
          <w:sz w:val="21"/>
          <w:szCs w:val="21"/>
          <w:highlight w:val="none"/>
        </w:rPr>
        <w:t>十二、网商银行（合同贷）</w:t>
      </w:r>
    </w:p>
    <w:p>
      <w:pPr>
        <w:rPr>
          <w:rFonts w:hint="eastAsia" w:ascii="仿宋" w:hAnsi="仿宋" w:eastAsia="仿宋" w:cs="仿宋"/>
          <w:b/>
          <w:i w:val="0"/>
          <w:iCs w:val="0"/>
          <w:color w:val="auto"/>
          <w:sz w:val="21"/>
          <w:szCs w:val="21"/>
          <w:highlight w:val="none"/>
        </w:rPr>
      </w:pPr>
      <w:r>
        <w:rPr>
          <w:rFonts w:hint="eastAsia" w:ascii="仿宋" w:hAnsi="仿宋" w:eastAsia="仿宋" w:cs="仿宋"/>
          <w:b/>
          <w:i w:val="0"/>
          <w:iCs w:val="0"/>
          <w:color w:val="auto"/>
          <w:sz w:val="21"/>
          <w:szCs w:val="21"/>
          <w:highlight w:val="none"/>
        </w:rPr>
        <w:t>十三、中国邮政储蓄银行陕西省分行（政采贷）</w:t>
      </w:r>
    </w:p>
    <w:p>
      <w:pPr>
        <w:pStyle w:val="23"/>
        <w:rPr>
          <w:rFonts w:hint="eastAsia" w:ascii="仿宋" w:hAnsi="仿宋" w:eastAsia="仿宋" w:cs="仿宋"/>
          <w:highlight w:val="none"/>
        </w:rPr>
      </w:pPr>
    </w:p>
    <w:p>
      <w:pPr>
        <w:pStyle w:val="23"/>
        <w:tabs>
          <w:tab w:val="left" w:pos="567"/>
        </w:tabs>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lang w:val="en-US" w:eastAsia="zh-CN"/>
        </w:rPr>
        <w:t>渭南市政府采购</w:t>
      </w:r>
      <w:r>
        <w:rPr>
          <w:rFonts w:hint="eastAsia" w:ascii="仿宋" w:hAnsi="仿宋" w:eastAsia="仿宋" w:cs="仿宋"/>
          <w:i w:val="0"/>
          <w:iCs w:val="0"/>
          <w:color w:val="auto"/>
          <w:sz w:val="24"/>
          <w:szCs w:val="24"/>
          <w:highlight w:val="none"/>
        </w:rPr>
        <w:t>贷款银行信息</w:t>
      </w:r>
      <w:r>
        <w:rPr>
          <w:rFonts w:hint="eastAsia" w:ascii="仿宋" w:hAnsi="仿宋" w:eastAsia="仿宋" w:cs="仿宋"/>
          <w:i w:val="0"/>
          <w:iCs w:val="0"/>
          <w:color w:val="auto"/>
          <w:sz w:val="24"/>
          <w:szCs w:val="24"/>
          <w:highlight w:val="none"/>
          <w:lang w:eastAsia="zh-CN"/>
        </w:rPr>
        <w:t>：</w:t>
      </w:r>
    </w:p>
    <w:tbl>
      <w:tblPr>
        <w:tblStyle w:val="5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20"/>
        <w:gridCol w:w="2028"/>
        <w:gridCol w:w="2635"/>
        <w:gridCol w:w="2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13892535580</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17797059890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13892383911</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15249035320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18191815559</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13193388328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15706090239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18191356300</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15229730006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13335331958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张萱</w:t>
            </w:r>
          </w:p>
        </w:tc>
        <w:tc>
          <w:tcPr>
            <w:tcW w:w="15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13028431555</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18091365182</w:t>
            </w:r>
          </w:p>
        </w:tc>
      </w:tr>
    </w:tbl>
    <w:p>
      <w:pPr>
        <w:pStyle w:val="23"/>
        <w:tabs>
          <w:tab w:val="left" w:pos="567"/>
        </w:tabs>
        <w:rPr>
          <w:rFonts w:hint="eastAsia" w:ascii="仿宋" w:hAnsi="仿宋" w:eastAsia="仿宋" w:cs="仿宋"/>
          <w:i w:val="0"/>
          <w:iCs w:val="0"/>
          <w:color w:val="auto"/>
          <w:sz w:val="21"/>
          <w:szCs w:val="21"/>
          <w:highlight w:val="none"/>
          <w:lang w:val="en-US" w:eastAsia="zh-CN"/>
        </w:rPr>
      </w:pPr>
    </w:p>
    <w:p>
      <w:pPr>
        <w:pStyle w:val="23"/>
        <w:tabs>
          <w:tab w:val="left" w:pos="567"/>
        </w:tabs>
        <w:rPr>
          <w:rFonts w:hint="eastAsia" w:ascii="仿宋" w:hAnsi="仿宋" w:eastAsia="仿宋" w:cs="仿宋"/>
          <w:i w:val="0"/>
          <w:iCs w:val="0"/>
          <w:color w:val="auto"/>
          <w:sz w:val="21"/>
          <w:szCs w:val="21"/>
          <w:highlight w:val="none"/>
          <w:lang w:val="en-US" w:eastAsia="zh-CN"/>
        </w:rPr>
      </w:pPr>
      <w:r>
        <w:rPr>
          <w:rFonts w:hint="eastAsia" w:ascii="仿宋" w:hAnsi="仿宋" w:eastAsia="仿宋" w:cs="仿宋"/>
          <w:i w:val="0"/>
          <w:iCs w:val="0"/>
          <w:color w:val="auto"/>
          <w:sz w:val="21"/>
          <w:szCs w:val="21"/>
          <w:highlight w:val="none"/>
          <w:lang w:val="en-US" w:eastAsia="zh-CN"/>
        </w:rPr>
        <w:t>延安市政府采购</w:t>
      </w:r>
      <w:r>
        <w:rPr>
          <w:rFonts w:hint="eastAsia" w:ascii="仿宋" w:hAnsi="仿宋" w:eastAsia="仿宋" w:cs="仿宋"/>
          <w:i w:val="0"/>
          <w:iCs w:val="0"/>
          <w:color w:val="auto"/>
          <w:sz w:val="21"/>
          <w:szCs w:val="21"/>
          <w:highlight w:val="none"/>
        </w:rPr>
        <w:t>贷款银行信息</w:t>
      </w:r>
      <w:r>
        <w:rPr>
          <w:rFonts w:hint="eastAsia" w:ascii="仿宋" w:hAnsi="仿宋" w:eastAsia="仿宋" w:cs="仿宋"/>
          <w:i w:val="0"/>
          <w:iCs w:val="0"/>
          <w:color w:val="auto"/>
          <w:sz w:val="21"/>
          <w:szCs w:val="21"/>
          <w:highlight w:val="none"/>
          <w:lang w:eastAsia="zh-CN"/>
        </w:rPr>
        <w:t>：</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170"/>
        <w:gridCol w:w="3543"/>
        <w:gridCol w:w="816"/>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序号</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银行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地址</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联系人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中国建设银行延安分行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延安市宝塔区中心街</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惠玉</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中国工商银行延安分行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延安市宝塔区师范路</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姬悦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北京银行延安分行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延安市宝塔区双拥大道</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奥宝森</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邮储银行延安分行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延安市宝塔区枣园路志丹大厦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杨慧花</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光大银行延安分行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延安市宝塔区卷烟厂东信时代一、二层</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汪昊田</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13509115500</w:t>
            </w:r>
          </w:p>
        </w:tc>
      </w:tr>
    </w:tbl>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p>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r>
        <w:rPr>
          <w:rFonts w:hint="eastAsia" w:ascii="仿宋" w:hAnsi="仿宋" w:eastAsia="仿宋" w:cs="仿宋"/>
          <w:b/>
          <w:bCs/>
          <w:i w:val="0"/>
          <w:iCs w:val="0"/>
          <w:color w:val="auto"/>
          <w:kern w:val="2"/>
          <w:sz w:val="24"/>
          <w:szCs w:val="21"/>
          <w:highlight w:val="none"/>
          <w:lang w:val="en-US" w:eastAsia="zh-CN" w:bidi="ar-SA"/>
        </w:rPr>
        <w:t>32   信用承诺：详见投标须知前附表</w:t>
      </w:r>
    </w:p>
    <w:p>
      <w:pPr>
        <w:spacing w:line="360" w:lineRule="auto"/>
        <w:ind w:left="840" w:hanging="843" w:hangingChars="350"/>
        <w:rPr>
          <w:rFonts w:hint="eastAsia" w:ascii="仿宋" w:hAnsi="仿宋" w:eastAsia="仿宋" w:cs="仿宋"/>
          <w:b/>
          <w:bCs/>
          <w:sz w:val="24"/>
          <w:lang w:val="en-US" w:eastAsia="zh-CN"/>
        </w:rPr>
      </w:pPr>
      <w:r>
        <w:rPr>
          <w:rFonts w:hint="eastAsia" w:ascii="仿宋" w:hAnsi="仿宋" w:eastAsia="仿宋" w:cs="仿宋"/>
          <w:b/>
          <w:bCs/>
          <w:i w:val="0"/>
          <w:iCs w:val="0"/>
          <w:color w:val="auto"/>
          <w:kern w:val="2"/>
          <w:sz w:val="24"/>
          <w:szCs w:val="21"/>
          <w:highlight w:val="none"/>
          <w:lang w:val="en-US" w:eastAsia="zh-CN" w:bidi="ar-SA"/>
        </w:rPr>
        <w:t>33</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b/>
          <w:bCs/>
          <w:i w:val="0"/>
          <w:iCs w:val="0"/>
          <w:color w:val="auto"/>
          <w:kern w:val="2"/>
          <w:sz w:val="24"/>
          <w:szCs w:val="21"/>
          <w:highlight w:val="none"/>
          <w:lang w:val="en-US" w:eastAsia="zh-CN" w:bidi="ar-SA"/>
        </w:rPr>
        <w:t>不见面开标注意事项及流程</w:t>
      </w:r>
      <w:r>
        <w:rPr>
          <w:rFonts w:hint="eastAsia" w:ascii="仿宋" w:hAnsi="仿宋" w:eastAsia="仿宋" w:cs="仿宋"/>
          <w:b/>
          <w:bCs/>
          <w:sz w:val="24"/>
          <w:lang w:val="en-US" w:eastAsia="zh-CN"/>
        </w:rPr>
        <w:t>。</w:t>
      </w:r>
    </w:p>
    <w:p>
      <w:pPr>
        <w:pStyle w:val="23"/>
        <w:shd w:val="clear" w:color="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33.1 不见面开标注意事项及流程见“供应商须知前附表”</w:t>
      </w:r>
    </w:p>
    <w:bookmarkEnd w:id="410"/>
    <w:bookmarkEnd w:id="411"/>
    <w:p>
      <w:pPr>
        <w:pStyle w:val="23"/>
        <w:shd w:val="clear" w:color="auto"/>
        <w:ind w:left="840" w:hanging="843" w:hangingChars="350"/>
        <w:rPr>
          <w:rFonts w:hint="eastAsia" w:ascii="仿宋" w:hAnsi="仿宋" w:eastAsia="仿宋" w:cs="仿宋"/>
          <w:i w:val="0"/>
          <w:iCs w:val="0"/>
          <w:color w:val="auto"/>
          <w:sz w:val="24"/>
          <w:highlight w:val="none"/>
        </w:rPr>
      </w:pPr>
      <w:bookmarkStart w:id="412" w:name="_Toc184025279"/>
      <w:bookmarkStart w:id="413" w:name="_Toc184114070"/>
      <w:bookmarkStart w:id="414" w:name="_Toc230099802"/>
      <w:bookmarkStart w:id="415" w:name="_Toc230013637"/>
      <w:r>
        <w:rPr>
          <w:rFonts w:hint="eastAsia" w:ascii="仿宋" w:hAnsi="仿宋" w:eastAsia="仿宋" w:cs="仿宋"/>
          <w:b/>
          <w:bCs/>
          <w:sz w:val="24"/>
          <w:lang w:val="en-US" w:eastAsia="zh-CN"/>
        </w:rPr>
        <w:t>34   中小企业规模的划分标准</w:t>
      </w:r>
      <w:r>
        <w:rPr>
          <w:rFonts w:hint="eastAsia" w:ascii="仿宋" w:hAnsi="仿宋" w:eastAsia="仿宋" w:cs="仿宋"/>
          <w:i w:val="0"/>
          <w:iCs w:val="0"/>
          <w:color w:val="auto"/>
          <w:sz w:val="24"/>
          <w:highlight w:val="none"/>
        </w:rPr>
        <w:br w:type="page"/>
      </w:r>
    </w:p>
    <w:bookmarkEnd w:id="412"/>
    <w:bookmarkEnd w:id="413"/>
    <w:bookmarkEnd w:id="414"/>
    <w:bookmarkEnd w:id="415"/>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16" w:name="_Toc17469"/>
      <w:bookmarkStart w:id="417" w:name="_Toc58504668"/>
      <w:bookmarkStart w:id="418" w:name="_Toc58504447"/>
      <w:r>
        <w:rPr>
          <w:rFonts w:hint="eastAsia" w:ascii="仿宋" w:hAnsi="仿宋" w:eastAsia="仿宋" w:cs="仿宋"/>
          <w:b/>
          <w:i w:val="0"/>
          <w:iCs w:val="0"/>
          <w:color w:val="auto"/>
          <w:kern w:val="0"/>
          <w:sz w:val="32"/>
          <w:szCs w:val="32"/>
          <w:highlight w:val="none"/>
        </w:rPr>
        <w:t xml:space="preserve">第三章  </w:t>
      </w:r>
      <w:bookmarkEnd w:id="19"/>
      <w:bookmarkEnd w:id="416"/>
      <w:bookmarkEnd w:id="417"/>
      <w:bookmarkEnd w:id="418"/>
      <w:bookmarkStart w:id="419" w:name="_Toc256342152"/>
      <w:bookmarkStart w:id="420" w:name="_Toc230099803"/>
      <w:bookmarkStart w:id="421" w:name="_Toc500747010"/>
      <w:bookmarkStart w:id="422" w:name="_Toc500747233"/>
      <w:bookmarkStart w:id="423" w:name="_Toc499711087"/>
      <w:bookmarkStart w:id="424" w:name="_Toc232176282"/>
      <w:bookmarkStart w:id="425" w:name="_Toc230583552"/>
      <w:bookmarkStart w:id="426" w:name="_Toc249515482"/>
      <w:bookmarkStart w:id="427" w:name="_Toc184043058"/>
      <w:bookmarkStart w:id="428" w:name="_Toc177817344"/>
      <w:bookmarkStart w:id="429" w:name="_Toc232395222"/>
      <w:bookmarkStart w:id="430" w:name="_Toc177995483"/>
      <w:bookmarkStart w:id="431" w:name="_Toc249515369"/>
      <w:bookmarkStart w:id="432" w:name="_Toc28450"/>
      <w:bookmarkStart w:id="433" w:name="_Toc499711928"/>
      <w:bookmarkStart w:id="434" w:name="_Toc415499897"/>
      <w:bookmarkStart w:id="435" w:name="_Toc496324623"/>
      <w:bookmarkStart w:id="436" w:name="_Toc492955459"/>
      <w:bookmarkStart w:id="437" w:name="_Toc53722865"/>
      <w:bookmarkStart w:id="438" w:name="_Toc70687202"/>
      <w:bookmarkStart w:id="439" w:name="_Toc230013638"/>
      <w:bookmarkStart w:id="440" w:name="_Toc503063458"/>
      <w:bookmarkStart w:id="441" w:name="_Toc177189245"/>
      <w:bookmarkStart w:id="442" w:name="_Toc249525250"/>
      <w:bookmarkStart w:id="443" w:name="_Toc500747106"/>
      <w:bookmarkStart w:id="444" w:name="_Toc176882552"/>
      <w:r>
        <w:rPr>
          <w:rFonts w:hint="eastAsia" w:ascii="仿宋" w:hAnsi="仿宋" w:eastAsia="仿宋" w:cs="仿宋"/>
          <w:b/>
          <w:i w:val="0"/>
          <w:iCs w:val="0"/>
          <w:color w:val="auto"/>
          <w:kern w:val="0"/>
          <w:sz w:val="32"/>
          <w:szCs w:val="32"/>
          <w:highlight w:val="none"/>
        </w:rPr>
        <w:t>拟签订的合同文本</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
          <w:bCs/>
          <w:color w:val="auto"/>
          <w:sz w:val="24"/>
          <w:szCs w:val="24"/>
          <w:lang w:val="en-US" w:eastAsia="zh-CN"/>
        </w:rPr>
      </w:pP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甲方：</w:t>
      </w:r>
    </w:p>
    <w:p>
      <w:pPr>
        <w:tabs>
          <w:tab w:val="left" w:pos="735"/>
        </w:tabs>
        <w:autoSpaceDE w:val="0"/>
        <w:autoSpaceDN w:val="0"/>
        <w:adjustRightInd w:val="0"/>
        <w:snapToGrid w:val="0"/>
        <w:spacing w:line="360" w:lineRule="auto"/>
        <w:ind w:firstLine="631"/>
        <w:rPr>
          <w:rFonts w:hint="eastAsia" w:ascii="仿宋" w:hAnsi="仿宋" w:eastAsia="仿宋" w:cs="仿宋"/>
          <w:bCs/>
          <w:sz w:val="24"/>
          <w:lang w:val="zh-CN"/>
        </w:rPr>
      </w:pPr>
      <w:r>
        <w:rPr>
          <w:rFonts w:hint="eastAsia" w:ascii="仿宋" w:hAnsi="仿宋" w:eastAsia="仿宋" w:cs="仿宋"/>
          <w:b/>
          <w:bCs/>
          <w:sz w:val="24"/>
          <w:lang w:val="zh-CN"/>
        </w:rPr>
        <w:t>乙方：</w:t>
      </w:r>
      <w:r>
        <w:rPr>
          <w:rFonts w:hint="eastAsia" w:ascii="仿宋" w:hAnsi="仿宋" w:eastAsia="仿宋" w:cs="仿宋"/>
          <w:bCs/>
          <w:sz w:val="24"/>
          <w:lang w:val="zh-CN"/>
        </w:rPr>
        <w:t>（成交供应商名称）</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一、合同内容:</w:t>
      </w:r>
    </w:p>
    <w:p>
      <w:pPr>
        <w:tabs>
          <w:tab w:val="left" w:pos="735"/>
        </w:tabs>
        <w:autoSpaceDE w:val="0"/>
        <w:autoSpaceDN w:val="0"/>
        <w:adjustRightInd w:val="0"/>
        <w:snapToGrid w:val="0"/>
        <w:spacing w:line="360" w:lineRule="auto"/>
        <w:ind w:firstLine="631"/>
        <w:rPr>
          <w:rFonts w:hint="eastAsia" w:ascii="仿宋" w:hAnsi="仿宋" w:eastAsia="仿宋" w:cs="仿宋"/>
          <w:sz w:val="24"/>
        </w:rPr>
      </w:pPr>
      <w:r>
        <w:rPr>
          <w:rFonts w:hint="eastAsia" w:ascii="仿宋" w:hAnsi="仿宋" w:eastAsia="仿宋" w:cs="仿宋"/>
          <w:b/>
          <w:sz w:val="24"/>
        </w:rPr>
        <w:t>二、合同价款</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1、合同总价：人民币大写：</w:t>
      </w:r>
      <w:r>
        <w:rPr>
          <w:rFonts w:hint="eastAsia" w:ascii="仿宋" w:hAnsi="仿宋" w:eastAsia="仿宋" w:cs="仿宋"/>
          <w:sz w:val="24"/>
          <w:u w:val="single"/>
        </w:rPr>
        <w:t xml:space="preserve">       </w:t>
      </w:r>
      <w:r>
        <w:rPr>
          <w:rFonts w:hint="eastAsia" w:ascii="仿宋" w:hAnsi="仿宋" w:eastAsia="仿宋" w:cs="仿宋"/>
          <w:sz w:val="24"/>
        </w:rPr>
        <w:t>元，小写</w:t>
      </w:r>
      <w:r>
        <w:rPr>
          <w:rFonts w:hint="eastAsia" w:ascii="仿宋" w:hAnsi="仿宋" w:eastAsia="仿宋" w:cs="仿宋"/>
          <w:sz w:val="24"/>
          <w:u w:val="single"/>
        </w:rPr>
        <w:t xml:space="preserve">       </w:t>
      </w:r>
      <w:r>
        <w:rPr>
          <w:rFonts w:hint="eastAsia" w:ascii="仿宋" w:hAnsi="仿宋" w:eastAsia="仿宋" w:cs="仿宋"/>
          <w:sz w:val="24"/>
        </w:rPr>
        <w:t>元。</w:t>
      </w:r>
    </w:p>
    <w:p>
      <w:pPr>
        <w:adjustRightInd w:val="0"/>
        <w:snapToGrid w:val="0"/>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sz w:val="24"/>
        </w:rPr>
        <w:t>2、合同总价包括：产品总价、运杂费（含仓储费、运输费、保险费）、安装调试费、税金以及达到</w:t>
      </w:r>
      <w:r>
        <w:rPr>
          <w:rFonts w:hint="eastAsia" w:ascii="仿宋" w:hAnsi="仿宋" w:eastAsia="仿宋" w:cs="仿宋"/>
          <w:sz w:val="24"/>
          <w:lang w:eastAsia="zh-CN"/>
        </w:rPr>
        <w:t>使用</w:t>
      </w:r>
      <w:r>
        <w:rPr>
          <w:rFonts w:hint="eastAsia" w:ascii="仿宋" w:hAnsi="仿宋" w:eastAsia="仿宋" w:cs="仿宋"/>
          <w:sz w:val="24"/>
        </w:rPr>
        <w:t>条件的一切其他费用。</w:t>
      </w:r>
    </w:p>
    <w:p>
      <w:pPr>
        <w:tabs>
          <w:tab w:val="left" w:pos="735"/>
        </w:tabs>
        <w:adjustRightInd w:val="0"/>
        <w:snapToGrid w:val="0"/>
        <w:spacing w:line="360" w:lineRule="auto"/>
        <w:ind w:firstLine="504" w:firstLineChars="210"/>
        <w:rPr>
          <w:rFonts w:hint="eastAsia" w:ascii="仿宋" w:hAnsi="仿宋" w:eastAsia="仿宋" w:cs="仿宋"/>
          <w:sz w:val="24"/>
        </w:rPr>
      </w:pPr>
      <w:r>
        <w:rPr>
          <w:rFonts w:hint="eastAsia" w:ascii="仿宋" w:hAnsi="仿宋" w:eastAsia="仿宋" w:cs="仿宋"/>
          <w:sz w:val="24"/>
        </w:rPr>
        <w:t>3、合同总价一次包死，不受市场价变化的影响。</w:t>
      </w:r>
    </w:p>
    <w:p>
      <w:pPr>
        <w:tabs>
          <w:tab w:val="left" w:pos="735"/>
        </w:tabs>
        <w:adjustRightInd w:val="0"/>
        <w:snapToGrid w:val="0"/>
        <w:spacing w:line="360" w:lineRule="auto"/>
        <w:ind w:firstLine="506" w:firstLineChars="210"/>
        <w:rPr>
          <w:rFonts w:hint="eastAsia" w:ascii="仿宋" w:hAnsi="仿宋" w:eastAsia="仿宋" w:cs="仿宋"/>
          <w:b/>
          <w:sz w:val="24"/>
        </w:rPr>
      </w:pPr>
      <w:r>
        <w:rPr>
          <w:rFonts w:hint="eastAsia" w:ascii="仿宋" w:hAnsi="仿宋" w:eastAsia="仿宋" w:cs="仿宋"/>
          <w:b/>
          <w:sz w:val="24"/>
        </w:rPr>
        <w:t>三、合同结算</w:t>
      </w:r>
    </w:p>
    <w:p>
      <w:pPr>
        <w:autoSpaceDE w:val="0"/>
        <w:autoSpaceDN w:val="0"/>
        <w:adjustRightInd w:val="0"/>
        <w:snapToGrid w:val="0"/>
        <w:spacing w:line="360" w:lineRule="auto"/>
        <w:ind w:firstLine="645"/>
        <w:rPr>
          <w:rFonts w:hint="eastAsia" w:ascii="仿宋" w:hAnsi="仿宋" w:eastAsia="仿宋" w:cs="仿宋"/>
          <w:color w:val="000000"/>
          <w:sz w:val="24"/>
          <w:lang w:eastAsia="zh-CN"/>
        </w:rPr>
      </w:pPr>
      <w:r>
        <w:rPr>
          <w:rFonts w:hint="eastAsia" w:ascii="仿宋" w:hAnsi="仿宋" w:eastAsia="仿宋" w:cs="仿宋"/>
          <w:color w:val="000000"/>
          <w:sz w:val="24"/>
        </w:rPr>
        <w:t>1、付款比例：</w:t>
      </w:r>
      <w:r>
        <w:rPr>
          <w:rFonts w:hint="eastAsia" w:ascii="仿宋" w:hAnsi="仿宋" w:eastAsia="仿宋" w:cs="仿宋"/>
          <w:color w:val="000000"/>
          <w:sz w:val="24"/>
          <w:lang w:eastAsia="zh-CN"/>
        </w:rPr>
        <w:t>按甲方要求付款比例为准</w:t>
      </w:r>
      <w:r>
        <w:rPr>
          <w:rFonts w:hint="eastAsia" w:ascii="仿宋" w:hAnsi="仿宋" w:eastAsia="仿宋" w:cs="仿宋"/>
          <w:sz w:val="24"/>
          <w:highlight w:val="none"/>
          <w:lang w:val="en-US" w:eastAsia="zh-CN"/>
        </w:rPr>
        <w:t>。</w:t>
      </w:r>
    </w:p>
    <w:p>
      <w:pPr>
        <w:autoSpaceDE w:val="0"/>
        <w:autoSpaceDN w:val="0"/>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2、结算方式：银行转账。</w:t>
      </w:r>
    </w:p>
    <w:p>
      <w:pPr>
        <w:autoSpaceDE w:val="0"/>
        <w:autoSpaceDN w:val="0"/>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3、结算单位：由</w:t>
      </w:r>
      <w:r>
        <w:rPr>
          <w:rFonts w:hint="eastAsia" w:ascii="仿宋" w:hAnsi="仿宋" w:eastAsia="仿宋" w:cs="仿宋"/>
          <w:sz w:val="24"/>
          <w:u w:val="single"/>
        </w:rPr>
        <w:t>甲方</w:t>
      </w:r>
      <w:r>
        <w:rPr>
          <w:rFonts w:hint="eastAsia" w:ascii="仿宋" w:hAnsi="仿宋" w:eastAsia="仿宋" w:cs="仿宋"/>
          <w:sz w:val="24"/>
        </w:rPr>
        <w:t>负责结算，乙方开具合同总价数的全额发票交采购人。</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四、交货条件:</w:t>
      </w:r>
    </w:p>
    <w:p>
      <w:pPr>
        <w:tabs>
          <w:tab w:val="left" w:pos="735"/>
        </w:tabs>
        <w:autoSpaceDE w:val="0"/>
        <w:autoSpaceDN w:val="0"/>
        <w:adjustRightInd w:val="0"/>
        <w:snapToGrid w:val="0"/>
        <w:spacing w:line="360" w:lineRule="auto"/>
        <w:ind w:firstLine="631"/>
        <w:rPr>
          <w:rFonts w:hint="eastAsia" w:ascii="仿宋" w:hAnsi="仿宋" w:eastAsia="仿宋" w:cs="仿宋"/>
          <w:bCs/>
          <w:sz w:val="24"/>
          <w:highlight w:val="none"/>
          <w:lang w:val="en-US" w:eastAsia="zh-CN"/>
        </w:rPr>
      </w:pPr>
      <w:r>
        <w:rPr>
          <w:rFonts w:hint="eastAsia" w:ascii="仿宋" w:hAnsi="仿宋" w:eastAsia="仿宋" w:cs="仿宋"/>
          <w:bCs/>
          <w:sz w:val="24"/>
          <w:lang w:val="zh-CN"/>
        </w:rPr>
        <w:t>1、建设</w:t>
      </w:r>
      <w:r>
        <w:rPr>
          <w:rFonts w:hint="eastAsia" w:ascii="仿宋" w:hAnsi="仿宋" w:eastAsia="仿宋" w:cs="仿宋"/>
          <w:bCs/>
          <w:sz w:val="24"/>
          <w:highlight w:val="none"/>
          <w:lang w:val="zh-CN"/>
        </w:rPr>
        <w:t>地点：</w:t>
      </w:r>
      <w:r>
        <w:rPr>
          <w:rFonts w:hint="eastAsia" w:ascii="仿宋" w:hAnsi="仿宋" w:eastAsia="仿宋" w:cs="仿宋"/>
          <w:bCs/>
          <w:sz w:val="24"/>
          <w:highlight w:val="none"/>
          <w:lang w:val="en-US" w:eastAsia="zh-CN"/>
        </w:rPr>
        <w:t>甲方指定地点</w:t>
      </w:r>
    </w:p>
    <w:p>
      <w:pPr>
        <w:tabs>
          <w:tab w:val="left" w:pos="735"/>
        </w:tabs>
        <w:autoSpaceDE w:val="0"/>
        <w:autoSpaceDN w:val="0"/>
        <w:adjustRightInd w:val="0"/>
        <w:snapToGrid w:val="0"/>
        <w:spacing w:line="360" w:lineRule="auto"/>
        <w:ind w:firstLine="631"/>
        <w:rPr>
          <w:rFonts w:hint="eastAsia" w:ascii="仿宋" w:hAnsi="仿宋" w:eastAsia="仿宋" w:cs="仿宋"/>
          <w:bCs/>
          <w:sz w:val="24"/>
          <w:highlight w:val="none"/>
          <w:lang w:val="zh-CN"/>
        </w:rPr>
      </w:pPr>
      <w:r>
        <w:rPr>
          <w:rFonts w:hint="eastAsia" w:ascii="仿宋" w:hAnsi="仿宋" w:eastAsia="仿宋" w:cs="仿宋"/>
          <w:bCs/>
          <w:sz w:val="24"/>
          <w:highlight w:val="none"/>
          <w:lang w:val="zh-CN"/>
        </w:rPr>
        <w:t>2、工期：</w:t>
      </w:r>
      <w:r>
        <w:rPr>
          <w:rFonts w:hint="eastAsia" w:ascii="仿宋" w:hAnsi="仿宋" w:eastAsia="仿宋" w:cs="仿宋"/>
          <w:b w:val="0"/>
          <w:bCs/>
          <w:sz w:val="24"/>
          <w:szCs w:val="24"/>
          <w:highlight w:val="none"/>
          <w:lang w:val="en-US" w:eastAsia="zh-CN"/>
        </w:rPr>
        <w:t>合同签订后一个月内完成网络覆盖</w:t>
      </w:r>
      <w:r>
        <w:rPr>
          <w:rFonts w:hint="eastAsia" w:ascii="仿宋" w:hAnsi="仿宋" w:eastAsia="仿宋" w:cs="仿宋"/>
          <w:i w:val="0"/>
          <w:iCs w:val="0"/>
          <w:caps w:val="0"/>
          <w:color w:val="auto"/>
          <w:spacing w:val="0"/>
          <w:sz w:val="24"/>
          <w:szCs w:val="24"/>
          <w:highlight w:val="none"/>
          <w:shd w:val="clear" w:color="auto" w:fill="FFFFFF"/>
          <w:lang w:val="en-US" w:eastAsia="zh-CN"/>
        </w:rPr>
        <w:t>。</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45" w:name="_Toc19515388"/>
      <w:r>
        <w:rPr>
          <w:rFonts w:hint="eastAsia" w:ascii="仿宋" w:hAnsi="仿宋" w:eastAsia="仿宋" w:cs="仿宋"/>
          <w:b/>
          <w:bCs/>
          <w:sz w:val="24"/>
          <w:lang w:val="zh-CN"/>
        </w:rPr>
        <w:t>五、运输</w:t>
      </w:r>
      <w:bookmarkEnd w:id="445"/>
    </w:p>
    <w:p>
      <w:pPr>
        <w:adjustRightInd w:val="0"/>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1、乙方负责所有货物的运输。确保货物安全、完整到达使用地点，运杂费用包含在总价内，包括货物从供货地点到使用地点的运输费、保险费、搬运费等。</w:t>
      </w:r>
    </w:p>
    <w:p>
      <w:pPr>
        <w:adjustRightInd w:val="0"/>
        <w:snapToGrid w:val="0"/>
        <w:spacing w:line="360" w:lineRule="auto"/>
        <w:ind w:firstLine="720" w:firstLineChars="300"/>
        <w:rPr>
          <w:rFonts w:hint="eastAsia" w:ascii="仿宋" w:hAnsi="仿宋" w:eastAsia="仿宋" w:cs="仿宋"/>
          <w:b w:val="0"/>
          <w:bCs w:val="0"/>
          <w:sz w:val="24"/>
        </w:rPr>
      </w:pPr>
      <w:r>
        <w:rPr>
          <w:rFonts w:hint="eastAsia" w:ascii="仿宋" w:hAnsi="仿宋" w:eastAsia="仿宋" w:cs="仿宋"/>
          <w:sz w:val="24"/>
        </w:rPr>
        <w:t>2、所有货物在运输、搬运、安装的过程中，造成甲方损失的，由乙方为甲方修复</w:t>
      </w:r>
      <w:r>
        <w:rPr>
          <w:rFonts w:hint="eastAsia" w:ascii="仿宋" w:hAnsi="仿宋" w:eastAsia="仿宋" w:cs="仿宋"/>
          <w:b w:val="0"/>
          <w:bCs w:val="0"/>
          <w:sz w:val="24"/>
        </w:rPr>
        <w:t>或更新。</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46" w:name="_Toc19515389"/>
      <w:r>
        <w:rPr>
          <w:rFonts w:hint="eastAsia" w:ascii="仿宋" w:hAnsi="仿宋" w:eastAsia="仿宋" w:cs="仿宋"/>
          <w:b/>
          <w:bCs/>
          <w:sz w:val="24"/>
          <w:lang w:val="zh-CN"/>
        </w:rPr>
        <w:t>六、质量保证</w:t>
      </w:r>
      <w:bookmarkEnd w:id="446"/>
    </w:p>
    <w:p>
      <w:pPr>
        <w:adjustRightInd w:val="0"/>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1、乙方提供货物必须是原品牌制造厂制造的最新工艺、生产的最新产品。</w:t>
      </w:r>
    </w:p>
    <w:p>
      <w:pPr>
        <w:adjustRightInd w:val="0"/>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2、所供货物必须是经过办理正常手续的全新产品。</w:t>
      </w:r>
    </w:p>
    <w:p>
      <w:pPr>
        <w:adjustRightInd w:val="0"/>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3、所供货物是经过国家法定检验、注册、准许市场销售的合法产品。</w:t>
      </w:r>
    </w:p>
    <w:p>
      <w:pPr>
        <w:adjustRightInd w:val="0"/>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4、货物性能稳定、具有较好的使用效果，质量保证措施完善，符合国家相关标准。</w:t>
      </w:r>
    </w:p>
    <w:p>
      <w:pPr>
        <w:adjustRightInd w:val="0"/>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货物的</w:t>
      </w:r>
      <w:r>
        <w:rPr>
          <w:rFonts w:hint="eastAsia" w:ascii="仿宋" w:hAnsi="仿宋" w:eastAsia="仿宋" w:cs="仿宋"/>
          <w:sz w:val="24"/>
          <w:szCs w:val="24"/>
        </w:rPr>
        <w:t>质保期应为最终使用验收合格后12个月</w:t>
      </w:r>
      <w:r>
        <w:rPr>
          <w:rFonts w:hint="eastAsia" w:ascii="仿宋" w:hAnsi="仿宋" w:eastAsia="仿宋" w:cs="仿宋"/>
          <w:sz w:val="24"/>
        </w:rPr>
        <w:t>。</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6、包装要求</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6-1、除合同另有规定外，乙方提供的全部货物，均应按标准保护措施进行包装，并确保货物安全无损运抵甲方指定地点。</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6-2、每一个包装箱内应附一份详细装箱单和质量合格证。</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7、乙方应保证甲方在使用该货物或其任何一部分时免受第三方提出侵犯其专利权、商标权或工业设计权的起诉。</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47" w:name="_Toc19515390"/>
      <w:r>
        <w:rPr>
          <w:rFonts w:hint="eastAsia" w:ascii="仿宋" w:hAnsi="仿宋" w:eastAsia="仿宋" w:cs="仿宋"/>
          <w:b/>
          <w:bCs/>
          <w:sz w:val="24"/>
          <w:lang w:val="zh-CN"/>
        </w:rPr>
        <w:t>七、技术服务</w:t>
      </w:r>
      <w:bookmarkEnd w:id="447"/>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1、对技术服务的要求：</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2、技术资料：</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2-1、产品合格证及检验报告；</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2-2、产品使用说明书（中文）；</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2-3、中国商品检验局出具的商检合格证明；</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2-4、其它资料。</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3、技术培训：</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3-1、培训内容：</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3-2、培训地点：</w:t>
      </w:r>
      <w:r>
        <w:rPr>
          <w:rFonts w:hint="eastAsia" w:ascii="仿宋" w:hAnsi="仿宋" w:eastAsia="仿宋" w:cs="仿宋"/>
          <w:sz w:val="24"/>
          <w:lang w:eastAsia="zh-CN"/>
        </w:rPr>
        <w:t>甲方指定地点</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3-3、培训时间：</w:t>
      </w:r>
      <w:r>
        <w:rPr>
          <w:rFonts w:hint="eastAsia" w:ascii="仿宋" w:hAnsi="仿宋" w:eastAsia="仿宋" w:cs="仿宋"/>
          <w:sz w:val="24"/>
          <w:lang w:eastAsia="zh-CN"/>
        </w:rPr>
        <w:t>以甲方要求培训时间为主</w:t>
      </w:r>
    </w:p>
    <w:p>
      <w:pPr>
        <w:adjustRightInd w:val="0"/>
        <w:snapToGrid w:val="0"/>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3-4、培训人数：</w:t>
      </w:r>
      <w:r>
        <w:rPr>
          <w:rFonts w:hint="eastAsia" w:ascii="仿宋" w:hAnsi="仿宋" w:eastAsia="仿宋" w:cs="仿宋"/>
          <w:sz w:val="24"/>
          <w:lang w:val="en-US" w:eastAsia="zh-CN"/>
        </w:rPr>
        <w:t>1-5人</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3-5、培训费用：受训人员的食宿费、资料费、培训场地费、耗材（包括水电费等）费等已包含在合同总价中，甲方不再另行支付。</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4、售后服务</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4-1、乙方在接到甲方保修电话故障通知后在</w:t>
      </w:r>
      <w:r>
        <w:rPr>
          <w:rFonts w:hint="eastAsia" w:ascii="仿宋" w:hAnsi="仿宋" w:eastAsia="仿宋" w:cs="仿宋"/>
          <w:sz w:val="24"/>
          <w:lang w:val="en-US" w:eastAsia="zh-CN"/>
        </w:rPr>
        <w:t>12</w:t>
      </w:r>
      <w:r>
        <w:rPr>
          <w:rFonts w:hint="eastAsia" w:ascii="仿宋" w:hAnsi="仿宋" w:eastAsia="仿宋" w:cs="仿宋"/>
          <w:sz w:val="24"/>
        </w:rPr>
        <w:t>小时内派出合格的维修人员到达现场进行维修服务，承担相应费用，若需将产品送回生产厂，乙方应提供备用机、承担维修产品所需的往返费用。</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4-2、如果乙方在收到通知后两天内没有弥补缺陷，甲方可采取必要的补救措施，但其风险和费用将由乙方承担，甲方根据合同规定对乙方行使的其它权力不受影响。甲方亦可从质保金中扣回索赔金额。</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5、伴随服务</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5-1、乙方应随同每套货物提供相应的中文的技术文件。</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5-1-1、完整的操作使用手册和维护、修理技术文件，图纸、保修卡等。</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5-1-2、制造厂的检验、测试报告、检验合格证书，计量合格等级证书，质量保证书等文件须随产品装箱提供。</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5-1-3、必须的其它技术资料。</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5-2、伴随服务的费用已含在合同价中，不单独进行支付。</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48" w:name="_Toc19515391"/>
      <w:r>
        <w:rPr>
          <w:rFonts w:hint="eastAsia" w:ascii="仿宋" w:hAnsi="仿宋" w:eastAsia="仿宋" w:cs="仿宋"/>
          <w:b/>
          <w:bCs/>
          <w:sz w:val="24"/>
          <w:lang w:val="zh-CN"/>
        </w:rPr>
        <w:t>八、验收</w:t>
      </w:r>
      <w:bookmarkEnd w:id="448"/>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1、到货验收：货物到货后，由甲方与乙方共同进行外观验收，验收内容包括，外包装的完好性，货物品牌、规格、数量及产地与合同要求的一致性。</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2、货物运行验收：乙方安装调试合格后，向甲方提出验收申请，甲方接到乙方验收申请后组织验收（必要时可聘请相应专家或委托相应部门验收），验收合格后，出具使用验收合格证明。</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3、最终验收：最终验收结果作为付款依据，乙方填写验收单，并向甲方提交实施过程中的所有资料，以便甲方日后管理和维护。</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4、质保期满后：由乙方出具质保期运行质量报告，作为质保金支付依据，若存在质量问题，应按相应规定协商处理。</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5、验收依据：</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5-1、合同文本、合同附件、招标文件、</w:t>
      </w:r>
      <w:r>
        <w:rPr>
          <w:rFonts w:hint="eastAsia" w:ascii="仿宋" w:hAnsi="仿宋" w:eastAsia="仿宋" w:cs="仿宋"/>
          <w:sz w:val="24"/>
          <w:lang w:eastAsia="zh-CN"/>
        </w:rPr>
        <w:t>谈判响应文件</w:t>
      </w:r>
      <w:r>
        <w:rPr>
          <w:rFonts w:hint="eastAsia" w:ascii="仿宋" w:hAnsi="仿宋" w:eastAsia="仿宋" w:cs="仿宋"/>
          <w:sz w:val="24"/>
        </w:rPr>
        <w:t>。</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5-2、国内相应的标准、规范。</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49" w:name="_Toc19515392"/>
      <w:r>
        <w:rPr>
          <w:rFonts w:hint="eastAsia" w:ascii="仿宋" w:hAnsi="仿宋" w:eastAsia="仿宋" w:cs="仿宋"/>
          <w:b/>
          <w:bCs/>
          <w:sz w:val="24"/>
          <w:lang w:val="zh-CN"/>
        </w:rPr>
        <w:t>九、违约责任</w:t>
      </w:r>
      <w:bookmarkEnd w:id="449"/>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1、按《</w:t>
      </w:r>
      <w:r>
        <w:rPr>
          <w:rFonts w:hint="eastAsia" w:ascii="仿宋" w:hAnsi="仿宋" w:eastAsia="仿宋" w:cs="仿宋"/>
          <w:sz w:val="24"/>
          <w:lang w:eastAsia="zh-CN"/>
        </w:rPr>
        <w:t>民法典</w:t>
      </w:r>
      <w:r>
        <w:rPr>
          <w:rFonts w:hint="eastAsia" w:ascii="仿宋" w:hAnsi="仿宋" w:eastAsia="仿宋" w:cs="仿宋"/>
          <w:sz w:val="24"/>
        </w:rPr>
        <w:t>》中的相关条款执行。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2、乙方履约延误</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2-1、如乙方事先未征得甲方同意并得到甲方的谅解而单方面延迟交货，将按违约终止合同。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-2、在履行合同过程中，如果乙方遇到可能妨碍按时交货和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迟交货物交货价或未提供服务的服务费用的百分之零点五（0.5%）计收，直至交货或提供服务为止。误期赔偿费的最高限额为合同价格的百分之五（5%）。一旦达到误期赔偿费的最高限额，甲方可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3、违约终止合同：未按合同要求提供货物或质量不能满足技术要求，甲方会同监督机构有权终止合同，对乙方违约行为进行追究，同时按政府采购法的有关规定进行相应的处罚。</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50" w:name="_Toc19515393"/>
      <w:r>
        <w:rPr>
          <w:rFonts w:hint="eastAsia" w:ascii="仿宋" w:hAnsi="仿宋" w:eastAsia="仿宋" w:cs="仿宋"/>
          <w:b/>
          <w:bCs/>
          <w:sz w:val="24"/>
          <w:lang w:val="zh-CN"/>
        </w:rPr>
        <w:t>十、合同组成</w:t>
      </w:r>
      <w:bookmarkEnd w:id="450"/>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1、中标通知书</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2、合同文件</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3、国家相关规范及标准</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4、供货产品技术规格及参数表</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5、招标文件</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6、</w:t>
      </w:r>
      <w:r>
        <w:rPr>
          <w:rFonts w:hint="eastAsia" w:ascii="仿宋" w:hAnsi="仿宋" w:eastAsia="仿宋" w:cs="仿宋"/>
          <w:sz w:val="24"/>
          <w:lang w:eastAsia="zh-CN"/>
        </w:rPr>
        <w:t>谈判响应文件</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51" w:name="_Toc19515394"/>
      <w:r>
        <w:rPr>
          <w:rFonts w:hint="eastAsia" w:ascii="仿宋" w:hAnsi="仿宋" w:eastAsia="仿宋" w:cs="仿宋"/>
          <w:b/>
          <w:bCs/>
          <w:sz w:val="24"/>
          <w:lang w:val="zh-CN"/>
        </w:rPr>
        <w:t>十一、解决争议的方法</w:t>
      </w:r>
      <w:bookmarkEnd w:id="451"/>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凡因本合同引起的或与本合同有关的争议，双方应友好协商解决。协商不成时，双方均同意采用以下第（  ）种争议解决方式：</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（1）、甲、乙双方均同意向（甲方所在地人民法院）提起诉讼。</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（2）、甲、乙双方均同意向（</w:t>
      </w:r>
      <w:r>
        <w:rPr>
          <w:rFonts w:hint="eastAsia" w:ascii="仿宋" w:hAnsi="仿宋" w:eastAsia="仿宋" w:cs="仿宋"/>
          <w:kern w:val="0"/>
          <w:sz w:val="24"/>
        </w:rPr>
        <w:fldChar w:fldCharType="begin"/>
      </w:r>
      <w:r>
        <w:rPr>
          <w:rFonts w:hint="eastAsia" w:ascii="仿宋" w:hAnsi="仿宋" w:eastAsia="仿宋" w:cs="仿宋"/>
          <w:kern w:val="0"/>
          <w:sz w:val="24"/>
        </w:rPr>
        <w:instrText xml:space="preserve"> HYPERLINK "http://www.baidu.com/s?wd=%E4%BB%B2%E8%A3%81%E5%A7%94%E5%91%98%E4%BC%9A&amp;tn=SE_PcZhidaonwhc_ngpagmjz&amp;rsv_dl=gh_pc_zhidao" \t "_blank" </w:instrText>
      </w:r>
      <w:r>
        <w:rPr>
          <w:rFonts w:hint="eastAsia" w:ascii="仿宋" w:hAnsi="仿宋" w:eastAsia="仿宋" w:cs="仿宋"/>
          <w:kern w:val="0"/>
          <w:sz w:val="24"/>
        </w:rPr>
        <w:fldChar w:fldCharType="separate"/>
      </w:r>
      <w:r>
        <w:rPr>
          <w:rFonts w:hint="eastAsia" w:ascii="仿宋" w:hAnsi="仿宋" w:eastAsia="仿宋" w:cs="仿宋"/>
          <w:kern w:val="0"/>
          <w:sz w:val="24"/>
        </w:rPr>
        <w:t>仲裁委员会</w:t>
      </w:r>
      <w:r>
        <w:rPr>
          <w:rFonts w:hint="eastAsia" w:ascii="仿宋" w:hAnsi="仿宋" w:eastAsia="仿宋" w:cs="仿宋"/>
          <w:kern w:val="0"/>
          <w:sz w:val="24"/>
        </w:rPr>
        <w:fldChar w:fldCharType="end"/>
      </w:r>
      <w:r>
        <w:rPr>
          <w:rFonts w:hint="eastAsia" w:ascii="仿宋" w:hAnsi="仿宋" w:eastAsia="仿宋" w:cs="仿宋"/>
          <w:kern w:val="0"/>
          <w:sz w:val="24"/>
        </w:rPr>
        <w:t>）提起仲裁。</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52" w:name="_Toc19515395"/>
      <w:r>
        <w:rPr>
          <w:rFonts w:hint="eastAsia" w:ascii="仿宋" w:hAnsi="仿宋" w:eastAsia="仿宋" w:cs="仿宋"/>
          <w:b/>
          <w:bCs/>
          <w:sz w:val="24"/>
          <w:lang w:val="zh-CN"/>
        </w:rPr>
        <w:t>十二、合同生效及其它</w:t>
      </w:r>
      <w:bookmarkEnd w:id="452"/>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1、合同未尽事宜、由甲、乙双方协商，作为合同补充，与原合同具有同等法律效力。</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 本合同正本一式</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4</w:t>
      </w:r>
      <w:r>
        <w:rPr>
          <w:rFonts w:hint="eastAsia" w:ascii="仿宋" w:hAnsi="仿宋" w:eastAsia="仿宋" w:cs="仿宋"/>
          <w:kern w:val="0"/>
          <w:sz w:val="24"/>
          <w:u w:val="single"/>
        </w:rPr>
        <w:t xml:space="preserve"> </w:t>
      </w:r>
      <w:r>
        <w:rPr>
          <w:rFonts w:hint="eastAsia" w:ascii="仿宋" w:hAnsi="仿宋" w:eastAsia="仿宋" w:cs="仿宋"/>
          <w:kern w:val="0"/>
          <w:sz w:val="24"/>
        </w:rPr>
        <w:t>份，甲方、乙方双方分别执</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2</w:t>
      </w:r>
      <w:r>
        <w:rPr>
          <w:rFonts w:hint="eastAsia" w:ascii="仿宋" w:hAnsi="仿宋" w:eastAsia="仿宋" w:cs="仿宋"/>
          <w:kern w:val="0"/>
          <w:sz w:val="24"/>
          <w:u w:val="single"/>
        </w:rPr>
        <w:t xml:space="preserve"> </w:t>
      </w:r>
      <w:r>
        <w:rPr>
          <w:rFonts w:hint="eastAsia" w:ascii="仿宋" w:hAnsi="仿宋" w:eastAsia="仿宋" w:cs="仿宋"/>
          <w:kern w:val="0"/>
          <w:sz w:val="24"/>
        </w:rPr>
        <w:t>份。</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3、合同经甲乙双方盖章、签字后生效，合同签订地点为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4、生效时间：   年  月  日</w:t>
      </w:r>
    </w:p>
    <w:p>
      <w:pPr>
        <w:pStyle w:val="23"/>
        <w:rPr>
          <w:rFonts w:hint="eastAsia"/>
        </w:rPr>
      </w:pPr>
    </w:p>
    <w:tbl>
      <w:tblPr>
        <w:tblStyle w:val="50"/>
        <w:tblW w:w="0" w:type="auto"/>
        <w:jc w:val="center"/>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jc w:val="center"/>
        </w:trPr>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甲方名称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乙方名称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r>
    </w:tbl>
    <w:p>
      <w:pPr>
        <w:pStyle w:val="2"/>
        <w:rPr>
          <w:rFonts w:hint="eastAsia"/>
          <w:lang w:val="en-US" w:eastAsia="zh-CN"/>
        </w:rPr>
        <w:sectPr>
          <w:pgSz w:w="11906" w:h="16838"/>
          <w:pgMar w:top="1440" w:right="1800" w:bottom="1440" w:left="1800" w:header="851" w:footer="992" w:gutter="0"/>
          <w:cols w:space="720" w:num="1"/>
          <w:docGrid w:type="lines" w:linePitch="312" w:charSpace="0"/>
        </w:sectPr>
      </w:pPr>
    </w:p>
    <w:p>
      <w:pPr>
        <w:pStyle w:val="70"/>
        <w:numPr>
          <w:ilvl w:val="0"/>
          <w:numId w:val="0"/>
        </w:numPr>
        <w:adjustRightInd w:val="0"/>
        <w:spacing w:before="240" w:beforeLines="100" w:line="360" w:lineRule="auto"/>
        <w:ind w:right="-22" w:rightChars="0"/>
        <w:jc w:val="center"/>
        <w:textAlignment w:val="baseline"/>
        <w:outlineLvl w:val="0"/>
        <w:rPr>
          <w:rFonts w:hint="eastAsia" w:ascii="仿宋" w:hAnsi="仿宋" w:eastAsia="仿宋" w:cs="仿宋"/>
          <w:b/>
          <w:i w:val="0"/>
          <w:iCs w:val="0"/>
          <w:color w:val="auto"/>
          <w:kern w:val="0"/>
          <w:sz w:val="32"/>
          <w:szCs w:val="32"/>
          <w:highlight w:val="none"/>
        </w:rPr>
      </w:pPr>
      <w:bookmarkStart w:id="453" w:name="_Toc58504669"/>
      <w:bookmarkStart w:id="454" w:name="_Toc58504448"/>
      <w:r>
        <w:rPr>
          <w:rFonts w:hint="eastAsia" w:ascii="仿宋" w:hAnsi="仿宋" w:eastAsia="仿宋" w:cs="仿宋"/>
          <w:b/>
          <w:i w:val="0"/>
          <w:iCs w:val="0"/>
          <w:color w:val="auto"/>
          <w:kern w:val="0"/>
          <w:sz w:val="32"/>
          <w:szCs w:val="32"/>
          <w:highlight w:val="none"/>
          <w:lang w:eastAsia="zh-CN"/>
        </w:rPr>
        <w:t>第四章</w:t>
      </w:r>
      <w:r>
        <w:rPr>
          <w:rFonts w:hint="eastAsia" w:ascii="仿宋" w:hAnsi="仿宋" w:eastAsia="仿宋" w:cs="仿宋"/>
          <w:b/>
          <w:i w:val="0"/>
          <w:iCs w:val="0"/>
          <w:color w:val="auto"/>
          <w:kern w:val="0"/>
          <w:sz w:val="32"/>
          <w:szCs w:val="32"/>
          <w:highlight w:val="none"/>
        </w:rPr>
        <w:t xml:space="preserve"> 采购内容及要求</w:t>
      </w:r>
      <w:bookmarkEnd w:id="453"/>
      <w:bookmarkEnd w:id="454"/>
      <w:bookmarkStart w:id="455" w:name="_Toc389620241"/>
      <w:bookmarkStart w:id="456" w:name="_Toc385992401"/>
      <w:bookmarkStart w:id="457" w:name="_Toc415499899"/>
      <w:bookmarkStart w:id="458" w:name="_Toc31008"/>
    </w:p>
    <w:p>
      <w:pPr>
        <w:rPr>
          <w:rFonts w:hint="eastAsia" w:ascii="仿宋" w:hAnsi="仿宋" w:eastAsia="仿宋" w:cs="仿宋"/>
          <w:sz w:val="24"/>
          <w:szCs w:val="24"/>
        </w:rPr>
      </w:pPr>
    </w:p>
    <w:tbl>
      <w:tblPr>
        <w:tblStyle w:val="50"/>
        <w:tblW w:w="89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3"/>
        <w:gridCol w:w="1158"/>
        <w:gridCol w:w="962"/>
        <w:gridCol w:w="58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名称</w:t>
            </w:r>
          </w:p>
        </w:tc>
        <w:tc>
          <w:tcPr>
            <w:tcW w:w="115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型号</w:t>
            </w:r>
          </w:p>
        </w:tc>
        <w:tc>
          <w:tcPr>
            <w:tcW w:w="96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数量</w:t>
            </w:r>
          </w:p>
        </w:tc>
        <w:tc>
          <w:tcPr>
            <w:tcW w:w="582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产品功能描述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936" w:type="dxa"/>
            <w:gridSpan w:val="4"/>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一、社区综治中心设备货物配置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视联网/统一视频一体式高清视频会议服务系统</w:t>
            </w:r>
          </w:p>
        </w:tc>
        <w:tc>
          <w:tcPr>
            <w:tcW w:w="115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rPr>
              <w:t>视联网终端</w:t>
            </w:r>
          </w:p>
        </w:tc>
        <w:tc>
          <w:tcPr>
            <w:tcW w:w="96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c>
          <w:tcPr>
            <w:tcW w:w="58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视联网终端（套装）是视联网视频通讯应用一体式终端，支持1/2多画面显示，支持H.264视频编解码协议，H.265视频解码协议；支持HDMI采集，可实现1080p@30fps双流功能。</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rPr>
              <w:t>视频输入输出：1*HDMI Input、1*内置摄像机 Input、1*HDMI Output</w:t>
            </w:r>
            <w:r>
              <w:rPr>
                <w:rFonts w:hint="eastAsia" w:ascii="仿宋" w:hAnsi="仿宋" w:eastAsia="仿宋" w:cs="仿宋"/>
                <w:i w:val="0"/>
                <w:iCs w:val="0"/>
                <w:color w:val="000000"/>
                <w:sz w:val="24"/>
                <w:szCs w:val="24"/>
                <w:u w:val="none"/>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rPr>
              <w:t>音频输入输出：1*MINI卡侬 Input、1*HDMI Output、1*Line Output</w:t>
            </w:r>
            <w:r>
              <w:rPr>
                <w:rFonts w:hint="eastAsia" w:ascii="仿宋" w:hAnsi="仿宋" w:eastAsia="仿宋" w:cs="仿宋"/>
                <w:i w:val="0"/>
                <w:iCs w:val="0"/>
                <w:color w:val="000000"/>
                <w:sz w:val="24"/>
                <w:szCs w:val="24"/>
                <w:u w:val="none"/>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rPr>
              <w:t>以太网接口：1*RJ45 网络接口</w:t>
            </w:r>
            <w:r>
              <w:rPr>
                <w:rFonts w:hint="eastAsia" w:ascii="仿宋" w:hAnsi="仿宋" w:eastAsia="仿宋" w:cs="仿宋"/>
                <w:i w:val="0"/>
                <w:iCs w:val="0"/>
                <w:color w:val="000000"/>
                <w:sz w:val="24"/>
                <w:szCs w:val="24"/>
                <w:u w:val="none"/>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rPr>
              <w:t>摄像头：1/2.8 英寸 200万像素，10倍光学变焦</w:t>
            </w:r>
            <w:r>
              <w:rPr>
                <w:rFonts w:hint="eastAsia" w:ascii="仿宋" w:hAnsi="仿宋" w:eastAsia="仿宋" w:cs="仿宋"/>
                <w:i w:val="0"/>
                <w:iCs w:val="0"/>
                <w:color w:val="000000"/>
                <w:sz w:val="24"/>
                <w:szCs w:val="24"/>
                <w:u w:val="none"/>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含：1</w:t>
            </w:r>
            <w:r>
              <w:rPr>
                <w:rFonts w:hint="eastAsia" w:ascii="仿宋" w:hAnsi="仿宋" w:eastAsia="仿宋" w:cs="仿宋"/>
                <w:i w:val="0"/>
                <w:iCs w:val="0"/>
                <w:color w:val="000000"/>
                <w:sz w:val="24"/>
                <w:szCs w:val="24"/>
                <w:u w:val="none"/>
                <w:lang w:eastAsia="zh-CN"/>
              </w:rPr>
              <w:t>个</w:t>
            </w:r>
            <w:r>
              <w:rPr>
                <w:rFonts w:hint="eastAsia" w:ascii="仿宋" w:hAnsi="仿宋" w:eastAsia="仿宋" w:cs="仿宋"/>
                <w:i w:val="0"/>
                <w:iCs w:val="0"/>
                <w:color w:val="000000"/>
                <w:sz w:val="24"/>
                <w:szCs w:val="24"/>
                <w:u w:val="none"/>
              </w:rPr>
              <w:t>定向鹅颈麦克风。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936" w:type="dxa"/>
            <w:gridSpan w:val="4"/>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color w:val="000000"/>
                <w:sz w:val="24"/>
                <w:szCs w:val="24"/>
                <w:u w:val="none"/>
                <w:lang w:val="en-US" w:eastAsia="zh-CN"/>
              </w:rPr>
              <w:t>二、社区综治中心设备货物配置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4" w:hRule="atLeast"/>
          <w:jc w:val="center"/>
        </w:trPr>
        <w:tc>
          <w:tcPr>
            <w:tcW w:w="99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视联网/统一视频高清视频会议终端服务系统</w:t>
            </w:r>
          </w:p>
        </w:tc>
        <w:tc>
          <w:tcPr>
            <w:tcW w:w="115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rPr>
              <w:t>视联网终端</w:t>
            </w:r>
          </w:p>
        </w:tc>
        <w:tc>
          <w:tcPr>
            <w:tcW w:w="96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40</w:t>
            </w:r>
          </w:p>
        </w:tc>
        <w:tc>
          <w:tcPr>
            <w:tcW w:w="58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视联网终端（C套装）是视联网视频通讯应用终端，支持单画面/双画面显示模式，支持H.264视频格式编解码。</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视频输入输出：1*HDMI Input、1*USB摄像头Input、1*HDMI Output</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音频输入输出：1*MINI卡侬 Input、1*HDMI内嵌Input、1*Line Input、1*HDMI内嵌Output、1*Line Output</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rPr>
              <w:t>以太网接口：1*RJ45 10/100/1000Mbps自适应网络接口</w:t>
            </w:r>
            <w:r>
              <w:rPr>
                <w:rFonts w:hint="eastAsia" w:ascii="仿宋" w:hAnsi="仿宋" w:eastAsia="仿宋" w:cs="仿宋"/>
                <w:i w:val="0"/>
                <w:iCs w:val="0"/>
                <w:color w:val="000000"/>
                <w:sz w:val="24"/>
                <w:szCs w:val="24"/>
                <w:u w:val="none"/>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含：1</w:t>
            </w:r>
            <w:r>
              <w:rPr>
                <w:rFonts w:hint="eastAsia" w:ascii="仿宋" w:hAnsi="仿宋" w:eastAsia="仿宋" w:cs="仿宋"/>
                <w:i w:val="0"/>
                <w:iCs w:val="0"/>
                <w:color w:val="000000"/>
                <w:sz w:val="24"/>
                <w:szCs w:val="24"/>
                <w:u w:val="none"/>
                <w:lang w:eastAsia="zh-CN"/>
              </w:rPr>
              <w:t>个</w:t>
            </w:r>
            <w:r>
              <w:rPr>
                <w:rFonts w:hint="eastAsia" w:ascii="仿宋" w:hAnsi="仿宋" w:eastAsia="仿宋" w:cs="仿宋"/>
                <w:i w:val="0"/>
                <w:iCs w:val="0"/>
                <w:color w:val="000000"/>
                <w:sz w:val="24"/>
                <w:szCs w:val="24"/>
                <w:u w:val="none"/>
              </w:rPr>
              <w:t>桌面高清摄像机；1</w:t>
            </w:r>
            <w:r>
              <w:rPr>
                <w:rFonts w:hint="eastAsia" w:ascii="仿宋" w:hAnsi="仿宋" w:eastAsia="仿宋" w:cs="仿宋"/>
                <w:i w:val="0"/>
                <w:iCs w:val="0"/>
                <w:color w:val="000000"/>
                <w:sz w:val="24"/>
                <w:szCs w:val="24"/>
                <w:u w:val="none"/>
                <w:lang w:eastAsia="zh-CN"/>
              </w:rPr>
              <w:t>个</w:t>
            </w:r>
            <w:r>
              <w:rPr>
                <w:rFonts w:hint="eastAsia" w:ascii="仿宋" w:hAnsi="仿宋" w:eastAsia="仿宋" w:cs="仿宋"/>
                <w:i w:val="0"/>
                <w:iCs w:val="0"/>
                <w:color w:val="000000"/>
                <w:sz w:val="24"/>
                <w:szCs w:val="24"/>
                <w:u w:val="none"/>
              </w:rPr>
              <w:t>定向鹅颈麦克风。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8936" w:type="dxa"/>
            <w:gridSpan w:val="4"/>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rPr>
            </w:pPr>
            <w:r>
              <w:rPr>
                <w:rFonts w:hint="eastAsia" w:ascii="仿宋" w:hAnsi="仿宋" w:eastAsia="仿宋" w:cs="仿宋"/>
                <w:b/>
                <w:bCs/>
                <w:i w:val="0"/>
                <w:iCs w:val="0"/>
                <w:color w:val="000000"/>
                <w:sz w:val="24"/>
                <w:szCs w:val="24"/>
                <w:u w:val="none"/>
                <w:lang w:val="en-US" w:eastAsia="zh-CN"/>
              </w:rPr>
              <w:t>三、链路及辅材等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jc w:val="center"/>
        </w:trPr>
        <w:tc>
          <w:tcPr>
            <w:tcW w:w="99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专线</w:t>
            </w:r>
          </w:p>
        </w:tc>
        <w:tc>
          <w:tcPr>
            <w:tcW w:w="115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百兆</w:t>
            </w:r>
          </w:p>
        </w:tc>
        <w:tc>
          <w:tcPr>
            <w:tcW w:w="96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46</w:t>
            </w:r>
          </w:p>
        </w:tc>
        <w:tc>
          <w:tcPr>
            <w:tcW w:w="5823"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百兆专线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jc w:val="center"/>
        </w:trPr>
        <w:tc>
          <w:tcPr>
            <w:tcW w:w="99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核心交换机</w:t>
            </w:r>
          </w:p>
        </w:tc>
        <w:tc>
          <w:tcPr>
            <w:tcW w:w="115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w:t>
            </w:r>
          </w:p>
        </w:tc>
        <w:tc>
          <w:tcPr>
            <w:tcW w:w="96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c>
          <w:tcPr>
            <w:tcW w:w="5823"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综治平台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jc w:val="center"/>
        </w:trPr>
        <w:tc>
          <w:tcPr>
            <w:tcW w:w="99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安装调试运输</w:t>
            </w:r>
          </w:p>
        </w:tc>
        <w:tc>
          <w:tcPr>
            <w:tcW w:w="115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国标</w:t>
            </w:r>
          </w:p>
        </w:tc>
        <w:tc>
          <w:tcPr>
            <w:tcW w:w="96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46</w:t>
            </w:r>
          </w:p>
        </w:tc>
        <w:tc>
          <w:tcPr>
            <w:tcW w:w="5823"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w:t>
            </w:r>
          </w:p>
        </w:tc>
      </w:tr>
    </w:tbl>
    <w:p>
      <w:pPr>
        <w:pStyle w:val="2"/>
        <w:rPr>
          <w:rFonts w:hint="eastAsia"/>
          <w:lang w:eastAsia="zh-CN"/>
        </w:rPr>
        <w:sectPr>
          <w:headerReference r:id="rId9" w:type="first"/>
          <w:footerReference r:id="rId12" w:type="first"/>
          <w:headerReference r:id="rId7" w:type="default"/>
          <w:footerReference r:id="rId10" w:type="default"/>
          <w:headerReference r:id="rId8" w:type="even"/>
          <w:footerReference r:id="rId11" w:type="even"/>
          <w:pgSz w:w="11906" w:h="16838"/>
          <w:pgMar w:top="1361" w:right="1134" w:bottom="1361" w:left="1134" w:header="851" w:footer="992" w:gutter="0"/>
          <w:cols w:space="425" w:num="1"/>
          <w:docGrid w:type="lines" w:linePitch="312" w:charSpace="0"/>
        </w:sectPr>
      </w:pPr>
    </w:p>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r>
        <w:rPr>
          <w:rFonts w:hint="eastAsia" w:ascii="仿宋" w:hAnsi="仿宋" w:eastAsia="仿宋" w:cs="仿宋"/>
          <w:b/>
          <w:i w:val="0"/>
          <w:iCs w:val="0"/>
          <w:color w:val="auto"/>
          <w:kern w:val="0"/>
          <w:sz w:val="32"/>
          <w:szCs w:val="32"/>
          <w:highlight w:val="none"/>
        </w:rPr>
        <w:t xml:space="preserve">第五章  </w:t>
      </w:r>
      <w:bookmarkStart w:id="459" w:name="_Toc58504670"/>
      <w:bookmarkStart w:id="460" w:name="_Toc58504449"/>
      <w:r>
        <w:rPr>
          <w:rFonts w:hint="eastAsia" w:ascii="仿宋" w:hAnsi="仿宋" w:eastAsia="仿宋" w:cs="仿宋"/>
          <w:b/>
          <w:i w:val="0"/>
          <w:iCs w:val="0"/>
          <w:color w:val="auto"/>
          <w:kern w:val="0"/>
          <w:sz w:val="32"/>
          <w:szCs w:val="32"/>
          <w:highlight w:val="none"/>
        </w:rPr>
        <w:t>谈判响应文件格式</w:t>
      </w:r>
      <w:bookmarkEnd w:id="455"/>
      <w:bookmarkEnd w:id="456"/>
      <w:bookmarkEnd w:id="457"/>
      <w:bookmarkEnd w:id="458"/>
      <w:bookmarkEnd w:id="459"/>
      <w:bookmarkEnd w:id="460"/>
    </w:p>
    <w:p>
      <w:pPr>
        <w:pStyle w:val="23"/>
        <w:rPr>
          <w:rFonts w:hint="eastAsia" w:ascii="仿宋" w:hAnsi="仿宋" w:eastAsia="仿宋" w:cs="仿宋"/>
          <w:b/>
          <w:i w:val="0"/>
          <w:iCs w:val="0"/>
          <w:color w:val="auto"/>
          <w:kern w:val="0"/>
          <w:sz w:val="30"/>
          <w:szCs w:val="30"/>
          <w:highlight w:val="none"/>
        </w:rPr>
      </w:pPr>
      <w:r>
        <w:rPr>
          <w:rFonts w:hint="eastAsia" w:ascii="仿宋" w:hAnsi="仿宋" w:eastAsia="仿宋" w:cs="仿宋"/>
          <w:i w:val="0"/>
          <w:iCs w:val="0"/>
          <w:color w:val="auto"/>
          <w:highlight w:val="none"/>
        </w:rPr>
        <w:br w:type="page"/>
      </w:r>
    </w:p>
    <w:p>
      <w:pPr>
        <w:rPr>
          <w:rFonts w:hint="eastAsia" w:ascii="仿宋" w:hAnsi="仿宋" w:eastAsia="仿宋" w:cs="仿宋"/>
        </w:rPr>
      </w:pPr>
    </w:p>
    <w:p>
      <w:pPr>
        <w:autoSpaceDE w:val="0"/>
        <w:autoSpaceDN w:val="0"/>
        <w:adjustRightInd w:val="0"/>
        <w:snapToGrid w:val="0"/>
        <w:spacing w:line="360" w:lineRule="auto"/>
        <w:jc w:val="righ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正本/副本</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政府采购项目</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采购项目编号：SCZK2023-JT-2293/001</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44"/>
          <w:szCs w:val="44"/>
          <w:highlight w:val="none"/>
          <w:lang w:eastAsia="zh-CN"/>
        </w:rPr>
      </w:pPr>
      <w:r>
        <w:rPr>
          <w:rFonts w:hint="eastAsia" w:ascii="仿宋" w:hAnsi="仿宋" w:eastAsia="仿宋" w:cs="仿宋"/>
          <w:b/>
          <w:bCs/>
          <w:i w:val="0"/>
          <w:iCs w:val="0"/>
          <w:color w:val="auto"/>
          <w:sz w:val="44"/>
          <w:szCs w:val="44"/>
          <w:highlight w:val="none"/>
          <w:lang w:eastAsia="zh-CN"/>
        </w:rPr>
        <w:t>中共神木市委政法委员会综治视联网全覆盖工程项目</w:t>
      </w: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6"/>
          <w:szCs w:val="36"/>
          <w:highlight w:val="none"/>
          <w:lang w:val="zh-CN"/>
        </w:rPr>
      </w:pPr>
    </w:p>
    <w:p>
      <w:pPr>
        <w:tabs>
          <w:tab w:val="left" w:pos="5670"/>
        </w:tabs>
        <w:autoSpaceDE w:val="0"/>
        <w:autoSpaceDN w:val="0"/>
        <w:adjustRightInd w:val="0"/>
        <w:snapToGrid w:val="0"/>
        <w:spacing w:line="360" w:lineRule="auto"/>
        <w:jc w:val="center"/>
        <w:outlineLvl w:val="1"/>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谈判响应文件</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rPr>
      </w:pPr>
      <w:r>
        <w:rPr>
          <w:rFonts w:hint="eastAsia" w:ascii="仿宋" w:hAnsi="仿宋" w:eastAsia="仿宋" w:cs="仿宋"/>
          <w:b/>
          <w:bCs/>
          <w:i w:val="0"/>
          <w:iCs w:val="0"/>
          <w:color w:val="auto"/>
          <w:sz w:val="32"/>
          <w:szCs w:val="32"/>
          <w:highlight w:val="none"/>
          <w:u w:val="single"/>
        </w:rPr>
        <w:t xml:space="preserve">           </w:t>
      </w:r>
      <w:r>
        <w:rPr>
          <w:rFonts w:hint="eastAsia" w:ascii="仿宋" w:hAnsi="仿宋" w:eastAsia="仿宋" w:cs="仿宋"/>
          <w:b/>
          <w:bCs/>
          <w:i w:val="0"/>
          <w:iCs w:val="0"/>
          <w:color w:val="auto"/>
          <w:sz w:val="32"/>
          <w:szCs w:val="32"/>
          <w:highlight w:val="none"/>
        </w:rPr>
        <w:t xml:space="preserve">   </w:t>
      </w:r>
    </w:p>
    <w:p>
      <w:pPr>
        <w:autoSpaceDE w:val="0"/>
        <w:autoSpaceDN w:val="0"/>
        <w:adjustRightInd w:val="0"/>
        <w:snapToGrid w:val="0"/>
        <w:spacing w:line="360" w:lineRule="auto"/>
        <w:rPr>
          <w:rFonts w:hint="eastAsia" w:ascii="仿宋" w:hAnsi="仿宋" w:eastAsia="仿宋" w:cs="仿宋"/>
          <w:i w:val="0"/>
          <w:iCs w:val="0"/>
          <w:color w:val="auto"/>
          <w:sz w:val="30"/>
          <w:szCs w:val="30"/>
          <w:highlight w:val="none"/>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i w:val="0"/>
          <w:iCs w:val="0"/>
          <w:color w:val="auto"/>
          <w:sz w:val="30"/>
          <w:szCs w:val="30"/>
          <w:highlight w:val="none"/>
        </w:rPr>
        <w:t xml:space="preserve">      </w:t>
      </w:r>
      <w:r>
        <w:rPr>
          <w:rFonts w:hint="eastAsia" w:ascii="仿宋" w:hAnsi="仿宋" w:eastAsia="仿宋" w:cs="仿宋"/>
          <w:b/>
          <w:bCs/>
          <w:i w:val="0"/>
          <w:iCs w:val="0"/>
          <w:color w:val="auto"/>
          <w:sz w:val="32"/>
          <w:szCs w:val="32"/>
          <w:highlight w:val="none"/>
          <w:lang w:val="zh-CN"/>
        </w:rPr>
        <w:t>供应商：</w:t>
      </w:r>
      <w:r>
        <w:rPr>
          <w:rFonts w:hint="eastAsia" w:ascii="仿宋" w:hAnsi="仿宋" w:eastAsia="仿宋" w:cs="仿宋"/>
          <w:b/>
          <w:bCs/>
          <w:i w:val="0"/>
          <w:iCs w:val="0"/>
          <w:color w:val="auto"/>
          <w:sz w:val="32"/>
          <w:szCs w:val="32"/>
          <w:highlight w:val="none"/>
          <w:u w:val="single"/>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rPr>
      </w:pPr>
    </w:p>
    <w:p>
      <w:pPr>
        <w:autoSpaceDE w:val="0"/>
        <w:autoSpaceDN w:val="0"/>
        <w:adjustRightInd w:val="0"/>
        <w:snapToGrid w:val="0"/>
        <w:spacing w:line="360" w:lineRule="auto"/>
        <w:ind w:firstLine="964" w:firstLineChars="300"/>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b/>
          <w:bCs/>
          <w:i w:val="0"/>
          <w:iCs w:val="0"/>
          <w:color w:val="auto"/>
          <w:sz w:val="32"/>
          <w:szCs w:val="32"/>
          <w:highlight w:val="none"/>
          <w:lang w:val="zh-CN"/>
        </w:rPr>
        <w:t>时</w:t>
      </w:r>
      <w:r>
        <w:rPr>
          <w:rFonts w:hint="eastAsia" w:ascii="仿宋" w:hAnsi="仿宋" w:eastAsia="仿宋" w:cs="仿宋"/>
          <w:b/>
          <w:bCs/>
          <w:i w:val="0"/>
          <w:iCs w:val="0"/>
          <w:color w:val="auto"/>
          <w:sz w:val="32"/>
          <w:szCs w:val="32"/>
          <w:highlight w:val="none"/>
        </w:rPr>
        <w:t xml:space="preserve">  </w:t>
      </w:r>
      <w:r>
        <w:rPr>
          <w:rFonts w:hint="eastAsia" w:ascii="仿宋" w:hAnsi="仿宋" w:eastAsia="仿宋" w:cs="仿宋"/>
          <w:b/>
          <w:bCs/>
          <w:i w:val="0"/>
          <w:iCs w:val="0"/>
          <w:color w:val="auto"/>
          <w:sz w:val="32"/>
          <w:szCs w:val="32"/>
          <w:highlight w:val="none"/>
          <w:lang w:val="zh-CN"/>
        </w:rPr>
        <w:t>间：</w:t>
      </w:r>
      <w:r>
        <w:rPr>
          <w:rFonts w:hint="eastAsia" w:ascii="仿宋" w:hAnsi="仿宋" w:eastAsia="仿宋" w:cs="仿宋"/>
          <w:b/>
          <w:bCs/>
          <w:i w:val="0"/>
          <w:iCs w:val="0"/>
          <w:color w:val="auto"/>
          <w:sz w:val="32"/>
          <w:szCs w:val="32"/>
          <w:highlight w:val="none"/>
          <w:u w:val="single"/>
        </w:rPr>
        <w:t xml:space="preserve">                   </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widowControl/>
        <w:jc w:val="left"/>
        <w:rPr>
          <w:rFonts w:hint="eastAsia" w:ascii="仿宋" w:hAnsi="仿宋" w:eastAsia="仿宋" w:cs="仿宋"/>
          <w:b/>
          <w:bCs/>
          <w:i w:val="0"/>
          <w:iCs w:val="0"/>
          <w:color w:val="auto"/>
          <w:sz w:val="32"/>
          <w:szCs w:val="32"/>
          <w:highlight w:val="none"/>
        </w:rPr>
      </w:pP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目  录</w:t>
      </w:r>
    </w:p>
    <w:p>
      <w:pPr>
        <w:pStyle w:val="23"/>
        <w:rPr>
          <w:rFonts w:hint="eastAsia" w:ascii="仿宋" w:hAnsi="仿宋" w:eastAsia="仿宋" w:cs="仿宋"/>
          <w:i w:val="0"/>
          <w:iCs w:val="0"/>
          <w:color w:val="auto"/>
          <w:highlight w:val="none"/>
        </w:rPr>
      </w:pPr>
    </w:p>
    <w:p>
      <w:pPr>
        <w:pStyle w:val="23"/>
        <w:ind w:firstLine="480" w:firstLineChars="200"/>
        <w:rPr>
          <w:rFonts w:hint="eastAsia" w:ascii="仿宋" w:hAnsi="仿宋" w:eastAsia="仿宋" w:cs="仿宋"/>
          <w:sz w:val="24"/>
        </w:rPr>
      </w:pPr>
      <w:r>
        <w:rPr>
          <w:rFonts w:hint="eastAsia" w:ascii="仿宋" w:hAnsi="仿宋" w:eastAsia="仿宋" w:cs="仿宋"/>
          <w:sz w:val="24"/>
        </w:rPr>
        <w:t>第一部分  谈判响应函</w:t>
      </w:r>
    </w:p>
    <w:p>
      <w:pPr>
        <w:pStyle w:val="23"/>
        <w:ind w:firstLine="480" w:firstLineChars="200"/>
        <w:rPr>
          <w:rFonts w:hint="eastAsia" w:ascii="仿宋" w:hAnsi="仿宋" w:eastAsia="仿宋" w:cs="仿宋"/>
          <w:sz w:val="24"/>
        </w:rPr>
      </w:pPr>
      <w:r>
        <w:rPr>
          <w:rFonts w:hint="eastAsia" w:ascii="仿宋" w:hAnsi="仿宋" w:eastAsia="仿宋" w:cs="仿宋"/>
          <w:sz w:val="24"/>
        </w:rPr>
        <w:t xml:space="preserve">第二部分  谈判响应报价表 </w:t>
      </w:r>
    </w:p>
    <w:p>
      <w:pPr>
        <w:pStyle w:val="23"/>
        <w:ind w:firstLine="480" w:firstLineChars="200"/>
        <w:rPr>
          <w:rFonts w:hint="eastAsia" w:ascii="仿宋" w:hAnsi="仿宋" w:eastAsia="仿宋" w:cs="仿宋"/>
          <w:sz w:val="24"/>
        </w:rPr>
      </w:pPr>
      <w:r>
        <w:rPr>
          <w:rFonts w:hint="eastAsia" w:ascii="仿宋" w:hAnsi="仿宋" w:eastAsia="仿宋" w:cs="仿宋"/>
          <w:sz w:val="24"/>
        </w:rPr>
        <w:t>第三部分  偏离表</w:t>
      </w:r>
    </w:p>
    <w:p>
      <w:pPr>
        <w:pStyle w:val="23"/>
        <w:ind w:firstLine="480" w:firstLineChars="200"/>
        <w:rPr>
          <w:rFonts w:hint="eastAsia" w:ascii="仿宋" w:hAnsi="仿宋" w:eastAsia="仿宋" w:cs="仿宋"/>
          <w:sz w:val="24"/>
        </w:rPr>
      </w:pPr>
      <w:r>
        <w:rPr>
          <w:rFonts w:hint="eastAsia" w:ascii="仿宋" w:hAnsi="仿宋" w:eastAsia="仿宋" w:cs="仿宋"/>
          <w:sz w:val="24"/>
        </w:rPr>
        <w:t>第四部分  响应方案说明</w:t>
      </w:r>
    </w:p>
    <w:p>
      <w:pPr>
        <w:pStyle w:val="23"/>
        <w:ind w:firstLine="480" w:firstLineChars="200"/>
        <w:rPr>
          <w:rFonts w:hint="eastAsia" w:ascii="仿宋" w:hAnsi="仿宋" w:eastAsia="仿宋" w:cs="仿宋"/>
          <w:sz w:val="24"/>
        </w:rPr>
      </w:pPr>
      <w:r>
        <w:rPr>
          <w:rFonts w:hint="eastAsia" w:ascii="仿宋" w:hAnsi="仿宋" w:eastAsia="仿宋" w:cs="仿宋"/>
          <w:sz w:val="24"/>
        </w:rPr>
        <w:t>第五部分  身份证明文件</w:t>
      </w:r>
    </w:p>
    <w:p>
      <w:pPr>
        <w:pStyle w:val="23"/>
        <w:ind w:firstLine="480" w:firstLineChars="200"/>
        <w:rPr>
          <w:rFonts w:hint="eastAsia" w:ascii="仿宋" w:hAnsi="仿宋" w:eastAsia="仿宋" w:cs="仿宋"/>
          <w:sz w:val="24"/>
        </w:rPr>
      </w:pPr>
      <w:r>
        <w:rPr>
          <w:rFonts w:hint="eastAsia" w:ascii="仿宋" w:hAnsi="仿宋" w:eastAsia="仿宋" w:cs="仿宋"/>
          <w:sz w:val="24"/>
        </w:rPr>
        <w:t>第六部分  资格证明文件</w:t>
      </w:r>
    </w:p>
    <w:p>
      <w:pPr>
        <w:pStyle w:val="23"/>
        <w:ind w:firstLine="480" w:firstLineChars="200"/>
        <w:rPr>
          <w:rFonts w:hint="eastAsia" w:ascii="仿宋" w:hAnsi="仿宋" w:eastAsia="仿宋" w:cs="仿宋"/>
          <w:sz w:val="24"/>
        </w:rPr>
      </w:pPr>
      <w:r>
        <w:rPr>
          <w:rFonts w:hint="eastAsia" w:ascii="仿宋" w:hAnsi="仿宋" w:eastAsia="仿宋" w:cs="仿宋"/>
          <w:sz w:val="24"/>
        </w:rPr>
        <w:t>第七部分  小微企业、监狱企业、残疾人福利单位声明函或证明</w:t>
      </w:r>
    </w:p>
    <w:p>
      <w:pPr>
        <w:widowControl/>
        <w:jc w:val="left"/>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4"/>
        <w:jc w:val="center"/>
        <w:rPr>
          <w:rFonts w:hint="eastAsia" w:ascii="仿宋" w:hAnsi="仿宋" w:eastAsia="仿宋" w:cs="仿宋"/>
          <w:b/>
          <w:bCs/>
          <w:i w:val="0"/>
          <w:iCs w:val="0"/>
          <w:color w:val="auto"/>
          <w:sz w:val="24"/>
          <w:highlight w:val="none"/>
          <w:lang w:val="zh-CN"/>
        </w:rPr>
      </w:pPr>
      <w:bookmarkStart w:id="507" w:name="_GoBack"/>
      <w:r>
        <w:rPr>
          <w:rFonts w:hint="eastAsia" w:ascii="仿宋" w:hAnsi="仿宋" w:eastAsia="仿宋" w:cs="仿宋"/>
          <w:b/>
          <w:bCs/>
          <w:i w:val="0"/>
          <w:iCs w:val="0"/>
          <w:color w:val="auto"/>
          <w:highlight w:val="none"/>
          <w:lang w:val="zh-CN"/>
        </w:rPr>
        <w:t>第一部分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谈判响应函</w:t>
      </w:r>
    </w:p>
    <w:p>
      <w:pPr>
        <w:autoSpaceDE w:val="0"/>
        <w:autoSpaceDN w:val="0"/>
        <w:adjustRightInd w:val="0"/>
        <w:snapToGrid w:val="0"/>
        <w:spacing w:line="312" w:lineRule="auto"/>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lang w:val="zh-CN"/>
        </w:rPr>
        <w:t>陕西省采购招标有限责任公司：</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我单位收到贵公司</w:t>
      </w:r>
      <w:r>
        <w:rPr>
          <w:rFonts w:hint="eastAsia" w:ascii="仿宋" w:hAnsi="仿宋" w:eastAsia="仿宋" w:cs="仿宋"/>
          <w:i w:val="0"/>
          <w:iCs w:val="0"/>
          <w:color w:val="auto"/>
          <w:sz w:val="24"/>
          <w:highlight w:val="none"/>
          <w:u w:val="single"/>
          <w:lang w:val="zh-CN"/>
        </w:rPr>
        <w:t xml:space="preserve">   （项目名称）</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lang w:val="zh-CN"/>
        </w:rPr>
        <w:t>竞争性谈判文件，经详细研究，我们决定参加本次谈判活动。为此，我方郑重声明以下诸点，并负法律责任：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w:t>
      </w:r>
      <w:r>
        <w:rPr>
          <w:rFonts w:hint="eastAsia" w:ascii="仿宋" w:hAnsi="仿宋" w:eastAsia="仿宋" w:cs="仿宋"/>
          <w:i w:val="0"/>
          <w:iCs w:val="0"/>
          <w:color w:val="auto"/>
          <w:sz w:val="24"/>
          <w:highlight w:val="none"/>
          <w:lang w:val="zh-CN"/>
        </w:rPr>
        <w:t>、愿意按照竞争性谈判文件中的要求，提供谈判产品及技术服务，完成合同的责任和义务。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w:t>
      </w:r>
      <w:r>
        <w:rPr>
          <w:rFonts w:hint="eastAsia" w:ascii="仿宋" w:hAnsi="仿宋" w:eastAsia="仿宋" w:cs="仿宋"/>
          <w:i w:val="0"/>
          <w:iCs w:val="0"/>
          <w:color w:val="auto"/>
          <w:sz w:val="24"/>
          <w:highlight w:val="none"/>
          <w:lang w:val="zh-CN"/>
        </w:rPr>
        <w:t>、按竞争性谈判文件的规定，我公司的首次谈判响应报价为人民币（大写）：</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元），并对其后的谈判报价负法律责任。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w:t>
      </w:r>
      <w:r>
        <w:rPr>
          <w:rFonts w:hint="eastAsia" w:ascii="仿宋" w:hAnsi="仿宋" w:eastAsia="仿宋" w:cs="仿宋"/>
          <w:i w:val="0"/>
          <w:iCs w:val="0"/>
          <w:color w:val="auto"/>
          <w:sz w:val="24"/>
          <w:highlight w:val="none"/>
          <w:lang w:val="zh-CN"/>
        </w:rPr>
        <w:t>、我方提交的响应文件正本</w:t>
      </w:r>
      <w:r>
        <w:rPr>
          <w:rFonts w:hint="eastAsia" w:ascii="仿宋" w:hAnsi="仿宋" w:eastAsia="仿宋" w:cs="仿宋"/>
          <w:i w:val="0"/>
          <w:iCs w:val="0"/>
          <w:color w:val="auto"/>
          <w:sz w:val="24"/>
          <w:highlight w:val="none"/>
          <w:u w:val="single"/>
          <w:lang w:val="zh-CN"/>
        </w:rPr>
        <w:t>一</w:t>
      </w:r>
      <w:r>
        <w:rPr>
          <w:rFonts w:hint="eastAsia" w:ascii="仿宋" w:hAnsi="仿宋" w:eastAsia="仿宋" w:cs="仿宋"/>
          <w:i w:val="0"/>
          <w:iCs w:val="0"/>
          <w:color w:val="auto"/>
          <w:sz w:val="24"/>
          <w:highlight w:val="none"/>
          <w:lang w:val="zh-CN"/>
        </w:rPr>
        <w:t>份、副本</w:t>
      </w:r>
      <w:r>
        <w:rPr>
          <w:rFonts w:hint="eastAsia" w:ascii="仿宋" w:hAnsi="仿宋" w:eastAsia="仿宋" w:cs="仿宋"/>
          <w:i w:val="0"/>
          <w:iCs w:val="0"/>
          <w:color w:val="auto"/>
          <w:sz w:val="24"/>
          <w:highlight w:val="none"/>
          <w:u w:val="single"/>
          <w:lang w:val="zh-CN"/>
        </w:rPr>
        <w:t xml:space="preserve"> 两 </w:t>
      </w:r>
      <w:r>
        <w:rPr>
          <w:rFonts w:hint="eastAsia" w:ascii="仿宋" w:hAnsi="仿宋" w:eastAsia="仿宋" w:cs="仿宋"/>
          <w:i w:val="0"/>
          <w:iCs w:val="0"/>
          <w:color w:val="auto"/>
          <w:sz w:val="24"/>
          <w:highlight w:val="none"/>
          <w:lang w:val="zh-CN"/>
        </w:rPr>
        <w:t>份。</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四</w:t>
      </w:r>
      <w:r>
        <w:rPr>
          <w:rFonts w:hint="eastAsia" w:ascii="仿宋" w:hAnsi="仿宋" w:eastAsia="仿宋" w:cs="仿宋"/>
          <w:i w:val="0"/>
          <w:iCs w:val="0"/>
          <w:color w:val="auto"/>
          <w:sz w:val="24"/>
          <w:highlight w:val="none"/>
          <w:lang w:val="zh-CN"/>
        </w:rPr>
        <w:t>、我方已详细阅读了竞争性谈判文件，完全理解并放弃提出含糊不清或易形成歧义的表述和资料。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五、我方承诺在谈判有效期内不会撤回响应文件。</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六</w:t>
      </w:r>
      <w:r>
        <w:rPr>
          <w:rFonts w:hint="eastAsia" w:ascii="仿宋" w:hAnsi="仿宋" w:eastAsia="仿宋" w:cs="仿宋"/>
          <w:i w:val="0"/>
          <w:iCs w:val="0"/>
          <w:color w:val="auto"/>
          <w:sz w:val="24"/>
          <w:highlight w:val="none"/>
          <w:lang w:val="zh-CN"/>
        </w:rPr>
        <w:t>、同意向贵方提供可能要求的与本次谈判有关的任何证据或资料，且尊重谈判小组的评审结论和结果。</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七、我方的响应文件有效期为自谈判之日起</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八</w:t>
      </w:r>
      <w:r>
        <w:rPr>
          <w:rFonts w:hint="eastAsia" w:ascii="仿宋" w:hAnsi="仿宋" w:eastAsia="仿宋" w:cs="仿宋"/>
          <w:i w:val="0"/>
          <w:iCs w:val="0"/>
          <w:color w:val="auto"/>
          <w:sz w:val="24"/>
          <w:highlight w:val="none"/>
          <w:lang w:val="zh-CN"/>
        </w:rPr>
        <w:t>、如我方成交：</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（1）我方承诺在收到成交通知书后，在谈判文件规定的期限内与采购人签订合同。</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（2）我方承诺按照谈判文件规定向你方递交履约保证金。作为履行合同的担保。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（3）我方承诺按合同约定的期限和地点，提供符合谈判文件要求的全部的货物和服务。</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地</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址：</w:t>
      </w:r>
      <w:r>
        <w:rPr>
          <w:rFonts w:hint="eastAsia" w:ascii="仿宋" w:hAnsi="仿宋" w:eastAsia="仿宋" w:cs="仿宋"/>
          <w:i w:val="0"/>
          <w:iCs w:val="0"/>
          <w:color w:val="auto"/>
          <w:sz w:val="24"/>
          <w:highlight w:val="none"/>
          <w:u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开户银行：</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帐</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号：</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rPr>
        <w:t>_____________________</w:t>
      </w:r>
      <w:r>
        <w:rPr>
          <w:rFonts w:hint="eastAsia" w:ascii="仿宋" w:hAnsi="仿宋" w:eastAsia="仿宋" w:cs="仿宋"/>
          <w:i w:val="0"/>
          <w:iCs w:val="0"/>
          <w:color w:val="auto"/>
          <w:sz w:val="24"/>
          <w:highlight w:val="none"/>
          <w:lang w:val="zh-CN"/>
        </w:rPr>
        <w:t>传</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真：</w:t>
      </w:r>
      <w:r>
        <w:rPr>
          <w:rFonts w:hint="eastAsia" w:ascii="仿宋" w:hAnsi="仿宋" w:eastAsia="仿宋" w:cs="仿宋"/>
          <w:i w:val="0"/>
          <w:iCs w:val="0"/>
          <w:color w:val="auto"/>
          <w:sz w:val="24"/>
          <w:highlight w:val="none"/>
        </w:rPr>
        <w:t>________________</w:t>
      </w:r>
    </w:p>
    <w:p>
      <w:pPr>
        <w:pStyle w:val="23"/>
        <w:rPr>
          <w:rFonts w:hint="eastAsia" w:ascii="仿宋" w:hAnsi="仿宋" w:eastAsia="仿宋" w:cs="仿宋"/>
          <w:i w:val="0"/>
          <w:iCs w:val="0"/>
          <w:color w:val="auto"/>
          <w:highlight w:val="none"/>
        </w:rPr>
      </w:pPr>
    </w:p>
    <w:p>
      <w:pPr>
        <w:autoSpaceDE w:val="0"/>
        <w:autoSpaceDN w:val="0"/>
        <w:adjustRightInd w:val="0"/>
        <w:snapToGrid w:val="0"/>
        <w:spacing w:line="312" w:lineRule="auto"/>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供应商全称（公章）：</w:t>
      </w:r>
    </w:p>
    <w:p>
      <w:pPr>
        <w:pStyle w:val="23"/>
        <w:rPr>
          <w:rFonts w:hint="eastAsia" w:ascii="仿宋" w:hAnsi="仿宋" w:eastAsia="仿宋" w:cs="仿宋"/>
          <w:i w:val="0"/>
          <w:iCs w:val="0"/>
          <w:color w:val="auto"/>
          <w:highlight w:val="none"/>
          <w:lang w:val="zh-CN"/>
        </w:rPr>
      </w:pP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法定代表人或授权代表（签字）：</w:t>
      </w:r>
      <w:r>
        <w:rPr>
          <w:rFonts w:hint="eastAsia" w:ascii="仿宋" w:hAnsi="仿宋" w:eastAsia="仿宋" w:cs="仿宋"/>
          <w:i w:val="0"/>
          <w:iCs w:val="0"/>
          <w:color w:val="auto"/>
          <w:sz w:val="24"/>
          <w:highlight w:val="none"/>
        </w:rPr>
        <w:t>______________________________</w:t>
      </w:r>
    </w:p>
    <w:p>
      <w:pPr>
        <w:pStyle w:val="23"/>
        <w:jc w:val="right"/>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                 _____</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日</w:t>
      </w:r>
    </w:p>
    <w:p>
      <w:pPr>
        <w:pStyle w:val="4"/>
        <w:jc w:val="center"/>
        <w:rPr>
          <w:rFonts w:hint="eastAsia" w:ascii="仿宋" w:hAnsi="仿宋" w:eastAsia="仿宋" w:cs="仿宋"/>
          <w:b/>
          <w:bCs/>
          <w:i w:val="0"/>
          <w:iCs w:val="0"/>
          <w:color w:val="auto"/>
          <w:highlight w:val="none"/>
        </w:rPr>
      </w:pPr>
      <w:bookmarkStart w:id="461" w:name="_Hlt520356241"/>
      <w:bookmarkEnd w:id="461"/>
      <w:bookmarkStart w:id="462" w:name="_Toc230013640"/>
      <w:bookmarkStart w:id="463" w:name="_Toc232176284"/>
      <w:bookmarkStart w:id="464" w:name="_Toc249515371"/>
      <w:bookmarkStart w:id="465" w:name="_Toc230099805"/>
      <w:bookmarkStart w:id="466" w:name="_Toc249525252"/>
      <w:bookmarkStart w:id="467" w:name="_Toc232395224"/>
      <w:bookmarkStart w:id="468" w:name="_Toc415499901"/>
      <w:bookmarkStart w:id="469" w:name="_Toc256342154"/>
      <w:bookmarkStart w:id="470" w:name="_Toc8496"/>
      <w:bookmarkStart w:id="471" w:name="_Toc230583554"/>
      <w:r>
        <w:rPr>
          <w:rFonts w:hint="eastAsia" w:ascii="仿宋" w:hAnsi="仿宋" w:eastAsia="仿宋" w:cs="仿宋"/>
          <w:b/>
          <w:bCs/>
          <w:i w:val="0"/>
          <w:iCs w:val="0"/>
          <w:color w:val="auto"/>
          <w:highlight w:val="none"/>
          <w:lang w:val="zh-CN"/>
        </w:rPr>
        <w:t>第二部分</w:t>
      </w:r>
      <w:r>
        <w:rPr>
          <w:rFonts w:hint="eastAsia" w:ascii="仿宋" w:hAnsi="仿宋" w:eastAsia="仿宋" w:cs="仿宋"/>
          <w:b/>
          <w:bCs/>
          <w:i w:val="0"/>
          <w:iCs w:val="0"/>
          <w:color w:val="auto"/>
          <w:highlight w:val="none"/>
        </w:rPr>
        <w:t xml:space="preserve">  谈判响应报价表 </w:t>
      </w:r>
    </w:p>
    <w:p>
      <w:pPr>
        <w:pStyle w:val="23"/>
        <w:rPr>
          <w:rFonts w:hint="eastAsia" w:ascii="仿宋" w:hAnsi="仿宋" w:eastAsia="仿宋" w:cs="仿宋"/>
          <w:i w:val="0"/>
          <w:iCs w:val="0"/>
          <w:color w:val="auto"/>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（首次）谈判响应报价表</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项目名称：</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val="en-US" w:eastAsia="zh-CN"/>
              </w:rPr>
              <w:t>交货</w:t>
            </w:r>
            <w:r>
              <w:rPr>
                <w:rFonts w:hint="eastAsia" w:ascii="仿宋" w:hAnsi="仿宋" w:eastAsia="仿宋" w:cs="仿宋"/>
                <w:b/>
                <w:i w:val="0"/>
                <w:iCs w:val="0"/>
                <w:color w:val="auto"/>
                <w:sz w:val="24"/>
                <w:highlight w:val="none"/>
                <w:lang w:eastAsia="zh-CN"/>
              </w:rPr>
              <w:t>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val="en-US" w:eastAsia="zh-CN"/>
              </w:rPr>
              <w:t>交货</w:t>
            </w:r>
            <w:r>
              <w:rPr>
                <w:rFonts w:hint="eastAsia" w:ascii="仿宋" w:hAnsi="仿宋" w:eastAsia="仿宋" w:cs="仿宋"/>
                <w:b/>
                <w:i w:val="0"/>
                <w:iCs w:val="0"/>
                <w:color w:val="auto"/>
                <w:sz w:val="24"/>
                <w:highlight w:val="none"/>
                <w:lang w:eastAsia="zh-CN"/>
              </w:rPr>
              <w:t>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（公章）：                            （签字）：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p>
    <w:p>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（首次）分项报价表</w:t>
      </w:r>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3"/>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397"/>
        <w:gridCol w:w="1065"/>
        <w:gridCol w:w="1257"/>
        <w:gridCol w:w="1326"/>
        <w:gridCol w:w="1516"/>
        <w:gridCol w:w="128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序号</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产品名称</w:t>
            </w: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数量</w:t>
            </w: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生产厂家</w:t>
            </w: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规格型号</w:t>
            </w: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单价（元）</w:t>
            </w: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总价（元）</w:t>
            </w: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ascii="仿宋" w:hAnsi="仿宋" w:eastAsia="仿宋" w:cs="仿宋_GB2312"/>
                <w:b/>
                <w:bCs/>
                <w:sz w:val="24"/>
                <w:szCs w:val="24"/>
              </w:rPr>
            </w:pPr>
            <w:r>
              <w:rPr>
                <w:rFonts w:hint="eastAsia" w:ascii="仿宋" w:hAnsi="仿宋" w:eastAsia="仿宋" w:cs="仿宋_GB2312"/>
                <w:b/>
                <w:bCs/>
                <w:sz w:val="24"/>
                <w:szCs w:val="24"/>
              </w:rPr>
              <w:t>1</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rPr>
            </w:pPr>
            <w:r>
              <w:rPr>
                <w:rFonts w:hint="eastAsia" w:ascii="仿宋" w:hAnsi="仿宋" w:eastAsia="仿宋" w:cs="仿宋_GB2312"/>
                <w:b/>
                <w:bCs/>
                <w:sz w:val="24"/>
                <w:szCs w:val="24"/>
              </w:rPr>
              <w:t>2</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3</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4</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5</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6</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7</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8</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9</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10</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11</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12</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13</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14</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15</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ascii="仿宋" w:hAnsi="仿宋" w:eastAsia="仿宋" w:cs="仿宋_GB2312"/>
                <w:b/>
                <w:bCs/>
                <w:sz w:val="24"/>
                <w:szCs w:val="24"/>
              </w:rPr>
            </w:pPr>
            <w:r>
              <w:rPr>
                <w:rFonts w:hint="eastAsia" w:ascii="仿宋" w:hAnsi="仿宋" w:eastAsia="仿宋" w:cs="仿宋_GB2312"/>
                <w:b/>
                <w:bCs/>
                <w:sz w:val="24"/>
                <w:szCs w:val="24"/>
              </w:rPr>
              <w:t>...</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pStyle w:val="23"/>
        <w:rPr>
          <w:rFonts w:hint="eastAsia"/>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 xml:space="preserve">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adjustRightInd w:val="0"/>
        <w:snapToGrid w:val="0"/>
        <w:spacing w:line="360" w:lineRule="auto"/>
        <w:jc w:val="center"/>
        <w:rPr>
          <w:rFonts w:hint="eastAsia" w:ascii="仿宋" w:hAnsi="仿宋" w:eastAsia="仿宋" w:cs="仿宋"/>
          <w:i w:val="0"/>
          <w:iCs w:val="0"/>
          <w:color w:val="auto"/>
          <w:sz w:val="24"/>
          <w:highlight w:val="none"/>
          <w:lang w:val="zh-CN"/>
        </w:rPr>
      </w:pPr>
    </w:p>
    <w:p>
      <w:pPr>
        <w:adjustRightInd w:val="0"/>
        <w:snapToGrid w:val="0"/>
        <w:spacing w:line="360" w:lineRule="auto"/>
        <w:jc w:val="center"/>
        <w:rPr>
          <w:rFonts w:hint="eastAsia" w:ascii="仿宋" w:hAnsi="仿宋" w:eastAsia="仿宋" w:cs="仿宋"/>
          <w:i w:val="0"/>
          <w:iCs w:val="0"/>
          <w:color w:val="auto"/>
          <w:sz w:val="24"/>
          <w:highlight w:val="none"/>
          <w:lang w:val="zh-CN"/>
        </w:rPr>
      </w:pPr>
    </w:p>
    <w:p>
      <w:pPr>
        <w:adjustRightInd w:val="0"/>
        <w:snapToGrid w:val="0"/>
        <w:spacing w:line="360" w:lineRule="auto"/>
        <w:jc w:val="right"/>
        <w:rPr>
          <w:rFonts w:hint="eastAsia" w:ascii="仿宋" w:hAnsi="仿宋" w:eastAsia="仿宋" w:cs="仿宋"/>
          <w:b/>
          <w:i w:val="0"/>
          <w:iCs w:val="0"/>
          <w:color w:val="auto"/>
          <w:sz w:val="42"/>
          <w:highlight w:val="none"/>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62"/>
    <w:bookmarkEnd w:id="463"/>
    <w:bookmarkEnd w:id="464"/>
    <w:bookmarkEnd w:id="465"/>
    <w:bookmarkEnd w:id="466"/>
    <w:bookmarkEnd w:id="467"/>
    <w:bookmarkEnd w:id="468"/>
    <w:bookmarkEnd w:id="469"/>
    <w:bookmarkEnd w:id="470"/>
    <w:bookmarkEnd w:id="471"/>
    <w:p>
      <w:pPr>
        <w:pStyle w:val="4"/>
        <w:jc w:val="center"/>
        <w:rPr>
          <w:rFonts w:hint="eastAsia" w:ascii="仿宋" w:hAnsi="仿宋" w:eastAsia="仿宋" w:cs="仿宋"/>
          <w:i w:val="0"/>
          <w:iCs w:val="0"/>
          <w:color w:val="auto"/>
          <w:highlight w:val="none"/>
        </w:rPr>
      </w:pPr>
      <w:bookmarkStart w:id="472" w:name="_Toc232176285"/>
      <w:bookmarkStart w:id="473" w:name="_Toc230013641"/>
      <w:bookmarkStart w:id="474" w:name="_Toc499711929"/>
      <w:bookmarkStart w:id="475" w:name="_Toc230099806"/>
      <w:bookmarkStart w:id="476" w:name="_Toc499711088"/>
      <w:bookmarkStart w:id="477" w:name="_Toc389620242"/>
      <w:bookmarkStart w:id="478" w:name="_Toc500747011"/>
      <w:bookmarkStart w:id="479" w:name="_Toc184043059"/>
      <w:bookmarkStart w:id="480" w:name="_Toc232395225"/>
      <w:bookmarkStart w:id="481" w:name="_Toc177817345"/>
      <w:bookmarkStart w:id="482" w:name="_Toc503063459"/>
      <w:bookmarkStart w:id="483" w:name="_Toc496324624"/>
      <w:bookmarkStart w:id="484" w:name="_Toc385992402"/>
      <w:bookmarkStart w:id="485" w:name="_Toc177189246"/>
      <w:bookmarkStart w:id="486" w:name="_Toc177995484"/>
      <w:bookmarkStart w:id="487" w:name="_Toc500747234"/>
      <w:bookmarkStart w:id="488" w:name="_Toc256342155"/>
      <w:bookmarkStart w:id="489" w:name="_Toc230583555"/>
      <w:bookmarkStart w:id="490" w:name="_Toc225933091"/>
      <w:bookmarkStart w:id="491" w:name="_Toc83547687"/>
      <w:bookmarkStart w:id="492" w:name="_Toc176882553"/>
      <w:bookmarkStart w:id="493" w:name="_Toc249515372"/>
      <w:bookmarkStart w:id="494" w:name="_Toc53722866"/>
      <w:bookmarkStart w:id="495" w:name="_Toc500747107"/>
      <w:bookmarkStart w:id="496" w:name="_Toc492955460"/>
      <w:bookmarkStart w:id="497" w:name="_Toc249525253"/>
      <w:bookmarkStart w:id="498" w:name="_Toc415499902"/>
      <w:bookmarkStart w:id="499" w:name="_Toc70687203"/>
      <w:r>
        <w:rPr>
          <w:rFonts w:hint="eastAsia" w:ascii="仿宋" w:hAnsi="仿宋" w:eastAsia="仿宋" w:cs="仿宋"/>
          <w:b/>
          <w:bCs/>
          <w:i w:val="0"/>
          <w:iCs w:val="0"/>
          <w:color w:val="auto"/>
          <w:highlight w:val="none"/>
        </w:rPr>
        <w:t>第三部分  偏离表</w:t>
      </w:r>
    </w:p>
    <w:p>
      <w:pPr>
        <w:pStyle w:val="5"/>
        <w:jc w:val="cente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一、商务、合同条款偏离表</w:t>
      </w:r>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9"/>
        <w:ind w:right="56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highlight w:val="none"/>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序号</w:t>
            </w:r>
          </w:p>
        </w:tc>
        <w:tc>
          <w:tcPr>
            <w:tcW w:w="2835"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谈判文件商务、合同条款</w:t>
            </w:r>
          </w:p>
        </w:tc>
        <w:tc>
          <w:tcPr>
            <w:tcW w:w="1701"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完全响应</w:t>
            </w:r>
          </w:p>
        </w:tc>
        <w:tc>
          <w:tcPr>
            <w:tcW w:w="1417"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有偏离</w:t>
            </w:r>
          </w:p>
        </w:tc>
        <w:tc>
          <w:tcPr>
            <w:tcW w:w="2195"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jc w:val="center"/>
              <w:rPr>
                <w:rFonts w:hint="eastAsia" w:ascii="仿宋" w:hAnsi="仿宋" w:eastAsia="仿宋" w:cs="仿宋"/>
                <w:i w:val="0"/>
                <w:iCs w:val="0"/>
                <w:color w:val="auto"/>
                <w:sz w:val="24"/>
                <w:szCs w:val="24"/>
                <w:highlight w:val="none"/>
              </w:rPr>
            </w:pPr>
          </w:p>
        </w:tc>
        <w:tc>
          <w:tcPr>
            <w:tcW w:w="2835" w:type="dxa"/>
          </w:tcPr>
          <w:p>
            <w:pPr>
              <w:pStyle w:val="29"/>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w:t>
            </w:r>
            <w:r>
              <w:rPr>
                <w:rFonts w:hint="eastAsia" w:ascii="仿宋" w:hAnsi="仿宋" w:eastAsia="仿宋" w:cs="仿宋"/>
                <w:i w:val="0"/>
                <w:iCs w:val="0"/>
                <w:color w:val="auto"/>
                <w:sz w:val="24"/>
                <w:szCs w:val="24"/>
                <w:highlight w:val="none"/>
                <w:lang w:val="en-US" w:eastAsia="zh-CN"/>
              </w:rPr>
              <w:t>交货</w:t>
            </w:r>
            <w:r>
              <w:rPr>
                <w:rFonts w:hint="eastAsia" w:ascii="仿宋" w:hAnsi="仿宋" w:eastAsia="仿宋" w:cs="仿宋"/>
                <w:i w:val="0"/>
                <w:iCs w:val="0"/>
                <w:color w:val="auto"/>
                <w:sz w:val="24"/>
                <w:szCs w:val="24"/>
                <w:highlight w:val="none"/>
              </w:rPr>
              <w:t>地点)</w:t>
            </w:r>
          </w:p>
        </w:tc>
        <w:tc>
          <w:tcPr>
            <w:tcW w:w="1701" w:type="dxa"/>
          </w:tcPr>
          <w:p>
            <w:pPr>
              <w:pStyle w:val="29"/>
              <w:jc w:val="center"/>
              <w:rPr>
                <w:rFonts w:hint="eastAsia" w:ascii="仿宋" w:hAnsi="仿宋" w:eastAsia="仿宋" w:cs="仿宋"/>
                <w:i w:val="0"/>
                <w:iCs w:val="0"/>
                <w:color w:val="auto"/>
                <w:sz w:val="24"/>
                <w:szCs w:val="24"/>
                <w:highlight w:val="none"/>
              </w:rPr>
            </w:pPr>
          </w:p>
        </w:tc>
        <w:tc>
          <w:tcPr>
            <w:tcW w:w="1417" w:type="dxa"/>
          </w:tcPr>
          <w:p>
            <w:pPr>
              <w:pStyle w:val="29"/>
              <w:jc w:val="center"/>
              <w:rPr>
                <w:rFonts w:hint="eastAsia" w:ascii="仿宋" w:hAnsi="仿宋" w:eastAsia="仿宋" w:cs="仿宋"/>
                <w:i w:val="0"/>
                <w:iCs w:val="0"/>
                <w:color w:val="auto"/>
                <w:sz w:val="24"/>
                <w:szCs w:val="24"/>
                <w:highlight w:val="none"/>
              </w:rPr>
            </w:pPr>
          </w:p>
        </w:tc>
        <w:tc>
          <w:tcPr>
            <w:tcW w:w="2195" w:type="dxa"/>
          </w:tcPr>
          <w:p>
            <w:pPr>
              <w:pStyle w:val="29"/>
              <w:jc w:val="center"/>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w:t>
            </w:r>
            <w:r>
              <w:rPr>
                <w:rFonts w:hint="eastAsia" w:ascii="仿宋" w:hAnsi="仿宋" w:eastAsia="仿宋" w:cs="仿宋"/>
                <w:i w:val="0"/>
                <w:iCs w:val="0"/>
                <w:color w:val="auto"/>
                <w:sz w:val="24"/>
                <w:szCs w:val="24"/>
                <w:highlight w:val="none"/>
                <w:lang w:val="en-US" w:eastAsia="zh-CN"/>
              </w:rPr>
              <w:t>交货</w:t>
            </w:r>
            <w:r>
              <w:rPr>
                <w:rFonts w:hint="eastAsia" w:ascii="仿宋" w:hAnsi="仿宋" w:eastAsia="仿宋" w:cs="仿宋"/>
                <w:i w:val="0"/>
                <w:iCs w:val="0"/>
                <w:color w:val="auto"/>
                <w:sz w:val="24"/>
                <w:szCs w:val="24"/>
                <w:highlight w:val="none"/>
                <w:lang w:eastAsia="zh-CN"/>
              </w:rPr>
              <w:t>期</w:t>
            </w:r>
            <w:r>
              <w:rPr>
                <w:rFonts w:hint="eastAsia" w:ascii="仿宋" w:hAnsi="仿宋" w:eastAsia="仿宋" w:cs="仿宋"/>
                <w:bCs/>
                <w:i w:val="0"/>
                <w:iCs w:val="0"/>
                <w:color w:val="auto"/>
                <w:sz w:val="24"/>
                <w:highlight w:val="none"/>
              </w:rPr>
              <w:t>)</w:t>
            </w:r>
          </w:p>
        </w:tc>
        <w:tc>
          <w:tcPr>
            <w:tcW w:w="1701" w:type="dxa"/>
          </w:tcPr>
          <w:p>
            <w:pPr>
              <w:pStyle w:val="29"/>
              <w:ind w:left="1080" w:leftChars="257" w:hanging="540"/>
              <w:jc w:val="center"/>
              <w:rPr>
                <w:rFonts w:hint="eastAsia" w:ascii="仿宋" w:hAnsi="仿宋" w:eastAsia="仿宋" w:cs="仿宋"/>
                <w:i w:val="0"/>
                <w:iCs w:val="0"/>
                <w:color w:val="auto"/>
                <w:sz w:val="24"/>
                <w:szCs w:val="24"/>
                <w:highlight w:val="none"/>
              </w:rPr>
            </w:pPr>
          </w:p>
        </w:tc>
        <w:tc>
          <w:tcPr>
            <w:tcW w:w="1417" w:type="dxa"/>
          </w:tcPr>
          <w:p>
            <w:pPr>
              <w:pStyle w:val="29"/>
              <w:ind w:left="1080" w:leftChars="257" w:hanging="540"/>
              <w:jc w:val="center"/>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(付款方式)</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i w:val="0"/>
                <w:iCs w:val="0"/>
                <w:color w:val="auto"/>
                <w:sz w:val="24"/>
                <w:highlight w:val="none"/>
              </w:rPr>
              <w:t>….</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i w:val="0"/>
                <w:iCs w:val="0"/>
                <w:color w:val="auto"/>
                <w:sz w:val="24"/>
                <w:highlight w:val="none"/>
              </w:rPr>
              <w:t>.</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bl>
    <w:p>
      <w:pPr>
        <w:pStyle w:val="29"/>
        <w:ind w:left="1080" w:leftChars="257" w:hanging="540"/>
        <w:rPr>
          <w:rFonts w:hint="eastAsia" w:ascii="仿宋" w:hAnsi="仿宋" w:eastAsia="仿宋" w:cs="仿宋"/>
          <w:i w:val="0"/>
          <w:iCs w:val="0"/>
          <w:color w:val="auto"/>
          <w:sz w:val="24"/>
          <w:szCs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320" w:firstLineChars="180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napToGrid w:val="0"/>
        <w:spacing w:after="120" w:afterLines="50"/>
        <w:ind w:left="910" w:leftChars="203" w:hanging="48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注：</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1、对完全响应的，在下表相应列中标注“○”。对有偏离的条目在本表相应列中标注“正偏离”或“负偏离”，并在“偏离简述”栏中加以说明。</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2、正偏离是指应答的条件高于谈判文件要求，负偏离是指应答的条件低于谈判文件要求。</w:t>
      </w:r>
    </w:p>
    <w:p>
      <w:pPr>
        <w:snapToGrid w:val="0"/>
        <w:spacing w:after="156" w:afterLines="50"/>
        <w:ind w:left="842" w:leftChars="401"/>
        <w:rPr>
          <w:rFonts w:ascii="仿宋" w:hAnsi="仿宋" w:eastAsia="仿宋" w:cs="仿宋"/>
        </w:rPr>
      </w:pPr>
      <w:bookmarkStart w:id="500" w:name="_Toc7005136"/>
      <w:bookmarkStart w:id="501" w:name="_Toc414445775"/>
      <w:bookmarkStart w:id="502" w:name="_Toc410631184"/>
      <w:bookmarkStart w:id="503" w:name="_Toc416103825"/>
      <w:r>
        <w:rPr>
          <w:rFonts w:hint="eastAsia" w:ascii="仿宋" w:hAnsi="仿宋" w:eastAsia="仿宋" w:cs="仿宋"/>
        </w:rPr>
        <w:t>3、供应商须完整填写响应表。如果未完整填写本表的各项内容则视作供应商对谈判文件不响应，响应文件按无效文件处理。</w:t>
      </w:r>
    </w:p>
    <w:p>
      <w:pPr>
        <w:snapToGrid w:val="0"/>
        <w:spacing w:after="156" w:afterLines="50"/>
        <w:ind w:left="842" w:leftChars="401"/>
        <w:rPr>
          <w:rFonts w:ascii="仿宋" w:hAnsi="仿宋" w:eastAsia="仿宋" w:cs="仿宋"/>
        </w:rPr>
      </w:pPr>
      <w:r>
        <w:rPr>
          <w:rFonts w:hint="eastAsia" w:ascii="仿宋" w:hAnsi="仿宋" w:eastAsia="仿宋" w:cs="仿宋"/>
        </w:rPr>
        <w:t>4、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pStyle w:val="5"/>
        <w:jc w:val="cente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二、技术偏离表</w:t>
      </w:r>
      <w:bookmarkEnd w:id="500"/>
      <w:bookmarkEnd w:id="501"/>
      <w:bookmarkEnd w:id="502"/>
      <w:bookmarkEnd w:id="503"/>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3"/>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谈判文件条目</w:t>
            </w:r>
          </w:p>
        </w:tc>
        <w:tc>
          <w:tcPr>
            <w:tcW w:w="1932"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技术条款要求</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完全响应</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有偏离</w:t>
            </w:r>
          </w:p>
        </w:tc>
        <w:tc>
          <w:tcPr>
            <w:tcW w:w="2394"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bl>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pacing w:line="360" w:lineRule="auto"/>
        <w:rPr>
          <w:rFonts w:hint="eastAsia" w:ascii="仿宋" w:hAnsi="仿宋" w:eastAsia="仿宋" w:cs="仿宋"/>
          <w:i w:val="0"/>
          <w:iCs w:val="0"/>
          <w:color w:val="auto"/>
          <w:highlight w:val="none"/>
        </w:rPr>
      </w:pPr>
    </w:p>
    <w:p>
      <w:pPr>
        <w:keepNext w:val="0"/>
        <w:keepLines w:val="0"/>
        <w:pageBreakBefore w:val="0"/>
        <w:widowControl w:val="0"/>
        <w:kinsoku/>
        <w:wordWrap/>
        <w:overflowPunct/>
        <w:topLinePunct w:val="0"/>
        <w:autoSpaceDE/>
        <w:autoSpaceDN/>
        <w:bidi w:val="0"/>
        <w:adjustRightInd/>
        <w:snapToGrid w:val="0"/>
        <w:spacing w:after="120" w:afterLines="50"/>
        <w:ind w:left="0" w:hanging="850" w:hangingChars="405"/>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注：1.</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正偏离是指应答的条件高于谈判文件要求，负偏离是指应答的条件低于谈判文件要求。</w:t>
      </w:r>
    </w:p>
    <w:p>
      <w:pPr>
        <w:keepNext w:val="0"/>
        <w:keepLines w:val="0"/>
        <w:pageBreakBefore w:val="0"/>
        <w:widowControl w:val="0"/>
        <w:kinsoku/>
        <w:wordWrap/>
        <w:overflowPunct/>
        <w:topLinePunct w:val="0"/>
        <w:autoSpaceDE/>
        <w:autoSpaceDN/>
        <w:bidi w:val="0"/>
        <w:adjustRightInd/>
        <w:snapToGrid w:val="0"/>
        <w:spacing w:after="120" w:afterLines="50"/>
        <w:ind w:left="846" w:leftChars="199" w:hanging="428" w:hangingChars="204"/>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w:t>
      </w: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i w:val="0"/>
          <w:iCs w:val="0"/>
          <w:color w:val="auto"/>
          <w:highlight w:val="none"/>
        </w:rPr>
        <w:t>供应商须</w:t>
      </w:r>
      <w:r>
        <w:rPr>
          <w:rFonts w:hint="eastAsia" w:ascii="仿宋" w:hAnsi="仿宋" w:eastAsia="仿宋" w:cs="仿宋"/>
          <w:i w:val="0"/>
          <w:iCs w:val="0"/>
          <w:color w:val="auto"/>
          <w:highlight w:val="none"/>
          <w:lang w:eastAsia="zh-CN"/>
        </w:rPr>
        <w:t>按照本项目采购内容及要求中所采购设备参数进行逐条响应</w:t>
      </w:r>
      <w:r>
        <w:rPr>
          <w:rFonts w:hint="eastAsia" w:ascii="仿宋" w:hAnsi="仿宋" w:eastAsia="仿宋" w:cs="仿宋"/>
          <w:i w:val="0"/>
          <w:iCs w:val="0"/>
          <w:color w:val="auto"/>
          <w:highlight w:val="none"/>
        </w:rPr>
        <w:t>。如果未完整填写本表的各项内容则视作供应商对谈判文件不响应。</w:t>
      </w:r>
    </w:p>
    <w:p>
      <w:pPr>
        <w:snapToGrid w:val="0"/>
        <w:spacing w:after="120" w:afterLines="50"/>
        <w:ind w:left="846" w:leftChars="199" w:hanging="428" w:hangingChars="204"/>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w:t>
      </w: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i w:val="0"/>
          <w:iCs w:val="0"/>
          <w:color w:val="auto"/>
          <w:highlight w:val="none"/>
        </w:rPr>
        <w:t>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p>
      <w:pPr>
        <w:pStyle w:val="4"/>
        <w:jc w:val="cente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第四部分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响应方案说明</w:t>
      </w:r>
    </w:p>
    <w:p>
      <w:pPr>
        <w:pStyle w:val="23"/>
        <w:rPr>
          <w:rFonts w:hint="eastAsia" w:ascii="仿宋" w:hAnsi="仿宋" w:eastAsia="仿宋" w:cs="仿宋"/>
          <w:i w:val="0"/>
          <w:iCs w:val="0"/>
          <w:color w:val="auto"/>
          <w:highlight w:val="none"/>
          <w:lang w:val="zh-CN"/>
        </w:rPr>
      </w:pPr>
    </w:p>
    <w:p>
      <w:pPr>
        <w:autoSpaceDE w:val="0"/>
        <w:autoSpaceDN w:val="0"/>
        <w:adjustRightInd w:val="0"/>
        <w:spacing w:line="360" w:lineRule="auto"/>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（格式自拟，内容需符合评审办法中要求的内容要求）</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numPr>
          <w:ilvl w:val="0"/>
          <w:numId w:val="11"/>
        </w:numPr>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身份证明文件</w:t>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rPr>
      </w:pPr>
      <w:r>
        <w:rPr>
          <w:rFonts w:hint="eastAsia" w:ascii="仿宋" w:hAnsi="仿宋" w:eastAsia="仿宋" w:cs="仿宋"/>
          <w:b/>
          <w:bCs/>
          <w:i w:val="0"/>
          <w:iCs w:val="0"/>
          <w:color w:val="auto"/>
          <w:sz w:val="28"/>
          <w:szCs w:val="36"/>
          <w:highlight w:val="none"/>
          <w:lang w:val="zh-CN"/>
        </w:rPr>
        <w:t>1、法定代表人（或单位负责人）授权书</w:t>
      </w:r>
    </w:p>
    <w:p>
      <w:pPr>
        <w:autoSpaceDE w:val="0"/>
        <w:autoSpaceDN w:val="0"/>
        <w:adjustRightInd w:val="0"/>
        <w:spacing w:line="348" w:lineRule="auto"/>
        <w:ind w:firstLine="400"/>
        <w:rPr>
          <w:rFonts w:hint="eastAsia" w:ascii="仿宋" w:hAnsi="仿宋" w:eastAsia="仿宋" w:cs="仿宋"/>
          <w:b/>
          <w:bCs/>
          <w:i w:val="0"/>
          <w:iCs w:val="0"/>
          <w:color w:val="auto"/>
          <w:sz w:val="20"/>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陕西省采购招标有限责任公司：</w:t>
      </w:r>
    </w:p>
    <w:p>
      <w:pPr>
        <w:autoSpaceDE w:val="0"/>
        <w:autoSpaceDN w:val="0"/>
        <w:adjustRightInd w:val="0"/>
        <w:spacing w:line="348" w:lineRule="auto"/>
        <w:ind w:firstLine="64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注册于</w:t>
      </w:r>
      <w:r>
        <w:rPr>
          <w:rFonts w:hint="eastAsia" w:ascii="仿宋" w:hAnsi="仿宋" w:eastAsia="仿宋" w:cs="仿宋"/>
          <w:i w:val="0"/>
          <w:iCs w:val="0"/>
          <w:color w:val="auto"/>
          <w:sz w:val="24"/>
          <w:highlight w:val="none"/>
          <w:u w:val="single"/>
          <w:lang w:val="zh-CN"/>
        </w:rPr>
        <w:t>（工商行政管理局名称）</w:t>
      </w:r>
      <w:r>
        <w:rPr>
          <w:rFonts w:hint="eastAsia" w:ascii="仿宋" w:hAnsi="仿宋" w:eastAsia="仿宋" w:cs="仿宋"/>
          <w:i w:val="0"/>
          <w:iCs w:val="0"/>
          <w:color w:val="auto"/>
          <w:sz w:val="24"/>
          <w:highlight w:val="none"/>
          <w:lang w:val="zh-CN"/>
        </w:rPr>
        <w:t>之</w:t>
      </w:r>
      <w:r>
        <w:rPr>
          <w:rFonts w:hint="eastAsia" w:ascii="仿宋" w:hAnsi="仿宋" w:eastAsia="仿宋" w:cs="仿宋"/>
          <w:i w:val="0"/>
          <w:iCs w:val="0"/>
          <w:color w:val="auto"/>
          <w:sz w:val="24"/>
          <w:highlight w:val="none"/>
          <w:u w:val="single"/>
          <w:lang w:val="zh-CN"/>
        </w:rPr>
        <w:t>（供应商全称）</w:t>
      </w:r>
      <w:r>
        <w:rPr>
          <w:rFonts w:hint="eastAsia" w:ascii="仿宋" w:hAnsi="仿宋" w:eastAsia="仿宋" w:cs="仿宋"/>
          <w:i w:val="0"/>
          <w:iCs w:val="0"/>
          <w:color w:val="auto"/>
          <w:sz w:val="24"/>
          <w:highlight w:val="none"/>
          <w:lang w:val="zh-CN"/>
        </w:rPr>
        <w:t>法人代表</w:t>
      </w:r>
      <w:r>
        <w:rPr>
          <w:rFonts w:hint="eastAsia" w:ascii="仿宋" w:hAnsi="仿宋" w:eastAsia="仿宋" w:cs="仿宋"/>
          <w:i w:val="0"/>
          <w:iCs w:val="0"/>
          <w:color w:val="auto"/>
          <w:sz w:val="24"/>
          <w:highlight w:val="none"/>
          <w:u w:val="single"/>
          <w:lang w:val="zh-CN"/>
        </w:rPr>
        <w:t>（姓名、职务）</w:t>
      </w:r>
      <w:r>
        <w:rPr>
          <w:rFonts w:hint="eastAsia" w:ascii="仿宋" w:hAnsi="仿宋" w:eastAsia="仿宋" w:cs="仿宋"/>
          <w:i w:val="0"/>
          <w:iCs w:val="0"/>
          <w:color w:val="auto"/>
          <w:sz w:val="24"/>
          <w:highlight w:val="none"/>
          <w:lang w:val="zh-CN"/>
        </w:rPr>
        <w:t>授权</w:t>
      </w:r>
      <w:r>
        <w:rPr>
          <w:rFonts w:hint="eastAsia" w:ascii="仿宋" w:hAnsi="仿宋" w:eastAsia="仿宋" w:cs="仿宋"/>
          <w:i w:val="0"/>
          <w:iCs w:val="0"/>
          <w:color w:val="auto"/>
          <w:sz w:val="24"/>
          <w:highlight w:val="none"/>
          <w:u w:val="single"/>
          <w:lang w:val="zh-CN"/>
        </w:rPr>
        <w:t>（被授权人姓名、职务）</w:t>
      </w:r>
      <w:r>
        <w:rPr>
          <w:rFonts w:hint="eastAsia" w:ascii="仿宋" w:hAnsi="仿宋" w:eastAsia="仿宋" w:cs="仿宋"/>
          <w:i w:val="0"/>
          <w:iCs w:val="0"/>
          <w:color w:val="auto"/>
          <w:sz w:val="24"/>
          <w:highlight w:val="none"/>
          <w:lang w:val="zh-CN"/>
        </w:rPr>
        <w:t>为本公司的合法代理人，就</w:t>
      </w:r>
      <w:r>
        <w:rPr>
          <w:rFonts w:hint="eastAsia" w:ascii="仿宋" w:hAnsi="仿宋" w:eastAsia="仿宋" w:cs="仿宋"/>
          <w:i w:val="0"/>
          <w:iCs w:val="0"/>
          <w:color w:val="auto"/>
          <w:sz w:val="24"/>
          <w:highlight w:val="none"/>
          <w:u w:val="single"/>
          <w:lang w:val="zh-CN"/>
        </w:rPr>
        <w:t>（项目名称）</w:t>
      </w:r>
      <w:r>
        <w:rPr>
          <w:rFonts w:hint="eastAsia" w:ascii="仿宋" w:hAnsi="仿宋" w:eastAsia="仿宋" w:cs="仿宋"/>
          <w:i w:val="0"/>
          <w:iCs w:val="0"/>
          <w:color w:val="auto"/>
          <w:sz w:val="24"/>
          <w:highlight w:val="none"/>
          <w:lang w:val="zh-CN"/>
        </w:rPr>
        <w:t>的谈判及合同的执行和完成，以本公司的名义处理一切与之有关的事宜。</w:t>
      </w:r>
    </w:p>
    <w:p>
      <w:pPr>
        <w:snapToGrid w:val="0"/>
        <w:spacing w:line="360" w:lineRule="auto"/>
        <w:ind w:firstLine="480" w:firstLineChars="200"/>
        <w:rPr>
          <w:rFonts w:hint="eastAsia" w:ascii="仿宋" w:hAnsi="仿宋" w:eastAsia="仿宋" w:cs="仿宋"/>
          <w:b/>
          <w:bCs/>
          <w:i w:val="0"/>
          <w:iCs w:val="0"/>
          <w:color w:val="auto"/>
          <w:sz w:val="24"/>
          <w:highlight w:val="none"/>
          <w:lang w:val="zh-CN"/>
        </w:rPr>
      </w:pPr>
      <w:r>
        <w:rPr>
          <w:rFonts w:hint="eastAsia" w:ascii="仿宋" w:hAnsi="仿宋" w:eastAsia="仿宋" w:cs="仿宋"/>
          <w:i w:val="0"/>
          <w:iCs w:val="0"/>
          <w:color w:val="auto"/>
          <w:sz w:val="24"/>
          <w:highlight w:val="none"/>
          <w:lang w:val="zh-CN"/>
        </w:rPr>
        <w:t>本授权自</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日起生效。（</w:t>
      </w:r>
      <w:r>
        <w:rPr>
          <w:rFonts w:hint="eastAsia" w:ascii="仿宋" w:hAnsi="仿宋" w:eastAsia="仿宋" w:cs="仿宋"/>
          <w:b/>
          <w:i w:val="0"/>
          <w:iCs w:val="0"/>
          <w:color w:val="auto"/>
          <w:sz w:val="24"/>
          <w:highlight w:val="none"/>
          <w:lang w:val="zh-CN"/>
        </w:rPr>
        <w:t>提示：此日期不应晚于谈判响应函签署日期</w:t>
      </w:r>
      <w:r>
        <w:rPr>
          <w:rFonts w:hint="eastAsia" w:ascii="仿宋" w:hAnsi="仿宋" w:eastAsia="仿宋" w:cs="仿宋"/>
          <w:i w:val="0"/>
          <w:iCs w:val="0"/>
          <w:color w:val="auto"/>
          <w:sz w:val="24"/>
          <w:highlight w:val="none"/>
          <w:lang w:val="zh-CN"/>
        </w:rPr>
        <w:t>）</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附：</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被授权人姓名：</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性别：</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年龄：</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职</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务：</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身份证号码：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通讯地址：</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邮政编码：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传真：</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及</w:t>
      </w:r>
      <w:r>
        <w:rPr>
          <w:rFonts w:hint="eastAsia" w:ascii="仿宋" w:hAnsi="仿宋" w:eastAsia="仿宋" w:cs="仿宋"/>
          <w:i w:val="0"/>
          <w:iCs w:val="0"/>
          <w:color w:val="auto"/>
          <w:sz w:val="24"/>
          <w:highlight w:val="none"/>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法定代表人身份证复印件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授权代表身份证复印件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r>
    </w:tbl>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adjustRightInd w:val="0"/>
        <w:snapToGrid w:val="0"/>
        <w:spacing w:line="360" w:lineRule="auto"/>
        <w:rPr>
          <w:rFonts w:hint="eastAsia" w:ascii="仿宋" w:hAnsi="仿宋" w:eastAsia="仿宋" w:cs="仿宋"/>
          <w:i w:val="0"/>
          <w:iCs w:val="0"/>
          <w:color w:val="auto"/>
          <w:sz w:val="24"/>
          <w:highlight w:val="none"/>
        </w:rPr>
      </w:pPr>
    </w:p>
    <w:p>
      <w:pPr>
        <w:adjustRightInd w:val="0"/>
        <w:snapToGrid w:val="0"/>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供应商                         法定代表人</w:t>
      </w:r>
    </w:p>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（公章）：                       （签字）：</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r>
        <w:rPr>
          <w:rFonts w:hint="eastAsia" w:ascii="仿宋" w:hAnsi="仿宋" w:eastAsia="仿宋" w:cs="仿宋"/>
          <w:b/>
          <w:bCs/>
          <w:i w:val="0"/>
          <w:iCs w:val="0"/>
          <w:color w:val="auto"/>
          <w:sz w:val="28"/>
          <w:szCs w:val="36"/>
          <w:highlight w:val="none"/>
          <w:lang w:val="zh-CN"/>
        </w:rPr>
        <w:t>2、法定代表人（或单位负责人）身份证明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供应商名称：</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单位性质：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地    址： </w:t>
      </w:r>
      <w:r>
        <w:rPr>
          <w:rFonts w:hint="eastAsia" w:ascii="仿宋" w:hAnsi="仿宋" w:eastAsia="仿宋" w:cs="仿宋"/>
          <w:i w:val="0"/>
          <w:iCs w:val="0"/>
          <w:color w:val="auto"/>
          <w:kern w:val="0"/>
          <w:sz w:val="24"/>
          <w:highlight w:val="none"/>
          <w:u w:val="singl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成立时间：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月</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日</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经营期限：</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姓名：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性别：</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年龄：</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职务：</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系</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（投标人名称）的法定代表人。</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特此证明。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投标人（公章）：           </w:t>
      </w: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6659" w:leftChars="31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年  月  日</w:t>
      </w: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jc w:val="cente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3、授权代表本单位证明</w:t>
      </w:r>
    </w:p>
    <w:p>
      <w:pPr>
        <w:spacing w:after="120"/>
        <w:rPr>
          <w:rFonts w:hint="eastAsia" w:ascii="仿宋" w:hAnsi="仿宋" w:eastAsia="仿宋" w:cs="仿宋"/>
          <w:i w:val="0"/>
          <w:iCs w:val="0"/>
          <w:color w:val="auto"/>
          <w:highlight w:val="none"/>
        </w:rPr>
      </w:pPr>
    </w:p>
    <w:p>
      <w:pPr>
        <w:numPr>
          <w:ilvl w:val="0"/>
          <w:numId w:val="0"/>
        </w:numPr>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w:t>
      </w:r>
      <w:r>
        <w:rPr>
          <w:rFonts w:hint="eastAsia" w:ascii="仿宋" w:hAnsi="仿宋" w:eastAsia="仿宋" w:cs="仿宋"/>
          <w:i w:val="0"/>
          <w:iCs w:val="0"/>
          <w:color w:val="auto"/>
          <w:sz w:val="28"/>
          <w:szCs w:val="28"/>
          <w:highlight w:val="none"/>
        </w:rPr>
        <w:t>养老保险缴纳证明</w:t>
      </w:r>
      <w:r>
        <w:rPr>
          <w:rFonts w:hint="eastAsia" w:ascii="仿宋" w:hAnsi="仿宋" w:eastAsia="仿宋" w:cs="仿宋"/>
          <w:i w:val="0"/>
          <w:iCs w:val="0"/>
          <w:color w:val="auto"/>
          <w:sz w:val="28"/>
          <w:szCs w:val="28"/>
          <w:highlight w:val="none"/>
          <w:lang w:val="zh-CN"/>
        </w:rPr>
        <w:t>）</w:t>
      </w: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br w:type="page"/>
      </w:r>
    </w:p>
    <w:p>
      <w:pPr>
        <w:numPr>
          <w:ilvl w:val="0"/>
          <w:numId w:val="11"/>
        </w:numPr>
        <w:ind w:left="0" w:leftChars="0" w:firstLine="0" w:firstLineChars="0"/>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资格证明文件</w:t>
      </w:r>
    </w:p>
    <w:p>
      <w:pPr>
        <w:pStyle w:val="23"/>
        <w:rPr>
          <w:rFonts w:hint="eastAsia"/>
          <w:lang w:val="zh-CN" w:eastAsia="zh-CN"/>
        </w:rPr>
      </w:pPr>
    </w:p>
    <w:p>
      <w:pPr>
        <w:numPr>
          <w:ilvl w:val="1"/>
          <w:numId w:val="12"/>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供应商的企业法人营业执照副本复印件（格式要求见附件6-1）；</w:t>
      </w:r>
    </w:p>
    <w:p>
      <w:pPr>
        <w:numPr>
          <w:ilvl w:val="1"/>
          <w:numId w:val="12"/>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eastAsia="zh-CN"/>
        </w:rPr>
        <w:t>近一年</w:t>
      </w:r>
      <w:r>
        <w:rPr>
          <w:rFonts w:hint="eastAsia" w:ascii="仿宋" w:hAnsi="仿宋" w:eastAsia="仿宋" w:cs="仿宋"/>
          <w:sz w:val="24"/>
        </w:rPr>
        <w:t>经审计的财务报表或本年度基本开户银行出具的资信证明（格式要求见附件6-2）；</w:t>
      </w:r>
    </w:p>
    <w:p>
      <w:pPr>
        <w:pStyle w:val="23"/>
        <w:rPr>
          <w:rFonts w:hint="eastAsia" w:ascii="仿宋" w:hAnsi="仿宋" w:eastAsia="仿宋" w:cs="仿宋"/>
          <w:sz w:val="24"/>
        </w:rPr>
      </w:pPr>
      <w:r>
        <w:rPr>
          <w:rFonts w:hint="eastAsia" w:ascii="仿宋" w:hAnsi="仿宋" w:eastAsia="仿宋" w:cs="仿宋"/>
        </w:rPr>
        <w:t xml:space="preserve">       </w:t>
      </w:r>
      <w:r>
        <w:rPr>
          <w:rFonts w:hint="eastAsia" w:ascii="仿宋" w:hAnsi="仿宋" w:eastAsia="仿宋" w:cs="仿宋"/>
          <w:sz w:val="24"/>
        </w:rPr>
        <w:t>依法缴纳税收和社会保障资金的证明材料复印件（格式见附件6-3、6-4）</w:t>
      </w:r>
    </w:p>
    <w:p>
      <w:pPr>
        <w:numPr>
          <w:ilvl w:val="1"/>
          <w:numId w:val="12"/>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具备履行合同所必需的设备和专业技术能力的承诺原件（格式见附件6-5）；</w:t>
      </w:r>
    </w:p>
    <w:p>
      <w:pPr>
        <w:numPr>
          <w:ilvl w:val="1"/>
          <w:numId w:val="12"/>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供应商参加政府采购活动前3年内在经营活动中没有重大违法记录的书面声明原件（格式见附件6-6）</w:t>
      </w:r>
    </w:p>
    <w:p>
      <w:pPr>
        <w:numPr>
          <w:ilvl w:val="1"/>
          <w:numId w:val="12"/>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供应商控股股东名称、控股公司的名称和存在管理、被管理关系的单位名称说明（格式见附件6-7)</w:t>
      </w:r>
    </w:p>
    <w:p>
      <w:pPr>
        <w:numPr>
          <w:ilvl w:val="1"/>
          <w:numId w:val="12"/>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供应商是否属于为本项目提供整体设计、规范编制或者项目管理、监理、检测等服务的供应商声明原件（格式见附件6-8)</w:t>
      </w:r>
    </w:p>
    <w:p>
      <w:pPr>
        <w:pStyle w:val="2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kern w:val="0"/>
          <w:sz w:val="24"/>
          <w:highlight w:val="none"/>
          <w:lang w:val="en-US" w:eastAsia="zh-CN"/>
        </w:rPr>
      </w:pPr>
      <w:r>
        <w:rPr>
          <w:rFonts w:hint="eastAsia" w:ascii="仿宋" w:hAnsi="仿宋" w:eastAsia="仿宋" w:cs="仿宋"/>
          <w:sz w:val="24"/>
          <w:lang w:val="en-US" w:eastAsia="zh-CN"/>
        </w:rPr>
        <w:t>7、</w:t>
      </w:r>
      <w:r>
        <w:rPr>
          <w:rFonts w:hint="eastAsia" w:ascii="仿宋" w:hAnsi="仿宋" w:eastAsia="仿宋" w:cs="仿宋"/>
          <w:sz w:val="24"/>
        </w:rPr>
        <w:t>证明供应商符合特定资格条件的证明材料；（格式见附件6-</w:t>
      </w:r>
      <w:r>
        <w:rPr>
          <w:rFonts w:hint="eastAsia" w:ascii="仿宋" w:hAnsi="仿宋" w:eastAsia="仿宋" w:cs="仿宋"/>
          <w:sz w:val="24"/>
          <w:lang w:val="en-US" w:eastAsia="zh-CN"/>
        </w:rPr>
        <w:t>9</w:t>
      </w:r>
      <w:r>
        <w:rPr>
          <w:rFonts w:hint="eastAsia" w:ascii="仿宋" w:hAnsi="仿宋" w:eastAsia="仿宋" w:cs="仿宋"/>
          <w:sz w:val="24"/>
        </w:rPr>
        <w:t>)</w:t>
      </w:r>
    </w:p>
    <w:p>
      <w:pPr>
        <w:pStyle w:val="23"/>
        <w:rPr>
          <w:rFonts w:hint="eastAsia" w:ascii="仿宋" w:hAnsi="仿宋" w:eastAsia="仿宋" w:cs="仿宋"/>
          <w:sz w:val="24"/>
        </w:rPr>
      </w:pPr>
      <w:r>
        <w:rPr>
          <w:rFonts w:hint="eastAsia" w:ascii="仿宋" w:hAnsi="仿宋" w:eastAsia="仿宋" w:cs="仿宋"/>
        </w:rPr>
        <w:br w:type="page"/>
      </w:r>
    </w:p>
    <w:p>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p>
    <w:p>
      <w:pPr>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hint="eastAsia" w:ascii="仿宋" w:hAnsi="仿宋" w:eastAsia="仿宋" w:cs="仿宋"/>
          <w:b/>
          <w:sz w:val="28"/>
        </w:rPr>
      </w:pPr>
    </w:p>
    <w:p>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pPr>
        <w:jc w:val="left"/>
        <w:outlineLvl w:val="2"/>
        <w:rPr>
          <w:rFonts w:hint="eastAsia" w:ascii="仿宋" w:hAnsi="仿宋" w:eastAsia="仿宋" w:cs="仿宋"/>
          <w:b/>
          <w:sz w:val="24"/>
        </w:rPr>
      </w:pPr>
      <w:r>
        <w:rPr>
          <w:rFonts w:hint="eastAsia" w:ascii="仿宋" w:hAnsi="仿宋" w:eastAsia="仿宋" w:cs="仿宋"/>
          <w:b/>
          <w:sz w:val="24"/>
        </w:rPr>
        <w:t xml:space="preserve">6-2  </w:t>
      </w:r>
      <w:r>
        <w:rPr>
          <w:rFonts w:hint="eastAsia" w:ascii="仿宋" w:hAnsi="仿宋" w:eastAsia="仿宋" w:cs="仿宋"/>
          <w:b/>
          <w:sz w:val="24"/>
          <w:lang w:val="en-US" w:eastAsia="zh-CN"/>
        </w:rPr>
        <w:t>近一年</w:t>
      </w:r>
      <w:r>
        <w:rPr>
          <w:rFonts w:hint="eastAsia" w:ascii="仿宋" w:hAnsi="仿宋" w:eastAsia="仿宋" w:cs="仿宋"/>
          <w:b/>
          <w:sz w:val="24"/>
        </w:rPr>
        <w:t>度经审计的财务报表</w:t>
      </w:r>
    </w:p>
    <w:p>
      <w:pPr>
        <w:spacing w:line="360" w:lineRule="auto"/>
        <w:rPr>
          <w:rFonts w:hint="eastAsia" w:ascii="仿宋" w:hAnsi="仿宋" w:eastAsia="仿宋" w:cs="仿宋"/>
          <w:szCs w:val="21"/>
        </w:rPr>
      </w:pPr>
    </w:p>
    <w:p>
      <w:pPr>
        <w:spacing w:line="360" w:lineRule="auto"/>
        <w:rPr>
          <w:rFonts w:hint="eastAsia" w:ascii="仿宋" w:hAnsi="仿宋" w:eastAsia="仿宋" w:cs="仿宋"/>
          <w:szCs w:val="21"/>
        </w:rPr>
      </w:pPr>
      <w:r>
        <w:rPr>
          <w:rFonts w:hint="eastAsia" w:ascii="仿宋" w:hAnsi="仿宋" w:eastAsia="仿宋" w:cs="仿宋"/>
          <w:color w:val="auto"/>
          <w:sz w:val="24"/>
          <w:szCs w:val="24"/>
        </w:rPr>
        <w:t>提供投标供应商</w:t>
      </w:r>
      <w:r>
        <w:rPr>
          <w:rFonts w:hint="eastAsia" w:ascii="仿宋" w:hAnsi="仿宋" w:eastAsia="仿宋" w:cs="仿宋"/>
          <w:color w:val="auto"/>
          <w:sz w:val="24"/>
          <w:szCs w:val="24"/>
          <w:lang w:val="en-US" w:eastAsia="zh-CN"/>
        </w:rPr>
        <w:t>近一年</w:t>
      </w:r>
      <w:r>
        <w:rPr>
          <w:rFonts w:hint="eastAsia" w:ascii="仿宋" w:hAnsi="仿宋" w:eastAsia="仿宋" w:cs="仿宋"/>
          <w:color w:val="auto"/>
          <w:sz w:val="24"/>
          <w:szCs w:val="24"/>
        </w:rPr>
        <w:t>经审计的财务报表</w:t>
      </w:r>
      <w:r>
        <w:rPr>
          <w:rFonts w:hint="eastAsia" w:ascii="仿宋" w:hAnsi="仿宋" w:eastAsia="仿宋" w:cs="仿宋"/>
          <w:color w:val="auto"/>
          <w:sz w:val="24"/>
          <w:szCs w:val="24"/>
          <w:lang w:eastAsia="zh-CN"/>
        </w:rPr>
        <w:t>或</w:t>
      </w:r>
      <w:r>
        <w:rPr>
          <w:rFonts w:hint="eastAsia" w:ascii="仿宋" w:hAnsi="仿宋" w:eastAsia="仿宋" w:cs="仿宋"/>
          <w:kern w:val="2"/>
          <w:sz w:val="24"/>
          <w:szCs w:val="24"/>
          <w:lang w:val="en-US" w:eastAsia="zh-CN" w:bidi="ar-SA"/>
        </w:rPr>
        <w:t>投标截止时间前六个月中任意三个月的公司财务报表</w:t>
      </w:r>
      <w:r>
        <w:rPr>
          <w:rFonts w:hint="eastAsia" w:ascii="仿宋" w:hAnsi="仿宋" w:eastAsia="仿宋" w:cs="仿宋"/>
          <w:color w:val="auto"/>
          <w:sz w:val="24"/>
          <w:szCs w:val="24"/>
        </w:rPr>
        <w:t>；</w:t>
      </w:r>
    </w:p>
    <w:p>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pPr>
        <w:jc w:val="left"/>
        <w:outlineLvl w:val="2"/>
        <w:rPr>
          <w:rFonts w:hint="eastAsia" w:ascii="仿宋" w:hAnsi="仿宋" w:eastAsia="仿宋" w:cs="仿宋"/>
          <w:b/>
          <w:sz w:val="24"/>
        </w:rPr>
      </w:pPr>
      <w:r>
        <w:rPr>
          <w:rFonts w:hint="eastAsia" w:ascii="仿宋" w:hAnsi="仿宋" w:eastAsia="仿宋" w:cs="仿宋"/>
          <w:b/>
          <w:sz w:val="24"/>
        </w:rPr>
        <w:t>或  6-2  本年度基本开户银行出具的资信证明</w:t>
      </w:r>
    </w:p>
    <w:p>
      <w:pPr>
        <w:spacing w:line="360" w:lineRule="auto"/>
        <w:rPr>
          <w:rFonts w:hint="eastAsia" w:ascii="仿宋" w:hAnsi="仿宋" w:eastAsia="仿宋" w:cs="仿宋"/>
          <w:szCs w:val="21"/>
        </w:rPr>
      </w:pPr>
    </w:p>
    <w:p>
      <w:pPr>
        <w:tabs>
          <w:tab w:val="left" w:pos="5580"/>
        </w:tabs>
        <w:spacing w:before="120" w:line="360" w:lineRule="auto"/>
        <w:ind w:firstLine="480" w:firstLineChars="200"/>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6-3 依法缴纳税收的证明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jc w:val="left"/>
        <w:rPr>
          <w:rFonts w:hint="eastAsia" w:ascii="仿宋" w:hAnsi="仿宋" w:eastAsia="仿宋" w:cs="仿宋"/>
          <w:sz w:val="24"/>
        </w:rPr>
      </w:pPr>
      <w:r>
        <w:rPr>
          <w:rFonts w:hint="eastAsia" w:ascii="仿宋" w:hAnsi="仿宋" w:eastAsia="仿宋" w:cs="仿宋"/>
          <w:sz w:val="24"/>
        </w:rPr>
        <w:t>说明：</w:t>
      </w:r>
    </w:p>
    <w:p>
      <w:pPr>
        <w:keepNext w:val="0"/>
        <w:keepLines w:val="0"/>
        <w:pageBreakBefore w:val="0"/>
        <w:widowControl w:val="0"/>
        <w:numPr>
          <w:ilvl w:val="0"/>
          <w:numId w:val="13"/>
        </w:numPr>
        <w:tabs>
          <w:tab w:val="left" w:pos="993"/>
          <w:tab w:val="left" w:pos="1030"/>
          <w:tab w:val="left" w:pos="8364"/>
        </w:tabs>
        <w:kinsoku/>
        <w:wordWrap/>
        <w:overflowPunct/>
        <w:topLinePunct w:val="0"/>
        <w:autoSpaceDE/>
        <w:autoSpaceDN/>
        <w:bidi w:val="0"/>
        <w:adjustRightInd/>
        <w:snapToGrid w:val="0"/>
        <w:spacing w:line="300" w:lineRule="auto"/>
        <w:ind w:right="-57" w:rightChars="-27" w:firstLine="480" w:firstLineChars="200"/>
        <w:textAlignment w:val="auto"/>
        <w:rPr>
          <w:rFonts w:hint="eastAsia" w:ascii="仿宋" w:hAnsi="仿宋" w:eastAsia="仿宋" w:cs="仿宋"/>
          <w:sz w:val="24"/>
          <w:highlight w:val="none"/>
        </w:rPr>
      </w:pPr>
      <w:r>
        <w:rPr>
          <w:rFonts w:hint="eastAsia" w:ascii="仿宋" w:hAnsi="仿宋" w:eastAsia="仿宋" w:cs="仿宋"/>
          <w:sz w:val="24"/>
        </w:rPr>
        <w:t>投标供应商应提供近六个月中任何一个月的依法缴纳税收凭证（银行出具的缴税凭证</w:t>
      </w:r>
      <w:r>
        <w:rPr>
          <w:rFonts w:hint="eastAsia" w:ascii="仿宋" w:hAnsi="仿宋" w:eastAsia="仿宋" w:cs="仿宋"/>
          <w:sz w:val="24"/>
          <w:highlight w:val="none"/>
        </w:rPr>
        <w:t>或税务机关出具的证明的复印件，并加盖本单位公章）。</w:t>
      </w:r>
    </w:p>
    <w:p>
      <w:pPr>
        <w:keepNext w:val="0"/>
        <w:keepLines w:val="0"/>
        <w:pageBreakBefore w:val="0"/>
        <w:widowControl w:val="0"/>
        <w:numPr>
          <w:ilvl w:val="0"/>
          <w:numId w:val="0"/>
        </w:numPr>
        <w:tabs>
          <w:tab w:val="left" w:pos="993"/>
          <w:tab w:val="left" w:pos="1030"/>
          <w:tab w:val="left" w:pos="8364"/>
        </w:tabs>
        <w:kinsoku/>
        <w:wordWrap/>
        <w:overflowPunct/>
        <w:topLinePunct w:val="0"/>
        <w:autoSpaceDE/>
        <w:autoSpaceDN/>
        <w:bidi w:val="0"/>
        <w:adjustRightInd/>
        <w:snapToGrid w:val="0"/>
        <w:spacing w:line="300" w:lineRule="auto"/>
        <w:ind w:right="-57" w:rightChars="-27" w:firstLine="720" w:firstLineChars="300"/>
        <w:textAlignment w:val="auto"/>
        <w:rPr>
          <w:rFonts w:hint="eastAsia" w:ascii="仿宋" w:hAnsi="仿宋" w:eastAsia="仿宋" w:cs="仿宋"/>
          <w:sz w:val="24"/>
          <w:highlight w:val="none"/>
        </w:rPr>
      </w:pP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00" w:lineRule="auto"/>
        <w:ind w:right="-57" w:rightChars="-27" w:firstLine="480" w:firstLineChars="200"/>
        <w:textAlignment w:val="auto"/>
        <w:rPr>
          <w:rFonts w:hint="eastAsia" w:ascii="仿宋" w:hAnsi="仿宋" w:eastAsia="仿宋" w:cs="仿宋"/>
          <w:sz w:val="24"/>
        </w:rPr>
      </w:pPr>
      <w:r>
        <w:rPr>
          <w:rFonts w:hint="eastAsia" w:ascii="仿宋" w:hAnsi="仿宋" w:eastAsia="仿宋" w:cs="仿宋"/>
          <w:sz w:val="24"/>
        </w:rPr>
        <w:t>2、依法免税的</w:t>
      </w:r>
      <w:r>
        <w:rPr>
          <w:rFonts w:hint="eastAsia" w:ascii="仿宋" w:hAnsi="仿宋" w:eastAsia="仿宋" w:cs="仿宋"/>
          <w:sz w:val="24"/>
          <w:lang w:eastAsia="zh-CN"/>
        </w:rPr>
        <w:t>供应商</w:t>
      </w:r>
      <w:r>
        <w:rPr>
          <w:rFonts w:hint="eastAsia" w:ascii="仿宋" w:hAnsi="仿宋" w:eastAsia="仿宋" w:cs="仿宋"/>
          <w:sz w:val="24"/>
        </w:rPr>
        <w:t>，应提供相应文件证明其依法免税。</w:t>
      </w:r>
    </w:p>
    <w:p>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6-4社会保障资金缴纳记录</w:t>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highlight w:val="yellow"/>
        </w:rPr>
      </w:pP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00" w:lineRule="auto"/>
        <w:ind w:left="420" w:leftChars="200" w:right="-57" w:rightChars="-27"/>
        <w:jc w:val="left"/>
        <w:textAlignment w:val="auto"/>
        <w:rPr>
          <w:rFonts w:hint="eastAsia" w:ascii="仿宋" w:hAnsi="仿宋" w:eastAsia="仿宋" w:cs="仿宋"/>
          <w:sz w:val="24"/>
        </w:rPr>
      </w:pPr>
      <w:r>
        <w:rPr>
          <w:rFonts w:hint="eastAsia" w:ascii="仿宋" w:hAnsi="仿宋" w:eastAsia="仿宋" w:cs="仿宋"/>
          <w:sz w:val="24"/>
        </w:rPr>
        <w:t>说明：</w:t>
      </w: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00" w:lineRule="auto"/>
        <w:ind w:right="-57" w:rightChars="-27"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供应商应提供近六个月中至少一个月的社会缴纳社会保险的凭据（专用收据或社会保险缴纳清单），并加盖本单位公章。</w:t>
      </w:r>
    </w:p>
    <w:p>
      <w:pPr>
        <w:tabs>
          <w:tab w:val="left" w:pos="993"/>
          <w:tab w:val="left" w:pos="1030"/>
          <w:tab w:val="left" w:pos="8364"/>
        </w:tabs>
        <w:snapToGrid w:val="0"/>
        <w:spacing w:after="120" w:afterLines="50"/>
        <w:ind w:right="-57" w:rightChars="-27"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不需要缴纳社会保障资金的供应商，应提供相应文件证明其不需要缴纳社会保障资金。</w:t>
      </w:r>
    </w:p>
    <w:p>
      <w:pPr>
        <w:rPr>
          <w:rFonts w:hint="eastAsia" w:ascii="仿宋" w:hAnsi="仿宋" w:eastAsia="仿宋" w:cs="仿宋"/>
          <w:sz w:val="24"/>
        </w:rPr>
      </w:pPr>
      <w:r>
        <w:rPr>
          <w:rFonts w:hint="eastAsia" w:ascii="仿宋" w:hAnsi="仿宋" w:eastAsia="仿宋" w:cs="仿宋"/>
          <w:sz w:val="24"/>
        </w:rPr>
        <w:br w:type="page"/>
      </w:r>
    </w:p>
    <w:p>
      <w:pPr>
        <w:jc w:val="left"/>
        <w:outlineLvl w:val="2"/>
        <w:rPr>
          <w:rFonts w:hint="eastAsia" w:ascii="仿宋" w:hAnsi="仿宋" w:eastAsia="仿宋" w:cs="仿宋"/>
          <w:b/>
          <w:sz w:val="24"/>
        </w:rPr>
      </w:pPr>
      <w:r>
        <w:rPr>
          <w:rFonts w:hint="eastAsia" w:ascii="仿宋" w:hAnsi="仿宋" w:eastAsia="仿宋" w:cs="仿宋"/>
          <w:sz w:val="24"/>
        </w:rPr>
        <w:t xml:space="preserve">6-5 </w:t>
      </w:r>
      <w:r>
        <w:rPr>
          <w:rFonts w:hint="eastAsia" w:ascii="仿宋" w:hAnsi="仿宋" w:eastAsia="仿宋" w:cs="仿宋"/>
          <w:b/>
          <w:sz w:val="24"/>
        </w:rPr>
        <w:t xml:space="preserve">具备履行合同所必需的设备和专业技术能力承诺书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p>
    <w:p>
      <w:pPr>
        <w:rPr>
          <w:rFonts w:hint="eastAsia" w:ascii="仿宋" w:hAnsi="仿宋" w:eastAsia="仿宋" w:cs="仿宋"/>
          <w:kern w:val="0"/>
          <w:sz w:val="24"/>
          <w:u w:val="single"/>
        </w:rPr>
      </w:pPr>
      <w:r>
        <w:rPr>
          <w:rFonts w:hint="eastAsia" w:ascii="仿宋" w:hAnsi="仿宋" w:eastAsia="仿宋" w:cs="仿宋"/>
          <w:kern w:val="0"/>
          <w:sz w:val="24"/>
          <w:u w:val="single"/>
        </w:rPr>
        <w:t xml:space="preserve">陕西省采购招标有限责任公司：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tabs>
          <w:tab w:val="left" w:pos="5580"/>
        </w:tabs>
        <w:spacing w:before="120" w:line="360" w:lineRule="auto"/>
        <w:rPr>
          <w:rFonts w:hint="eastAsia" w:ascii="仿宋" w:hAnsi="仿宋" w:eastAsia="仿宋" w:cs="仿宋"/>
          <w:sz w:val="24"/>
        </w:rPr>
      </w:pPr>
    </w:p>
    <w:p>
      <w:pPr>
        <w:widowControl/>
        <w:jc w:val="left"/>
        <w:rPr>
          <w:rFonts w:hint="eastAsia" w:ascii="仿宋" w:hAnsi="仿宋" w:eastAsia="仿宋" w:cs="仿宋"/>
          <w:b/>
          <w:sz w:val="24"/>
        </w:rPr>
      </w:pPr>
    </w:p>
    <w:p>
      <w:pPr>
        <w:jc w:val="center"/>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sz w:val="24"/>
          <w:lang w:val="en-US" w:eastAsia="zh-CN"/>
        </w:rPr>
        <w:t xml:space="preserve">6-6 </w:t>
      </w:r>
      <w:r>
        <w:rPr>
          <w:rFonts w:hint="eastAsia" w:eastAsia="仿宋_GB2312"/>
          <w:b/>
          <w:sz w:val="24"/>
          <w:szCs w:val="32"/>
          <w:lang w:eastAsia="zh-CN"/>
        </w:rPr>
        <w:t>供应商</w:t>
      </w:r>
      <w:r>
        <w:rPr>
          <w:rFonts w:eastAsia="仿宋_GB2312"/>
          <w:b/>
          <w:sz w:val="24"/>
          <w:szCs w:val="32"/>
        </w:rPr>
        <w:t>参加政府采购活动前3年内在经营活动中没有重大违法记录的书面声明</w:t>
      </w:r>
    </w:p>
    <w:p>
      <w:pPr>
        <w:jc w:val="center"/>
        <w:rPr>
          <w:rFonts w:hint="eastAsia" w:ascii="仿宋" w:hAnsi="仿宋" w:eastAsia="仿宋" w:cs="仿宋"/>
          <w:sz w:val="24"/>
        </w:rPr>
      </w:pPr>
    </w:p>
    <w:p>
      <w:pPr>
        <w:spacing w:before="120" w:after="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eastAsia="仿宋_GB2312"/>
          <w:sz w:val="24"/>
        </w:rPr>
      </w:pP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w:t>
      </w:r>
      <w:r>
        <w:rPr>
          <w:rFonts w:hint="eastAsia" w:ascii="仿宋" w:hAnsi="仿宋" w:eastAsia="仿宋" w:cs="仿宋"/>
          <w:sz w:val="24"/>
          <w:lang w:val="en-US" w:eastAsia="zh-CN"/>
        </w:rPr>
        <w:t>盖</w:t>
      </w:r>
      <w:r>
        <w:rPr>
          <w:rFonts w:hint="eastAsia" w:ascii="仿宋" w:hAnsi="仿宋" w:eastAsia="仿宋" w:cs="仿宋"/>
          <w:sz w:val="24"/>
        </w:rPr>
        <w:t xml:space="preserve">公章）：          </w:t>
      </w:r>
      <w:r>
        <w:rPr>
          <w:rFonts w:hint="eastAsia" w:ascii="仿宋" w:hAnsi="仿宋" w:eastAsia="仿宋" w:cs="仿宋"/>
          <w:sz w:val="24"/>
          <w:lang w:val="en-US" w:eastAsia="zh-CN"/>
        </w:rPr>
        <w:t xml:space="preserve">                         </w:t>
      </w:r>
      <w:r>
        <w:rPr>
          <w:rFonts w:hint="eastAsia" w:ascii="仿宋" w:hAnsi="仿宋" w:eastAsia="仿宋" w:cs="仿宋"/>
          <w:sz w:val="24"/>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法定代表人或其授权代表（签字</w:t>
      </w:r>
      <w:r>
        <w:rPr>
          <w:rFonts w:hint="eastAsia" w:ascii="仿宋" w:hAnsi="仿宋" w:eastAsia="仿宋" w:cs="仿宋"/>
          <w:sz w:val="24"/>
          <w:lang w:val="en-US" w:eastAsia="zh-CN"/>
        </w:rPr>
        <w:t>或盖章</w:t>
      </w:r>
      <w:r>
        <w:rPr>
          <w:rFonts w:hint="eastAsia" w:ascii="仿宋" w:hAnsi="仿宋" w:eastAsia="仿宋" w:cs="仿宋"/>
          <w:sz w:val="24"/>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     年      月     日</w:t>
      </w:r>
    </w:p>
    <w:p>
      <w:pPr>
        <w:pStyle w:val="23"/>
        <w:rPr>
          <w:rFonts w:hint="eastAsia" w:ascii="仿宋" w:hAnsi="仿宋" w:eastAsia="仿宋" w:cs="仿宋"/>
        </w:rPr>
      </w:pPr>
    </w:p>
    <w:p>
      <w:pPr>
        <w:pStyle w:val="23"/>
        <w:rPr>
          <w:rFonts w:hint="eastAsia" w:ascii="仿宋" w:hAnsi="仿宋" w:eastAsia="仿宋" w:cs="仿宋"/>
        </w:rPr>
      </w:pPr>
    </w:p>
    <w:p>
      <w:pPr>
        <w:spacing w:line="360" w:lineRule="auto"/>
        <w:rPr>
          <w:rFonts w:hint="eastAsia" w:ascii="仿宋" w:hAnsi="仿宋" w:eastAsia="仿宋" w:cs="仿宋"/>
          <w:sz w:val="24"/>
          <w:szCs w:val="21"/>
          <w:u w:val="single"/>
        </w:rPr>
      </w:pPr>
    </w:p>
    <w:p>
      <w:pPr>
        <w:pStyle w:val="70"/>
        <w:numPr>
          <w:ilvl w:val="1"/>
          <w:numId w:val="14"/>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供应商控股股东名称、控股公司的名称和存在管理、被管理关系的单位名称说明</w:t>
      </w:r>
    </w:p>
    <w:p>
      <w:pPr>
        <w:ind w:firstLine="420"/>
        <w:rPr>
          <w:rFonts w:hint="eastAsia" w:ascii="仿宋" w:hAnsi="仿宋" w:eastAsia="仿宋" w:cs="仿宋"/>
          <w:szCs w:val="21"/>
        </w:rPr>
      </w:pPr>
    </w:p>
    <w:p>
      <w:pPr>
        <w:rPr>
          <w:rFonts w:hint="eastAsia" w:ascii="仿宋" w:hAnsi="仿宋" w:eastAsia="仿宋" w:cs="仿宋"/>
          <w:sz w:val="24"/>
        </w:rPr>
      </w:pPr>
      <w:r>
        <w:rPr>
          <w:rFonts w:hint="eastAsia" w:ascii="仿宋" w:hAnsi="仿宋" w:eastAsia="仿宋" w:cs="仿宋"/>
          <w:sz w:val="24"/>
        </w:rPr>
        <w:t>致：陕西省采购招标有限责任公司</w:t>
      </w:r>
    </w:p>
    <w:p>
      <w:pPr>
        <w:pStyle w:val="23"/>
        <w:rPr>
          <w:rFonts w:hint="eastAsia" w:ascii="仿宋" w:hAnsi="仿宋" w:eastAsia="仿宋" w:cs="仿宋"/>
        </w:rPr>
      </w:pPr>
    </w:p>
    <w:p>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我方的控股股东如下：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我方直接控股的企业如下：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Cs w:val="21"/>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pStyle w:val="70"/>
        <w:numPr>
          <w:ilvl w:val="1"/>
          <w:numId w:val="14"/>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供应商是否属于为本项目提供整体设计、规范编制或者项目管理、监理、检测等服务的供应商声明</w:t>
      </w:r>
    </w:p>
    <w:p>
      <w:pPr>
        <w:ind w:firstLine="420"/>
        <w:rPr>
          <w:rFonts w:hint="eastAsia" w:ascii="仿宋" w:hAnsi="仿宋" w:eastAsia="仿宋" w:cs="仿宋"/>
          <w:szCs w:val="21"/>
        </w:rPr>
      </w:pPr>
    </w:p>
    <w:p>
      <w:pPr>
        <w:spacing w:line="360" w:lineRule="auto"/>
        <w:rPr>
          <w:rFonts w:hint="eastAsia" w:ascii="仿宋" w:hAnsi="仿宋" w:eastAsia="仿宋" w:cs="仿宋"/>
          <w:szCs w:val="21"/>
        </w:rPr>
      </w:pPr>
    </w:p>
    <w:p>
      <w:pPr>
        <w:spacing w:line="360" w:lineRule="auto"/>
        <w:rPr>
          <w:rFonts w:hint="eastAsia" w:ascii="仿宋" w:hAnsi="仿宋" w:eastAsia="仿宋" w:cs="仿宋"/>
          <w:szCs w:val="21"/>
        </w:rPr>
      </w:pPr>
      <w:r>
        <w:rPr>
          <w:rFonts w:hint="eastAsia" w:ascii="仿宋" w:hAnsi="仿宋" w:eastAsia="仿宋" w:cs="仿宋"/>
          <w:szCs w:val="21"/>
        </w:rPr>
        <w:t>致：陕西省采购招标有限责任公司</w:t>
      </w:r>
    </w:p>
    <w:p>
      <w:pPr>
        <w:ind w:firstLine="426"/>
        <w:rPr>
          <w:rFonts w:hint="eastAsia" w:ascii="仿宋" w:hAnsi="仿宋" w:eastAsia="仿宋" w:cs="仿宋"/>
          <w:sz w:val="24"/>
        </w:rPr>
      </w:pPr>
      <w:r>
        <w:rPr>
          <w:rFonts w:hint="eastAsia" w:ascii="仿宋" w:hAnsi="仿宋" w:eastAsia="仿宋" w:cs="仿宋"/>
          <w:sz w:val="24"/>
          <w:highlight w:val="none"/>
        </w:rPr>
        <w:t xml:space="preserve">我方 </w:t>
      </w:r>
      <w:r>
        <w:rPr>
          <w:rFonts w:hint="eastAsia" w:ascii="仿宋" w:hAnsi="仿宋" w:eastAsia="仿宋" w:cs="仿宋"/>
          <w:i/>
          <w:iCs/>
          <w:sz w:val="24"/>
          <w:highlight w:val="none"/>
          <w:u w:val="single"/>
        </w:rPr>
        <w:t>不属于</w:t>
      </w:r>
      <w:r>
        <w:rPr>
          <w:rFonts w:hint="eastAsia" w:ascii="仿宋" w:hAnsi="仿宋" w:eastAsia="仿宋" w:cs="仿宋"/>
          <w:sz w:val="24"/>
          <w:highlight w:val="none"/>
        </w:rPr>
        <w:t xml:space="preserve"> 为</w:t>
      </w:r>
      <w:r>
        <w:rPr>
          <w:rFonts w:hint="eastAsia" w:ascii="仿宋" w:hAnsi="仿宋" w:eastAsia="仿宋" w:cs="仿宋"/>
          <w:sz w:val="24"/>
        </w:rPr>
        <w:t>本项目提供整体设计、规范编制或者项目管理、监理、检测等服务的供应商。</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3"/>
        <w:rPr>
          <w:rFonts w:hint="eastAsia" w:ascii="仿宋" w:hAnsi="仿宋" w:eastAsia="仿宋" w:cs="仿宋"/>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leftChars="0"/>
        <w:jc w:val="both"/>
        <w:textAlignment w:val="auto"/>
        <w:rPr>
          <w:rFonts w:hint="eastAsia" w:ascii="仿宋" w:hAnsi="仿宋" w:eastAsia="仿宋" w:cs="仿宋"/>
          <w:b/>
          <w:sz w:val="24"/>
        </w:rPr>
      </w:pPr>
      <w:r>
        <w:rPr>
          <w:rFonts w:hint="eastAsia" w:ascii="仿宋" w:hAnsi="仿宋" w:eastAsia="仿宋" w:cs="仿宋"/>
          <w:b/>
          <w:sz w:val="24"/>
        </w:rPr>
        <w:t>6-9证明供应商符合特定资格条件的证明材料：</w:t>
      </w:r>
    </w:p>
    <w:p>
      <w:pPr>
        <w:keepNext w:val="0"/>
        <w:keepLines w:val="0"/>
        <w:pageBreakBefore w:val="0"/>
        <w:widowControl w:val="0"/>
        <w:numPr>
          <w:ilvl w:val="0"/>
          <w:numId w:val="15"/>
        </w:numPr>
        <w:kinsoku/>
        <w:wordWrap/>
        <w:overflowPunct/>
        <w:topLinePunct w:val="0"/>
        <w:autoSpaceDE/>
        <w:autoSpaceDN/>
        <w:bidi w:val="0"/>
        <w:adjustRightInd/>
        <w:snapToGrid/>
        <w:spacing w:after="157" w:afterLines="50" w:line="360" w:lineRule="auto"/>
        <w:ind w:firstLine="480" w:firstLineChars="200"/>
        <w:jc w:val="both"/>
        <w:textAlignment w:val="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“信用中国”网站（www.creditchina.gov.cn）和中国政府采购网（www.ccgp.gov.cn）上未被列入失信被执行人、重大税收违法失信主体、政府采购严重违法失信行为记录名单。</w:t>
      </w:r>
    </w:p>
    <w:p>
      <w:pPr>
        <w:pStyle w:val="4"/>
        <w:jc w:val="both"/>
        <w:rPr>
          <w:rFonts w:hint="eastAsia" w:ascii="仿宋" w:hAnsi="仿宋" w:eastAsia="仿宋" w:cs="仿宋"/>
          <w:b/>
          <w:i w:val="0"/>
          <w:iCs w:val="0"/>
          <w:color w:val="auto"/>
          <w:kern w:val="2"/>
          <w:sz w:val="28"/>
          <w:szCs w:val="28"/>
          <w:highlight w:val="none"/>
          <w:lang w:val="en-US" w:eastAsia="zh-CN" w:bidi="ar-SA"/>
        </w:rPr>
      </w:pPr>
      <w:r>
        <w:rPr>
          <w:rFonts w:hint="eastAsia" w:ascii="仿宋" w:hAnsi="仿宋" w:eastAsia="仿宋" w:cs="仿宋"/>
          <w:b/>
          <w:bCs/>
          <w:i w:val="0"/>
          <w:iCs w:val="0"/>
          <w:color w:val="auto"/>
          <w:highlight w:val="none"/>
          <w:lang w:val="zh-CN"/>
        </w:rPr>
        <w:t>第七部分</w:t>
      </w:r>
      <w:r>
        <w:rPr>
          <w:rFonts w:hint="eastAsia" w:ascii="仿宋" w:hAnsi="仿宋" w:eastAsia="仿宋" w:cs="仿宋"/>
          <w:b/>
          <w:bCs/>
          <w:i w:val="0"/>
          <w:iCs w:val="0"/>
          <w:color w:val="auto"/>
          <w:highlight w:val="none"/>
        </w:rPr>
        <w:t xml:space="preserve">  小微企业、监狱企业、残疾人福利单位声明函或证明</w:t>
      </w:r>
      <w:bookmarkStart w:id="504" w:name="_Toc62194354"/>
      <w:bookmarkStart w:id="505" w:name="_Toc7005133"/>
    </w:p>
    <w:p>
      <w:pPr>
        <w:pStyle w:val="5"/>
        <w:ind w:firstLine="0" w:firstLineChars="0"/>
        <w:jc w:val="center"/>
        <w:rPr>
          <w:rFonts w:hint="eastAsia" w:ascii="仿宋" w:hAnsi="仿宋" w:eastAsia="仿宋" w:cs="仿宋"/>
          <w:b/>
          <w:i w:val="0"/>
          <w:iCs w:val="0"/>
          <w:color w:val="auto"/>
          <w:kern w:val="2"/>
          <w:sz w:val="28"/>
          <w:szCs w:val="28"/>
          <w:highlight w:val="none"/>
          <w:lang w:val="en-US" w:eastAsia="zh-CN" w:bidi="ar-SA"/>
        </w:rPr>
      </w:pPr>
      <w:r>
        <w:rPr>
          <w:rFonts w:hint="eastAsia" w:ascii="仿宋" w:hAnsi="仿宋" w:eastAsia="仿宋" w:cs="仿宋"/>
          <w:b/>
          <w:i w:val="0"/>
          <w:iCs w:val="0"/>
          <w:color w:val="auto"/>
          <w:kern w:val="2"/>
          <w:sz w:val="28"/>
          <w:szCs w:val="28"/>
          <w:highlight w:val="none"/>
          <w:lang w:val="en-US" w:eastAsia="zh-CN" w:bidi="ar-SA"/>
        </w:rPr>
        <w:t>一、中小企业声明函（货物</w:t>
      </w:r>
      <w:bookmarkEnd w:id="504"/>
      <w:r>
        <w:rPr>
          <w:rFonts w:hint="eastAsia" w:ascii="仿宋" w:hAnsi="仿宋" w:eastAsia="仿宋" w:cs="仿宋"/>
          <w:b/>
          <w:i w:val="0"/>
          <w:iCs w:val="0"/>
          <w:color w:val="auto"/>
          <w:kern w:val="2"/>
          <w:sz w:val="28"/>
          <w:szCs w:val="28"/>
          <w:highlight w:val="none"/>
          <w:lang w:val="en-US" w:eastAsia="zh-CN" w:bidi="ar-SA"/>
        </w:rPr>
        <w:t>）</w:t>
      </w:r>
    </w:p>
    <w:p>
      <w:pPr>
        <w:pStyle w:val="6"/>
        <w:rPr>
          <w:rFonts w:hint="eastAsia" w:ascii="仿宋" w:hAnsi="仿宋" w:eastAsia="仿宋" w:cs="仿宋"/>
          <w:lang w:val="en-US" w:eastAsia="zh-CN"/>
        </w:rPr>
      </w:pPr>
    </w:p>
    <w:p>
      <w:pPr>
        <w:jc w:val="center"/>
        <w:rPr>
          <w:rFonts w:hint="eastAsia" w:ascii="仿宋" w:hAnsi="仿宋" w:eastAsia="仿宋" w:cs="仿宋"/>
          <w:sz w:val="24"/>
          <w:szCs w:val="22"/>
        </w:rPr>
      </w:pPr>
      <w:r>
        <w:rPr>
          <w:rFonts w:hint="eastAsia" w:ascii="仿宋" w:hAnsi="仿宋" w:eastAsia="仿宋" w:cs="仿宋"/>
          <w:sz w:val="24"/>
          <w:szCs w:val="22"/>
        </w:rPr>
        <w:t>（注</w:t>
      </w:r>
      <w:r>
        <w:rPr>
          <w:rFonts w:hint="eastAsia" w:ascii="仿宋" w:hAnsi="仿宋" w:eastAsia="仿宋" w:cs="仿宋"/>
          <w:kern w:val="0"/>
          <w:sz w:val="24"/>
          <w:lang w:eastAsia="zh-CN"/>
        </w:rPr>
        <w:t>（</w:t>
      </w:r>
      <w:r>
        <w:rPr>
          <w:rFonts w:hint="eastAsia" w:ascii="仿宋" w:hAnsi="仿宋" w:eastAsia="仿宋" w:cs="仿宋"/>
          <w:kern w:val="0"/>
          <w:sz w:val="24"/>
        </w:rPr>
        <w:t>联合体</w:t>
      </w:r>
      <w:r>
        <w:rPr>
          <w:rFonts w:hint="eastAsia" w:ascii="仿宋" w:hAnsi="仿宋" w:eastAsia="仿宋" w:cs="仿宋"/>
          <w:kern w:val="0"/>
          <w:sz w:val="24"/>
          <w:lang w:eastAsia="zh-CN"/>
        </w:rPr>
        <w:t>）</w:t>
      </w:r>
      <w:r>
        <w:rPr>
          <w:rFonts w:hint="eastAsia" w:ascii="仿宋" w:hAnsi="仿宋" w:eastAsia="仿宋" w:cs="仿宋"/>
          <w:sz w:val="24"/>
          <w:szCs w:val="22"/>
        </w:rPr>
        <w:t>：符合中小企业划型标准的企业请提供本函，不符合的不提供本函）</w:t>
      </w:r>
    </w:p>
    <w:p>
      <w:pPr>
        <w:snapToGrid w:val="0"/>
        <w:spacing w:before="120" w:beforeLines="50"/>
        <w:ind w:firstLine="480" w:firstLineChars="200"/>
        <w:rPr>
          <w:rFonts w:hint="eastAsia" w:ascii="仿宋" w:hAnsi="仿宋" w:eastAsia="仿宋" w:cs="仿宋"/>
          <w:sz w:val="24"/>
          <w:szCs w:val="22"/>
        </w:rPr>
      </w:pP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本公司郑重声明，根据《政府采购促进中小企业发展管理办法》</w:t>
      </w:r>
      <w:r>
        <w:rPr>
          <w:rFonts w:hint="eastAsia" w:ascii="仿宋" w:hAnsi="仿宋" w:eastAsia="仿宋" w:cs="仿宋"/>
          <w:kern w:val="0"/>
          <w:sz w:val="24"/>
          <w:lang w:eastAsia="zh-CN"/>
        </w:rPr>
        <w:t>（</w:t>
      </w:r>
      <w:r>
        <w:rPr>
          <w:rFonts w:hint="eastAsia" w:ascii="仿宋" w:hAnsi="仿宋" w:eastAsia="仿宋" w:cs="仿宋"/>
          <w:kern w:val="0"/>
          <w:sz w:val="24"/>
        </w:rPr>
        <w:t>财库﹝2020﹞46号</w:t>
      </w:r>
      <w:r>
        <w:rPr>
          <w:rFonts w:hint="eastAsia" w:ascii="仿宋" w:hAnsi="仿宋" w:eastAsia="仿宋" w:cs="仿宋"/>
          <w:kern w:val="0"/>
          <w:sz w:val="24"/>
          <w:lang w:eastAsia="zh-CN"/>
        </w:rPr>
        <w:t>）</w:t>
      </w:r>
      <w:r>
        <w:rPr>
          <w:rFonts w:hint="eastAsia" w:ascii="仿宋" w:hAnsi="仿宋" w:eastAsia="仿宋" w:cs="仿宋"/>
          <w:kern w:val="0"/>
          <w:sz w:val="24"/>
        </w:rPr>
        <w:t>的规定，本公司</w:t>
      </w:r>
      <w:r>
        <w:rPr>
          <w:rFonts w:hint="eastAsia" w:ascii="仿宋" w:hAnsi="仿宋" w:eastAsia="仿宋" w:cs="仿宋"/>
          <w:kern w:val="0"/>
          <w:sz w:val="24"/>
          <w:lang w:eastAsia="zh-CN"/>
        </w:rPr>
        <w:t>（</w:t>
      </w:r>
      <w:r>
        <w:rPr>
          <w:rFonts w:hint="eastAsia" w:ascii="仿宋" w:hAnsi="仿宋" w:eastAsia="仿宋" w:cs="仿宋"/>
          <w:kern w:val="0"/>
          <w:sz w:val="24"/>
        </w:rPr>
        <w:t>联合体</w:t>
      </w:r>
      <w:r>
        <w:rPr>
          <w:rFonts w:hint="eastAsia" w:ascii="仿宋" w:hAnsi="仿宋" w:eastAsia="仿宋" w:cs="仿宋"/>
          <w:kern w:val="0"/>
          <w:sz w:val="24"/>
          <w:lang w:eastAsia="zh-CN"/>
        </w:rPr>
        <w:t>）</w:t>
      </w:r>
      <w:r>
        <w:rPr>
          <w:rFonts w:hint="eastAsia" w:ascii="仿宋" w:hAnsi="仿宋" w:eastAsia="仿宋" w:cs="仿宋"/>
          <w:kern w:val="0"/>
          <w:sz w:val="24"/>
        </w:rPr>
        <w:t>参加</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单位名称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项目名称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采购</w:t>
      </w:r>
      <w:r>
        <w:rPr>
          <w:rFonts w:hint="eastAsia" w:ascii="仿宋" w:hAnsi="仿宋" w:eastAsia="仿宋" w:cs="仿宋"/>
          <w:kern w:val="0"/>
          <w:sz w:val="24"/>
        </w:rPr>
        <w:t>活动，提供的货物全部由符合政策要求的中小企业制造。相关企业</w:t>
      </w:r>
      <w:r>
        <w:rPr>
          <w:rFonts w:hint="eastAsia" w:ascii="仿宋" w:hAnsi="仿宋" w:eastAsia="仿宋" w:cs="仿宋"/>
          <w:kern w:val="0"/>
          <w:sz w:val="24"/>
          <w:lang w:eastAsia="zh-CN"/>
        </w:rPr>
        <w:t>（</w:t>
      </w:r>
      <w:r>
        <w:rPr>
          <w:rFonts w:hint="eastAsia" w:ascii="仿宋" w:hAnsi="仿宋" w:eastAsia="仿宋" w:cs="仿宋"/>
          <w:kern w:val="0"/>
          <w:sz w:val="24"/>
        </w:rPr>
        <w:t>含联合体中的中小企业、签订分包意向协议的中小企业</w:t>
      </w:r>
      <w:r>
        <w:rPr>
          <w:rFonts w:hint="eastAsia" w:ascii="仿宋" w:hAnsi="仿宋" w:eastAsia="仿宋" w:cs="仿宋"/>
          <w:kern w:val="0"/>
          <w:sz w:val="24"/>
          <w:lang w:eastAsia="zh-CN"/>
        </w:rPr>
        <w:t>）</w:t>
      </w:r>
      <w:r>
        <w:rPr>
          <w:rFonts w:hint="eastAsia" w:ascii="仿宋" w:hAnsi="仿宋" w:eastAsia="仿宋" w:cs="仿宋"/>
          <w:kern w:val="0"/>
          <w:sz w:val="24"/>
        </w:rPr>
        <w:t>的具体情况如下：</w:t>
      </w:r>
    </w:p>
    <w:p>
      <w:pPr>
        <w:numPr>
          <w:ilvl w:val="0"/>
          <w:numId w:val="0"/>
        </w:numPr>
        <w:spacing w:line="560" w:lineRule="exact"/>
        <w:ind w:left="-10" w:leftChars="-5" w:firstLine="489" w:firstLineChars="204"/>
        <w:rPr>
          <w:rFonts w:hint="eastAsia" w:ascii="仿宋" w:hAnsi="仿宋" w:eastAsia="仿宋" w:cs="仿宋"/>
          <w:kern w:val="0"/>
          <w:sz w:val="24"/>
        </w:rPr>
      </w:pPr>
      <w:r>
        <w:rPr>
          <w:rFonts w:hint="eastAsia" w:ascii="仿宋" w:hAnsi="仿宋" w:eastAsia="仿宋" w:cs="仿宋"/>
          <w:kern w:val="0"/>
          <w:sz w:val="24"/>
          <w:u w:val="none"/>
          <w:lang w:val="en-US" w:eastAsia="zh-CN"/>
        </w:rPr>
        <w:t>1.</w:t>
      </w:r>
      <w:r>
        <w:rPr>
          <w:rFonts w:hint="eastAsia" w:ascii="仿宋" w:hAnsi="仿宋" w:eastAsia="仿宋" w:cs="仿宋"/>
          <w:kern w:val="0"/>
          <w:sz w:val="24"/>
          <w:u w:val="non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标的名称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采购文件中明确的所属行业</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行业</w:t>
      </w:r>
      <w:r>
        <w:rPr>
          <w:rFonts w:hint="eastAsia" w:ascii="仿宋" w:hAnsi="仿宋" w:eastAsia="仿宋" w:cs="仿宋"/>
          <w:kern w:val="0"/>
          <w:sz w:val="24"/>
        </w:rPr>
        <w:t xml:space="preserve"> ；制造商为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企业名称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万元，属于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中型企业、小型企业、微型企业）</w:t>
      </w:r>
      <w:r>
        <w:rPr>
          <w:rFonts w:hint="eastAsia" w:ascii="仿宋" w:hAnsi="仿宋" w:eastAsia="仿宋" w:cs="仿宋"/>
          <w:kern w:val="0"/>
          <w:sz w:val="24"/>
        </w:rPr>
        <w:t>；</w:t>
      </w:r>
    </w:p>
    <w:p>
      <w:pPr>
        <w:numPr>
          <w:ilvl w:val="0"/>
          <w:numId w:val="0"/>
        </w:numPr>
        <w:spacing w:line="560" w:lineRule="exact"/>
        <w:ind w:left="-10" w:leftChars="-5" w:firstLine="489" w:firstLineChars="204"/>
        <w:rPr>
          <w:rFonts w:hint="eastAsia" w:ascii="仿宋" w:hAnsi="仿宋" w:eastAsia="仿宋" w:cs="仿宋"/>
          <w:kern w:val="0"/>
          <w:sz w:val="24"/>
        </w:rPr>
      </w:pPr>
      <w:r>
        <w:rPr>
          <w:rFonts w:hint="eastAsia" w:ascii="仿宋" w:hAnsi="仿宋" w:eastAsia="仿宋" w:cs="仿宋"/>
          <w:kern w:val="0"/>
          <w:sz w:val="24"/>
          <w:u w:val="none"/>
          <w:lang w:val="en-US" w:eastAsia="zh-CN"/>
        </w:rPr>
        <w:t>2.</w:t>
      </w:r>
      <w:r>
        <w:rPr>
          <w:rFonts w:hint="eastAsia" w:ascii="仿宋" w:hAnsi="仿宋" w:eastAsia="仿宋" w:cs="仿宋"/>
          <w:kern w:val="0"/>
          <w:sz w:val="24"/>
          <w:u w:val="non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标的名称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采购文件中明确的所属行业</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行业</w:t>
      </w:r>
      <w:r>
        <w:rPr>
          <w:rFonts w:hint="eastAsia" w:ascii="仿宋" w:hAnsi="仿宋" w:eastAsia="仿宋" w:cs="仿宋"/>
          <w:kern w:val="0"/>
          <w:sz w:val="24"/>
        </w:rPr>
        <w:t xml:space="preserve"> ；制造商为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企业名称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万元，属于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中型企业、小型企业、微型企业）</w:t>
      </w: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rPr>
          <w:rFonts w:hint="eastAsia" w:ascii="仿宋" w:hAnsi="仿宋" w:eastAsia="仿宋" w:cs="仿宋"/>
          <w:kern w:val="0"/>
          <w:sz w:val="24"/>
        </w:rPr>
      </w:pPr>
    </w:p>
    <w:p>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企业名称</w:t>
      </w:r>
      <w:r>
        <w:rPr>
          <w:rFonts w:hint="eastAsia" w:ascii="仿宋" w:hAnsi="仿宋" w:eastAsia="仿宋" w:cs="仿宋"/>
          <w:kern w:val="0"/>
          <w:sz w:val="24"/>
          <w:lang w:eastAsia="zh-CN"/>
        </w:rPr>
        <w:t>（</w:t>
      </w:r>
      <w:r>
        <w:rPr>
          <w:rFonts w:hint="eastAsia" w:ascii="仿宋" w:hAnsi="仿宋" w:eastAsia="仿宋" w:cs="仿宋"/>
          <w:kern w:val="0"/>
          <w:sz w:val="24"/>
        </w:rPr>
        <w:t>盖章</w:t>
      </w:r>
      <w:r>
        <w:rPr>
          <w:rFonts w:hint="eastAsia" w:ascii="仿宋" w:hAnsi="仿宋" w:eastAsia="仿宋" w:cs="仿宋"/>
          <w:kern w:val="0"/>
          <w:sz w:val="24"/>
          <w:lang w:eastAsia="zh-CN"/>
        </w:rPr>
        <w:t>）</w:t>
      </w:r>
      <w:r>
        <w:rPr>
          <w:rFonts w:hint="eastAsia" w:ascii="仿宋" w:hAnsi="仿宋" w:eastAsia="仿宋" w:cs="仿宋"/>
          <w:kern w:val="0"/>
          <w:sz w:val="24"/>
        </w:rPr>
        <w:t>：</w:t>
      </w:r>
    </w:p>
    <w:p>
      <w:pPr>
        <w:spacing w:line="560" w:lineRule="exact"/>
        <w:ind w:firstLine="3480" w:firstLineChars="1450"/>
        <w:rPr>
          <w:rFonts w:hint="eastAsia" w:ascii="仿宋" w:hAnsi="仿宋" w:eastAsia="仿宋" w:cs="仿宋"/>
          <w:kern w:val="0"/>
          <w:sz w:val="24"/>
          <w:szCs w:val="22"/>
        </w:rPr>
      </w:pPr>
      <w:r>
        <w:rPr>
          <w:rFonts w:hint="eastAsia" w:ascii="仿宋" w:hAnsi="仿宋" w:eastAsia="仿宋" w:cs="仿宋"/>
          <w:kern w:val="0"/>
          <w:sz w:val="24"/>
        </w:rPr>
        <w:t>日期：</w:t>
      </w:r>
    </w:p>
    <w:p>
      <w:pPr>
        <w:rPr>
          <w:rFonts w:hint="eastAsia" w:ascii="仿宋" w:hAnsi="仿宋" w:eastAsia="仿宋" w:cs="仿宋"/>
          <w:kern w:val="0"/>
          <w:sz w:val="30"/>
          <w:szCs w:val="30"/>
          <w:u w:val="single"/>
        </w:rPr>
      </w:pPr>
      <w:r>
        <w:rPr>
          <w:rFonts w:hint="eastAsia" w:ascii="仿宋" w:hAnsi="仿宋" w:eastAsia="仿宋" w:cs="仿宋"/>
          <w:kern w:val="0"/>
          <w:sz w:val="30"/>
          <w:szCs w:val="30"/>
          <w:u w:val="single"/>
        </w:rPr>
        <w:t xml:space="preserve">                                 </w:t>
      </w:r>
    </w:p>
    <w:p>
      <w:pPr>
        <w:rPr>
          <w:rFonts w:hint="eastAsia" w:ascii="仿宋" w:hAnsi="仿宋" w:eastAsia="仿宋" w:cs="仿宋"/>
          <w:kern w:val="0"/>
          <w:sz w:val="18"/>
          <w:szCs w:val="18"/>
        </w:rPr>
      </w:pP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 xml:space="preserve">    </w:t>
      </w:r>
      <w:r>
        <w:rPr>
          <w:rFonts w:hint="eastAsia" w:ascii="仿宋" w:hAnsi="仿宋" w:eastAsia="仿宋" w:cs="仿宋"/>
          <w:kern w:val="0"/>
          <w:sz w:val="18"/>
          <w:szCs w:val="18"/>
        </w:rPr>
        <w:t xml:space="preserve"> </w:t>
      </w:r>
    </w:p>
    <w:p>
      <w:pPr>
        <w:ind w:left="315" w:leftChars="150" w:firstLine="270" w:firstLineChars="150"/>
        <w:rPr>
          <w:rFonts w:hint="eastAsia" w:ascii="仿宋" w:hAnsi="仿宋" w:eastAsia="仿宋" w:cs="仿宋"/>
          <w:kern w:val="0"/>
          <w:sz w:val="18"/>
          <w:szCs w:val="18"/>
        </w:rPr>
      </w:pPr>
      <w:r>
        <w:rPr>
          <w:rFonts w:hint="eastAsia" w:ascii="仿宋" w:hAnsi="仿宋" w:eastAsia="仿宋" w:cs="仿宋"/>
          <w:kern w:val="0"/>
          <w:sz w:val="18"/>
          <w:szCs w:val="18"/>
        </w:rPr>
        <w:t>（从业人员、营业收入、资产总额填报上一年度数据，无上一年度数据的新成立企业可不填报）</w:t>
      </w:r>
    </w:p>
    <w:p>
      <w:pPr>
        <w:pStyle w:val="23"/>
        <w:rPr>
          <w:rFonts w:hint="eastAsia" w:ascii="仿宋" w:hAnsi="仿宋" w:eastAsia="仿宋" w:cs="仿宋"/>
          <w:i w:val="0"/>
          <w:iCs w:val="0"/>
          <w:color w:val="auto"/>
          <w:highlight w:val="none"/>
        </w:rPr>
      </w:pPr>
      <w:r>
        <w:rPr>
          <w:rFonts w:hint="eastAsia" w:ascii="仿宋" w:hAnsi="仿宋" w:eastAsia="仿宋" w:cs="仿宋"/>
        </w:rPr>
        <w:br w:type="page"/>
      </w:r>
    </w:p>
    <w:p>
      <w:pPr>
        <w:jc w:val="center"/>
        <w:outlineLvl w:val="1"/>
        <w:rPr>
          <w:rFonts w:hint="eastAsia" w:ascii="仿宋" w:hAnsi="仿宋" w:eastAsia="仿宋" w:cs="仿宋"/>
          <w:b/>
          <w:i w:val="0"/>
          <w:iCs w:val="0"/>
          <w:color w:val="auto"/>
          <w:sz w:val="28"/>
          <w:szCs w:val="28"/>
          <w:highlight w:val="none"/>
          <w:lang w:eastAsia="zh-CN"/>
        </w:rPr>
      </w:pPr>
      <w:r>
        <w:rPr>
          <w:rFonts w:hint="eastAsia" w:ascii="仿宋" w:hAnsi="仿宋" w:eastAsia="仿宋" w:cs="仿宋"/>
          <w:b/>
          <w:i w:val="0"/>
          <w:iCs w:val="0"/>
          <w:color w:val="auto"/>
          <w:sz w:val="28"/>
          <w:szCs w:val="28"/>
          <w:highlight w:val="none"/>
        </w:rPr>
        <w:t>二、监狱企业</w:t>
      </w:r>
      <w:bookmarkEnd w:id="505"/>
      <w:r>
        <w:rPr>
          <w:rFonts w:hint="eastAsia" w:ascii="仿宋" w:hAnsi="仿宋" w:eastAsia="仿宋" w:cs="仿宋"/>
          <w:b/>
          <w:i w:val="0"/>
          <w:iCs w:val="0"/>
          <w:color w:val="auto"/>
          <w:sz w:val="28"/>
          <w:szCs w:val="28"/>
          <w:highlight w:val="none"/>
          <w:lang w:val="en-US" w:eastAsia="zh-CN"/>
        </w:rPr>
        <w:t>声明函</w:t>
      </w:r>
    </w:p>
    <w:p>
      <w:pPr>
        <w:spacing w:line="360" w:lineRule="auto"/>
        <w:jc w:val="both"/>
        <w:rPr>
          <w:rFonts w:hint="eastAsia" w:ascii="仿宋" w:hAnsi="仿宋" w:eastAsia="仿宋" w:cs="仿宋"/>
          <w:b/>
          <w:i w:val="0"/>
          <w:iCs w:val="0"/>
          <w:color w:val="auto"/>
          <w:kern w:val="0"/>
          <w:sz w:val="24"/>
          <w:szCs w:val="20"/>
          <w:highlight w:val="none"/>
        </w:rPr>
      </w:pP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本单位为直接</w:t>
      </w:r>
      <w:r>
        <w:rPr>
          <w:rFonts w:hint="eastAsia" w:ascii="仿宋" w:hAnsi="仿宋" w:eastAsia="仿宋" w:cs="仿宋"/>
          <w:i w:val="0"/>
          <w:iCs w:val="0"/>
          <w:color w:val="auto"/>
          <w:kern w:val="0"/>
          <w:sz w:val="24"/>
          <w:highlight w:val="none"/>
          <w:lang w:val="en-US" w:eastAsia="zh-CN"/>
        </w:rPr>
        <w:t>供应商，</w:t>
      </w:r>
      <w:r>
        <w:rPr>
          <w:rFonts w:hint="eastAsia" w:ascii="仿宋" w:hAnsi="仿宋" w:eastAsia="仿宋" w:cs="仿宋"/>
          <w:i w:val="0"/>
          <w:iCs w:val="0"/>
          <w:color w:val="auto"/>
          <w:kern w:val="0"/>
          <w:sz w:val="24"/>
          <w:highlight w:val="none"/>
        </w:rPr>
        <w:t>提供本单位制造的货物。</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（1）本企业（单位）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（2）本企业（单位）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本企业（单位）对上述声明的真实性负责。如有虚假，将依法承担相应责任。</w:t>
      </w:r>
    </w:p>
    <w:p>
      <w:pPr>
        <w:widowControl/>
        <w:spacing w:before="100" w:beforeAutospacing="1" w:after="100" w:afterAutospacing="1" w:line="360" w:lineRule="auto"/>
        <w:jc w:val="left"/>
        <w:rPr>
          <w:rFonts w:hint="eastAsia" w:ascii="仿宋" w:hAnsi="仿宋" w:eastAsia="仿宋" w:cs="仿宋"/>
          <w:b/>
          <w:i w:val="0"/>
          <w:iCs w:val="0"/>
          <w:color w:val="auto"/>
          <w:kern w:val="0"/>
          <w:sz w:val="24"/>
          <w:szCs w:val="20"/>
          <w:highlight w:val="none"/>
        </w:rPr>
      </w:pPr>
      <w:r>
        <w:rPr>
          <w:rFonts w:hint="eastAsia" w:ascii="仿宋" w:hAnsi="仿宋" w:eastAsia="仿宋" w:cs="仿宋"/>
          <w:i w:val="0"/>
          <w:iCs w:val="0"/>
          <w:color w:val="auto"/>
          <w:kern w:val="0"/>
          <w:sz w:val="24"/>
          <w:highlight w:val="none"/>
        </w:rPr>
        <w:t>　</w:t>
      </w:r>
      <w:r>
        <w:rPr>
          <w:rFonts w:hint="eastAsia" w:ascii="仿宋" w:hAnsi="仿宋" w:eastAsia="仿宋" w:cs="仿宋"/>
          <w:b/>
          <w:i w:val="0"/>
          <w:iCs w:val="0"/>
          <w:color w:val="auto"/>
          <w:kern w:val="0"/>
          <w:sz w:val="24"/>
          <w:szCs w:val="20"/>
          <w:highlight w:val="none"/>
        </w:rPr>
        <w:t>　</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lang w:val="en-US" w:eastAsia="zh-CN"/>
        </w:rPr>
        <w:t>单位名称</w:t>
      </w:r>
      <w:r>
        <w:rPr>
          <w:rFonts w:hint="eastAsia" w:ascii="仿宋" w:hAnsi="仿宋" w:eastAsia="仿宋" w:cs="仿宋"/>
          <w:i w:val="0"/>
          <w:iCs w:val="0"/>
          <w:color w:val="auto"/>
          <w:kern w:val="0"/>
          <w:sz w:val="24"/>
          <w:highlight w:val="none"/>
        </w:rPr>
        <w:t>（公章）：</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法定代表人或授权代表（签字）: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widowControl/>
        <w:spacing w:before="100" w:beforeAutospacing="1" w:after="100" w:afterAutospacing="1" w:line="360" w:lineRule="auto"/>
        <w:ind w:firstLine="240" w:firstLineChars="100"/>
        <w:jc w:val="left"/>
        <w:rPr>
          <w:rFonts w:hint="eastAsia" w:ascii="仿宋" w:hAnsi="仿宋" w:eastAsia="仿宋" w:cs="仿宋"/>
          <w:i w:val="0"/>
          <w:iCs w:val="0"/>
          <w:color w:val="auto"/>
          <w:kern w:val="0"/>
          <w:sz w:val="24"/>
          <w:highlight w:val="none"/>
          <w:u w:val="single"/>
        </w:rPr>
      </w:pPr>
      <w:r>
        <w:rPr>
          <w:rFonts w:hint="eastAsia" w:ascii="仿宋" w:hAnsi="仿宋" w:eastAsia="仿宋" w:cs="仿宋"/>
          <w:i w:val="0"/>
          <w:iCs w:val="0"/>
          <w:color w:val="auto"/>
          <w:kern w:val="0"/>
          <w:sz w:val="24"/>
          <w:highlight w:val="none"/>
        </w:rPr>
        <w:t>日　期：</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u w:val="single"/>
        </w:rPr>
      </w:pPr>
    </w:p>
    <w:p>
      <w:pPr>
        <w:widowControl/>
        <w:spacing w:before="100" w:beforeAutospacing="1" w:after="100" w:afterAutospacing="1" w:line="360" w:lineRule="auto"/>
        <w:jc w:val="left"/>
        <w:rPr>
          <w:rFonts w:hint="eastAsia" w:ascii="仿宋" w:hAnsi="仿宋" w:eastAsia="仿宋" w:cs="仿宋"/>
          <w:i w:val="0"/>
          <w:iCs w:val="0"/>
          <w:color w:val="auto"/>
          <w:sz w:val="24"/>
          <w:highlight w:val="none"/>
          <w:u w:val="none"/>
        </w:rPr>
      </w:pPr>
      <w:r>
        <w:rPr>
          <w:rFonts w:hint="eastAsia" w:ascii="仿宋" w:hAnsi="仿宋" w:eastAsia="仿宋" w:cs="仿宋"/>
          <w:i w:val="0"/>
          <w:iCs w:val="0"/>
          <w:color w:val="auto"/>
          <w:kern w:val="0"/>
          <w:sz w:val="24"/>
          <w:highlight w:val="none"/>
          <w:u w:val="none"/>
        </w:rPr>
        <w:t>注：符合《关于政府采购支持监狱企业发展有关问题的通知》价格扣减条件的供应商须提交。</w:t>
      </w:r>
      <w:r>
        <w:rPr>
          <w:rFonts w:hint="eastAsia" w:ascii="仿宋" w:hAnsi="仿宋" w:eastAsia="仿宋" w:cs="仿宋"/>
          <w:i w:val="0"/>
          <w:iCs w:val="0"/>
          <w:color w:val="auto"/>
          <w:kern w:val="0"/>
          <w:sz w:val="24"/>
          <w:highlight w:val="none"/>
          <w:u w:val="none"/>
          <w:lang w:val="en-US" w:eastAsia="zh-CN"/>
        </w:rPr>
        <w:t>需提供</w:t>
      </w:r>
      <w:r>
        <w:rPr>
          <w:rFonts w:hint="eastAsia" w:ascii="仿宋" w:hAnsi="仿宋" w:eastAsia="仿宋" w:cs="仿宋"/>
          <w:i w:val="0"/>
          <w:iCs w:val="0"/>
          <w:color w:val="auto"/>
          <w:sz w:val="24"/>
          <w:highlight w:val="none"/>
          <w:u w:val="none"/>
        </w:rPr>
        <w:t>省级以上监狱管理局、戒毒管理局（含新疆生产建设兵团）出具的属于监狱企业的证明文件。</w:t>
      </w: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widowControl/>
        <w:jc w:val="center"/>
        <w:rPr>
          <w:rFonts w:hint="eastAsia" w:ascii="仿宋" w:hAnsi="仿宋" w:eastAsia="仿宋" w:cs="仿宋"/>
          <w:b/>
          <w:i w:val="0"/>
          <w:iCs w:val="0"/>
          <w:color w:val="auto"/>
          <w:sz w:val="28"/>
          <w:szCs w:val="28"/>
          <w:highlight w:val="none"/>
        </w:rPr>
      </w:pPr>
      <w:bookmarkStart w:id="506" w:name="_Toc7005134"/>
      <w:r>
        <w:rPr>
          <w:rFonts w:hint="eastAsia" w:ascii="仿宋" w:hAnsi="仿宋" w:eastAsia="仿宋" w:cs="仿宋"/>
          <w:b/>
          <w:i w:val="0"/>
          <w:iCs w:val="0"/>
          <w:color w:val="auto"/>
          <w:sz w:val="28"/>
          <w:szCs w:val="28"/>
          <w:highlight w:val="none"/>
        </w:rPr>
        <w:t>三、残疾人福利性单位声明函</w:t>
      </w:r>
      <w:bookmarkEnd w:id="506"/>
    </w:p>
    <w:p>
      <w:pPr>
        <w:pStyle w:val="23"/>
        <w:rPr>
          <w:rFonts w:hint="eastAsia" w:ascii="仿宋" w:hAnsi="仿宋" w:eastAsia="仿宋" w:cs="仿宋"/>
          <w:i w:val="0"/>
          <w:iCs w:val="0"/>
          <w:color w:val="auto"/>
          <w:highlight w:val="none"/>
        </w:rPr>
      </w:pPr>
    </w:p>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1"/>
          <w:szCs w:val="21"/>
          <w:highlight w:val="none"/>
        </w:rPr>
        <w:t>（注：符合条件的残疾人福利性单位请提供本函，不符合的不提供本函）</w:t>
      </w:r>
    </w:p>
    <w:p>
      <w:pPr>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rPr>
      </w:pP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本单位对上述声明的真实性负责。如有虚假，将依法承担相应责任。</w:t>
      </w:r>
    </w:p>
    <w:p>
      <w:pPr>
        <w:spacing w:line="360" w:lineRule="auto"/>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单位名称（公章）：</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p>
    <w:p>
      <w:pPr>
        <w:rPr>
          <w:rFonts w:hint="eastAsia" w:ascii="仿宋" w:hAnsi="仿宋" w:eastAsia="仿宋" w:cs="仿宋"/>
          <w:i w:val="0"/>
          <w:iCs w:val="0"/>
          <w:color w:val="auto"/>
          <w:sz w:val="24"/>
          <w:highlight w:val="none"/>
        </w:rPr>
      </w:pPr>
    </w:p>
    <w:p>
      <w:pPr>
        <w:snapToGrid w:val="0"/>
        <w:spacing w:before="120" w:beforeLines="50"/>
        <w:jc w:val="center"/>
        <w:rPr>
          <w:rFonts w:hint="eastAsia" w:ascii="仿宋" w:hAnsi="仿宋" w:eastAsia="仿宋" w:cs="仿宋"/>
          <w:b/>
          <w:i w:val="0"/>
          <w:iCs w:val="0"/>
          <w:color w:val="auto"/>
          <w:sz w:val="24"/>
          <w:szCs w:val="21"/>
          <w:highlight w:val="none"/>
        </w:rPr>
      </w:pPr>
    </w:p>
    <w:p>
      <w:pPr>
        <w:widowControl/>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jc w:val="center"/>
        <w:outlineLvl w:val="1"/>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四、响应承诺书</w:t>
      </w:r>
    </w:p>
    <w:p>
      <w:pPr>
        <w:spacing w:line="360" w:lineRule="auto"/>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陕西省采购招标有限责任公司</w:t>
      </w:r>
      <w:r>
        <w:rPr>
          <w:rFonts w:hint="eastAsia" w:ascii="仿宋" w:hAnsi="仿宋" w:eastAsia="仿宋" w:cs="仿宋"/>
          <w:i w:val="0"/>
          <w:iCs w:val="0"/>
          <w:color w:val="auto"/>
          <w:sz w:val="24"/>
          <w:highlight w:val="none"/>
          <w:lang w:eastAsia="zh-CN"/>
        </w:rPr>
        <w:t>：</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我方在此声明，我方以下事项进行承诺：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 在本次谈判中我公司无与其他供应商相互串通，或与采购人串通的行为；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在本次谈判中我公司无向采购人或谈判小组成员行贿的手段谋取成交的行为；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 在本次谈判中我公司无出借或借用资质行为、在响应文件中所附资料（业绩、项目负责人资料等）无弄虚作假；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 我公司没有处于被责令停产、停业、投标资格被取消状态；</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上述承诺内容如有不实，我公司愿意承担由此造成的一切法律责任，并承诺赔偿给采购人造成的损失。</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特此承诺。</w:t>
      </w:r>
    </w:p>
    <w:p>
      <w:pPr>
        <w:spacing w:line="360" w:lineRule="auto"/>
        <w:ind w:firstLine="480" w:firstLineChars="200"/>
        <w:rPr>
          <w:rFonts w:hint="eastAsia" w:ascii="仿宋" w:hAnsi="仿宋" w:eastAsia="仿宋" w:cs="仿宋"/>
          <w:i w:val="0"/>
          <w:iCs w:val="0"/>
          <w:color w:val="auto"/>
          <w:sz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供应商名称（公章）：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法定代表人或其授权代表（签字或加盖人名章）：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autoSpaceDE w:val="0"/>
        <w:autoSpaceDN w:val="0"/>
        <w:adjustRightInd w:val="0"/>
        <w:snapToGrid w:val="0"/>
        <w:spacing w:line="360" w:lineRule="auto"/>
        <w:outlineLvl w:val="0"/>
        <w:rPr>
          <w:rFonts w:hint="eastAsia" w:ascii="仿宋" w:hAnsi="仿宋" w:eastAsia="仿宋" w:cs="仿宋"/>
          <w:b/>
          <w:bCs/>
          <w:i w:val="0"/>
          <w:iCs w:val="0"/>
          <w:color w:val="auto"/>
          <w:sz w:val="28"/>
          <w:szCs w:val="28"/>
          <w:highlight w:val="none"/>
          <w:lang w:val="zh-CN"/>
        </w:rPr>
      </w:pPr>
      <w:r>
        <w:rPr>
          <w:rFonts w:hint="eastAsia" w:ascii="仿宋" w:hAnsi="仿宋" w:eastAsia="仿宋" w:cs="仿宋"/>
          <w:b/>
          <w:bCs/>
          <w:i w:val="0"/>
          <w:iCs w:val="0"/>
          <w:color w:val="auto"/>
          <w:sz w:val="28"/>
          <w:szCs w:val="28"/>
          <w:highlight w:val="none"/>
          <w:lang w:val="zh-CN"/>
        </w:rPr>
        <w:t>附件3</w:t>
      </w:r>
    </w:p>
    <w:p>
      <w:pPr>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 xml:space="preserve"> （最后）谈判响应报价表</w:t>
      </w:r>
    </w:p>
    <w:p>
      <w:pPr>
        <w:pStyle w:val="23"/>
        <w:ind w:firstLine="48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项目名称：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val="en-US" w:eastAsia="zh-CN"/>
              </w:rPr>
              <w:t>交货</w:t>
            </w:r>
            <w:r>
              <w:rPr>
                <w:rFonts w:hint="eastAsia" w:ascii="仿宋" w:hAnsi="仿宋" w:eastAsia="仿宋" w:cs="仿宋"/>
                <w:b/>
                <w:i w:val="0"/>
                <w:iCs w:val="0"/>
                <w:color w:val="auto"/>
                <w:sz w:val="24"/>
                <w:highlight w:val="none"/>
                <w:lang w:eastAsia="zh-CN"/>
              </w:rPr>
              <w:t>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val="en-US" w:eastAsia="zh-CN"/>
              </w:rPr>
              <w:t>交货</w:t>
            </w:r>
            <w:r>
              <w:rPr>
                <w:rFonts w:hint="eastAsia" w:ascii="仿宋" w:hAnsi="仿宋" w:eastAsia="仿宋" w:cs="仿宋"/>
                <w:b/>
                <w:i w:val="0"/>
                <w:iCs w:val="0"/>
                <w:color w:val="auto"/>
                <w:sz w:val="24"/>
                <w:highlight w:val="none"/>
                <w:lang w:eastAsia="zh-CN"/>
              </w:rPr>
              <w:t>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（公章）：                            </w:t>
      </w:r>
      <w:r>
        <w:rPr>
          <w:rFonts w:hint="eastAsia" w:ascii="仿宋" w:hAnsi="仿宋" w:eastAsia="仿宋" w:cs="仿宋"/>
          <w:b w:val="0"/>
          <w:bCs w:val="0"/>
          <w:i w:val="0"/>
          <w:iCs w:val="0"/>
          <w:color w:val="auto"/>
          <w:sz w:val="24"/>
          <w:highlight w:val="none"/>
          <w:lang w:val="zh-CN"/>
        </w:rPr>
        <w:t>（签字）：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3"/>
        <w:rPr>
          <w:rFonts w:hint="eastAsia" w:ascii="仿宋" w:hAnsi="仿宋" w:eastAsia="仿宋" w:cs="仿宋"/>
          <w:i w:val="0"/>
          <w:iCs w:val="0"/>
          <w:color w:val="auto"/>
          <w:sz w:val="24"/>
          <w:highlight w:val="none"/>
          <w:lang w:val="zh-CN"/>
        </w:rPr>
      </w:pPr>
    </w:p>
    <w:p>
      <w:pPr>
        <w:rPr>
          <w:rFonts w:hint="eastAsia" w:ascii="仿宋" w:hAnsi="仿宋" w:eastAsia="仿宋" w:cs="仿宋"/>
          <w:i w:val="0"/>
          <w:iCs w:val="0"/>
          <w:color w:val="auto"/>
          <w:sz w:val="24"/>
          <w:highlight w:val="none"/>
          <w:lang w:val="zh-CN"/>
        </w:rPr>
      </w:pPr>
    </w:p>
    <w:p>
      <w:pPr>
        <w:pStyle w:val="23"/>
        <w:rPr>
          <w:rFonts w:hint="eastAsia" w:ascii="仿宋" w:hAnsi="仿宋" w:eastAsia="仿宋" w:cs="仿宋"/>
          <w:i w:val="0"/>
          <w:iCs w:val="0"/>
          <w:color w:val="auto"/>
          <w:sz w:val="24"/>
          <w:highlight w:val="none"/>
          <w:lang w:val="zh-CN"/>
        </w:rPr>
      </w:pPr>
    </w:p>
    <w:p>
      <w:pPr>
        <w:rPr>
          <w:rFonts w:hint="eastAsia"/>
          <w:lang w:val="zh-CN"/>
        </w:rPr>
      </w:pPr>
    </w:p>
    <w:p>
      <w:pPr>
        <w:pStyle w:val="23"/>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注：无需将此页放置在响应文件中，单独打印出来与纸质版响应文件一块寄出或评标结束后送达。</w:t>
      </w:r>
    </w:p>
    <w:p>
      <w:pPr>
        <w:autoSpaceDE w:val="0"/>
        <w:autoSpaceDN w:val="0"/>
        <w:adjustRightInd w:val="0"/>
        <w:snapToGrid w:val="0"/>
        <w:spacing w:line="360" w:lineRule="auto"/>
        <w:ind w:firstLine="210" w:firstLineChars="100"/>
        <w:rPr>
          <w:rFonts w:hint="eastAsia" w:ascii="仿宋" w:hAnsi="仿宋" w:eastAsia="仿宋" w:cs="仿宋"/>
          <w:i w:val="0"/>
          <w:iCs w:val="0"/>
          <w:color w:val="auto"/>
          <w:highlight w:val="none"/>
        </w:rPr>
      </w:pPr>
    </w:p>
    <w:p>
      <w:pPr>
        <w:jc w:val="center"/>
        <w:rPr>
          <w:rFonts w:hint="eastAsia" w:ascii="仿宋" w:hAnsi="仿宋" w:eastAsia="仿宋" w:cs="仿宋"/>
          <w:i w:val="0"/>
          <w:iCs w:val="0"/>
          <w:color w:val="auto"/>
          <w:highlight w:val="none"/>
        </w:rPr>
      </w:pPr>
      <w:r>
        <w:rPr>
          <w:rFonts w:hint="eastAsia" w:ascii="仿宋" w:hAnsi="仿宋" w:eastAsia="仿宋" w:cs="仿宋"/>
          <w:b/>
          <w:i w:val="0"/>
          <w:iCs w:val="0"/>
          <w:color w:val="auto"/>
          <w:kern w:val="0"/>
          <w:sz w:val="32"/>
          <w:szCs w:val="32"/>
          <w:highlight w:val="none"/>
          <w:shd w:val="clear" w:color="auto" w:fill="FFFFFF"/>
        </w:rPr>
        <w:t>（最后）分项报价表</w:t>
      </w:r>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项目名称：</w:t>
      </w:r>
    </w:p>
    <w:tbl>
      <w:tblPr>
        <w:tblStyle w:val="5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397"/>
        <w:gridCol w:w="1065"/>
        <w:gridCol w:w="1257"/>
        <w:gridCol w:w="1326"/>
        <w:gridCol w:w="1516"/>
        <w:gridCol w:w="128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序号</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产品名称</w:t>
            </w: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数量</w:t>
            </w: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生产厂家</w:t>
            </w: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规格型号</w:t>
            </w: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单价（元）</w:t>
            </w: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总价（元）</w:t>
            </w: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ascii="仿宋" w:hAnsi="仿宋" w:eastAsia="仿宋" w:cs="仿宋_GB2312"/>
                <w:b/>
                <w:bCs/>
                <w:sz w:val="24"/>
                <w:szCs w:val="24"/>
              </w:rPr>
            </w:pPr>
            <w:r>
              <w:rPr>
                <w:rFonts w:hint="eastAsia" w:ascii="仿宋" w:hAnsi="仿宋" w:eastAsia="仿宋" w:cs="仿宋_GB2312"/>
                <w:b/>
                <w:bCs/>
                <w:sz w:val="24"/>
                <w:szCs w:val="24"/>
              </w:rPr>
              <w:t>1</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rPr>
            </w:pPr>
            <w:r>
              <w:rPr>
                <w:rFonts w:hint="eastAsia" w:ascii="仿宋" w:hAnsi="仿宋" w:eastAsia="仿宋" w:cs="仿宋_GB2312"/>
                <w:b/>
                <w:bCs/>
                <w:sz w:val="24"/>
                <w:szCs w:val="24"/>
              </w:rPr>
              <w:t>2</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3</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4</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5</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6</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7</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8</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9</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10</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11</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12</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13</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14</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15</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ascii="仿宋" w:hAnsi="仿宋" w:eastAsia="仿宋" w:cs="仿宋_GB2312"/>
                <w:b/>
                <w:bCs/>
                <w:sz w:val="24"/>
                <w:szCs w:val="24"/>
              </w:rPr>
            </w:pPr>
            <w:r>
              <w:rPr>
                <w:rFonts w:hint="eastAsia" w:ascii="仿宋" w:hAnsi="仿宋" w:eastAsia="仿宋" w:cs="仿宋_GB2312"/>
                <w:b/>
                <w:bCs/>
                <w:sz w:val="24"/>
                <w:szCs w:val="24"/>
              </w:rPr>
              <w:t>...</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 xml:space="preserve">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lang w:val="zh-CN"/>
        </w:rPr>
      </w:pP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lang w:val="zh-CN"/>
        </w:rPr>
      </w:pPr>
    </w:p>
    <w:p>
      <w:pPr>
        <w:adjustRightInd w:val="0"/>
        <w:snapToGrid w:val="0"/>
        <w:spacing w:line="360" w:lineRule="auto"/>
        <w:ind w:left="-525" w:leftChars="-250" w:firstLine="720" w:firstLineChars="300"/>
        <w:jc w:val="righ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adjustRightInd w:val="0"/>
        <w:snapToGrid w:val="0"/>
        <w:spacing w:line="360" w:lineRule="auto"/>
        <w:ind w:left="-525" w:leftChars="-250" w:firstLine="632" w:firstLineChars="300"/>
        <w:rPr>
          <w:rFonts w:hint="eastAsia" w:ascii="仿宋" w:hAnsi="仿宋" w:eastAsia="仿宋" w:cs="仿宋"/>
          <w:b/>
          <w:bCs/>
          <w:i w:val="0"/>
          <w:iCs w:val="0"/>
          <w:color w:val="auto"/>
          <w:highlight w:val="none"/>
          <w:lang w:val="zh-CN"/>
        </w:rPr>
      </w:pPr>
    </w:p>
    <w:p>
      <w:pPr>
        <w:adjustRightInd w:val="0"/>
        <w:snapToGrid w:val="0"/>
        <w:spacing w:line="360" w:lineRule="auto"/>
        <w:rPr>
          <w:rFonts w:hint="eastAsia" w:ascii="仿宋" w:hAnsi="仿宋" w:eastAsia="仿宋" w:cs="仿宋"/>
          <w:b/>
          <w:bCs/>
          <w:i w:val="0"/>
          <w:iCs w:val="0"/>
          <w:color w:val="auto"/>
          <w:highlight w:val="none"/>
          <w:lang w:val="zh-CN"/>
        </w:rPr>
      </w:pPr>
    </w:p>
    <w:p>
      <w:pPr>
        <w:adjustRightInd w:val="0"/>
        <w:snapToGrid w:val="0"/>
        <w:spacing w:line="360" w:lineRule="auto"/>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注：无需将此页放置在响应文件中，单独打印出来与纸质版响应文件一块寄出或评标结束后送达。</w:t>
      </w:r>
    </w:p>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b/>
          <w:kern w:val="0"/>
          <w:sz w:val="32"/>
          <w:szCs w:val="32"/>
          <w:shd w:val="clear" w:color="auto" w:fill="FFFFFF"/>
          <w:lang w:val="en-US" w:eastAsia="zh-CN" w:bidi="ar-SA"/>
        </w:rPr>
        <w:t>附件4：</w:t>
      </w:r>
    </w:p>
    <w:p>
      <w:pPr>
        <w:pStyle w:val="4"/>
        <w:jc w:val="center"/>
        <w:rPr>
          <w:rFonts w:hint="eastAsia" w:ascii="仿宋" w:hAnsi="仿宋" w:eastAsia="仿宋" w:cs="仿宋"/>
          <w:sz w:val="24"/>
        </w:rPr>
      </w:pPr>
      <w:r>
        <w:rPr>
          <w:rFonts w:hint="eastAsia" w:ascii="仿宋" w:hAnsi="仿宋" w:eastAsia="仿宋" w:cs="仿宋"/>
          <w:b/>
          <w:bCs/>
          <w:lang w:eastAsia="zh-CN"/>
        </w:rPr>
        <w:t>投标信用承诺书</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w:t>
      </w:r>
      <w:r>
        <w:rPr>
          <w:rFonts w:hint="eastAsia" w:ascii="仿宋" w:hAnsi="仿宋" w:eastAsia="仿宋" w:cs="仿宋"/>
          <w:sz w:val="24"/>
          <w:lang w:eastAsia="zh-CN"/>
        </w:rPr>
        <w:t>名称</w:t>
      </w:r>
      <w:r>
        <w:rPr>
          <w:rFonts w:hint="eastAsia" w:ascii="仿宋" w:hAnsi="仿宋" w:eastAsia="仿宋" w:cs="仿宋"/>
          <w:sz w:val="24"/>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投标人：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统一社会信用代码：                               法人代表：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在本项目标段招投标活动中，我公司（单位）自愿作出以下投标信用承诺：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（一）能严格遵守法律法规、职业道德和行业规范。</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pStyle w:val="42"/>
        <w:rPr>
          <w:rFonts w:hint="eastAsia" w:ascii="仿宋" w:hAnsi="仿宋" w:eastAsia="仿宋" w:cs="仿宋"/>
          <w:sz w:val="24"/>
        </w:rPr>
      </w:pP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法定代表人（签章）：             投标人（盖章）：</w:t>
      </w:r>
    </w:p>
    <w:p>
      <w:pPr>
        <w:numPr>
          <w:ilvl w:val="0"/>
          <w:numId w:val="0"/>
        </w:numPr>
        <w:snapToGrid w:val="0"/>
        <w:spacing w:line="288" w:lineRule="auto"/>
        <w:ind w:firstLine="480" w:firstLineChars="200"/>
        <w:rPr>
          <w:rFonts w:hint="eastAsia" w:ascii="仿宋" w:hAnsi="仿宋" w:eastAsia="仿宋" w:cs="仿宋"/>
          <w:sz w:val="24"/>
        </w:rPr>
      </w:pP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承诺时间：       年     月     日</w:t>
      </w:r>
    </w:p>
    <w:p>
      <w:pPr>
        <w:numPr>
          <w:ilvl w:val="0"/>
          <w:numId w:val="0"/>
        </w:numPr>
        <w:snapToGrid w:val="0"/>
        <w:spacing w:line="288" w:lineRule="auto"/>
        <w:ind w:firstLine="480" w:firstLineChars="200"/>
        <w:rPr>
          <w:rFonts w:hint="eastAsia" w:ascii="仿宋" w:hAnsi="仿宋" w:eastAsia="仿宋" w:cs="仿宋"/>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tabs>
          <w:tab w:val="left" w:pos="993"/>
          <w:tab w:val="left" w:pos="1030"/>
          <w:tab w:val="left" w:pos="8364"/>
        </w:tabs>
        <w:snapToGrid w:val="0"/>
        <w:spacing w:after="156" w:afterLines="50" w:line="360" w:lineRule="auto"/>
        <w:ind w:right="-57" w:rightChars="-27"/>
        <w:jc w:val="left"/>
        <w:rPr>
          <w:rFonts w:hint="eastAsia" w:ascii="仿宋" w:hAnsi="仿宋" w:eastAsia="仿宋" w:cs="仿宋"/>
          <w:b/>
          <w:bCs/>
          <w:sz w:val="24"/>
          <w:lang w:eastAsia="zh-CN"/>
        </w:rPr>
      </w:pPr>
      <w:r>
        <w:rPr>
          <w:rFonts w:hint="eastAsia" w:ascii="仿宋" w:hAnsi="仿宋" w:eastAsia="仿宋" w:cs="仿宋"/>
          <w:b/>
          <w:bCs/>
          <w:sz w:val="24"/>
        </w:rPr>
        <w:t>说明：</w:t>
      </w:r>
      <w:r>
        <w:rPr>
          <w:rFonts w:hint="eastAsia" w:ascii="仿宋" w:hAnsi="仿宋" w:eastAsia="仿宋" w:cs="仿宋"/>
          <w:b/>
          <w:bCs/>
          <w:sz w:val="24"/>
          <w:lang w:eastAsia="zh-CN"/>
        </w:rPr>
        <w:t>（</w:t>
      </w:r>
      <w:r>
        <w:rPr>
          <w:rFonts w:hint="eastAsia" w:ascii="仿宋" w:hAnsi="仿宋" w:eastAsia="仿宋" w:cs="仿宋"/>
          <w:b/>
          <w:bCs/>
          <w:sz w:val="24"/>
          <w:lang w:val="en-US" w:eastAsia="zh-CN"/>
        </w:rPr>
        <w:t>1</w:t>
      </w:r>
      <w:r>
        <w:rPr>
          <w:rFonts w:hint="eastAsia" w:ascii="仿宋" w:hAnsi="仿宋" w:eastAsia="仿宋" w:cs="仿宋"/>
          <w:b/>
          <w:bCs/>
          <w:sz w:val="24"/>
          <w:lang w:eastAsia="zh-CN"/>
        </w:rPr>
        <w:t>）</w:t>
      </w:r>
      <w:r>
        <w:rPr>
          <w:rFonts w:hint="eastAsia" w:ascii="仿宋" w:hAnsi="仿宋" w:eastAsia="仿宋" w:cs="仿宋"/>
          <w:b/>
          <w:bCs/>
          <w:sz w:val="24"/>
        </w:rPr>
        <w:t>本承诺书效力和作用等同投标保证金，其有效期与投标有效期一致</w:t>
      </w:r>
      <w:r>
        <w:rPr>
          <w:rFonts w:hint="eastAsia" w:ascii="仿宋" w:hAnsi="仿宋" w:eastAsia="仿宋" w:cs="仿宋"/>
          <w:b/>
          <w:bCs/>
          <w:sz w:val="24"/>
          <w:lang w:eastAsia="zh-CN"/>
        </w:rPr>
        <w:t>；（</w:t>
      </w:r>
      <w:r>
        <w:rPr>
          <w:rFonts w:hint="eastAsia" w:ascii="仿宋" w:hAnsi="仿宋" w:eastAsia="仿宋" w:cs="仿宋"/>
          <w:b/>
          <w:bCs/>
          <w:sz w:val="24"/>
          <w:lang w:val="en-US" w:eastAsia="zh-CN"/>
        </w:rPr>
        <w:t>2</w:t>
      </w:r>
      <w:r>
        <w:rPr>
          <w:rFonts w:hint="eastAsia" w:ascii="仿宋" w:hAnsi="仿宋" w:eastAsia="仿宋" w:cs="仿宋"/>
          <w:b/>
          <w:bCs/>
          <w:sz w:val="24"/>
          <w:lang w:eastAsia="zh-CN"/>
        </w:rPr>
        <w:t>）</w:t>
      </w:r>
      <w:r>
        <w:rPr>
          <w:rFonts w:hint="eastAsia" w:ascii="仿宋" w:hAnsi="仿宋" w:eastAsia="仿宋" w:cs="仿宋"/>
          <w:b/>
          <w:bCs/>
          <w:sz w:val="24"/>
        </w:rPr>
        <w:t xml:space="preserve"> </w:t>
      </w:r>
      <w:r>
        <w:rPr>
          <w:rFonts w:hint="eastAsia" w:ascii="仿宋" w:hAnsi="仿宋" w:eastAsia="仿宋" w:cs="仿宋"/>
          <w:b/>
          <w:bCs/>
          <w:sz w:val="24"/>
          <w:lang w:eastAsia="zh-CN"/>
        </w:rPr>
        <w:t>后附已在网址上申报的信用中国陕西榆林投标信用承诺截图；</w:t>
      </w:r>
    </w:p>
    <w:p>
      <w:pPr>
        <w:rPr>
          <w:rFonts w:hint="eastAsia" w:ascii="仿宋" w:hAnsi="仿宋" w:eastAsia="仿宋" w:cs="仿宋"/>
          <w:b/>
          <w:bCs/>
          <w:sz w:val="24"/>
          <w:lang w:eastAsia="zh-CN"/>
        </w:rPr>
      </w:pPr>
    </w:p>
    <w:p>
      <w:pPr>
        <w:tabs>
          <w:tab w:val="left" w:pos="993"/>
          <w:tab w:val="left" w:pos="1030"/>
          <w:tab w:val="left" w:pos="8364"/>
        </w:tabs>
        <w:snapToGrid w:val="0"/>
        <w:spacing w:after="156" w:afterLines="50" w:line="360" w:lineRule="auto"/>
        <w:ind w:right="-57" w:rightChars="-27"/>
        <w:jc w:val="left"/>
        <w:rPr>
          <w:rFonts w:hint="eastAsia"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附件：信用承诺书（须上传至信用中国（陕西榆林）附件中进行公示）</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360" w:lineRule="auto"/>
        <w:ind w:firstLine="482"/>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3"/>
        <w:tabs>
          <w:tab w:val="left" w:pos="567"/>
        </w:tabs>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rPr>
        <w:sectPr>
          <w:headerReference r:id="rId13" w:type="default"/>
          <w:footerReference r:id="rId14" w:type="default"/>
          <w:pgSz w:w="11906" w:h="16838"/>
          <w:pgMar w:top="1440" w:right="1531" w:bottom="1440" w:left="1531" w:header="720" w:footer="720" w:gutter="0"/>
          <w:cols w:space="720" w:num="1"/>
          <w:docGrid w:type="lines" w:linePitch="312" w:charSpace="0"/>
        </w:sectPr>
      </w:pPr>
    </w:p>
    <w:p>
      <w:pPr>
        <w:spacing w:line="560" w:lineRule="exact"/>
        <w:ind w:right="-2"/>
        <w:jc w:val="center"/>
        <w:rPr>
          <w:rFonts w:hint="eastAsia" w:ascii="仿宋" w:hAnsi="仿宋" w:eastAsia="仿宋" w:cs="仿宋"/>
          <w:b/>
          <w:bCs/>
          <w:sz w:val="32"/>
          <w:szCs w:val="32"/>
        </w:rPr>
      </w:pPr>
      <w:r>
        <w:rPr>
          <w:rFonts w:hint="eastAsia" w:ascii="仿宋" w:hAnsi="仿宋" w:eastAsia="仿宋" w:cs="仿宋"/>
          <w:b/>
          <w:bCs/>
          <w:sz w:val="32"/>
          <w:szCs w:val="32"/>
        </w:rPr>
        <w:t>投标人委托代理人员信用承诺书</w:t>
      </w:r>
    </w:p>
    <w:p>
      <w:pPr>
        <w:pStyle w:val="23"/>
        <w:rPr>
          <w:rFonts w:hint="eastAsia"/>
        </w:rPr>
      </w:pP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pStyle w:val="64"/>
        <w:rPr>
          <w:rFonts w:hint="eastAsia" w:ascii="仿宋" w:hAnsi="仿宋" w:eastAsia="仿宋" w:cs="仿宋"/>
        </w:rPr>
      </w:pPr>
    </w:p>
    <w:p>
      <w:pPr>
        <w:keepNext w:val="0"/>
        <w:keepLines w:val="0"/>
        <w:pageBreakBefore w:val="0"/>
        <w:widowControl/>
        <w:kinsoku/>
        <w:wordWrap/>
        <w:overflowPunct/>
        <w:topLinePunct w:val="0"/>
        <w:autoSpaceDE/>
        <w:autoSpaceDN/>
        <w:bidi w:val="0"/>
        <w:adjustRightInd/>
        <w:snapToGrid/>
        <w:spacing w:line="300" w:lineRule="auto"/>
        <w:ind w:firstLine="482"/>
        <w:jc w:val="left"/>
        <w:textAlignment w:val="auto"/>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keepNext w:val="0"/>
        <w:keepLines w:val="0"/>
        <w:pageBreakBefore w:val="0"/>
        <w:widowControl/>
        <w:kinsoku/>
        <w:wordWrap/>
        <w:overflowPunct/>
        <w:topLinePunct w:val="0"/>
        <w:autoSpaceDE/>
        <w:autoSpaceDN/>
        <w:bidi w:val="0"/>
        <w:adjustRightInd/>
        <w:snapToGrid/>
        <w:spacing w:line="300" w:lineRule="auto"/>
        <w:ind w:firstLine="482"/>
        <w:jc w:val="left"/>
        <w:textAlignment w:val="auto"/>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keepNext w:val="0"/>
        <w:keepLines w:val="0"/>
        <w:pageBreakBefore w:val="0"/>
        <w:widowControl/>
        <w:kinsoku/>
        <w:wordWrap/>
        <w:overflowPunct/>
        <w:topLinePunct w:val="0"/>
        <w:autoSpaceDE/>
        <w:autoSpaceDN/>
        <w:bidi w:val="0"/>
        <w:adjustRightInd/>
        <w:snapToGrid/>
        <w:spacing w:line="300" w:lineRule="auto"/>
        <w:ind w:firstLine="482"/>
        <w:jc w:val="left"/>
        <w:textAlignment w:val="auto"/>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sz w:val="24"/>
        </w:rPr>
        <w:t>（签字或盖章）</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keepNext w:val="0"/>
        <w:keepLines w:val="0"/>
        <w:pageBreakBefore w:val="0"/>
        <w:kinsoku/>
        <w:wordWrap/>
        <w:overflowPunct/>
        <w:topLinePunct w:val="0"/>
        <w:autoSpaceDE/>
        <w:autoSpaceDN/>
        <w:bidi w:val="0"/>
        <w:adjustRightInd/>
        <w:snapToGrid/>
        <w:spacing w:line="300" w:lineRule="auto"/>
        <w:ind w:firstLine="480" w:firstLineChars="200"/>
        <w:textAlignment w:val="auto"/>
        <w:rPr>
          <w:rFonts w:hint="eastAsia" w:ascii="仿宋" w:hAnsi="仿宋" w:eastAsia="仿宋" w:cs="仿宋"/>
          <w:b/>
          <w:kern w:val="0"/>
          <w:sz w:val="32"/>
          <w:szCs w:val="32"/>
          <w:shd w:val="clear" w:color="auto" w:fill="FFFFFF"/>
          <w:lang w:val="zh-CN"/>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numPr>
          <w:ilvl w:val="0"/>
          <w:numId w:val="0"/>
        </w:numPr>
        <w:snapToGrid w:val="0"/>
        <w:spacing w:line="288" w:lineRule="auto"/>
        <w:jc w:val="center"/>
        <w:rPr>
          <w:rFonts w:hint="eastAsia" w:ascii="仿宋" w:hAnsi="仿宋" w:eastAsia="仿宋" w:cs="仿宋"/>
        </w:rPr>
      </w:pP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b/>
          <w:kern w:val="0"/>
          <w:sz w:val="32"/>
          <w:szCs w:val="32"/>
          <w:shd w:val="clear" w:color="auto" w:fill="FFFFFF"/>
          <w:lang w:val="zh-CN"/>
        </w:rPr>
        <w:t>提供在信用中国（陕西榆林）网址上申报的截图</w:t>
      </w: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rPr>
        <w:t>关于信用承诺网上公示的通知及操作指南</w:t>
      </w:r>
      <w:r>
        <w:rPr>
          <w:rFonts w:hint="eastAsia" w:ascii="仿宋" w:hAnsi="仿宋" w:eastAsia="仿宋" w:cs="仿宋"/>
        </w:rPr>
        <w:drawing>
          <wp:inline distT="0" distB="0" distL="114300" distR="114300">
            <wp:extent cx="5441950" cy="4284980"/>
            <wp:effectExtent l="0" t="0" r="635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0"/>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730875" cy="3284220"/>
            <wp:effectExtent l="0" t="0" r="3175"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30875" cy="328422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4"/>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5"/>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6"/>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7"/>
                    <a:srcRect t="1682" b="3944"/>
                    <a:stretch>
                      <a:fillRect/>
                    </a:stretch>
                  </pic:blipFill>
                  <pic:spPr>
                    <a:xfrm>
                      <a:off x="0" y="0"/>
                      <a:ext cx="6183630" cy="2993390"/>
                    </a:xfrm>
                    <a:prstGeom prst="rect">
                      <a:avLst/>
                    </a:prstGeom>
                    <a:noFill/>
                    <a:ln>
                      <a:noFill/>
                    </a:ln>
                  </pic:spPr>
                </pic:pic>
              </a:graphicData>
            </a:graphic>
          </wp:inline>
        </w:drawing>
      </w:r>
      <w:bookmarkEnd w:id="507"/>
      <w:r>
        <w:rPr>
          <w:rFonts w:hint="eastAsia" w:ascii="仿宋" w:hAnsi="仿宋" w:eastAsia="仿宋" w:cs="仿宋"/>
        </w:rPr>
        <w:drawing>
          <wp:inline distT="0" distB="0" distL="114300" distR="114300">
            <wp:extent cx="6181090" cy="3074670"/>
            <wp:effectExtent l="0" t="0" r="10160" b="1143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8"/>
                    <a:srcRect t="10237" b="8508"/>
                    <a:stretch>
                      <a:fillRect/>
                    </a:stretch>
                  </pic:blipFill>
                  <pic:spPr>
                    <a:xfrm>
                      <a:off x="0" y="0"/>
                      <a:ext cx="6181090" cy="3074670"/>
                    </a:xfrm>
                    <a:prstGeom prst="rect">
                      <a:avLst/>
                    </a:prstGeom>
                    <a:noFill/>
                    <a:ln>
                      <a:noFill/>
                    </a:ln>
                  </pic:spPr>
                </pic:pic>
              </a:graphicData>
            </a:graphic>
          </wp:inline>
        </w:drawing>
      </w:r>
    </w:p>
    <w:sectPr>
      <w:footerReference r:id="rId16" w:type="first"/>
      <w:footerReference r:id="rId15" w:type="default"/>
      <w:pgSz w:w="11906" w:h="16838"/>
      <w:pgMar w:top="1440" w:right="1083" w:bottom="1440" w:left="1083"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210" w:righ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210" w:righ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210" w:right="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5095" cy="152400"/>
              <wp:effectExtent l="0" t="0" r="12065" b="14605"/>
              <wp:wrapNone/>
              <wp:docPr id="1" name="文本框 1"/>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pPr>
                            <w:pStyle w:val="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pt;width:9.85pt;mso-position-horizontal:center;mso-position-horizontal-relative:margin;mso-wrap-style:none;z-index:251661312;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xezNIAAAADAQAADwAAAAAAAAABACAAAAAiAAAAZHJzL2Rvd25yZXYueG1sUEsB&#10;AhQAFAAAAAgAh07iQNzrIEY0AgAAYQQAAA4AAAAAAAAAAQAgAAAAIQEAAGRycy9lMm9Eb2MueG1s&#10;UEsFBgAAAAAGAAYAWQEAAMc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文本框 14" o:spid="_x0000_s3078"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7Hg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vVfkux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2"/>
                </w:pPr>
                <w:r>
                  <w:fldChar w:fldCharType="begin"/>
                </w:r>
                <w:r>
                  <w:instrText xml:space="preserve"> PAGE  \* MERGEFORMAT </w:instrText>
                </w:r>
                <w:r>
                  <w:fldChar w:fldCharType="separate"/>
                </w:r>
                <w:r>
                  <w:t>58</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文本框 15" o:spid="_x0000_s3077"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E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3V3n6cLEg&#10;uNTRVyQ2nMPElvrSoxS6bZcwuLS7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OaSBB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2"/>
                </w:pPr>
                <w:r>
                  <w:fldChar w:fldCharType="begin"/>
                </w:r>
                <w:r>
                  <w:instrText xml:space="preserve"> PAGE  \* MERGEFORMAT </w:instrText>
                </w:r>
                <w:r>
                  <w:fldChar w:fldCharType="separate"/>
                </w:r>
                <w:r>
                  <w:rPr>
                    <w:rFonts w:hint="eastAsia"/>
                  </w:rP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both"/>
      <w:rPr>
        <w:rFonts w:hint="eastAsia"/>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left="210" w:right="21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left="210" w:right="2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09F9596"/>
    <w:multiLevelType w:val="singleLevel"/>
    <w:tmpl w:val="809F9596"/>
    <w:lvl w:ilvl="0" w:tentative="0">
      <w:start w:val="5"/>
      <w:numFmt w:val="chineseCounting"/>
      <w:suff w:val="space"/>
      <w:lvlText w:val="第%1部分"/>
      <w:lvlJc w:val="left"/>
      <w:rPr>
        <w:rFonts w:hint="eastAsia"/>
      </w:rPr>
    </w:lvl>
  </w:abstractNum>
  <w:abstractNum w:abstractNumId="1">
    <w:nsid w:val="B3AE36A1"/>
    <w:multiLevelType w:val="multilevel"/>
    <w:tmpl w:val="B3AE36A1"/>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C6816FEA"/>
    <w:multiLevelType w:val="singleLevel"/>
    <w:tmpl w:val="C6816FEA"/>
    <w:lvl w:ilvl="0" w:tentative="0">
      <w:start w:val="1"/>
      <w:numFmt w:val="decimal"/>
      <w:suff w:val="nothing"/>
      <w:lvlText w:val="%1、"/>
      <w:lvlJc w:val="left"/>
    </w:lvl>
  </w:abstractNum>
  <w:abstractNum w:abstractNumId="3">
    <w:nsid w:val="CD50C85E"/>
    <w:multiLevelType w:val="singleLevel"/>
    <w:tmpl w:val="CD50C85E"/>
    <w:lvl w:ilvl="0" w:tentative="0">
      <w:start w:val="30"/>
      <w:numFmt w:val="decimal"/>
      <w:suff w:val="space"/>
      <w:lvlText w:val="%1."/>
      <w:lvlJc w:val="left"/>
    </w:lvl>
  </w:abstractNum>
  <w:abstractNum w:abstractNumId="4">
    <w:nsid w:val="0000000E"/>
    <w:multiLevelType w:val="multilevel"/>
    <w:tmpl w:val="0000000E"/>
    <w:lvl w:ilvl="0" w:tentative="0">
      <w:start w:val="1"/>
      <w:numFmt w:val="decimal"/>
      <w:pStyle w:val="94"/>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8777306"/>
    <w:multiLevelType w:val="multilevel"/>
    <w:tmpl w:val="08777306"/>
    <w:lvl w:ilvl="0" w:tentative="0">
      <w:start w:val="1"/>
      <w:numFmt w:val="decimal"/>
      <w:pStyle w:val="299"/>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8">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9">
    <w:nsid w:val="339CA047"/>
    <w:multiLevelType w:val="singleLevel"/>
    <w:tmpl w:val="339CA047"/>
    <w:lvl w:ilvl="0" w:tentative="0">
      <w:start w:val="15"/>
      <w:numFmt w:val="decimal"/>
      <w:suff w:val="space"/>
      <w:lvlText w:val="%1."/>
      <w:lvlJc w:val="left"/>
    </w:lvl>
  </w:abstractNum>
  <w:abstractNum w:abstractNumId="10">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4D2D7C9"/>
    <w:multiLevelType w:val="singleLevel"/>
    <w:tmpl w:val="64D2D7C9"/>
    <w:lvl w:ilvl="0" w:tentative="0">
      <w:start w:val="1"/>
      <w:numFmt w:val="decimal"/>
      <w:suff w:val="nothing"/>
      <w:lvlText w:val="%1、"/>
      <w:lvlJc w:val="left"/>
    </w:lvl>
  </w:abstractNum>
  <w:abstractNum w:abstractNumId="12">
    <w:nsid w:val="6CEA2025"/>
    <w:multiLevelType w:val="multilevel"/>
    <w:tmpl w:val="6CEA2025"/>
    <w:lvl w:ilvl="0" w:tentative="0">
      <w:start w:val="1"/>
      <w:numFmt w:val="none"/>
      <w:pStyle w:val="242"/>
      <w:suff w:val="nothing"/>
      <w:lvlText w:val="%1"/>
      <w:lvlJc w:val="left"/>
      <w:pPr>
        <w:ind w:left="0" w:firstLine="0"/>
      </w:pPr>
      <w:rPr>
        <w:rFonts w:hint="default" w:ascii="Times New Roman" w:hAnsi="Times New Roman"/>
        <w:b/>
        <w:i w:val="0"/>
        <w:sz w:val="21"/>
      </w:rPr>
    </w:lvl>
    <w:lvl w:ilvl="1" w:tentative="0">
      <w:start w:val="1"/>
      <w:numFmt w:val="decimal"/>
      <w:pStyle w:val="243"/>
      <w:suff w:val="nothing"/>
      <w:lvlText w:val="%1%2　"/>
      <w:lvlJc w:val="left"/>
      <w:pPr>
        <w:ind w:left="315" w:firstLine="0"/>
      </w:pPr>
      <w:rPr>
        <w:rFonts w:hint="eastAsia" w:ascii="黑体" w:hAnsi="Times New Roman" w:eastAsia="黑体"/>
        <w:b w:val="0"/>
        <w:i w:val="0"/>
        <w:sz w:val="21"/>
      </w:rPr>
    </w:lvl>
    <w:lvl w:ilvl="2" w:tentative="0">
      <w:start w:val="1"/>
      <w:numFmt w:val="decimal"/>
      <w:pStyle w:val="244"/>
      <w:suff w:val="nothing"/>
      <w:lvlText w:val="%1%2.%3　"/>
      <w:lvlJc w:val="left"/>
      <w:pPr>
        <w:ind w:left="630" w:firstLine="0"/>
      </w:pPr>
      <w:rPr>
        <w:rFonts w:hint="eastAsia" w:ascii="黑体" w:hAnsi="Times New Roman" w:eastAsia="黑体"/>
        <w:b w:val="0"/>
        <w:i w:val="0"/>
        <w:sz w:val="21"/>
      </w:rPr>
    </w:lvl>
    <w:lvl w:ilvl="3" w:tentative="0">
      <w:start w:val="1"/>
      <w:numFmt w:val="decimal"/>
      <w:pStyle w:val="245"/>
      <w:suff w:val="nothing"/>
      <w:lvlText w:val="%1%2.%3.%4　"/>
      <w:lvlJc w:val="left"/>
      <w:pPr>
        <w:ind w:left="567" w:firstLine="0"/>
      </w:pPr>
      <w:rPr>
        <w:rFonts w:hint="eastAsia" w:ascii="黑体" w:hAnsi="Times New Roman" w:eastAsia="黑体"/>
        <w:b w:val="0"/>
        <w:i w:val="0"/>
        <w:sz w:val="21"/>
      </w:rPr>
    </w:lvl>
    <w:lvl w:ilvl="4" w:tentative="0">
      <w:start w:val="1"/>
      <w:numFmt w:val="decimal"/>
      <w:pStyle w:val="247"/>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8"/>
      <w:suff w:val="nothing"/>
      <w:lvlText w:val="%1%2.%3.%4.%5.%6　"/>
      <w:lvlJc w:val="left"/>
      <w:pPr>
        <w:ind w:left="0" w:firstLine="0"/>
      </w:pPr>
      <w:rPr>
        <w:rFonts w:hint="eastAsia" w:ascii="黑体" w:hAnsi="Times New Roman" w:eastAsia="黑体"/>
        <w:b w:val="0"/>
        <w:i w:val="0"/>
        <w:sz w:val="21"/>
      </w:rPr>
    </w:lvl>
    <w:lvl w:ilvl="6" w:tentative="0">
      <w:start w:val="1"/>
      <w:numFmt w:val="decimal"/>
      <w:pStyle w:val="249"/>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4">
    <w:nsid w:val="76933334"/>
    <w:multiLevelType w:val="multilevel"/>
    <w:tmpl w:val="76933334"/>
    <w:lvl w:ilvl="0" w:tentative="0">
      <w:start w:val="1"/>
      <w:numFmt w:val="none"/>
      <w:pStyle w:val="246"/>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4"/>
  </w:num>
  <w:num w:numId="3">
    <w:abstractNumId w:val="12"/>
  </w:num>
  <w:num w:numId="4">
    <w:abstractNumId w:val="14"/>
  </w:num>
  <w:num w:numId="5">
    <w:abstractNumId w:val="6"/>
  </w:num>
  <w:num w:numId="6">
    <w:abstractNumId w:val="10"/>
  </w:num>
  <w:num w:numId="7">
    <w:abstractNumId w:val="8"/>
  </w:num>
  <w:num w:numId="8">
    <w:abstractNumId w:val="9"/>
  </w:num>
  <w:num w:numId="9">
    <w:abstractNumId w:val="7"/>
  </w:num>
  <w:num w:numId="10">
    <w:abstractNumId w:val="3"/>
  </w:num>
  <w:num w:numId="11">
    <w:abstractNumId w:val="0"/>
  </w:num>
  <w:num w:numId="12">
    <w:abstractNumId w:val="1"/>
  </w:num>
  <w:num w:numId="13">
    <w:abstractNumId w:val="2"/>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AyZDcyNjBlOTIyNjYzMWNhNGE2ZGIzMDIzZjQ4ZGEifQ=="/>
  </w:docVars>
  <w:rsids>
    <w:rsidRoot w:val="00172A27"/>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6091"/>
    <w:rsid w:val="003E6268"/>
    <w:rsid w:val="003F1C9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E64B8"/>
    <w:rsid w:val="008F2A45"/>
    <w:rsid w:val="008F42F1"/>
    <w:rsid w:val="008F45D0"/>
    <w:rsid w:val="008F79E3"/>
    <w:rsid w:val="00902DE7"/>
    <w:rsid w:val="00904AE8"/>
    <w:rsid w:val="00912229"/>
    <w:rsid w:val="00921008"/>
    <w:rsid w:val="00921EB2"/>
    <w:rsid w:val="009238F5"/>
    <w:rsid w:val="0093690A"/>
    <w:rsid w:val="00947390"/>
    <w:rsid w:val="0095414E"/>
    <w:rsid w:val="00954420"/>
    <w:rsid w:val="00957118"/>
    <w:rsid w:val="00961697"/>
    <w:rsid w:val="00972AD9"/>
    <w:rsid w:val="00972D74"/>
    <w:rsid w:val="00976425"/>
    <w:rsid w:val="009808B4"/>
    <w:rsid w:val="009864F9"/>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E695E"/>
    <w:rsid w:val="009F56F2"/>
    <w:rsid w:val="00A02B60"/>
    <w:rsid w:val="00A1373A"/>
    <w:rsid w:val="00A13B44"/>
    <w:rsid w:val="00A26715"/>
    <w:rsid w:val="00A30D88"/>
    <w:rsid w:val="00A32E49"/>
    <w:rsid w:val="00A32FE3"/>
    <w:rsid w:val="00A34F06"/>
    <w:rsid w:val="00A36EA1"/>
    <w:rsid w:val="00A37966"/>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1B6A"/>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A56820"/>
    <w:rsid w:val="01DB0F21"/>
    <w:rsid w:val="01DE3F70"/>
    <w:rsid w:val="01DE613F"/>
    <w:rsid w:val="01F85948"/>
    <w:rsid w:val="02186080"/>
    <w:rsid w:val="027D1EDC"/>
    <w:rsid w:val="02AA6F17"/>
    <w:rsid w:val="02AF2A63"/>
    <w:rsid w:val="02E6429D"/>
    <w:rsid w:val="03247DD0"/>
    <w:rsid w:val="032E5AB3"/>
    <w:rsid w:val="03575046"/>
    <w:rsid w:val="04131CA3"/>
    <w:rsid w:val="043D799D"/>
    <w:rsid w:val="04874841"/>
    <w:rsid w:val="04AF0DC0"/>
    <w:rsid w:val="05CA3B1B"/>
    <w:rsid w:val="05D40F8A"/>
    <w:rsid w:val="05E97CB2"/>
    <w:rsid w:val="060D6A3B"/>
    <w:rsid w:val="06193B1E"/>
    <w:rsid w:val="06383C8B"/>
    <w:rsid w:val="06C6067E"/>
    <w:rsid w:val="06DC3BA7"/>
    <w:rsid w:val="06FC43AA"/>
    <w:rsid w:val="0707497A"/>
    <w:rsid w:val="07394A3D"/>
    <w:rsid w:val="07416329"/>
    <w:rsid w:val="07501B9E"/>
    <w:rsid w:val="082A539E"/>
    <w:rsid w:val="0838785B"/>
    <w:rsid w:val="087D0B78"/>
    <w:rsid w:val="089D09E4"/>
    <w:rsid w:val="0920129B"/>
    <w:rsid w:val="094A3C17"/>
    <w:rsid w:val="09823E4D"/>
    <w:rsid w:val="09BE14D8"/>
    <w:rsid w:val="09D07374"/>
    <w:rsid w:val="0A0D6516"/>
    <w:rsid w:val="0A1D1D54"/>
    <w:rsid w:val="0A4B18CE"/>
    <w:rsid w:val="0A564F06"/>
    <w:rsid w:val="0A825391"/>
    <w:rsid w:val="0AB974EA"/>
    <w:rsid w:val="0AC800D5"/>
    <w:rsid w:val="0AFA19A7"/>
    <w:rsid w:val="0B181252"/>
    <w:rsid w:val="0B2543AA"/>
    <w:rsid w:val="0B257F25"/>
    <w:rsid w:val="0B615BDF"/>
    <w:rsid w:val="0B651CEF"/>
    <w:rsid w:val="0BB92B3C"/>
    <w:rsid w:val="0C275A89"/>
    <w:rsid w:val="0C5178DA"/>
    <w:rsid w:val="0C7D78EA"/>
    <w:rsid w:val="0CBB5882"/>
    <w:rsid w:val="0D1A60CC"/>
    <w:rsid w:val="0D20436B"/>
    <w:rsid w:val="0D531CDF"/>
    <w:rsid w:val="0DC6629D"/>
    <w:rsid w:val="0DCA3125"/>
    <w:rsid w:val="0E0E36CF"/>
    <w:rsid w:val="0E416A77"/>
    <w:rsid w:val="0E7B7367"/>
    <w:rsid w:val="0EA34036"/>
    <w:rsid w:val="0EB63F9D"/>
    <w:rsid w:val="0F0770E4"/>
    <w:rsid w:val="0F307456"/>
    <w:rsid w:val="0F54794B"/>
    <w:rsid w:val="0F6A354E"/>
    <w:rsid w:val="0F88478D"/>
    <w:rsid w:val="0FAC41C6"/>
    <w:rsid w:val="0FB73DA5"/>
    <w:rsid w:val="0FDE2587"/>
    <w:rsid w:val="0FE34F72"/>
    <w:rsid w:val="101D1679"/>
    <w:rsid w:val="102371FD"/>
    <w:rsid w:val="10507757"/>
    <w:rsid w:val="10704ACD"/>
    <w:rsid w:val="107A1082"/>
    <w:rsid w:val="109E7189"/>
    <w:rsid w:val="111D1ABB"/>
    <w:rsid w:val="112B3E2A"/>
    <w:rsid w:val="11433684"/>
    <w:rsid w:val="115206FB"/>
    <w:rsid w:val="117B2614"/>
    <w:rsid w:val="118E287A"/>
    <w:rsid w:val="11B40613"/>
    <w:rsid w:val="11BE2022"/>
    <w:rsid w:val="11D83EA2"/>
    <w:rsid w:val="122510EE"/>
    <w:rsid w:val="12374FDD"/>
    <w:rsid w:val="12405481"/>
    <w:rsid w:val="124E686B"/>
    <w:rsid w:val="128D1331"/>
    <w:rsid w:val="12C1355D"/>
    <w:rsid w:val="12C21534"/>
    <w:rsid w:val="12EF7289"/>
    <w:rsid w:val="130044B9"/>
    <w:rsid w:val="134D5A81"/>
    <w:rsid w:val="136E44BE"/>
    <w:rsid w:val="13B2147E"/>
    <w:rsid w:val="13BF6991"/>
    <w:rsid w:val="13F95DC4"/>
    <w:rsid w:val="14084BC5"/>
    <w:rsid w:val="140E4047"/>
    <w:rsid w:val="141C612A"/>
    <w:rsid w:val="142A3E2D"/>
    <w:rsid w:val="144A7973"/>
    <w:rsid w:val="14AD546B"/>
    <w:rsid w:val="14FB7DA2"/>
    <w:rsid w:val="158710F3"/>
    <w:rsid w:val="159A133D"/>
    <w:rsid w:val="15C772F3"/>
    <w:rsid w:val="15CE4C34"/>
    <w:rsid w:val="15F0775C"/>
    <w:rsid w:val="160A00B1"/>
    <w:rsid w:val="160A0AD0"/>
    <w:rsid w:val="165A3140"/>
    <w:rsid w:val="165B6F79"/>
    <w:rsid w:val="166E5EB0"/>
    <w:rsid w:val="169F7CD8"/>
    <w:rsid w:val="16D127A1"/>
    <w:rsid w:val="16F50974"/>
    <w:rsid w:val="173D2841"/>
    <w:rsid w:val="176F3A30"/>
    <w:rsid w:val="1820060E"/>
    <w:rsid w:val="18205BA9"/>
    <w:rsid w:val="18370FAA"/>
    <w:rsid w:val="188D7D42"/>
    <w:rsid w:val="18C45643"/>
    <w:rsid w:val="195E155B"/>
    <w:rsid w:val="19AA702C"/>
    <w:rsid w:val="19AC2DAC"/>
    <w:rsid w:val="19E24CAD"/>
    <w:rsid w:val="19E725CF"/>
    <w:rsid w:val="1A0C41D1"/>
    <w:rsid w:val="1A336BE7"/>
    <w:rsid w:val="1A4572C8"/>
    <w:rsid w:val="1A612D7C"/>
    <w:rsid w:val="1A807E72"/>
    <w:rsid w:val="1A8A2A47"/>
    <w:rsid w:val="1AA72BF2"/>
    <w:rsid w:val="1B16166A"/>
    <w:rsid w:val="1B284103"/>
    <w:rsid w:val="1B5E3332"/>
    <w:rsid w:val="1BB93E83"/>
    <w:rsid w:val="1BC644B6"/>
    <w:rsid w:val="1C1A14B0"/>
    <w:rsid w:val="1C613AB1"/>
    <w:rsid w:val="1C804421"/>
    <w:rsid w:val="1C8C0466"/>
    <w:rsid w:val="1D0121D0"/>
    <w:rsid w:val="1D5B524F"/>
    <w:rsid w:val="1D6D3522"/>
    <w:rsid w:val="1DBE7F5B"/>
    <w:rsid w:val="1DCA2EF0"/>
    <w:rsid w:val="1DD62994"/>
    <w:rsid w:val="1DFA7416"/>
    <w:rsid w:val="1E5459C8"/>
    <w:rsid w:val="1E640080"/>
    <w:rsid w:val="1E852BA7"/>
    <w:rsid w:val="1F0028D1"/>
    <w:rsid w:val="1F474868"/>
    <w:rsid w:val="1F883C9F"/>
    <w:rsid w:val="1FB94E27"/>
    <w:rsid w:val="1FF41576"/>
    <w:rsid w:val="202C000E"/>
    <w:rsid w:val="209029CB"/>
    <w:rsid w:val="20AF20C5"/>
    <w:rsid w:val="20ED7306"/>
    <w:rsid w:val="20F96916"/>
    <w:rsid w:val="21001588"/>
    <w:rsid w:val="211106C5"/>
    <w:rsid w:val="21431785"/>
    <w:rsid w:val="219E251A"/>
    <w:rsid w:val="21A32365"/>
    <w:rsid w:val="21AD0E84"/>
    <w:rsid w:val="21C24F4B"/>
    <w:rsid w:val="22071464"/>
    <w:rsid w:val="222731C9"/>
    <w:rsid w:val="2232235C"/>
    <w:rsid w:val="22D4658B"/>
    <w:rsid w:val="22E66E75"/>
    <w:rsid w:val="23291785"/>
    <w:rsid w:val="234459FC"/>
    <w:rsid w:val="235B40E2"/>
    <w:rsid w:val="23710488"/>
    <w:rsid w:val="23752AC1"/>
    <w:rsid w:val="23BB002C"/>
    <w:rsid w:val="23C33515"/>
    <w:rsid w:val="23F1680C"/>
    <w:rsid w:val="243E15D5"/>
    <w:rsid w:val="24551238"/>
    <w:rsid w:val="25224672"/>
    <w:rsid w:val="25250089"/>
    <w:rsid w:val="25252A8D"/>
    <w:rsid w:val="254A5A9B"/>
    <w:rsid w:val="25604D6B"/>
    <w:rsid w:val="259300DB"/>
    <w:rsid w:val="25D54115"/>
    <w:rsid w:val="25F72F27"/>
    <w:rsid w:val="260F4C55"/>
    <w:rsid w:val="26291B1A"/>
    <w:rsid w:val="267C3983"/>
    <w:rsid w:val="26C20F14"/>
    <w:rsid w:val="26D82BDE"/>
    <w:rsid w:val="26DC7FF3"/>
    <w:rsid w:val="26EB0757"/>
    <w:rsid w:val="26FD42C6"/>
    <w:rsid w:val="270101AC"/>
    <w:rsid w:val="274D71B2"/>
    <w:rsid w:val="2751147F"/>
    <w:rsid w:val="27897BCF"/>
    <w:rsid w:val="279C6957"/>
    <w:rsid w:val="27D32B77"/>
    <w:rsid w:val="27DE5929"/>
    <w:rsid w:val="27E14C4C"/>
    <w:rsid w:val="28686312"/>
    <w:rsid w:val="286C62A1"/>
    <w:rsid w:val="28A069B8"/>
    <w:rsid w:val="28F72971"/>
    <w:rsid w:val="29072AAC"/>
    <w:rsid w:val="2A3073E0"/>
    <w:rsid w:val="2A9F5945"/>
    <w:rsid w:val="2AE35535"/>
    <w:rsid w:val="2B496FA3"/>
    <w:rsid w:val="2B9257BC"/>
    <w:rsid w:val="2BB024B4"/>
    <w:rsid w:val="2BC60F98"/>
    <w:rsid w:val="2BE131CE"/>
    <w:rsid w:val="2BE66FCE"/>
    <w:rsid w:val="2C066A1A"/>
    <w:rsid w:val="2C0B4AE6"/>
    <w:rsid w:val="2C4542D3"/>
    <w:rsid w:val="2C8165FA"/>
    <w:rsid w:val="2C830AA3"/>
    <w:rsid w:val="2CAC7CBD"/>
    <w:rsid w:val="2CCC08A3"/>
    <w:rsid w:val="2CE9585D"/>
    <w:rsid w:val="2D0A514C"/>
    <w:rsid w:val="2D50069C"/>
    <w:rsid w:val="2DA91EC5"/>
    <w:rsid w:val="2DAC65FE"/>
    <w:rsid w:val="2DB235BF"/>
    <w:rsid w:val="2DC6496F"/>
    <w:rsid w:val="2DCF77B8"/>
    <w:rsid w:val="2E577392"/>
    <w:rsid w:val="2E8B1B62"/>
    <w:rsid w:val="2E970AE4"/>
    <w:rsid w:val="2EB227A5"/>
    <w:rsid w:val="2EF42F7F"/>
    <w:rsid w:val="2F5E00A3"/>
    <w:rsid w:val="2F822BAC"/>
    <w:rsid w:val="301F6139"/>
    <w:rsid w:val="30641E74"/>
    <w:rsid w:val="30810E1D"/>
    <w:rsid w:val="30B639B5"/>
    <w:rsid w:val="314067D8"/>
    <w:rsid w:val="314256C4"/>
    <w:rsid w:val="31C84451"/>
    <w:rsid w:val="32613622"/>
    <w:rsid w:val="329F04E5"/>
    <w:rsid w:val="32A2499D"/>
    <w:rsid w:val="32D54349"/>
    <w:rsid w:val="32EB7033"/>
    <w:rsid w:val="32F9755F"/>
    <w:rsid w:val="331B2806"/>
    <w:rsid w:val="333214D1"/>
    <w:rsid w:val="3370495E"/>
    <w:rsid w:val="33A7303A"/>
    <w:rsid w:val="33CC0FC6"/>
    <w:rsid w:val="33DD0EAC"/>
    <w:rsid w:val="340A165C"/>
    <w:rsid w:val="34143D51"/>
    <w:rsid w:val="34302898"/>
    <w:rsid w:val="345B460B"/>
    <w:rsid w:val="34655037"/>
    <w:rsid w:val="348E2B4F"/>
    <w:rsid w:val="34BF6ACC"/>
    <w:rsid w:val="35146C18"/>
    <w:rsid w:val="35482A8B"/>
    <w:rsid w:val="35C97D56"/>
    <w:rsid w:val="35EE5D6B"/>
    <w:rsid w:val="35F9426D"/>
    <w:rsid w:val="3637765B"/>
    <w:rsid w:val="363A3F05"/>
    <w:rsid w:val="365311E6"/>
    <w:rsid w:val="367112A8"/>
    <w:rsid w:val="370C260B"/>
    <w:rsid w:val="372A47EB"/>
    <w:rsid w:val="375445E4"/>
    <w:rsid w:val="376964D6"/>
    <w:rsid w:val="377B454E"/>
    <w:rsid w:val="379C3619"/>
    <w:rsid w:val="37AF0D87"/>
    <w:rsid w:val="38CC73F3"/>
    <w:rsid w:val="394C4CFD"/>
    <w:rsid w:val="395B66C1"/>
    <w:rsid w:val="39AE15AC"/>
    <w:rsid w:val="39C0082C"/>
    <w:rsid w:val="39C50F72"/>
    <w:rsid w:val="39DF70D6"/>
    <w:rsid w:val="39E83FB4"/>
    <w:rsid w:val="3A153790"/>
    <w:rsid w:val="3A1F11A7"/>
    <w:rsid w:val="3A66582B"/>
    <w:rsid w:val="3A86575A"/>
    <w:rsid w:val="3AB94A5A"/>
    <w:rsid w:val="3AC33812"/>
    <w:rsid w:val="3B115AB0"/>
    <w:rsid w:val="3B341FC1"/>
    <w:rsid w:val="3B6F11E8"/>
    <w:rsid w:val="3B732683"/>
    <w:rsid w:val="3B851216"/>
    <w:rsid w:val="3BB82490"/>
    <w:rsid w:val="3BCB5D7E"/>
    <w:rsid w:val="3C274A6B"/>
    <w:rsid w:val="3C7B32B9"/>
    <w:rsid w:val="3C8B7E22"/>
    <w:rsid w:val="3D0B4A9A"/>
    <w:rsid w:val="3D1A1ACB"/>
    <w:rsid w:val="3D210DFB"/>
    <w:rsid w:val="3DA349DC"/>
    <w:rsid w:val="3DDA07CA"/>
    <w:rsid w:val="3E3457B0"/>
    <w:rsid w:val="3E9753EA"/>
    <w:rsid w:val="3EE41CB3"/>
    <w:rsid w:val="3F002F99"/>
    <w:rsid w:val="3F192702"/>
    <w:rsid w:val="3F5E71A0"/>
    <w:rsid w:val="3FAA346A"/>
    <w:rsid w:val="3FAB317E"/>
    <w:rsid w:val="3FCB3FC8"/>
    <w:rsid w:val="3FEF5D91"/>
    <w:rsid w:val="401F5C39"/>
    <w:rsid w:val="40602185"/>
    <w:rsid w:val="406D3C7A"/>
    <w:rsid w:val="40DD4529"/>
    <w:rsid w:val="40EC4756"/>
    <w:rsid w:val="414F6A63"/>
    <w:rsid w:val="41C041B9"/>
    <w:rsid w:val="41E371A6"/>
    <w:rsid w:val="42603601"/>
    <w:rsid w:val="427D695B"/>
    <w:rsid w:val="42B01A80"/>
    <w:rsid w:val="42B540C6"/>
    <w:rsid w:val="43124DBF"/>
    <w:rsid w:val="43195313"/>
    <w:rsid w:val="435C4BA0"/>
    <w:rsid w:val="43B613AF"/>
    <w:rsid w:val="43B66C93"/>
    <w:rsid w:val="43D625E1"/>
    <w:rsid w:val="44301DB4"/>
    <w:rsid w:val="44781DAA"/>
    <w:rsid w:val="44CA357E"/>
    <w:rsid w:val="450B1F42"/>
    <w:rsid w:val="452A12B9"/>
    <w:rsid w:val="455C4456"/>
    <w:rsid w:val="455E3F4C"/>
    <w:rsid w:val="45CF460B"/>
    <w:rsid w:val="45D445C1"/>
    <w:rsid w:val="45E27E1E"/>
    <w:rsid w:val="45E609BD"/>
    <w:rsid w:val="461D562C"/>
    <w:rsid w:val="46720AFB"/>
    <w:rsid w:val="468D60ED"/>
    <w:rsid w:val="470316C4"/>
    <w:rsid w:val="471C4580"/>
    <w:rsid w:val="47647DBB"/>
    <w:rsid w:val="476F4FDA"/>
    <w:rsid w:val="47802EE5"/>
    <w:rsid w:val="47AC7367"/>
    <w:rsid w:val="47BA5BC1"/>
    <w:rsid w:val="47C7285C"/>
    <w:rsid w:val="483913CA"/>
    <w:rsid w:val="487519F9"/>
    <w:rsid w:val="487B478F"/>
    <w:rsid w:val="48994A57"/>
    <w:rsid w:val="48CD3A8B"/>
    <w:rsid w:val="490421D8"/>
    <w:rsid w:val="497F756E"/>
    <w:rsid w:val="49AB459C"/>
    <w:rsid w:val="49FF2B43"/>
    <w:rsid w:val="4A0A5885"/>
    <w:rsid w:val="4ACA0315"/>
    <w:rsid w:val="4AD6576E"/>
    <w:rsid w:val="4B045CDA"/>
    <w:rsid w:val="4B073A5C"/>
    <w:rsid w:val="4B304A73"/>
    <w:rsid w:val="4B44760D"/>
    <w:rsid w:val="4B5C5D27"/>
    <w:rsid w:val="4B5E326D"/>
    <w:rsid w:val="4B840ACD"/>
    <w:rsid w:val="4B8C42AD"/>
    <w:rsid w:val="4BF72474"/>
    <w:rsid w:val="4C4F0B45"/>
    <w:rsid w:val="4C513A35"/>
    <w:rsid w:val="4C892141"/>
    <w:rsid w:val="4CB132DA"/>
    <w:rsid w:val="4D5D27E0"/>
    <w:rsid w:val="4D775CC7"/>
    <w:rsid w:val="4DA969FC"/>
    <w:rsid w:val="4DB73FDD"/>
    <w:rsid w:val="4DD85CF1"/>
    <w:rsid w:val="4E16053E"/>
    <w:rsid w:val="4F066320"/>
    <w:rsid w:val="4F0C4606"/>
    <w:rsid w:val="4F0D6C19"/>
    <w:rsid w:val="4F4E6EBF"/>
    <w:rsid w:val="4F7D4C71"/>
    <w:rsid w:val="4FA26F09"/>
    <w:rsid w:val="4FCA7073"/>
    <w:rsid w:val="4FE259E9"/>
    <w:rsid w:val="501D7C2E"/>
    <w:rsid w:val="5082200D"/>
    <w:rsid w:val="50A218B6"/>
    <w:rsid w:val="511B523C"/>
    <w:rsid w:val="512C7508"/>
    <w:rsid w:val="52321D93"/>
    <w:rsid w:val="52533FC1"/>
    <w:rsid w:val="52F538E2"/>
    <w:rsid w:val="52FA3C35"/>
    <w:rsid w:val="532F7F67"/>
    <w:rsid w:val="53DA43C4"/>
    <w:rsid w:val="53E267AB"/>
    <w:rsid w:val="54136018"/>
    <w:rsid w:val="54136627"/>
    <w:rsid w:val="54D02C4B"/>
    <w:rsid w:val="550F29EB"/>
    <w:rsid w:val="55112B45"/>
    <w:rsid w:val="55351206"/>
    <w:rsid w:val="55547DEE"/>
    <w:rsid w:val="55653C63"/>
    <w:rsid w:val="558F79BB"/>
    <w:rsid w:val="55A649AE"/>
    <w:rsid w:val="55D93627"/>
    <w:rsid w:val="561F4D2F"/>
    <w:rsid w:val="56602AF8"/>
    <w:rsid w:val="56661590"/>
    <w:rsid w:val="569D1848"/>
    <w:rsid w:val="56B13A64"/>
    <w:rsid w:val="56BA3AA0"/>
    <w:rsid w:val="56CF6D97"/>
    <w:rsid w:val="56D66689"/>
    <w:rsid w:val="56F523BD"/>
    <w:rsid w:val="570E46A2"/>
    <w:rsid w:val="572823EA"/>
    <w:rsid w:val="57847C36"/>
    <w:rsid w:val="57D4349D"/>
    <w:rsid w:val="57DE4FF5"/>
    <w:rsid w:val="57FF4755"/>
    <w:rsid w:val="5867454D"/>
    <w:rsid w:val="586A742C"/>
    <w:rsid w:val="587E2A9C"/>
    <w:rsid w:val="5881039C"/>
    <w:rsid w:val="588F1F45"/>
    <w:rsid w:val="58C134D7"/>
    <w:rsid w:val="58C94C3F"/>
    <w:rsid w:val="591E42EB"/>
    <w:rsid w:val="592A1676"/>
    <w:rsid w:val="5943457B"/>
    <w:rsid w:val="5986548D"/>
    <w:rsid w:val="599979EE"/>
    <w:rsid w:val="59E71DDE"/>
    <w:rsid w:val="5A064D2E"/>
    <w:rsid w:val="5A53496E"/>
    <w:rsid w:val="5A7756D8"/>
    <w:rsid w:val="5A8A1668"/>
    <w:rsid w:val="5A96078C"/>
    <w:rsid w:val="5AA441C4"/>
    <w:rsid w:val="5ABB0552"/>
    <w:rsid w:val="5AC87CD6"/>
    <w:rsid w:val="5AE85A5C"/>
    <w:rsid w:val="5B693839"/>
    <w:rsid w:val="5B8D1831"/>
    <w:rsid w:val="5C140850"/>
    <w:rsid w:val="5C422D43"/>
    <w:rsid w:val="5C4A2BD7"/>
    <w:rsid w:val="5CAF68F6"/>
    <w:rsid w:val="5CBE64BF"/>
    <w:rsid w:val="5CD34BA6"/>
    <w:rsid w:val="5CF84E92"/>
    <w:rsid w:val="5D213D72"/>
    <w:rsid w:val="5D63632E"/>
    <w:rsid w:val="5DF734B0"/>
    <w:rsid w:val="5E2775BD"/>
    <w:rsid w:val="5E504C73"/>
    <w:rsid w:val="5E853EBA"/>
    <w:rsid w:val="5E985E8A"/>
    <w:rsid w:val="5F0C7F46"/>
    <w:rsid w:val="5F8C2E6F"/>
    <w:rsid w:val="5FB455AB"/>
    <w:rsid w:val="5FD8479E"/>
    <w:rsid w:val="5FEF4FD0"/>
    <w:rsid w:val="5FF11588"/>
    <w:rsid w:val="60007108"/>
    <w:rsid w:val="60585DBB"/>
    <w:rsid w:val="61374D95"/>
    <w:rsid w:val="61394E2C"/>
    <w:rsid w:val="61B056D3"/>
    <w:rsid w:val="61C8132B"/>
    <w:rsid w:val="621C7A8F"/>
    <w:rsid w:val="62737F77"/>
    <w:rsid w:val="62F475B6"/>
    <w:rsid w:val="630C6A64"/>
    <w:rsid w:val="63847100"/>
    <w:rsid w:val="63964CCA"/>
    <w:rsid w:val="6399764D"/>
    <w:rsid w:val="63F44853"/>
    <w:rsid w:val="640F6E0B"/>
    <w:rsid w:val="64E14B8D"/>
    <w:rsid w:val="652A2E44"/>
    <w:rsid w:val="65312DB1"/>
    <w:rsid w:val="654E4849"/>
    <w:rsid w:val="65686657"/>
    <w:rsid w:val="65BD69EB"/>
    <w:rsid w:val="664977CF"/>
    <w:rsid w:val="66C719F1"/>
    <w:rsid w:val="66EC4975"/>
    <w:rsid w:val="67016B09"/>
    <w:rsid w:val="671431D5"/>
    <w:rsid w:val="67517D25"/>
    <w:rsid w:val="677F7E04"/>
    <w:rsid w:val="67881188"/>
    <w:rsid w:val="67D17DDB"/>
    <w:rsid w:val="681B27B3"/>
    <w:rsid w:val="682871D9"/>
    <w:rsid w:val="683116BC"/>
    <w:rsid w:val="683410E1"/>
    <w:rsid w:val="688F23C2"/>
    <w:rsid w:val="688F3871"/>
    <w:rsid w:val="68D47E36"/>
    <w:rsid w:val="68E74072"/>
    <w:rsid w:val="68E76ADD"/>
    <w:rsid w:val="69173BDC"/>
    <w:rsid w:val="692E081B"/>
    <w:rsid w:val="69396C1E"/>
    <w:rsid w:val="6952243A"/>
    <w:rsid w:val="69BD4674"/>
    <w:rsid w:val="69D1025B"/>
    <w:rsid w:val="6A036769"/>
    <w:rsid w:val="6A52291B"/>
    <w:rsid w:val="6A7B10E5"/>
    <w:rsid w:val="6A817F02"/>
    <w:rsid w:val="6A8C58DC"/>
    <w:rsid w:val="6AAD3E42"/>
    <w:rsid w:val="6AFD3370"/>
    <w:rsid w:val="6B351E6F"/>
    <w:rsid w:val="6B6E546F"/>
    <w:rsid w:val="6B7A4051"/>
    <w:rsid w:val="6BE14999"/>
    <w:rsid w:val="6BFB5FD1"/>
    <w:rsid w:val="6CD6744A"/>
    <w:rsid w:val="6D12175F"/>
    <w:rsid w:val="6D1F5AF0"/>
    <w:rsid w:val="6D524854"/>
    <w:rsid w:val="6D8F5C35"/>
    <w:rsid w:val="6DC25164"/>
    <w:rsid w:val="6E254B81"/>
    <w:rsid w:val="6E5E2FB2"/>
    <w:rsid w:val="6EA92514"/>
    <w:rsid w:val="6F1F438F"/>
    <w:rsid w:val="6F3657AD"/>
    <w:rsid w:val="6F4034D9"/>
    <w:rsid w:val="6F59436E"/>
    <w:rsid w:val="6F927414"/>
    <w:rsid w:val="6F974373"/>
    <w:rsid w:val="6FC74058"/>
    <w:rsid w:val="6FFD2AA1"/>
    <w:rsid w:val="70040E87"/>
    <w:rsid w:val="700C0F2F"/>
    <w:rsid w:val="704871A4"/>
    <w:rsid w:val="70592DFA"/>
    <w:rsid w:val="70694F36"/>
    <w:rsid w:val="70880C5C"/>
    <w:rsid w:val="70901A28"/>
    <w:rsid w:val="70B523D0"/>
    <w:rsid w:val="70DD3906"/>
    <w:rsid w:val="712E54BC"/>
    <w:rsid w:val="71690108"/>
    <w:rsid w:val="719B076B"/>
    <w:rsid w:val="719D4797"/>
    <w:rsid w:val="725C237B"/>
    <w:rsid w:val="72F85340"/>
    <w:rsid w:val="73393BC2"/>
    <w:rsid w:val="73662BEC"/>
    <w:rsid w:val="737B44DB"/>
    <w:rsid w:val="73F47B19"/>
    <w:rsid w:val="74262B1B"/>
    <w:rsid w:val="74807316"/>
    <w:rsid w:val="74A6094A"/>
    <w:rsid w:val="74B15375"/>
    <w:rsid w:val="74CC21DF"/>
    <w:rsid w:val="74E16F35"/>
    <w:rsid w:val="75062ACB"/>
    <w:rsid w:val="75532D3D"/>
    <w:rsid w:val="75B45F10"/>
    <w:rsid w:val="76164029"/>
    <w:rsid w:val="761F2330"/>
    <w:rsid w:val="763F26D5"/>
    <w:rsid w:val="764D0528"/>
    <w:rsid w:val="765D1AF1"/>
    <w:rsid w:val="7688510D"/>
    <w:rsid w:val="76C82F19"/>
    <w:rsid w:val="76EA2DC0"/>
    <w:rsid w:val="77045A49"/>
    <w:rsid w:val="77266E5A"/>
    <w:rsid w:val="77291B31"/>
    <w:rsid w:val="77352184"/>
    <w:rsid w:val="7738346E"/>
    <w:rsid w:val="7760226B"/>
    <w:rsid w:val="77701354"/>
    <w:rsid w:val="77750DFA"/>
    <w:rsid w:val="779011CC"/>
    <w:rsid w:val="779A189F"/>
    <w:rsid w:val="781F51BA"/>
    <w:rsid w:val="78494544"/>
    <w:rsid w:val="78497969"/>
    <w:rsid w:val="785B37DC"/>
    <w:rsid w:val="78E431C4"/>
    <w:rsid w:val="78EB4A40"/>
    <w:rsid w:val="797F672E"/>
    <w:rsid w:val="798977EC"/>
    <w:rsid w:val="79A16E92"/>
    <w:rsid w:val="79CB3DE1"/>
    <w:rsid w:val="79F944AF"/>
    <w:rsid w:val="7A20424A"/>
    <w:rsid w:val="7A2111EE"/>
    <w:rsid w:val="7A4413F9"/>
    <w:rsid w:val="7A807E04"/>
    <w:rsid w:val="7AEA0E27"/>
    <w:rsid w:val="7B16406B"/>
    <w:rsid w:val="7B720AC6"/>
    <w:rsid w:val="7BAF6112"/>
    <w:rsid w:val="7BC10C4F"/>
    <w:rsid w:val="7C15268D"/>
    <w:rsid w:val="7C5859F2"/>
    <w:rsid w:val="7C6E0440"/>
    <w:rsid w:val="7C735E4E"/>
    <w:rsid w:val="7D071AF5"/>
    <w:rsid w:val="7D594108"/>
    <w:rsid w:val="7D6E4798"/>
    <w:rsid w:val="7D7E7646"/>
    <w:rsid w:val="7D952F42"/>
    <w:rsid w:val="7DB511A5"/>
    <w:rsid w:val="7DC26738"/>
    <w:rsid w:val="7DE45B1A"/>
    <w:rsid w:val="7E972C19"/>
    <w:rsid w:val="7EBB2BFC"/>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3"/>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5"/>
    <w:qFormat/>
    <w:uiPriority w:val="99"/>
    <w:pPr>
      <w:spacing w:before="260" w:after="260" w:line="416" w:lineRule="atLeast"/>
      <w:outlineLvl w:val="1"/>
    </w:pPr>
    <w:rPr>
      <w:rFonts w:ascii="Cambria" w:hAnsi="Cambria"/>
      <w:sz w:val="32"/>
      <w:szCs w:val="32"/>
    </w:rPr>
  </w:style>
  <w:style w:type="paragraph" w:styleId="5">
    <w:name w:val="heading 3"/>
    <w:basedOn w:val="1"/>
    <w:next w:val="6"/>
    <w:link w:val="115"/>
    <w:qFormat/>
    <w:uiPriority w:val="99"/>
    <w:pPr>
      <w:tabs>
        <w:tab w:val="left" w:pos="588"/>
      </w:tabs>
      <w:spacing w:line="360" w:lineRule="auto"/>
      <w:outlineLvl w:val="2"/>
    </w:pPr>
    <w:rPr>
      <w:rFonts w:ascii="Tahoma" w:hAnsi="Tahoma"/>
    </w:rPr>
  </w:style>
  <w:style w:type="paragraph" w:styleId="7">
    <w:name w:val="heading 4"/>
    <w:basedOn w:val="1"/>
    <w:next w:val="1"/>
    <w:link w:val="142"/>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8">
    <w:name w:val="heading 5"/>
    <w:basedOn w:val="1"/>
    <w:next w:val="1"/>
    <w:link w:val="104"/>
    <w:qFormat/>
    <w:uiPriority w:val="99"/>
    <w:pPr>
      <w:keepNext/>
      <w:keepLines/>
      <w:spacing w:before="280" w:after="290" w:line="376" w:lineRule="auto"/>
      <w:ind w:left="1008" w:hanging="1008"/>
      <w:outlineLvl w:val="4"/>
    </w:pPr>
    <w:rPr>
      <w:b/>
      <w:bCs/>
      <w:sz w:val="24"/>
      <w:szCs w:val="28"/>
    </w:rPr>
  </w:style>
  <w:style w:type="paragraph" w:styleId="9">
    <w:name w:val="heading 6"/>
    <w:basedOn w:val="1"/>
    <w:next w:val="1"/>
    <w:link w:val="135"/>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0">
    <w:name w:val="heading 7"/>
    <w:basedOn w:val="1"/>
    <w:next w:val="1"/>
    <w:link w:val="125"/>
    <w:qFormat/>
    <w:uiPriority w:val="99"/>
    <w:pPr>
      <w:keepNext/>
      <w:keepLines/>
      <w:spacing w:before="240" w:after="64" w:line="320" w:lineRule="auto"/>
      <w:ind w:left="1296" w:hanging="1296"/>
      <w:outlineLvl w:val="6"/>
    </w:pPr>
    <w:rPr>
      <w:b/>
      <w:bCs/>
      <w:sz w:val="24"/>
      <w:szCs w:val="28"/>
    </w:rPr>
  </w:style>
  <w:style w:type="paragraph" w:styleId="11">
    <w:name w:val="heading 8"/>
    <w:basedOn w:val="1"/>
    <w:next w:val="1"/>
    <w:link w:val="110"/>
    <w:qFormat/>
    <w:uiPriority w:val="99"/>
    <w:pPr>
      <w:keepNext/>
      <w:keepLines/>
      <w:spacing w:before="240" w:after="64" w:line="320" w:lineRule="auto"/>
      <w:ind w:left="1440" w:hanging="1440"/>
      <w:outlineLvl w:val="7"/>
    </w:pPr>
    <w:rPr>
      <w:rFonts w:ascii="Arial" w:hAnsi="Arial" w:eastAsia="黑体"/>
      <w:sz w:val="24"/>
      <w:szCs w:val="28"/>
    </w:rPr>
  </w:style>
  <w:style w:type="paragraph" w:styleId="12">
    <w:name w:val="heading 9"/>
    <w:basedOn w:val="1"/>
    <w:next w:val="1"/>
    <w:link w:val="127"/>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39"/>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6">
    <w:name w:val="Normal Indent"/>
    <w:basedOn w:val="1"/>
    <w:link w:val="138"/>
    <w:qFormat/>
    <w:uiPriority w:val="0"/>
    <w:pPr>
      <w:spacing w:line="360" w:lineRule="auto"/>
      <w:ind w:firstLine="200" w:firstLineChars="200"/>
    </w:pPr>
    <w:rPr>
      <w:sz w:val="24"/>
      <w:szCs w:val="20"/>
    </w:rPr>
  </w:style>
  <w:style w:type="paragraph" w:styleId="13">
    <w:name w:val="toc 7"/>
    <w:basedOn w:val="1"/>
    <w:next w:val="1"/>
    <w:qFormat/>
    <w:uiPriority w:val="39"/>
    <w:pPr>
      <w:spacing w:line="440" w:lineRule="exact"/>
      <w:ind w:left="1680"/>
      <w:jc w:val="left"/>
    </w:pPr>
    <w:rPr>
      <w:rFonts w:ascii="Calibri" w:hAnsi="Calibri"/>
      <w:sz w:val="18"/>
      <w:szCs w:val="18"/>
    </w:rPr>
  </w:style>
  <w:style w:type="paragraph" w:styleId="14">
    <w:name w:val="Note Heading"/>
    <w:basedOn w:val="15"/>
    <w:next w:val="15"/>
    <w:link w:val="202"/>
    <w:qFormat/>
    <w:uiPriority w:val="0"/>
    <w:rPr>
      <w:rFonts w:ascii="..ì." w:eastAsia="..ì." w:cs="Times New Roman"/>
      <w:color w:val="auto"/>
      <w:szCs w:val="20"/>
    </w:rPr>
  </w:style>
  <w:style w:type="paragraph" w:customStyle="1" w:styleId="15">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6">
    <w:name w:val="caption"/>
    <w:basedOn w:val="1"/>
    <w:next w:val="1"/>
    <w:link w:val="96"/>
    <w:qFormat/>
    <w:uiPriority w:val="0"/>
    <w:pPr>
      <w:spacing w:line="480" w:lineRule="auto"/>
    </w:pPr>
    <w:rPr>
      <w:rFonts w:ascii="华文中宋" w:eastAsia="华文中宋"/>
      <w:sz w:val="36"/>
      <w:szCs w:val="20"/>
    </w:rPr>
  </w:style>
  <w:style w:type="paragraph" w:styleId="17">
    <w:name w:val="index 5"/>
    <w:basedOn w:val="1"/>
    <w:next w:val="1"/>
    <w:qFormat/>
    <w:uiPriority w:val="99"/>
    <w:pPr>
      <w:ind w:left="800" w:leftChars="800"/>
    </w:pPr>
    <w:rPr>
      <w:rFonts w:eastAsia="宋体"/>
    </w:rPr>
  </w:style>
  <w:style w:type="paragraph" w:styleId="18">
    <w:name w:val="Document Map"/>
    <w:basedOn w:val="1"/>
    <w:link w:val="132"/>
    <w:qFormat/>
    <w:uiPriority w:val="99"/>
    <w:pPr>
      <w:spacing w:line="440" w:lineRule="exact"/>
    </w:pPr>
    <w:rPr>
      <w:rFonts w:ascii="宋体"/>
      <w:sz w:val="18"/>
      <w:szCs w:val="18"/>
    </w:rPr>
  </w:style>
  <w:style w:type="paragraph" w:styleId="19">
    <w:name w:val="toa heading"/>
    <w:basedOn w:val="1"/>
    <w:next w:val="1"/>
    <w:unhideWhenUsed/>
    <w:qFormat/>
    <w:uiPriority w:val="99"/>
    <w:pPr>
      <w:spacing w:before="120"/>
    </w:pPr>
    <w:rPr>
      <w:rFonts w:ascii="Cambria" w:hAnsi="Cambria" w:eastAsia="宋体"/>
      <w:sz w:val="24"/>
    </w:rPr>
  </w:style>
  <w:style w:type="paragraph" w:styleId="20">
    <w:name w:val="annotation text"/>
    <w:basedOn w:val="1"/>
    <w:link w:val="102"/>
    <w:qFormat/>
    <w:uiPriority w:val="0"/>
    <w:pPr>
      <w:jc w:val="left"/>
    </w:pPr>
    <w:rPr>
      <w:rFonts w:ascii="Tahoma" w:hAnsi="Tahoma"/>
    </w:rPr>
  </w:style>
  <w:style w:type="paragraph" w:styleId="21">
    <w:name w:val="Salutation"/>
    <w:basedOn w:val="15"/>
    <w:next w:val="15"/>
    <w:link w:val="201"/>
    <w:qFormat/>
    <w:uiPriority w:val="0"/>
    <w:rPr>
      <w:rFonts w:ascii="..ì." w:eastAsia="..ì." w:cs="Times New Roman"/>
      <w:color w:val="auto"/>
      <w:szCs w:val="20"/>
    </w:rPr>
  </w:style>
  <w:style w:type="paragraph" w:styleId="22">
    <w:name w:val="Body Text 3"/>
    <w:basedOn w:val="1"/>
    <w:link w:val="209"/>
    <w:qFormat/>
    <w:uiPriority w:val="99"/>
    <w:pPr>
      <w:spacing w:after="120"/>
    </w:pPr>
    <w:rPr>
      <w:rFonts w:eastAsia="宋体"/>
      <w:sz w:val="16"/>
      <w:szCs w:val="16"/>
    </w:rPr>
  </w:style>
  <w:style w:type="paragraph" w:styleId="23">
    <w:name w:val="Body Text"/>
    <w:basedOn w:val="1"/>
    <w:next w:val="1"/>
    <w:link w:val="136"/>
    <w:qFormat/>
    <w:uiPriority w:val="99"/>
    <w:pPr>
      <w:spacing w:line="360" w:lineRule="auto"/>
    </w:pPr>
    <w:rPr>
      <w:rFonts w:ascii="Tahoma" w:hAnsi="Tahoma"/>
    </w:rPr>
  </w:style>
  <w:style w:type="paragraph" w:styleId="24">
    <w:name w:val="Body Text Indent"/>
    <w:basedOn w:val="1"/>
    <w:link w:val="168"/>
    <w:qFormat/>
    <w:uiPriority w:val="99"/>
    <w:pPr>
      <w:widowControl/>
      <w:spacing w:line="360" w:lineRule="auto"/>
      <w:ind w:firstLine="709"/>
      <w:jc w:val="left"/>
    </w:pPr>
    <w:rPr>
      <w:rFonts w:ascii="Tahoma" w:hAnsi="Tahoma"/>
    </w:rPr>
  </w:style>
  <w:style w:type="paragraph" w:styleId="25">
    <w:name w:val="Block Text"/>
    <w:basedOn w:val="1"/>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qFormat/>
    <w:uiPriority w:val="0"/>
    <w:pPr>
      <w:numPr>
        <w:ilvl w:val="1"/>
        <w:numId w:val="1"/>
      </w:numPr>
      <w:spacing w:line="360" w:lineRule="auto"/>
    </w:pPr>
    <w:rPr>
      <w:sz w:val="24"/>
      <w:szCs w:val="28"/>
    </w:rPr>
  </w:style>
  <w:style w:type="paragraph" w:styleId="27">
    <w:name w:val="toc 5"/>
    <w:basedOn w:val="1"/>
    <w:next w:val="1"/>
    <w:qFormat/>
    <w:uiPriority w:val="39"/>
    <w:pPr>
      <w:spacing w:line="440" w:lineRule="exact"/>
      <w:ind w:left="1120"/>
      <w:jc w:val="left"/>
    </w:pPr>
    <w:rPr>
      <w:rFonts w:ascii="Calibri" w:hAnsi="Calibri"/>
      <w:sz w:val="18"/>
      <w:szCs w:val="18"/>
    </w:rPr>
  </w:style>
  <w:style w:type="paragraph" w:styleId="28">
    <w:name w:val="toc 3"/>
    <w:basedOn w:val="1"/>
    <w:next w:val="1"/>
    <w:qFormat/>
    <w:uiPriority w:val="39"/>
    <w:pPr>
      <w:tabs>
        <w:tab w:val="right" w:leader="dot" w:pos="8302"/>
      </w:tabs>
      <w:ind w:left="561"/>
      <w:jc w:val="left"/>
    </w:pPr>
    <w:rPr>
      <w:rFonts w:ascii="Calibri" w:hAnsi="Calibri"/>
      <w:iCs/>
      <w:sz w:val="20"/>
      <w:szCs w:val="20"/>
    </w:rPr>
  </w:style>
  <w:style w:type="paragraph" w:styleId="29">
    <w:name w:val="Plain Text"/>
    <w:basedOn w:val="1"/>
    <w:link w:val="223"/>
    <w:qFormat/>
    <w:uiPriority w:val="0"/>
    <w:pPr>
      <w:spacing w:line="360" w:lineRule="auto"/>
    </w:pPr>
    <w:rPr>
      <w:rFonts w:ascii="宋体" w:hAnsi="Courier New"/>
      <w:szCs w:val="21"/>
    </w:rPr>
  </w:style>
  <w:style w:type="paragraph" w:styleId="30">
    <w:name w:val="toc 8"/>
    <w:basedOn w:val="1"/>
    <w:next w:val="1"/>
    <w:qFormat/>
    <w:uiPriority w:val="39"/>
    <w:pPr>
      <w:spacing w:line="440" w:lineRule="exact"/>
      <w:ind w:left="1960"/>
      <w:jc w:val="left"/>
    </w:pPr>
    <w:rPr>
      <w:rFonts w:ascii="Calibri" w:hAnsi="Calibri"/>
      <w:sz w:val="18"/>
      <w:szCs w:val="18"/>
    </w:rPr>
  </w:style>
  <w:style w:type="paragraph" w:styleId="31">
    <w:name w:val="Date"/>
    <w:basedOn w:val="1"/>
    <w:next w:val="1"/>
    <w:link w:val="199"/>
    <w:qFormat/>
    <w:uiPriority w:val="99"/>
    <w:pPr>
      <w:spacing w:line="360" w:lineRule="auto"/>
      <w:ind w:left="2500" w:leftChars="2500"/>
    </w:pPr>
    <w:rPr>
      <w:rFonts w:ascii="Tahoma" w:hAnsi="Tahoma"/>
    </w:rPr>
  </w:style>
  <w:style w:type="paragraph" w:styleId="32">
    <w:name w:val="Body Text Indent 2"/>
    <w:basedOn w:val="1"/>
    <w:link w:val="164"/>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8"/>
    <w:qFormat/>
    <w:uiPriority w:val="0"/>
    <w:rPr>
      <w:sz w:val="18"/>
      <w:szCs w:val="18"/>
    </w:rPr>
  </w:style>
  <w:style w:type="paragraph" w:styleId="34">
    <w:name w:val="header"/>
    <w:basedOn w:val="1"/>
    <w:link w:val="124"/>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qFormat/>
    <w:uiPriority w:val="39"/>
    <w:pPr>
      <w:spacing w:line="440" w:lineRule="exact"/>
      <w:ind w:left="840"/>
      <w:jc w:val="left"/>
    </w:pPr>
    <w:rPr>
      <w:rFonts w:ascii="Calibri" w:hAnsi="Calibri"/>
      <w:sz w:val="18"/>
      <w:szCs w:val="18"/>
    </w:rPr>
  </w:style>
  <w:style w:type="paragraph" w:styleId="37">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qFormat/>
    <w:uiPriority w:val="39"/>
    <w:pPr>
      <w:spacing w:line="440" w:lineRule="exact"/>
      <w:ind w:left="1400"/>
      <w:jc w:val="left"/>
    </w:pPr>
    <w:rPr>
      <w:rFonts w:ascii="Calibri" w:hAnsi="Calibri"/>
      <w:sz w:val="18"/>
      <w:szCs w:val="18"/>
    </w:rPr>
  </w:style>
  <w:style w:type="paragraph" w:styleId="39">
    <w:name w:val="Body Text Indent 3"/>
    <w:basedOn w:val="1"/>
    <w:link w:val="212"/>
    <w:qFormat/>
    <w:uiPriority w:val="99"/>
    <w:pPr>
      <w:spacing w:after="120"/>
      <w:ind w:left="420" w:leftChars="200"/>
    </w:pPr>
    <w:rPr>
      <w:sz w:val="16"/>
      <w:szCs w:val="16"/>
    </w:rPr>
  </w:style>
  <w:style w:type="paragraph" w:styleId="40">
    <w:name w:val="toc 2"/>
    <w:basedOn w:val="1"/>
    <w:next w:val="1"/>
    <w:qFormat/>
    <w:uiPriority w:val="39"/>
    <w:pPr>
      <w:widowControl/>
      <w:adjustRightInd w:val="0"/>
      <w:spacing w:line="300" w:lineRule="auto"/>
      <w:jc w:val="center"/>
    </w:pPr>
    <w:rPr>
      <w:rFonts w:eastAsia="黑体"/>
      <w:smallCaps/>
      <w:kern w:val="0"/>
      <w:sz w:val="24"/>
    </w:rPr>
  </w:style>
  <w:style w:type="paragraph" w:styleId="41">
    <w:name w:val="toc 9"/>
    <w:basedOn w:val="1"/>
    <w:next w:val="1"/>
    <w:qFormat/>
    <w:uiPriority w:val="39"/>
    <w:pPr>
      <w:spacing w:line="440" w:lineRule="exact"/>
      <w:ind w:left="2240"/>
      <w:jc w:val="left"/>
    </w:pPr>
    <w:rPr>
      <w:rFonts w:ascii="Calibri" w:hAnsi="Calibri"/>
      <w:sz w:val="18"/>
      <w:szCs w:val="18"/>
    </w:rPr>
  </w:style>
  <w:style w:type="paragraph" w:styleId="42">
    <w:name w:val="Body Text 2"/>
    <w:basedOn w:val="1"/>
    <w:link w:val="170"/>
    <w:qFormat/>
    <w:uiPriority w:val="99"/>
    <w:pPr>
      <w:spacing w:line="360" w:lineRule="auto"/>
      <w:ind w:right="26"/>
    </w:pPr>
    <w:rPr>
      <w:rFonts w:ascii="宋体" w:eastAsia="宋体"/>
      <w:szCs w:val="20"/>
    </w:r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qFormat/>
    <w:uiPriority w:val="99"/>
    <w:pPr>
      <w:spacing w:line="220" w:lineRule="exact"/>
      <w:jc w:val="center"/>
    </w:pPr>
    <w:rPr>
      <w:rFonts w:ascii="仿宋_GB2312" w:eastAsia="仿宋_GB2312"/>
      <w:szCs w:val="21"/>
    </w:rPr>
  </w:style>
  <w:style w:type="paragraph" w:styleId="46">
    <w:name w:val="Title"/>
    <w:basedOn w:val="1"/>
    <w:next w:val="1"/>
    <w:link w:val="126"/>
    <w:qFormat/>
    <w:uiPriority w:val="99"/>
    <w:pPr>
      <w:spacing w:before="240" w:after="60" w:line="440" w:lineRule="exact"/>
      <w:jc w:val="center"/>
      <w:outlineLvl w:val="0"/>
    </w:pPr>
    <w:rPr>
      <w:rFonts w:ascii="Cambria" w:hAnsi="Cambria"/>
      <w:b/>
      <w:bCs/>
      <w:sz w:val="32"/>
      <w:szCs w:val="32"/>
    </w:rPr>
  </w:style>
  <w:style w:type="paragraph" w:styleId="47">
    <w:name w:val="annotation subject"/>
    <w:basedOn w:val="20"/>
    <w:next w:val="20"/>
    <w:link w:val="130"/>
    <w:unhideWhenUsed/>
    <w:qFormat/>
    <w:uiPriority w:val="99"/>
    <w:pPr>
      <w:spacing w:line="440" w:lineRule="exact"/>
    </w:pPr>
    <w:rPr>
      <w:b/>
      <w:bCs/>
      <w:sz w:val="24"/>
      <w:szCs w:val="28"/>
    </w:rPr>
  </w:style>
  <w:style w:type="paragraph" w:styleId="48">
    <w:name w:val="Body Text First Indent"/>
    <w:basedOn w:val="23"/>
    <w:link w:val="133"/>
    <w:qFormat/>
    <w:uiPriority w:val="0"/>
    <w:pPr>
      <w:spacing w:after="120" w:line="240" w:lineRule="auto"/>
      <w:ind w:firstLine="100" w:firstLineChars="100"/>
    </w:pPr>
  </w:style>
  <w:style w:type="paragraph" w:styleId="49">
    <w:name w:val="Body Text First Indent 2"/>
    <w:basedOn w:val="24"/>
    <w:link w:val="169"/>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style>
  <w:style w:type="character" w:styleId="54">
    <w:name w:val="page number"/>
    <w:basedOn w:val="52"/>
    <w:qFormat/>
    <w:uiPriority w:val="99"/>
  </w:style>
  <w:style w:type="character" w:styleId="55">
    <w:name w:val="FollowedHyperlink"/>
    <w:unhideWhenUsed/>
    <w:qFormat/>
    <w:uiPriority w:val="99"/>
    <w:rPr>
      <w:color w:val="954F72"/>
      <w:u w:val="single"/>
    </w:rPr>
  </w:style>
  <w:style w:type="character" w:styleId="56">
    <w:name w:val="Emphasis"/>
    <w:basedOn w:val="52"/>
    <w:qFormat/>
    <w:uiPriority w:val="0"/>
    <w:rPr>
      <w:i/>
      <w:iCs/>
    </w:rPr>
  </w:style>
  <w:style w:type="character" w:styleId="57">
    <w:name w:val="HTML Definition"/>
    <w:unhideWhenUsed/>
    <w:qFormat/>
    <w:uiPriority w:val="0"/>
  </w:style>
  <w:style w:type="character" w:styleId="58">
    <w:name w:val="HTML Variable"/>
    <w:unhideWhenUsed/>
    <w:qFormat/>
    <w:uiPriority w:val="0"/>
  </w:style>
  <w:style w:type="character" w:styleId="59">
    <w:name w:val="Hyperlink"/>
    <w:qFormat/>
    <w:uiPriority w:val="99"/>
    <w:rPr>
      <w:rFonts w:hint="eastAsia" w:ascii="宋体" w:hAnsi="宋体" w:eastAsia="宋体" w:cs="宋体"/>
      <w:color w:val="004A85"/>
      <w:sz w:val="12"/>
      <w:szCs w:val="12"/>
      <w:u w:val="single"/>
    </w:rPr>
  </w:style>
  <w:style w:type="character" w:styleId="60">
    <w:name w:val="HTML Code"/>
    <w:unhideWhenUsed/>
    <w:qFormat/>
    <w:uiPriority w:val="0"/>
    <w:rPr>
      <w:rFonts w:ascii="Courier New" w:hAnsi="Courier New"/>
      <w:sz w:val="20"/>
    </w:rPr>
  </w:style>
  <w:style w:type="character" w:styleId="61">
    <w:name w:val="annotation reference"/>
    <w:qFormat/>
    <w:uiPriority w:val="99"/>
    <w:rPr>
      <w:sz w:val="21"/>
      <w:szCs w:val="21"/>
    </w:rPr>
  </w:style>
  <w:style w:type="character" w:styleId="62">
    <w:name w:val="HTML Cite"/>
    <w:unhideWhenUsed/>
    <w:qFormat/>
    <w:uiPriority w:val="0"/>
  </w:style>
  <w:style w:type="paragraph" w:customStyle="1" w:styleId="63">
    <w:name w:val="toc 4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64">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正式文本"/>
    <w:basedOn w:val="1"/>
    <w:qFormat/>
    <w:uiPriority w:val="0"/>
    <w:pPr>
      <w:spacing w:line="500" w:lineRule="exact"/>
      <w:ind w:firstLine="480" w:firstLineChars="200"/>
    </w:pPr>
    <w:rPr>
      <w:rFonts w:ascii="Arial Narrow" w:hAnsi="Arial Narrow"/>
      <w:sz w:val="24"/>
    </w:rPr>
  </w:style>
  <w:style w:type="paragraph" w:customStyle="1" w:styleId="66">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67">
    <w:name w:val="列出段落2"/>
    <w:basedOn w:val="1"/>
    <w:unhideWhenUsed/>
    <w:qFormat/>
    <w:uiPriority w:val="0"/>
    <w:pPr>
      <w:ind w:firstLine="420" w:firstLineChars="200"/>
    </w:pPr>
  </w:style>
  <w:style w:type="paragraph" w:customStyle="1" w:styleId="68">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9">
    <w:name w:val="_Style 67"/>
    <w:basedOn w:val="1"/>
    <w:next w:val="70"/>
    <w:qFormat/>
    <w:uiPriority w:val="99"/>
    <w:pPr>
      <w:ind w:firstLine="420" w:firstLineChars="200"/>
    </w:pPr>
    <w:rPr>
      <w:rFonts w:ascii="Calibri" w:hAnsi="Calibri"/>
      <w:szCs w:val="22"/>
    </w:rPr>
  </w:style>
  <w:style w:type="paragraph" w:styleId="70">
    <w:name w:val="List Paragraph"/>
    <w:basedOn w:val="1"/>
    <w:qFormat/>
    <w:uiPriority w:val="34"/>
    <w:pPr>
      <w:ind w:firstLine="420" w:firstLineChars="200"/>
    </w:pPr>
    <w:rPr>
      <w:rFonts w:ascii="Calibri" w:hAnsi="Calibri" w:eastAsia="宋体"/>
      <w:szCs w:val="22"/>
    </w:rPr>
  </w:style>
  <w:style w:type="paragraph" w:customStyle="1" w:styleId="71">
    <w:name w:val="_Style 2"/>
    <w:basedOn w:val="1"/>
    <w:qFormat/>
    <w:uiPriority w:val="34"/>
    <w:pPr>
      <w:ind w:firstLine="420" w:firstLineChars="200"/>
    </w:pPr>
    <w:rPr>
      <w:rFonts w:ascii="Calibri" w:hAnsi="Calibri"/>
      <w:szCs w:val="22"/>
    </w:rPr>
  </w:style>
  <w:style w:type="paragraph" w:customStyle="1" w:styleId="72">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3">
    <w:name w:val="TOC 标题1"/>
    <w:basedOn w:val="3"/>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4">
    <w:name w:val="封面落款"/>
    <w:basedOn w:val="1"/>
    <w:qFormat/>
    <w:uiPriority w:val="0"/>
    <w:pPr>
      <w:spacing w:line="360" w:lineRule="auto"/>
      <w:jc w:val="center"/>
    </w:pPr>
    <w:rPr>
      <w:rFonts w:ascii="Arial" w:hAnsi="Arial" w:eastAsia="黑体"/>
      <w:sz w:val="32"/>
      <w:szCs w:val="28"/>
    </w:rPr>
  </w:style>
  <w:style w:type="paragraph" w:customStyle="1" w:styleId="75">
    <w:name w:val="目录"/>
    <w:link w:val="107"/>
    <w:qFormat/>
    <w:uiPriority w:val="0"/>
    <w:pPr>
      <w:spacing w:before="156" w:after="156"/>
    </w:pPr>
    <w:rPr>
      <w:rFonts w:ascii="仿宋_GB2312" w:hAnsi="宋体" w:eastAsia="仿宋_GB2312" w:cs="Times New Roman"/>
      <w:sz w:val="28"/>
      <w:szCs w:val="28"/>
      <w:lang w:val="en-US" w:eastAsia="zh-CN" w:bidi="ar-SA"/>
    </w:rPr>
  </w:style>
  <w:style w:type="paragraph" w:customStyle="1" w:styleId="76">
    <w:name w:val="表格字体小四"/>
    <w:link w:val="106"/>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7">
    <w:name w:val="样式 标题 5 + 小四"/>
    <w:basedOn w:val="8"/>
    <w:qFormat/>
    <w:uiPriority w:val="0"/>
    <w:pPr>
      <w:tabs>
        <w:tab w:val="left" w:pos="567"/>
      </w:tabs>
      <w:wordWrap w:val="0"/>
      <w:spacing w:line="377" w:lineRule="auto"/>
      <w:ind w:left="567" w:hanging="567"/>
      <w:jc w:val="left"/>
    </w:pPr>
  </w:style>
  <w:style w:type="paragraph" w:customStyle="1" w:styleId="78">
    <w:name w:val="表格格式"/>
    <w:basedOn w:val="1"/>
    <w:qFormat/>
    <w:uiPriority w:val="0"/>
    <w:pPr>
      <w:adjustRightInd w:val="0"/>
      <w:snapToGrid w:val="0"/>
      <w:jc w:val="left"/>
      <w:textAlignment w:val="baseline"/>
    </w:pPr>
    <w:rPr>
      <w:rFonts w:ascii="宋体"/>
      <w:kern w:val="0"/>
      <w:szCs w:val="20"/>
    </w:rPr>
  </w:style>
  <w:style w:type="paragraph" w:customStyle="1" w:styleId="79">
    <w:name w:val="样式5"/>
    <w:basedOn w:val="6"/>
    <w:qFormat/>
    <w:uiPriority w:val="0"/>
    <w:pPr>
      <w:ind w:firstLine="420"/>
    </w:pPr>
    <w:rPr>
      <w:sz w:val="21"/>
      <w:szCs w:val="21"/>
    </w:rPr>
  </w:style>
  <w:style w:type="paragraph" w:customStyle="1" w:styleId="80">
    <w:name w:val="标题2"/>
    <w:basedOn w:val="4"/>
    <w:next w:val="1"/>
    <w:link w:val="97"/>
    <w:qFormat/>
    <w:uiPriority w:val="0"/>
    <w:pPr>
      <w:widowControl/>
      <w:spacing w:beforeLines="10" w:afterLines="10" w:line="240" w:lineRule="auto"/>
      <w:jc w:val="left"/>
    </w:pPr>
    <w:rPr>
      <w:rFonts w:ascii="Times New Roman" w:hAnsi="Times New Roman" w:eastAsia="黑体"/>
      <w:b/>
      <w:bCs/>
      <w:szCs w:val="24"/>
    </w:rPr>
  </w:style>
  <w:style w:type="paragraph" w:customStyle="1" w:styleId="81">
    <w:name w:val="三级"/>
    <w:basedOn w:val="4"/>
    <w:link w:val="108"/>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2">
    <w:name w:val="样式2"/>
    <w:basedOn w:val="1"/>
    <w:link w:val="120"/>
    <w:qFormat/>
    <w:uiPriority w:val="0"/>
    <w:pPr>
      <w:spacing w:line="300" w:lineRule="auto"/>
      <w:jc w:val="center"/>
      <w:outlineLvl w:val="0"/>
    </w:pPr>
    <w:rPr>
      <w:b/>
      <w:sz w:val="24"/>
    </w:rPr>
  </w:style>
  <w:style w:type="paragraph" w:customStyle="1" w:styleId="83">
    <w:name w:val="Char1"/>
    <w:basedOn w:val="1"/>
    <w:qFormat/>
    <w:uiPriority w:val="0"/>
    <w:pPr>
      <w:adjustRightInd w:val="0"/>
      <w:spacing w:line="360" w:lineRule="auto"/>
    </w:pPr>
    <w:rPr>
      <w:kern w:val="0"/>
      <w:sz w:val="24"/>
      <w:szCs w:val="20"/>
    </w:rPr>
  </w:style>
  <w:style w:type="paragraph" w:customStyle="1" w:styleId="84">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5">
    <w:name w:val="标题3"/>
    <w:basedOn w:val="5"/>
    <w:next w:val="1"/>
    <w:link w:val="141"/>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6">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87">
    <w:name w:val="表格标题"/>
    <w:basedOn w:val="16"/>
    <w:link w:val="134"/>
    <w:qFormat/>
    <w:uiPriority w:val="0"/>
    <w:pPr>
      <w:spacing w:before="152" w:after="160" w:line="420" w:lineRule="exact"/>
      <w:ind w:firstLine="480" w:firstLineChars="200"/>
      <w:jc w:val="center"/>
    </w:pPr>
    <w:rPr>
      <w:rFonts w:ascii="Arial" w:hAnsi="Arial" w:eastAsia="宋体"/>
      <w:sz w:val="24"/>
      <w:szCs w:val="24"/>
    </w:rPr>
  </w:style>
  <w:style w:type="paragraph" w:customStyle="1" w:styleId="88">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9">
    <w:name w:val="图片"/>
    <w:basedOn w:val="1"/>
    <w:link w:val="122"/>
    <w:qFormat/>
    <w:uiPriority w:val="0"/>
    <w:pPr>
      <w:jc w:val="center"/>
    </w:pPr>
    <w:rPr>
      <w:sz w:val="28"/>
      <w:szCs w:val="28"/>
    </w:rPr>
  </w:style>
  <w:style w:type="paragraph" w:customStyle="1" w:styleId="90">
    <w:name w:val="正文首行缩进1"/>
    <w:basedOn w:val="23"/>
    <w:qFormat/>
    <w:uiPriority w:val="0"/>
    <w:pPr>
      <w:suppressAutoHyphens/>
      <w:spacing w:line="300" w:lineRule="auto"/>
      <w:ind w:left="426"/>
    </w:pPr>
    <w:rPr>
      <w:rFonts w:ascii="宋体" w:hAnsi="宋体"/>
      <w:szCs w:val="20"/>
    </w:rPr>
  </w:style>
  <w:style w:type="paragraph" w:customStyle="1" w:styleId="91">
    <w:name w:val="纯文本1"/>
    <w:basedOn w:val="1"/>
    <w:qFormat/>
    <w:uiPriority w:val="0"/>
    <w:rPr>
      <w:rFonts w:ascii="宋体" w:hAnsi="Courier New"/>
    </w:rPr>
  </w:style>
  <w:style w:type="paragraph" w:customStyle="1" w:styleId="92">
    <w:name w:val="样式 首行不缩进"/>
    <w:basedOn w:val="1"/>
    <w:qFormat/>
    <w:uiPriority w:val="0"/>
    <w:pPr>
      <w:spacing w:before="120" w:after="120" w:line="360" w:lineRule="auto"/>
      <w:jc w:val="center"/>
    </w:pPr>
    <w:rPr>
      <w:rFonts w:cs="宋体"/>
      <w:sz w:val="24"/>
      <w:szCs w:val="20"/>
    </w:rPr>
  </w:style>
  <w:style w:type="paragraph" w:customStyle="1" w:styleId="93">
    <w:name w:val="图题"/>
    <w:link w:val="116"/>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4">
    <w:name w:val="小列表"/>
    <w:basedOn w:val="1"/>
    <w:link w:val="100"/>
    <w:qFormat/>
    <w:uiPriority w:val="0"/>
    <w:pPr>
      <w:numPr>
        <w:ilvl w:val="0"/>
        <w:numId w:val="2"/>
      </w:numPr>
      <w:autoSpaceDE w:val="0"/>
      <w:autoSpaceDN w:val="0"/>
      <w:spacing w:line="440" w:lineRule="exact"/>
      <w:ind w:firstLine="0"/>
    </w:pPr>
    <w:rPr>
      <w:sz w:val="24"/>
      <w:szCs w:val="28"/>
    </w:rPr>
  </w:style>
  <w:style w:type="paragraph" w:customStyle="1" w:styleId="95">
    <w:name w:val="表格正文"/>
    <w:basedOn w:val="1"/>
    <w:qFormat/>
    <w:uiPriority w:val="0"/>
    <w:pPr>
      <w:widowControl/>
      <w:snapToGrid w:val="0"/>
      <w:spacing w:before="60" w:after="60"/>
      <w:ind w:left="11"/>
      <w:jc w:val="center"/>
    </w:pPr>
    <w:rPr>
      <w:kern w:val="0"/>
      <w:szCs w:val="21"/>
    </w:rPr>
  </w:style>
  <w:style w:type="character" w:customStyle="1" w:styleId="96">
    <w:name w:val="题注 Char"/>
    <w:link w:val="16"/>
    <w:qFormat/>
    <w:uiPriority w:val="0"/>
    <w:rPr>
      <w:rFonts w:ascii="华文中宋" w:eastAsia="华文中宋"/>
      <w:kern w:val="2"/>
      <w:sz w:val="36"/>
    </w:rPr>
  </w:style>
  <w:style w:type="character" w:customStyle="1" w:styleId="97">
    <w:name w:val="标题2 Char Char"/>
    <w:link w:val="80"/>
    <w:qFormat/>
    <w:uiPriority w:val="0"/>
    <w:rPr>
      <w:rFonts w:eastAsia="黑体"/>
      <w:kern w:val="2"/>
      <w:sz w:val="32"/>
      <w:szCs w:val="24"/>
    </w:rPr>
  </w:style>
  <w:style w:type="character" w:customStyle="1" w:styleId="98">
    <w:name w:val="批注框文本 Char"/>
    <w:link w:val="33"/>
    <w:qFormat/>
    <w:uiPriority w:val="0"/>
    <w:rPr>
      <w:kern w:val="2"/>
      <w:sz w:val="18"/>
      <w:szCs w:val="18"/>
    </w:rPr>
  </w:style>
  <w:style w:type="character" w:customStyle="1" w:styleId="99">
    <w:name w:val="refresh"/>
    <w:basedOn w:val="52"/>
    <w:qFormat/>
    <w:uiPriority w:val="0"/>
  </w:style>
  <w:style w:type="character" w:customStyle="1" w:styleId="100">
    <w:name w:val="小列表 Char Char"/>
    <w:link w:val="94"/>
    <w:qFormat/>
    <w:uiPriority w:val="0"/>
    <w:rPr>
      <w:rFonts w:ascii="Times New Roman" w:hAnsi="Times New Roman" w:eastAsia="Arial Unicode MS" w:cs="Times New Roman"/>
      <w:kern w:val="2"/>
      <w:sz w:val="24"/>
      <w:szCs w:val="28"/>
    </w:rPr>
  </w:style>
  <w:style w:type="character" w:customStyle="1" w:styleId="101">
    <w:name w:val="del"/>
    <w:basedOn w:val="52"/>
    <w:qFormat/>
    <w:uiPriority w:val="0"/>
  </w:style>
  <w:style w:type="character" w:customStyle="1" w:styleId="102">
    <w:name w:val="批注文字 Char1"/>
    <w:link w:val="20"/>
    <w:qFormat/>
    <w:uiPriority w:val="0"/>
    <w:rPr>
      <w:rFonts w:ascii="Tahoma" w:hAnsi="Tahoma"/>
      <w:kern w:val="2"/>
      <w:sz w:val="21"/>
      <w:szCs w:val="24"/>
    </w:rPr>
  </w:style>
  <w:style w:type="character" w:customStyle="1" w:styleId="103">
    <w:name w:val="正文缩进 Char1"/>
    <w:qFormat/>
    <w:uiPriority w:val="0"/>
    <w:rPr>
      <w:rFonts w:eastAsia="宋体"/>
      <w:kern w:val="2"/>
      <w:sz w:val="21"/>
      <w:szCs w:val="24"/>
      <w:lang w:val="en-US" w:eastAsia="zh-CN" w:bidi="ar-SA"/>
    </w:rPr>
  </w:style>
  <w:style w:type="character" w:customStyle="1" w:styleId="104">
    <w:name w:val="标题 5 Char"/>
    <w:link w:val="8"/>
    <w:qFormat/>
    <w:uiPriority w:val="99"/>
    <w:rPr>
      <w:b/>
      <w:bCs/>
      <w:kern w:val="2"/>
      <w:sz w:val="24"/>
      <w:szCs w:val="28"/>
    </w:rPr>
  </w:style>
  <w:style w:type="character" w:customStyle="1" w:styleId="105">
    <w:name w:val="标题 2 Char"/>
    <w:link w:val="4"/>
    <w:qFormat/>
    <w:uiPriority w:val="99"/>
    <w:rPr>
      <w:rFonts w:ascii="Cambria" w:hAnsi="Cambria"/>
      <w:b/>
      <w:bCs/>
      <w:kern w:val="2"/>
      <w:sz w:val="32"/>
      <w:szCs w:val="32"/>
    </w:rPr>
  </w:style>
  <w:style w:type="character" w:customStyle="1" w:styleId="106">
    <w:name w:val="表格字体小四 Char Char"/>
    <w:link w:val="76"/>
    <w:qFormat/>
    <w:uiPriority w:val="0"/>
    <w:rPr>
      <w:kern w:val="2"/>
      <w:sz w:val="24"/>
      <w:szCs w:val="24"/>
      <w:lang w:val="en-US" w:eastAsia="zh-CN" w:bidi="ar-SA"/>
    </w:rPr>
  </w:style>
  <w:style w:type="character" w:customStyle="1" w:styleId="107">
    <w:name w:val="目录 Char Char"/>
    <w:link w:val="75"/>
    <w:qFormat/>
    <w:uiPriority w:val="0"/>
    <w:rPr>
      <w:rFonts w:ascii="仿宋_GB2312" w:hAnsi="宋体" w:eastAsia="仿宋_GB2312"/>
      <w:sz w:val="28"/>
      <w:szCs w:val="28"/>
      <w:lang w:val="en-US" w:eastAsia="zh-CN" w:bidi="ar-SA"/>
    </w:rPr>
  </w:style>
  <w:style w:type="character" w:customStyle="1" w:styleId="108">
    <w:name w:val="三级 Char Char"/>
    <w:link w:val="81"/>
    <w:qFormat/>
    <w:uiPriority w:val="0"/>
    <w:rPr>
      <w:rFonts w:eastAsia="黑体"/>
      <w:bCs/>
      <w:kern w:val="2"/>
      <w:sz w:val="30"/>
      <w:szCs w:val="24"/>
    </w:rPr>
  </w:style>
  <w:style w:type="character" w:customStyle="1" w:styleId="109">
    <w:name w:val="label"/>
    <w:basedOn w:val="52"/>
    <w:qFormat/>
    <w:uiPriority w:val="0"/>
  </w:style>
  <w:style w:type="character" w:customStyle="1" w:styleId="110">
    <w:name w:val="标题 8 Char"/>
    <w:link w:val="11"/>
    <w:qFormat/>
    <w:uiPriority w:val="99"/>
    <w:rPr>
      <w:rFonts w:ascii="Arial" w:hAnsi="Arial" w:eastAsia="黑体"/>
      <w:kern w:val="2"/>
      <w:sz w:val="24"/>
      <w:szCs w:val="28"/>
    </w:rPr>
  </w:style>
  <w:style w:type="character" w:customStyle="1" w:styleId="111">
    <w:name w:val="open2"/>
    <w:basedOn w:val="52"/>
    <w:qFormat/>
    <w:uiPriority w:val="0"/>
  </w:style>
  <w:style w:type="character" w:customStyle="1" w:styleId="112">
    <w:name w:val="15"/>
    <w:qFormat/>
    <w:uiPriority w:val="0"/>
    <w:rPr>
      <w:rFonts w:hint="default" w:ascii="Calibri" w:hAnsi="Calibri" w:cs="Calibri"/>
      <w:color w:val="0000FF"/>
      <w:u w:val="single"/>
    </w:rPr>
  </w:style>
  <w:style w:type="character" w:customStyle="1" w:styleId="113">
    <w:name w:val="trans"/>
    <w:basedOn w:val="52"/>
    <w:qFormat/>
    <w:uiPriority w:val="0"/>
  </w:style>
  <w:style w:type="character" w:customStyle="1" w:styleId="114">
    <w:name w:val="del2"/>
    <w:basedOn w:val="52"/>
    <w:qFormat/>
    <w:uiPriority w:val="0"/>
  </w:style>
  <w:style w:type="character" w:customStyle="1" w:styleId="115">
    <w:name w:val="标题 3 Char"/>
    <w:link w:val="5"/>
    <w:qFormat/>
    <w:uiPriority w:val="0"/>
    <w:rPr>
      <w:rFonts w:ascii="Tahoma" w:hAnsi="Tahoma"/>
      <w:b/>
      <w:bCs/>
      <w:kern w:val="2"/>
      <w:sz w:val="32"/>
      <w:szCs w:val="32"/>
    </w:rPr>
  </w:style>
  <w:style w:type="character" w:customStyle="1" w:styleId="116">
    <w:name w:val="图题 Char Char"/>
    <w:link w:val="93"/>
    <w:qFormat/>
    <w:uiPriority w:val="0"/>
    <w:rPr>
      <w:kern w:val="2"/>
      <w:sz w:val="24"/>
      <w:szCs w:val="24"/>
      <w:lang w:val="en-US" w:eastAsia="zh-CN" w:bidi="ar-SA"/>
    </w:rPr>
  </w:style>
  <w:style w:type="character" w:customStyle="1" w:styleId="117">
    <w:name w:val="pagelinks"/>
    <w:basedOn w:val="52"/>
    <w:qFormat/>
    <w:uiPriority w:val="0"/>
  </w:style>
  <w:style w:type="character" w:customStyle="1" w:styleId="118">
    <w:name w:val="morewin"/>
    <w:basedOn w:val="52"/>
    <w:qFormat/>
    <w:uiPriority w:val="0"/>
  </w:style>
  <w:style w:type="character" w:customStyle="1" w:styleId="119">
    <w:name w:val="open"/>
    <w:basedOn w:val="52"/>
    <w:qFormat/>
    <w:uiPriority w:val="0"/>
  </w:style>
  <w:style w:type="character" w:customStyle="1" w:styleId="120">
    <w:name w:val="样式2 Char Char"/>
    <w:link w:val="82"/>
    <w:qFormat/>
    <w:uiPriority w:val="0"/>
    <w:rPr>
      <w:b/>
      <w:kern w:val="2"/>
      <w:sz w:val="24"/>
      <w:szCs w:val="24"/>
    </w:rPr>
  </w:style>
  <w:style w:type="character" w:customStyle="1" w:styleId="121">
    <w:name w:val="批注文字 Char"/>
    <w:qFormat/>
    <w:uiPriority w:val="99"/>
    <w:rPr>
      <w:kern w:val="2"/>
      <w:sz w:val="24"/>
      <w:szCs w:val="28"/>
    </w:rPr>
  </w:style>
  <w:style w:type="character" w:customStyle="1" w:styleId="122">
    <w:name w:val="图片 Char Char"/>
    <w:link w:val="89"/>
    <w:qFormat/>
    <w:uiPriority w:val="0"/>
    <w:rPr>
      <w:kern w:val="2"/>
      <w:sz w:val="28"/>
      <w:szCs w:val="28"/>
    </w:rPr>
  </w:style>
  <w:style w:type="character" w:customStyle="1" w:styleId="123">
    <w:name w:val="标题 1 Char"/>
    <w:link w:val="3"/>
    <w:qFormat/>
    <w:uiPriority w:val="0"/>
    <w:rPr>
      <w:rFonts w:ascii="Tahoma" w:hAnsi="Tahoma"/>
      <w:b/>
      <w:bCs/>
      <w:kern w:val="44"/>
      <w:sz w:val="24"/>
      <w:szCs w:val="44"/>
    </w:rPr>
  </w:style>
  <w:style w:type="character" w:customStyle="1" w:styleId="124">
    <w:name w:val="页眉 Char"/>
    <w:link w:val="34"/>
    <w:qFormat/>
    <w:uiPriority w:val="99"/>
    <w:rPr>
      <w:rFonts w:ascii="Tahoma" w:hAnsi="Tahoma"/>
      <w:kern w:val="2"/>
      <w:sz w:val="18"/>
      <w:szCs w:val="18"/>
    </w:rPr>
  </w:style>
  <w:style w:type="character" w:customStyle="1" w:styleId="125">
    <w:name w:val="标题 7 Char"/>
    <w:link w:val="10"/>
    <w:qFormat/>
    <w:uiPriority w:val="99"/>
    <w:rPr>
      <w:b/>
      <w:bCs/>
      <w:kern w:val="2"/>
      <w:sz w:val="24"/>
      <w:szCs w:val="28"/>
    </w:rPr>
  </w:style>
  <w:style w:type="character" w:customStyle="1" w:styleId="126">
    <w:name w:val="标题 Char"/>
    <w:link w:val="46"/>
    <w:qFormat/>
    <w:uiPriority w:val="99"/>
    <w:rPr>
      <w:rFonts w:ascii="Cambria" w:hAnsi="Cambria"/>
      <w:b/>
      <w:bCs/>
      <w:kern w:val="2"/>
      <w:sz w:val="32"/>
      <w:szCs w:val="32"/>
    </w:rPr>
  </w:style>
  <w:style w:type="character" w:customStyle="1" w:styleId="127">
    <w:name w:val="标题 9 Char"/>
    <w:link w:val="12"/>
    <w:qFormat/>
    <w:uiPriority w:val="99"/>
    <w:rPr>
      <w:rFonts w:ascii="Arial" w:hAnsi="Arial" w:eastAsia="黑体"/>
      <w:kern w:val="2"/>
      <w:sz w:val="24"/>
      <w:szCs w:val="21"/>
    </w:rPr>
  </w:style>
  <w:style w:type="character" w:customStyle="1" w:styleId="128">
    <w:name w:val="error"/>
    <w:qFormat/>
    <w:uiPriority w:val="0"/>
    <w:rPr>
      <w:color w:val="CC0000"/>
    </w:rPr>
  </w:style>
  <w:style w:type="character" w:customStyle="1" w:styleId="129">
    <w:name w:val="add"/>
    <w:basedOn w:val="52"/>
    <w:qFormat/>
    <w:uiPriority w:val="0"/>
  </w:style>
  <w:style w:type="character" w:customStyle="1" w:styleId="130">
    <w:name w:val="批注主题 Char"/>
    <w:link w:val="47"/>
    <w:qFormat/>
    <w:uiPriority w:val="99"/>
    <w:rPr>
      <w:rFonts w:ascii="Tahoma" w:hAnsi="Tahoma"/>
      <w:b/>
      <w:bCs/>
      <w:kern w:val="2"/>
      <w:sz w:val="24"/>
      <w:szCs w:val="28"/>
    </w:rPr>
  </w:style>
  <w:style w:type="character" w:customStyle="1" w:styleId="131">
    <w:name w:val="pagebanner"/>
    <w:basedOn w:val="52"/>
    <w:qFormat/>
    <w:uiPriority w:val="0"/>
  </w:style>
  <w:style w:type="character" w:customStyle="1" w:styleId="132">
    <w:name w:val="文档结构图 Char"/>
    <w:link w:val="18"/>
    <w:qFormat/>
    <w:uiPriority w:val="99"/>
    <w:rPr>
      <w:rFonts w:ascii="宋体"/>
      <w:kern w:val="2"/>
      <w:sz w:val="18"/>
      <w:szCs w:val="18"/>
    </w:rPr>
  </w:style>
  <w:style w:type="character" w:customStyle="1" w:styleId="133">
    <w:name w:val="正文首行缩进 Char"/>
    <w:link w:val="48"/>
    <w:qFormat/>
    <w:uiPriority w:val="0"/>
    <w:rPr>
      <w:rFonts w:ascii="Tahoma" w:hAnsi="Tahoma"/>
      <w:kern w:val="2"/>
      <w:sz w:val="21"/>
      <w:szCs w:val="24"/>
    </w:rPr>
  </w:style>
  <w:style w:type="character" w:customStyle="1" w:styleId="134">
    <w:name w:val="表格标题 Char Char"/>
    <w:link w:val="87"/>
    <w:qFormat/>
    <w:uiPriority w:val="0"/>
    <w:rPr>
      <w:rFonts w:ascii="Arial" w:hAnsi="Arial" w:cs="Arial"/>
      <w:kern w:val="2"/>
      <w:sz w:val="24"/>
      <w:szCs w:val="24"/>
    </w:rPr>
  </w:style>
  <w:style w:type="character" w:customStyle="1" w:styleId="135">
    <w:name w:val="标题 6 Char"/>
    <w:link w:val="9"/>
    <w:qFormat/>
    <w:uiPriority w:val="99"/>
    <w:rPr>
      <w:rFonts w:ascii="Arial" w:hAnsi="Arial" w:eastAsia="黑体"/>
      <w:b/>
      <w:bCs/>
      <w:kern w:val="2"/>
      <w:sz w:val="24"/>
      <w:szCs w:val="28"/>
    </w:rPr>
  </w:style>
  <w:style w:type="character" w:customStyle="1" w:styleId="136">
    <w:name w:val="正文文本 Char"/>
    <w:link w:val="23"/>
    <w:qFormat/>
    <w:uiPriority w:val="99"/>
    <w:rPr>
      <w:rFonts w:ascii="Tahoma" w:hAnsi="Tahoma"/>
      <w:kern w:val="2"/>
      <w:sz w:val="21"/>
      <w:szCs w:val="24"/>
    </w:rPr>
  </w:style>
  <w:style w:type="character" w:customStyle="1" w:styleId="137">
    <w:name w:val="10"/>
    <w:qFormat/>
    <w:uiPriority w:val="0"/>
    <w:rPr>
      <w:rFonts w:hint="default" w:ascii="Calibri" w:hAnsi="Calibri" w:cs="Calibri"/>
    </w:rPr>
  </w:style>
  <w:style w:type="character" w:customStyle="1" w:styleId="138">
    <w:name w:val="正文缩进 Char"/>
    <w:link w:val="6"/>
    <w:qFormat/>
    <w:uiPriority w:val="0"/>
    <w:rPr>
      <w:kern w:val="2"/>
      <w:sz w:val="24"/>
    </w:rPr>
  </w:style>
  <w:style w:type="character" w:customStyle="1" w:styleId="139">
    <w:name w:val="页脚 Char"/>
    <w:link w:val="2"/>
    <w:qFormat/>
    <w:uiPriority w:val="99"/>
    <w:rPr>
      <w:rFonts w:ascii="Tahoma" w:hAnsi="Tahoma"/>
      <w:kern w:val="2"/>
      <w:sz w:val="18"/>
      <w:szCs w:val="18"/>
    </w:rPr>
  </w:style>
  <w:style w:type="character" w:customStyle="1" w:styleId="140">
    <w:name w:val="mod"/>
    <w:basedOn w:val="52"/>
    <w:qFormat/>
    <w:uiPriority w:val="0"/>
  </w:style>
  <w:style w:type="character" w:customStyle="1" w:styleId="141">
    <w:name w:val="标题3 Char Char"/>
    <w:link w:val="85"/>
    <w:qFormat/>
    <w:uiPriority w:val="0"/>
    <w:rPr>
      <w:rFonts w:eastAsia="黑体"/>
      <w:kern w:val="2"/>
      <w:sz w:val="28"/>
      <w:szCs w:val="32"/>
    </w:rPr>
  </w:style>
  <w:style w:type="character" w:customStyle="1" w:styleId="142">
    <w:name w:val="标题 4 Char"/>
    <w:link w:val="7"/>
    <w:qFormat/>
    <w:uiPriority w:val="99"/>
    <w:rPr>
      <w:b/>
      <w:sz w:val="24"/>
      <w:szCs w:val="24"/>
    </w:rPr>
  </w:style>
  <w:style w:type="paragraph" w:customStyle="1" w:styleId="143">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4">
    <w:name w:val="redfilefwwh"/>
    <w:basedOn w:val="52"/>
    <w:qFormat/>
    <w:uiPriority w:val="0"/>
    <w:rPr>
      <w:color w:val="BA2636"/>
      <w:sz w:val="12"/>
      <w:szCs w:val="12"/>
    </w:rPr>
  </w:style>
  <w:style w:type="character" w:customStyle="1" w:styleId="145">
    <w:name w:val="gjfg"/>
    <w:basedOn w:val="52"/>
    <w:qFormat/>
    <w:uiPriority w:val="0"/>
  </w:style>
  <w:style w:type="character" w:customStyle="1" w:styleId="146">
    <w:name w:val="redfilenumber"/>
    <w:basedOn w:val="52"/>
    <w:qFormat/>
    <w:uiPriority w:val="0"/>
    <w:rPr>
      <w:color w:val="BA2636"/>
      <w:sz w:val="12"/>
      <w:szCs w:val="12"/>
    </w:rPr>
  </w:style>
  <w:style w:type="character" w:customStyle="1" w:styleId="147">
    <w:name w:val="qxdate"/>
    <w:basedOn w:val="52"/>
    <w:qFormat/>
    <w:uiPriority w:val="0"/>
    <w:rPr>
      <w:color w:val="333333"/>
      <w:sz w:val="12"/>
      <w:szCs w:val="12"/>
    </w:rPr>
  </w:style>
  <w:style w:type="character" w:customStyle="1" w:styleId="148">
    <w:name w:val="prev"/>
    <w:basedOn w:val="52"/>
    <w:qFormat/>
    <w:uiPriority w:val="0"/>
    <w:rPr>
      <w:rFonts w:ascii="微软雅黑" w:hAnsi="微软雅黑" w:eastAsia="微软雅黑" w:cs="微软雅黑"/>
      <w:sz w:val="14"/>
      <w:szCs w:val="14"/>
    </w:rPr>
  </w:style>
  <w:style w:type="character" w:customStyle="1" w:styleId="149">
    <w:name w:val="cfdate"/>
    <w:basedOn w:val="52"/>
    <w:qFormat/>
    <w:uiPriority w:val="0"/>
    <w:rPr>
      <w:color w:val="333333"/>
      <w:sz w:val="12"/>
      <w:szCs w:val="12"/>
    </w:rPr>
  </w:style>
  <w:style w:type="character" w:customStyle="1" w:styleId="150">
    <w:name w:val="displayarti"/>
    <w:basedOn w:val="52"/>
    <w:qFormat/>
    <w:uiPriority w:val="0"/>
    <w:rPr>
      <w:color w:val="FFFFFF"/>
      <w:shd w:val="clear" w:color="auto" w:fill="A00000"/>
    </w:rPr>
  </w:style>
  <w:style w:type="character" w:customStyle="1" w:styleId="151">
    <w:name w:val="next2"/>
    <w:basedOn w:val="52"/>
    <w:qFormat/>
    <w:uiPriority w:val="0"/>
    <w:rPr>
      <w:rFonts w:hint="eastAsia" w:ascii="微软雅黑" w:hAnsi="微软雅黑" w:eastAsia="微软雅黑" w:cs="微软雅黑"/>
      <w:sz w:val="14"/>
      <w:szCs w:val="14"/>
    </w:rPr>
  </w:style>
  <w:style w:type="character" w:customStyle="1" w:styleId="152">
    <w:name w:val="next3"/>
    <w:basedOn w:val="52"/>
    <w:qFormat/>
    <w:uiPriority w:val="0"/>
    <w:rPr>
      <w:color w:val="888888"/>
    </w:rPr>
  </w:style>
  <w:style w:type="character" w:customStyle="1" w:styleId="153">
    <w:name w:val="next"/>
    <w:basedOn w:val="52"/>
    <w:qFormat/>
    <w:uiPriority w:val="0"/>
    <w:rPr>
      <w:rFonts w:ascii="微软雅黑" w:hAnsi="微软雅黑" w:eastAsia="微软雅黑" w:cs="微软雅黑"/>
      <w:sz w:val="14"/>
      <w:szCs w:val="14"/>
    </w:rPr>
  </w:style>
  <w:style w:type="character" w:customStyle="1" w:styleId="154">
    <w:name w:val="prev1"/>
    <w:basedOn w:val="52"/>
    <w:qFormat/>
    <w:uiPriority w:val="0"/>
    <w:rPr>
      <w:color w:val="888888"/>
    </w:rPr>
  </w:style>
  <w:style w:type="paragraph" w:customStyle="1" w:styleId="155">
    <w:name w:val="Body text|21"/>
    <w:basedOn w:val="1"/>
    <w:link w:val="157"/>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6">
    <w:name w:val="Body text|2 + Spacing 0 pt"/>
    <w:basedOn w:val="157"/>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7">
    <w:name w:val="Body text|2_"/>
    <w:basedOn w:val="52"/>
    <w:link w:val="155"/>
    <w:qFormat/>
    <w:uiPriority w:val="0"/>
    <w:rPr>
      <w:rFonts w:ascii="PMingLiU" w:hAnsi="PMingLiU" w:eastAsia="PMingLiU" w:cs="PMingLiU"/>
      <w:spacing w:val="30"/>
    </w:rPr>
  </w:style>
  <w:style w:type="character" w:customStyle="1" w:styleId="158">
    <w:name w:val="Body text|2 + Spacing 3 pt"/>
    <w:basedOn w:val="157"/>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9">
    <w:name w:val="图文"/>
    <w:basedOn w:val="1"/>
    <w:qFormat/>
    <w:uiPriority w:val="0"/>
    <w:pPr>
      <w:adjustRightInd w:val="0"/>
      <w:snapToGrid w:val="0"/>
      <w:spacing w:after="50" w:line="360" w:lineRule="auto"/>
    </w:pPr>
    <w:rPr>
      <w:sz w:val="24"/>
    </w:rPr>
  </w:style>
  <w:style w:type="paragraph" w:customStyle="1" w:styleId="160">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1">
    <w:name w:val="Char"/>
    <w:basedOn w:val="1"/>
    <w:qFormat/>
    <w:uiPriority w:val="0"/>
    <w:rPr>
      <w:rFonts w:ascii="仿宋_GB2312" w:eastAsia="仿宋_GB2312"/>
      <w:b/>
      <w:sz w:val="32"/>
      <w:szCs w:val="32"/>
    </w:rPr>
  </w:style>
  <w:style w:type="paragraph" w:customStyle="1" w:styleId="162">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63">
    <w:name w:val="1"/>
    <w:basedOn w:val="1"/>
    <w:next w:val="24"/>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4">
    <w:name w:val="正文文本缩进 2 Char"/>
    <w:basedOn w:val="52"/>
    <w:link w:val="32"/>
    <w:qFormat/>
    <w:uiPriority w:val="99"/>
    <w:rPr>
      <w:rFonts w:ascii="Times New Roman" w:hAnsi="Times New Roman" w:eastAsia="宋体" w:cs="Times New Roman"/>
      <w:kern w:val="2"/>
      <w:sz w:val="24"/>
      <w:szCs w:val="30"/>
    </w:rPr>
  </w:style>
  <w:style w:type="paragraph" w:customStyle="1" w:styleId="16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6">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67">
    <w:name w:val="倪芳"/>
    <w:basedOn w:val="1"/>
    <w:qFormat/>
    <w:uiPriority w:val="0"/>
    <w:pPr>
      <w:spacing w:beforeLines="25" w:afterLines="15" w:line="400" w:lineRule="exact"/>
    </w:pPr>
    <w:rPr>
      <w:rFonts w:ascii="宋体" w:hAnsi="Courier New" w:eastAsia="宋体" w:cs="Courier New"/>
      <w:sz w:val="24"/>
      <w:szCs w:val="21"/>
    </w:rPr>
  </w:style>
  <w:style w:type="character" w:customStyle="1" w:styleId="168">
    <w:name w:val="正文文本缩进 Char"/>
    <w:basedOn w:val="52"/>
    <w:link w:val="24"/>
    <w:qFormat/>
    <w:uiPriority w:val="99"/>
    <w:rPr>
      <w:rFonts w:ascii="Tahoma" w:hAnsi="Tahoma" w:eastAsia="Arial Unicode MS" w:cs="Times New Roman"/>
      <w:kern w:val="2"/>
      <w:sz w:val="21"/>
      <w:szCs w:val="24"/>
    </w:rPr>
  </w:style>
  <w:style w:type="character" w:customStyle="1" w:styleId="169">
    <w:name w:val="正文首行缩进 2 Char"/>
    <w:basedOn w:val="168"/>
    <w:link w:val="49"/>
    <w:qFormat/>
    <w:uiPriority w:val="0"/>
    <w:rPr>
      <w:rFonts w:ascii="Times New Roman" w:hAnsi="Times New Roman" w:eastAsia="宋体" w:cs="Times New Roman"/>
      <w:kern w:val="2"/>
      <w:sz w:val="21"/>
      <w:szCs w:val="24"/>
    </w:rPr>
  </w:style>
  <w:style w:type="character" w:customStyle="1" w:styleId="170">
    <w:name w:val="正文文本 2 Char"/>
    <w:basedOn w:val="52"/>
    <w:link w:val="42"/>
    <w:qFormat/>
    <w:uiPriority w:val="99"/>
    <w:rPr>
      <w:rFonts w:ascii="宋体" w:hAnsi="Times New Roman" w:eastAsia="宋体" w:cs="Times New Roman"/>
      <w:kern w:val="2"/>
      <w:sz w:val="21"/>
    </w:rPr>
  </w:style>
  <w:style w:type="paragraph" w:customStyle="1" w:styleId="171">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72">
    <w:name w:val="样式 标题 2 + (符号) 宋体 小四"/>
    <w:basedOn w:val="4"/>
    <w:qFormat/>
    <w:uiPriority w:val="0"/>
    <w:pPr>
      <w:keepNext/>
      <w:keepLines/>
      <w:spacing w:line="416" w:lineRule="auto"/>
    </w:pPr>
    <w:rPr>
      <w:rFonts w:ascii="Arial" w:hAnsi="Arial" w:eastAsia="宋体"/>
      <w:bCs/>
      <w:sz w:val="24"/>
    </w:rPr>
  </w:style>
  <w:style w:type="character" w:customStyle="1" w:styleId="173">
    <w:name w:val="Char2"/>
    <w:qFormat/>
    <w:uiPriority w:val="0"/>
    <w:rPr>
      <w:rFonts w:ascii="Arial" w:hAnsi="Arial" w:eastAsia="黑体"/>
      <w:b/>
      <w:bCs/>
      <w:kern w:val="2"/>
      <w:sz w:val="32"/>
      <w:szCs w:val="32"/>
      <w:lang w:val="en-US" w:eastAsia="zh-CN" w:bidi="ar-SA"/>
    </w:rPr>
  </w:style>
  <w:style w:type="character" w:customStyle="1" w:styleId="174">
    <w:name w:val="样式 标题 2 + (符号) 宋体 小四 Char"/>
    <w:qFormat/>
    <w:uiPriority w:val="0"/>
    <w:rPr>
      <w:rFonts w:ascii="Arial" w:hAnsi="Arial" w:eastAsia="宋体"/>
      <w:b/>
      <w:bCs/>
      <w:kern w:val="2"/>
      <w:sz w:val="24"/>
      <w:szCs w:val="32"/>
      <w:lang w:val="en-US" w:eastAsia="zh-CN" w:bidi="ar-SA"/>
    </w:rPr>
  </w:style>
  <w:style w:type="paragraph" w:customStyle="1" w:styleId="175">
    <w:name w:val="样式1"/>
    <w:basedOn w:val="1"/>
    <w:next w:val="5"/>
    <w:qFormat/>
    <w:uiPriority w:val="99"/>
    <w:rPr>
      <w:rFonts w:eastAsia="宋体"/>
      <w:sz w:val="24"/>
      <w:szCs w:val="20"/>
    </w:rPr>
  </w:style>
  <w:style w:type="paragraph" w:customStyle="1" w:styleId="176">
    <w:name w:val="默认段落字体 Para Char Char Char Char Char Char Char Char Char Char"/>
    <w:basedOn w:val="18"/>
    <w:qFormat/>
    <w:uiPriority w:val="0"/>
    <w:pPr>
      <w:shd w:val="clear" w:color="auto" w:fill="000080"/>
      <w:spacing w:line="240" w:lineRule="auto"/>
    </w:pPr>
    <w:rPr>
      <w:rFonts w:ascii="Tahoma" w:hAnsi="Tahoma" w:eastAsia="宋体"/>
      <w:sz w:val="24"/>
      <w:szCs w:val="24"/>
    </w:rPr>
  </w:style>
  <w:style w:type="paragraph" w:customStyle="1" w:styleId="177">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8">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6">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90">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2">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6">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7">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8">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199">
    <w:name w:val="日期 Char"/>
    <w:link w:val="31"/>
    <w:qFormat/>
    <w:uiPriority w:val="99"/>
    <w:rPr>
      <w:rFonts w:ascii="Tahoma" w:hAnsi="Tahoma" w:eastAsia="Arial Unicode MS" w:cs="Times New Roman"/>
      <w:kern w:val="2"/>
      <w:sz w:val="21"/>
      <w:szCs w:val="24"/>
    </w:rPr>
  </w:style>
  <w:style w:type="character" w:customStyle="1" w:styleId="200">
    <w:name w:val="Char Char"/>
    <w:qFormat/>
    <w:uiPriority w:val="0"/>
    <w:rPr>
      <w:rFonts w:eastAsia="宋体"/>
      <w:kern w:val="2"/>
      <w:sz w:val="24"/>
      <w:lang w:val="en-US" w:eastAsia="zh-CN" w:bidi="ar-SA"/>
    </w:rPr>
  </w:style>
  <w:style w:type="character" w:customStyle="1" w:styleId="201">
    <w:name w:val="称呼 Char"/>
    <w:basedOn w:val="52"/>
    <w:link w:val="21"/>
    <w:qFormat/>
    <w:uiPriority w:val="0"/>
    <w:rPr>
      <w:rFonts w:ascii="..ì." w:hAnsi="Times New Roman" w:eastAsia="..ì." w:cs="Times New Roman"/>
      <w:sz w:val="24"/>
    </w:rPr>
  </w:style>
  <w:style w:type="character" w:customStyle="1" w:styleId="202">
    <w:name w:val="注释标题 Char"/>
    <w:basedOn w:val="52"/>
    <w:link w:val="14"/>
    <w:qFormat/>
    <w:uiPriority w:val="0"/>
    <w:rPr>
      <w:rFonts w:ascii="..ì." w:hAnsi="Times New Roman" w:eastAsia="..ì." w:cs="Times New Roman"/>
      <w:sz w:val="24"/>
    </w:rPr>
  </w:style>
  <w:style w:type="paragraph" w:customStyle="1" w:styleId="203">
    <w:name w:val="1 Char Char Char Char"/>
    <w:basedOn w:val="1"/>
    <w:qFormat/>
    <w:uiPriority w:val="0"/>
    <w:rPr>
      <w:rFonts w:ascii="Tahoma" w:hAnsi="Tahoma" w:eastAsia="宋体"/>
      <w:sz w:val="24"/>
      <w:szCs w:val="20"/>
    </w:rPr>
  </w:style>
  <w:style w:type="paragraph" w:customStyle="1" w:styleId="204">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05">
    <w:name w:val="TOC 标题2"/>
    <w:basedOn w:val="3"/>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6">
    <w:name w:val="标题 1 Char1"/>
    <w:qFormat/>
    <w:uiPriority w:val="99"/>
    <w:rPr>
      <w:rFonts w:ascii="黑体" w:eastAsia="黑体"/>
      <w:sz w:val="52"/>
      <w:lang w:bidi="ar-SA"/>
    </w:rPr>
  </w:style>
  <w:style w:type="paragraph" w:customStyle="1" w:styleId="207">
    <w:name w:val="样式 标题 2 + Times New Roman 四号 非加粗 段前: 5 磅 段后: 0 磅 行距: 固定值 20..."/>
    <w:basedOn w:val="4"/>
    <w:qFormat/>
    <w:uiPriority w:val="99"/>
    <w:pPr>
      <w:keepNext/>
      <w:keepLines/>
      <w:spacing w:before="100" w:after="0" w:line="400" w:lineRule="exact"/>
    </w:pPr>
    <w:rPr>
      <w:rFonts w:ascii="Times New Roman" w:hAnsi="Times New Roman" w:eastAsia="黑体" w:cs="宋体"/>
      <w:sz w:val="28"/>
      <w:szCs w:val="20"/>
    </w:rPr>
  </w:style>
  <w:style w:type="paragraph" w:customStyle="1" w:styleId="208">
    <w:name w:val="3"/>
    <w:basedOn w:val="1"/>
    <w:next w:val="22"/>
    <w:qFormat/>
    <w:uiPriority w:val="99"/>
    <w:rPr>
      <w:rFonts w:ascii="宋体" w:eastAsia="宋体"/>
      <w:sz w:val="24"/>
      <w:szCs w:val="20"/>
    </w:rPr>
  </w:style>
  <w:style w:type="character" w:customStyle="1" w:styleId="209">
    <w:name w:val="正文文本 3 Char"/>
    <w:basedOn w:val="52"/>
    <w:link w:val="22"/>
    <w:qFormat/>
    <w:uiPriority w:val="99"/>
    <w:rPr>
      <w:rFonts w:ascii="Times New Roman" w:hAnsi="Times New Roman" w:eastAsia="宋体" w:cs="Times New Roman"/>
      <w:kern w:val="2"/>
      <w:sz w:val="16"/>
      <w:szCs w:val="16"/>
    </w:rPr>
  </w:style>
  <w:style w:type="paragraph" w:customStyle="1" w:styleId="210">
    <w:name w:val="样式 标题 3 + (中文) 黑体 小四 非加粗 段前: 7.8 磅 段后: 0 磅 行距: 固定值 20 磅"/>
    <w:basedOn w:val="5"/>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11">
    <w:name w:val="2"/>
    <w:basedOn w:val="1"/>
    <w:next w:val="24"/>
    <w:qFormat/>
    <w:uiPriority w:val="99"/>
    <w:pPr>
      <w:ind w:left="432"/>
    </w:pPr>
    <w:rPr>
      <w:rFonts w:eastAsia="宋体"/>
      <w:szCs w:val="20"/>
    </w:rPr>
  </w:style>
  <w:style w:type="character" w:customStyle="1" w:styleId="212">
    <w:name w:val="正文文本缩进 3 Char"/>
    <w:link w:val="39"/>
    <w:qFormat/>
    <w:uiPriority w:val="99"/>
    <w:rPr>
      <w:rFonts w:ascii="Times New Roman" w:hAnsi="Times New Roman" w:eastAsia="Arial Unicode MS" w:cs="Times New Roman"/>
      <w:kern w:val="2"/>
      <w:sz w:val="16"/>
      <w:szCs w:val="16"/>
    </w:rPr>
  </w:style>
  <w:style w:type="paragraph" w:customStyle="1" w:styleId="213">
    <w:name w:val="样式 标题 1 + 黑体 三号 非加粗 居中 段前: 6 磅 段后: 6 磅 行距: 固定值 20 磅"/>
    <w:basedOn w:val="3"/>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4">
    <w:name w:val="Char1111"/>
    <w:basedOn w:val="1"/>
    <w:qFormat/>
    <w:uiPriority w:val="0"/>
    <w:rPr>
      <w:rFonts w:ascii="Tahoma" w:hAnsi="Tahoma" w:eastAsia="宋体"/>
      <w:sz w:val="24"/>
      <w:szCs w:val="20"/>
    </w:rPr>
  </w:style>
  <w:style w:type="character" w:customStyle="1" w:styleId="215">
    <w:name w:val="font161"/>
    <w:qFormat/>
    <w:uiPriority w:val="99"/>
    <w:rPr>
      <w:b/>
      <w:bCs/>
      <w:sz w:val="32"/>
      <w:szCs w:val="32"/>
    </w:rPr>
  </w:style>
  <w:style w:type="paragraph" w:customStyle="1" w:styleId="216">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7">
    <w:name w:val="表格"/>
    <w:basedOn w:val="1"/>
    <w:qFormat/>
    <w:uiPriority w:val="99"/>
    <w:pPr>
      <w:jc w:val="center"/>
      <w:textAlignment w:val="center"/>
    </w:pPr>
    <w:rPr>
      <w:rFonts w:ascii="华文细黑" w:hAnsi="华文细黑" w:eastAsia="宋体"/>
      <w:kern w:val="0"/>
      <w:szCs w:val="20"/>
    </w:rPr>
  </w:style>
  <w:style w:type="paragraph" w:customStyle="1" w:styleId="218">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219">
    <w:name w:val="XW正文"/>
    <w:basedOn w:val="24"/>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20">
    <w:name w:val="金安桥正文"/>
    <w:basedOn w:val="24"/>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21">
    <w:name w:val="样式 粉红"/>
    <w:qFormat/>
    <w:uiPriority w:val="99"/>
    <w:rPr>
      <w:color w:val="auto"/>
      <w:u w:val="none"/>
    </w:rPr>
  </w:style>
  <w:style w:type="character" w:customStyle="1" w:styleId="222">
    <w:name w:val="Char Char1"/>
    <w:qFormat/>
    <w:uiPriority w:val="0"/>
    <w:rPr>
      <w:rFonts w:eastAsia="宋体"/>
      <w:kern w:val="2"/>
      <w:sz w:val="24"/>
      <w:lang w:val="en-US" w:eastAsia="zh-CN" w:bidi="ar-SA"/>
    </w:rPr>
  </w:style>
  <w:style w:type="character" w:customStyle="1" w:styleId="223">
    <w:name w:val="纯文本 Char"/>
    <w:link w:val="29"/>
    <w:qFormat/>
    <w:uiPriority w:val="0"/>
    <w:rPr>
      <w:rFonts w:ascii="宋体" w:hAnsi="Courier New" w:eastAsia="Arial Unicode MS" w:cs="Times New Roman"/>
      <w:kern w:val="2"/>
      <w:sz w:val="21"/>
      <w:szCs w:val="21"/>
    </w:rPr>
  </w:style>
  <w:style w:type="paragraph" w:customStyle="1" w:styleId="224">
    <w:name w:val="Char Char Char Char"/>
    <w:basedOn w:val="1"/>
    <w:qFormat/>
    <w:uiPriority w:val="0"/>
    <w:pPr>
      <w:widowControl/>
      <w:spacing w:after="160" w:line="240" w:lineRule="exact"/>
      <w:jc w:val="left"/>
    </w:pPr>
    <w:rPr>
      <w:rFonts w:eastAsia="宋体"/>
      <w:szCs w:val="20"/>
    </w:rPr>
  </w:style>
  <w:style w:type="paragraph" w:customStyle="1" w:styleId="225">
    <w:name w:val="p17"/>
    <w:basedOn w:val="1"/>
    <w:qFormat/>
    <w:uiPriority w:val="99"/>
    <w:pPr>
      <w:widowControl/>
    </w:pPr>
    <w:rPr>
      <w:rFonts w:eastAsia="宋体"/>
      <w:kern w:val="0"/>
      <w:szCs w:val="21"/>
    </w:rPr>
  </w:style>
  <w:style w:type="character" w:customStyle="1" w:styleId="226">
    <w:name w:val="H4 Char"/>
    <w:qFormat/>
    <w:uiPriority w:val="0"/>
    <w:rPr>
      <w:b/>
      <w:sz w:val="28"/>
    </w:rPr>
  </w:style>
  <w:style w:type="character" w:customStyle="1" w:styleId="227">
    <w:name w:val="Char Char2"/>
    <w:qFormat/>
    <w:uiPriority w:val="0"/>
    <w:rPr>
      <w:rFonts w:eastAsia="宋体"/>
      <w:kern w:val="2"/>
      <w:sz w:val="24"/>
      <w:lang w:val="en-US" w:eastAsia="zh-CN" w:bidi="ar-SA"/>
    </w:rPr>
  </w:style>
  <w:style w:type="character" w:customStyle="1" w:styleId="228">
    <w:name w:val="Char Char111"/>
    <w:qFormat/>
    <w:uiPriority w:val="99"/>
    <w:rPr>
      <w:rFonts w:eastAsia="宋体"/>
      <w:kern w:val="2"/>
      <w:sz w:val="24"/>
      <w:lang w:val="en-US" w:eastAsia="zh-CN" w:bidi="ar-SA"/>
    </w:rPr>
  </w:style>
  <w:style w:type="paragraph" w:customStyle="1" w:styleId="229">
    <w:name w:val="Char Char Char Char111"/>
    <w:basedOn w:val="1"/>
    <w:qFormat/>
    <w:uiPriority w:val="0"/>
    <w:pPr>
      <w:widowControl/>
      <w:spacing w:after="160" w:line="240" w:lineRule="exact"/>
      <w:jc w:val="left"/>
    </w:pPr>
    <w:rPr>
      <w:rFonts w:eastAsia="宋体"/>
      <w:szCs w:val="20"/>
    </w:rPr>
  </w:style>
  <w:style w:type="paragraph" w:customStyle="1" w:styleId="230">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1">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2">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3">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8">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41">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2">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3">
    <w:name w:val="章标题"/>
    <w:next w:val="1"/>
    <w:link w:val="250"/>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4">
    <w:name w:val="一级条标题"/>
    <w:basedOn w:val="243"/>
    <w:next w:val="1"/>
    <w:link w:val="251"/>
    <w:qFormat/>
    <w:uiPriority w:val="0"/>
    <w:pPr>
      <w:numPr>
        <w:ilvl w:val="2"/>
      </w:numPr>
      <w:tabs>
        <w:tab w:val="left" w:pos="360"/>
      </w:tabs>
      <w:spacing w:beforeLines="0" w:afterLines="0"/>
      <w:ind w:left="315"/>
      <w:outlineLvl w:val="2"/>
    </w:pPr>
  </w:style>
  <w:style w:type="paragraph" w:customStyle="1" w:styleId="245">
    <w:name w:val="二级条标题"/>
    <w:basedOn w:val="244"/>
    <w:next w:val="1"/>
    <w:link w:val="252"/>
    <w:qFormat/>
    <w:uiPriority w:val="0"/>
    <w:pPr>
      <w:numPr>
        <w:ilvl w:val="3"/>
      </w:numPr>
      <w:ind w:left="315"/>
      <w:outlineLvl w:val="3"/>
    </w:pPr>
  </w:style>
  <w:style w:type="paragraph" w:customStyle="1" w:styleId="246">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7">
    <w:name w:val="三级条标题"/>
    <w:basedOn w:val="245"/>
    <w:next w:val="1"/>
    <w:qFormat/>
    <w:uiPriority w:val="0"/>
    <w:pPr>
      <w:numPr>
        <w:ilvl w:val="4"/>
      </w:numPr>
      <w:tabs>
        <w:tab w:val="left" w:pos="1680"/>
        <w:tab w:val="left" w:pos="2100"/>
      </w:tabs>
      <w:ind w:left="2100" w:hanging="420"/>
      <w:outlineLvl w:val="4"/>
    </w:pPr>
  </w:style>
  <w:style w:type="paragraph" w:customStyle="1" w:styleId="248">
    <w:name w:val="四级条标题"/>
    <w:basedOn w:val="247"/>
    <w:next w:val="1"/>
    <w:qFormat/>
    <w:uiPriority w:val="0"/>
    <w:pPr>
      <w:numPr>
        <w:ilvl w:val="5"/>
      </w:numPr>
      <w:tabs>
        <w:tab w:val="left" w:pos="2520"/>
      </w:tabs>
      <w:ind w:left="2520" w:hanging="420"/>
      <w:outlineLvl w:val="5"/>
    </w:pPr>
  </w:style>
  <w:style w:type="paragraph" w:customStyle="1" w:styleId="249">
    <w:name w:val="五级条标题"/>
    <w:basedOn w:val="248"/>
    <w:next w:val="1"/>
    <w:qFormat/>
    <w:uiPriority w:val="0"/>
    <w:pPr>
      <w:numPr>
        <w:ilvl w:val="6"/>
      </w:numPr>
      <w:tabs>
        <w:tab w:val="left" w:pos="2940"/>
      </w:tabs>
      <w:ind w:left="2940" w:hanging="420"/>
      <w:outlineLvl w:val="6"/>
    </w:pPr>
  </w:style>
  <w:style w:type="character" w:customStyle="1" w:styleId="250">
    <w:name w:val="章标题 Char"/>
    <w:link w:val="243"/>
    <w:qFormat/>
    <w:uiPriority w:val="0"/>
    <w:rPr>
      <w:rFonts w:ascii="黑体" w:hAnsi="Times New Roman" w:eastAsia="黑体" w:cs="Times New Roman"/>
      <w:sz w:val="21"/>
    </w:rPr>
  </w:style>
  <w:style w:type="character" w:customStyle="1" w:styleId="251">
    <w:name w:val="一级条标题 Char"/>
    <w:link w:val="244"/>
    <w:qFormat/>
    <w:uiPriority w:val="0"/>
    <w:rPr>
      <w:rFonts w:ascii="黑体" w:hAnsi="Times New Roman" w:eastAsia="黑体" w:cs="Times New Roman"/>
      <w:sz w:val="21"/>
    </w:rPr>
  </w:style>
  <w:style w:type="character" w:customStyle="1" w:styleId="252">
    <w:name w:val="二级条标题 Char"/>
    <w:link w:val="245"/>
    <w:qFormat/>
    <w:uiPriority w:val="0"/>
    <w:rPr>
      <w:rFonts w:ascii="黑体" w:hAnsi="Times New Roman" w:eastAsia="黑体" w:cs="Times New Roman"/>
      <w:sz w:val="21"/>
    </w:rPr>
  </w:style>
  <w:style w:type="character" w:customStyle="1" w:styleId="253">
    <w:name w:val="Heading 1 Char"/>
    <w:qFormat/>
    <w:locked/>
    <w:uiPriority w:val="0"/>
    <w:rPr>
      <w:rFonts w:ascii="黑体" w:hAnsi="Times New Roman" w:eastAsia="黑体" w:cs="Times New Roman"/>
      <w:kern w:val="0"/>
      <w:sz w:val="20"/>
      <w:szCs w:val="20"/>
    </w:rPr>
  </w:style>
  <w:style w:type="character" w:customStyle="1" w:styleId="254">
    <w:name w:val="Heading 2 Char"/>
    <w:qFormat/>
    <w:locked/>
    <w:uiPriority w:val="0"/>
    <w:rPr>
      <w:rFonts w:ascii="Times New Roman" w:hAnsi="Times New Roman" w:eastAsia="宋体" w:cs="Times New Roman"/>
      <w:b/>
      <w:kern w:val="0"/>
      <w:sz w:val="32"/>
      <w:szCs w:val="32"/>
    </w:rPr>
  </w:style>
  <w:style w:type="character" w:customStyle="1" w:styleId="255">
    <w:name w:val="标题 3 Char1"/>
    <w:qFormat/>
    <w:locked/>
    <w:uiPriority w:val="99"/>
    <w:rPr>
      <w:rFonts w:eastAsia="宋体"/>
      <w:b/>
      <w:sz w:val="32"/>
      <w:lang w:val="en-US" w:eastAsia="zh-CN" w:bidi="ar-SA"/>
    </w:rPr>
  </w:style>
  <w:style w:type="character" w:customStyle="1" w:styleId="256">
    <w:name w:val="Heading 4 Char"/>
    <w:qFormat/>
    <w:locked/>
    <w:uiPriority w:val="0"/>
    <w:rPr>
      <w:rFonts w:ascii="Times New Roman" w:hAnsi="Times New Roman" w:eastAsia="宋体" w:cs="Times New Roman"/>
      <w:b/>
      <w:kern w:val="0"/>
      <w:sz w:val="20"/>
      <w:szCs w:val="20"/>
    </w:rPr>
  </w:style>
  <w:style w:type="character" w:customStyle="1" w:styleId="257">
    <w:name w:val="Heading 5 Char"/>
    <w:qFormat/>
    <w:locked/>
    <w:uiPriority w:val="0"/>
    <w:rPr>
      <w:rFonts w:ascii="Times New Roman" w:hAnsi="Times New Roman" w:eastAsia="宋体" w:cs="Times New Roman"/>
      <w:b/>
      <w:bCs/>
      <w:sz w:val="28"/>
      <w:szCs w:val="28"/>
    </w:rPr>
  </w:style>
  <w:style w:type="character" w:customStyle="1" w:styleId="258">
    <w:name w:val="Heading 6 Char"/>
    <w:qFormat/>
    <w:locked/>
    <w:uiPriority w:val="0"/>
    <w:rPr>
      <w:rFonts w:ascii="Arial" w:hAnsi="Arial" w:eastAsia="黑体" w:cs="Times New Roman"/>
      <w:b/>
      <w:bCs/>
      <w:kern w:val="0"/>
      <w:sz w:val="24"/>
      <w:szCs w:val="24"/>
    </w:rPr>
  </w:style>
  <w:style w:type="character" w:customStyle="1" w:styleId="259">
    <w:name w:val="Heading 7 Char"/>
    <w:qFormat/>
    <w:locked/>
    <w:uiPriority w:val="0"/>
    <w:rPr>
      <w:rFonts w:ascii="Times New Roman" w:hAnsi="Times New Roman" w:eastAsia="宋体" w:cs="Times New Roman"/>
      <w:b/>
      <w:bCs/>
      <w:kern w:val="0"/>
      <w:sz w:val="24"/>
      <w:szCs w:val="24"/>
    </w:rPr>
  </w:style>
  <w:style w:type="character" w:customStyle="1" w:styleId="260">
    <w:name w:val="Heading 8 Char"/>
    <w:qFormat/>
    <w:locked/>
    <w:uiPriority w:val="0"/>
    <w:rPr>
      <w:rFonts w:ascii="Arial" w:hAnsi="Arial" w:eastAsia="黑体" w:cs="Times New Roman"/>
      <w:kern w:val="0"/>
      <w:sz w:val="24"/>
      <w:szCs w:val="24"/>
    </w:rPr>
  </w:style>
  <w:style w:type="character" w:customStyle="1" w:styleId="261">
    <w:name w:val="Heading 9 Char"/>
    <w:qFormat/>
    <w:locked/>
    <w:uiPriority w:val="0"/>
    <w:rPr>
      <w:rFonts w:ascii="Arial" w:hAnsi="Arial" w:eastAsia="黑体" w:cs="Times New Roman"/>
      <w:kern w:val="0"/>
      <w:sz w:val="21"/>
      <w:szCs w:val="21"/>
    </w:rPr>
  </w:style>
  <w:style w:type="character" w:customStyle="1" w:styleId="262">
    <w:name w:val="Document Map Char"/>
    <w:qFormat/>
    <w:locked/>
    <w:uiPriority w:val="0"/>
    <w:rPr>
      <w:rFonts w:ascii="Times New Roman" w:hAnsi="Times New Roman" w:eastAsia="宋体" w:cs="Times New Roman"/>
      <w:sz w:val="24"/>
      <w:szCs w:val="24"/>
      <w:shd w:val="clear" w:color="auto" w:fill="000080"/>
    </w:rPr>
  </w:style>
  <w:style w:type="character" w:customStyle="1" w:styleId="263">
    <w:name w:val="Date Char"/>
    <w:qFormat/>
    <w:locked/>
    <w:uiPriority w:val="0"/>
    <w:rPr>
      <w:rFonts w:ascii="Times New Roman" w:hAnsi="Times New Roman" w:eastAsia="宋体" w:cs="Times New Roman"/>
      <w:sz w:val="20"/>
      <w:szCs w:val="20"/>
    </w:rPr>
  </w:style>
  <w:style w:type="character" w:customStyle="1" w:styleId="264">
    <w:name w:val="Header Char"/>
    <w:qFormat/>
    <w:locked/>
    <w:uiPriority w:val="0"/>
    <w:rPr>
      <w:rFonts w:ascii="Times New Roman" w:hAnsi="Times New Roman" w:eastAsia="宋体" w:cs="Times New Roman"/>
      <w:kern w:val="0"/>
      <w:sz w:val="20"/>
      <w:szCs w:val="20"/>
    </w:rPr>
  </w:style>
  <w:style w:type="character" w:customStyle="1" w:styleId="265">
    <w:name w:val="Footer Char"/>
    <w:qFormat/>
    <w:locked/>
    <w:uiPriority w:val="0"/>
    <w:rPr>
      <w:rFonts w:ascii="Times New Roman" w:hAnsi="Times New Roman" w:eastAsia="宋体" w:cs="Times New Roman"/>
      <w:kern w:val="0"/>
      <w:sz w:val="20"/>
      <w:szCs w:val="20"/>
    </w:rPr>
  </w:style>
  <w:style w:type="character" w:customStyle="1" w:styleId="266">
    <w:name w:val="Plain Text Char"/>
    <w:qFormat/>
    <w:locked/>
    <w:uiPriority w:val="0"/>
    <w:rPr>
      <w:rFonts w:ascii="宋体" w:hAnsi="Courier New" w:eastAsia="宋体" w:cs="Times New Roman"/>
      <w:sz w:val="20"/>
      <w:szCs w:val="20"/>
    </w:rPr>
  </w:style>
  <w:style w:type="character" w:customStyle="1" w:styleId="267">
    <w:name w:val="Body Text Indent 2 Char"/>
    <w:qFormat/>
    <w:locked/>
    <w:uiPriority w:val="0"/>
    <w:rPr>
      <w:rFonts w:ascii="Times New Roman" w:hAnsi="Times New Roman" w:eastAsia="宋体" w:cs="Times New Roman"/>
      <w:sz w:val="30"/>
      <w:szCs w:val="30"/>
    </w:rPr>
  </w:style>
  <w:style w:type="character" w:customStyle="1" w:styleId="268">
    <w:name w:val="Body Text Indent 3 Char"/>
    <w:qFormat/>
    <w:locked/>
    <w:uiPriority w:val="0"/>
    <w:rPr>
      <w:rFonts w:ascii="Times New Roman" w:hAnsi="Times New Roman" w:eastAsia="宋体" w:cs="Times New Roman"/>
      <w:sz w:val="30"/>
      <w:szCs w:val="30"/>
    </w:rPr>
  </w:style>
  <w:style w:type="character" w:customStyle="1" w:styleId="269">
    <w:name w:val="Body Text First Indent 2 Char"/>
    <w:qFormat/>
    <w:locked/>
    <w:uiPriority w:val="0"/>
    <w:rPr>
      <w:rFonts w:ascii="Times New Roman" w:hAnsi="Times New Roman" w:eastAsia="宋体" w:cs="Times New Roman"/>
      <w:kern w:val="2"/>
      <w:sz w:val="24"/>
      <w:szCs w:val="24"/>
    </w:rPr>
  </w:style>
  <w:style w:type="character" w:customStyle="1" w:styleId="270">
    <w:name w:val="Body Text 2 Char"/>
    <w:qFormat/>
    <w:locked/>
    <w:uiPriority w:val="0"/>
    <w:rPr>
      <w:rFonts w:ascii="宋体" w:hAnsi="Times New Roman" w:eastAsia="宋体" w:cs="Times New Roman"/>
      <w:sz w:val="20"/>
      <w:szCs w:val="20"/>
    </w:rPr>
  </w:style>
  <w:style w:type="character" w:customStyle="1" w:styleId="271">
    <w:name w:val="Balloon Text Char"/>
    <w:qFormat/>
    <w:locked/>
    <w:uiPriority w:val="0"/>
    <w:rPr>
      <w:rFonts w:ascii="Times New Roman" w:hAnsi="Times New Roman" w:eastAsia="宋体" w:cs="Times New Roman"/>
      <w:sz w:val="18"/>
      <w:szCs w:val="18"/>
    </w:rPr>
  </w:style>
  <w:style w:type="character" w:customStyle="1" w:styleId="272">
    <w:name w:val="Salutation Char"/>
    <w:qFormat/>
    <w:locked/>
    <w:uiPriority w:val="0"/>
    <w:rPr>
      <w:rFonts w:ascii="..ì." w:hAnsi="Times New Roman" w:eastAsia="..ì." w:cs="Times New Roman"/>
      <w:kern w:val="0"/>
      <w:sz w:val="20"/>
      <w:szCs w:val="20"/>
    </w:rPr>
  </w:style>
  <w:style w:type="character" w:customStyle="1" w:styleId="273">
    <w:name w:val="Note Heading Char"/>
    <w:qFormat/>
    <w:locked/>
    <w:uiPriority w:val="0"/>
    <w:rPr>
      <w:rFonts w:ascii="..ì." w:hAnsi="Times New Roman" w:eastAsia="..ì." w:cs="Times New Roman"/>
      <w:kern w:val="0"/>
      <w:sz w:val="20"/>
      <w:szCs w:val="20"/>
    </w:rPr>
  </w:style>
  <w:style w:type="paragraph" w:customStyle="1" w:styleId="274">
    <w:name w:val="Revision1"/>
    <w:hidden/>
    <w:semiHidden/>
    <w:qFormat/>
    <w:uiPriority w:val="0"/>
    <w:rPr>
      <w:rFonts w:ascii="Times New Roman" w:hAnsi="Times New Roman" w:eastAsia="宋体" w:cs="Times New Roman"/>
      <w:kern w:val="2"/>
      <w:sz w:val="21"/>
      <w:szCs w:val="24"/>
      <w:lang w:val="en-US" w:eastAsia="zh-CN" w:bidi="ar-SA"/>
    </w:rPr>
  </w:style>
  <w:style w:type="paragraph" w:customStyle="1" w:styleId="275">
    <w:name w:val="TOC Heading1"/>
    <w:basedOn w:val="3"/>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6">
    <w:name w:val="Body Text 3 Char"/>
    <w:qFormat/>
    <w:locked/>
    <w:uiPriority w:val="0"/>
    <w:rPr>
      <w:rFonts w:ascii="Times New Roman" w:hAnsi="Times New Roman" w:eastAsia="宋体" w:cs="Times New Roman"/>
      <w:sz w:val="16"/>
      <w:szCs w:val="16"/>
    </w:rPr>
  </w:style>
  <w:style w:type="character" w:customStyle="1" w:styleId="277">
    <w:name w:val="Title Char"/>
    <w:qFormat/>
    <w:locked/>
    <w:uiPriority w:val="0"/>
    <w:rPr>
      <w:rFonts w:ascii="Arial" w:hAnsi="Arial" w:eastAsia="宋体" w:cs="Times New Roman"/>
      <w:b/>
      <w:kern w:val="0"/>
      <w:sz w:val="20"/>
      <w:szCs w:val="20"/>
    </w:rPr>
  </w:style>
  <w:style w:type="character" w:customStyle="1" w:styleId="278">
    <w:name w:val="Comment Subject Char"/>
    <w:qFormat/>
    <w:locked/>
    <w:uiPriority w:val="0"/>
    <w:rPr>
      <w:rFonts w:ascii="Times New Roman" w:hAnsi="Times New Roman" w:eastAsia="宋体" w:cs="Times New Roman"/>
      <w:b/>
      <w:bCs/>
      <w:sz w:val="24"/>
      <w:szCs w:val="24"/>
    </w:rPr>
  </w:style>
  <w:style w:type="character" w:customStyle="1" w:styleId="279">
    <w:name w:val="Comment Text Char"/>
    <w:qFormat/>
    <w:locked/>
    <w:uiPriority w:val="0"/>
    <w:rPr>
      <w:rFonts w:ascii="Times New Roman" w:hAnsi="Times New Roman" w:eastAsia="宋体"/>
      <w:sz w:val="24"/>
    </w:rPr>
  </w:style>
  <w:style w:type="paragraph" w:customStyle="1" w:styleId="280">
    <w:name w:val="List Paragraph1"/>
    <w:basedOn w:val="1"/>
    <w:qFormat/>
    <w:uiPriority w:val="0"/>
    <w:pPr>
      <w:ind w:firstLine="420" w:firstLineChars="200"/>
    </w:pPr>
    <w:rPr>
      <w:rFonts w:eastAsia="宋体"/>
    </w:rPr>
  </w:style>
  <w:style w:type="paragraph" w:customStyle="1" w:styleId="281">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2">
    <w:name w:val="未处理的提及"/>
    <w:unhideWhenUsed/>
    <w:qFormat/>
    <w:uiPriority w:val="99"/>
    <w:rPr>
      <w:color w:val="605E5C"/>
      <w:shd w:val="clear" w:color="auto" w:fill="E1DFDD"/>
    </w:rPr>
  </w:style>
  <w:style w:type="character" w:customStyle="1" w:styleId="283">
    <w:name w:val="Char Char11"/>
    <w:qFormat/>
    <w:uiPriority w:val="99"/>
    <w:rPr>
      <w:rFonts w:eastAsia="宋体"/>
      <w:kern w:val="2"/>
      <w:sz w:val="24"/>
      <w:lang w:val="en-US" w:eastAsia="zh-CN"/>
    </w:rPr>
  </w:style>
  <w:style w:type="character" w:customStyle="1" w:styleId="284">
    <w:name w:val="正文文本 Char1"/>
    <w:semiHidden/>
    <w:qFormat/>
    <w:uiPriority w:val="0"/>
    <w:rPr>
      <w:rFonts w:ascii="Times New Roman" w:hAnsi="Times New Roman" w:eastAsia="宋体" w:cs="Times New Roman"/>
      <w:szCs w:val="24"/>
    </w:rPr>
  </w:style>
  <w:style w:type="paragraph" w:customStyle="1" w:styleId="285">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6">
    <w:name w:val="Char11"/>
    <w:basedOn w:val="1"/>
    <w:qFormat/>
    <w:uiPriority w:val="99"/>
    <w:rPr>
      <w:rFonts w:ascii="Tahoma" w:hAnsi="Tahoma" w:eastAsia="宋体"/>
      <w:sz w:val="24"/>
      <w:szCs w:val="20"/>
    </w:rPr>
  </w:style>
  <w:style w:type="paragraph" w:customStyle="1" w:styleId="287">
    <w:name w:val="Char Char Char Char1"/>
    <w:basedOn w:val="1"/>
    <w:qFormat/>
    <w:uiPriority w:val="99"/>
    <w:pPr>
      <w:widowControl/>
      <w:spacing w:after="160" w:line="240" w:lineRule="exact"/>
      <w:jc w:val="left"/>
    </w:pPr>
    <w:rPr>
      <w:rFonts w:eastAsia="宋体"/>
      <w:szCs w:val="20"/>
    </w:rPr>
  </w:style>
  <w:style w:type="paragraph" w:customStyle="1" w:styleId="288">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9">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Char Char Char Char11"/>
    <w:basedOn w:val="1"/>
    <w:qFormat/>
    <w:uiPriority w:val="99"/>
    <w:pPr>
      <w:widowControl/>
      <w:spacing w:after="160" w:line="240" w:lineRule="exact"/>
      <w:jc w:val="left"/>
    </w:pPr>
    <w:rPr>
      <w:rFonts w:eastAsia="宋体"/>
      <w:szCs w:val="20"/>
    </w:rPr>
  </w:style>
  <w:style w:type="paragraph" w:customStyle="1" w:styleId="291">
    <w:name w:val="Char12"/>
    <w:basedOn w:val="1"/>
    <w:qFormat/>
    <w:uiPriority w:val="99"/>
    <w:rPr>
      <w:rFonts w:ascii="Tahoma" w:hAnsi="Tahoma" w:eastAsia="宋体"/>
      <w:sz w:val="24"/>
      <w:szCs w:val="20"/>
    </w:rPr>
  </w:style>
  <w:style w:type="paragraph" w:customStyle="1" w:styleId="292">
    <w:name w:val="Char111"/>
    <w:basedOn w:val="1"/>
    <w:qFormat/>
    <w:uiPriority w:val="99"/>
    <w:rPr>
      <w:rFonts w:ascii="Tahoma" w:hAnsi="Tahoma" w:eastAsia="宋体"/>
      <w:sz w:val="24"/>
      <w:szCs w:val="20"/>
    </w:rPr>
  </w:style>
  <w:style w:type="paragraph" w:customStyle="1" w:styleId="293">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4">
    <w:name w:val="Char Char Char Char2"/>
    <w:basedOn w:val="1"/>
    <w:qFormat/>
    <w:uiPriority w:val="99"/>
    <w:pPr>
      <w:widowControl/>
      <w:spacing w:after="160" w:line="240" w:lineRule="exact"/>
      <w:jc w:val="left"/>
    </w:pPr>
    <w:rPr>
      <w:rFonts w:eastAsia="宋体"/>
      <w:szCs w:val="20"/>
    </w:rPr>
  </w:style>
  <w:style w:type="character" w:customStyle="1" w:styleId="295">
    <w:name w:val="正文文本 字符"/>
    <w:qFormat/>
    <w:uiPriority w:val="0"/>
    <w:rPr>
      <w:b/>
      <w:i/>
      <w:szCs w:val="24"/>
    </w:rPr>
  </w:style>
  <w:style w:type="paragraph" w:customStyle="1" w:styleId="296">
    <w:name w:val="纯文本2"/>
    <w:basedOn w:val="1"/>
    <w:qFormat/>
    <w:uiPriority w:val="0"/>
    <w:rPr>
      <w:rFonts w:ascii="宋体" w:hAnsi="Courier New" w:cs="Courier New"/>
      <w:szCs w:val="21"/>
    </w:rPr>
  </w:style>
  <w:style w:type="paragraph" w:customStyle="1" w:styleId="297">
    <w:name w:val="TOC 标题3"/>
    <w:basedOn w:val="3"/>
    <w:next w:val="1"/>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98">
    <w:name w:val="_Style 1"/>
    <w:qFormat/>
    <w:uiPriority w:val="1"/>
    <w:pPr>
      <w:adjustRightInd w:val="0"/>
      <w:snapToGrid w:val="0"/>
    </w:pPr>
    <w:rPr>
      <w:rFonts w:ascii="Tahoma" w:hAnsi="Tahoma" w:eastAsia="宋体" w:cs="Times New Roman"/>
      <w:sz w:val="22"/>
      <w:szCs w:val="22"/>
      <w:lang w:val="en-US" w:eastAsia="zh-CN" w:bidi="ar-SA"/>
    </w:rPr>
  </w:style>
  <w:style w:type="paragraph" w:customStyle="1" w:styleId="299">
    <w:name w:val="2 heading"/>
    <w:basedOn w:val="1"/>
    <w:qFormat/>
    <w:uiPriority w:val="0"/>
    <w:pPr>
      <w:numPr>
        <w:ilvl w:val="0"/>
        <w:numId w:val="5"/>
      </w:numPr>
      <w:ind w:left="360"/>
    </w:pPr>
    <w:rPr>
      <w:rFonts w:cs="Tahoma"/>
      <w:b/>
      <w:szCs w:val="21"/>
    </w:rPr>
  </w:style>
  <w:style w:type="paragraph" w:customStyle="1" w:styleId="300">
    <w:name w:val="正表头"/>
    <w:basedOn w:val="1"/>
    <w:qFormat/>
    <w:uiPriority w:val="0"/>
    <w:pPr>
      <w:widowControl/>
      <w:tabs>
        <w:tab w:val="left" w:pos="480"/>
      </w:tabs>
      <w:autoSpaceDE w:val="0"/>
      <w:autoSpaceDN w:val="0"/>
      <w:adjustRightInd w:val="0"/>
      <w:jc w:val="center"/>
      <w:textAlignment w:val="bottom"/>
    </w:pPr>
    <w:rPr>
      <w:rFonts w:ascii="宋体" w:hAnsi="Calibri"/>
      <w:kern w:val="0"/>
      <w:szCs w:val="20"/>
    </w:rPr>
  </w:style>
  <w:style w:type="paragraph" w:customStyle="1" w:styleId="301">
    <w:name w:val="样式 设计说明书第三级 + 首行缩进:  2 字符"/>
    <w:basedOn w:val="1"/>
    <w:qFormat/>
    <w:uiPriority w:val="99"/>
    <w:pPr>
      <w:keepNext/>
      <w:keepLines/>
      <w:spacing w:line="500" w:lineRule="exact"/>
      <w:ind w:firstLine="200" w:firstLineChars="200"/>
      <w:jc w:val="left"/>
      <w:outlineLvl w:val="2"/>
    </w:pPr>
    <w:rPr>
      <w:b/>
      <w:bCs/>
      <w:kern w:val="44"/>
      <w:szCs w:val="28"/>
    </w:rPr>
  </w:style>
  <w:style w:type="character" w:customStyle="1" w:styleId="302">
    <w:name w:val="font51"/>
    <w:basedOn w:val="52"/>
    <w:qFormat/>
    <w:uiPriority w:val="0"/>
    <w:rPr>
      <w:rFonts w:hint="eastAsia" w:ascii="仿宋" w:hAnsi="仿宋" w:eastAsia="仿宋" w:cs="仿宋"/>
      <w:color w:val="000000"/>
      <w:sz w:val="22"/>
      <w:szCs w:val="22"/>
      <w:u w:val="none"/>
    </w:rPr>
  </w:style>
  <w:style w:type="character" w:customStyle="1" w:styleId="303">
    <w:name w:val="font141"/>
    <w:basedOn w:val="52"/>
    <w:qFormat/>
    <w:uiPriority w:val="0"/>
    <w:rPr>
      <w:rFonts w:hint="eastAsia" w:ascii="宋体" w:hAnsi="宋体" w:eastAsia="宋体" w:cs="宋体"/>
      <w:color w:val="000000"/>
      <w:sz w:val="22"/>
      <w:szCs w:val="22"/>
      <w:u w:val="none"/>
    </w:rPr>
  </w:style>
  <w:style w:type="paragraph" w:customStyle="1" w:styleId="304">
    <w:name w:val="样式 首行缩进:  2 字符"/>
    <w:basedOn w:val="1"/>
    <w:qFormat/>
    <w:uiPriority w:val="0"/>
    <w:pPr>
      <w:ind w:firstLine="560"/>
    </w:pPr>
    <w:rPr>
      <w:rFonts w:eastAsia="仿宋_GB2312" w:cs="宋体"/>
      <w:sz w:val="24"/>
      <w:szCs w:val="20"/>
    </w:rPr>
  </w:style>
  <w:style w:type="character" w:customStyle="1" w:styleId="305">
    <w:name w:val="NormalCharacter"/>
    <w:qFormat/>
    <w:uiPriority w:val="0"/>
    <w:rPr>
      <w:rFonts w:ascii="Times New Roman" w:hAnsi="Times New Roman" w:eastAsia="宋体" w:cs="Times New Roman"/>
    </w:rPr>
  </w:style>
  <w:style w:type="character" w:customStyle="1" w:styleId="306">
    <w:name w:val="font71"/>
    <w:basedOn w:val="52"/>
    <w:qFormat/>
    <w:uiPriority w:val="0"/>
    <w:rPr>
      <w:rFonts w:hint="eastAsia" w:ascii="宋体" w:hAnsi="宋体" w:eastAsia="宋体" w:cs="宋体"/>
      <w:b/>
      <w:bCs/>
      <w:color w:val="000000"/>
      <w:sz w:val="22"/>
      <w:szCs w:val="22"/>
      <w:u w:val="none"/>
    </w:rPr>
  </w:style>
  <w:style w:type="character" w:customStyle="1" w:styleId="307">
    <w:name w:val="font101"/>
    <w:basedOn w:val="52"/>
    <w:qFormat/>
    <w:uiPriority w:val="0"/>
    <w:rPr>
      <w:rFonts w:ascii="宋体" w:hAnsi="宋体" w:eastAsia="宋体" w:cs="宋体"/>
      <w:b/>
      <w:bCs/>
      <w:color w:val="000000"/>
      <w:sz w:val="22"/>
      <w:szCs w:val="22"/>
      <w:u w:val="none"/>
    </w:rPr>
  </w:style>
  <w:style w:type="character" w:customStyle="1" w:styleId="308">
    <w:name w:val="font112"/>
    <w:basedOn w:val="52"/>
    <w:qFormat/>
    <w:uiPriority w:val="0"/>
    <w:rPr>
      <w:rFonts w:ascii="微软雅黑" w:hAnsi="微软雅黑" w:eastAsia="微软雅黑" w:cs="微软雅黑"/>
      <w:b/>
      <w:bCs/>
      <w:color w:val="000000"/>
      <w:sz w:val="22"/>
      <w:szCs w:val="22"/>
      <w:u w:val="none"/>
    </w:rPr>
  </w:style>
  <w:style w:type="character" w:customStyle="1" w:styleId="309">
    <w:name w:val="font81"/>
    <w:basedOn w:val="52"/>
    <w:qFormat/>
    <w:uiPriority w:val="0"/>
    <w:rPr>
      <w:rFonts w:ascii="宋体" w:hAnsi="宋体" w:eastAsia="宋体" w:cs="宋体"/>
      <w:b/>
      <w:bCs/>
      <w:color w:val="000000"/>
      <w:sz w:val="22"/>
      <w:szCs w:val="22"/>
      <w:u w:val="none"/>
    </w:rPr>
  </w:style>
  <w:style w:type="character" w:customStyle="1" w:styleId="310">
    <w:name w:val="font91"/>
    <w:basedOn w:val="52"/>
    <w:qFormat/>
    <w:uiPriority w:val="0"/>
    <w:rPr>
      <w:rFonts w:ascii="微软雅黑" w:hAnsi="微软雅黑" w:eastAsia="微软雅黑" w:cs="微软雅黑"/>
      <w:b/>
      <w:bCs/>
      <w:color w:val="000000"/>
      <w:sz w:val="22"/>
      <w:szCs w:val="22"/>
      <w:u w:val="none"/>
    </w:rPr>
  </w:style>
  <w:style w:type="character" w:customStyle="1" w:styleId="311">
    <w:name w:val="font31"/>
    <w:basedOn w:val="52"/>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3078"/>
    <customShpInfo spid="_x0000_s307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4BBE86-C315-4CB7-9BFB-9673051F1076}">
  <ds:schemaRefs/>
</ds:datastoreItem>
</file>

<file path=docProps/app.xml><?xml version="1.0" encoding="utf-8"?>
<Properties xmlns="http://schemas.openxmlformats.org/officeDocument/2006/extended-properties" xmlns:vt="http://schemas.openxmlformats.org/officeDocument/2006/docPropsVTypes">
  <Template>Normal</Template>
  <Company>MS</Company>
  <Pages>70</Pages>
  <Words>27298</Words>
  <Characters>31522</Characters>
  <Lines>215</Lines>
  <Paragraphs>60</Paragraphs>
  <TotalTime>40</TotalTime>
  <ScaleCrop>false</ScaleCrop>
  <LinksUpToDate>false</LinksUpToDate>
  <CharactersWithSpaces>35877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2023-11-07T02:15:49Z</dcterms:modified>
  <dc:title>_x0001_</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6EA884A0744B462CBC88023945501FCF</vt:lpwstr>
  </property>
</Properties>
</file>