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jc w:val="center"/>
        <w:rPr>
          <w:rFonts w:hint="eastAsia" w:eastAsia="宋体"/>
          <w:color w:val="auto"/>
          <w:highlight w:val="none"/>
          <w:lang w:eastAsia="zh-CN"/>
        </w:rPr>
      </w:pPr>
      <w:bookmarkStart w:id="0" w:name="_Toc21123"/>
      <w:bookmarkStart w:id="1" w:name="_Toc31341_WPSOffice_Level1"/>
      <w:bookmarkStart w:id="2" w:name="_Toc29080"/>
      <w:r>
        <w:rPr>
          <w:rFonts w:hint="eastAsia" w:eastAsia="宋体"/>
          <w:color w:val="auto"/>
          <w:highlight w:val="none"/>
          <w:lang w:eastAsia="zh-CN"/>
        </w:rPr>
        <w:drawing>
          <wp:inline distT="0" distB="0" distL="114300" distR="114300">
            <wp:extent cx="5757545" cy="8149590"/>
            <wp:effectExtent l="0" t="0" r="14605" b="3810"/>
            <wp:docPr id="2" name="图片 2" descr="封皮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封皮_00"/>
                    <pic:cNvPicPr>
                      <a:picLocks noChangeAspect="1"/>
                    </pic:cNvPicPr>
                  </pic:nvPicPr>
                  <pic:blipFill>
                    <a:blip r:embed="rId17"/>
                    <a:stretch>
                      <a:fillRect/>
                    </a:stretch>
                  </pic:blipFill>
                  <pic:spPr>
                    <a:xfrm>
                      <a:off x="0" y="0"/>
                      <a:ext cx="5757545" cy="8149590"/>
                    </a:xfrm>
                    <a:prstGeom prst="rect">
                      <a:avLst/>
                    </a:prstGeom>
                  </pic:spPr>
                </pic:pic>
              </a:graphicData>
            </a:graphic>
          </wp:inline>
        </w:drawing>
      </w:r>
    </w:p>
    <w:p>
      <w:pPr>
        <w:keepNext/>
        <w:keepLines/>
        <w:spacing w:line="360" w:lineRule="auto"/>
        <w:jc w:val="center"/>
        <w:rPr>
          <w:rFonts w:hint="eastAsia" w:ascii="宋体" w:hAnsi="宋体" w:cs="宋体"/>
          <w:b/>
          <w:bCs/>
          <w:color w:val="auto"/>
          <w:sz w:val="40"/>
          <w:szCs w:val="28"/>
          <w:highlight w:val="none"/>
        </w:rPr>
        <w:sectPr>
          <w:headerReference r:id="rId4" w:type="first"/>
          <w:headerReference r:id="rId3" w:type="default"/>
          <w:footerReference r:id="rId5" w:type="default"/>
          <w:pgSz w:w="11905" w:h="16838"/>
          <w:pgMar w:top="1440" w:right="1134" w:bottom="1440" w:left="1701" w:header="1134" w:footer="1134" w:gutter="0"/>
          <w:pgBorders>
            <w:top w:val="none" w:sz="0" w:space="0"/>
            <w:left w:val="none" w:sz="0" w:space="0"/>
            <w:bottom w:val="none" w:sz="0" w:space="0"/>
            <w:right w:val="none" w:sz="0" w:space="0"/>
          </w:pgBorders>
          <w:pgNumType w:start="2"/>
          <w:cols w:space="0" w:num="1"/>
          <w:titlePg/>
          <w:docGrid w:linePitch="312" w:charSpace="0"/>
        </w:sectPr>
      </w:pPr>
    </w:p>
    <w:sdt>
      <w:sdtPr>
        <w:rPr>
          <w:rFonts w:ascii="宋体" w:hAnsi="宋体" w:eastAsia="宋体" w:cs="Times New Roman"/>
          <w:kern w:val="2"/>
          <w:sz w:val="52"/>
          <w:szCs w:val="52"/>
          <w:lang w:val="en-US" w:eastAsia="zh-CN" w:bidi="ar-SA"/>
        </w:rPr>
        <w:id w:val="147467909"/>
        <w15:color w:val="DBDBDB"/>
        <w:docPartObj>
          <w:docPartGallery w:val="Table of Contents"/>
          <w:docPartUnique/>
        </w:docPartObj>
      </w:sdtPr>
      <w:sdtEndPr>
        <w:rPr>
          <w:rFonts w:hint="eastAsia" w:ascii="宋体" w:hAnsi="宋体" w:eastAsia="宋体" w:cs="宋体"/>
          <w:color w:val="auto"/>
          <w:kern w:val="2"/>
          <w:sz w:val="24"/>
          <w:szCs w:val="24"/>
          <w:highlight w:val="none"/>
          <w:lang w:val="en-US" w:eastAsia="zh-CN" w:bidi="ar-SA"/>
        </w:rPr>
      </w:sdtEndPr>
      <w:sdtContent>
        <w:p>
          <w:pPr>
            <w:spacing w:before="0" w:beforeLines="0" w:after="0" w:afterLines="0" w:line="240" w:lineRule="auto"/>
            <w:ind w:left="0" w:leftChars="0" w:right="0" w:rightChars="0" w:firstLine="0" w:firstLineChars="0"/>
            <w:jc w:val="center"/>
            <w:rPr>
              <w:sz w:val="52"/>
              <w:szCs w:val="52"/>
            </w:rPr>
          </w:pPr>
          <w:bookmarkStart w:id="3" w:name="_Toc6600"/>
          <w:bookmarkStart w:id="4" w:name="_Toc13919"/>
          <w:r>
            <w:rPr>
              <w:rFonts w:ascii="宋体" w:hAnsi="宋体" w:eastAsia="宋体"/>
              <w:sz w:val="52"/>
              <w:szCs w:val="52"/>
            </w:rPr>
            <w:t>目</w:t>
          </w:r>
          <w:r>
            <w:rPr>
              <w:rFonts w:hint="eastAsia" w:ascii="宋体" w:hAnsi="宋体" w:eastAsia="宋体"/>
              <w:sz w:val="52"/>
              <w:szCs w:val="52"/>
              <w:lang w:val="en-US" w:eastAsia="zh-CN"/>
            </w:rPr>
            <w:t xml:space="preserve"> </w:t>
          </w:r>
          <w:r>
            <w:rPr>
              <w:rFonts w:ascii="宋体" w:hAnsi="宋体" w:eastAsia="宋体"/>
              <w:sz w:val="52"/>
              <w:szCs w:val="52"/>
            </w:rPr>
            <w:t>录</w:t>
          </w:r>
        </w:p>
        <w:p>
          <w:pPr>
            <w:pStyle w:val="172"/>
            <w:tabs>
              <w:tab w:val="right" w:leader="dot" w:pos="9354"/>
            </w:tabs>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TOC \o "1-1" \h \u </w:instrText>
          </w:r>
          <w:r>
            <w:rPr>
              <w:rFonts w:hint="eastAsia" w:ascii="宋体" w:hAnsi="宋体" w:eastAsia="宋体" w:cs="宋体"/>
              <w:color w:val="auto"/>
              <w:sz w:val="28"/>
              <w:szCs w:val="28"/>
              <w:highlight w:val="none"/>
            </w:rPr>
            <w:fldChar w:fldCharType="separate"/>
          </w:r>
        </w:p>
        <w:p>
          <w:pPr>
            <w:pStyle w:val="172"/>
            <w:keepNext w:val="0"/>
            <w:keepLines w:val="0"/>
            <w:pageBreakBefore w:val="0"/>
            <w:widowControl/>
            <w:tabs>
              <w:tab w:val="right" w:leader="dot" w:pos="9354"/>
            </w:tabs>
            <w:kinsoku/>
            <w:wordWrap/>
            <w:overflowPunct/>
            <w:topLinePunct w:val="0"/>
            <w:autoSpaceDE/>
            <w:autoSpaceDN/>
            <w:bidi w:val="0"/>
            <w:adjustRightInd/>
            <w:snapToGrid/>
            <w:spacing w:line="720" w:lineRule="auto"/>
            <w:textAlignment w:val="auto"/>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_Toc16903 </w:instrText>
          </w:r>
          <w:r>
            <w:rPr>
              <w:rFonts w:hint="eastAsia" w:ascii="宋体" w:hAnsi="宋体" w:eastAsia="宋体" w:cs="宋体"/>
              <w:sz w:val="28"/>
              <w:szCs w:val="28"/>
              <w:highlight w:val="none"/>
            </w:rPr>
            <w:fldChar w:fldCharType="separate"/>
          </w:r>
          <w:r>
            <w:rPr>
              <w:rFonts w:hint="eastAsia"/>
              <w:sz w:val="28"/>
              <w:szCs w:val="28"/>
              <w:highlight w:val="none"/>
            </w:rPr>
            <w:t>第一章 竞争性磋商公告</w:t>
          </w:r>
          <w:r>
            <w:rPr>
              <w:sz w:val="28"/>
              <w:szCs w:val="28"/>
            </w:rPr>
            <w:tab/>
          </w:r>
          <w:r>
            <w:rPr>
              <w:sz w:val="28"/>
              <w:szCs w:val="28"/>
            </w:rPr>
            <w:fldChar w:fldCharType="begin"/>
          </w:r>
          <w:r>
            <w:rPr>
              <w:sz w:val="28"/>
              <w:szCs w:val="28"/>
            </w:rPr>
            <w:instrText xml:space="preserve"> PAGEREF _Toc16903 \h </w:instrText>
          </w:r>
          <w:r>
            <w:rPr>
              <w:sz w:val="28"/>
              <w:szCs w:val="28"/>
            </w:rPr>
            <w:fldChar w:fldCharType="separate"/>
          </w:r>
          <w:r>
            <w:rPr>
              <w:sz w:val="28"/>
              <w:szCs w:val="28"/>
            </w:rPr>
            <w:t>3</w:t>
          </w:r>
          <w:r>
            <w:rPr>
              <w:sz w:val="28"/>
              <w:szCs w:val="28"/>
            </w:rPr>
            <w:fldChar w:fldCharType="end"/>
          </w:r>
          <w:r>
            <w:rPr>
              <w:rFonts w:hint="eastAsia" w:ascii="宋体" w:hAnsi="宋体" w:eastAsia="宋体" w:cs="宋体"/>
              <w:color w:val="auto"/>
              <w:sz w:val="28"/>
              <w:szCs w:val="28"/>
              <w:highlight w:val="none"/>
            </w:rPr>
            <w:fldChar w:fldCharType="end"/>
          </w:r>
        </w:p>
        <w:p>
          <w:pPr>
            <w:pStyle w:val="172"/>
            <w:keepNext w:val="0"/>
            <w:keepLines w:val="0"/>
            <w:pageBreakBefore w:val="0"/>
            <w:widowControl/>
            <w:tabs>
              <w:tab w:val="right" w:leader="dot" w:pos="9354"/>
            </w:tabs>
            <w:kinsoku/>
            <w:wordWrap/>
            <w:overflowPunct/>
            <w:topLinePunct w:val="0"/>
            <w:autoSpaceDE/>
            <w:autoSpaceDN/>
            <w:bidi w:val="0"/>
            <w:adjustRightInd/>
            <w:snapToGrid/>
            <w:spacing w:line="720" w:lineRule="auto"/>
            <w:textAlignment w:val="auto"/>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_Toc9739 </w:instrText>
          </w:r>
          <w:r>
            <w:rPr>
              <w:rFonts w:hint="eastAsia" w:ascii="宋体" w:hAnsi="宋体" w:eastAsia="宋体" w:cs="宋体"/>
              <w:sz w:val="28"/>
              <w:szCs w:val="28"/>
              <w:highlight w:val="none"/>
            </w:rPr>
            <w:fldChar w:fldCharType="separate"/>
          </w:r>
          <w:r>
            <w:rPr>
              <w:rFonts w:hint="eastAsia"/>
              <w:sz w:val="28"/>
              <w:szCs w:val="28"/>
              <w:highlight w:val="none"/>
              <w:lang w:val="en-US" w:eastAsia="zh-CN"/>
            </w:rPr>
            <w:t xml:space="preserve">第二章 </w:t>
          </w:r>
          <w:r>
            <w:rPr>
              <w:rFonts w:hint="eastAsia"/>
              <w:sz w:val="28"/>
              <w:szCs w:val="28"/>
              <w:highlight w:val="none"/>
            </w:rPr>
            <w:t>供应商须知</w:t>
          </w:r>
          <w:r>
            <w:rPr>
              <w:sz w:val="28"/>
              <w:szCs w:val="28"/>
            </w:rPr>
            <w:tab/>
          </w:r>
          <w:r>
            <w:rPr>
              <w:sz w:val="28"/>
              <w:szCs w:val="28"/>
            </w:rPr>
            <w:fldChar w:fldCharType="begin"/>
          </w:r>
          <w:r>
            <w:rPr>
              <w:sz w:val="28"/>
              <w:szCs w:val="28"/>
            </w:rPr>
            <w:instrText xml:space="preserve"> PAGEREF _Toc9739 \h </w:instrText>
          </w:r>
          <w:r>
            <w:rPr>
              <w:sz w:val="28"/>
              <w:szCs w:val="28"/>
            </w:rPr>
            <w:fldChar w:fldCharType="separate"/>
          </w:r>
          <w:r>
            <w:rPr>
              <w:sz w:val="28"/>
              <w:szCs w:val="28"/>
            </w:rPr>
            <w:t>8</w:t>
          </w:r>
          <w:r>
            <w:rPr>
              <w:sz w:val="28"/>
              <w:szCs w:val="28"/>
            </w:rPr>
            <w:fldChar w:fldCharType="end"/>
          </w:r>
          <w:r>
            <w:rPr>
              <w:rFonts w:hint="eastAsia" w:ascii="宋体" w:hAnsi="宋体" w:eastAsia="宋体" w:cs="宋体"/>
              <w:color w:val="auto"/>
              <w:sz w:val="28"/>
              <w:szCs w:val="28"/>
              <w:highlight w:val="none"/>
            </w:rPr>
            <w:fldChar w:fldCharType="end"/>
          </w:r>
        </w:p>
        <w:p>
          <w:pPr>
            <w:pStyle w:val="172"/>
            <w:keepNext w:val="0"/>
            <w:keepLines w:val="0"/>
            <w:pageBreakBefore w:val="0"/>
            <w:widowControl/>
            <w:tabs>
              <w:tab w:val="right" w:leader="dot" w:pos="9354"/>
            </w:tabs>
            <w:kinsoku/>
            <w:wordWrap/>
            <w:overflowPunct/>
            <w:topLinePunct w:val="0"/>
            <w:autoSpaceDE/>
            <w:autoSpaceDN/>
            <w:bidi w:val="0"/>
            <w:adjustRightInd/>
            <w:snapToGrid/>
            <w:spacing w:line="720" w:lineRule="auto"/>
            <w:textAlignment w:val="auto"/>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_Toc3938 </w:instrText>
          </w:r>
          <w:r>
            <w:rPr>
              <w:rFonts w:hint="eastAsia" w:ascii="宋体" w:hAnsi="宋体" w:eastAsia="宋体" w:cs="宋体"/>
              <w:sz w:val="28"/>
              <w:szCs w:val="28"/>
              <w:highlight w:val="none"/>
            </w:rPr>
            <w:fldChar w:fldCharType="separate"/>
          </w:r>
          <w:r>
            <w:rPr>
              <w:rFonts w:hint="eastAsia"/>
              <w:sz w:val="28"/>
              <w:szCs w:val="28"/>
              <w:highlight w:val="none"/>
              <w:lang w:eastAsia="zh-CN"/>
            </w:rPr>
            <w:t>第三章</w:t>
          </w:r>
          <w:r>
            <w:rPr>
              <w:rFonts w:hint="eastAsia"/>
              <w:sz w:val="28"/>
              <w:szCs w:val="28"/>
              <w:highlight w:val="none"/>
              <w:lang w:val="en-US" w:eastAsia="zh-CN"/>
            </w:rPr>
            <w:t xml:space="preserve"> </w:t>
          </w:r>
          <w:r>
            <w:rPr>
              <w:rFonts w:hint="eastAsia"/>
              <w:sz w:val="28"/>
              <w:szCs w:val="28"/>
              <w:highlight w:val="none"/>
            </w:rPr>
            <w:t>合同条款及格式</w:t>
          </w:r>
          <w:r>
            <w:rPr>
              <w:rFonts w:hint="eastAsia"/>
              <w:sz w:val="28"/>
              <w:szCs w:val="28"/>
              <w:highlight w:val="none"/>
              <w:lang w:eastAsia="zh-CN"/>
            </w:rPr>
            <w:t>（</w:t>
          </w:r>
          <w:r>
            <w:rPr>
              <w:rFonts w:hint="eastAsia"/>
              <w:sz w:val="28"/>
              <w:szCs w:val="28"/>
              <w:highlight w:val="none"/>
              <w:lang w:val="en-US" w:eastAsia="zh-CN"/>
            </w:rPr>
            <w:t>仅供参考</w:t>
          </w:r>
          <w:r>
            <w:rPr>
              <w:rFonts w:hint="eastAsia"/>
              <w:sz w:val="28"/>
              <w:szCs w:val="28"/>
              <w:highlight w:val="none"/>
              <w:lang w:eastAsia="zh-CN"/>
            </w:rPr>
            <w:t>）</w:t>
          </w:r>
          <w:r>
            <w:rPr>
              <w:sz w:val="28"/>
              <w:szCs w:val="28"/>
            </w:rPr>
            <w:tab/>
          </w:r>
          <w:r>
            <w:rPr>
              <w:sz w:val="28"/>
              <w:szCs w:val="28"/>
            </w:rPr>
            <w:fldChar w:fldCharType="begin"/>
          </w:r>
          <w:r>
            <w:rPr>
              <w:sz w:val="28"/>
              <w:szCs w:val="28"/>
            </w:rPr>
            <w:instrText xml:space="preserve"> PAGEREF _Toc3938 \h </w:instrText>
          </w:r>
          <w:r>
            <w:rPr>
              <w:sz w:val="28"/>
              <w:szCs w:val="28"/>
            </w:rPr>
            <w:fldChar w:fldCharType="separate"/>
          </w:r>
          <w:r>
            <w:rPr>
              <w:sz w:val="28"/>
              <w:szCs w:val="28"/>
            </w:rPr>
            <w:t>28</w:t>
          </w:r>
          <w:r>
            <w:rPr>
              <w:sz w:val="28"/>
              <w:szCs w:val="28"/>
            </w:rPr>
            <w:fldChar w:fldCharType="end"/>
          </w:r>
          <w:r>
            <w:rPr>
              <w:rFonts w:hint="eastAsia" w:ascii="宋体" w:hAnsi="宋体" w:eastAsia="宋体" w:cs="宋体"/>
              <w:color w:val="auto"/>
              <w:sz w:val="28"/>
              <w:szCs w:val="28"/>
              <w:highlight w:val="none"/>
            </w:rPr>
            <w:fldChar w:fldCharType="end"/>
          </w:r>
        </w:p>
        <w:p>
          <w:pPr>
            <w:pStyle w:val="172"/>
            <w:keepNext w:val="0"/>
            <w:keepLines w:val="0"/>
            <w:pageBreakBefore w:val="0"/>
            <w:widowControl/>
            <w:tabs>
              <w:tab w:val="right" w:leader="dot" w:pos="9354"/>
            </w:tabs>
            <w:kinsoku/>
            <w:wordWrap/>
            <w:overflowPunct/>
            <w:topLinePunct w:val="0"/>
            <w:autoSpaceDE/>
            <w:autoSpaceDN/>
            <w:bidi w:val="0"/>
            <w:adjustRightInd/>
            <w:snapToGrid/>
            <w:spacing w:line="720" w:lineRule="auto"/>
            <w:textAlignment w:val="auto"/>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_Toc25058 </w:instrText>
          </w:r>
          <w:r>
            <w:rPr>
              <w:rFonts w:hint="eastAsia" w:ascii="宋体" w:hAnsi="宋体" w:eastAsia="宋体" w:cs="宋体"/>
              <w:sz w:val="28"/>
              <w:szCs w:val="28"/>
              <w:highlight w:val="none"/>
            </w:rPr>
            <w:fldChar w:fldCharType="separate"/>
          </w:r>
          <w:r>
            <w:rPr>
              <w:rFonts w:hint="eastAsia" w:ascii="Times New Roman" w:hAnsi="Times New Roman" w:cs="Times New Roman"/>
              <w:sz w:val="28"/>
              <w:szCs w:val="28"/>
              <w:highlight w:val="none"/>
              <w:lang w:val="en-US" w:eastAsia="zh-CN"/>
            </w:rPr>
            <w:t>第四章 技术要求及规范</w:t>
          </w:r>
          <w:r>
            <w:rPr>
              <w:sz w:val="28"/>
              <w:szCs w:val="28"/>
            </w:rPr>
            <w:tab/>
          </w:r>
          <w:r>
            <w:rPr>
              <w:sz w:val="28"/>
              <w:szCs w:val="28"/>
            </w:rPr>
            <w:fldChar w:fldCharType="begin"/>
          </w:r>
          <w:r>
            <w:rPr>
              <w:sz w:val="28"/>
              <w:szCs w:val="28"/>
            </w:rPr>
            <w:instrText xml:space="preserve"> PAGEREF _Toc25058 \h </w:instrText>
          </w:r>
          <w:r>
            <w:rPr>
              <w:sz w:val="28"/>
              <w:szCs w:val="28"/>
            </w:rPr>
            <w:fldChar w:fldCharType="separate"/>
          </w:r>
          <w:r>
            <w:rPr>
              <w:sz w:val="28"/>
              <w:szCs w:val="28"/>
            </w:rPr>
            <w:t>39</w:t>
          </w:r>
          <w:r>
            <w:rPr>
              <w:sz w:val="28"/>
              <w:szCs w:val="28"/>
            </w:rPr>
            <w:fldChar w:fldCharType="end"/>
          </w:r>
          <w:r>
            <w:rPr>
              <w:rFonts w:hint="eastAsia" w:ascii="宋体" w:hAnsi="宋体" w:eastAsia="宋体" w:cs="宋体"/>
              <w:color w:val="auto"/>
              <w:sz w:val="28"/>
              <w:szCs w:val="28"/>
              <w:highlight w:val="none"/>
            </w:rPr>
            <w:fldChar w:fldCharType="end"/>
          </w:r>
        </w:p>
        <w:p>
          <w:pPr>
            <w:pStyle w:val="172"/>
            <w:keepNext w:val="0"/>
            <w:keepLines w:val="0"/>
            <w:pageBreakBefore w:val="0"/>
            <w:widowControl/>
            <w:tabs>
              <w:tab w:val="right" w:leader="dot" w:pos="9354"/>
            </w:tabs>
            <w:kinsoku/>
            <w:wordWrap/>
            <w:overflowPunct/>
            <w:topLinePunct w:val="0"/>
            <w:autoSpaceDE/>
            <w:autoSpaceDN/>
            <w:bidi w:val="0"/>
            <w:adjustRightInd/>
            <w:snapToGrid/>
            <w:spacing w:line="720" w:lineRule="auto"/>
            <w:textAlignment w:val="auto"/>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_Toc4807 </w:instrText>
          </w:r>
          <w:r>
            <w:rPr>
              <w:rFonts w:hint="eastAsia" w:ascii="宋体" w:hAnsi="宋体" w:eastAsia="宋体" w:cs="宋体"/>
              <w:sz w:val="28"/>
              <w:szCs w:val="28"/>
              <w:highlight w:val="none"/>
            </w:rPr>
            <w:fldChar w:fldCharType="separate"/>
          </w:r>
          <w:r>
            <w:rPr>
              <w:rFonts w:hint="eastAsia" w:ascii="Times New Roman" w:hAnsi="Times New Roman" w:cs="Times New Roman"/>
              <w:sz w:val="28"/>
              <w:szCs w:val="28"/>
              <w:lang w:val="en-US" w:eastAsia="zh-CN"/>
            </w:rPr>
            <w:t xml:space="preserve">第五章 </w:t>
          </w:r>
          <w:r>
            <w:rPr>
              <w:rFonts w:hint="eastAsia" w:ascii="Times New Roman" w:hAnsi="Times New Roman" w:cs="Times New Roman"/>
              <w:sz w:val="28"/>
              <w:szCs w:val="28"/>
              <w:highlight w:val="none"/>
              <w:lang w:val="en-US" w:eastAsia="zh-CN"/>
            </w:rPr>
            <w:t>监理任务范围及监理大纲</w:t>
          </w:r>
          <w:r>
            <w:rPr>
              <w:sz w:val="28"/>
              <w:szCs w:val="28"/>
            </w:rPr>
            <w:tab/>
          </w:r>
          <w:r>
            <w:rPr>
              <w:sz w:val="28"/>
              <w:szCs w:val="28"/>
            </w:rPr>
            <w:fldChar w:fldCharType="begin"/>
          </w:r>
          <w:r>
            <w:rPr>
              <w:sz w:val="28"/>
              <w:szCs w:val="28"/>
            </w:rPr>
            <w:instrText xml:space="preserve"> PAGEREF _Toc4807 \h </w:instrText>
          </w:r>
          <w:r>
            <w:rPr>
              <w:sz w:val="28"/>
              <w:szCs w:val="28"/>
            </w:rPr>
            <w:fldChar w:fldCharType="separate"/>
          </w:r>
          <w:r>
            <w:rPr>
              <w:sz w:val="28"/>
              <w:szCs w:val="28"/>
            </w:rPr>
            <w:t>40</w:t>
          </w:r>
          <w:r>
            <w:rPr>
              <w:sz w:val="28"/>
              <w:szCs w:val="28"/>
            </w:rPr>
            <w:fldChar w:fldCharType="end"/>
          </w:r>
          <w:r>
            <w:rPr>
              <w:rFonts w:hint="eastAsia" w:ascii="宋体" w:hAnsi="宋体" w:eastAsia="宋体" w:cs="宋体"/>
              <w:color w:val="auto"/>
              <w:sz w:val="28"/>
              <w:szCs w:val="28"/>
              <w:highlight w:val="none"/>
            </w:rPr>
            <w:fldChar w:fldCharType="end"/>
          </w:r>
        </w:p>
        <w:p>
          <w:pPr>
            <w:pStyle w:val="172"/>
            <w:keepNext w:val="0"/>
            <w:keepLines w:val="0"/>
            <w:pageBreakBefore w:val="0"/>
            <w:widowControl/>
            <w:tabs>
              <w:tab w:val="right" w:leader="dot" w:pos="9354"/>
            </w:tabs>
            <w:kinsoku/>
            <w:wordWrap/>
            <w:overflowPunct/>
            <w:topLinePunct w:val="0"/>
            <w:autoSpaceDE/>
            <w:autoSpaceDN/>
            <w:bidi w:val="0"/>
            <w:adjustRightInd/>
            <w:snapToGrid/>
            <w:spacing w:line="720" w:lineRule="auto"/>
            <w:textAlignment w:val="auto"/>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_Toc19229 </w:instrText>
          </w:r>
          <w:r>
            <w:rPr>
              <w:rFonts w:hint="eastAsia" w:ascii="宋体" w:hAnsi="宋体" w:eastAsia="宋体" w:cs="宋体"/>
              <w:sz w:val="28"/>
              <w:szCs w:val="28"/>
              <w:highlight w:val="none"/>
            </w:rPr>
            <w:fldChar w:fldCharType="separate"/>
          </w:r>
          <w:r>
            <w:rPr>
              <w:rFonts w:hint="eastAsia"/>
              <w:sz w:val="28"/>
              <w:szCs w:val="28"/>
              <w:highlight w:val="none"/>
              <w:lang w:val="en-US" w:eastAsia="zh-CN"/>
            </w:rPr>
            <w:t>一、监理任务范围</w:t>
          </w:r>
          <w:r>
            <w:rPr>
              <w:sz w:val="28"/>
              <w:szCs w:val="28"/>
            </w:rPr>
            <w:tab/>
          </w:r>
          <w:r>
            <w:rPr>
              <w:sz w:val="28"/>
              <w:szCs w:val="28"/>
            </w:rPr>
            <w:fldChar w:fldCharType="begin"/>
          </w:r>
          <w:r>
            <w:rPr>
              <w:sz w:val="28"/>
              <w:szCs w:val="28"/>
            </w:rPr>
            <w:instrText xml:space="preserve"> PAGEREF _Toc19229 \h </w:instrText>
          </w:r>
          <w:r>
            <w:rPr>
              <w:sz w:val="28"/>
              <w:szCs w:val="28"/>
            </w:rPr>
            <w:fldChar w:fldCharType="separate"/>
          </w:r>
          <w:r>
            <w:rPr>
              <w:sz w:val="28"/>
              <w:szCs w:val="28"/>
            </w:rPr>
            <w:t>40</w:t>
          </w:r>
          <w:r>
            <w:rPr>
              <w:sz w:val="28"/>
              <w:szCs w:val="28"/>
            </w:rPr>
            <w:fldChar w:fldCharType="end"/>
          </w:r>
          <w:r>
            <w:rPr>
              <w:rFonts w:hint="eastAsia" w:ascii="宋体" w:hAnsi="宋体" w:eastAsia="宋体" w:cs="宋体"/>
              <w:color w:val="auto"/>
              <w:sz w:val="28"/>
              <w:szCs w:val="28"/>
              <w:highlight w:val="none"/>
            </w:rPr>
            <w:fldChar w:fldCharType="end"/>
          </w:r>
        </w:p>
        <w:p>
          <w:pPr>
            <w:pStyle w:val="172"/>
            <w:keepNext w:val="0"/>
            <w:keepLines w:val="0"/>
            <w:pageBreakBefore w:val="0"/>
            <w:widowControl/>
            <w:tabs>
              <w:tab w:val="right" w:leader="dot" w:pos="9354"/>
            </w:tabs>
            <w:kinsoku/>
            <w:wordWrap/>
            <w:overflowPunct/>
            <w:topLinePunct w:val="0"/>
            <w:autoSpaceDE/>
            <w:autoSpaceDN/>
            <w:bidi w:val="0"/>
            <w:adjustRightInd/>
            <w:snapToGrid/>
            <w:spacing w:line="720" w:lineRule="auto"/>
            <w:textAlignment w:val="auto"/>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_Toc9979 </w:instrText>
          </w:r>
          <w:r>
            <w:rPr>
              <w:rFonts w:hint="eastAsia" w:ascii="宋体" w:hAnsi="宋体" w:eastAsia="宋体" w:cs="宋体"/>
              <w:sz w:val="28"/>
              <w:szCs w:val="28"/>
              <w:highlight w:val="none"/>
            </w:rPr>
            <w:fldChar w:fldCharType="separate"/>
          </w:r>
          <w:r>
            <w:rPr>
              <w:rFonts w:hint="eastAsia" w:ascii="宋体" w:hAnsi="宋体" w:eastAsia="宋体" w:cs="宋体"/>
              <w:bCs w:val="0"/>
              <w:kern w:val="2"/>
              <w:sz w:val="28"/>
              <w:szCs w:val="28"/>
              <w:lang w:val="en-US" w:eastAsia="zh-CN" w:bidi="ar-SA"/>
            </w:rPr>
            <w:t>1、施工监理</w:t>
          </w:r>
          <w:r>
            <w:rPr>
              <w:sz w:val="28"/>
              <w:szCs w:val="28"/>
            </w:rPr>
            <w:tab/>
          </w:r>
          <w:r>
            <w:rPr>
              <w:sz w:val="28"/>
              <w:szCs w:val="28"/>
            </w:rPr>
            <w:fldChar w:fldCharType="begin"/>
          </w:r>
          <w:r>
            <w:rPr>
              <w:sz w:val="28"/>
              <w:szCs w:val="28"/>
            </w:rPr>
            <w:instrText xml:space="preserve"> PAGEREF _Toc9979 \h </w:instrText>
          </w:r>
          <w:r>
            <w:rPr>
              <w:sz w:val="28"/>
              <w:szCs w:val="28"/>
            </w:rPr>
            <w:fldChar w:fldCharType="separate"/>
          </w:r>
          <w:r>
            <w:rPr>
              <w:sz w:val="28"/>
              <w:szCs w:val="28"/>
            </w:rPr>
            <w:t>40</w:t>
          </w:r>
          <w:r>
            <w:rPr>
              <w:sz w:val="28"/>
              <w:szCs w:val="28"/>
            </w:rPr>
            <w:fldChar w:fldCharType="end"/>
          </w:r>
          <w:r>
            <w:rPr>
              <w:rFonts w:hint="eastAsia" w:ascii="宋体" w:hAnsi="宋体" w:eastAsia="宋体" w:cs="宋体"/>
              <w:color w:val="auto"/>
              <w:sz w:val="28"/>
              <w:szCs w:val="28"/>
              <w:highlight w:val="none"/>
            </w:rPr>
            <w:fldChar w:fldCharType="end"/>
          </w:r>
        </w:p>
        <w:p>
          <w:pPr>
            <w:pStyle w:val="172"/>
            <w:keepNext w:val="0"/>
            <w:keepLines w:val="0"/>
            <w:pageBreakBefore w:val="0"/>
            <w:widowControl/>
            <w:tabs>
              <w:tab w:val="right" w:leader="dot" w:pos="9354"/>
            </w:tabs>
            <w:kinsoku/>
            <w:wordWrap/>
            <w:overflowPunct/>
            <w:topLinePunct w:val="0"/>
            <w:autoSpaceDE/>
            <w:autoSpaceDN/>
            <w:bidi w:val="0"/>
            <w:adjustRightInd/>
            <w:snapToGrid/>
            <w:spacing w:line="720" w:lineRule="auto"/>
            <w:textAlignment w:val="auto"/>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_Toc29208 </w:instrText>
          </w:r>
          <w:r>
            <w:rPr>
              <w:rFonts w:hint="eastAsia" w:ascii="宋体" w:hAnsi="宋体" w:eastAsia="宋体" w:cs="宋体"/>
              <w:sz w:val="28"/>
              <w:szCs w:val="28"/>
              <w:highlight w:val="none"/>
            </w:rPr>
            <w:fldChar w:fldCharType="separate"/>
          </w:r>
          <w:r>
            <w:rPr>
              <w:rFonts w:hint="eastAsia" w:ascii="宋体" w:hAnsi="宋体" w:eastAsia="宋体" w:cs="宋体"/>
              <w:bCs w:val="0"/>
              <w:kern w:val="2"/>
              <w:sz w:val="28"/>
              <w:szCs w:val="28"/>
              <w:lang w:val="en-US" w:eastAsia="zh-CN" w:bidi="ar-SA"/>
            </w:rPr>
            <w:t>2、监理资料的整理</w:t>
          </w:r>
          <w:r>
            <w:rPr>
              <w:sz w:val="28"/>
              <w:szCs w:val="28"/>
            </w:rPr>
            <w:tab/>
          </w:r>
          <w:r>
            <w:rPr>
              <w:sz w:val="28"/>
              <w:szCs w:val="28"/>
            </w:rPr>
            <w:fldChar w:fldCharType="begin"/>
          </w:r>
          <w:r>
            <w:rPr>
              <w:sz w:val="28"/>
              <w:szCs w:val="28"/>
            </w:rPr>
            <w:instrText xml:space="preserve"> PAGEREF _Toc29208 \h </w:instrText>
          </w:r>
          <w:r>
            <w:rPr>
              <w:sz w:val="28"/>
              <w:szCs w:val="28"/>
            </w:rPr>
            <w:fldChar w:fldCharType="separate"/>
          </w:r>
          <w:r>
            <w:rPr>
              <w:sz w:val="28"/>
              <w:szCs w:val="28"/>
            </w:rPr>
            <w:t>40</w:t>
          </w:r>
          <w:r>
            <w:rPr>
              <w:sz w:val="28"/>
              <w:szCs w:val="28"/>
            </w:rPr>
            <w:fldChar w:fldCharType="end"/>
          </w:r>
          <w:r>
            <w:rPr>
              <w:rFonts w:hint="eastAsia" w:ascii="宋体" w:hAnsi="宋体" w:eastAsia="宋体" w:cs="宋体"/>
              <w:color w:val="auto"/>
              <w:sz w:val="28"/>
              <w:szCs w:val="28"/>
              <w:highlight w:val="none"/>
            </w:rPr>
            <w:fldChar w:fldCharType="end"/>
          </w:r>
        </w:p>
        <w:p>
          <w:pPr>
            <w:pStyle w:val="172"/>
            <w:keepNext w:val="0"/>
            <w:keepLines w:val="0"/>
            <w:pageBreakBefore w:val="0"/>
            <w:widowControl/>
            <w:tabs>
              <w:tab w:val="right" w:leader="dot" w:pos="9354"/>
            </w:tabs>
            <w:kinsoku/>
            <w:wordWrap/>
            <w:overflowPunct/>
            <w:topLinePunct w:val="0"/>
            <w:autoSpaceDE/>
            <w:autoSpaceDN/>
            <w:bidi w:val="0"/>
            <w:adjustRightInd/>
            <w:snapToGrid/>
            <w:spacing w:line="720" w:lineRule="auto"/>
            <w:textAlignment w:val="auto"/>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_Toc4513 </w:instrText>
          </w:r>
          <w:r>
            <w:rPr>
              <w:rFonts w:hint="eastAsia" w:ascii="宋体" w:hAnsi="宋体" w:eastAsia="宋体" w:cs="宋体"/>
              <w:sz w:val="28"/>
              <w:szCs w:val="28"/>
              <w:highlight w:val="none"/>
            </w:rPr>
            <w:fldChar w:fldCharType="separate"/>
          </w:r>
          <w:r>
            <w:rPr>
              <w:rFonts w:hint="eastAsia" w:ascii="宋体" w:hAnsi="宋体" w:cs="宋体"/>
              <w:bCs/>
              <w:kern w:val="2"/>
              <w:sz w:val="28"/>
              <w:szCs w:val="28"/>
              <w:lang w:val="en-US" w:eastAsia="zh-CN" w:bidi="ar-SA"/>
            </w:rPr>
            <w:t>二、</w:t>
          </w:r>
          <w:r>
            <w:rPr>
              <w:rFonts w:hint="eastAsia" w:ascii="宋体" w:hAnsi="宋体" w:eastAsia="宋体" w:cs="宋体"/>
              <w:bCs/>
              <w:kern w:val="2"/>
              <w:sz w:val="28"/>
              <w:szCs w:val="28"/>
              <w:lang w:val="en-US" w:eastAsia="zh-CN" w:bidi="ar-SA"/>
            </w:rPr>
            <w:t>监理工程大纲</w:t>
          </w:r>
          <w:r>
            <w:rPr>
              <w:sz w:val="28"/>
              <w:szCs w:val="28"/>
            </w:rPr>
            <w:tab/>
          </w:r>
          <w:r>
            <w:rPr>
              <w:sz w:val="28"/>
              <w:szCs w:val="28"/>
            </w:rPr>
            <w:fldChar w:fldCharType="begin"/>
          </w:r>
          <w:r>
            <w:rPr>
              <w:sz w:val="28"/>
              <w:szCs w:val="28"/>
            </w:rPr>
            <w:instrText xml:space="preserve"> PAGEREF _Toc4513 \h </w:instrText>
          </w:r>
          <w:r>
            <w:rPr>
              <w:sz w:val="28"/>
              <w:szCs w:val="28"/>
            </w:rPr>
            <w:fldChar w:fldCharType="separate"/>
          </w:r>
          <w:r>
            <w:rPr>
              <w:sz w:val="28"/>
              <w:szCs w:val="28"/>
            </w:rPr>
            <w:t>40</w:t>
          </w:r>
          <w:r>
            <w:rPr>
              <w:sz w:val="28"/>
              <w:szCs w:val="28"/>
            </w:rPr>
            <w:fldChar w:fldCharType="end"/>
          </w:r>
          <w:r>
            <w:rPr>
              <w:rFonts w:hint="eastAsia" w:ascii="宋体" w:hAnsi="宋体" w:eastAsia="宋体" w:cs="宋体"/>
              <w:color w:val="auto"/>
              <w:sz w:val="28"/>
              <w:szCs w:val="28"/>
              <w:highlight w:val="none"/>
            </w:rPr>
            <w:fldChar w:fldCharType="end"/>
          </w:r>
        </w:p>
        <w:p>
          <w:pPr>
            <w:pStyle w:val="172"/>
            <w:keepNext w:val="0"/>
            <w:keepLines w:val="0"/>
            <w:pageBreakBefore w:val="0"/>
            <w:widowControl/>
            <w:tabs>
              <w:tab w:val="right" w:leader="dot" w:pos="9354"/>
            </w:tabs>
            <w:kinsoku/>
            <w:wordWrap/>
            <w:overflowPunct/>
            <w:topLinePunct w:val="0"/>
            <w:autoSpaceDE/>
            <w:autoSpaceDN/>
            <w:bidi w:val="0"/>
            <w:adjustRightInd/>
            <w:snapToGrid/>
            <w:spacing w:line="720" w:lineRule="auto"/>
            <w:textAlignment w:val="auto"/>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_Toc19542 </w:instrText>
          </w:r>
          <w:r>
            <w:rPr>
              <w:rFonts w:hint="eastAsia" w:ascii="宋体" w:hAnsi="宋体" w:eastAsia="宋体" w:cs="宋体"/>
              <w:sz w:val="28"/>
              <w:szCs w:val="28"/>
              <w:highlight w:val="none"/>
            </w:rPr>
            <w:fldChar w:fldCharType="separate"/>
          </w:r>
          <w:r>
            <w:rPr>
              <w:rFonts w:hint="eastAsia" w:ascii="Times New Roman" w:hAnsi="Times New Roman" w:eastAsia="宋体" w:cs="Times New Roman"/>
              <w:bCs/>
              <w:kern w:val="44"/>
              <w:sz w:val="28"/>
              <w:szCs w:val="28"/>
              <w:highlight w:val="none"/>
              <w:lang w:val="en-US" w:eastAsia="zh-CN" w:bidi="ar-SA"/>
            </w:rPr>
            <w:t>第六章 评标办法</w:t>
          </w:r>
          <w:r>
            <w:rPr>
              <w:sz w:val="28"/>
              <w:szCs w:val="28"/>
            </w:rPr>
            <w:tab/>
          </w:r>
          <w:r>
            <w:rPr>
              <w:sz w:val="28"/>
              <w:szCs w:val="28"/>
            </w:rPr>
            <w:fldChar w:fldCharType="begin"/>
          </w:r>
          <w:r>
            <w:rPr>
              <w:sz w:val="28"/>
              <w:szCs w:val="28"/>
            </w:rPr>
            <w:instrText xml:space="preserve"> PAGEREF _Toc19542 \h </w:instrText>
          </w:r>
          <w:r>
            <w:rPr>
              <w:sz w:val="28"/>
              <w:szCs w:val="28"/>
            </w:rPr>
            <w:fldChar w:fldCharType="separate"/>
          </w:r>
          <w:r>
            <w:rPr>
              <w:sz w:val="28"/>
              <w:szCs w:val="28"/>
            </w:rPr>
            <w:t>42</w:t>
          </w:r>
          <w:r>
            <w:rPr>
              <w:sz w:val="28"/>
              <w:szCs w:val="28"/>
            </w:rPr>
            <w:fldChar w:fldCharType="end"/>
          </w:r>
          <w:r>
            <w:rPr>
              <w:rFonts w:hint="eastAsia" w:ascii="宋体" w:hAnsi="宋体" w:eastAsia="宋体" w:cs="宋体"/>
              <w:color w:val="auto"/>
              <w:sz w:val="28"/>
              <w:szCs w:val="28"/>
              <w:highlight w:val="none"/>
            </w:rPr>
            <w:fldChar w:fldCharType="end"/>
          </w:r>
        </w:p>
        <w:p>
          <w:pPr>
            <w:pStyle w:val="172"/>
            <w:keepNext w:val="0"/>
            <w:keepLines w:val="0"/>
            <w:pageBreakBefore w:val="0"/>
            <w:widowControl/>
            <w:tabs>
              <w:tab w:val="right" w:leader="dot" w:pos="9354"/>
            </w:tabs>
            <w:kinsoku/>
            <w:wordWrap/>
            <w:overflowPunct/>
            <w:topLinePunct w:val="0"/>
            <w:autoSpaceDE/>
            <w:autoSpaceDN/>
            <w:bidi w:val="0"/>
            <w:adjustRightInd/>
            <w:snapToGrid/>
            <w:spacing w:line="720" w:lineRule="auto"/>
            <w:textAlignment w:val="auto"/>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_Toc10357 </w:instrText>
          </w:r>
          <w:r>
            <w:rPr>
              <w:rFonts w:hint="eastAsia" w:ascii="宋体" w:hAnsi="宋体" w:eastAsia="宋体" w:cs="宋体"/>
              <w:sz w:val="28"/>
              <w:szCs w:val="28"/>
              <w:highlight w:val="none"/>
            </w:rPr>
            <w:fldChar w:fldCharType="separate"/>
          </w:r>
          <w:r>
            <w:rPr>
              <w:rFonts w:hint="eastAsia" w:ascii="宋体" w:hAnsi="宋体" w:eastAsia="宋体" w:cs="宋体"/>
              <w:spacing w:val="4"/>
              <w:sz w:val="28"/>
              <w:szCs w:val="28"/>
              <w:highlight w:val="none"/>
            </w:rPr>
            <w:t>一</w:t>
          </w:r>
          <w:r>
            <w:rPr>
              <w:rFonts w:hint="eastAsia" w:ascii="宋体" w:hAnsi="宋体" w:eastAsia="宋体" w:cs="宋体"/>
              <w:spacing w:val="4"/>
              <w:sz w:val="28"/>
              <w:szCs w:val="28"/>
              <w:highlight w:val="none"/>
              <w:lang w:eastAsia="zh-CN"/>
            </w:rPr>
            <w:t>、</w:t>
          </w:r>
          <w:r>
            <w:rPr>
              <w:rFonts w:hint="eastAsia" w:ascii="宋体" w:hAnsi="宋体" w:eastAsia="宋体" w:cs="宋体"/>
              <w:spacing w:val="4"/>
              <w:sz w:val="28"/>
              <w:szCs w:val="28"/>
              <w:highlight w:val="none"/>
            </w:rPr>
            <w:t>评审方法</w:t>
          </w:r>
          <w:r>
            <w:rPr>
              <w:sz w:val="28"/>
              <w:szCs w:val="28"/>
            </w:rPr>
            <w:tab/>
          </w:r>
          <w:r>
            <w:rPr>
              <w:sz w:val="28"/>
              <w:szCs w:val="28"/>
            </w:rPr>
            <w:fldChar w:fldCharType="begin"/>
          </w:r>
          <w:r>
            <w:rPr>
              <w:sz w:val="28"/>
              <w:szCs w:val="28"/>
            </w:rPr>
            <w:instrText xml:space="preserve"> PAGEREF _Toc10357 \h </w:instrText>
          </w:r>
          <w:r>
            <w:rPr>
              <w:sz w:val="28"/>
              <w:szCs w:val="28"/>
            </w:rPr>
            <w:fldChar w:fldCharType="separate"/>
          </w:r>
          <w:r>
            <w:rPr>
              <w:sz w:val="28"/>
              <w:szCs w:val="28"/>
            </w:rPr>
            <w:t>42</w:t>
          </w:r>
          <w:r>
            <w:rPr>
              <w:sz w:val="28"/>
              <w:szCs w:val="28"/>
            </w:rPr>
            <w:fldChar w:fldCharType="end"/>
          </w:r>
          <w:r>
            <w:rPr>
              <w:rFonts w:hint="eastAsia" w:ascii="宋体" w:hAnsi="宋体" w:eastAsia="宋体" w:cs="宋体"/>
              <w:color w:val="auto"/>
              <w:sz w:val="28"/>
              <w:szCs w:val="28"/>
              <w:highlight w:val="none"/>
            </w:rPr>
            <w:fldChar w:fldCharType="end"/>
          </w:r>
        </w:p>
        <w:p>
          <w:pPr>
            <w:pStyle w:val="172"/>
            <w:keepNext w:val="0"/>
            <w:keepLines w:val="0"/>
            <w:pageBreakBefore w:val="0"/>
            <w:widowControl/>
            <w:tabs>
              <w:tab w:val="right" w:leader="dot" w:pos="9354"/>
            </w:tabs>
            <w:kinsoku/>
            <w:wordWrap/>
            <w:overflowPunct/>
            <w:topLinePunct w:val="0"/>
            <w:autoSpaceDE/>
            <w:autoSpaceDN/>
            <w:bidi w:val="0"/>
            <w:adjustRightInd/>
            <w:snapToGrid/>
            <w:spacing w:line="720" w:lineRule="auto"/>
            <w:textAlignment w:val="auto"/>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_Toc4371 </w:instrText>
          </w:r>
          <w:r>
            <w:rPr>
              <w:rFonts w:hint="eastAsia" w:ascii="宋体" w:hAnsi="宋体" w:eastAsia="宋体" w:cs="宋体"/>
              <w:sz w:val="28"/>
              <w:szCs w:val="28"/>
              <w:highlight w:val="none"/>
            </w:rPr>
            <w:fldChar w:fldCharType="separate"/>
          </w:r>
          <w:r>
            <w:rPr>
              <w:rFonts w:hint="eastAsia" w:ascii="宋体" w:hAnsi="宋体" w:eastAsia="宋体" w:cs="宋体"/>
              <w:spacing w:val="4"/>
              <w:sz w:val="28"/>
              <w:szCs w:val="28"/>
              <w:highlight w:val="none"/>
            </w:rPr>
            <w:t>二</w:t>
          </w:r>
          <w:r>
            <w:rPr>
              <w:rFonts w:hint="eastAsia" w:ascii="宋体" w:hAnsi="宋体" w:eastAsia="宋体" w:cs="宋体"/>
              <w:spacing w:val="4"/>
              <w:sz w:val="28"/>
              <w:szCs w:val="28"/>
              <w:highlight w:val="none"/>
              <w:lang w:eastAsia="zh-CN"/>
            </w:rPr>
            <w:t>、</w:t>
          </w:r>
          <w:r>
            <w:rPr>
              <w:rFonts w:hint="eastAsia" w:ascii="宋体" w:hAnsi="宋体" w:eastAsia="宋体" w:cs="宋体"/>
              <w:spacing w:val="4"/>
              <w:sz w:val="28"/>
              <w:szCs w:val="28"/>
              <w:highlight w:val="none"/>
            </w:rPr>
            <w:t>评审程序</w:t>
          </w:r>
          <w:r>
            <w:rPr>
              <w:sz w:val="28"/>
              <w:szCs w:val="28"/>
            </w:rPr>
            <w:tab/>
          </w:r>
          <w:r>
            <w:rPr>
              <w:sz w:val="28"/>
              <w:szCs w:val="28"/>
            </w:rPr>
            <w:fldChar w:fldCharType="begin"/>
          </w:r>
          <w:r>
            <w:rPr>
              <w:sz w:val="28"/>
              <w:szCs w:val="28"/>
            </w:rPr>
            <w:instrText xml:space="preserve"> PAGEREF _Toc4371 \h </w:instrText>
          </w:r>
          <w:r>
            <w:rPr>
              <w:sz w:val="28"/>
              <w:szCs w:val="28"/>
            </w:rPr>
            <w:fldChar w:fldCharType="separate"/>
          </w:r>
          <w:r>
            <w:rPr>
              <w:sz w:val="28"/>
              <w:szCs w:val="28"/>
            </w:rPr>
            <w:t>42</w:t>
          </w:r>
          <w:r>
            <w:rPr>
              <w:sz w:val="28"/>
              <w:szCs w:val="28"/>
            </w:rPr>
            <w:fldChar w:fldCharType="end"/>
          </w:r>
          <w:r>
            <w:rPr>
              <w:rFonts w:hint="eastAsia" w:ascii="宋体" w:hAnsi="宋体" w:eastAsia="宋体" w:cs="宋体"/>
              <w:color w:val="auto"/>
              <w:sz w:val="28"/>
              <w:szCs w:val="28"/>
              <w:highlight w:val="none"/>
            </w:rPr>
            <w:fldChar w:fldCharType="end"/>
          </w:r>
        </w:p>
        <w:p>
          <w:pPr>
            <w:pStyle w:val="172"/>
            <w:keepNext w:val="0"/>
            <w:keepLines w:val="0"/>
            <w:pageBreakBefore w:val="0"/>
            <w:widowControl/>
            <w:tabs>
              <w:tab w:val="right" w:leader="dot" w:pos="9354"/>
            </w:tabs>
            <w:kinsoku/>
            <w:wordWrap/>
            <w:overflowPunct/>
            <w:topLinePunct w:val="0"/>
            <w:autoSpaceDE/>
            <w:autoSpaceDN/>
            <w:bidi w:val="0"/>
            <w:adjustRightInd/>
            <w:snapToGrid/>
            <w:spacing w:line="720" w:lineRule="auto"/>
            <w:textAlignment w:val="auto"/>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_Toc15163 </w:instrText>
          </w:r>
          <w:r>
            <w:rPr>
              <w:rFonts w:hint="eastAsia" w:ascii="宋体" w:hAnsi="宋体" w:eastAsia="宋体" w:cs="宋体"/>
              <w:sz w:val="28"/>
              <w:szCs w:val="28"/>
              <w:highlight w:val="none"/>
            </w:rPr>
            <w:fldChar w:fldCharType="separate"/>
          </w:r>
          <w:r>
            <w:rPr>
              <w:rFonts w:hint="eastAsia" w:ascii="Times New Roman" w:hAnsi="Times New Roman" w:eastAsia="宋体" w:cs="Times New Roman"/>
              <w:bCs/>
              <w:kern w:val="44"/>
              <w:sz w:val="28"/>
              <w:szCs w:val="28"/>
              <w:highlight w:val="none"/>
              <w:lang w:val="en-US" w:eastAsia="zh-CN" w:bidi="ar-SA"/>
            </w:rPr>
            <w:t>第七章 响应文件格式</w:t>
          </w:r>
          <w:r>
            <w:rPr>
              <w:sz w:val="28"/>
              <w:szCs w:val="28"/>
            </w:rPr>
            <w:tab/>
          </w:r>
          <w:r>
            <w:rPr>
              <w:sz w:val="28"/>
              <w:szCs w:val="28"/>
            </w:rPr>
            <w:fldChar w:fldCharType="begin"/>
          </w:r>
          <w:r>
            <w:rPr>
              <w:sz w:val="28"/>
              <w:szCs w:val="28"/>
            </w:rPr>
            <w:instrText xml:space="preserve"> PAGEREF _Toc15163 \h </w:instrText>
          </w:r>
          <w:r>
            <w:rPr>
              <w:sz w:val="28"/>
              <w:szCs w:val="28"/>
            </w:rPr>
            <w:fldChar w:fldCharType="separate"/>
          </w:r>
          <w:r>
            <w:rPr>
              <w:sz w:val="28"/>
              <w:szCs w:val="28"/>
            </w:rPr>
            <w:t>49</w:t>
          </w:r>
          <w:r>
            <w:rPr>
              <w:sz w:val="28"/>
              <w:szCs w:val="28"/>
            </w:rPr>
            <w:fldChar w:fldCharType="end"/>
          </w:r>
          <w:r>
            <w:rPr>
              <w:rFonts w:hint="eastAsia" w:ascii="宋体" w:hAnsi="宋体" w:eastAsia="宋体" w:cs="宋体"/>
              <w:color w:val="auto"/>
              <w:sz w:val="28"/>
              <w:szCs w:val="28"/>
              <w:highlight w:val="none"/>
            </w:rPr>
            <w:fldChar w:fldCharType="end"/>
          </w:r>
        </w:p>
        <w:p>
          <w:pPr>
            <w:pStyle w:val="172"/>
            <w:keepNext w:val="0"/>
            <w:keepLines w:val="0"/>
            <w:pageBreakBefore w:val="0"/>
            <w:widowControl/>
            <w:tabs>
              <w:tab w:val="right" w:leader="dot" w:pos="9354"/>
            </w:tabs>
            <w:kinsoku/>
            <w:wordWrap/>
            <w:overflowPunct/>
            <w:topLinePunct w:val="0"/>
            <w:autoSpaceDE/>
            <w:autoSpaceDN/>
            <w:bidi w:val="0"/>
            <w:adjustRightInd/>
            <w:snapToGrid/>
            <w:spacing w:line="720" w:lineRule="auto"/>
            <w:textAlignment w:val="auto"/>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_Toc16365 </w:instrText>
          </w:r>
          <w:r>
            <w:rPr>
              <w:rFonts w:hint="eastAsia" w:ascii="宋体" w:hAnsi="宋体" w:eastAsia="宋体" w:cs="宋体"/>
              <w:sz w:val="28"/>
              <w:szCs w:val="28"/>
              <w:highlight w:val="none"/>
            </w:rPr>
            <w:fldChar w:fldCharType="separate"/>
          </w:r>
          <w:r>
            <w:rPr>
              <w:rFonts w:hint="eastAsia"/>
              <w:sz w:val="28"/>
              <w:szCs w:val="28"/>
              <w:highlight w:val="none"/>
              <w:lang w:eastAsia="zh-CN"/>
            </w:rPr>
            <w:t>附件五</w:t>
          </w:r>
          <w:r>
            <w:rPr>
              <w:sz w:val="28"/>
              <w:szCs w:val="28"/>
            </w:rPr>
            <w:tab/>
          </w:r>
          <w:r>
            <w:rPr>
              <w:sz w:val="28"/>
              <w:szCs w:val="28"/>
            </w:rPr>
            <w:fldChar w:fldCharType="begin"/>
          </w:r>
          <w:r>
            <w:rPr>
              <w:sz w:val="28"/>
              <w:szCs w:val="28"/>
            </w:rPr>
            <w:instrText xml:space="preserve"> PAGEREF _Toc16365 \h </w:instrText>
          </w:r>
          <w:r>
            <w:rPr>
              <w:sz w:val="28"/>
              <w:szCs w:val="28"/>
            </w:rPr>
            <w:fldChar w:fldCharType="separate"/>
          </w:r>
          <w:r>
            <w:rPr>
              <w:sz w:val="28"/>
              <w:szCs w:val="28"/>
            </w:rPr>
            <w:t>89</w:t>
          </w:r>
          <w:r>
            <w:rPr>
              <w:sz w:val="28"/>
              <w:szCs w:val="28"/>
            </w:rPr>
            <w:fldChar w:fldCharType="end"/>
          </w:r>
          <w:r>
            <w:rPr>
              <w:rFonts w:hint="eastAsia" w:ascii="宋体" w:hAnsi="宋体" w:eastAsia="宋体" w:cs="宋体"/>
              <w:color w:val="auto"/>
              <w:sz w:val="28"/>
              <w:szCs w:val="28"/>
              <w:highlight w:val="none"/>
            </w:rPr>
            <w:fldChar w:fldCharType="end"/>
          </w:r>
        </w:p>
        <w:p>
          <w:pPr>
            <w:pStyle w:val="2"/>
            <w:rPr>
              <w:rFonts w:hint="eastAsia" w:ascii="宋体" w:hAnsi="宋体" w:eastAsia="宋体" w:cs="宋体"/>
              <w:color w:val="auto"/>
              <w:szCs w:val="24"/>
              <w:highlight w:val="none"/>
            </w:rPr>
          </w:pPr>
          <w:r>
            <w:rPr>
              <w:rFonts w:hint="eastAsia" w:ascii="宋体" w:hAnsi="宋体" w:eastAsia="宋体" w:cs="宋体"/>
              <w:color w:val="auto"/>
              <w:sz w:val="28"/>
              <w:szCs w:val="28"/>
              <w:highlight w:val="none"/>
            </w:rPr>
            <w:fldChar w:fldCharType="end"/>
          </w:r>
        </w:p>
      </w:sdtContent>
    </w:sdt>
    <w:p>
      <w:pPr>
        <w:pStyle w:val="2"/>
        <w:rPr>
          <w:rFonts w:hint="eastAsia" w:ascii="宋体" w:hAnsi="宋体" w:eastAsia="宋体" w:cs="宋体"/>
          <w:color w:val="auto"/>
          <w:szCs w:val="24"/>
          <w:highlight w:val="none"/>
        </w:rPr>
      </w:pPr>
    </w:p>
    <w:p>
      <w:pPr>
        <w:pStyle w:val="2"/>
        <w:rPr>
          <w:rFonts w:hint="eastAsia" w:ascii="宋体" w:hAnsi="宋体" w:eastAsia="宋体" w:cs="宋体"/>
          <w:color w:val="auto"/>
          <w:szCs w:val="24"/>
          <w:highlight w:val="none"/>
        </w:rPr>
      </w:pPr>
    </w:p>
    <w:p>
      <w:pPr>
        <w:pStyle w:val="2"/>
        <w:rPr>
          <w:rFonts w:hint="eastAsia" w:ascii="宋体" w:hAnsi="宋体" w:eastAsia="宋体" w:cs="宋体"/>
          <w:color w:val="auto"/>
          <w:szCs w:val="24"/>
          <w:highlight w:val="none"/>
        </w:rPr>
      </w:pPr>
    </w:p>
    <w:p>
      <w:pPr>
        <w:pStyle w:val="2"/>
        <w:rPr>
          <w:rFonts w:hint="eastAsia" w:ascii="宋体" w:hAnsi="宋体" w:eastAsia="宋体" w:cs="宋体"/>
          <w:color w:val="auto"/>
          <w:szCs w:val="24"/>
          <w:highlight w:val="none"/>
        </w:rPr>
      </w:pPr>
    </w:p>
    <w:p>
      <w:pPr>
        <w:pStyle w:val="2"/>
        <w:rPr>
          <w:rFonts w:hint="eastAsia" w:ascii="宋体" w:hAnsi="宋体" w:eastAsia="宋体" w:cs="宋体"/>
          <w:color w:val="auto"/>
          <w:szCs w:val="24"/>
          <w:highlight w:val="none"/>
        </w:rPr>
      </w:pPr>
    </w:p>
    <w:p>
      <w:pPr>
        <w:pStyle w:val="2"/>
        <w:rPr>
          <w:rFonts w:hint="eastAsia" w:ascii="宋体" w:hAnsi="宋体" w:eastAsia="宋体" w:cs="宋体"/>
          <w:color w:val="auto"/>
          <w:szCs w:val="24"/>
          <w:highlight w:val="none"/>
        </w:rPr>
      </w:pPr>
    </w:p>
    <w:p>
      <w:pPr>
        <w:pStyle w:val="2"/>
        <w:rPr>
          <w:rFonts w:hint="eastAsia" w:ascii="宋体" w:hAnsi="宋体" w:eastAsia="宋体" w:cs="宋体"/>
          <w:color w:val="auto"/>
          <w:szCs w:val="24"/>
          <w:highlight w:val="none"/>
        </w:rPr>
      </w:pPr>
    </w:p>
    <w:p>
      <w:pPr>
        <w:pStyle w:val="2"/>
        <w:rPr>
          <w:rFonts w:hint="eastAsia" w:ascii="宋体" w:hAnsi="宋体" w:eastAsia="宋体" w:cs="宋体"/>
          <w:color w:val="auto"/>
          <w:szCs w:val="24"/>
          <w:highlight w:val="none"/>
        </w:rPr>
      </w:pPr>
    </w:p>
    <w:p>
      <w:pPr>
        <w:pStyle w:val="2"/>
        <w:rPr>
          <w:rFonts w:hint="eastAsia" w:ascii="宋体" w:hAnsi="宋体" w:eastAsia="宋体" w:cs="宋体"/>
          <w:color w:val="auto"/>
          <w:szCs w:val="24"/>
          <w:highlight w:val="none"/>
        </w:rPr>
      </w:pPr>
    </w:p>
    <w:p>
      <w:pPr>
        <w:pStyle w:val="2"/>
        <w:rPr>
          <w:rFonts w:hint="eastAsia" w:ascii="宋体" w:hAnsi="宋体" w:eastAsia="宋体" w:cs="宋体"/>
          <w:color w:val="auto"/>
          <w:szCs w:val="24"/>
          <w:highlight w:val="none"/>
        </w:rPr>
      </w:pPr>
    </w:p>
    <w:p>
      <w:pPr>
        <w:pStyle w:val="2"/>
        <w:rPr>
          <w:rFonts w:hint="eastAsia" w:ascii="宋体" w:hAnsi="宋体" w:eastAsia="宋体" w:cs="宋体"/>
          <w:color w:val="auto"/>
          <w:szCs w:val="24"/>
          <w:highlight w:val="none"/>
        </w:rPr>
      </w:pPr>
    </w:p>
    <w:p>
      <w:pPr>
        <w:pStyle w:val="2"/>
        <w:rPr>
          <w:rFonts w:hint="eastAsia" w:ascii="宋体" w:hAnsi="宋体" w:eastAsia="宋体" w:cs="宋体"/>
          <w:color w:val="auto"/>
          <w:szCs w:val="24"/>
          <w:highlight w:val="none"/>
        </w:rPr>
      </w:pPr>
    </w:p>
    <w:p>
      <w:pPr>
        <w:pStyle w:val="2"/>
        <w:rPr>
          <w:rFonts w:hint="eastAsia" w:ascii="宋体" w:hAnsi="宋体" w:eastAsia="宋体" w:cs="宋体"/>
          <w:color w:val="auto"/>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Cs w:val="24"/>
          <w:highlight w:val="none"/>
        </w:rPr>
      </w:pPr>
    </w:p>
    <w:p>
      <w:pPr>
        <w:pStyle w:val="42"/>
        <w:rPr>
          <w:rFonts w:hint="eastAsia" w:ascii="宋体" w:hAnsi="宋体" w:eastAsia="宋体" w:cs="宋体"/>
          <w:color w:val="auto"/>
          <w:szCs w:val="24"/>
          <w:highlight w:val="none"/>
        </w:rPr>
      </w:pPr>
    </w:p>
    <w:p>
      <w:pPr>
        <w:pStyle w:val="42"/>
        <w:rPr>
          <w:rFonts w:hint="eastAsia" w:ascii="宋体" w:hAnsi="宋体" w:eastAsia="宋体" w:cs="宋体"/>
          <w:color w:val="auto"/>
          <w:szCs w:val="24"/>
          <w:highlight w:val="none"/>
        </w:rPr>
      </w:pPr>
    </w:p>
    <w:p>
      <w:pPr>
        <w:pStyle w:val="42"/>
        <w:rPr>
          <w:rFonts w:hint="eastAsia" w:ascii="宋体" w:hAnsi="宋体" w:eastAsia="宋体" w:cs="宋体"/>
          <w:color w:val="auto"/>
          <w:szCs w:val="24"/>
          <w:highlight w:val="none"/>
        </w:rPr>
      </w:pPr>
    </w:p>
    <w:p>
      <w:pPr>
        <w:pStyle w:val="3"/>
        <w:keepNext/>
        <w:keepLines/>
        <w:pageBreakBefore w:val="0"/>
        <w:widowControl w:val="0"/>
        <w:kinsoku/>
        <w:wordWrap/>
        <w:overflowPunct/>
        <w:topLinePunct w:val="0"/>
        <w:autoSpaceDE/>
        <w:autoSpaceDN/>
        <w:bidi w:val="0"/>
        <w:adjustRightInd/>
        <w:snapToGrid/>
        <w:spacing w:before="20" w:after="20" w:line="360" w:lineRule="auto"/>
        <w:textAlignment w:val="auto"/>
        <w:rPr>
          <w:color w:val="auto"/>
          <w:highlight w:val="none"/>
        </w:rPr>
      </w:pPr>
      <w:bookmarkStart w:id="5" w:name="_Toc645"/>
      <w:bookmarkStart w:id="6" w:name="_Toc29029"/>
      <w:bookmarkStart w:id="7" w:name="_Toc16903"/>
      <w:r>
        <w:rPr>
          <w:rFonts w:hint="eastAsia"/>
          <w:color w:val="auto"/>
          <w:sz w:val="32"/>
          <w:szCs w:val="40"/>
          <w:highlight w:val="none"/>
        </w:rPr>
        <w:t>第一章 竞争性磋商公告</w:t>
      </w:r>
      <w:bookmarkEnd w:id="0"/>
      <w:bookmarkEnd w:id="1"/>
      <w:bookmarkEnd w:id="2"/>
      <w:bookmarkEnd w:id="3"/>
      <w:bookmarkEnd w:id="4"/>
      <w:bookmarkEnd w:id="5"/>
      <w:bookmarkEnd w:id="6"/>
      <w:bookmarkEnd w:id="7"/>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 w:lineRule="atLeast"/>
        <w:ind w:left="0" w:right="0"/>
        <w:jc w:val="left"/>
        <w:rPr>
          <w:b w:val="0"/>
          <w:bCs w:val="0"/>
          <w:color w:val="auto"/>
          <w:sz w:val="21"/>
          <w:szCs w:val="21"/>
        </w:rPr>
      </w:pPr>
      <w:bookmarkStart w:id="8" w:name="_Toc24110"/>
      <w:r>
        <w:rPr>
          <w:rStyle w:val="29"/>
          <w:b/>
          <w:bCs/>
          <w:i w:val="0"/>
          <w:iCs w:val="0"/>
          <w:caps w:val="0"/>
          <w:color w:val="auto"/>
          <w:spacing w:val="0"/>
          <w:sz w:val="21"/>
          <w:szCs w:val="21"/>
          <w:shd w:val="clear" w:fill="FFFFFF"/>
        </w:rPr>
        <w:t>项目概况</w:t>
      </w:r>
    </w:p>
    <w:p>
      <w:pPr>
        <w:pStyle w:val="22"/>
        <w:keepNext w:val="0"/>
        <w:keepLines w:val="0"/>
        <w:widowControl/>
        <w:suppressLineNumbers w:val="0"/>
        <w:pBdr>
          <w:top w:val="single" w:color="auto" w:sz="4" w:space="0"/>
          <w:left w:val="single" w:color="auto" w:sz="4" w:space="0"/>
          <w:bottom w:val="single" w:color="auto" w:sz="4" w:space="0"/>
          <w:right w:val="single" w:color="auto" w:sz="4" w:space="0"/>
        </w:pBdr>
        <w:spacing w:before="150" w:beforeAutospacing="0" w:after="150" w:afterAutospacing="0" w:line="480" w:lineRule="atLeast"/>
        <w:ind w:left="0" w:right="0" w:firstLine="480"/>
        <w:jc w:val="both"/>
        <w:rPr>
          <w:color w:val="auto"/>
          <w:sz w:val="21"/>
          <w:szCs w:val="21"/>
        </w:rPr>
      </w:pPr>
      <w:r>
        <w:rPr>
          <w:rFonts w:ascii="微软雅黑" w:hAnsi="微软雅黑" w:eastAsia="微软雅黑" w:cs="微软雅黑"/>
          <w:i w:val="0"/>
          <w:iCs w:val="0"/>
          <w:caps w:val="0"/>
          <w:color w:val="auto"/>
          <w:spacing w:val="0"/>
          <w:sz w:val="21"/>
          <w:szCs w:val="21"/>
          <w:shd w:val="clear" w:fill="FFFFFF"/>
        </w:rPr>
        <w:t>神木市2023年沿黄防护林提质增效和高质量发展试点工程监理</w:t>
      </w:r>
      <w:r>
        <w:rPr>
          <w:rFonts w:hint="eastAsia" w:ascii="微软雅黑" w:hAnsi="微软雅黑" w:eastAsia="微软雅黑" w:cs="微软雅黑"/>
          <w:i w:val="0"/>
          <w:iCs w:val="0"/>
          <w:caps w:val="0"/>
          <w:color w:val="auto"/>
          <w:spacing w:val="0"/>
          <w:sz w:val="21"/>
          <w:szCs w:val="21"/>
          <w:shd w:val="clear" w:fill="FFFFFF"/>
        </w:rPr>
        <w:t>采购项目的潜在供应商应在登录全国公共资源交易中心平台（陕西省）使用CA锁报名后自行下载获取采购文件，并于 2023年05月10日 13时30分 （北京时间）前提交响应文件。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微软雅黑" w:hAnsi="微软雅黑" w:eastAsia="微软雅黑" w:cs="微软雅黑"/>
          <w:b w:val="0"/>
          <w:bCs w:val="0"/>
          <w:i w:val="0"/>
          <w:iCs w:val="0"/>
          <w:caps w:val="0"/>
          <w:color w:val="auto"/>
          <w:spacing w:val="0"/>
          <w:sz w:val="21"/>
          <w:szCs w:val="21"/>
        </w:rPr>
      </w:pPr>
      <w:r>
        <w:rPr>
          <w:rStyle w:val="29"/>
          <w:rFonts w:hint="eastAsia" w:ascii="微软雅黑" w:hAnsi="微软雅黑" w:eastAsia="微软雅黑" w:cs="微软雅黑"/>
          <w:b/>
          <w:bCs/>
          <w:i w:val="0"/>
          <w:iCs w:val="0"/>
          <w:caps w:val="0"/>
          <w:color w:val="auto"/>
          <w:spacing w:val="0"/>
          <w:sz w:val="21"/>
          <w:szCs w:val="21"/>
          <w:shd w:val="clear" w:fill="FFFFFF"/>
        </w:rPr>
        <w:t>一、项目基本情况</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项目编号：SXMLCG2023-09</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项目名称：神木市2023年沿黄防护林提质增效和高质量发展试点工程监理</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采购方式：竞争性磋商</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预算金额：740,000.00元</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采购需求：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合同包1(神木市2023年沿黄防护林提质增效和高质量发展试点工程监理的采购项目):</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合同包预算金额：740,000.00元</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合同包最高限价：740,000.00元</w:t>
      </w:r>
    </w:p>
    <w:tbl>
      <w:tblPr>
        <w:tblStyle w:val="26"/>
        <w:tblW w:w="4998"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489"/>
        <w:gridCol w:w="2221"/>
        <w:gridCol w:w="2221"/>
        <w:gridCol w:w="662"/>
        <w:gridCol w:w="1417"/>
        <w:gridCol w:w="1290"/>
        <w:gridCol w:w="129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trPr>
        <w:tc>
          <w:tcPr>
            <w:tcW w:w="32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color w:val="auto"/>
                <w:sz w:val="21"/>
                <w:szCs w:val="21"/>
              </w:rPr>
            </w:pPr>
            <w:r>
              <w:rPr>
                <w:rFonts w:ascii="宋体" w:hAnsi="宋体" w:eastAsia="宋体" w:cs="宋体"/>
                <w:b/>
                <w:bCs/>
                <w:color w:val="auto"/>
                <w:kern w:val="0"/>
                <w:sz w:val="21"/>
                <w:szCs w:val="21"/>
                <w:lang w:val="en-US" w:eastAsia="zh-CN" w:bidi="ar"/>
              </w:rPr>
              <w:t>品目号</w:t>
            </w:r>
          </w:p>
        </w:tc>
        <w:tc>
          <w:tcPr>
            <w:tcW w:w="122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color w:val="auto"/>
                <w:sz w:val="21"/>
                <w:szCs w:val="21"/>
              </w:rPr>
            </w:pPr>
            <w:r>
              <w:rPr>
                <w:rFonts w:ascii="宋体" w:hAnsi="宋体" w:eastAsia="宋体" w:cs="宋体"/>
                <w:b/>
                <w:bCs/>
                <w:color w:val="auto"/>
                <w:kern w:val="0"/>
                <w:sz w:val="21"/>
                <w:szCs w:val="21"/>
                <w:lang w:val="en-US" w:eastAsia="zh-CN" w:bidi="ar"/>
              </w:rPr>
              <w:t>品目名称</w:t>
            </w:r>
          </w:p>
        </w:tc>
        <w:tc>
          <w:tcPr>
            <w:tcW w:w="122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color w:val="auto"/>
                <w:sz w:val="21"/>
                <w:szCs w:val="21"/>
              </w:rPr>
            </w:pPr>
            <w:r>
              <w:rPr>
                <w:rFonts w:ascii="宋体" w:hAnsi="宋体" w:eastAsia="宋体" w:cs="宋体"/>
                <w:b/>
                <w:bCs/>
                <w:color w:val="auto"/>
                <w:kern w:val="0"/>
                <w:sz w:val="21"/>
                <w:szCs w:val="21"/>
                <w:lang w:val="en-US" w:eastAsia="zh-CN" w:bidi="ar"/>
              </w:rPr>
              <w:t>采购标的</w:t>
            </w:r>
          </w:p>
        </w:tc>
        <w:tc>
          <w:tcPr>
            <w:tcW w:w="40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color w:val="auto"/>
                <w:sz w:val="21"/>
                <w:szCs w:val="21"/>
              </w:rPr>
            </w:pPr>
            <w:r>
              <w:rPr>
                <w:rFonts w:ascii="宋体" w:hAnsi="宋体" w:eastAsia="宋体" w:cs="宋体"/>
                <w:b/>
                <w:bCs/>
                <w:color w:val="auto"/>
                <w:kern w:val="0"/>
                <w:sz w:val="21"/>
                <w:szCs w:val="21"/>
                <w:lang w:val="en-US" w:eastAsia="zh-CN" w:bidi="ar"/>
              </w:rPr>
              <w:t>数量（单位）</w:t>
            </w:r>
          </w:p>
        </w:tc>
        <w:tc>
          <w:tcPr>
            <w:tcW w:w="81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color w:val="auto"/>
                <w:sz w:val="21"/>
                <w:szCs w:val="21"/>
              </w:rPr>
            </w:pPr>
            <w:r>
              <w:rPr>
                <w:rFonts w:ascii="宋体" w:hAnsi="宋体" w:eastAsia="宋体" w:cs="宋体"/>
                <w:b/>
                <w:bCs/>
                <w:color w:val="auto"/>
                <w:kern w:val="0"/>
                <w:sz w:val="21"/>
                <w:szCs w:val="21"/>
                <w:lang w:val="en-US" w:eastAsia="zh-CN" w:bidi="ar"/>
              </w:rPr>
              <w:t>技术规格、参数及要求</w:t>
            </w:r>
          </w:p>
        </w:tc>
        <w:tc>
          <w:tcPr>
            <w:tcW w:w="49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color w:val="auto"/>
                <w:sz w:val="21"/>
                <w:szCs w:val="21"/>
              </w:rPr>
            </w:pPr>
            <w:r>
              <w:rPr>
                <w:rFonts w:ascii="宋体" w:hAnsi="宋体" w:eastAsia="宋体" w:cs="宋体"/>
                <w:b/>
                <w:bCs/>
                <w:color w:val="auto"/>
                <w:kern w:val="0"/>
                <w:sz w:val="21"/>
                <w:szCs w:val="21"/>
                <w:lang w:val="en-US" w:eastAsia="zh-CN" w:bidi="ar"/>
              </w:rPr>
              <w:t>品目预算(元)</w:t>
            </w:r>
          </w:p>
        </w:tc>
        <w:tc>
          <w:tcPr>
            <w:tcW w:w="49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color w:val="auto"/>
                <w:sz w:val="21"/>
                <w:szCs w:val="21"/>
              </w:rPr>
            </w:pPr>
            <w:r>
              <w:rPr>
                <w:rFonts w:ascii="宋体" w:hAnsi="宋体" w:eastAsia="宋体" w:cs="宋体"/>
                <w:b/>
                <w:bCs/>
                <w:color w:val="auto"/>
                <w:kern w:val="0"/>
                <w:sz w:val="21"/>
                <w:szCs w:val="21"/>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2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color w:val="auto"/>
                <w:sz w:val="21"/>
                <w:szCs w:val="21"/>
              </w:rPr>
            </w:pPr>
            <w:r>
              <w:rPr>
                <w:rFonts w:ascii="宋体" w:hAnsi="宋体" w:eastAsia="宋体" w:cs="宋体"/>
                <w:color w:val="auto"/>
                <w:kern w:val="0"/>
                <w:sz w:val="21"/>
                <w:szCs w:val="21"/>
                <w:lang w:val="en-US" w:eastAsia="zh-CN" w:bidi="ar"/>
              </w:rPr>
              <w:t>1-1</w:t>
            </w:r>
          </w:p>
        </w:tc>
        <w:tc>
          <w:tcPr>
            <w:tcW w:w="122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color w:val="auto"/>
                <w:sz w:val="21"/>
                <w:szCs w:val="21"/>
              </w:rPr>
            </w:pPr>
            <w:r>
              <w:rPr>
                <w:rFonts w:ascii="宋体" w:hAnsi="宋体" w:eastAsia="宋体" w:cs="宋体"/>
                <w:color w:val="auto"/>
                <w:kern w:val="0"/>
                <w:sz w:val="21"/>
                <w:szCs w:val="21"/>
                <w:lang w:val="en-US" w:eastAsia="zh-CN" w:bidi="ar"/>
              </w:rPr>
              <w:t>工程监理服务</w:t>
            </w:r>
          </w:p>
        </w:tc>
        <w:tc>
          <w:tcPr>
            <w:tcW w:w="122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color w:val="auto"/>
                <w:sz w:val="21"/>
                <w:szCs w:val="21"/>
              </w:rPr>
            </w:pPr>
            <w:r>
              <w:rPr>
                <w:rFonts w:ascii="宋体" w:hAnsi="宋体" w:eastAsia="宋体" w:cs="宋体"/>
                <w:color w:val="auto"/>
                <w:kern w:val="0"/>
                <w:sz w:val="21"/>
                <w:szCs w:val="21"/>
                <w:lang w:val="en-US" w:eastAsia="zh-CN" w:bidi="ar"/>
              </w:rPr>
              <w:t>工程监理</w:t>
            </w:r>
          </w:p>
        </w:tc>
        <w:tc>
          <w:tcPr>
            <w:tcW w:w="40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color w:val="auto"/>
                <w:sz w:val="21"/>
                <w:szCs w:val="21"/>
              </w:rPr>
            </w:pPr>
            <w:r>
              <w:rPr>
                <w:rFonts w:ascii="宋体" w:hAnsi="宋体" w:eastAsia="宋体" w:cs="宋体"/>
                <w:color w:val="auto"/>
                <w:kern w:val="0"/>
                <w:sz w:val="21"/>
                <w:szCs w:val="21"/>
                <w:lang w:val="en-US" w:eastAsia="zh-CN" w:bidi="ar"/>
              </w:rPr>
              <w:t>1(项)</w:t>
            </w:r>
          </w:p>
        </w:tc>
        <w:tc>
          <w:tcPr>
            <w:tcW w:w="81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color w:val="auto"/>
                <w:sz w:val="21"/>
                <w:szCs w:val="21"/>
              </w:rPr>
            </w:pPr>
            <w:r>
              <w:rPr>
                <w:rFonts w:ascii="宋体" w:hAnsi="宋体" w:eastAsia="宋体" w:cs="宋体"/>
                <w:color w:val="auto"/>
                <w:kern w:val="0"/>
                <w:sz w:val="21"/>
                <w:szCs w:val="21"/>
                <w:lang w:val="en-US" w:eastAsia="zh-CN" w:bidi="ar"/>
              </w:rPr>
              <w:t>详见采购文件</w:t>
            </w:r>
          </w:p>
        </w:tc>
        <w:tc>
          <w:tcPr>
            <w:tcW w:w="49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rPr>
                <w:color w:val="auto"/>
                <w:sz w:val="21"/>
                <w:szCs w:val="21"/>
              </w:rPr>
            </w:pPr>
            <w:r>
              <w:rPr>
                <w:rFonts w:ascii="宋体" w:hAnsi="宋体" w:eastAsia="宋体" w:cs="宋体"/>
                <w:color w:val="auto"/>
                <w:kern w:val="0"/>
                <w:sz w:val="21"/>
                <w:szCs w:val="21"/>
                <w:lang w:val="en-US" w:eastAsia="zh-CN" w:bidi="ar"/>
              </w:rPr>
              <w:t>740,000.00</w:t>
            </w:r>
          </w:p>
        </w:tc>
        <w:tc>
          <w:tcPr>
            <w:tcW w:w="49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rPr>
                <w:color w:val="auto"/>
                <w:sz w:val="21"/>
                <w:szCs w:val="21"/>
              </w:rPr>
            </w:pPr>
            <w:r>
              <w:rPr>
                <w:rFonts w:ascii="宋体" w:hAnsi="宋体" w:eastAsia="宋体" w:cs="宋体"/>
                <w:color w:val="auto"/>
                <w:kern w:val="0"/>
                <w:sz w:val="21"/>
                <w:szCs w:val="21"/>
                <w:lang w:val="en-US" w:eastAsia="zh-CN" w:bidi="ar"/>
              </w:rPr>
              <w:t>740,000.00</w:t>
            </w:r>
          </w:p>
        </w:tc>
      </w:tr>
    </w:tbl>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本合同包不接受联合体投标</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合同履行期限：90日历天</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微软雅黑" w:hAnsi="微软雅黑" w:eastAsia="微软雅黑" w:cs="微软雅黑"/>
          <w:b w:val="0"/>
          <w:bCs w:val="0"/>
          <w:i w:val="0"/>
          <w:iCs w:val="0"/>
          <w:caps w:val="0"/>
          <w:color w:val="auto"/>
          <w:spacing w:val="0"/>
          <w:sz w:val="21"/>
          <w:szCs w:val="21"/>
        </w:rPr>
      </w:pPr>
      <w:r>
        <w:rPr>
          <w:rStyle w:val="29"/>
          <w:rFonts w:hint="eastAsia" w:ascii="微软雅黑" w:hAnsi="微软雅黑" w:eastAsia="微软雅黑" w:cs="微软雅黑"/>
          <w:b/>
          <w:bCs/>
          <w:i w:val="0"/>
          <w:iCs w:val="0"/>
          <w:caps w:val="0"/>
          <w:color w:val="auto"/>
          <w:spacing w:val="0"/>
          <w:sz w:val="21"/>
          <w:szCs w:val="21"/>
          <w:shd w:val="clear" w:fill="FFFFFF"/>
        </w:rPr>
        <w:t>二、申请人的资格要求：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1.满足《中华人民共和国政府采购法》第二十二条规定;</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2.落实政府采购政策需满足的资格要求：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合同包1(神木市2023年沿黄防护林提质增效和高质量发展试点工程监理的采购项目)落实政府采购政策需满足的资格要求如下:</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①《节能产品政府采购实施意见》（财库〔2004〕185号）；②《环境标志产品政府采购实施的意见》（财库〔2006〕90号）；③《国务院办公厅关于建立政府强制采购节能产品制度的通知》（国办发〔2007〕51号）；④《榆林市财政局关于进一步加大政府采购支持中小企业力度的通知》 陕财办采函〔2022〕10号；⑤《政府采购促进中小企业发展管理办法》（财库〔2020〕46号）；⑥根据《陕西省财政厅关于进一步加大政府采购支持中小企业力度的通知》（陕财办采〔2022〕5号）；⑦陕西省财政厅关于印发《陕西省中小企业政府采购信用融资办法》（陕财办采〔2018〕23号）相关政策、业务流程、办理平台（http://www.ccgp-shaanxi.gov.cn/zcdservice/zcd/shanxi/）；⑧财政部司法部关于政府采购支持监狱企业发展有关问题的通知（财库〔2014〕68号）；⑨《财政部民政部中国残疾人联合会关于促进残疾人就业政府采购政策的通知》（财库〔2017〕141号）；⑩《关于在政府采购活动中查询及使用信用记录有关问题的通知》（财库〔2016〕125号）；⑪其他需要落实的政府采购政策。</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3.本项目的特定资格要求：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合同包1(神木市2023年沿黄防护林提质增效和高质量发展试点工程监理的采购项目)特定资格要求如下:</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①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②财务状况报告：提供近一年（2021年）经审计的财务报告（应包括审计报告、资产负债表和利润表、现金流量表）；成立时间至提交时间不足一年的，可提供成立后任意时段的资产负债表，或其开标前三个月内基本存款账户开户银行出具的资信证明，或财政部门认可的政府采购专业担保机构出具的投标担保函。</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③社会保障资金缴纳证明：提供2022年1月至今已缴存的至少一个月的社会保障资金银行缴费单据或社保机构开具的社会保险参保缴费情况证明，依法不需要缴纳社会保障资金的单位应提供相关证明材料；</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④税收缴纳证明：提供2022年1月至今已缴纳的至少一个月的纳税证明（银行缴费凭证）或完税证明，依法免税的单位应提供相关证明材料；</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⑤参加政府采购活动前三年内，在经营活动中没有重大违法记录的书面声明；</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⑥对列入“信用中国”网站(www.creditchina.gov.cn)“记录失信被执行人、重大税收违法失信主体、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中国政府采购网(www.ccgp.gov.cn)等网页截图及信用中国报告加盖投标人公章（鲜章）为准；</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⑦本项目采用“投标信用承诺书”代替投标保证金；</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⑧投标人需具备市政公用工程 工程监理乙级及以上资质。</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⑨法定代表人参加磋商的，提供本人身份证及法定代表人身份证明书，法定代表人授权他人参加磋商的，提供法定代表人授权委托书和被授权人在本单位的社保证明资料；</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⑩本项目专门面向中小企业采购，投标人须填写《中小企业声明函》；</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⑪本项目不接受联合体投标，单位负责人为同一人或者存在直接控股、管理关系的不同供应商，不得参加同一合同项下的政府采购活动（提供书面声明材料）。</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备注：事业单位法人参与投标可不提供财务状况报告和社会保障资金缴纳证明及税收缴纳证明。</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微软雅黑" w:hAnsi="微软雅黑" w:eastAsia="微软雅黑" w:cs="微软雅黑"/>
          <w:b w:val="0"/>
          <w:bCs w:val="0"/>
          <w:i w:val="0"/>
          <w:iCs w:val="0"/>
          <w:caps w:val="0"/>
          <w:color w:val="auto"/>
          <w:spacing w:val="0"/>
          <w:sz w:val="21"/>
          <w:szCs w:val="21"/>
        </w:rPr>
      </w:pPr>
      <w:r>
        <w:rPr>
          <w:rStyle w:val="29"/>
          <w:rFonts w:hint="eastAsia" w:ascii="微软雅黑" w:hAnsi="微软雅黑" w:eastAsia="微软雅黑" w:cs="微软雅黑"/>
          <w:b/>
          <w:bCs/>
          <w:i w:val="0"/>
          <w:iCs w:val="0"/>
          <w:caps w:val="0"/>
          <w:color w:val="auto"/>
          <w:spacing w:val="0"/>
          <w:sz w:val="21"/>
          <w:szCs w:val="21"/>
          <w:shd w:val="clear" w:fill="FFFFFF"/>
        </w:rPr>
        <w:t>三、获取采购文件</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时间： 2023年04月24日 至 2023年04月28日 ，每天上午 08:00:00 至 12:00:00 ，下午 12:00:00 至 18:00:00 （北京时间）</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途径：登录全国公共资源交易中心平台（陕西省）使用CA锁报名后自行下载</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方式：在线获取</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售价： 0元</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微软雅黑" w:hAnsi="微软雅黑" w:eastAsia="微软雅黑" w:cs="微软雅黑"/>
          <w:b w:val="0"/>
          <w:bCs w:val="0"/>
          <w:i w:val="0"/>
          <w:iCs w:val="0"/>
          <w:caps w:val="0"/>
          <w:color w:val="auto"/>
          <w:spacing w:val="0"/>
          <w:sz w:val="21"/>
          <w:szCs w:val="21"/>
        </w:rPr>
      </w:pPr>
      <w:r>
        <w:rPr>
          <w:rStyle w:val="29"/>
          <w:rFonts w:hint="eastAsia" w:ascii="微软雅黑" w:hAnsi="微软雅黑" w:eastAsia="微软雅黑" w:cs="微软雅黑"/>
          <w:b/>
          <w:bCs/>
          <w:i w:val="0"/>
          <w:iCs w:val="0"/>
          <w:caps w:val="0"/>
          <w:color w:val="auto"/>
          <w:spacing w:val="0"/>
          <w:sz w:val="21"/>
          <w:szCs w:val="21"/>
          <w:shd w:val="clear" w:fill="FFFFFF"/>
        </w:rPr>
        <w:t>四、响应文件提交</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截止时间： 2023年05月10日 13时30分00秒 （北京时间）</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地点：网上递交</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微软雅黑" w:hAnsi="微软雅黑" w:eastAsia="微软雅黑" w:cs="微软雅黑"/>
          <w:b w:val="0"/>
          <w:bCs w:val="0"/>
          <w:i w:val="0"/>
          <w:iCs w:val="0"/>
          <w:caps w:val="0"/>
          <w:color w:val="auto"/>
          <w:spacing w:val="0"/>
          <w:sz w:val="21"/>
          <w:szCs w:val="21"/>
        </w:rPr>
      </w:pPr>
      <w:r>
        <w:rPr>
          <w:rStyle w:val="29"/>
          <w:rFonts w:hint="eastAsia" w:ascii="微软雅黑" w:hAnsi="微软雅黑" w:eastAsia="微软雅黑" w:cs="微软雅黑"/>
          <w:b/>
          <w:bCs/>
          <w:i w:val="0"/>
          <w:iCs w:val="0"/>
          <w:caps w:val="0"/>
          <w:color w:val="auto"/>
          <w:spacing w:val="0"/>
          <w:sz w:val="21"/>
          <w:szCs w:val="21"/>
          <w:shd w:val="clear" w:fill="FFFFFF"/>
        </w:rPr>
        <w:t>五、开启</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时间： 2023年05月10日 13时30分00秒 （北京时间）</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地点：榆林市公共资源交易中心十楼不见面开标7室</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微软雅黑" w:hAnsi="微软雅黑" w:eastAsia="微软雅黑" w:cs="微软雅黑"/>
          <w:b w:val="0"/>
          <w:bCs w:val="0"/>
          <w:i w:val="0"/>
          <w:iCs w:val="0"/>
          <w:caps w:val="0"/>
          <w:color w:val="auto"/>
          <w:spacing w:val="0"/>
          <w:sz w:val="21"/>
          <w:szCs w:val="21"/>
        </w:rPr>
      </w:pPr>
      <w:r>
        <w:rPr>
          <w:rStyle w:val="29"/>
          <w:rFonts w:hint="eastAsia" w:ascii="微软雅黑" w:hAnsi="微软雅黑" w:eastAsia="微软雅黑" w:cs="微软雅黑"/>
          <w:b/>
          <w:bCs/>
          <w:i w:val="0"/>
          <w:iCs w:val="0"/>
          <w:caps w:val="0"/>
          <w:color w:val="auto"/>
          <w:spacing w:val="0"/>
          <w:sz w:val="21"/>
          <w:szCs w:val="21"/>
          <w:shd w:val="clear" w:fill="FFFFFF"/>
        </w:rPr>
        <w:t>六、公告期限</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自本公告发布之日起3个工作日。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微软雅黑" w:hAnsi="微软雅黑" w:eastAsia="微软雅黑" w:cs="微软雅黑"/>
          <w:b w:val="0"/>
          <w:bCs w:val="0"/>
          <w:i w:val="0"/>
          <w:iCs w:val="0"/>
          <w:caps w:val="0"/>
          <w:color w:val="auto"/>
          <w:spacing w:val="0"/>
          <w:sz w:val="21"/>
          <w:szCs w:val="21"/>
        </w:rPr>
      </w:pPr>
      <w:r>
        <w:rPr>
          <w:rStyle w:val="29"/>
          <w:rFonts w:hint="eastAsia" w:ascii="微软雅黑" w:hAnsi="微软雅黑" w:eastAsia="微软雅黑" w:cs="微软雅黑"/>
          <w:b/>
          <w:bCs/>
          <w:i w:val="0"/>
          <w:iCs w:val="0"/>
          <w:caps w:val="0"/>
          <w:color w:val="auto"/>
          <w:spacing w:val="0"/>
          <w:sz w:val="21"/>
          <w:szCs w:val="21"/>
          <w:shd w:val="clear" w:fill="FFFFFF"/>
        </w:rPr>
        <w:t>七、其他补充事宜</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1）供应商须按照陕西省财政厅关于政府采购供应商注册登记有关事项的通知中的要求，通过陕西省政府采购网（http://www.ccgp-shaanxi.gov.cn/）注册登记加入陕西省政府采购供应商库；（2）供应商初次使用交易平台，须先完成诚信入库登记、CA锁认证及企业信息绑定。相关操作流程详见全国公共资源交易平台（陕西省）网站首页“服务指南”下载专区中的《陕西省公共资源交易中心政府采购项目投标指南》。（3）特别提醒：本项目采用电子化不见面开标方式，供应商使用数字认证证书（CA 锁）对响应文件进行签章、加密、上传、签到、解密。不见面开标系统的签到和响应文件解密事宜请登录全国公共资源交易平台（陕西省˙榆林市）（http://yl.sxggzyjy.cn/），选择“服务指南”，点击“下载专区”，点击榆林不见面开标系统操作手册（投标人）、榆林不见面开标大厅投标人询标操作手册 V1.0，请供应商仔细阅读操作手册，了解操作流程，熟练掌握不见面开标、不见面询标操作相关事宜，若无法正常投标，供应商自行承担责任。 电子响应文件制作软件技术支持热线：400-998-0000 CA锁购买：榆林市市民大厦四楼窗口,电话：0912-3515031。（4）投标人应随时关注发布的变更公告，当澄清或修改的内容影响投标文件编制时，将在交易平台上同步发布答疑文件，此时投标人应从“项目流程·〉答疑文件下载”下载最新发布的答疑文件（*.SXSCF格式），并使用该文件重新编制电子投标文件（*.SXSTF格式），使用旧版电子招标文件或旧版答疑文件制作的电子投标文件，系统将拒绝接收。各投标人在提交投标文件截止时间之前，应随时关注发布的变更公告，代理公司不再单独通知，因投标人未及时关注所造成的一切后果由投标人自行承担。</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微软雅黑" w:hAnsi="微软雅黑" w:eastAsia="微软雅黑" w:cs="微软雅黑"/>
          <w:b w:val="0"/>
          <w:bCs w:val="0"/>
          <w:i w:val="0"/>
          <w:iCs w:val="0"/>
          <w:caps w:val="0"/>
          <w:color w:val="auto"/>
          <w:spacing w:val="0"/>
          <w:sz w:val="21"/>
          <w:szCs w:val="21"/>
        </w:rPr>
      </w:pPr>
      <w:r>
        <w:rPr>
          <w:rStyle w:val="29"/>
          <w:rFonts w:hint="eastAsia" w:ascii="微软雅黑" w:hAnsi="微软雅黑" w:eastAsia="微软雅黑" w:cs="微软雅黑"/>
          <w:b/>
          <w:bCs/>
          <w:i w:val="0"/>
          <w:iCs w:val="0"/>
          <w:caps w:val="0"/>
          <w:color w:val="auto"/>
          <w:spacing w:val="0"/>
          <w:sz w:val="21"/>
          <w:szCs w:val="21"/>
          <w:shd w:val="clear" w:fill="FFFFFF"/>
        </w:rPr>
        <w:t>八、对本次招标提出询问，请按以下方式联系。</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rPr>
          <w:b w:val="0"/>
          <w:bCs w:val="0"/>
          <w:color w:val="auto"/>
          <w:sz w:val="21"/>
          <w:szCs w:val="21"/>
        </w:rPr>
      </w:pPr>
      <w:r>
        <w:rPr>
          <w:b w:val="0"/>
          <w:bCs w:val="0"/>
          <w:i w:val="0"/>
          <w:iCs w:val="0"/>
          <w:caps w:val="0"/>
          <w:color w:val="auto"/>
          <w:spacing w:val="0"/>
          <w:sz w:val="21"/>
          <w:szCs w:val="21"/>
          <w:shd w:val="clear" w:fill="FFFFFF"/>
        </w:rPr>
        <w:t>1.采购人信息</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名称：神木市林业局</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地址：神木东兴街中段路西78号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联系方式：13992295653</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rPr>
          <w:b w:val="0"/>
          <w:bCs w:val="0"/>
          <w:color w:val="auto"/>
          <w:sz w:val="21"/>
          <w:szCs w:val="21"/>
        </w:rPr>
      </w:pPr>
      <w:r>
        <w:rPr>
          <w:b w:val="0"/>
          <w:bCs w:val="0"/>
          <w:i w:val="0"/>
          <w:iCs w:val="0"/>
          <w:caps w:val="0"/>
          <w:color w:val="auto"/>
          <w:spacing w:val="0"/>
          <w:sz w:val="21"/>
          <w:szCs w:val="21"/>
          <w:shd w:val="clear" w:fill="FFFFFF"/>
        </w:rPr>
        <w:t>2.采购代理机构信息</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名称：陕西曼力工程管理咨询有限公司</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地址：陕西省榆林市神木市陕西省榆林市神木市神木镇神木镇人民路社区人民路小区二区5号楼1002</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联系方式：13310991595</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rPr>
          <w:b w:val="0"/>
          <w:bCs w:val="0"/>
          <w:color w:val="auto"/>
          <w:sz w:val="21"/>
          <w:szCs w:val="21"/>
        </w:rPr>
      </w:pPr>
      <w:r>
        <w:rPr>
          <w:b w:val="0"/>
          <w:bCs w:val="0"/>
          <w:i w:val="0"/>
          <w:iCs w:val="0"/>
          <w:caps w:val="0"/>
          <w:color w:val="auto"/>
          <w:spacing w:val="0"/>
          <w:sz w:val="21"/>
          <w:szCs w:val="21"/>
          <w:shd w:val="clear" w:fill="FFFFFF"/>
        </w:rPr>
        <w:t>3.项目联系方式</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项目联系人：赵永平</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电话：13310991595</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陕西曼力工程管理咨询有限公司</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2023年04月23日</w:t>
      </w:r>
    </w:p>
    <w:p>
      <w:pPr>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rPr>
          <w:color w:val="auto"/>
          <w:highlight w:val="none"/>
        </w:rPr>
      </w:pPr>
      <w:bookmarkStart w:id="9" w:name="_Toc1243"/>
      <w:bookmarkStart w:id="10" w:name="_Toc27856"/>
      <w:bookmarkStart w:id="11" w:name="_Toc9739"/>
      <w:r>
        <w:rPr>
          <w:rFonts w:hint="eastAsia"/>
          <w:color w:val="auto"/>
          <w:sz w:val="32"/>
          <w:szCs w:val="40"/>
          <w:highlight w:val="none"/>
          <w:lang w:val="en-US" w:eastAsia="zh-CN"/>
        </w:rPr>
        <w:t xml:space="preserve">第二章 </w:t>
      </w:r>
      <w:r>
        <w:rPr>
          <w:rFonts w:hint="eastAsia"/>
          <w:color w:val="auto"/>
          <w:sz w:val="32"/>
          <w:szCs w:val="40"/>
          <w:highlight w:val="none"/>
        </w:rPr>
        <w:t>供应商须知</w:t>
      </w:r>
      <w:bookmarkEnd w:id="8"/>
      <w:bookmarkEnd w:id="9"/>
      <w:bookmarkEnd w:id="10"/>
      <w:bookmarkEnd w:id="11"/>
    </w:p>
    <w:p>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ascii="宋体" w:hAnsi="宋体" w:eastAsia="宋体" w:cs="宋体"/>
          <w:color w:val="auto"/>
          <w:sz w:val="15"/>
          <w:szCs w:val="15"/>
          <w:highlight w:val="none"/>
        </w:rPr>
      </w:pPr>
      <w:bookmarkStart w:id="12" w:name="_Toc18614"/>
      <w:bookmarkStart w:id="13" w:name="_Toc25795"/>
      <w:bookmarkStart w:id="14" w:name="_Toc909"/>
      <w:bookmarkStart w:id="15" w:name="_Toc7032"/>
      <w:bookmarkStart w:id="16" w:name="_Toc21011"/>
      <w:bookmarkStart w:id="17" w:name="_Toc26603"/>
      <w:bookmarkStart w:id="18" w:name="_Toc12137"/>
      <w:bookmarkStart w:id="19" w:name="_Toc30624"/>
      <w:bookmarkStart w:id="20" w:name="_Toc6319"/>
      <w:bookmarkStart w:id="21" w:name="_Toc13869"/>
      <w:bookmarkStart w:id="22" w:name="_Toc27588"/>
      <w:r>
        <w:rPr>
          <w:rFonts w:hint="eastAsia" w:ascii="宋体" w:hAnsi="宋体" w:eastAsia="宋体" w:cs="宋体"/>
          <w:color w:val="auto"/>
          <w:sz w:val="28"/>
          <w:szCs w:val="28"/>
          <w:highlight w:val="none"/>
        </w:rPr>
        <w:t>供应商须知前附表</w:t>
      </w:r>
      <w:bookmarkEnd w:id="12"/>
      <w:bookmarkEnd w:id="13"/>
      <w:bookmarkEnd w:id="14"/>
      <w:bookmarkEnd w:id="15"/>
      <w:bookmarkEnd w:id="16"/>
      <w:bookmarkEnd w:id="17"/>
      <w:bookmarkEnd w:id="18"/>
      <w:bookmarkEnd w:id="19"/>
      <w:bookmarkEnd w:id="20"/>
      <w:bookmarkEnd w:id="21"/>
      <w:bookmarkEnd w:id="22"/>
    </w:p>
    <w:tbl>
      <w:tblPr>
        <w:tblStyle w:val="26"/>
        <w:tblW w:w="989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2193"/>
        <w:gridCol w:w="6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bottom"/>
          </w:tcPr>
          <w:p>
            <w:pPr>
              <w:keepNext w:val="0"/>
              <w:keepLines w:val="0"/>
              <w:pageBreakBefore w:val="0"/>
              <w:overflowPunct/>
              <w:topLinePunct w:val="0"/>
              <w:bidi w:val="0"/>
              <w:adjustRightInd/>
              <w:spacing w:line="360" w:lineRule="auto"/>
              <w:jc w:val="center"/>
              <w:rPr>
                <w:rFonts w:ascii="宋体" w:hAnsi="宋体" w:cs="宋体"/>
                <w:b/>
                <w:color w:val="auto"/>
                <w:szCs w:val="24"/>
                <w:highlight w:val="none"/>
              </w:rPr>
            </w:pPr>
            <w:r>
              <w:rPr>
                <w:rFonts w:hint="eastAsia" w:ascii="宋体" w:hAnsi="宋体" w:cs="宋体"/>
                <w:b/>
                <w:color w:val="auto"/>
                <w:szCs w:val="24"/>
                <w:highlight w:val="none"/>
              </w:rPr>
              <w:t>序号</w:t>
            </w:r>
          </w:p>
        </w:tc>
        <w:tc>
          <w:tcPr>
            <w:tcW w:w="2193" w:type="dxa"/>
            <w:vAlign w:val="bottom"/>
          </w:tcPr>
          <w:p>
            <w:pPr>
              <w:keepNext w:val="0"/>
              <w:keepLines w:val="0"/>
              <w:pageBreakBefore w:val="0"/>
              <w:overflowPunct/>
              <w:topLinePunct w:val="0"/>
              <w:bidi w:val="0"/>
              <w:adjustRightInd/>
              <w:spacing w:line="360" w:lineRule="auto"/>
              <w:jc w:val="center"/>
              <w:rPr>
                <w:rFonts w:ascii="宋体" w:hAnsi="宋体" w:cs="宋体"/>
                <w:b/>
                <w:color w:val="auto"/>
                <w:szCs w:val="24"/>
                <w:highlight w:val="none"/>
              </w:rPr>
            </w:pPr>
            <w:r>
              <w:rPr>
                <w:rFonts w:hint="eastAsia" w:ascii="宋体" w:hAnsi="宋体" w:cs="宋体"/>
                <w:b/>
                <w:color w:val="auto"/>
                <w:szCs w:val="24"/>
                <w:highlight w:val="none"/>
              </w:rPr>
              <w:t>条款名称</w:t>
            </w:r>
          </w:p>
        </w:tc>
        <w:tc>
          <w:tcPr>
            <w:tcW w:w="6998" w:type="dxa"/>
            <w:vAlign w:val="bottom"/>
          </w:tcPr>
          <w:p>
            <w:pPr>
              <w:keepNext w:val="0"/>
              <w:keepLines w:val="0"/>
              <w:pageBreakBefore w:val="0"/>
              <w:overflowPunct/>
              <w:topLinePunct w:val="0"/>
              <w:bidi w:val="0"/>
              <w:adjustRightInd/>
              <w:spacing w:line="360" w:lineRule="auto"/>
              <w:jc w:val="center"/>
              <w:rPr>
                <w:rFonts w:ascii="宋体" w:hAnsi="宋体" w:cs="宋体"/>
                <w:b/>
                <w:color w:val="auto"/>
                <w:szCs w:val="24"/>
                <w:highlight w:val="none"/>
              </w:rPr>
            </w:pPr>
            <w:r>
              <w:rPr>
                <w:rFonts w:hint="eastAsia" w:ascii="宋体" w:hAnsi="宋体" w:cs="宋体"/>
                <w:b/>
                <w:color w:val="auto"/>
                <w:szCs w:val="24"/>
                <w:highlight w:val="none"/>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1</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采购人</w:t>
            </w:r>
          </w:p>
        </w:tc>
        <w:tc>
          <w:tcPr>
            <w:tcW w:w="6998" w:type="dxa"/>
          </w:tcPr>
          <w:p>
            <w:pPr>
              <w:keepNext w:val="0"/>
              <w:keepLines w:val="0"/>
              <w:pageBreakBefore w:val="0"/>
              <w:overflowPunct/>
              <w:topLinePunct w:val="0"/>
              <w:bidi w:val="0"/>
              <w:adjustRightInd/>
              <w:spacing w:line="360" w:lineRule="auto"/>
              <w:rPr>
                <w:rFonts w:hint="eastAsia" w:ascii="宋体" w:hAnsi="宋体" w:eastAsia="宋体" w:cs="宋体"/>
                <w:color w:val="auto"/>
                <w:highlight w:val="none"/>
                <w:lang w:eastAsia="zh-CN"/>
              </w:rPr>
            </w:pPr>
            <w:r>
              <w:rPr>
                <w:rFonts w:hint="eastAsia" w:ascii="宋体" w:hAnsi="宋体" w:cs="宋体"/>
                <w:color w:val="auto"/>
                <w:highlight w:val="none"/>
              </w:rPr>
              <w:t>采购人信息：</w:t>
            </w:r>
            <w:r>
              <w:rPr>
                <w:rFonts w:hint="eastAsia" w:ascii="宋体" w:hAnsi="宋体" w:cs="宋体"/>
                <w:color w:val="auto"/>
                <w:highlight w:val="none"/>
                <w:lang w:eastAsia="zh-CN"/>
              </w:rPr>
              <w:t>神木市林业局</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lang w:eastAsia="zh-CN"/>
              </w:rPr>
            </w:pPr>
            <w:r>
              <w:rPr>
                <w:rFonts w:hint="eastAsia" w:ascii="宋体" w:hAnsi="宋体" w:cs="宋体"/>
                <w:color w:val="auto"/>
                <w:highlight w:val="none"/>
              </w:rPr>
              <w:t>联系地址：</w:t>
            </w:r>
            <w:r>
              <w:rPr>
                <w:rFonts w:hint="eastAsia" w:ascii="宋体" w:hAnsi="宋体" w:cs="宋体"/>
                <w:sz w:val="24"/>
                <w:szCs w:val="24"/>
                <w:lang w:eastAsia="zh-CN"/>
              </w:rPr>
              <w:t>陕西省</w:t>
            </w:r>
            <w:r>
              <w:rPr>
                <w:rFonts w:hint="eastAsia" w:ascii="宋体" w:hAnsi="宋体" w:eastAsia="宋体" w:cs="宋体"/>
                <w:sz w:val="24"/>
                <w:szCs w:val="24"/>
              </w:rPr>
              <w:t>神木市</w:t>
            </w:r>
            <w:r>
              <w:rPr>
                <w:rFonts w:hint="eastAsia" w:ascii="宋体" w:hAnsi="宋体" w:cs="宋体"/>
                <w:sz w:val="24"/>
                <w:szCs w:val="24"/>
                <w:lang w:eastAsia="zh-CN"/>
              </w:rPr>
              <w:t>麟州街道东兴街中段</w:t>
            </w:r>
            <w:r>
              <w:rPr>
                <w:rFonts w:hint="eastAsia" w:ascii="宋体" w:hAnsi="宋体" w:cs="宋体"/>
                <w:sz w:val="24"/>
                <w:szCs w:val="24"/>
                <w:lang w:val="en-US" w:eastAsia="zh-CN"/>
              </w:rPr>
              <w:t>78号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auto"/>
                <w:highlight w:val="none"/>
                <w:lang w:val="en-US" w:eastAsia="zh-CN"/>
              </w:rPr>
            </w:pPr>
            <w:r>
              <w:rPr>
                <w:rFonts w:hint="eastAsia" w:ascii="宋体" w:hAnsi="宋体" w:cs="宋体"/>
                <w:color w:val="auto"/>
                <w:highlight w:val="none"/>
              </w:rPr>
              <w:t>联系电话：</w:t>
            </w:r>
            <w:r>
              <w:rPr>
                <w:rFonts w:hint="eastAsia" w:ascii="宋体" w:hAnsi="宋体" w:cs="宋体"/>
                <w:sz w:val="24"/>
                <w:szCs w:val="24"/>
                <w:lang w:val="en-US" w:eastAsia="zh-CN"/>
              </w:rPr>
              <w:t>13379392051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2</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采购代理机构</w:t>
            </w:r>
          </w:p>
        </w:tc>
        <w:tc>
          <w:tcPr>
            <w:tcW w:w="6998" w:type="dxa"/>
          </w:tcPr>
          <w:p>
            <w:pPr>
              <w:keepNext w:val="0"/>
              <w:keepLines w:val="0"/>
              <w:pageBreakBefore w:val="0"/>
              <w:overflowPunct/>
              <w:topLinePunct w:val="0"/>
              <w:bidi w:val="0"/>
              <w:adjustRightInd/>
              <w:spacing w:line="360" w:lineRule="auto"/>
              <w:rPr>
                <w:rFonts w:hint="eastAsia" w:ascii="宋体" w:hAnsi="宋体" w:cs="宋体"/>
                <w:color w:val="auto"/>
                <w:szCs w:val="24"/>
                <w:highlight w:val="none"/>
                <w:lang w:val="zh-CN"/>
              </w:rPr>
            </w:pPr>
            <w:r>
              <w:rPr>
                <w:rFonts w:hint="eastAsia" w:ascii="宋体" w:hAnsi="宋体" w:cs="宋体"/>
                <w:color w:val="auto"/>
                <w:szCs w:val="24"/>
                <w:highlight w:val="none"/>
                <w:lang w:val="zh-CN"/>
              </w:rPr>
              <w:t>采购代理机构名称：陕西曼力工程管理咨询有限公司</w:t>
            </w:r>
          </w:p>
          <w:p>
            <w:pPr>
              <w:keepNext w:val="0"/>
              <w:keepLines w:val="0"/>
              <w:pageBreakBefore w:val="0"/>
              <w:overflowPunct/>
              <w:topLinePunct w:val="0"/>
              <w:bidi w:val="0"/>
              <w:adjustRightInd/>
              <w:spacing w:line="360" w:lineRule="auto"/>
              <w:rPr>
                <w:rFonts w:hint="eastAsia" w:ascii="宋体" w:hAnsi="宋体" w:cs="宋体"/>
                <w:color w:val="auto"/>
                <w:szCs w:val="24"/>
                <w:highlight w:val="none"/>
                <w:lang w:val="en-US" w:eastAsia="zh-CN"/>
              </w:rPr>
            </w:pPr>
            <w:r>
              <w:rPr>
                <w:rFonts w:hint="eastAsia" w:ascii="宋体" w:hAnsi="宋体" w:cs="宋体"/>
                <w:color w:val="auto"/>
                <w:szCs w:val="24"/>
                <w:highlight w:val="none"/>
                <w:lang w:val="zh-CN"/>
              </w:rPr>
              <w:t>地址：神木市创业苑小区一单元</w:t>
            </w:r>
            <w:r>
              <w:rPr>
                <w:rFonts w:hint="eastAsia" w:ascii="宋体" w:hAnsi="宋体" w:cs="宋体"/>
                <w:color w:val="auto"/>
                <w:szCs w:val="24"/>
                <w:highlight w:val="none"/>
                <w:lang w:val="en-US" w:eastAsia="zh-CN"/>
              </w:rPr>
              <w:t>1201室</w:t>
            </w:r>
          </w:p>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联系人：王静</w:t>
            </w:r>
          </w:p>
          <w:p>
            <w:pPr>
              <w:keepNext w:val="0"/>
              <w:keepLines w:val="0"/>
              <w:pageBreakBefore w:val="0"/>
              <w:overflowPunct/>
              <w:topLinePunct w:val="0"/>
              <w:bidi w:val="0"/>
              <w:adjustRightInd/>
              <w:spacing w:line="360" w:lineRule="auto"/>
              <w:rPr>
                <w:rFonts w:hint="default" w:ascii="宋体" w:hAnsi="宋体" w:eastAsia="宋体" w:cs="宋体"/>
                <w:color w:val="auto"/>
                <w:szCs w:val="24"/>
                <w:highlight w:val="none"/>
                <w:lang w:val="en-US" w:eastAsia="zh-CN"/>
              </w:rPr>
            </w:pPr>
            <w:r>
              <w:rPr>
                <w:rFonts w:hint="eastAsia" w:ascii="宋体" w:hAnsi="宋体" w:cs="宋体"/>
                <w:color w:val="auto"/>
                <w:szCs w:val="24"/>
                <w:highlight w:val="none"/>
                <w:lang w:val="zh-CN"/>
              </w:rPr>
              <w:t>电话：</w:t>
            </w:r>
            <w:r>
              <w:rPr>
                <w:rFonts w:hint="eastAsia" w:ascii="宋体" w:hAnsi="宋体" w:cs="宋体"/>
                <w:color w:val="auto"/>
                <w:szCs w:val="24"/>
                <w:highlight w:val="none"/>
                <w:lang w:val="en-US" w:eastAsia="zh-CN"/>
              </w:rPr>
              <w:t>13310991595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3</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监督管理机构</w:t>
            </w:r>
          </w:p>
        </w:tc>
        <w:tc>
          <w:tcPr>
            <w:tcW w:w="6998" w:type="dxa"/>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神木市财政局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4</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项目名称</w:t>
            </w:r>
          </w:p>
        </w:tc>
        <w:tc>
          <w:tcPr>
            <w:tcW w:w="6998" w:type="dxa"/>
            <w:vAlign w:val="center"/>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神木市2023年沿黄防护林提质增效和高质量发展试点工程监理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5</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项目编号</w:t>
            </w:r>
          </w:p>
        </w:tc>
        <w:tc>
          <w:tcPr>
            <w:tcW w:w="6998" w:type="dxa"/>
          </w:tcPr>
          <w:p>
            <w:pPr>
              <w:keepNext w:val="0"/>
              <w:keepLines w:val="0"/>
              <w:pageBreakBefore w:val="0"/>
              <w:overflowPunct/>
              <w:topLinePunct w:val="0"/>
              <w:bidi w:val="0"/>
              <w:adjustRightInd/>
              <w:spacing w:line="360" w:lineRule="auto"/>
              <w:rPr>
                <w:rFonts w:hint="eastAsia" w:ascii="宋体" w:hAnsi="宋体" w:eastAsia="宋体" w:cs="宋体"/>
                <w:color w:val="auto"/>
                <w:szCs w:val="24"/>
                <w:highlight w:val="none"/>
                <w:lang w:eastAsia="zh-CN"/>
              </w:rPr>
            </w:pPr>
            <w:r>
              <w:rPr>
                <w:rFonts w:hint="eastAsia" w:ascii="宋体" w:hAnsi="宋体" w:cs="宋体"/>
                <w:color w:val="auto"/>
                <w:szCs w:val="24"/>
                <w:highlight w:val="none"/>
                <w:lang w:eastAsia="zh-CN"/>
              </w:rPr>
              <w:t>SXMLCG2023-09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6</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资金性质</w:t>
            </w:r>
          </w:p>
        </w:tc>
        <w:tc>
          <w:tcPr>
            <w:tcW w:w="6998" w:type="dxa"/>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rPr>
              <w:t>财政资金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7</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项目预算</w:t>
            </w:r>
          </w:p>
        </w:tc>
        <w:tc>
          <w:tcPr>
            <w:tcW w:w="6998" w:type="dxa"/>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人民币</w:t>
            </w:r>
            <w:r>
              <w:rPr>
                <w:rFonts w:hint="eastAsia" w:ascii="宋体" w:hAnsi="宋体" w:cs="宋体"/>
                <w:color w:val="auto"/>
                <w:szCs w:val="24"/>
                <w:highlight w:val="none"/>
                <w:lang w:val="en-US" w:eastAsia="zh-CN"/>
              </w:rPr>
              <w:t>柒拾肆万元整</w:t>
            </w:r>
            <w:r>
              <w:rPr>
                <w:rFonts w:hint="eastAsia" w:ascii="宋体" w:hAnsi="宋体" w:cs="宋体"/>
                <w:color w:val="auto"/>
                <w:szCs w:val="24"/>
                <w:highlight w:val="none"/>
                <w:lang w:val="zh-CN"/>
              </w:rPr>
              <w:t>（</w:t>
            </w:r>
            <w:r>
              <w:rPr>
                <w:rFonts w:hint="eastAsia" w:ascii="宋体" w:hAnsi="宋体" w:cs="宋体"/>
                <w:color w:val="auto"/>
                <w:szCs w:val="24"/>
                <w:highlight w:val="none"/>
                <w:lang w:val="en-US" w:eastAsia="zh-CN"/>
              </w:rPr>
              <w:t>￥</w:t>
            </w:r>
            <w:r>
              <w:rPr>
                <w:rFonts w:hint="eastAsia" w:ascii="宋体" w:hAnsi="宋体" w:cs="宋体"/>
                <w:color w:val="auto"/>
                <w:highlight w:val="none"/>
                <w:lang w:val="en-US" w:eastAsia="zh-CN"/>
              </w:rPr>
              <w:t>740000.00</w:t>
            </w:r>
            <w:r>
              <w:rPr>
                <w:rFonts w:hint="eastAsia" w:ascii="宋体" w:hAnsi="宋体" w:cs="宋体"/>
                <w:color w:val="auto"/>
                <w:szCs w:val="24"/>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9</w:t>
            </w:r>
          </w:p>
        </w:tc>
        <w:tc>
          <w:tcPr>
            <w:tcW w:w="2193" w:type="dxa"/>
            <w:vAlign w:val="center"/>
          </w:tcPr>
          <w:p>
            <w:pPr>
              <w:keepNext w:val="0"/>
              <w:keepLines w:val="0"/>
              <w:pageBreakBefore w:val="0"/>
              <w:overflowPunct/>
              <w:topLinePunct w:val="0"/>
              <w:bidi w:val="0"/>
              <w:adjustRightInd/>
              <w:spacing w:line="360" w:lineRule="auto"/>
              <w:rPr>
                <w:rFonts w:hint="default" w:ascii="宋体" w:hAnsi="宋体" w:cs="宋体"/>
                <w:color w:val="auto"/>
                <w:szCs w:val="24"/>
                <w:highlight w:val="none"/>
                <w:lang w:val="en-US" w:eastAsia="zh-CN"/>
              </w:rPr>
            </w:pPr>
            <w:r>
              <w:rPr>
                <w:rFonts w:hint="eastAsia" w:ascii="宋体" w:hAnsi="宋体" w:cs="宋体"/>
                <w:color w:val="auto"/>
                <w:szCs w:val="24"/>
                <w:highlight w:val="none"/>
                <w:lang w:val="en-US" w:eastAsia="zh-CN"/>
              </w:rPr>
              <w:t>监理工程范围</w:t>
            </w:r>
          </w:p>
        </w:tc>
        <w:tc>
          <w:tcPr>
            <w:tcW w:w="6998" w:type="dxa"/>
          </w:tcPr>
          <w:p>
            <w:pPr>
              <w:keepNext w:val="0"/>
              <w:keepLines w:val="0"/>
              <w:pageBreakBefore w:val="0"/>
              <w:overflowPunct/>
              <w:topLinePunct w:val="0"/>
              <w:bidi w:val="0"/>
              <w:adjustRightInd/>
              <w:spacing w:line="360" w:lineRule="auto"/>
              <w:rPr>
                <w:rFonts w:hint="eastAsia" w:ascii="宋体" w:hAnsi="宋体" w:cs="宋体"/>
                <w:color w:val="auto"/>
                <w:szCs w:val="24"/>
                <w:highlight w:val="none"/>
                <w:lang w:val="zh-CN" w:eastAsia="zh-CN"/>
              </w:rPr>
            </w:pPr>
            <w:r>
              <w:rPr>
                <w:rFonts w:hint="eastAsia" w:ascii="宋体" w:hAnsi="宋体" w:cs="宋体"/>
                <w:color w:val="auto"/>
                <w:szCs w:val="24"/>
                <w:highlight w:val="none"/>
                <w:lang w:val="zh-CN"/>
              </w:rPr>
              <w:t>施工全过程的监理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10</w:t>
            </w:r>
          </w:p>
        </w:tc>
        <w:tc>
          <w:tcPr>
            <w:tcW w:w="2193" w:type="dxa"/>
            <w:vAlign w:val="center"/>
          </w:tcPr>
          <w:p>
            <w:pPr>
              <w:keepNext w:val="0"/>
              <w:keepLines w:val="0"/>
              <w:pageBreakBefore w:val="0"/>
              <w:overflowPunct/>
              <w:topLinePunct w:val="0"/>
              <w:bidi w:val="0"/>
              <w:adjustRightInd/>
              <w:spacing w:line="360" w:lineRule="auto"/>
              <w:rPr>
                <w:rFonts w:hint="eastAsia" w:ascii="宋体" w:hAnsi="宋体" w:cs="宋体"/>
                <w:color w:val="auto"/>
                <w:szCs w:val="24"/>
                <w:highlight w:val="none"/>
                <w:lang w:val="zh-CN"/>
              </w:rPr>
            </w:pPr>
            <w:r>
              <w:rPr>
                <w:rFonts w:hint="eastAsia" w:ascii="宋体" w:hAnsi="宋体" w:cs="宋体"/>
                <w:color w:val="auto"/>
                <w:szCs w:val="24"/>
                <w:highlight w:val="none"/>
                <w:lang w:val="zh-CN"/>
              </w:rPr>
              <w:t>工期控制目标</w:t>
            </w:r>
          </w:p>
        </w:tc>
        <w:tc>
          <w:tcPr>
            <w:tcW w:w="6998" w:type="dxa"/>
            <w:vAlign w:val="center"/>
          </w:tcPr>
          <w:p>
            <w:pPr>
              <w:keepNext w:val="0"/>
              <w:keepLines w:val="0"/>
              <w:pageBreakBefore w:val="0"/>
              <w:overflowPunct/>
              <w:topLinePunct w:val="0"/>
              <w:bidi w:val="0"/>
              <w:adjustRightInd/>
              <w:spacing w:line="360" w:lineRule="auto"/>
              <w:rPr>
                <w:rFonts w:hint="eastAsia" w:ascii="宋体" w:hAnsi="宋体" w:cs="宋体"/>
                <w:color w:val="auto"/>
                <w:szCs w:val="24"/>
                <w:highlight w:val="none"/>
                <w:lang w:val="zh-CN" w:eastAsia="zh-CN"/>
              </w:rPr>
            </w:pPr>
            <w:r>
              <w:rPr>
                <w:rFonts w:hint="eastAsia" w:ascii="宋体" w:hAnsi="宋体" w:cs="宋体"/>
                <w:color w:val="auto"/>
                <w:szCs w:val="24"/>
                <w:highlight w:val="none"/>
                <w:lang w:val="zh-CN"/>
              </w:rPr>
              <w:t>同施工工期</w:t>
            </w:r>
            <w:r>
              <w:rPr>
                <w:rFonts w:hint="eastAsia" w:ascii="宋体" w:hAnsi="宋体" w:cs="宋体"/>
                <w:color w:val="auto"/>
                <w:szCs w:val="24"/>
                <w:highlight w:val="none"/>
                <w:lang w:val="zh-CN" w:eastAsia="zh-CN"/>
              </w:rPr>
              <w:t>（</w:t>
            </w:r>
            <w:r>
              <w:rPr>
                <w:rFonts w:hint="eastAsia" w:ascii="宋体" w:hAnsi="宋体" w:cs="宋体"/>
                <w:color w:val="auto"/>
                <w:szCs w:val="24"/>
                <w:highlight w:val="none"/>
                <w:lang w:val="en-US" w:eastAsia="zh-CN"/>
              </w:rPr>
              <w:t>90日历天</w:t>
            </w:r>
            <w:r>
              <w:rPr>
                <w:rFonts w:hint="eastAsia" w:ascii="宋体" w:hAnsi="宋体" w:cs="宋体"/>
                <w:color w:val="auto"/>
                <w:szCs w:val="24"/>
                <w:highlight w:val="none"/>
                <w:lang w:val="zh-CN"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11</w:t>
            </w:r>
          </w:p>
        </w:tc>
        <w:tc>
          <w:tcPr>
            <w:tcW w:w="2193" w:type="dxa"/>
            <w:vAlign w:val="center"/>
          </w:tcPr>
          <w:p>
            <w:pPr>
              <w:keepNext w:val="0"/>
              <w:keepLines w:val="0"/>
              <w:pageBreakBefore w:val="0"/>
              <w:overflowPunct/>
              <w:topLinePunct w:val="0"/>
              <w:bidi w:val="0"/>
              <w:adjustRightInd/>
              <w:spacing w:line="360" w:lineRule="auto"/>
              <w:rPr>
                <w:rFonts w:hint="eastAsia" w:ascii="宋体" w:hAnsi="宋体" w:cs="宋体"/>
                <w:color w:val="auto"/>
                <w:szCs w:val="24"/>
                <w:highlight w:val="none"/>
                <w:lang w:val="zh-CN" w:eastAsia="zh-CN"/>
              </w:rPr>
            </w:pPr>
            <w:r>
              <w:rPr>
                <w:rFonts w:hint="eastAsia" w:ascii="宋体" w:hAnsi="宋体" w:cs="宋体"/>
                <w:color w:val="auto"/>
                <w:szCs w:val="24"/>
                <w:highlight w:val="none"/>
                <w:lang w:val="zh-CN"/>
              </w:rPr>
              <w:t>质量</w:t>
            </w:r>
            <w:r>
              <w:rPr>
                <w:rFonts w:hint="eastAsia" w:ascii="宋体" w:hAnsi="宋体" w:cs="宋体"/>
                <w:color w:val="auto"/>
                <w:szCs w:val="24"/>
                <w:highlight w:val="none"/>
                <w:lang w:val="zh-CN" w:eastAsia="zh-CN"/>
              </w:rPr>
              <w:t>、</w:t>
            </w:r>
            <w:r>
              <w:rPr>
                <w:rFonts w:hint="eastAsia" w:ascii="宋体" w:hAnsi="宋体" w:cs="宋体"/>
                <w:color w:val="auto"/>
                <w:szCs w:val="24"/>
                <w:highlight w:val="none"/>
                <w:lang w:val="en-US" w:eastAsia="zh-CN"/>
              </w:rPr>
              <w:t>安全文明施工</w:t>
            </w:r>
            <w:r>
              <w:rPr>
                <w:rFonts w:hint="eastAsia" w:ascii="宋体" w:hAnsi="宋体" w:cs="宋体"/>
                <w:color w:val="auto"/>
                <w:szCs w:val="24"/>
                <w:highlight w:val="none"/>
                <w:lang w:val="zh-CN"/>
              </w:rPr>
              <w:t>控制目标</w:t>
            </w:r>
          </w:p>
        </w:tc>
        <w:tc>
          <w:tcPr>
            <w:tcW w:w="6998" w:type="dxa"/>
          </w:tcPr>
          <w:p>
            <w:pPr>
              <w:keepNext w:val="0"/>
              <w:keepLines w:val="0"/>
              <w:pageBreakBefore w:val="0"/>
              <w:overflowPunct/>
              <w:topLinePunct w:val="0"/>
              <w:bidi w:val="0"/>
              <w:adjustRightInd/>
              <w:spacing w:line="360" w:lineRule="auto"/>
              <w:rPr>
                <w:rFonts w:hint="eastAsia" w:ascii="宋体" w:hAnsi="宋体" w:cs="宋体"/>
                <w:color w:val="auto"/>
                <w:szCs w:val="24"/>
                <w:highlight w:val="none"/>
                <w:lang w:val="en-US" w:eastAsia="zh-CN"/>
              </w:rPr>
            </w:pPr>
            <w:r>
              <w:rPr>
                <w:rFonts w:hint="eastAsia" w:ascii="宋体" w:hAnsi="宋体" w:cs="宋体"/>
                <w:color w:val="auto"/>
                <w:szCs w:val="24"/>
                <w:highlight w:val="none"/>
                <w:lang w:val="en-US" w:eastAsia="zh-CN"/>
              </w:rPr>
              <w:t>质量“合格”标准；</w:t>
            </w:r>
          </w:p>
          <w:p>
            <w:pPr>
              <w:keepNext w:val="0"/>
              <w:keepLines w:val="0"/>
              <w:pageBreakBefore w:val="0"/>
              <w:overflowPunct/>
              <w:topLinePunct w:val="0"/>
              <w:bidi w:val="0"/>
              <w:adjustRightInd/>
              <w:spacing w:line="360" w:lineRule="auto"/>
              <w:rPr>
                <w:rFonts w:hint="default" w:ascii="宋体" w:hAnsi="宋体" w:cs="宋体"/>
                <w:color w:val="auto"/>
                <w:szCs w:val="24"/>
                <w:highlight w:val="none"/>
                <w:lang w:val="en-US" w:eastAsia="zh-CN"/>
              </w:rPr>
            </w:pPr>
            <w:r>
              <w:rPr>
                <w:rFonts w:hint="eastAsia" w:ascii="宋体" w:hAnsi="宋体" w:cs="宋体"/>
                <w:color w:val="auto"/>
                <w:szCs w:val="24"/>
                <w:highlight w:val="none"/>
                <w:lang w:val="en-US" w:eastAsia="zh-CN"/>
              </w:rPr>
              <w:t>安全文明施工：达到安全文明标准化工地标准。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12</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供应商资格要求</w:t>
            </w:r>
          </w:p>
        </w:tc>
        <w:tc>
          <w:tcPr>
            <w:tcW w:w="6998" w:type="dxa"/>
          </w:tcPr>
          <w:p>
            <w:pPr>
              <w:keepNext w:val="0"/>
              <w:keepLines w:val="0"/>
              <w:pageBreakBefore w:val="0"/>
              <w:overflowPunct/>
              <w:topLinePunct w:val="0"/>
              <w:bidi w:val="0"/>
              <w:adjustRightInd/>
              <w:spacing w:line="360" w:lineRule="auto"/>
              <w:ind w:firstLine="240" w:firstLineChars="100"/>
              <w:rPr>
                <w:rFonts w:ascii="宋体" w:hAnsi="宋体" w:cs="宋体"/>
                <w:color w:val="auto"/>
                <w:szCs w:val="24"/>
                <w:highlight w:val="none"/>
                <w:lang w:val="zh-CN"/>
              </w:rPr>
            </w:pPr>
            <w:r>
              <w:rPr>
                <w:rFonts w:hint="eastAsia" w:ascii="宋体" w:hAnsi="宋体" w:cs="宋体"/>
                <w:color w:val="auto"/>
                <w:szCs w:val="24"/>
                <w:highlight w:val="none"/>
                <w:lang w:val="zh-CN"/>
              </w:rPr>
              <w:t>供应商应具备《中华人民共和国政府采购法》第二十二条规定的条件；并提供以下资格证明文件：</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①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②财务状况报告：提供近一年（2021年）经审计的财务报告（应包括审计报告、资产负债表和利润表、现金流量表）；成立时间至提交时间不足一年的，可提供成立后任意时段的资产负债表，或其开标前三个月内基本存款账户开户银行出具的资信证明，或财政部门认可的政府采购专业担保机构出具的投标担保函。</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③社会保障资金缴纳证明：提供2022年1月至今已缴存的至少一个月的社会保障资金银行缴费单据或社保机构开具的社会保险参保缴费情况证明，依法不需要缴纳社会保障资金的单位应提供相关证明材料；</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④税收缴纳证明：提供2022年1月至今已缴纳的至少一个月的纳税证明（银行缴费凭证）或完税证明，依法免税的单位应提供相关证明材料；</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⑤参加政府采购活动前三年内，在经营活动中没有重大违法记录的书面声明；</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⑥对列入“信用中国”网站(www.creditchina.gov.cn)“记录失信被执行人、重大税收违法失信主体、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中国政府采购网(www.ccgp.gov.cn)等网页截图及信用中国报告加盖投标人公章（鲜章）为准；</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⑦本项目采用“投标信用承诺书”代替投标保证金；</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⑧投标人需具备市政公用工程 工程监理乙级及以上资质。</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⑨法定代表人参加磋商的，提供本人身份证及法定代表人身份证明书，法定代表人授权他人参加磋商的，提供法定代表人授权委托书和被授权人在本单位的社保证明资料；</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⑩本项目专门面向中小企业采购，投标人须填写《中小企业声明函》；</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⑪本项目不接受联合体投标，单位负责人为同一人或者存在直接控股、管理关系的不同供应商，不得参加同一合同项下的政府采购活动（提供书面声明材料）。</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备注：事业单位法人参与投标可不提供财务状况报告和社会保障资金缴纳证明及税收缴纳证明。</w:t>
            </w:r>
          </w:p>
          <w:p>
            <w:pPr>
              <w:pStyle w:val="22"/>
              <w:keepNext w:val="0"/>
              <w:keepLines w:val="0"/>
              <w:pageBreakBefore w:val="0"/>
              <w:widowControl/>
              <w:overflowPunct/>
              <w:topLinePunct w:val="0"/>
              <w:bidi w:val="0"/>
              <w:adjustRightInd/>
              <w:spacing w:line="360" w:lineRule="auto"/>
              <w:ind w:firstLine="482" w:firstLineChars="200"/>
              <w:rPr>
                <w:rFonts w:ascii="宋体" w:hAnsi="宋体" w:cs="宋体"/>
                <w:color w:val="auto"/>
                <w:szCs w:val="24"/>
                <w:highlight w:val="none"/>
                <w:lang w:val="zh-CN"/>
              </w:rPr>
            </w:pPr>
            <w:r>
              <w:rPr>
                <w:rFonts w:hint="eastAsia" w:ascii="宋体" w:hAnsi="宋体" w:cs="宋体"/>
                <w:b/>
                <w:bCs/>
                <w:color w:val="auto"/>
                <w:szCs w:val="24"/>
                <w:highlight w:val="none"/>
                <w:lang w:val="zh-CN"/>
              </w:rPr>
              <w:t>以上资质为必备资质，缺一项或某项达不到要求，按无效投标处理。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13</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en-US" w:eastAsia="zh-CN"/>
              </w:rPr>
              <w:t>服务</w:t>
            </w:r>
            <w:r>
              <w:rPr>
                <w:rFonts w:hint="eastAsia" w:ascii="宋体" w:hAnsi="宋体" w:cs="宋体"/>
                <w:color w:val="auto"/>
                <w:szCs w:val="24"/>
                <w:highlight w:val="none"/>
                <w:lang w:val="zh-CN"/>
              </w:rPr>
              <w:t>期</w:t>
            </w:r>
          </w:p>
        </w:tc>
        <w:tc>
          <w:tcPr>
            <w:tcW w:w="6998" w:type="dxa"/>
          </w:tcPr>
          <w:p>
            <w:pPr>
              <w:keepNext w:val="0"/>
              <w:keepLines w:val="0"/>
              <w:pageBreakBefore w:val="0"/>
              <w:overflowPunct/>
              <w:topLinePunct w:val="0"/>
              <w:bidi w:val="0"/>
              <w:adjustRightInd/>
              <w:spacing w:line="360" w:lineRule="auto"/>
              <w:rPr>
                <w:rFonts w:hint="default" w:ascii="宋体" w:hAnsi="宋体" w:eastAsia="宋体" w:cs="宋体"/>
                <w:color w:val="auto"/>
                <w:szCs w:val="24"/>
                <w:highlight w:val="none"/>
                <w:lang w:val="en-US" w:eastAsia="zh-CN"/>
              </w:rPr>
            </w:pPr>
            <w:r>
              <w:rPr>
                <w:rFonts w:hint="eastAsia" w:ascii="宋体" w:hAnsi="宋体" w:cs="宋体"/>
                <w:color w:val="auto"/>
                <w:sz w:val="24"/>
                <w:szCs w:val="24"/>
                <w:highlight w:val="none"/>
                <w:lang w:val="en-US" w:eastAsia="zh-CN"/>
              </w:rPr>
              <w:t>90日历天</w:t>
            </w:r>
            <w:r>
              <w:rPr>
                <w:rFonts w:hint="eastAsia" w:ascii="宋体" w:hAnsi="宋体" w:cs="宋体"/>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14</w:t>
            </w:r>
          </w:p>
        </w:tc>
        <w:tc>
          <w:tcPr>
            <w:tcW w:w="2193" w:type="dxa"/>
            <w:vAlign w:val="center"/>
          </w:tcPr>
          <w:p>
            <w:pPr>
              <w:keepNext w:val="0"/>
              <w:keepLines w:val="0"/>
              <w:pageBreakBefore w:val="0"/>
              <w:overflowPunct/>
              <w:topLinePunct w:val="0"/>
              <w:bidi w:val="0"/>
              <w:adjustRightInd/>
              <w:spacing w:line="360" w:lineRule="auto"/>
              <w:jc w:val="center"/>
              <w:rPr>
                <w:rFonts w:hint="eastAsia" w:ascii="宋体" w:hAnsi="宋体" w:cs="宋体"/>
                <w:color w:val="auto"/>
                <w:szCs w:val="24"/>
                <w:highlight w:val="none"/>
                <w:lang w:val="zh-CN"/>
              </w:rPr>
            </w:pPr>
            <w:r>
              <w:rPr>
                <w:rFonts w:hint="eastAsia" w:ascii="宋体" w:hAnsi="宋体" w:cs="宋体"/>
                <w:color w:val="auto"/>
                <w:szCs w:val="24"/>
                <w:highlight w:val="none"/>
                <w:lang w:val="zh-CN"/>
              </w:rPr>
              <w:t>付款方式</w:t>
            </w:r>
          </w:p>
        </w:tc>
        <w:tc>
          <w:tcPr>
            <w:tcW w:w="6998" w:type="dxa"/>
          </w:tcPr>
          <w:p>
            <w:pPr>
              <w:keepNext w:val="0"/>
              <w:keepLines w:val="0"/>
              <w:pageBreakBefore w:val="0"/>
              <w:overflowPunct/>
              <w:topLinePunct w:val="0"/>
              <w:bidi w:val="0"/>
              <w:adjustRightInd/>
              <w:spacing w:line="360" w:lineRule="auto"/>
              <w:rPr>
                <w:rFonts w:hint="eastAsia" w:ascii="宋体" w:hAnsi="宋体" w:eastAsia="宋体" w:cs="宋体"/>
                <w:color w:val="auto"/>
                <w:szCs w:val="24"/>
                <w:highlight w:val="none"/>
                <w:lang w:val="en-US" w:eastAsia="zh-CN"/>
              </w:rPr>
            </w:pPr>
            <w:r>
              <w:rPr>
                <w:rFonts w:hint="eastAsia" w:ascii="宋体" w:hAnsi="宋体" w:cs="宋体"/>
                <w:color w:val="auto"/>
                <w:szCs w:val="24"/>
                <w:highlight w:val="none"/>
                <w:lang w:val="en-US" w:eastAsia="zh-CN"/>
              </w:rPr>
              <w:t>签订合同另行约定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15</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竞争性磋商文件获取</w:t>
            </w:r>
          </w:p>
        </w:tc>
        <w:tc>
          <w:tcPr>
            <w:tcW w:w="6998" w:type="dxa"/>
          </w:tcPr>
          <w:p>
            <w:pPr>
              <w:pStyle w:val="22"/>
              <w:keepNext w:val="0"/>
              <w:keepLines w:val="0"/>
              <w:pageBreakBefore w:val="0"/>
              <w:widowControl/>
              <w:overflowPunct/>
              <w:topLinePunct w:val="0"/>
              <w:bidi w:val="0"/>
              <w:adjustRightInd/>
              <w:spacing w:line="360" w:lineRule="auto"/>
              <w:rPr>
                <w:rFonts w:hint="eastAsia" w:ascii="宋体" w:hAnsi="宋体" w:eastAsia="宋体" w:cs="宋体"/>
                <w:color w:val="auto"/>
                <w:highlight w:val="none"/>
              </w:rPr>
            </w:pPr>
            <w:r>
              <w:rPr>
                <w:rFonts w:hint="eastAsia" w:ascii="宋体" w:hAnsi="宋体" w:cs="宋体"/>
                <w:color w:val="auto"/>
                <w:highlight w:val="none"/>
                <w:lang w:val="zh-CN"/>
              </w:rPr>
              <w:t>获取时间：</w:t>
            </w:r>
            <w:r>
              <w:rPr>
                <w:rFonts w:hint="eastAsia" w:ascii="宋体" w:hAnsi="宋体" w:cs="宋体"/>
                <w:color w:val="auto"/>
                <w:highlight w:val="none"/>
                <w:lang w:val="en-US" w:eastAsia="zh-CN"/>
              </w:rPr>
              <w:t xml:space="preserve">2023-04-24 </w:t>
            </w:r>
            <w:r>
              <w:rPr>
                <w:rFonts w:hint="eastAsia" w:ascii="宋体" w:hAnsi="宋体" w:cs="宋体"/>
                <w:color w:val="auto"/>
                <w:highlight w:val="none"/>
              </w:rPr>
              <w:t>0</w:t>
            </w:r>
            <w:r>
              <w:rPr>
                <w:rFonts w:hint="eastAsia" w:ascii="宋体" w:hAnsi="宋体" w:cs="宋体"/>
                <w:color w:val="auto"/>
                <w:highlight w:val="none"/>
                <w:lang w:val="en-US" w:eastAsia="zh-CN"/>
              </w:rPr>
              <w:t>8</w:t>
            </w:r>
            <w:r>
              <w:rPr>
                <w:rFonts w:hint="eastAsia" w:ascii="宋体" w:hAnsi="宋体" w:cs="宋体"/>
                <w:color w:val="auto"/>
                <w:highlight w:val="none"/>
                <w:lang w:eastAsia="zh-CN"/>
              </w:rPr>
              <w:t>：</w:t>
            </w:r>
            <w:r>
              <w:rPr>
                <w:rFonts w:hint="eastAsia" w:ascii="宋体" w:hAnsi="宋体" w:cs="宋体"/>
                <w:color w:val="auto"/>
                <w:highlight w:val="none"/>
              </w:rPr>
              <w:t>00</w:t>
            </w:r>
            <w:r>
              <w:rPr>
                <w:rFonts w:hint="eastAsia" w:ascii="宋体" w:hAnsi="宋体" w:cs="宋体"/>
                <w:color w:val="auto"/>
                <w:highlight w:val="none"/>
                <w:lang w:eastAsia="zh-CN"/>
              </w:rPr>
              <w:t>：</w:t>
            </w:r>
            <w:r>
              <w:rPr>
                <w:rFonts w:hint="eastAsia" w:ascii="宋体" w:hAnsi="宋体" w:cs="宋体"/>
                <w:color w:val="auto"/>
                <w:highlight w:val="none"/>
              </w:rPr>
              <w:t>00至202</w:t>
            </w:r>
            <w:r>
              <w:rPr>
                <w:rFonts w:hint="eastAsia" w:ascii="宋体" w:hAnsi="宋体" w:cs="宋体"/>
                <w:color w:val="auto"/>
                <w:highlight w:val="none"/>
                <w:lang w:val="en-US" w:eastAsia="zh-CN"/>
              </w:rPr>
              <w:t>3</w:t>
            </w:r>
            <w:r>
              <w:rPr>
                <w:rFonts w:hint="eastAsia" w:ascii="宋体" w:hAnsi="宋体" w:cs="宋体"/>
                <w:color w:val="auto"/>
                <w:highlight w:val="none"/>
              </w:rPr>
              <w:t>-</w:t>
            </w:r>
            <w:r>
              <w:rPr>
                <w:rFonts w:hint="eastAsia" w:ascii="宋体" w:hAnsi="宋体" w:cs="宋体"/>
                <w:color w:val="auto"/>
                <w:highlight w:val="none"/>
                <w:lang w:val="en-US" w:eastAsia="zh-CN"/>
              </w:rPr>
              <w:t>04</w:t>
            </w:r>
            <w:r>
              <w:rPr>
                <w:rFonts w:hint="eastAsia" w:ascii="宋体" w:hAnsi="宋体" w:cs="宋体"/>
                <w:color w:val="auto"/>
                <w:highlight w:val="none"/>
              </w:rPr>
              <w:t>-</w:t>
            </w:r>
            <w:r>
              <w:rPr>
                <w:rFonts w:hint="eastAsia" w:ascii="宋体" w:hAnsi="宋体" w:cs="宋体"/>
                <w:color w:val="auto"/>
                <w:highlight w:val="none"/>
                <w:lang w:val="en-US" w:eastAsia="zh-CN"/>
              </w:rPr>
              <w:t>28日18</w:t>
            </w:r>
            <w:r>
              <w:rPr>
                <w:rFonts w:hint="eastAsia" w:ascii="宋体" w:hAnsi="宋体" w:cs="宋体"/>
                <w:color w:val="auto"/>
                <w:highlight w:val="none"/>
                <w:lang w:eastAsia="zh-CN"/>
              </w:rPr>
              <w:t>：</w:t>
            </w:r>
            <w:r>
              <w:rPr>
                <w:rFonts w:hint="eastAsia" w:ascii="宋体" w:hAnsi="宋体" w:cs="宋体"/>
                <w:color w:val="auto"/>
                <w:highlight w:val="none"/>
              </w:rPr>
              <w:t>00</w:t>
            </w:r>
            <w:r>
              <w:rPr>
                <w:rFonts w:hint="eastAsia" w:ascii="宋体" w:hAnsi="宋体" w:cs="宋体"/>
                <w:color w:val="auto"/>
                <w:highlight w:val="none"/>
                <w:lang w:eastAsia="zh-CN"/>
              </w:rPr>
              <w:t>：</w:t>
            </w:r>
            <w:r>
              <w:rPr>
                <w:rFonts w:hint="eastAsia" w:ascii="宋体" w:hAnsi="宋体" w:cs="宋体"/>
                <w:color w:val="auto"/>
                <w:highlight w:val="none"/>
              </w:rPr>
              <w:t>00（双</w:t>
            </w:r>
            <w:r>
              <w:rPr>
                <w:rFonts w:hint="eastAsia" w:ascii="宋体" w:hAnsi="宋体" w:eastAsia="宋体" w:cs="宋体"/>
                <w:color w:val="auto"/>
                <w:highlight w:val="none"/>
              </w:rPr>
              <w:t>休日及法定节假日除外）</w:t>
            </w:r>
          </w:p>
          <w:p>
            <w:pPr>
              <w:pStyle w:val="22"/>
              <w:keepNext w:val="0"/>
              <w:keepLines w:val="0"/>
              <w:pageBreakBefore w:val="0"/>
              <w:widowControl/>
              <w:overflowPunct/>
              <w:topLinePunct w:val="0"/>
              <w:bidi w:val="0"/>
              <w:adjustRightInd/>
              <w:spacing w:line="360" w:lineRule="auto"/>
              <w:rPr>
                <w:rFonts w:hint="eastAsia" w:ascii="宋体" w:hAnsi="宋体" w:eastAsia="宋体" w:cs="宋体"/>
                <w:color w:val="auto"/>
                <w:szCs w:val="24"/>
                <w:highlight w:val="none"/>
                <w:lang w:val="zh-CN" w:eastAsia="zh-CN"/>
              </w:rPr>
            </w:pPr>
            <w:r>
              <w:rPr>
                <w:rFonts w:hint="eastAsia" w:ascii="宋体" w:hAnsi="宋体" w:eastAsia="宋体" w:cs="宋体"/>
                <w:color w:val="auto"/>
                <w:highlight w:val="none"/>
                <w:lang w:eastAsia="zh-CN"/>
              </w:rPr>
              <w:t>获取方式：</w:t>
            </w:r>
            <w:r>
              <w:rPr>
                <w:rFonts w:hint="eastAsia" w:ascii="宋体" w:hAnsi="宋体" w:eastAsia="宋体" w:cs="宋体"/>
                <w:color w:val="auto"/>
                <w:highlight w:val="none"/>
              </w:rPr>
              <w:t>登录全国公共资源交易中心平台（陕西省）（http://www.sxggzyjy.cn/）,选择“电子交易平台→陕西政府采购交易系统→陕西省公共资源交易平台→投标人”进行登录，登录后选择“交易乙方”身份进入投标人界面下载竞争性</w:t>
            </w:r>
            <w:r>
              <w:rPr>
                <w:rFonts w:hint="eastAsia" w:ascii="宋体" w:hAnsi="宋体" w:cs="宋体"/>
                <w:color w:val="auto"/>
                <w:highlight w:val="none"/>
                <w:lang w:val="en-US" w:eastAsia="zh-CN"/>
              </w:rPr>
              <w:t>磋商</w:t>
            </w:r>
            <w:r>
              <w:rPr>
                <w:rFonts w:hint="eastAsia" w:ascii="宋体" w:hAnsi="宋体" w:eastAsia="宋体" w:cs="宋体"/>
                <w:color w:val="auto"/>
                <w:highlight w:val="none"/>
              </w:rPr>
              <w:t>文件</w:t>
            </w:r>
            <w:r>
              <w:rPr>
                <w:rFonts w:hint="eastAsia" w:ascii="宋体" w:hAnsi="宋体" w:cs="宋体"/>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16</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联合体投标</w:t>
            </w:r>
          </w:p>
        </w:tc>
        <w:tc>
          <w:tcPr>
            <w:tcW w:w="6998" w:type="dxa"/>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18</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现场勘查、标前答疑会</w:t>
            </w:r>
          </w:p>
        </w:tc>
        <w:tc>
          <w:tcPr>
            <w:tcW w:w="6998" w:type="dxa"/>
            <w:vAlign w:val="center"/>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19</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构成竞争性磋商文件的其他文件</w:t>
            </w:r>
          </w:p>
        </w:tc>
        <w:tc>
          <w:tcPr>
            <w:tcW w:w="6998" w:type="dxa"/>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竞争性磋商文件的澄清、修改书及有关补充通知为竞争性磋商文件的有效组成部分。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20</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响应文件提交截止时间、开标时间和地点</w:t>
            </w:r>
          </w:p>
        </w:tc>
        <w:tc>
          <w:tcPr>
            <w:tcW w:w="6998" w:type="dxa"/>
            <w:vAlign w:val="center"/>
          </w:tcPr>
          <w:p>
            <w:pPr>
              <w:keepNext w:val="0"/>
              <w:keepLines w:val="0"/>
              <w:pageBreakBefore w:val="0"/>
              <w:overflowPunct/>
              <w:topLinePunct w:val="0"/>
              <w:bidi w:val="0"/>
              <w:adjustRightInd/>
              <w:spacing w:line="360" w:lineRule="auto"/>
              <w:jc w:val="both"/>
              <w:rPr>
                <w:rFonts w:ascii="宋体" w:hAnsi="宋体" w:cs="宋体"/>
                <w:color w:val="auto"/>
                <w:szCs w:val="24"/>
                <w:highlight w:val="none"/>
                <w:lang w:val="zh-CN"/>
              </w:rPr>
            </w:pPr>
            <w:r>
              <w:rPr>
                <w:rFonts w:hint="eastAsia" w:ascii="宋体" w:hAnsi="宋体" w:cs="宋体"/>
                <w:color w:val="auto"/>
                <w:szCs w:val="24"/>
                <w:highlight w:val="none"/>
                <w:lang w:val="zh-CN"/>
              </w:rPr>
              <w:t>响应文件提交截止时间：</w:t>
            </w:r>
            <w:r>
              <w:rPr>
                <w:rFonts w:hint="default" w:ascii="宋体" w:hAnsi="宋体" w:cs="宋体"/>
                <w:color w:val="auto"/>
                <w:highlight w:val="none"/>
                <w:lang w:eastAsia="zh-CN"/>
              </w:rPr>
              <w:t>202</w:t>
            </w:r>
            <w:r>
              <w:rPr>
                <w:rFonts w:hint="eastAsia" w:ascii="宋体" w:hAnsi="宋体" w:cs="宋体"/>
                <w:color w:val="auto"/>
                <w:highlight w:val="none"/>
                <w:lang w:val="en-US" w:eastAsia="zh-CN"/>
              </w:rPr>
              <w:t>3</w:t>
            </w:r>
            <w:r>
              <w:rPr>
                <w:rFonts w:hint="default" w:ascii="宋体" w:hAnsi="宋体" w:cs="宋体"/>
                <w:color w:val="auto"/>
                <w:highlight w:val="none"/>
                <w:lang w:eastAsia="zh-CN"/>
              </w:rPr>
              <w:t>年</w:t>
            </w:r>
            <w:r>
              <w:rPr>
                <w:rFonts w:hint="eastAsia" w:ascii="宋体" w:hAnsi="宋体" w:cs="宋体"/>
                <w:color w:val="auto"/>
                <w:highlight w:val="none"/>
                <w:lang w:val="en-US" w:eastAsia="zh-CN"/>
              </w:rPr>
              <w:t>05月10日13</w:t>
            </w:r>
            <w:r>
              <w:rPr>
                <w:rFonts w:hint="default" w:ascii="宋体" w:hAnsi="宋体" w:cs="宋体"/>
                <w:color w:val="auto"/>
                <w:highlight w:val="none"/>
                <w:lang w:eastAsia="zh-CN"/>
              </w:rPr>
              <w:t>时</w:t>
            </w:r>
            <w:r>
              <w:rPr>
                <w:rFonts w:hint="eastAsia" w:ascii="宋体" w:hAnsi="宋体" w:cs="宋体"/>
                <w:color w:val="auto"/>
                <w:highlight w:val="none"/>
                <w:lang w:val="en-US" w:eastAsia="zh-CN"/>
              </w:rPr>
              <w:t>30</w:t>
            </w:r>
            <w:r>
              <w:rPr>
                <w:rFonts w:hint="default" w:ascii="宋体" w:hAnsi="宋体" w:cs="宋体"/>
                <w:color w:val="auto"/>
                <w:highlight w:val="none"/>
                <w:lang w:eastAsia="zh-CN"/>
              </w:rPr>
              <w:t>分（北京时间）</w:t>
            </w:r>
          </w:p>
          <w:p>
            <w:pPr>
              <w:keepNext w:val="0"/>
              <w:keepLines w:val="0"/>
              <w:pageBreakBefore w:val="0"/>
              <w:overflowPunct/>
              <w:topLinePunct w:val="0"/>
              <w:bidi w:val="0"/>
              <w:adjustRightInd/>
              <w:spacing w:line="360" w:lineRule="auto"/>
              <w:jc w:val="both"/>
              <w:rPr>
                <w:rFonts w:ascii="宋体" w:hAnsi="宋体" w:cs="宋体"/>
                <w:color w:val="auto"/>
                <w:szCs w:val="24"/>
                <w:highlight w:val="none"/>
                <w:lang w:val="zh-CN"/>
              </w:rPr>
            </w:pPr>
            <w:r>
              <w:rPr>
                <w:rFonts w:hint="eastAsia" w:ascii="宋体" w:hAnsi="宋体" w:cs="宋体"/>
                <w:color w:val="auto"/>
                <w:szCs w:val="24"/>
                <w:highlight w:val="none"/>
                <w:lang w:val="zh-CN"/>
              </w:rPr>
              <w:t>开标时间：</w:t>
            </w:r>
            <w:r>
              <w:rPr>
                <w:rFonts w:hint="default" w:ascii="宋体" w:hAnsi="宋体" w:cs="宋体"/>
                <w:color w:val="auto"/>
                <w:highlight w:val="none"/>
                <w:lang w:eastAsia="zh-CN"/>
              </w:rPr>
              <w:t>202</w:t>
            </w:r>
            <w:r>
              <w:rPr>
                <w:rFonts w:hint="eastAsia" w:ascii="宋体" w:hAnsi="宋体" w:cs="宋体"/>
                <w:color w:val="auto"/>
                <w:highlight w:val="none"/>
                <w:lang w:val="en-US" w:eastAsia="zh-CN"/>
              </w:rPr>
              <w:t>3</w:t>
            </w:r>
            <w:r>
              <w:rPr>
                <w:rFonts w:hint="default" w:ascii="宋体" w:hAnsi="宋体" w:cs="宋体"/>
                <w:color w:val="auto"/>
                <w:highlight w:val="none"/>
                <w:lang w:eastAsia="zh-CN"/>
              </w:rPr>
              <w:t>年</w:t>
            </w:r>
            <w:r>
              <w:rPr>
                <w:rFonts w:hint="eastAsia" w:ascii="宋体" w:hAnsi="宋体" w:cs="宋体"/>
                <w:color w:val="auto"/>
                <w:highlight w:val="none"/>
                <w:lang w:val="en-US" w:eastAsia="zh-CN"/>
              </w:rPr>
              <w:t>05月10日13</w:t>
            </w:r>
            <w:r>
              <w:rPr>
                <w:rFonts w:hint="default" w:ascii="宋体" w:hAnsi="宋体" w:cs="宋体"/>
                <w:color w:val="auto"/>
                <w:highlight w:val="none"/>
                <w:lang w:eastAsia="zh-CN"/>
              </w:rPr>
              <w:t>时</w:t>
            </w:r>
            <w:r>
              <w:rPr>
                <w:rFonts w:hint="eastAsia" w:ascii="宋体" w:hAnsi="宋体" w:cs="宋体"/>
                <w:color w:val="auto"/>
                <w:highlight w:val="none"/>
                <w:lang w:val="en-US" w:eastAsia="zh-CN"/>
              </w:rPr>
              <w:t>30</w:t>
            </w:r>
            <w:r>
              <w:rPr>
                <w:rFonts w:hint="default" w:ascii="宋体" w:hAnsi="宋体" w:cs="宋体"/>
                <w:color w:val="auto"/>
                <w:highlight w:val="none"/>
                <w:lang w:eastAsia="zh-CN"/>
              </w:rPr>
              <w:t>分（北京时间）</w:t>
            </w:r>
          </w:p>
          <w:p>
            <w:pPr>
              <w:keepNext w:val="0"/>
              <w:keepLines w:val="0"/>
              <w:pageBreakBefore w:val="0"/>
              <w:overflowPunct/>
              <w:topLinePunct w:val="0"/>
              <w:bidi w:val="0"/>
              <w:adjustRightInd/>
              <w:spacing w:line="360" w:lineRule="auto"/>
              <w:jc w:val="both"/>
              <w:rPr>
                <w:rFonts w:hint="eastAsia" w:ascii="宋体" w:hAnsi="宋体" w:eastAsia="宋体" w:cs="宋体"/>
                <w:color w:val="auto"/>
                <w:szCs w:val="24"/>
                <w:highlight w:val="none"/>
                <w:lang w:val="en-US" w:eastAsia="zh-CN"/>
              </w:rPr>
            </w:pPr>
            <w:r>
              <w:rPr>
                <w:rFonts w:hint="eastAsia" w:ascii="宋体" w:hAnsi="宋体" w:cs="宋体"/>
                <w:color w:val="auto"/>
                <w:szCs w:val="24"/>
                <w:highlight w:val="none"/>
                <w:lang w:val="zh-CN"/>
              </w:rPr>
              <w:t>开标地点：</w:t>
            </w:r>
            <w:r>
              <w:rPr>
                <w:rFonts w:hint="eastAsia" w:ascii="宋体" w:hAnsi="宋体" w:cs="宋体"/>
                <w:color w:val="auto"/>
                <w:highlight w:val="none"/>
                <w:lang w:val="en-US" w:eastAsia="zh-CN"/>
              </w:rPr>
              <w:t>榆林市公共资源交易中心十楼不见面开标7室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21</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投标有效期</w:t>
            </w:r>
          </w:p>
        </w:tc>
        <w:tc>
          <w:tcPr>
            <w:tcW w:w="6998" w:type="dxa"/>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自提交竞争性磋商响应文件的截止之日起</w:t>
            </w:r>
            <w:r>
              <w:rPr>
                <w:rFonts w:hint="eastAsia" w:ascii="宋体" w:hAnsi="宋体" w:cs="宋体"/>
                <w:color w:val="auto"/>
                <w:szCs w:val="24"/>
                <w:highlight w:val="none"/>
                <w:lang w:val="en-US" w:eastAsia="zh-CN"/>
              </w:rPr>
              <w:t>90</w:t>
            </w:r>
            <w:r>
              <w:rPr>
                <w:rFonts w:hint="eastAsia" w:ascii="宋体" w:hAnsi="宋体" w:cs="宋体"/>
                <w:color w:val="auto"/>
                <w:szCs w:val="24"/>
                <w:highlight w:val="none"/>
                <w:lang w:val="zh-CN"/>
              </w:rPr>
              <w:t>个日历日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22</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投标担保</w:t>
            </w:r>
          </w:p>
        </w:tc>
        <w:tc>
          <w:tcPr>
            <w:tcW w:w="6998" w:type="dxa"/>
          </w:tcPr>
          <w:p>
            <w:pPr>
              <w:keepNext w:val="0"/>
              <w:keepLines w:val="0"/>
              <w:pageBreakBefore w:val="0"/>
              <w:overflowPunct/>
              <w:topLinePunct w:val="0"/>
              <w:bidi w:val="0"/>
              <w:adjustRightInd/>
              <w:spacing w:line="360" w:lineRule="auto"/>
              <w:ind w:firstLine="480" w:firstLineChars="200"/>
              <w:rPr>
                <w:rFonts w:hint="default" w:ascii="宋体" w:hAnsi="宋体" w:eastAsia="宋体" w:cs="宋体"/>
                <w:color w:val="auto"/>
                <w:szCs w:val="24"/>
                <w:highlight w:val="none"/>
                <w:lang w:val="en-US" w:eastAsia="zh-CN"/>
              </w:rPr>
            </w:pPr>
            <w:r>
              <w:rPr>
                <w:rFonts w:hint="eastAsia" w:ascii="宋体" w:hAnsi="宋体" w:cs="宋体"/>
                <w:color w:val="auto"/>
                <w:highlight w:val="none"/>
                <w:lang w:val="en-US" w:eastAsia="zh-CN"/>
              </w:rPr>
              <w:t>本项目采用“投标信用承诺书”代替磋商保证金，投标人递交响应文件的同时按照磋商文件给定的格式在指定位置附“投标信用（保证金）承诺书”，并且将“投标信用（保证金）承诺”在“信用中国（陕西榆林）”进行公示，“投标信用（保证金）承诺书”的有效期与投标有效期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23</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代理费汇款账户</w:t>
            </w:r>
          </w:p>
        </w:tc>
        <w:tc>
          <w:tcPr>
            <w:tcW w:w="6998" w:type="dxa"/>
          </w:tcPr>
          <w:p>
            <w:pPr>
              <w:keepNext w:val="0"/>
              <w:keepLines w:val="0"/>
              <w:pageBreakBefore w:val="0"/>
              <w:overflowPunct/>
              <w:topLinePunct w:val="0"/>
              <w:bidi w:val="0"/>
              <w:adjustRightInd/>
              <w:spacing w:line="360" w:lineRule="auto"/>
              <w:rPr>
                <w:rFonts w:hint="eastAsia" w:ascii="宋体" w:hAnsi="宋体" w:cs="宋体"/>
                <w:color w:val="auto"/>
                <w:szCs w:val="24"/>
                <w:highlight w:val="none"/>
                <w:lang w:val="zh-CN"/>
              </w:rPr>
            </w:pPr>
            <w:r>
              <w:rPr>
                <w:rFonts w:hint="eastAsia" w:ascii="宋体" w:hAnsi="宋体" w:cs="宋体"/>
                <w:color w:val="auto"/>
                <w:szCs w:val="24"/>
                <w:highlight w:val="none"/>
                <w:lang w:val="zh-CN"/>
              </w:rPr>
              <w:t>采购代理机构开户名称：陕西曼力工程管理咨询有限公司</w:t>
            </w:r>
          </w:p>
          <w:p>
            <w:pPr>
              <w:keepNext w:val="0"/>
              <w:keepLines w:val="0"/>
              <w:pageBreakBefore w:val="0"/>
              <w:overflowPunct/>
              <w:topLinePunct w:val="0"/>
              <w:bidi w:val="0"/>
              <w:adjustRightInd/>
              <w:spacing w:line="360" w:lineRule="auto"/>
              <w:rPr>
                <w:rFonts w:hint="eastAsia" w:ascii="宋体" w:hAnsi="宋体" w:cs="宋体"/>
                <w:color w:val="auto"/>
                <w:szCs w:val="24"/>
                <w:highlight w:val="none"/>
                <w:lang w:val="zh-CN"/>
              </w:rPr>
            </w:pPr>
            <w:r>
              <w:rPr>
                <w:rFonts w:hint="eastAsia" w:ascii="宋体" w:hAnsi="宋体" w:cs="宋体"/>
                <w:color w:val="auto"/>
                <w:szCs w:val="24"/>
                <w:highlight w:val="none"/>
                <w:lang w:val="zh-CN"/>
              </w:rPr>
              <w:t>开户行名称：陕西神木农村商业银行股份有限公司麟州路支行</w:t>
            </w:r>
          </w:p>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账      号：</w:t>
            </w:r>
            <w:r>
              <w:rPr>
                <w:rFonts w:hint="eastAsia" w:ascii="宋体" w:hAnsi="宋体" w:cs="宋体"/>
                <w:color w:val="auto"/>
                <w:szCs w:val="24"/>
                <w:highlight w:val="none"/>
                <w:lang w:val="en-US" w:eastAsia="zh-CN"/>
              </w:rPr>
              <w:t>2710020701201000039307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24</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备选投标方案</w:t>
            </w:r>
          </w:p>
        </w:tc>
        <w:tc>
          <w:tcPr>
            <w:tcW w:w="6998" w:type="dxa"/>
            <w:vAlign w:val="center"/>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不接受备选投标方案。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25</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盖章签字</w:t>
            </w:r>
          </w:p>
        </w:tc>
        <w:tc>
          <w:tcPr>
            <w:tcW w:w="6998" w:type="dxa"/>
            <w:vAlign w:val="center"/>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供应商必须按照竞争性磋商文件的规定和要求</w:t>
            </w:r>
            <w:bookmarkStart w:id="23" w:name="OLE_LINK5"/>
            <w:r>
              <w:rPr>
                <w:rFonts w:hint="eastAsia" w:ascii="宋体" w:hAnsi="宋体" w:cs="宋体"/>
                <w:color w:val="auto"/>
                <w:szCs w:val="24"/>
                <w:highlight w:val="none"/>
                <w:lang w:val="zh-CN"/>
              </w:rPr>
              <w:t>由法定代表人或被授权人签字（或盖章）。</w:t>
            </w:r>
            <w:bookmarkEnd w:id="2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26</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响应文件数量、装订</w:t>
            </w:r>
          </w:p>
        </w:tc>
        <w:tc>
          <w:tcPr>
            <w:tcW w:w="6998" w:type="dxa"/>
            <w:vAlign w:val="center"/>
          </w:tcPr>
          <w:p>
            <w:pPr>
              <w:spacing w:line="360" w:lineRule="auto"/>
              <w:jc w:val="left"/>
              <w:rPr>
                <w:rFonts w:hint="eastAsia" w:ascii="宋体" w:hAnsi="宋体" w:eastAsia="宋体" w:cs="宋体"/>
                <w:b/>
                <w:bCs/>
                <w:color w:val="auto"/>
                <w:spacing w:val="4"/>
                <w:sz w:val="24"/>
                <w:szCs w:val="24"/>
                <w:highlight w:val="none"/>
                <w:lang w:val="zh-CN"/>
              </w:rPr>
            </w:pPr>
            <w:r>
              <w:rPr>
                <w:rFonts w:hint="eastAsia" w:ascii="宋体" w:hAnsi="宋体" w:eastAsia="宋体" w:cs="宋体"/>
                <w:b/>
                <w:bCs/>
                <w:color w:val="auto"/>
                <w:spacing w:val="4"/>
                <w:sz w:val="24"/>
                <w:szCs w:val="24"/>
                <w:highlight w:val="none"/>
                <w:lang w:val="en-US" w:eastAsia="zh-CN"/>
              </w:rPr>
              <w:t>投标</w:t>
            </w:r>
            <w:r>
              <w:rPr>
                <w:rFonts w:hint="eastAsia" w:ascii="宋体" w:hAnsi="宋体" w:eastAsia="宋体" w:cs="宋体"/>
                <w:b/>
                <w:bCs/>
                <w:color w:val="auto"/>
                <w:spacing w:val="4"/>
                <w:sz w:val="24"/>
                <w:szCs w:val="24"/>
                <w:highlight w:val="none"/>
                <w:lang w:val="zh-CN"/>
              </w:rPr>
              <w:t>文件</w:t>
            </w:r>
            <w:r>
              <w:rPr>
                <w:rFonts w:hint="eastAsia" w:ascii="宋体" w:hAnsi="宋体" w:eastAsia="宋体" w:cs="宋体"/>
                <w:b/>
                <w:bCs/>
                <w:color w:val="auto"/>
                <w:spacing w:val="4"/>
                <w:sz w:val="24"/>
                <w:szCs w:val="24"/>
                <w:highlight w:val="none"/>
                <w:lang w:val="en-US" w:eastAsia="zh-CN"/>
              </w:rPr>
              <w:t>纸质版</w:t>
            </w:r>
            <w:r>
              <w:rPr>
                <w:rFonts w:hint="eastAsia" w:ascii="宋体" w:hAnsi="宋体" w:eastAsia="宋体" w:cs="宋体"/>
                <w:b/>
                <w:bCs/>
                <w:color w:val="auto"/>
                <w:spacing w:val="4"/>
                <w:sz w:val="24"/>
                <w:szCs w:val="24"/>
                <w:highlight w:val="none"/>
                <w:lang w:val="zh-CN"/>
              </w:rPr>
              <w:t>：</w:t>
            </w:r>
          </w:p>
          <w:p>
            <w:pPr>
              <w:spacing w:line="360" w:lineRule="auto"/>
              <w:jc w:val="left"/>
              <w:rPr>
                <w:rFonts w:hint="eastAsia" w:ascii="宋体" w:hAnsi="宋体" w:eastAsia="宋体" w:cs="宋体"/>
                <w:color w:val="auto"/>
                <w:spacing w:val="4"/>
                <w:sz w:val="24"/>
                <w:szCs w:val="24"/>
                <w:highlight w:val="none"/>
                <w:lang w:val="zh-CN"/>
              </w:rPr>
            </w:pPr>
            <w:r>
              <w:rPr>
                <w:rFonts w:hint="eastAsia" w:ascii="宋体" w:hAnsi="宋体" w:eastAsia="宋体" w:cs="宋体"/>
                <w:color w:val="auto"/>
                <w:spacing w:val="4"/>
                <w:sz w:val="24"/>
                <w:szCs w:val="24"/>
                <w:highlight w:val="none"/>
                <w:lang w:val="zh-CN"/>
              </w:rPr>
              <w:t xml:space="preserve">正本份数：壹份；副本份数：贰份。同时提供与正本内容一致的电子版（U 盘word </w:t>
            </w:r>
            <w:r>
              <w:rPr>
                <w:rFonts w:hint="eastAsia" w:ascii="宋体" w:hAnsi="宋体" w:cs="宋体"/>
                <w:color w:val="auto"/>
                <w:spacing w:val="4"/>
                <w:sz w:val="24"/>
                <w:szCs w:val="24"/>
                <w:highlight w:val="none"/>
                <w:lang w:val="en-US" w:eastAsia="zh-CN"/>
              </w:rPr>
              <w:t>可编辑</w:t>
            </w:r>
            <w:r>
              <w:rPr>
                <w:rFonts w:hint="eastAsia" w:ascii="宋体" w:hAnsi="宋体" w:eastAsia="宋体" w:cs="宋体"/>
                <w:color w:val="auto"/>
                <w:spacing w:val="4"/>
                <w:sz w:val="24"/>
                <w:szCs w:val="24"/>
                <w:highlight w:val="none"/>
                <w:lang w:val="zh-CN"/>
              </w:rPr>
              <w:t>版</w:t>
            </w:r>
            <w:r>
              <w:rPr>
                <w:rFonts w:hint="eastAsia" w:ascii="宋体" w:hAnsi="宋体" w:cs="宋体"/>
                <w:color w:val="auto"/>
                <w:spacing w:val="4"/>
                <w:sz w:val="24"/>
                <w:szCs w:val="24"/>
                <w:highlight w:val="none"/>
                <w:lang w:val="en-US" w:eastAsia="zh-CN"/>
              </w:rPr>
              <w:t>及最终生成软件版不加密的投标文件</w:t>
            </w:r>
            <w:r>
              <w:rPr>
                <w:rFonts w:hint="eastAsia" w:ascii="宋体" w:hAnsi="宋体" w:eastAsia="宋体" w:cs="宋体"/>
                <w:color w:val="auto"/>
                <w:spacing w:val="4"/>
                <w:sz w:val="24"/>
                <w:szCs w:val="24"/>
                <w:highlight w:val="none"/>
                <w:lang w:val="zh-CN"/>
              </w:rPr>
              <w:t>）并在盘面标注供应商全称、项目名称、项目编号。投标文件装订要求：胶装</w:t>
            </w:r>
            <w:r>
              <w:rPr>
                <w:rFonts w:hint="eastAsia" w:ascii="宋体" w:hAnsi="宋体" w:eastAsia="宋体" w:cs="宋体"/>
                <w:color w:val="auto"/>
                <w:spacing w:val="4"/>
                <w:sz w:val="24"/>
                <w:szCs w:val="24"/>
                <w:highlight w:val="none"/>
                <w:lang w:val="zh-CN" w:eastAsia="zh-CN"/>
              </w:rPr>
              <w:t>，</w:t>
            </w:r>
            <w:r>
              <w:rPr>
                <w:rFonts w:hint="eastAsia" w:ascii="宋体" w:hAnsi="宋体" w:eastAsia="宋体" w:cs="宋体"/>
                <w:color w:val="auto"/>
                <w:spacing w:val="4"/>
                <w:sz w:val="24"/>
                <w:szCs w:val="24"/>
                <w:highlight w:val="none"/>
                <w:lang w:val="en-US" w:eastAsia="zh-CN"/>
              </w:rPr>
              <w:t>不得出现活页</w:t>
            </w:r>
            <w:r>
              <w:rPr>
                <w:rFonts w:hint="eastAsia" w:ascii="宋体" w:hAnsi="宋体" w:eastAsia="宋体" w:cs="宋体"/>
                <w:color w:val="auto"/>
                <w:spacing w:val="4"/>
                <w:sz w:val="24"/>
                <w:szCs w:val="24"/>
                <w:highlight w:val="none"/>
                <w:lang w:val="zh-CN"/>
              </w:rPr>
              <w:t>。</w:t>
            </w:r>
            <w:r>
              <w:rPr>
                <w:rFonts w:hint="eastAsia" w:ascii="宋体" w:hAnsi="宋体" w:eastAsia="宋体" w:cs="宋体"/>
                <w:b/>
                <w:bCs/>
                <w:color w:val="auto"/>
                <w:spacing w:val="4"/>
                <w:sz w:val="24"/>
                <w:szCs w:val="24"/>
                <w:highlight w:val="none"/>
                <w:lang w:val="zh-CN"/>
              </w:rPr>
              <w:t>（投标人在开标截止时间前无需提交纸质投标文件待</w:t>
            </w:r>
            <w:r>
              <w:rPr>
                <w:rFonts w:hint="eastAsia" w:ascii="宋体" w:hAnsi="宋体" w:cs="宋体"/>
                <w:b/>
                <w:bCs/>
                <w:color w:val="auto"/>
                <w:spacing w:val="4"/>
                <w:sz w:val="24"/>
                <w:szCs w:val="24"/>
                <w:highlight w:val="none"/>
                <w:lang w:val="en-US" w:eastAsia="zh-CN"/>
              </w:rPr>
              <w:t>开标结束</w:t>
            </w:r>
            <w:r>
              <w:rPr>
                <w:rFonts w:hint="eastAsia" w:ascii="宋体" w:hAnsi="宋体" w:eastAsia="宋体" w:cs="宋体"/>
                <w:b/>
                <w:bCs/>
                <w:color w:val="auto"/>
                <w:spacing w:val="4"/>
                <w:sz w:val="24"/>
                <w:szCs w:val="24"/>
                <w:highlight w:val="none"/>
                <w:lang w:val="zh-CN"/>
              </w:rPr>
              <w:t>后五个工作日内，由各投标人补交一正两副纸质投标文件</w:t>
            </w:r>
            <w:r>
              <w:rPr>
                <w:rFonts w:hint="eastAsia" w:ascii="宋体" w:hAnsi="宋体" w:eastAsia="宋体" w:cs="宋体"/>
                <w:b/>
                <w:bCs/>
                <w:color w:val="auto"/>
                <w:spacing w:val="4"/>
                <w:sz w:val="24"/>
                <w:szCs w:val="24"/>
                <w:highlight w:val="none"/>
                <w:lang w:val="en-US" w:eastAsia="zh-CN"/>
              </w:rPr>
              <w:t>及电子版投标文件</w:t>
            </w:r>
            <w:r>
              <w:rPr>
                <w:rFonts w:hint="eastAsia" w:ascii="宋体" w:hAnsi="宋体" w:eastAsia="宋体" w:cs="宋体"/>
                <w:b/>
                <w:bCs/>
                <w:color w:val="auto"/>
                <w:spacing w:val="4"/>
                <w:sz w:val="24"/>
                <w:szCs w:val="24"/>
                <w:highlight w:val="none"/>
                <w:lang w:val="zh-CN"/>
              </w:rPr>
              <w:t>（U 盘word 版</w:t>
            </w:r>
            <w:r>
              <w:rPr>
                <w:rFonts w:hint="eastAsia" w:ascii="宋体" w:hAnsi="宋体" w:eastAsia="宋体" w:cs="宋体"/>
                <w:b/>
                <w:bCs/>
                <w:color w:val="auto"/>
                <w:spacing w:val="4"/>
                <w:sz w:val="24"/>
                <w:szCs w:val="24"/>
                <w:highlight w:val="none"/>
                <w:lang w:val="zh-CN" w:eastAsia="zh-CN"/>
              </w:rPr>
              <w:t>及最终生成软件版不加密的投标文件</w:t>
            </w:r>
            <w:r>
              <w:rPr>
                <w:rFonts w:hint="eastAsia" w:ascii="宋体" w:hAnsi="宋体" w:cs="宋体"/>
                <w:b/>
                <w:bCs/>
                <w:color w:val="auto"/>
                <w:spacing w:val="4"/>
                <w:sz w:val="24"/>
                <w:szCs w:val="24"/>
                <w:highlight w:val="none"/>
                <w:lang w:val="en-US" w:eastAsia="zh-CN"/>
              </w:rPr>
              <w:t>PDF</w:t>
            </w:r>
            <w:r>
              <w:rPr>
                <w:rFonts w:hint="eastAsia" w:ascii="宋体" w:hAnsi="宋体" w:eastAsia="宋体" w:cs="宋体"/>
                <w:b/>
                <w:bCs/>
                <w:color w:val="auto"/>
                <w:spacing w:val="4"/>
                <w:sz w:val="24"/>
                <w:szCs w:val="24"/>
                <w:highlight w:val="none"/>
                <w:lang w:val="zh-CN"/>
              </w:rPr>
              <w:t>）（备案用）。</w:t>
            </w:r>
          </w:p>
          <w:p>
            <w:pPr>
              <w:spacing w:line="360" w:lineRule="auto"/>
              <w:ind w:firstLine="496" w:firstLineChars="200"/>
              <w:jc w:val="left"/>
              <w:rPr>
                <w:rFonts w:hint="eastAsia" w:ascii="宋体" w:hAnsi="宋体" w:eastAsia="宋体" w:cs="宋体"/>
                <w:color w:val="auto"/>
                <w:szCs w:val="24"/>
                <w:highlight w:val="none"/>
                <w:lang w:val="zh-CN"/>
              </w:rPr>
            </w:pPr>
            <w:r>
              <w:rPr>
                <w:rFonts w:hint="eastAsia" w:ascii="宋体" w:hAnsi="宋体" w:eastAsia="宋体" w:cs="宋体"/>
                <w:color w:val="auto"/>
                <w:spacing w:val="4"/>
                <w:sz w:val="24"/>
                <w:szCs w:val="24"/>
                <w:highlight w:val="none"/>
                <w:lang w:val="en-US" w:eastAsia="zh-CN"/>
              </w:rPr>
              <w:t>纸质版</w:t>
            </w:r>
            <w:r>
              <w:rPr>
                <w:rFonts w:hint="eastAsia" w:ascii="宋体" w:hAnsi="宋体" w:eastAsia="宋体" w:cs="宋体"/>
                <w:color w:val="auto"/>
                <w:spacing w:val="4"/>
                <w:sz w:val="24"/>
                <w:szCs w:val="24"/>
                <w:highlight w:val="none"/>
                <w:lang w:val="zh-CN"/>
              </w:rPr>
              <w:t>投标文件正本、所有的副本、电子版需分开密封装在单独的封袋中（封袋不得有破损），且在封袋正面标明“正本”“副本”“电子版本”字样。封袋应加贴封条，在封线处由法定代表人或授权委托人代表签字并加盖投标人鲜章，封袋正面要粘贴投标人全称、项目名称、项目编号等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27</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投标报价</w:t>
            </w:r>
          </w:p>
        </w:tc>
        <w:tc>
          <w:tcPr>
            <w:tcW w:w="6998" w:type="dxa"/>
            <w:vAlign w:val="center"/>
          </w:tcPr>
          <w:p>
            <w:pPr>
              <w:keepNext w:val="0"/>
              <w:keepLines w:val="0"/>
              <w:pageBreakBefore w:val="0"/>
              <w:overflowPunct/>
              <w:topLinePunct w:val="0"/>
              <w:bidi w:val="0"/>
              <w:adjustRightInd/>
              <w:spacing w:line="360" w:lineRule="auto"/>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合同价即</w:t>
            </w:r>
            <w:r>
              <w:rPr>
                <w:rFonts w:hint="eastAsia" w:ascii="宋体" w:hAnsi="宋体" w:eastAsia="宋体" w:cs="宋体"/>
                <w:color w:val="auto"/>
                <w:szCs w:val="24"/>
                <w:highlight w:val="none"/>
                <w:lang w:val="en-US" w:eastAsia="zh-CN"/>
              </w:rPr>
              <w:t>成交</w:t>
            </w:r>
            <w:r>
              <w:rPr>
                <w:rFonts w:hint="eastAsia" w:ascii="宋体" w:hAnsi="宋体" w:eastAsia="宋体" w:cs="宋体"/>
                <w:color w:val="auto"/>
                <w:szCs w:val="24"/>
                <w:highlight w:val="none"/>
                <w:lang w:val="zh-CN"/>
              </w:rPr>
              <w:t>价，</w:t>
            </w:r>
            <w:r>
              <w:rPr>
                <w:rFonts w:hint="eastAsia" w:ascii="宋体" w:hAnsi="宋体" w:eastAsia="宋体" w:cs="宋体"/>
                <w:color w:val="auto"/>
                <w:szCs w:val="24"/>
                <w:highlight w:val="none"/>
                <w:lang w:val="zh-CN" w:eastAsia="zh-CN"/>
              </w:rPr>
              <w:t>供应商</w:t>
            </w:r>
            <w:r>
              <w:rPr>
                <w:rFonts w:hint="eastAsia" w:ascii="宋体" w:hAnsi="宋体" w:eastAsia="宋体" w:cs="宋体"/>
                <w:color w:val="auto"/>
                <w:szCs w:val="24"/>
                <w:highlight w:val="none"/>
                <w:lang w:val="zh-CN"/>
              </w:rPr>
              <w:t>应在投标报价表中标明完成本次招标所要求的货物、服务、验收合格的所有费用，包括</w:t>
            </w:r>
            <w:r>
              <w:rPr>
                <w:rFonts w:hint="eastAsia" w:ascii="宋体" w:hAnsi="宋体" w:eastAsia="宋体" w:cs="宋体"/>
                <w:color w:val="auto"/>
                <w:szCs w:val="24"/>
                <w:highlight w:val="none"/>
                <w:lang w:val="en-US" w:eastAsia="zh-CN"/>
              </w:rPr>
              <w:t>服务</w:t>
            </w:r>
            <w:r>
              <w:rPr>
                <w:rFonts w:hint="eastAsia" w:ascii="宋体" w:hAnsi="宋体" w:eastAsia="宋体" w:cs="宋体"/>
                <w:color w:val="auto"/>
                <w:szCs w:val="24"/>
                <w:highlight w:val="none"/>
                <w:lang w:val="zh-CN" w:eastAsia="zh-CN"/>
              </w:rPr>
              <w:t>费、</w:t>
            </w:r>
            <w:r>
              <w:rPr>
                <w:rFonts w:hint="eastAsia" w:ascii="宋体" w:hAnsi="宋体" w:eastAsia="宋体" w:cs="宋体"/>
                <w:color w:val="auto"/>
                <w:szCs w:val="24"/>
                <w:highlight w:val="none"/>
                <w:lang w:val="en-US" w:eastAsia="zh-CN"/>
              </w:rPr>
              <w:t>税费</w:t>
            </w:r>
            <w:r>
              <w:rPr>
                <w:rFonts w:hint="eastAsia" w:ascii="宋体" w:hAnsi="宋体" w:eastAsia="宋体" w:cs="宋体"/>
                <w:color w:val="auto"/>
                <w:szCs w:val="24"/>
                <w:highlight w:val="none"/>
                <w:lang w:val="zh-CN"/>
              </w:rPr>
              <w:t>等其他一切相关费用。投标报价表中标明本次货物、服务、工程的所有单项价格和总价，任何有选择的报价将不予接受，按无效投标处理。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28</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评标办法及标准</w:t>
            </w:r>
          </w:p>
        </w:tc>
        <w:tc>
          <w:tcPr>
            <w:tcW w:w="6998" w:type="dxa"/>
            <w:vAlign w:val="center"/>
          </w:tcPr>
          <w:p>
            <w:pPr>
              <w:pStyle w:val="52"/>
              <w:keepNext w:val="0"/>
              <w:keepLines w:val="0"/>
              <w:pageBreakBefore w:val="0"/>
              <w:overflowPunct/>
              <w:topLinePunct w:val="0"/>
              <w:bidi w:val="0"/>
              <w:adjustRightInd/>
              <w:spacing w:line="360" w:lineRule="auto"/>
              <w:rPr>
                <w:rFonts w:ascii="宋体" w:hAnsi="宋体" w:cs="宋体"/>
                <w:color w:val="auto"/>
                <w:kern w:val="2"/>
                <w:sz w:val="24"/>
                <w:szCs w:val="24"/>
                <w:highlight w:val="none"/>
                <w:lang w:val="zh-CN"/>
              </w:rPr>
            </w:pPr>
            <w:r>
              <w:rPr>
                <w:rFonts w:hint="eastAsia" w:ascii="宋体" w:hAnsi="宋体" w:cs="宋体"/>
                <w:color w:val="auto"/>
                <w:kern w:val="2"/>
                <w:sz w:val="24"/>
                <w:szCs w:val="24"/>
                <w:highlight w:val="none"/>
                <w:lang w:val="zh-CN"/>
              </w:rPr>
              <w:t>详见本章第（七）项评分内容和评分方式。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29</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其它事项</w:t>
            </w:r>
          </w:p>
        </w:tc>
        <w:tc>
          <w:tcPr>
            <w:tcW w:w="6998" w:type="dxa"/>
            <w:vAlign w:val="center"/>
          </w:tcPr>
          <w:p>
            <w:pPr>
              <w:pStyle w:val="52"/>
              <w:keepNext w:val="0"/>
              <w:keepLines w:val="0"/>
              <w:pageBreakBefore w:val="0"/>
              <w:overflowPunct/>
              <w:topLinePunct w:val="0"/>
              <w:bidi w:val="0"/>
              <w:adjustRightInd/>
              <w:spacing w:line="360" w:lineRule="auto"/>
              <w:rPr>
                <w:rFonts w:ascii="宋体" w:hAnsi="宋体" w:cs="宋体"/>
                <w:color w:val="auto"/>
                <w:kern w:val="2"/>
                <w:sz w:val="24"/>
                <w:szCs w:val="24"/>
                <w:highlight w:val="none"/>
                <w:lang w:val="zh-CN"/>
              </w:rPr>
            </w:pPr>
            <w:r>
              <w:rPr>
                <w:rFonts w:hint="eastAsia" w:ascii="宋体" w:hAnsi="宋体" w:cs="宋体"/>
                <w:color w:val="auto"/>
                <w:kern w:val="2"/>
                <w:sz w:val="24"/>
                <w:szCs w:val="24"/>
                <w:highlight w:val="none"/>
                <w:lang w:val="zh-CN"/>
              </w:rPr>
              <w:t>1、本次采购、投标报价、评审和合同授予均以项目为单位，投标供应商必须就一个完整项目进行响应。</w:t>
            </w:r>
            <w:r>
              <w:rPr>
                <w:rFonts w:hint="eastAsia" w:ascii="宋体" w:hAnsi="宋体" w:cs="宋体"/>
                <w:b/>
                <w:bCs/>
                <w:color w:val="auto"/>
                <w:kern w:val="2"/>
                <w:sz w:val="24"/>
                <w:szCs w:val="24"/>
                <w:highlight w:val="none"/>
                <w:lang w:val="zh-CN"/>
              </w:rPr>
              <w:t>成交供应商与采购人在成交通知书发出</w:t>
            </w:r>
            <w:r>
              <w:rPr>
                <w:rFonts w:hint="eastAsia" w:ascii="宋体" w:hAnsi="宋体" w:cs="宋体"/>
                <w:b/>
                <w:bCs/>
                <w:color w:val="auto"/>
                <w:kern w:val="2"/>
                <w:sz w:val="24"/>
                <w:szCs w:val="24"/>
                <w:highlight w:val="none"/>
                <w:lang w:val="en-US" w:eastAsia="zh-CN"/>
              </w:rPr>
              <w:t>10个工作日</w:t>
            </w:r>
            <w:r>
              <w:rPr>
                <w:rFonts w:hint="eastAsia" w:ascii="宋体" w:hAnsi="宋体" w:cs="宋体"/>
                <w:b/>
                <w:bCs/>
                <w:color w:val="auto"/>
                <w:kern w:val="2"/>
                <w:sz w:val="24"/>
                <w:szCs w:val="24"/>
                <w:highlight w:val="none"/>
                <w:lang w:val="zh-CN"/>
              </w:rPr>
              <w:t>内签订合同</w:t>
            </w:r>
            <w:r>
              <w:rPr>
                <w:rFonts w:hint="eastAsia" w:ascii="宋体" w:hAnsi="宋体" w:cs="宋体"/>
                <w:color w:val="auto"/>
                <w:kern w:val="2"/>
                <w:sz w:val="24"/>
                <w:szCs w:val="24"/>
                <w:highlight w:val="none"/>
                <w:lang w:val="zh-CN"/>
              </w:rPr>
              <w:t>，不及时签订视为自动放弃。非经采购人同意，本项目不允许成交后另行转包或者分包。成交人无正当理由不得放弃成交。因自身原因拒绝签订政府采购合同的或者未按合同约定进行履约的，成交人不得参加对该项目重新开展的招标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szCs w:val="24"/>
                <w:highlight w:val="none"/>
                <w:lang w:val="en-US" w:eastAsia="zh-CN"/>
              </w:rPr>
            </w:pPr>
            <w:r>
              <w:rPr>
                <w:rFonts w:hint="eastAsia" w:ascii="宋体" w:hAnsi="宋体" w:cs="宋体"/>
                <w:color w:val="auto"/>
                <w:szCs w:val="24"/>
                <w:highlight w:val="none"/>
                <w:lang w:val="en-US" w:eastAsia="zh-CN"/>
              </w:rPr>
              <w:t>30</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同义</w:t>
            </w:r>
          </w:p>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词语</w:t>
            </w:r>
          </w:p>
        </w:tc>
        <w:tc>
          <w:tcPr>
            <w:tcW w:w="6998" w:type="dxa"/>
            <w:vAlign w:val="center"/>
          </w:tcPr>
          <w:p>
            <w:pPr>
              <w:keepNext w:val="0"/>
              <w:keepLines w:val="0"/>
              <w:pageBreakBefore w:val="0"/>
              <w:overflowPunct/>
              <w:topLinePunct w:val="0"/>
              <w:bidi w:val="0"/>
              <w:adjustRightInd/>
              <w:spacing w:line="360" w:lineRule="auto"/>
              <w:rPr>
                <w:rFonts w:ascii="宋体" w:hAnsi="宋体" w:cs="宋体"/>
                <w:color w:val="auto"/>
                <w:szCs w:val="24"/>
                <w:highlight w:val="none"/>
              </w:rPr>
            </w:pPr>
            <w:r>
              <w:rPr>
                <w:rFonts w:hint="eastAsia" w:ascii="宋体" w:hAnsi="宋体" w:cs="宋体"/>
                <w:color w:val="auto"/>
                <w:highlight w:val="none"/>
              </w:rPr>
              <w:t>构成竞争性磋商文件组成部分的各章节中出现的措辞“委托人”、“发包人“和“供应商”、“承包人”，在招标投标阶段应当分别按“采购人”和“供应商”进行理解。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31</w:t>
            </w:r>
          </w:p>
        </w:tc>
        <w:tc>
          <w:tcPr>
            <w:tcW w:w="2193" w:type="dxa"/>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pacing w:val="4"/>
                <w:sz w:val="24"/>
                <w:szCs w:val="24"/>
                <w:highlight w:val="none"/>
              </w:rPr>
              <w:t>政府采购信用融资</w:t>
            </w:r>
            <w:r>
              <w:rPr>
                <w:rFonts w:hint="eastAsia" w:ascii="宋体" w:hAnsi="宋体" w:cs="宋体"/>
                <w:color w:val="auto"/>
                <w:spacing w:val="4"/>
                <w:sz w:val="24"/>
                <w:szCs w:val="24"/>
                <w:highlight w:val="none"/>
                <w:lang w:val="en-US" w:eastAsia="zh-CN"/>
              </w:rPr>
              <w:t>政策</w:t>
            </w:r>
          </w:p>
        </w:tc>
        <w:tc>
          <w:tcPr>
            <w:tcW w:w="6998" w:type="dxa"/>
            <w:vAlign w:val="center"/>
          </w:tcPr>
          <w:p>
            <w:pPr>
              <w:spacing w:line="360" w:lineRule="auto"/>
              <w:jc w:val="left"/>
              <w:rPr>
                <w:rFonts w:hint="eastAsia" w:ascii="宋体" w:hAnsi="宋体" w:eastAsia="宋体" w:cs="宋体"/>
                <w:color w:val="auto"/>
                <w:kern w:val="2"/>
                <w:sz w:val="24"/>
                <w:highlight w:val="none"/>
                <w:lang w:val="en-US" w:eastAsia="zh-CN" w:bidi="ar-SA"/>
              </w:rPr>
            </w:pPr>
            <w:r>
              <w:rPr>
                <w:rFonts w:hint="eastAsia" w:ascii="宋体" w:hAnsi="宋体" w:cs="宋体"/>
                <w:color w:val="auto"/>
                <w:spacing w:val="4"/>
                <w:sz w:val="24"/>
                <w:szCs w:val="24"/>
                <w:highlight w:val="none"/>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暂行办法》（财库〔2011〕181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w:t>
            </w:r>
            <w:r>
              <w:rPr>
                <w:rFonts w:hint="eastAsia" w:ascii="宋体" w:hAnsi="宋体" w:cs="宋体"/>
                <w:color w:val="auto"/>
                <w:spacing w:val="4"/>
                <w:sz w:val="24"/>
                <w:szCs w:val="24"/>
                <w:highlight w:val="none"/>
                <w:lang w:eastAsia="zh-CN"/>
              </w:rPr>
              <w:t>平</w:t>
            </w:r>
            <w:r>
              <w:rPr>
                <w:rFonts w:hint="eastAsia" w:ascii="宋体" w:hAnsi="宋体" w:cs="宋体"/>
                <w:color w:val="auto"/>
                <w:spacing w:val="4"/>
                <w:sz w:val="24"/>
                <w:szCs w:val="24"/>
                <w:highlight w:val="none"/>
              </w:rPr>
              <w:t>台（http://www.ccgp-shaanxi.gov.cn/zcdservice/zcd/shanxi/）在线申请，或线下对接政采贷业务合作银行中国银行榆林分行（联系人：叶田；联系电话：0912-3426909，18629120425），依法参加政府采购信用融资活动。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32</w:t>
            </w:r>
          </w:p>
        </w:tc>
        <w:tc>
          <w:tcPr>
            <w:tcW w:w="2193" w:type="dxa"/>
            <w:vAlign w:val="center"/>
          </w:tcPr>
          <w:p>
            <w:pPr>
              <w:spacing w:line="360" w:lineRule="auto"/>
              <w:jc w:val="center"/>
              <w:rPr>
                <w:rFonts w:hint="eastAsia" w:ascii="宋体" w:hAnsi="宋体" w:eastAsia="宋体" w:cs="Times New Roman"/>
                <w:color w:val="auto"/>
                <w:kern w:val="2"/>
                <w:sz w:val="24"/>
                <w:szCs w:val="24"/>
                <w:highlight w:val="none"/>
                <w:lang w:val="en-US" w:eastAsia="zh-CN" w:bidi="ar-SA"/>
              </w:rPr>
            </w:pPr>
            <w:r>
              <w:rPr>
                <w:rFonts w:hint="eastAsia" w:ascii="宋体" w:hAnsi="宋体"/>
                <w:color w:val="auto"/>
                <w:szCs w:val="24"/>
                <w:highlight w:val="none"/>
                <w:lang w:val="en-US" w:eastAsia="zh-CN"/>
              </w:rPr>
              <w:t>电子标</w:t>
            </w:r>
            <w:r>
              <w:rPr>
                <w:rFonts w:hint="eastAsia" w:ascii="宋体" w:hAnsi="宋体"/>
                <w:color w:val="auto"/>
                <w:szCs w:val="24"/>
                <w:highlight w:val="none"/>
                <w:lang w:eastAsia="zh-CN"/>
              </w:rPr>
              <w:t>特别提醒</w:t>
            </w:r>
          </w:p>
        </w:tc>
        <w:tc>
          <w:tcPr>
            <w:tcW w:w="6998" w:type="dxa"/>
            <w:vAlign w:val="center"/>
          </w:tcPr>
          <w:p>
            <w:pPr>
              <w:keepNext w:val="0"/>
              <w:keepLines w:val="0"/>
              <w:suppressLineNumbers w:val="0"/>
              <w:spacing w:before="0" w:beforeAutospacing="0" w:after="0" w:afterAutospacing="0" w:line="360" w:lineRule="auto"/>
              <w:ind w:right="0"/>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2"/>
                <w:highlight w:val="none"/>
              </w:rPr>
              <w:t>特别提醒</w:t>
            </w:r>
            <w:r>
              <w:rPr>
                <w:rFonts w:hint="eastAsia" w:ascii="宋体" w:hAnsi="宋体" w:eastAsia="宋体" w:cs="宋体"/>
                <w:b/>
                <w:bCs/>
                <w:color w:val="auto"/>
                <w:sz w:val="24"/>
                <w:szCs w:val="22"/>
                <w:highlight w:val="none"/>
                <w:lang w:eastAsia="zh-CN"/>
              </w:rPr>
              <w:t>：</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lang w:val="en-US" w:eastAsia="zh-CN"/>
              </w:rPr>
              <w:t>1、</w:t>
            </w:r>
            <w:r>
              <w:rPr>
                <w:rFonts w:hint="eastAsia" w:ascii="宋体" w:hAnsi="宋体" w:eastAsia="宋体" w:cs="宋体"/>
                <w:color w:val="auto"/>
                <w:sz w:val="24"/>
                <w:szCs w:val="22"/>
                <w:highlight w:val="none"/>
                <w:lang w:eastAsia="zh-CN"/>
              </w:rPr>
              <w:t>供应商</w:t>
            </w:r>
            <w:r>
              <w:rPr>
                <w:rFonts w:hint="eastAsia" w:ascii="宋体" w:hAnsi="宋体" w:eastAsia="宋体" w:cs="宋体"/>
                <w:color w:val="auto"/>
                <w:sz w:val="24"/>
                <w:szCs w:val="22"/>
                <w:highlight w:val="none"/>
              </w:rPr>
              <w:t>须使用数字认证证书对电子化</w:t>
            </w:r>
            <w:r>
              <w:rPr>
                <w:rFonts w:hint="eastAsia" w:ascii="宋体" w:hAnsi="宋体" w:eastAsia="宋体" w:cs="宋体"/>
                <w:color w:val="auto"/>
                <w:sz w:val="24"/>
                <w:szCs w:val="22"/>
                <w:highlight w:val="none"/>
                <w:lang w:eastAsia="zh-CN"/>
              </w:rPr>
              <w:t>磋商响应文件</w:t>
            </w:r>
            <w:r>
              <w:rPr>
                <w:rFonts w:hint="eastAsia" w:ascii="宋体" w:hAnsi="宋体" w:eastAsia="宋体" w:cs="宋体"/>
                <w:color w:val="auto"/>
                <w:sz w:val="24"/>
                <w:szCs w:val="22"/>
                <w:highlight w:val="none"/>
              </w:rPr>
              <w:t>进行签章、加密、递交及开标时解密等相关招投标事宜。现场递交</w:t>
            </w:r>
            <w:r>
              <w:rPr>
                <w:rFonts w:hint="eastAsia" w:ascii="宋体" w:hAnsi="宋体" w:eastAsia="宋体" w:cs="宋体"/>
                <w:color w:val="auto"/>
                <w:sz w:val="24"/>
                <w:szCs w:val="22"/>
                <w:highlight w:val="none"/>
                <w:lang w:eastAsia="zh-CN"/>
              </w:rPr>
              <w:t>磋商响应文件</w:t>
            </w:r>
            <w:r>
              <w:rPr>
                <w:rFonts w:hint="eastAsia" w:ascii="宋体" w:hAnsi="宋体" w:eastAsia="宋体" w:cs="宋体"/>
                <w:color w:val="auto"/>
                <w:sz w:val="24"/>
                <w:szCs w:val="22"/>
                <w:highlight w:val="none"/>
              </w:rPr>
              <w:t>时务必携带数字认证证书（主锁及上传文件所用的副锁），如因</w:t>
            </w:r>
            <w:r>
              <w:rPr>
                <w:rFonts w:hint="eastAsia" w:ascii="宋体" w:hAnsi="宋体" w:eastAsia="宋体" w:cs="宋体"/>
                <w:color w:val="auto"/>
                <w:sz w:val="24"/>
                <w:szCs w:val="22"/>
                <w:highlight w:val="none"/>
                <w:lang w:eastAsia="zh-CN"/>
              </w:rPr>
              <w:t>供应商</w:t>
            </w:r>
            <w:r>
              <w:rPr>
                <w:rFonts w:hint="eastAsia" w:ascii="宋体" w:hAnsi="宋体" w:eastAsia="宋体" w:cs="宋体"/>
                <w:color w:val="auto"/>
                <w:sz w:val="24"/>
                <w:szCs w:val="22"/>
                <w:highlight w:val="none"/>
              </w:rPr>
              <w:t>自身原因造成无法解密</w:t>
            </w:r>
            <w:r>
              <w:rPr>
                <w:rFonts w:hint="eastAsia" w:ascii="宋体" w:hAnsi="宋体" w:eastAsia="宋体" w:cs="宋体"/>
                <w:color w:val="auto"/>
                <w:sz w:val="24"/>
                <w:szCs w:val="22"/>
                <w:highlight w:val="none"/>
                <w:lang w:eastAsia="zh-CN"/>
              </w:rPr>
              <w:t>磋商响应文件</w:t>
            </w:r>
            <w:r>
              <w:rPr>
                <w:rFonts w:hint="eastAsia" w:ascii="宋体" w:hAnsi="宋体" w:eastAsia="宋体" w:cs="宋体"/>
                <w:color w:val="auto"/>
                <w:sz w:val="24"/>
                <w:szCs w:val="22"/>
                <w:highlight w:val="none"/>
              </w:rPr>
              <w:t>，按无效投标对待。</w:t>
            </w:r>
          </w:p>
          <w:p>
            <w:pPr>
              <w:keepNext w:val="0"/>
              <w:keepLines w:val="0"/>
              <w:numPr>
                <w:ilvl w:val="0"/>
                <w:numId w:val="0"/>
              </w:numPr>
              <w:suppressLineNumbers w:val="0"/>
              <w:spacing w:before="0" w:beforeAutospacing="0" w:after="0" w:afterAutospacing="0" w:line="360" w:lineRule="auto"/>
              <w:ind w:left="0" w:right="0" w:firstLine="480" w:firstLineChars="200"/>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2、</w:t>
            </w:r>
            <w:r>
              <w:rPr>
                <w:rFonts w:hint="eastAsia" w:ascii="宋体" w:hAnsi="宋体" w:eastAsia="宋体" w:cs="宋体"/>
                <w:color w:val="auto"/>
                <w:sz w:val="24"/>
                <w:szCs w:val="22"/>
                <w:highlight w:val="none"/>
              </w:rPr>
              <w:t>制作电子</w:t>
            </w:r>
            <w:r>
              <w:rPr>
                <w:rFonts w:hint="eastAsia" w:ascii="宋体" w:hAnsi="宋体" w:eastAsia="宋体" w:cs="宋体"/>
                <w:color w:val="auto"/>
                <w:sz w:val="24"/>
                <w:szCs w:val="22"/>
                <w:highlight w:val="none"/>
                <w:lang w:eastAsia="zh-CN"/>
              </w:rPr>
              <w:t>磋商响应文件</w:t>
            </w:r>
            <w:r>
              <w:rPr>
                <w:rFonts w:hint="eastAsia" w:ascii="宋体" w:hAnsi="宋体" w:eastAsia="宋体" w:cs="宋体"/>
                <w:color w:val="auto"/>
                <w:sz w:val="24"/>
                <w:szCs w:val="22"/>
                <w:highlight w:val="none"/>
              </w:rPr>
              <w:t>。</w:t>
            </w:r>
            <w:r>
              <w:rPr>
                <w:rFonts w:hint="eastAsia" w:ascii="宋体" w:hAnsi="宋体" w:eastAsia="宋体" w:cs="宋体"/>
                <w:color w:val="auto"/>
                <w:sz w:val="24"/>
                <w:szCs w:val="22"/>
                <w:highlight w:val="none"/>
                <w:lang w:eastAsia="zh-CN"/>
              </w:rPr>
              <w:t>供应商</w:t>
            </w:r>
            <w:r>
              <w:rPr>
                <w:rFonts w:hint="eastAsia" w:ascii="宋体" w:hAnsi="宋体" w:eastAsia="宋体" w:cs="宋体"/>
                <w:color w:val="auto"/>
                <w:sz w:val="24"/>
                <w:szCs w:val="22"/>
                <w:highlight w:val="none"/>
              </w:rPr>
              <w:t>须在“全国公共资源交易中心平台（陕西省）（http://www.sxggzyjy.cn/）”的“服务指南” 栏目“下载专区”中，免费下载“陕西省公共资源交易平台政府采购电子标书制作工具” 及“政府采购投标单位操作手册”</w:t>
            </w:r>
            <w:r>
              <w:rPr>
                <w:rFonts w:hint="eastAsia" w:ascii="宋体" w:hAnsi="宋体" w:cs="宋体"/>
                <w:color w:val="auto"/>
                <w:sz w:val="24"/>
                <w:szCs w:val="22"/>
                <w:highlight w:val="none"/>
                <w:lang w:eastAsia="zh-CN"/>
              </w:rPr>
              <w:t>“政府采购投标单位二次报价操作手册”</w:t>
            </w:r>
            <w:r>
              <w:rPr>
                <w:rFonts w:hint="eastAsia" w:ascii="宋体" w:hAnsi="宋体" w:eastAsia="宋体" w:cs="宋体"/>
                <w:color w:val="auto"/>
                <w:sz w:val="24"/>
                <w:szCs w:val="22"/>
                <w:highlight w:val="none"/>
              </w:rPr>
              <w:t>， 并使用该客户端制作电子</w:t>
            </w:r>
            <w:r>
              <w:rPr>
                <w:rFonts w:hint="eastAsia" w:ascii="宋体" w:hAnsi="宋体" w:eastAsia="宋体" w:cs="宋体"/>
                <w:color w:val="auto"/>
                <w:sz w:val="24"/>
                <w:szCs w:val="22"/>
                <w:highlight w:val="none"/>
                <w:lang w:eastAsia="zh-CN"/>
              </w:rPr>
              <w:t>磋商响应文件</w:t>
            </w:r>
            <w:r>
              <w:rPr>
                <w:rFonts w:hint="eastAsia" w:ascii="宋体" w:hAnsi="宋体" w:eastAsia="宋体" w:cs="宋体"/>
                <w:color w:val="auto"/>
                <w:sz w:val="24"/>
                <w:szCs w:val="22"/>
                <w:highlight w:val="none"/>
              </w:rPr>
              <w:t>，制作扩展名为“.SXSTF”的电子</w:t>
            </w:r>
            <w:r>
              <w:rPr>
                <w:rFonts w:hint="eastAsia" w:ascii="宋体" w:hAnsi="宋体" w:eastAsia="宋体" w:cs="宋体"/>
                <w:color w:val="auto"/>
                <w:sz w:val="24"/>
                <w:szCs w:val="22"/>
                <w:highlight w:val="none"/>
                <w:lang w:eastAsia="zh-CN"/>
              </w:rPr>
              <w:t>磋商响应文件</w:t>
            </w:r>
            <w:r>
              <w:rPr>
                <w:rFonts w:hint="eastAsia" w:ascii="宋体" w:hAnsi="宋体" w:eastAsia="宋体" w:cs="宋体"/>
                <w:color w:val="auto"/>
                <w:sz w:val="24"/>
                <w:szCs w:val="22"/>
                <w:highlight w:val="none"/>
              </w:rPr>
              <w:t>。</w:t>
            </w:r>
            <w:r>
              <w:rPr>
                <w:rFonts w:hint="eastAsia" w:ascii="宋体" w:hAnsi="宋体" w:eastAsia="宋体" w:cs="宋体"/>
                <w:color w:val="auto"/>
                <w:sz w:val="24"/>
                <w:szCs w:val="22"/>
                <w:highlight w:val="none"/>
                <w:lang w:val="en-US" w:eastAsia="zh-CN"/>
              </w:rPr>
              <w:t xml:space="preserve"> </w:t>
            </w:r>
          </w:p>
          <w:p>
            <w:pPr>
              <w:keepNext w:val="0"/>
              <w:keepLines w:val="0"/>
              <w:numPr>
                <w:ilvl w:val="0"/>
                <w:numId w:val="0"/>
              </w:numPr>
              <w:suppressLineNumbers w:val="0"/>
              <w:spacing w:before="0" w:beforeAutospacing="0" w:after="0" w:afterAutospacing="0" w:line="360" w:lineRule="auto"/>
              <w:ind w:left="0" w:right="0"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lang w:val="en-US" w:eastAsia="zh-CN"/>
              </w:rPr>
              <w:t>3、</w:t>
            </w:r>
            <w:r>
              <w:rPr>
                <w:rFonts w:hint="eastAsia" w:ascii="宋体" w:hAnsi="宋体" w:eastAsia="宋体" w:cs="宋体"/>
                <w:color w:val="auto"/>
                <w:sz w:val="24"/>
                <w:szCs w:val="22"/>
                <w:highlight w:val="none"/>
              </w:rPr>
              <w:t>递交电子</w:t>
            </w:r>
            <w:r>
              <w:rPr>
                <w:rFonts w:hint="eastAsia" w:ascii="宋体" w:hAnsi="宋体" w:eastAsia="宋体" w:cs="宋体"/>
                <w:color w:val="auto"/>
                <w:sz w:val="24"/>
                <w:szCs w:val="22"/>
                <w:highlight w:val="none"/>
                <w:lang w:eastAsia="zh-CN"/>
              </w:rPr>
              <w:t>磋商响应文件</w:t>
            </w:r>
            <w:r>
              <w:rPr>
                <w:rFonts w:hint="eastAsia" w:ascii="宋体" w:hAnsi="宋体" w:eastAsia="宋体" w:cs="宋体"/>
                <w:color w:val="auto"/>
                <w:sz w:val="24"/>
                <w:szCs w:val="22"/>
                <w:highlight w:val="none"/>
              </w:rPr>
              <w:t>。登录陕西省公共资源交易中心平台（http://xxxq.sxggzyjy.cn/），选择“电子交易平台-陕西政府采购交易系统-陕西省公共资源交易平台-供应商”进行登录，登录后选择“交易乙方”身份进入，选择“上传</w:t>
            </w:r>
            <w:r>
              <w:rPr>
                <w:rFonts w:hint="eastAsia" w:ascii="宋体" w:hAnsi="宋体" w:eastAsia="宋体" w:cs="宋体"/>
                <w:color w:val="auto"/>
                <w:sz w:val="24"/>
                <w:szCs w:val="22"/>
                <w:highlight w:val="none"/>
                <w:lang w:eastAsia="zh-CN"/>
              </w:rPr>
              <w:t>投标文件</w:t>
            </w:r>
            <w:r>
              <w:rPr>
                <w:rFonts w:hint="eastAsia" w:ascii="宋体" w:hAnsi="宋体" w:eastAsia="宋体" w:cs="宋体"/>
                <w:color w:val="auto"/>
                <w:sz w:val="24"/>
                <w:szCs w:val="22"/>
                <w:highlight w:val="none"/>
              </w:rPr>
              <w:t>”菜单页面，上传加密的电子化</w:t>
            </w:r>
            <w:r>
              <w:rPr>
                <w:rFonts w:hint="eastAsia" w:ascii="宋体" w:hAnsi="宋体" w:eastAsia="宋体" w:cs="宋体"/>
                <w:color w:val="auto"/>
                <w:sz w:val="24"/>
                <w:szCs w:val="22"/>
                <w:highlight w:val="none"/>
                <w:lang w:eastAsia="zh-CN"/>
              </w:rPr>
              <w:t>磋商响应文件</w:t>
            </w:r>
            <w:r>
              <w:rPr>
                <w:rFonts w:hint="eastAsia" w:ascii="宋体" w:hAnsi="宋体" w:eastAsia="宋体" w:cs="宋体"/>
                <w:color w:val="auto"/>
                <w:sz w:val="24"/>
                <w:szCs w:val="22"/>
                <w:highlight w:val="none"/>
              </w:rPr>
              <w:t>。上传成功后，电子化平台将予以记录。</w:t>
            </w:r>
          </w:p>
          <w:p>
            <w:pPr>
              <w:pStyle w:val="81"/>
              <w:keepNext w:val="0"/>
              <w:keepLines w:val="0"/>
              <w:widowControl/>
              <w:suppressLineNumbers w:val="0"/>
              <w:spacing w:before="0" w:beforeAutospacing="0" w:after="0" w:afterAutospacing="0" w:line="360" w:lineRule="auto"/>
              <w:ind w:left="0" w:right="0" w:firstLine="482" w:firstLineChars="200"/>
              <w:jc w:val="left"/>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4、</w:t>
            </w:r>
            <w:r>
              <w:rPr>
                <w:rFonts w:hint="eastAsia" w:ascii="宋体" w:hAnsi="宋体" w:eastAsia="宋体" w:cs="宋体"/>
                <w:color w:val="auto"/>
                <w:sz w:val="24"/>
                <w:szCs w:val="22"/>
                <w:highlight w:val="none"/>
                <w:lang w:eastAsia="zh-CN"/>
              </w:rPr>
              <w:t>磋商响应</w:t>
            </w:r>
            <w:r>
              <w:rPr>
                <w:rFonts w:hint="eastAsia" w:ascii="宋体" w:hAnsi="宋体" w:eastAsia="宋体" w:cs="宋体"/>
                <w:color w:val="auto"/>
                <w:sz w:val="24"/>
                <w:szCs w:val="22"/>
                <w:highlight w:val="none"/>
                <w:lang w:val="en-US" w:eastAsia="zh-CN"/>
              </w:rPr>
              <w:t>文件中所有涉及签字、盖章的，各投标单位须将所有签字盖章完成后上传。 </w:t>
            </w:r>
          </w:p>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5、供应商初次使用交易平台，须先完成诚信入库登记、CA锁认证及企业信息绑定。相关操作流程详见全国公共资源交易平台（陕西省）网站首页“服务指南”下载专区中的《陕西省公共资源交易中心政府采购项目投标指南》。</w:t>
            </w:r>
          </w:p>
          <w:p>
            <w:pPr>
              <w:spacing w:line="360" w:lineRule="auto"/>
              <w:ind w:firstLine="480" w:firstLineChars="200"/>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6、特别提醒：本项目采用电子化招投标的方式，供应商使用CA锁对磋商响应文件进行制作、签封、加密、递交、解密等相关招投标事宜。电子</w:t>
            </w:r>
            <w:r>
              <w:rPr>
                <w:rFonts w:hint="eastAsia" w:ascii="宋体" w:hAnsi="宋体" w:cs="宋体"/>
                <w:b w:val="0"/>
                <w:bCs/>
                <w:color w:val="auto"/>
                <w:kern w:val="0"/>
                <w:sz w:val="24"/>
                <w:szCs w:val="24"/>
                <w:highlight w:val="none"/>
                <w:lang w:val="en-US" w:eastAsia="zh-CN" w:bidi="ar"/>
              </w:rPr>
              <w:t>磋商响应</w:t>
            </w:r>
            <w:r>
              <w:rPr>
                <w:rFonts w:hint="eastAsia" w:ascii="宋体" w:hAnsi="宋体" w:eastAsia="宋体" w:cs="宋体"/>
                <w:b w:val="0"/>
                <w:bCs/>
                <w:color w:val="auto"/>
                <w:kern w:val="0"/>
                <w:sz w:val="24"/>
                <w:szCs w:val="24"/>
                <w:highlight w:val="none"/>
                <w:lang w:val="en-US" w:eastAsia="zh-CN" w:bidi="ar"/>
              </w:rPr>
              <w:t>文件制作软件技术支持热线：400-998-0000；CA锁购买：榆林市市民大厦四楼窗口,联系电话：0912-3515031；</w:t>
            </w:r>
          </w:p>
          <w:p>
            <w:pPr>
              <w:spacing w:line="360" w:lineRule="auto"/>
              <w:ind w:firstLine="480" w:firstLineChars="200"/>
              <w:rPr>
                <w:rFonts w:hint="eastAsia" w:ascii="宋体" w:hAnsi="宋体" w:eastAsia="宋体" w:cs="宋体"/>
                <w:color w:val="auto"/>
                <w:spacing w:val="4"/>
                <w:kern w:val="2"/>
                <w:sz w:val="24"/>
                <w:szCs w:val="24"/>
                <w:highlight w:val="none"/>
                <w:lang w:val="en-US" w:eastAsia="zh-CN" w:bidi="ar-SA"/>
              </w:rPr>
            </w:pPr>
            <w:r>
              <w:rPr>
                <w:rFonts w:hint="eastAsia" w:ascii="宋体" w:hAnsi="宋体" w:cs="宋体"/>
                <w:b w:val="0"/>
                <w:bCs/>
                <w:color w:val="auto"/>
                <w:kern w:val="0"/>
                <w:sz w:val="24"/>
                <w:szCs w:val="24"/>
                <w:highlight w:val="none"/>
                <w:lang w:val="en-US" w:eastAsia="zh-CN" w:bidi="ar"/>
              </w:rPr>
              <w:t>7、</w:t>
            </w:r>
            <w:r>
              <w:rPr>
                <w:rFonts w:hint="eastAsia" w:ascii="宋体" w:hAnsi="宋体" w:eastAsia="宋体" w:cs="宋体"/>
                <w:b/>
                <w:bCs w:val="0"/>
                <w:color w:val="auto"/>
                <w:kern w:val="0"/>
                <w:sz w:val="24"/>
                <w:szCs w:val="24"/>
                <w:highlight w:val="none"/>
                <w:lang w:val="en-US" w:eastAsia="zh-CN" w:bidi="ar"/>
              </w:rPr>
              <w:t>各供应商请</w:t>
            </w:r>
            <w:r>
              <w:rPr>
                <w:rFonts w:hint="eastAsia" w:ascii="宋体" w:hAnsi="宋体" w:cs="宋体"/>
                <w:b/>
                <w:bCs w:val="0"/>
                <w:color w:val="auto"/>
                <w:kern w:val="0"/>
                <w:sz w:val="24"/>
                <w:szCs w:val="24"/>
                <w:highlight w:val="none"/>
                <w:lang w:val="en-US" w:eastAsia="zh-CN" w:bidi="ar"/>
              </w:rPr>
              <w:t>随时关注网上报价页面，二次报价开始后请在规定的时间内</w:t>
            </w:r>
            <w:r>
              <w:rPr>
                <w:rFonts w:hint="eastAsia" w:ascii="宋体" w:hAnsi="宋体" w:eastAsia="宋体" w:cs="宋体"/>
                <w:b/>
                <w:bCs w:val="0"/>
                <w:color w:val="auto"/>
                <w:kern w:val="0"/>
                <w:sz w:val="24"/>
                <w:szCs w:val="24"/>
                <w:highlight w:val="none"/>
                <w:lang w:val="en-US" w:eastAsia="zh-CN" w:bidi="ar"/>
              </w:rPr>
              <w:t>进行二次报价</w:t>
            </w:r>
            <w:r>
              <w:rPr>
                <w:rFonts w:hint="eastAsia" w:ascii="宋体" w:hAnsi="宋体" w:cs="宋体"/>
                <w:b/>
                <w:bCs w:val="0"/>
                <w:color w:val="auto"/>
                <w:kern w:val="0"/>
                <w:sz w:val="24"/>
                <w:szCs w:val="24"/>
                <w:highlight w:val="none"/>
                <w:lang w:val="en-US" w:eastAsia="zh-CN" w:bidi="ar"/>
              </w:rPr>
              <w:t>，如因未及时上报二次报价所带来的不利后果投标人自行承担</w:t>
            </w:r>
            <w:r>
              <w:rPr>
                <w:rFonts w:hint="eastAsia" w:ascii="宋体" w:hAnsi="宋体" w:eastAsia="宋体" w:cs="宋体"/>
                <w:b/>
                <w:bCs w:val="0"/>
                <w:color w:val="auto"/>
                <w:kern w:val="0"/>
                <w:sz w:val="24"/>
                <w:szCs w:val="24"/>
                <w:highlight w:val="none"/>
                <w:lang w:val="en-US" w:eastAsia="zh-CN" w:bidi="ar"/>
              </w:rPr>
              <w:t>。</w:t>
            </w:r>
            <w:r>
              <w:rPr>
                <w:rFonts w:hint="eastAsia" w:ascii="宋体" w:hAnsi="宋体" w:cs="宋体"/>
                <w:b w:val="0"/>
                <w:bCs/>
                <w:color w:val="auto"/>
                <w:kern w:val="0"/>
                <w:sz w:val="24"/>
                <w:szCs w:val="24"/>
                <w:highlight w:val="none"/>
                <w:lang w:val="en-US" w:eastAsia="zh-CN" w:bidi="ar"/>
              </w:rPr>
              <w:t>具体操作流程详在</w:t>
            </w:r>
            <w:r>
              <w:rPr>
                <w:rFonts w:hint="eastAsia" w:ascii="宋体" w:hAnsi="宋体" w:eastAsia="宋体" w:cs="宋体"/>
                <w:color w:val="auto"/>
                <w:sz w:val="24"/>
                <w:szCs w:val="22"/>
                <w:highlight w:val="none"/>
              </w:rPr>
              <w:t>陕西省公共资源交易平台</w:t>
            </w:r>
            <w:r>
              <w:rPr>
                <w:rFonts w:hint="eastAsia" w:ascii="宋体" w:hAnsi="宋体" w:cs="宋体"/>
                <w:color w:val="auto"/>
                <w:sz w:val="24"/>
                <w:szCs w:val="22"/>
                <w:highlight w:val="none"/>
                <w:lang w:val="en-US" w:eastAsia="zh-CN"/>
              </w:rPr>
              <w:t>下载“</w:t>
            </w:r>
            <w:r>
              <w:rPr>
                <w:rFonts w:hint="eastAsia" w:ascii="宋体" w:hAnsi="宋体" w:cs="宋体"/>
                <w:b w:val="0"/>
                <w:bCs/>
                <w:color w:val="auto"/>
                <w:kern w:val="0"/>
                <w:sz w:val="24"/>
                <w:szCs w:val="24"/>
                <w:highlight w:val="none"/>
                <w:lang w:val="en-US" w:eastAsia="zh-CN" w:bidi="ar"/>
              </w:rPr>
              <w:t>政府采购投标单位二次报价操作手册</w:t>
            </w:r>
            <w:r>
              <w:rPr>
                <w:rFonts w:hint="eastAsia" w:ascii="宋体" w:hAnsi="宋体" w:cs="宋体"/>
                <w:color w:val="auto"/>
                <w:sz w:val="24"/>
                <w:szCs w:val="22"/>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33</w:t>
            </w:r>
          </w:p>
        </w:tc>
        <w:tc>
          <w:tcPr>
            <w:tcW w:w="2193" w:type="dxa"/>
            <w:vAlign w:val="center"/>
          </w:tcPr>
          <w:p>
            <w:pPr>
              <w:spacing w:line="360" w:lineRule="auto"/>
              <w:jc w:val="center"/>
              <w:rPr>
                <w:rFonts w:hint="default" w:ascii="宋体" w:hAnsi="宋体" w:eastAsia="宋体" w:cs="Times New Roman"/>
                <w:color w:val="auto"/>
                <w:kern w:val="2"/>
                <w:sz w:val="24"/>
                <w:szCs w:val="24"/>
                <w:highlight w:val="none"/>
                <w:lang w:val="en-US" w:eastAsia="zh-CN" w:bidi="ar-SA"/>
              </w:rPr>
            </w:pPr>
            <w:r>
              <w:rPr>
                <w:rFonts w:hint="eastAsia" w:ascii="宋体" w:hAnsi="宋体"/>
                <w:color w:val="auto"/>
                <w:szCs w:val="24"/>
                <w:highlight w:val="none"/>
                <w:lang w:val="en-US" w:eastAsia="zh-CN"/>
              </w:rPr>
              <w:t>不见面开标</w:t>
            </w:r>
          </w:p>
        </w:tc>
        <w:tc>
          <w:tcPr>
            <w:tcW w:w="6998" w:type="dxa"/>
            <w:vAlign w:val="center"/>
          </w:tcPr>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该项目将采取“不见面”开标的形式，供应商无须到达开标现场，即可在网上直接参与开标活动。相关注意事项如下：</w:t>
            </w:r>
          </w:p>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开标当日，请各供应商在开标截止时间前至少提前半小时登录“不见面”开标系统登录方式有以下几种：</w:t>
            </w:r>
          </w:p>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1）IE 浏 览 器 输 入 网 址 ：</w:t>
            </w:r>
            <w:r>
              <w:rPr>
                <w:rFonts w:hint="eastAsia" w:ascii="宋体" w:hAnsi="宋体" w:cs="宋体"/>
                <w:b w:val="0"/>
                <w:bCs/>
                <w:color w:val="auto"/>
                <w:kern w:val="0"/>
                <w:sz w:val="24"/>
                <w:szCs w:val="24"/>
                <w:highlight w:val="none"/>
                <w:lang w:val="en-US" w:eastAsia="zh-CN" w:bidi="ar"/>
              </w:rPr>
              <w:t>http://111.20.184.126:8084/BidOpeningHall/bidhall/dqxianyang/login；</w:t>
            </w:r>
          </w:p>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2）在【全国公共资源交易平台（陕西省·榆林市）】网站首页点击不见面开标模块进入；</w:t>
            </w:r>
          </w:p>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3）在【全国公共资源交易平台（陕西省）】网站首页点击不见面开标模块选择榆林市进入。注：登录不见面开标系统请选择 IE11 浏览器。</w:t>
            </w:r>
          </w:p>
          <w:p>
            <w:pPr>
              <w:pStyle w:val="81"/>
              <w:keepNext w:val="0"/>
              <w:keepLines w:val="0"/>
              <w:widowControl/>
              <w:suppressLineNumbers w:val="0"/>
              <w:spacing w:before="0" w:beforeAutospacing="0" w:after="0" w:afterAutospacing="0" w:line="360" w:lineRule="auto"/>
              <w:ind w:left="0" w:right="0" w:firstLine="480" w:firstLineChars="200"/>
              <w:jc w:val="left"/>
              <w:rPr>
                <w:rFonts w:hint="default"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2、供应商应按要求及时签到（签到时间为投标截止时间前1小时内，如果未签到将视为放弃投标资格），评审过程中，评标委员会可能会就某些问题要求供应商进行在线澄清，请供应商保持在线直到评审结束；</w:t>
            </w:r>
            <w:r>
              <w:rPr>
                <w:rFonts w:hint="eastAsia" w:ascii="宋体" w:hAnsi="宋体" w:cs="宋体"/>
                <w:b w:val="0"/>
                <w:bCs/>
                <w:color w:val="auto"/>
                <w:kern w:val="0"/>
                <w:sz w:val="24"/>
                <w:szCs w:val="24"/>
                <w:highlight w:val="none"/>
                <w:lang w:val="en-US" w:eastAsia="zh-CN" w:bidi="ar"/>
              </w:rPr>
              <w:t>供应商须在“榆林市公共资源交易中心”服务指南中下载专区下载“</w:t>
            </w:r>
            <w:r>
              <w:rPr>
                <w:rFonts w:hint="eastAsia" w:ascii="宋体" w:hAnsi="宋体" w:cs="宋体"/>
                <w:b w:val="0"/>
                <w:bCs/>
                <w:color w:val="auto"/>
                <w:kern w:val="0"/>
                <w:sz w:val="24"/>
                <w:szCs w:val="24"/>
                <w:highlight w:val="none"/>
                <w:lang w:val="en-US" w:eastAsia="zh-CN" w:bidi="ar"/>
              </w:rPr>
              <w:fldChar w:fldCharType="begin"/>
            </w:r>
            <w:r>
              <w:rPr>
                <w:rFonts w:hint="eastAsia" w:ascii="宋体" w:hAnsi="宋体" w:cs="宋体"/>
                <w:b w:val="0"/>
                <w:bCs/>
                <w:color w:val="auto"/>
                <w:kern w:val="0"/>
                <w:sz w:val="24"/>
                <w:szCs w:val="24"/>
                <w:highlight w:val="none"/>
                <w:lang w:val="en-US" w:eastAsia="zh-CN" w:bidi="ar"/>
              </w:rPr>
              <w:instrText xml:space="preserve"> HYPERLINK "http://yl.sxggzyjy.cn/BigFileUpLoadStorage/temp/2022-01-18/8114476a-c495-49cc-9576-31e5be843be5/%E6%A6%86%E6%9E%97%E4%B8%8D%E8%A7%81%E9%9D%A2%E5%BC%80%E6%A0%87%E5%A4%A7%E5%8E%85%E6%8A%95%E6%A0%87%E4%BA%BA%E8%AF%A2%E6%A0%87%E6%93%8D%E4%BD%9C%E6%89%8B%E5%86%8CV2.0.docx" \o "榆林不见面开标大厅投标人询标操作手册V2.0" \t "http://yl.sxggzyjy.cn/fwzn/004003/_blank" </w:instrText>
            </w:r>
            <w:r>
              <w:rPr>
                <w:rFonts w:hint="eastAsia" w:ascii="宋体" w:hAnsi="宋体" w:cs="宋体"/>
                <w:b w:val="0"/>
                <w:bCs/>
                <w:color w:val="auto"/>
                <w:kern w:val="0"/>
                <w:sz w:val="24"/>
                <w:szCs w:val="24"/>
                <w:highlight w:val="none"/>
                <w:lang w:val="en-US" w:eastAsia="zh-CN" w:bidi="ar"/>
              </w:rPr>
              <w:fldChar w:fldCharType="separate"/>
            </w:r>
            <w:r>
              <w:rPr>
                <w:rFonts w:hint="eastAsia" w:ascii="宋体" w:hAnsi="宋体" w:cs="宋体"/>
                <w:b w:val="0"/>
                <w:bCs/>
                <w:color w:val="auto"/>
                <w:kern w:val="0"/>
                <w:sz w:val="24"/>
                <w:szCs w:val="24"/>
                <w:highlight w:val="none"/>
                <w:lang w:val="en-US" w:eastAsia="zh-CN" w:bidi="ar"/>
              </w:rPr>
              <w:t>榆林不见面开标大厅投标人询标操作手册V2.0</w:t>
            </w:r>
            <w:r>
              <w:rPr>
                <w:rFonts w:hint="eastAsia" w:ascii="宋体" w:hAnsi="宋体" w:cs="宋体"/>
                <w:b w:val="0"/>
                <w:bCs/>
                <w:color w:val="auto"/>
                <w:kern w:val="0"/>
                <w:sz w:val="24"/>
                <w:szCs w:val="24"/>
                <w:highlight w:val="none"/>
                <w:lang w:val="en-US" w:eastAsia="zh-CN" w:bidi="ar"/>
              </w:rPr>
              <w:fldChar w:fldCharType="end"/>
            </w:r>
            <w:r>
              <w:rPr>
                <w:rFonts w:hint="eastAsia" w:ascii="宋体" w:hAnsi="宋体" w:cs="宋体"/>
                <w:b w:val="0"/>
                <w:bCs/>
                <w:color w:val="auto"/>
                <w:kern w:val="0"/>
                <w:sz w:val="24"/>
                <w:szCs w:val="24"/>
                <w:highlight w:val="none"/>
                <w:lang w:val="en-US" w:eastAsia="zh-CN" w:bidi="ar"/>
              </w:rPr>
              <w:t>”，安装该询标程序。</w:t>
            </w:r>
          </w:p>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3、投标供应商无需提交纸质投标文件，待</w:t>
            </w:r>
            <w:r>
              <w:rPr>
                <w:rFonts w:hint="eastAsia" w:ascii="宋体" w:hAnsi="宋体" w:cs="宋体"/>
                <w:b w:val="0"/>
                <w:bCs/>
                <w:color w:val="auto"/>
                <w:kern w:val="0"/>
                <w:sz w:val="24"/>
                <w:szCs w:val="24"/>
                <w:highlight w:val="none"/>
                <w:lang w:val="en-US" w:eastAsia="zh-CN" w:bidi="ar"/>
              </w:rPr>
              <w:t>开标</w:t>
            </w:r>
            <w:r>
              <w:rPr>
                <w:rFonts w:hint="eastAsia" w:ascii="宋体" w:hAnsi="宋体" w:eastAsia="宋体" w:cs="宋体"/>
                <w:b w:val="0"/>
                <w:bCs/>
                <w:color w:val="auto"/>
                <w:kern w:val="0"/>
                <w:sz w:val="24"/>
                <w:szCs w:val="24"/>
                <w:highlight w:val="none"/>
                <w:lang w:val="en-US" w:eastAsia="zh-CN" w:bidi="ar"/>
              </w:rPr>
              <w:t>后五个工作日内，由所有供应商补交一正两副纸质投标文件（备案用）。</w:t>
            </w:r>
          </w:p>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4、开标过程中，供应商在收到工作人员“开始解密”指令后，请及时使用 CA 对电子投标文件进行解密。解密时所用 CA 应与加密投标文件时所用 CA 相同； 注：解密时间为30分钟，在解密时间内供应商全部解密完成后，可提前进入开标下一阶段。</w:t>
            </w:r>
          </w:p>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5、相关技术问题，请咨询软件开发商：（1）技术支持热线：400-998-0000/400-928-0095</w:t>
            </w:r>
          </w:p>
          <w:p>
            <w:pPr>
              <w:pStyle w:val="81"/>
              <w:keepNext w:val="0"/>
              <w:keepLines w:val="0"/>
              <w:widowControl/>
              <w:suppressLineNumbers w:val="0"/>
              <w:spacing w:before="0" w:beforeAutospacing="0" w:after="0" w:afterAutospacing="0" w:line="360" w:lineRule="auto"/>
              <w:ind w:left="0" w:leftChars="0" w:right="0" w:rightChars="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6、榆林不见面开标系统操作手册下载方式：登录【全国公共资源交易平台（陕西省·榆林市）】网站首页选择【服务指南】-【下载专区】-点击【榆林不见面开标系统操作手册（</w:t>
            </w:r>
            <w:r>
              <w:rPr>
                <w:rFonts w:hint="eastAsia" w:ascii="宋体" w:hAnsi="宋体" w:cs="宋体"/>
                <w:b w:val="0"/>
                <w:bCs/>
                <w:color w:val="auto"/>
                <w:kern w:val="0"/>
                <w:sz w:val="24"/>
                <w:szCs w:val="24"/>
                <w:highlight w:val="none"/>
                <w:lang w:val="en-US" w:eastAsia="zh-CN" w:bidi="ar"/>
              </w:rPr>
              <w:t>投标人</w:t>
            </w:r>
            <w:r>
              <w:rPr>
                <w:rFonts w:hint="eastAsia" w:ascii="宋体" w:hAnsi="宋体" w:eastAsia="宋体" w:cs="宋体"/>
                <w:b w:val="0"/>
                <w:bCs/>
                <w:color w:val="auto"/>
                <w:kern w:val="0"/>
                <w:sz w:val="24"/>
                <w:szCs w:val="24"/>
                <w:highlight w:val="none"/>
                <w:lang w:val="en-US" w:eastAsia="zh-CN" w:bidi="ar"/>
              </w:rPr>
              <w:t>）】进行下载。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34</w:t>
            </w:r>
          </w:p>
        </w:tc>
        <w:tc>
          <w:tcPr>
            <w:tcW w:w="2193" w:type="dxa"/>
            <w:vAlign w:val="center"/>
          </w:tcPr>
          <w:p>
            <w:pPr>
              <w:spacing w:line="360" w:lineRule="auto"/>
              <w:jc w:val="center"/>
              <w:rPr>
                <w:rFonts w:hint="eastAsia" w:ascii="宋体" w:hAnsi="宋体" w:eastAsia="宋体" w:cs="Times New Roman"/>
                <w:color w:val="auto"/>
                <w:kern w:val="2"/>
                <w:sz w:val="24"/>
                <w:szCs w:val="24"/>
                <w:highlight w:val="none"/>
                <w:lang w:val="en-US" w:eastAsia="zh-CN" w:bidi="ar-SA"/>
              </w:rPr>
            </w:pPr>
            <w:r>
              <w:rPr>
                <w:rFonts w:hint="eastAsia" w:ascii="宋体" w:hAnsi="宋体"/>
                <w:b/>
                <w:bCs/>
                <w:color w:val="auto"/>
                <w:szCs w:val="24"/>
                <w:highlight w:val="none"/>
                <w:lang w:eastAsia="zh-CN"/>
              </w:rPr>
              <w:t>信用承诺公示要求</w:t>
            </w:r>
          </w:p>
        </w:tc>
        <w:tc>
          <w:tcPr>
            <w:tcW w:w="6998" w:type="dxa"/>
            <w:vAlign w:val="center"/>
          </w:tcPr>
          <w:p>
            <w:pPr>
              <w:spacing w:line="360" w:lineRule="auto"/>
              <w:ind w:firstLine="480" w:firstLineChars="200"/>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信用承诺:进入公共资源交易平台的各供应商，均应在“信用中国（陕西榆林）”网站进行注册、登录、自主上报信用承诺书（网址：</w:t>
            </w:r>
            <w:r>
              <w:rPr>
                <w:rFonts w:hint="eastAsia" w:ascii="宋体" w:hAnsi="宋体" w:eastAsia="宋体" w:cs="宋体"/>
                <w:b w:val="0"/>
                <w:bCs/>
                <w:color w:val="auto"/>
                <w:kern w:val="0"/>
                <w:sz w:val="24"/>
                <w:szCs w:val="24"/>
                <w:highlight w:val="none"/>
                <w:lang w:val="en-US" w:eastAsia="zh-CN" w:bidi="ar"/>
              </w:rPr>
              <w:fldChar w:fldCharType="begin"/>
            </w:r>
            <w:r>
              <w:rPr>
                <w:rFonts w:hint="eastAsia" w:ascii="宋体" w:hAnsi="宋体" w:eastAsia="宋体" w:cs="宋体"/>
                <w:b w:val="0"/>
                <w:bCs/>
                <w:color w:val="auto"/>
                <w:kern w:val="0"/>
                <w:sz w:val="24"/>
                <w:szCs w:val="24"/>
                <w:highlight w:val="none"/>
                <w:lang w:val="en-US" w:eastAsia="zh-CN" w:bidi="ar"/>
              </w:rPr>
              <w:instrText xml:space="preserve"> HYPERLINK "https://credit.yl.gov.cn/%E9%94%9B%E5%A4%88%E2%82%AC%E5%82%9A%E6%82%87%E9%8E%B6%E6%9B%9F%E7%88%A3%E6%B5%9C%E7%83%98%E6%95%9E%E9%8D%90%E5%B1%BB%E2%82%AC%E4%BD%BA%E6%AB%A5%E8%A4%B0%E6%9B%9E%E6%82%97%E9%8F%8D%E8%A7%84%E5%B5%81%E9%8E%B5%E8%83%AF%EE%87%AF%E6%B5%9C%E5%AC%AE%E3%80%8D%E9%96%AB%E5%A4%8B%E5%AB%A8%E9%90%A9%E7%A8%BF%E7%B0%B2%E9%90%A8%E5%8B%AC%C4%81%E9%8F%89%E5%9E%AE%EF%BD%9E%E9%8D%90%E6%AC%8D%E2%82%AC%E5%A9%81%E4%BF%8A%E9%90%A2%E3%84%A6%E5%A3%99%E7%92%87%E8%BD%B0%E5%8A%9F%E9%8A%86%E5%AC%B6%E7%B4%9D%E9%AA%9E%E6%83%B0%E6%B5%87%E9%8F%84%E5%BA%A2%E5%A3%99%E7%92%87%E8%BD%B0%E7%B0%A8%E9%90%A2%E6%86%8B%E7%B4%9D%E9%8E%B6%E6%9B%9F%E7%88%A3%E6%B5%9C%E6%81%92%E2%82%AC%E4%BD%B9%E5%A7%87%E9%8F%8D%E5%9B%A6%E6%B1%89%E6%BF%AE%E6%97%80%E5%A2%AD%E6%B5%A0%EF%BD%87%E6%82%8A%E6%B5%9C%E5%93%84%E6%86%B3%E9%8A%86%E4%BD%B9%E5%A7%87%E9%8F%8D%E5%9B%A6%E4%BF%8A%E9%90%A2%E3%84%A7%E6%AE%91%E9%8E%B5%E8%83%AF%EE%87%AF%E6%B5%9C%E5%AC%AC%E6%95%B1%E6%B6%93%E8%A1%A1%E2%82%AC%E6%BB%88%E3%80%8D%E9%90%A9%EE%86%BC%E6%82%95%E7%BB%89%E6%9D%BF%E5%BC%B7%E9%8F%8D%E5%9B%A8%EE%86%8C%E9%88%A5%E6%BF%84%E2%82%AC%E5%82%9B%E6%90%B7%E6%B5%A3%E6%BB%84%E5%AF%9A%E9%8D%97%E6%A5%84%EE%9D%86%E9%97%84%E5%8B%AA%E6%AC%A2%E9%8A%86" \h </w:instrText>
            </w:r>
            <w:r>
              <w:rPr>
                <w:rFonts w:hint="eastAsia" w:ascii="宋体" w:hAnsi="宋体" w:eastAsia="宋体" w:cs="宋体"/>
                <w:b w:val="0"/>
                <w:bCs/>
                <w:color w:val="auto"/>
                <w:kern w:val="0"/>
                <w:sz w:val="24"/>
                <w:szCs w:val="24"/>
                <w:highlight w:val="none"/>
                <w:lang w:val="en-US" w:eastAsia="zh-CN" w:bidi="ar"/>
              </w:rPr>
              <w:fldChar w:fldCharType="separate"/>
            </w:r>
            <w:r>
              <w:rPr>
                <w:rFonts w:hint="eastAsia" w:ascii="宋体" w:hAnsi="宋体" w:eastAsia="宋体" w:cs="宋体"/>
                <w:b w:val="0"/>
                <w:bCs/>
                <w:color w:val="auto"/>
                <w:kern w:val="0"/>
                <w:sz w:val="24"/>
                <w:szCs w:val="24"/>
                <w:highlight w:val="none"/>
                <w:lang w:val="en-US" w:eastAsia="zh-CN" w:bidi="ar"/>
              </w:rPr>
              <w:t>https://credit.yl.gov.cn/）。各供应商注册、登录后根据承诺事项选择相应的</w:t>
            </w:r>
            <w:r>
              <w:rPr>
                <w:rFonts w:hint="eastAsia" w:ascii="宋体" w:hAnsi="宋体" w:eastAsia="宋体" w:cs="宋体"/>
                <w:b w:val="0"/>
                <w:bCs/>
                <w:color w:val="auto"/>
                <w:kern w:val="0"/>
                <w:sz w:val="24"/>
                <w:szCs w:val="24"/>
                <w:highlight w:val="none"/>
                <w:lang w:val="en-US" w:eastAsia="zh-CN" w:bidi="ar"/>
              </w:rPr>
              <w:fldChar w:fldCharType="end"/>
            </w:r>
            <w:r>
              <w:rPr>
                <w:rFonts w:hint="eastAsia" w:ascii="宋体" w:hAnsi="宋体" w:eastAsia="宋体" w:cs="宋体"/>
                <w:b w:val="0"/>
                <w:bCs/>
                <w:color w:val="auto"/>
                <w:kern w:val="0"/>
                <w:sz w:val="24"/>
                <w:szCs w:val="24"/>
                <w:highlight w:val="none"/>
                <w:lang w:val="en-US" w:eastAsia="zh-CN" w:bidi="ar"/>
              </w:rPr>
              <w:t>模板填写《信用承诺书》，并载明承诺事由，“榆林市政府采购工程类/货物类/服务类项目供应商信用承诺书、投标人委托代理人员信用承诺书、投标信用（保证金）承诺书”的承诺事由为“项目名称及标段”。操作指南见附件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35</w:t>
            </w:r>
          </w:p>
        </w:tc>
        <w:tc>
          <w:tcPr>
            <w:tcW w:w="0" w:type="auto"/>
            <w:vAlign w:val="center"/>
          </w:tcPr>
          <w:p>
            <w:pPr>
              <w:spacing w:line="360" w:lineRule="auto"/>
              <w:jc w:val="center"/>
              <w:rPr>
                <w:rFonts w:hint="eastAsia" w:ascii="宋体" w:hAnsi="宋体" w:eastAsia="宋体" w:cs="Times New Roman"/>
                <w:b/>
                <w:bCs/>
                <w:color w:val="auto"/>
                <w:kern w:val="2"/>
                <w:sz w:val="24"/>
                <w:szCs w:val="24"/>
                <w:highlight w:val="none"/>
                <w:lang w:val="en-US" w:eastAsia="zh-CN" w:bidi="ar-SA"/>
              </w:rPr>
            </w:pPr>
            <w:r>
              <w:rPr>
                <w:rFonts w:hint="eastAsia" w:ascii="宋体" w:hAnsi="宋体"/>
                <w:b w:val="0"/>
                <w:bCs w:val="0"/>
                <w:color w:val="auto"/>
                <w:szCs w:val="24"/>
                <w:highlight w:val="none"/>
                <w:lang w:val="en-US" w:eastAsia="zh-CN"/>
              </w:rPr>
              <w:t>支持中小企业</w:t>
            </w:r>
          </w:p>
        </w:tc>
        <w:tc>
          <w:tcPr>
            <w:tcW w:w="0" w:type="auto"/>
            <w:vAlign w:val="center"/>
          </w:tcPr>
          <w:p>
            <w:pPr>
              <w:keepNext w:val="0"/>
              <w:keepLines w:val="0"/>
              <w:suppressLineNumbers w:val="0"/>
              <w:spacing w:before="0" w:beforeAutospacing="0" w:after="0" w:afterAutospacing="0"/>
              <w:ind w:left="0" w:right="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支持中小企业发展：</w:t>
            </w:r>
          </w:p>
          <w:p>
            <w:pPr>
              <w:keepNext w:val="0"/>
              <w:keepLines w:val="0"/>
              <w:suppressLineNumbers w:val="0"/>
              <w:spacing w:before="0" w:beforeAutospacing="0" w:after="0" w:afterAutospacing="0"/>
              <w:ind w:left="0" w:right="0"/>
              <w:jc w:val="left"/>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fldChar w:fldCharType="begin"/>
            </w:r>
            <w:r>
              <w:rPr>
                <w:rFonts w:hint="eastAsia" w:ascii="宋体" w:hAnsi="宋体" w:eastAsia="宋体" w:cs="宋体"/>
                <w:sz w:val="24"/>
                <w:szCs w:val="22"/>
                <w:lang w:val="en-US" w:eastAsia="zh-CN"/>
              </w:rPr>
              <w:instrText xml:space="preserve"> eq \o\ac(□</w:instrText>
            </w:r>
            <w:r>
              <w:rPr>
                <w:rFonts w:hint="eastAsia" w:ascii="宋体" w:hAnsi="宋体" w:cs="宋体"/>
                <w:sz w:val="24"/>
                <w:szCs w:val="22"/>
                <w:lang w:val="en-US" w:eastAsia="zh-CN"/>
              </w:rPr>
              <w:instrText xml:space="preserve">,</w:instrText>
            </w:r>
            <w:r>
              <w:rPr>
                <w:rFonts w:hint="eastAsia" w:ascii="宋体" w:hAnsi="宋体" w:cs="宋体"/>
                <w:position w:val="2"/>
                <w:sz w:val="16"/>
                <w:szCs w:val="22"/>
                <w:lang w:val="en-US" w:eastAsia="zh-CN"/>
              </w:rPr>
              <w:instrText xml:space="preserve">√</w:instrText>
            </w:r>
            <w:r>
              <w:rPr>
                <w:rFonts w:hint="eastAsia" w:ascii="宋体" w:hAnsi="宋体" w:eastAsia="宋体" w:cs="宋体"/>
                <w:sz w:val="24"/>
                <w:szCs w:val="22"/>
                <w:lang w:val="en-US" w:eastAsia="zh-CN"/>
              </w:rPr>
              <w:instrText xml:space="preserve">)</w:instrText>
            </w:r>
            <w:r>
              <w:rPr>
                <w:rFonts w:hint="eastAsia" w:ascii="宋体" w:hAnsi="宋体" w:eastAsia="宋体" w:cs="宋体"/>
                <w:sz w:val="24"/>
                <w:szCs w:val="22"/>
                <w:lang w:val="en-US" w:eastAsia="zh-CN"/>
              </w:rPr>
              <w:fldChar w:fldCharType="end"/>
            </w:r>
            <w:r>
              <w:rPr>
                <w:rFonts w:hint="eastAsia" w:ascii="宋体" w:hAnsi="宋体" w:eastAsia="宋体" w:cs="宋体"/>
                <w:sz w:val="24"/>
                <w:szCs w:val="22"/>
                <w:lang w:val="en-US" w:eastAsia="zh-CN"/>
              </w:rPr>
              <w:t>专门面向中小企业采购项目</w:t>
            </w:r>
          </w:p>
          <w:p>
            <w:pPr>
              <w:keepNext w:val="0"/>
              <w:keepLines w:val="0"/>
              <w:suppressLineNumbers w:val="0"/>
              <w:spacing w:before="0" w:beforeAutospacing="0" w:after="0" w:afterAutospacing="0"/>
              <w:ind w:left="0" w:right="0"/>
              <w:jc w:val="left"/>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fldChar w:fldCharType="begin"/>
            </w:r>
            <w:r>
              <w:rPr>
                <w:rFonts w:hint="eastAsia" w:ascii="宋体" w:hAnsi="宋体" w:eastAsia="宋体" w:cs="宋体"/>
                <w:sz w:val="24"/>
                <w:szCs w:val="22"/>
                <w:lang w:val="en-US" w:eastAsia="zh-CN"/>
              </w:rPr>
              <w:instrText xml:space="preserve"> eq \o\ac(□)</w:instrText>
            </w:r>
            <w:r>
              <w:rPr>
                <w:rFonts w:hint="eastAsia" w:ascii="宋体" w:hAnsi="宋体" w:eastAsia="宋体" w:cs="宋体"/>
                <w:sz w:val="24"/>
                <w:szCs w:val="22"/>
                <w:lang w:val="en-US" w:eastAsia="zh-CN"/>
              </w:rPr>
              <w:fldChar w:fldCharType="end"/>
            </w:r>
            <w:r>
              <w:rPr>
                <w:rFonts w:hint="eastAsia" w:ascii="宋体" w:hAnsi="宋体" w:eastAsia="宋体" w:cs="宋体"/>
                <w:sz w:val="24"/>
                <w:szCs w:val="22"/>
                <w:lang w:val="en-US" w:eastAsia="zh-CN"/>
              </w:rPr>
              <w:t>非专门面向中小企业采购项目（价格扣除）：</w:t>
            </w:r>
          </w:p>
          <w:p>
            <w:pPr>
              <w:keepNext w:val="0"/>
              <w:keepLines w:val="0"/>
              <w:suppressLineNumbers w:val="0"/>
              <w:spacing w:before="0" w:beforeAutospacing="0" w:after="0" w:afterAutospacing="0"/>
              <w:ind w:left="0" w:leftChars="0" w:right="0" w:rightChars="0"/>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sym w:font="Wingdings" w:char="F081"/>
            </w:r>
            <w:r>
              <w:rPr>
                <w:rFonts w:hint="eastAsia" w:ascii="宋体" w:hAnsi="宋体" w:eastAsia="宋体" w:cs="宋体"/>
                <w:sz w:val="24"/>
                <w:szCs w:val="22"/>
                <w:lang w:val="en-US" w:eastAsia="zh-CN"/>
              </w:rPr>
              <w:t>对小型和微型企业产品的价格给与20%的扣除，用扣除后的价格参与评审。</w:t>
            </w:r>
          </w:p>
          <w:p>
            <w:pPr>
              <w:keepNext w:val="0"/>
              <w:keepLines w:val="0"/>
              <w:suppressLineNumbers w:val="0"/>
              <w:spacing w:before="0" w:beforeAutospacing="0" w:after="0" w:afterAutospacing="0"/>
              <w:ind w:left="0" w:leftChars="0" w:right="0" w:rightChars="0"/>
              <w:rPr>
                <w:rFonts w:hint="eastAsia" w:ascii="宋体" w:hAnsi="宋体" w:eastAsia="宋体" w:cs="宋体"/>
                <w:color w:val="auto"/>
                <w:kern w:val="2"/>
                <w:sz w:val="24"/>
                <w:szCs w:val="24"/>
                <w:lang w:val="en-US" w:eastAsia="zh-CN" w:bidi="ar-SA"/>
              </w:rPr>
            </w:pPr>
            <w:r>
              <w:rPr>
                <w:rFonts w:hint="eastAsia" w:ascii="宋体" w:hAnsi="宋体" w:eastAsia="宋体" w:cs="宋体"/>
                <w:sz w:val="24"/>
                <w:szCs w:val="22"/>
                <w:lang w:val="en-US" w:eastAsia="zh-CN"/>
              </w:rPr>
              <w:t>本项目的扣除比例为：</w:t>
            </w:r>
            <w:r>
              <w:rPr>
                <w:rFonts w:hint="eastAsia" w:ascii="宋体" w:hAnsi="宋体" w:cs="宋体"/>
                <w:sz w:val="24"/>
                <w:szCs w:val="22"/>
                <w:lang w:val="en-US" w:eastAsia="zh-CN"/>
              </w:rPr>
              <w:t>不扣除</w:t>
            </w:r>
            <w:r>
              <w:rPr>
                <w:rFonts w:hint="eastAsia" w:ascii="宋体" w:hAnsi="宋体" w:eastAsia="宋体" w:cs="宋体"/>
                <w:sz w:val="24"/>
                <w:szCs w:val="2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36</w:t>
            </w:r>
          </w:p>
        </w:tc>
        <w:tc>
          <w:tcPr>
            <w:tcW w:w="0" w:type="auto"/>
            <w:vAlign w:val="center"/>
          </w:tcPr>
          <w:p>
            <w:pPr>
              <w:spacing w:line="360" w:lineRule="auto"/>
              <w:jc w:val="center"/>
              <w:rPr>
                <w:rFonts w:hint="eastAsia" w:ascii="宋体" w:hAnsi="宋体" w:eastAsia="宋体" w:cs="Times New Roman"/>
                <w:b/>
                <w:bCs/>
                <w:color w:val="auto"/>
                <w:kern w:val="2"/>
                <w:sz w:val="24"/>
                <w:szCs w:val="24"/>
                <w:highlight w:val="none"/>
                <w:lang w:val="en-US" w:eastAsia="zh-CN" w:bidi="ar-SA"/>
              </w:rPr>
            </w:pPr>
            <w:r>
              <w:rPr>
                <w:rFonts w:hint="eastAsia" w:ascii="宋体" w:hAnsi="宋体" w:eastAsia="宋体" w:cs="宋体"/>
                <w:color w:val="auto"/>
                <w:sz w:val="24"/>
                <w:szCs w:val="24"/>
                <w:lang w:val="en-US" w:eastAsia="zh-CN"/>
              </w:rPr>
              <w:t>支持监狱企业发展</w:t>
            </w:r>
          </w:p>
        </w:tc>
        <w:tc>
          <w:tcPr>
            <w:tcW w:w="0" w:type="auto"/>
            <w:vAlign w:val="center"/>
          </w:tcPr>
          <w:p>
            <w:pPr>
              <w:keepNext w:val="0"/>
              <w:keepLines w:val="0"/>
              <w:suppressLineNumbers w:val="0"/>
              <w:spacing w:before="0" w:beforeAutospacing="0" w:after="0" w:afterAutospacing="0"/>
              <w:ind w:left="0" w:right="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支持监狱企业发展：</w:t>
            </w:r>
          </w:p>
          <w:p>
            <w:pPr>
              <w:keepNext w:val="0"/>
              <w:keepLines w:val="0"/>
              <w:suppressLineNumbers w:val="0"/>
              <w:spacing w:before="0" w:beforeAutospacing="0" w:after="0" w:afterAutospacing="0"/>
              <w:ind w:left="0" w:right="0"/>
              <w:jc w:val="left"/>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fldChar w:fldCharType="begin"/>
            </w:r>
            <w:r>
              <w:rPr>
                <w:rFonts w:hint="eastAsia" w:ascii="宋体" w:hAnsi="宋体" w:eastAsia="宋体" w:cs="宋体"/>
                <w:sz w:val="24"/>
                <w:szCs w:val="22"/>
                <w:lang w:val="en-US" w:eastAsia="zh-CN"/>
              </w:rPr>
              <w:instrText xml:space="preserve"> eq \o\ac(□)</w:instrText>
            </w:r>
            <w:r>
              <w:rPr>
                <w:rFonts w:hint="eastAsia" w:ascii="宋体" w:hAnsi="宋体" w:eastAsia="宋体" w:cs="宋体"/>
                <w:sz w:val="24"/>
                <w:szCs w:val="22"/>
                <w:lang w:val="en-US" w:eastAsia="zh-CN"/>
              </w:rPr>
              <w:fldChar w:fldCharType="end"/>
            </w:r>
            <w:r>
              <w:rPr>
                <w:rFonts w:hint="eastAsia" w:ascii="宋体" w:hAnsi="宋体" w:eastAsia="宋体" w:cs="宋体"/>
                <w:sz w:val="24"/>
                <w:szCs w:val="22"/>
                <w:lang w:val="en-US" w:eastAsia="zh-CN"/>
              </w:rPr>
              <w:t>专门面向监狱企业采购项目</w:t>
            </w:r>
          </w:p>
          <w:p>
            <w:pPr>
              <w:keepNext w:val="0"/>
              <w:keepLines w:val="0"/>
              <w:suppressLineNumbers w:val="0"/>
              <w:spacing w:before="0" w:beforeAutospacing="0" w:after="0" w:afterAutospacing="0"/>
              <w:ind w:left="0" w:leftChars="0" w:right="0" w:rightChars="0"/>
              <w:rPr>
                <w:rFonts w:hint="eastAsia" w:ascii="宋体" w:hAnsi="宋体" w:eastAsia="宋体" w:cs="宋体"/>
                <w:color w:val="auto"/>
                <w:kern w:val="2"/>
                <w:sz w:val="24"/>
                <w:szCs w:val="24"/>
                <w:lang w:val="en-US" w:eastAsia="zh-CN" w:bidi="ar-SA"/>
              </w:rPr>
            </w:pPr>
            <w:r>
              <w:rPr>
                <w:rFonts w:hint="eastAsia" w:ascii="宋体" w:hAnsi="宋体" w:eastAsia="宋体" w:cs="宋体"/>
                <w:sz w:val="24"/>
                <w:szCs w:val="22"/>
                <w:lang w:val="en-US" w:eastAsia="zh-CN"/>
              </w:rPr>
              <w:fldChar w:fldCharType="begin"/>
            </w:r>
            <w:r>
              <w:rPr>
                <w:rFonts w:hint="eastAsia" w:ascii="宋体" w:hAnsi="宋体" w:eastAsia="宋体" w:cs="宋体"/>
                <w:sz w:val="24"/>
                <w:szCs w:val="22"/>
                <w:lang w:val="en-US" w:eastAsia="zh-CN"/>
              </w:rPr>
              <w:instrText xml:space="preserve"> eq \o\ac(□,√)</w:instrText>
            </w:r>
            <w:r>
              <w:rPr>
                <w:rFonts w:hint="eastAsia" w:ascii="宋体" w:hAnsi="宋体" w:eastAsia="宋体" w:cs="宋体"/>
                <w:sz w:val="24"/>
                <w:szCs w:val="22"/>
                <w:lang w:val="en-US" w:eastAsia="zh-CN"/>
              </w:rPr>
              <w:fldChar w:fldCharType="end"/>
            </w:r>
            <w:r>
              <w:rPr>
                <w:rFonts w:hint="eastAsia" w:ascii="宋体" w:hAnsi="宋体" w:eastAsia="宋体" w:cs="宋体"/>
                <w:sz w:val="24"/>
                <w:szCs w:val="22"/>
                <w:lang w:val="en-US" w:eastAsia="zh-CN"/>
              </w:rPr>
              <w:t>非专门面向监狱企业采购项目（价格扣除）：监狱企业视同小微企业。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37</w:t>
            </w:r>
          </w:p>
        </w:tc>
        <w:tc>
          <w:tcPr>
            <w:tcW w:w="0" w:type="auto"/>
            <w:vAlign w:val="center"/>
          </w:tcPr>
          <w:p>
            <w:pPr>
              <w:spacing w:line="360" w:lineRule="auto"/>
              <w:jc w:val="center"/>
              <w:rPr>
                <w:rFonts w:hint="eastAsia" w:ascii="宋体" w:hAnsi="宋体" w:eastAsia="宋体" w:cs="Times New Roman"/>
                <w:b/>
                <w:bCs/>
                <w:color w:val="auto"/>
                <w:kern w:val="2"/>
                <w:sz w:val="24"/>
                <w:szCs w:val="24"/>
                <w:highlight w:val="none"/>
                <w:lang w:val="en-US" w:eastAsia="zh-CN" w:bidi="ar-SA"/>
              </w:rPr>
            </w:pPr>
            <w:r>
              <w:rPr>
                <w:rFonts w:hint="eastAsia" w:ascii="宋体" w:hAnsi="宋体" w:eastAsia="宋体" w:cs="宋体"/>
                <w:color w:val="auto"/>
                <w:sz w:val="24"/>
                <w:szCs w:val="24"/>
                <w:lang w:val="en-US" w:eastAsia="zh-CN"/>
              </w:rPr>
              <w:t>投标答疑会</w:t>
            </w:r>
          </w:p>
        </w:tc>
        <w:tc>
          <w:tcPr>
            <w:tcW w:w="0" w:type="auto"/>
            <w:vAlign w:val="center"/>
          </w:tcPr>
          <w:p>
            <w:pPr>
              <w:keepNext w:val="0"/>
              <w:keepLines w:val="0"/>
              <w:suppressLineNumbers w:val="0"/>
              <w:spacing w:before="0" w:beforeAutospacing="0" w:after="0" w:afterAutospacing="0"/>
              <w:ind w:left="0" w:leftChars="0" w:right="0" w:right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fldChar w:fldCharType="begin"/>
            </w:r>
            <w:r>
              <w:rPr>
                <w:rFonts w:hint="eastAsia" w:ascii="宋体" w:hAnsi="宋体" w:eastAsia="宋体" w:cs="宋体"/>
                <w:color w:val="auto"/>
                <w:sz w:val="24"/>
                <w:szCs w:val="24"/>
                <w:lang w:val="en-US" w:eastAsia="zh-CN"/>
              </w:rPr>
              <w:instrText xml:space="preserve"> eq \o\ac(□,√)</w:instrText>
            </w:r>
            <w:r>
              <w:rPr>
                <w:rFonts w:hint="eastAsia" w:ascii="宋体" w:hAnsi="宋体" w:eastAsia="宋体" w:cs="宋体"/>
                <w:color w:val="auto"/>
                <w:sz w:val="24"/>
                <w:szCs w:val="24"/>
                <w:lang w:val="en-US" w:eastAsia="zh-CN"/>
              </w:rPr>
              <w:fldChar w:fldCharType="end"/>
            </w:r>
            <w:r>
              <w:rPr>
                <w:rFonts w:hint="eastAsia" w:ascii="宋体" w:hAnsi="宋体" w:eastAsia="宋体" w:cs="宋体"/>
                <w:color w:val="auto"/>
                <w:sz w:val="24"/>
                <w:szCs w:val="24"/>
                <w:lang w:val="en-US" w:eastAsia="zh-CN"/>
              </w:rPr>
              <w:t>不召开</w:t>
            </w:r>
            <w:r>
              <w:rPr>
                <w:rFonts w:hint="eastAsia" w:ascii="宋体" w:hAnsi="宋体" w:eastAsia="宋体" w:cs="宋体"/>
                <w:color w:val="auto"/>
                <w:sz w:val="24"/>
                <w:szCs w:val="24"/>
                <w:lang w:val="en-US" w:eastAsia="zh-CN"/>
              </w:rPr>
              <w:fldChar w:fldCharType="begin"/>
            </w:r>
            <w:r>
              <w:rPr>
                <w:rFonts w:hint="eastAsia" w:ascii="宋体" w:hAnsi="宋体" w:eastAsia="宋体" w:cs="宋体"/>
                <w:color w:val="auto"/>
                <w:sz w:val="24"/>
                <w:szCs w:val="24"/>
                <w:lang w:val="en-US" w:eastAsia="zh-CN"/>
              </w:rPr>
              <w:instrText xml:space="preserve"> eq \o\ac(□)</w:instrText>
            </w:r>
            <w:r>
              <w:rPr>
                <w:rFonts w:hint="eastAsia" w:ascii="宋体" w:hAnsi="宋体" w:eastAsia="宋体" w:cs="宋体"/>
                <w:color w:val="auto"/>
                <w:sz w:val="24"/>
                <w:szCs w:val="24"/>
                <w:lang w:val="en-US" w:eastAsia="zh-CN"/>
              </w:rPr>
              <w:fldChar w:fldCharType="end"/>
            </w:r>
            <w:r>
              <w:rPr>
                <w:rFonts w:hint="eastAsia" w:ascii="宋体" w:hAnsi="宋体" w:eastAsia="宋体" w:cs="宋体"/>
                <w:color w:val="auto"/>
                <w:sz w:val="24"/>
                <w:szCs w:val="24"/>
                <w:lang w:val="en-US" w:eastAsia="zh-CN"/>
              </w:rPr>
              <w:t>召开，招标代理机构将对供应商所提出的问题予以解答，并出具书面答疑纪要。答疑纪要为招标文件的组成部分，与招标文件具有同等法律效力。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38</w:t>
            </w:r>
          </w:p>
        </w:tc>
        <w:tc>
          <w:tcPr>
            <w:tcW w:w="0" w:type="auto"/>
            <w:vAlign w:val="center"/>
          </w:tcPr>
          <w:p>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cs="宋体"/>
                <w:sz w:val="24"/>
              </w:rPr>
              <w:t>各行业划分标准具体为</w:t>
            </w:r>
          </w:p>
        </w:tc>
        <w:tc>
          <w:tcPr>
            <w:tcW w:w="0" w:type="auto"/>
            <w:vAlign w:val="center"/>
          </w:tcPr>
          <w:p>
            <w:pPr>
              <w:jc w:val="left"/>
              <w:rPr>
                <w:rFonts w:hint="eastAsia" w:ascii="宋体" w:hAnsi="宋体" w:eastAsia="宋体" w:cs="宋体"/>
                <w:sz w:val="24"/>
                <w:szCs w:val="24"/>
              </w:rPr>
            </w:pPr>
            <w:r>
              <w:rPr>
                <w:rFonts w:hint="eastAsia" w:ascii="宋体" w:hAnsi="宋体" w:eastAsia="宋体" w:cs="宋体"/>
                <w:sz w:val="24"/>
                <w:szCs w:val="24"/>
              </w:rPr>
              <w:t>1、农、林、牧、渔业。营业收入20000万元以下的为中小微型企业。其中，营业收入500万元及以上的为中型企业,营业收入50万元及以上的为小型企业，营业收入50万元以下的为微型企业。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3、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11、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13、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15、租赁和商务服务业。从业人员300人以下或资产总额120000万元以下的为中小微型企业.其中，从业人员100人及以上，且资产总额8000万元及以上的为中型企业；从业人员10人及以上，且资产总额100万元及以上的为小型企业。</w:t>
            </w:r>
          </w:p>
          <w:p>
            <w:pPr>
              <w:jc w:val="left"/>
              <w:rPr>
                <w:rFonts w:hint="eastAsia" w:ascii="宋体" w:hAnsi="宋体" w:eastAsia="宋体" w:cs="宋体"/>
                <w:sz w:val="24"/>
                <w:szCs w:val="24"/>
              </w:rPr>
            </w:pPr>
            <w:r>
              <w:rPr>
                <w:rFonts w:hint="eastAsia" w:ascii="宋体" w:hAnsi="宋体" w:eastAsia="宋体" w:cs="宋体"/>
                <w:sz w:val="24"/>
                <w:szCs w:val="24"/>
                <w:lang w:val="en-US" w:eastAsia="zh-CN"/>
              </w:rPr>
              <w:t>16、其他未列明行业.从业人员300人以下的为中小微型企业。其中，从业人员100人及以上的为中型企业;从业人员10人及以上的为小型企业；从业人员10人以下的为微型企业。</w:t>
            </w:r>
            <w:r>
              <w:rPr>
                <w:rFonts w:hint="eastAsia" w:ascii="宋体" w:hAnsi="宋体" w:eastAsia="宋体" w:cs="宋体"/>
                <w:sz w:val="24"/>
                <w:szCs w:val="24"/>
              </w:rPr>
              <w:t>　</w:t>
            </w:r>
          </w:p>
          <w:p>
            <w:pPr>
              <w:pStyle w:val="10"/>
              <w:rPr>
                <w:rFonts w:hint="eastAsia" w:ascii="宋体" w:hAnsi="宋体" w:eastAsia="宋体" w:cs="宋体"/>
                <w:b/>
                <w:kern w:val="2"/>
                <w:sz w:val="24"/>
                <w:szCs w:val="24"/>
                <w:lang w:val="en-US" w:eastAsia="zh-CN" w:bidi="ar-SA"/>
              </w:rPr>
            </w:pPr>
            <w:r>
              <w:rPr>
                <w:rFonts w:hint="eastAsia" w:ascii="宋体" w:hAnsi="宋体" w:eastAsia="宋体" w:cs="宋体"/>
                <w:b/>
                <w:bCs/>
                <w:kern w:val="2"/>
                <w:sz w:val="24"/>
                <w:szCs w:val="24"/>
                <w:lang w:val="en-US" w:eastAsia="zh-CN" w:bidi="ar-SA"/>
              </w:rPr>
              <w:t>本项目所属行业：其他未列明行业。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39</w:t>
            </w:r>
          </w:p>
        </w:tc>
        <w:tc>
          <w:tcPr>
            <w:tcW w:w="0" w:type="auto"/>
            <w:vAlign w:val="center"/>
          </w:tcPr>
          <w:p>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招标文件解释权</w:t>
            </w:r>
          </w:p>
        </w:tc>
        <w:tc>
          <w:tcPr>
            <w:tcW w:w="0" w:type="auto"/>
            <w:vAlign w:val="center"/>
          </w:tcPr>
          <w:p>
            <w:pPr>
              <w:jc w:val="left"/>
              <w:rPr>
                <w:rFonts w:hint="eastAsia" w:ascii="宋体" w:hAnsi="宋体" w:eastAsia="宋体" w:cs="宋体"/>
                <w:kern w:val="2"/>
                <w:sz w:val="24"/>
                <w:szCs w:val="22"/>
                <w:lang w:val="en-US" w:eastAsia="zh-CN" w:bidi="ar-SA"/>
              </w:rPr>
            </w:pPr>
            <w:r>
              <w:rPr>
                <w:rFonts w:hint="eastAsia" w:ascii="宋体" w:hAnsi="宋体" w:cs="宋体"/>
                <w:sz w:val="24"/>
                <w:szCs w:val="24"/>
              </w:rPr>
              <w:t>本招标文件解释权归采购代理机构所有。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40</w:t>
            </w:r>
          </w:p>
        </w:tc>
        <w:tc>
          <w:tcPr>
            <w:tcW w:w="0" w:type="auto"/>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是否允许递交备选投标方案</w:t>
            </w:r>
          </w:p>
        </w:tc>
        <w:tc>
          <w:tcPr>
            <w:tcW w:w="0" w:type="auto"/>
            <w:vAlign w:val="center"/>
          </w:tcPr>
          <w:p>
            <w:pPr>
              <w:jc w:val="left"/>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zh-TW"/>
              </w:rPr>
              <w:t>不允许。</w:t>
            </w:r>
          </w:p>
        </w:tc>
      </w:tr>
    </w:tbl>
    <w:p>
      <w:pPr>
        <w:spacing w:line="360" w:lineRule="auto"/>
        <w:rPr>
          <w:rFonts w:ascii="宋体" w:hAnsi="宋体" w:cstheme="minorBidi"/>
          <w:color w:val="auto"/>
          <w:szCs w:val="24"/>
          <w:highlight w:val="none"/>
        </w:rPr>
      </w:pPr>
      <w:r>
        <w:rPr>
          <w:rFonts w:hint="eastAsia" w:ascii="宋体" w:hAnsi="宋体"/>
          <w:color w:val="auto"/>
          <w:szCs w:val="24"/>
          <w:highlight w:val="none"/>
        </w:rPr>
        <w:t>本项目招标依据《中华人民共和国政府采购法》等有关法律法规及规定。</w:t>
      </w:r>
    </w:p>
    <w:p>
      <w:pPr>
        <w:spacing w:line="360" w:lineRule="auto"/>
        <w:jc w:val="center"/>
        <w:rPr>
          <w:rFonts w:ascii="宋体" w:hAnsi="宋体"/>
          <w:b/>
          <w:color w:val="auto"/>
          <w:szCs w:val="24"/>
          <w:highlight w:val="none"/>
        </w:rPr>
      </w:pPr>
      <w:r>
        <w:rPr>
          <w:rFonts w:hint="eastAsia" w:ascii="宋体" w:hAnsi="宋体"/>
          <w:b/>
          <w:color w:val="auto"/>
          <w:sz w:val="28"/>
          <w:szCs w:val="28"/>
          <w:highlight w:val="none"/>
        </w:rPr>
        <w:t>（一）总则</w:t>
      </w:r>
    </w:p>
    <w:p>
      <w:pPr>
        <w:spacing w:line="360" w:lineRule="auto"/>
        <w:rPr>
          <w:rFonts w:ascii="宋体" w:hAnsi="宋体"/>
          <w:color w:val="auto"/>
          <w:szCs w:val="24"/>
          <w:highlight w:val="none"/>
        </w:rPr>
      </w:pPr>
      <w:r>
        <w:rPr>
          <w:rFonts w:hint="eastAsia" w:ascii="宋体" w:hAnsi="宋体"/>
          <w:color w:val="auto"/>
          <w:szCs w:val="24"/>
          <w:highlight w:val="none"/>
        </w:rPr>
        <w:t>1、适用范围：本竞争性磋商文件仅适用于本项目的招标。</w:t>
      </w:r>
    </w:p>
    <w:p>
      <w:pPr>
        <w:spacing w:line="360" w:lineRule="auto"/>
        <w:rPr>
          <w:rFonts w:ascii="宋体" w:hAnsi="宋体"/>
          <w:color w:val="auto"/>
          <w:szCs w:val="24"/>
          <w:highlight w:val="none"/>
        </w:rPr>
      </w:pPr>
      <w:r>
        <w:rPr>
          <w:rFonts w:hint="eastAsia" w:ascii="宋体" w:hAnsi="宋体"/>
          <w:color w:val="auto"/>
          <w:szCs w:val="24"/>
          <w:highlight w:val="none"/>
        </w:rPr>
        <w:t>2、名词解释：</w:t>
      </w:r>
    </w:p>
    <w:p>
      <w:pPr>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olor w:val="auto"/>
          <w:szCs w:val="24"/>
          <w:highlight w:val="none"/>
        </w:rPr>
        <w:t>2.1采购人：</w:t>
      </w:r>
      <w:r>
        <w:rPr>
          <w:rFonts w:hint="eastAsia" w:ascii="宋体" w:hAnsi="宋体" w:cs="宋体"/>
          <w:color w:val="auto"/>
          <w:sz w:val="24"/>
          <w:szCs w:val="24"/>
          <w:highlight w:val="none"/>
          <w:lang w:eastAsia="zh-CN"/>
        </w:rPr>
        <w:t>神木市林业局</w:t>
      </w:r>
    </w:p>
    <w:p>
      <w:pPr>
        <w:spacing w:line="360" w:lineRule="auto"/>
        <w:ind w:firstLine="480" w:firstLineChars="200"/>
        <w:rPr>
          <w:rFonts w:hint="eastAsia" w:ascii="宋体" w:hAnsi="宋体"/>
          <w:color w:val="auto"/>
          <w:szCs w:val="24"/>
          <w:highlight w:val="none"/>
          <w:lang w:eastAsia="zh-CN"/>
        </w:rPr>
      </w:pPr>
      <w:r>
        <w:rPr>
          <w:rFonts w:hint="eastAsia" w:ascii="宋体" w:hAnsi="宋体"/>
          <w:color w:val="auto"/>
          <w:szCs w:val="24"/>
          <w:highlight w:val="none"/>
        </w:rPr>
        <w:t>2.2采购代理机构：</w:t>
      </w:r>
      <w:r>
        <w:rPr>
          <w:rFonts w:hint="eastAsia" w:ascii="宋体" w:hAnsi="宋体"/>
          <w:color w:val="auto"/>
          <w:szCs w:val="24"/>
          <w:highlight w:val="none"/>
          <w:lang w:eastAsia="zh-CN"/>
        </w:rPr>
        <w:t>陕西曼力工程管理咨询有限公司</w:t>
      </w:r>
    </w:p>
    <w:p>
      <w:pPr>
        <w:spacing w:line="360" w:lineRule="auto"/>
        <w:ind w:firstLine="480" w:firstLineChars="200"/>
        <w:rPr>
          <w:rFonts w:hint="eastAsia" w:ascii="宋体" w:hAnsi="宋体" w:eastAsia="宋体"/>
          <w:color w:val="auto"/>
          <w:szCs w:val="24"/>
          <w:highlight w:val="none"/>
          <w:lang w:eastAsia="zh-CN"/>
        </w:rPr>
      </w:pPr>
      <w:r>
        <w:rPr>
          <w:rFonts w:hint="eastAsia" w:ascii="宋体" w:hAnsi="宋体"/>
          <w:color w:val="auto"/>
          <w:szCs w:val="24"/>
          <w:highlight w:val="none"/>
        </w:rPr>
        <w:t>2.3供应商：响应招标并且符合磋商文件规定资格条件和参加竞争的供应商</w:t>
      </w:r>
      <w:r>
        <w:rPr>
          <w:rFonts w:hint="eastAsia" w:ascii="宋体" w:hAnsi="宋体"/>
          <w:color w:val="auto"/>
          <w:szCs w:val="24"/>
          <w:highlight w:val="none"/>
          <w:lang w:eastAsia="zh-CN"/>
        </w:rPr>
        <w:t>。</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2.4项目：指磋商文件规定供应商须承担的</w:t>
      </w:r>
      <w:r>
        <w:rPr>
          <w:rFonts w:hint="eastAsia" w:ascii="宋体" w:hAnsi="宋体"/>
          <w:color w:val="auto"/>
          <w:szCs w:val="24"/>
          <w:highlight w:val="none"/>
          <w:lang w:eastAsia="zh-CN"/>
        </w:rPr>
        <w:t>神木市林业局关于神木市2023年沿黄防护林提质增效和高质量发展试点工程监理</w:t>
      </w:r>
      <w:r>
        <w:rPr>
          <w:rFonts w:hint="eastAsia" w:ascii="宋体" w:hAnsi="宋体"/>
          <w:color w:val="auto"/>
          <w:szCs w:val="24"/>
          <w:highlight w:val="none"/>
        </w:rPr>
        <w:t>的相关工作。</w:t>
      </w:r>
    </w:p>
    <w:p>
      <w:pPr>
        <w:spacing w:line="360" w:lineRule="auto"/>
        <w:rPr>
          <w:rFonts w:ascii="宋体" w:hAnsi="宋体"/>
          <w:color w:val="auto"/>
          <w:szCs w:val="24"/>
          <w:highlight w:val="none"/>
        </w:rPr>
      </w:pPr>
      <w:r>
        <w:rPr>
          <w:rFonts w:hint="eastAsia" w:ascii="宋体" w:hAnsi="宋体"/>
          <w:color w:val="auto"/>
          <w:szCs w:val="24"/>
          <w:highlight w:val="none"/>
        </w:rPr>
        <w:t>3、合格的供应商</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3.1满足磋商中对供应商所提出的全部要求。</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3.2供应商应从采购代理机构</w:t>
      </w:r>
      <w:r>
        <w:rPr>
          <w:rFonts w:hint="eastAsia" w:ascii="宋体" w:hAnsi="宋体"/>
          <w:color w:val="auto"/>
          <w:szCs w:val="24"/>
          <w:highlight w:val="none"/>
          <w:lang w:eastAsia="zh-CN"/>
        </w:rPr>
        <w:t>获取</w:t>
      </w:r>
      <w:r>
        <w:rPr>
          <w:rFonts w:hint="eastAsia" w:ascii="宋体" w:hAnsi="宋体"/>
          <w:color w:val="auto"/>
          <w:szCs w:val="24"/>
          <w:highlight w:val="none"/>
        </w:rPr>
        <w:t>磋商文件，其他未</w:t>
      </w:r>
      <w:r>
        <w:rPr>
          <w:rFonts w:hint="eastAsia" w:ascii="宋体" w:hAnsi="宋体"/>
          <w:color w:val="auto"/>
          <w:szCs w:val="24"/>
          <w:highlight w:val="none"/>
          <w:lang w:eastAsia="zh-CN"/>
        </w:rPr>
        <w:t>获取</w:t>
      </w:r>
      <w:r>
        <w:rPr>
          <w:rFonts w:hint="eastAsia" w:ascii="宋体" w:hAnsi="宋体"/>
          <w:color w:val="auto"/>
          <w:szCs w:val="24"/>
          <w:highlight w:val="none"/>
        </w:rPr>
        <w:t>磋商文件的潜在供应商均无资格参加本次磋商。</w:t>
      </w:r>
    </w:p>
    <w:p>
      <w:pPr>
        <w:spacing w:line="360" w:lineRule="auto"/>
        <w:rPr>
          <w:rFonts w:ascii="宋体" w:hAnsi="宋体"/>
          <w:color w:val="auto"/>
          <w:szCs w:val="24"/>
          <w:highlight w:val="none"/>
        </w:rPr>
      </w:pPr>
      <w:r>
        <w:rPr>
          <w:rFonts w:hint="eastAsia" w:ascii="宋体" w:hAnsi="宋体"/>
          <w:color w:val="auto"/>
          <w:szCs w:val="24"/>
          <w:highlight w:val="none"/>
        </w:rPr>
        <w:t>4、保密</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 xml:space="preserve">参与磋商活动的各方应对磋商文件和响应文件中的商业和技术等秘密保密，违者应对由此造成的后果承担法律责任。 </w:t>
      </w:r>
    </w:p>
    <w:p>
      <w:pPr>
        <w:spacing w:line="360" w:lineRule="auto"/>
        <w:rPr>
          <w:rFonts w:ascii="宋体" w:hAnsi="宋体"/>
          <w:color w:val="auto"/>
          <w:szCs w:val="24"/>
          <w:highlight w:val="none"/>
        </w:rPr>
      </w:pPr>
      <w:bookmarkStart w:id="24" w:name="_Toc394934414"/>
      <w:bookmarkStart w:id="25" w:name="_Toc246928899"/>
      <w:r>
        <w:rPr>
          <w:rFonts w:hint="eastAsia" w:ascii="宋体" w:hAnsi="宋体"/>
          <w:color w:val="auto"/>
          <w:szCs w:val="24"/>
          <w:highlight w:val="none"/>
        </w:rPr>
        <w:t>5、费用</w:t>
      </w:r>
      <w:bookmarkEnd w:id="24"/>
      <w:bookmarkEnd w:id="25"/>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供应商应承担所有与编写和提交响应文件有关的费用，无论磋商过程中的做法和结果如何，采购人在任何情况下均无义务和责任承担这些费用。</w:t>
      </w:r>
    </w:p>
    <w:p>
      <w:pPr>
        <w:spacing w:line="360" w:lineRule="auto"/>
        <w:jc w:val="center"/>
        <w:rPr>
          <w:rFonts w:ascii="宋体" w:hAnsi="宋体"/>
          <w:b/>
          <w:color w:val="auto"/>
          <w:szCs w:val="24"/>
          <w:highlight w:val="none"/>
        </w:rPr>
      </w:pPr>
      <w:r>
        <w:rPr>
          <w:rFonts w:hint="eastAsia" w:ascii="宋体" w:hAnsi="宋体"/>
          <w:b/>
          <w:color w:val="auto"/>
          <w:szCs w:val="24"/>
          <w:highlight w:val="none"/>
        </w:rPr>
        <w:t>（二）磋商文件说明</w:t>
      </w:r>
    </w:p>
    <w:p>
      <w:pPr>
        <w:spacing w:line="360" w:lineRule="auto"/>
        <w:rPr>
          <w:rFonts w:ascii="宋体" w:hAnsi="宋体"/>
          <w:color w:val="auto"/>
          <w:szCs w:val="24"/>
          <w:highlight w:val="none"/>
        </w:rPr>
      </w:pPr>
      <w:r>
        <w:rPr>
          <w:rFonts w:hint="eastAsia" w:ascii="宋体" w:hAnsi="宋体"/>
          <w:color w:val="auto"/>
          <w:szCs w:val="24"/>
          <w:highlight w:val="none"/>
        </w:rPr>
        <w:t>6、磋商文件的组成</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6.1磋商文件依据本项目的特点及需求编制，具体包括以下内容：</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（1）竞争性磋商公告</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（2）供应商须知</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（3）合同条款及格式</w:t>
      </w:r>
    </w:p>
    <w:p>
      <w:pPr>
        <w:spacing w:line="360" w:lineRule="auto"/>
        <w:ind w:firstLine="480" w:firstLineChars="200"/>
        <w:rPr>
          <w:rFonts w:hint="eastAsia" w:ascii="宋体" w:hAnsi="宋体" w:eastAsia="宋体"/>
          <w:color w:val="auto"/>
          <w:szCs w:val="24"/>
          <w:highlight w:val="none"/>
          <w:lang w:eastAsia="zh-CN"/>
        </w:rPr>
      </w:pPr>
      <w:r>
        <w:rPr>
          <w:rFonts w:hint="eastAsia" w:ascii="宋体" w:hAnsi="宋体"/>
          <w:color w:val="auto"/>
          <w:szCs w:val="24"/>
          <w:highlight w:val="none"/>
        </w:rPr>
        <w:t>（4）</w:t>
      </w:r>
      <w:r>
        <w:rPr>
          <w:rFonts w:hint="eastAsia" w:ascii="宋体" w:hAnsi="宋体"/>
          <w:color w:val="auto"/>
          <w:szCs w:val="24"/>
          <w:highlight w:val="none"/>
          <w:lang w:eastAsia="zh-CN"/>
        </w:rPr>
        <w:t>商务要求</w:t>
      </w:r>
    </w:p>
    <w:p>
      <w:pPr>
        <w:spacing w:line="360" w:lineRule="auto"/>
        <w:ind w:firstLine="480" w:firstLineChars="200"/>
        <w:rPr>
          <w:rFonts w:ascii="宋体" w:hAnsi="宋体"/>
          <w:color w:val="auto"/>
          <w:szCs w:val="24"/>
          <w:highlight w:val="none"/>
        </w:rPr>
      </w:pPr>
      <w:r>
        <w:rPr>
          <w:rFonts w:hint="eastAsia"/>
          <w:color w:val="auto"/>
          <w:szCs w:val="32"/>
          <w:highlight w:val="none"/>
          <w:lang w:eastAsia="zh-CN"/>
        </w:rPr>
        <w:t>（</w:t>
      </w:r>
      <w:r>
        <w:rPr>
          <w:rFonts w:hint="eastAsia"/>
          <w:color w:val="auto"/>
          <w:szCs w:val="32"/>
          <w:highlight w:val="none"/>
          <w:lang w:val="en-US" w:eastAsia="zh-CN"/>
        </w:rPr>
        <w:t>5</w:t>
      </w:r>
      <w:r>
        <w:rPr>
          <w:rFonts w:hint="eastAsia"/>
          <w:color w:val="auto"/>
          <w:szCs w:val="32"/>
          <w:highlight w:val="none"/>
          <w:lang w:eastAsia="zh-CN"/>
        </w:rPr>
        <w:t>）</w:t>
      </w:r>
      <w:r>
        <w:rPr>
          <w:rFonts w:hint="eastAsia"/>
          <w:color w:val="auto"/>
          <w:szCs w:val="32"/>
          <w:highlight w:val="none"/>
        </w:rPr>
        <w:t>采购内容及技术要求</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w:t>
      </w:r>
      <w:r>
        <w:rPr>
          <w:rFonts w:hint="eastAsia" w:ascii="宋体" w:hAnsi="宋体"/>
          <w:color w:val="auto"/>
          <w:szCs w:val="24"/>
          <w:highlight w:val="none"/>
          <w:lang w:val="en-US" w:eastAsia="zh-CN"/>
        </w:rPr>
        <w:t>6</w:t>
      </w:r>
      <w:r>
        <w:rPr>
          <w:rFonts w:hint="eastAsia" w:ascii="宋体" w:hAnsi="宋体"/>
          <w:color w:val="auto"/>
          <w:szCs w:val="24"/>
          <w:highlight w:val="none"/>
        </w:rPr>
        <w:t>）响应文件格式</w:t>
      </w:r>
    </w:p>
    <w:p>
      <w:pPr>
        <w:spacing w:line="360" w:lineRule="auto"/>
        <w:rPr>
          <w:rFonts w:ascii="宋体" w:hAnsi="宋体"/>
          <w:color w:val="auto"/>
          <w:szCs w:val="24"/>
          <w:highlight w:val="none"/>
        </w:rPr>
      </w:pPr>
      <w:r>
        <w:rPr>
          <w:rFonts w:hint="eastAsia" w:ascii="宋体" w:hAnsi="宋体"/>
          <w:color w:val="auto"/>
          <w:szCs w:val="24"/>
          <w:highlight w:val="none"/>
        </w:rPr>
        <w:t>7、磋商文件的澄清及修改</w:t>
      </w:r>
    </w:p>
    <w:p>
      <w:pPr>
        <w:spacing w:line="360" w:lineRule="auto"/>
        <w:ind w:firstLine="480" w:firstLineChars="200"/>
        <w:rPr>
          <w:rFonts w:ascii="宋体" w:hAnsi="宋体"/>
          <w:b/>
          <w:color w:val="auto"/>
          <w:szCs w:val="24"/>
          <w:highlight w:val="none"/>
          <w:bdr w:val="single" w:color="auto" w:sz="4" w:space="0"/>
        </w:rPr>
      </w:pPr>
      <w:r>
        <w:rPr>
          <w:rFonts w:hint="eastAsia" w:ascii="宋体" w:hAnsi="宋体"/>
          <w:color w:val="auto"/>
          <w:szCs w:val="24"/>
          <w:highlight w:val="none"/>
        </w:rPr>
        <w:t>7.1任何要求对磋商文件进行澄清的供应商，均应在磋商截止期五日前按磋商文件中的通讯地址以书面形式通知采购代理机构，采购代理机构对收到的书面澄清将以书面形式在磋商截止期三日前予以答复，并通知其它</w:t>
      </w:r>
      <w:r>
        <w:rPr>
          <w:rFonts w:hint="eastAsia" w:ascii="宋体" w:hAnsi="宋体"/>
          <w:color w:val="auto"/>
          <w:szCs w:val="24"/>
          <w:highlight w:val="none"/>
          <w:lang w:eastAsia="zh-CN"/>
        </w:rPr>
        <w:t>获取</w:t>
      </w:r>
      <w:r>
        <w:rPr>
          <w:rFonts w:hint="eastAsia" w:ascii="宋体" w:hAnsi="宋体"/>
          <w:color w:val="auto"/>
          <w:szCs w:val="24"/>
          <w:highlight w:val="none"/>
        </w:rPr>
        <w:t>磋商文件的供应商。</w:t>
      </w:r>
      <w:r>
        <w:rPr>
          <w:rFonts w:hint="eastAsia" w:ascii="宋体" w:hAnsi="宋体"/>
          <w:b/>
          <w:color w:val="auto"/>
          <w:szCs w:val="24"/>
          <w:highlight w:val="none"/>
          <w:bdr w:val="single" w:color="auto" w:sz="4" w:space="0"/>
        </w:rPr>
        <w:t>对磋商文件中有难以理解或有疑义的内容，须在规定时间内提交书面资料，否则视为对磋商文件再无疑义，因此带来的一切不利后果由供应商自负。</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7.2采购代理机构对已发出的磋商文件进行必要澄清或者修改的，在磋商文件要求提交磋商响应文件截止时间</w:t>
      </w:r>
      <w:r>
        <w:rPr>
          <w:rFonts w:hint="eastAsia" w:ascii="宋体" w:hAnsi="宋体"/>
          <w:color w:val="auto"/>
          <w:szCs w:val="24"/>
          <w:highlight w:val="none"/>
          <w:lang w:val="en-US" w:eastAsia="zh-CN"/>
        </w:rPr>
        <w:t>至少</w:t>
      </w:r>
      <w:r>
        <w:rPr>
          <w:rFonts w:hint="eastAsia" w:ascii="宋体" w:hAnsi="宋体"/>
          <w:color w:val="auto"/>
          <w:szCs w:val="24"/>
          <w:highlight w:val="none"/>
        </w:rPr>
        <w:t>五日前，以书面形式通知所有</w:t>
      </w:r>
      <w:r>
        <w:rPr>
          <w:rFonts w:hint="eastAsia" w:ascii="宋体" w:hAnsi="宋体"/>
          <w:color w:val="auto"/>
          <w:szCs w:val="24"/>
          <w:highlight w:val="none"/>
          <w:lang w:eastAsia="zh-CN"/>
        </w:rPr>
        <w:t>获取</w:t>
      </w:r>
      <w:r>
        <w:rPr>
          <w:rFonts w:hint="eastAsia" w:ascii="宋体" w:hAnsi="宋体"/>
          <w:color w:val="auto"/>
          <w:szCs w:val="24"/>
          <w:highlight w:val="none"/>
        </w:rPr>
        <w:t>磋商文件的供应商，该澄清或者修改的内容作为磋商文件的组成部分，与其具有同等法律效力；</w:t>
      </w:r>
    </w:p>
    <w:p>
      <w:pPr>
        <w:spacing w:line="360" w:lineRule="auto"/>
        <w:ind w:firstLine="480" w:firstLineChars="200"/>
        <w:rPr>
          <w:rFonts w:ascii="宋体" w:hAnsi="宋体" w:eastAsiaTheme="minorEastAsia" w:cstheme="minorBidi"/>
          <w:color w:val="auto"/>
          <w:szCs w:val="24"/>
          <w:highlight w:val="none"/>
        </w:rPr>
      </w:pPr>
      <w:r>
        <w:rPr>
          <w:rFonts w:hint="eastAsia" w:ascii="宋体" w:hAnsi="宋体"/>
          <w:color w:val="auto"/>
          <w:szCs w:val="24"/>
          <w:highlight w:val="none"/>
        </w:rPr>
        <w:t>7.3为方便供应商对磋商文件修改或澄清内容有充分的时间进行补充修改，采购代理机构可延长磋商截止时间和磋商时间，均应在磋商文件要求提交磋商响应文件的截止时间五日前，将变更时间书面通知所有</w:t>
      </w:r>
      <w:r>
        <w:rPr>
          <w:rFonts w:hint="eastAsia" w:ascii="宋体" w:hAnsi="宋体"/>
          <w:color w:val="auto"/>
          <w:szCs w:val="24"/>
          <w:highlight w:val="none"/>
          <w:lang w:eastAsia="zh-CN"/>
        </w:rPr>
        <w:t>获取</w:t>
      </w:r>
      <w:r>
        <w:rPr>
          <w:rFonts w:hint="eastAsia" w:ascii="宋体" w:hAnsi="宋体"/>
          <w:color w:val="auto"/>
          <w:szCs w:val="24"/>
          <w:highlight w:val="none"/>
        </w:rPr>
        <w:t>磋商文件的供应商。</w:t>
      </w:r>
    </w:p>
    <w:p>
      <w:pPr>
        <w:numPr>
          <w:ilvl w:val="0"/>
          <w:numId w:val="2"/>
        </w:numPr>
        <w:spacing w:line="360" w:lineRule="auto"/>
        <w:rPr>
          <w:rFonts w:ascii="宋体" w:hAnsi="宋体"/>
          <w:color w:val="auto"/>
          <w:szCs w:val="24"/>
          <w:highlight w:val="none"/>
        </w:rPr>
      </w:pPr>
      <w:r>
        <w:rPr>
          <w:rFonts w:hint="eastAsia" w:ascii="宋体" w:hAnsi="宋体"/>
          <w:color w:val="auto"/>
          <w:szCs w:val="24"/>
          <w:highlight w:val="none"/>
        </w:rPr>
        <w:t>供应商信用记录查询及政府采购项目需要落实的政策</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8.1</w:t>
      </w:r>
      <w:r>
        <w:rPr>
          <w:rFonts w:hint="eastAsia" w:ascii="宋体" w:hAnsi="宋体" w:cs="宋体"/>
          <w:color w:val="333333"/>
          <w:kern w:val="0"/>
          <w:sz w:val="24"/>
          <w:szCs w:val="24"/>
          <w:shd w:val="clear" w:color="auto" w:fill="FFFFFF"/>
        </w:rPr>
        <w:t>对列入“信用中国”网站(www.creditchina.gov.cn)“记录失信被执行人、</w:t>
      </w:r>
      <w:r>
        <w:rPr>
          <w:rFonts w:hint="eastAsia" w:ascii="宋体" w:hAnsi="宋体" w:cs="宋体"/>
          <w:color w:val="333333"/>
          <w:kern w:val="0"/>
          <w:sz w:val="24"/>
          <w:szCs w:val="24"/>
          <w:shd w:val="clear" w:color="auto" w:fill="FFFFFF"/>
          <w:lang w:eastAsia="zh-CN"/>
        </w:rPr>
        <w:t>重大税收违法失信主体</w:t>
      </w:r>
      <w:r>
        <w:rPr>
          <w:rFonts w:hint="eastAsia" w:ascii="宋体" w:hAnsi="宋体" w:cs="宋体"/>
          <w:color w:val="333333"/>
          <w:kern w:val="0"/>
          <w:sz w:val="24"/>
          <w:szCs w:val="24"/>
          <w:shd w:val="clear" w:color="auto" w:fill="FFFFFF"/>
        </w:rPr>
        <w:t>、企业经营异常名录”记录名单</w:t>
      </w:r>
      <w:r>
        <w:rPr>
          <w:rFonts w:hint="eastAsia" w:ascii="宋体" w:hAnsi="宋体"/>
          <w:color w:val="auto"/>
          <w:szCs w:val="24"/>
          <w:highlight w:val="none"/>
        </w:rPr>
        <w:t>；中国政府采购网(www.ccgp.gov.cn)“政府采购严重违法失信行为信息记录”的单位，应当拒绝参与政府采购活动，采购代理机构于磋商截止日当天在“信用中国”网站（www.creditchina.gov.cn）查询结果为准，如相关失信记录已失效，需提供相关证明资料；</w:t>
      </w:r>
    </w:p>
    <w:p>
      <w:pPr>
        <w:keepNext w:val="0"/>
        <w:keepLines w:val="0"/>
        <w:widowControl/>
        <w:suppressLineNumbers w:val="0"/>
        <w:shd w:val="clear"/>
        <w:spacing w:before="0" w:beforeAutospacing="0" w:after="0" w:afterAutospacing="0" w:line="360" w:lineRule="auto"/>
        <w:ind w:left="0" w:right="0" w:firstLine="420"/>
        <w:jc w:val="both"/>
        <w:rPr>
          <w:rFonts w:hint="eastAsia" w:ascii="宋体" w:hAnsi="宋体"/>
          <w:color w:val="auto"/>
          <w:szCs w:val="24"/>
          <w:highlight w:val="none"/>
        </w:rPr>
      </w:pPr>
      <w:r>
        <w:rPr>
          <w:rFonts w:hint="eastAsia" w:ascii="宋体" w:hAnsi="宋体"/>
          <w:color w:val="auto"/>
          <w:szCs w:val="24"/>
          <w:highlight w:val="none"/>
        </w:rPr>
        <w:t>8.2</w:t>
      </w:r>
      <w:r>
        <w:rPr>
          <w:rFonts w:hint="eastAsia" w:ascii="宋体" w:hAnsi="宋体"/>
          <w:color w:val="auto"/>
          <w:szCs w:val="24"/>
          <w:highlight w:val="none"/>
          <w:lang w:val="en-US" w:eastAsia="zh-CN"/>
        </w:rPr>
        <w:t>政策性扣减</w:t>
      </w:r>
      <w:r>
        <w:rPr>
          <w:rFonts w:hint="eastAsia" w:ascii="宋体" w:hAnsi="宋体"/>
          <w:color w:val="auto"/>
          <w:szCs w:val="24"/>
          <w:highlight w:val="none"/>
        </w:rPr>
        <w:t>：</w:t>
      </w:r>
    </w:p>
    <w:p>
      <w:pPr>
        <w:keepNext w:val="0"/>
        <w:keepLines w:val="0"/>
        <w:widowControl/>
        <w:suppressLineNumbers w:val="0"/>
        <w:shd w:val="clear"/>
        <w:spacing w:before="0" w:beforeAutospacing="0" w:after="0" w:afterAutospacing="0" w:line="360" w:lineRule="auto"/>
        <w:ind w:left="0" w:right="0" w:firstLine="420"/>
        <w:jc w:val="both"/>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依据《中华人民共和国政府采购法》和《中华人民共和国政府采购实施条例》的有关规定，落实政府采购“扶持小微企业、监狱企业、福利企业”等相关政策。</w:t>
      </w:r>
      <w:r>
        <w:rPr>
          <w:rFonts w:hint="eastAsia" w:ascii="宋体" w:hAnsi="宋体" w:eastAsia="宋体" w:cs="宋体"/>
          <w:sz w:val="24"/>
          <w:szCs w:val="24"/>
          <w:lang w:val="en-US" w:eastAsia="zh-CN"/>
        </w:rPr>
        <w:t>①</w:t>
      </w:r>
      <w:r>
        <w:rPr>
          <w:rFonts w:hint="eastAsia" w:ascii="宋体" w:hAnsi="宋体" w:eastAsia="宋体" w:cs="宋体"/>
          <w:sz w:val="24"/>
          <w:szCs w:val="24"/>
        </w:rPr>
        <w:t>《节能产品政府采购实施意见》（财库〔2004〕185号）；</w:t>
      </w:r>
      <w:r>
        <w:rPr>
          <w:rFonts w:hint="eastAsia" w:ascii="宋体" w:hAnsi="宋体" w:eastAsia="宋体" w:cs="宋体"/>
          <w:sz w:val="24"/>
          <w:szCs w:val="24"/>
          <w:lang w:val="en-US" w:eastAsia="zh-CN"/>
        </w:rPr>
        <w:t>②</w:t>
      </w:r>
      <w:r>
        <w:rPr>
          <w:rFonts w:hint="eastAsia" w:ascii="宋体" w:hAnsi="宋体" w:eastAsia="宋体" w:cs="宋体"/>
          <w:sz w:val="24"/>
          <w:szCs w:val="24"/>
        </w:rPr>
        <w:t>《环境标志产品政府采购实施的意见》（财库〔2006〕90号）；</w:t>
      </w:r>
      <w:r>
        <w:rPr>
          <w:rFonts w:hint="eastAsia" w:ascii="宋体" w:hAnsi="宋体" w:eastAsia="宋体" w:cs="宋体"/>
          <w:sz w:val="24"/>
          <w:szCs w:val="24"/>
          <w:lang w:val="en-US" w:eastAsia="zh-CN"/>
        </w:rPr>
        <w:t>③</w:t>
      </w:r>
      <w:r>
        <w:rPr>
          <w:rFonts w:hint="eastAsia" w:ascii="宋体" w:hAnsi="宋体" w:eastAsia="宋体" w:cs="宋体"/>
          <w:sz w:val="24"/>
          <w:szCs w:val="24"/>
        </w:rPr>
        <w:t>《国务院办公厅关于建立政府强制采购节能产品制度的通知》（国办发〔2007〕51号）；</w:t>
      </w:r>
      <w:r>
        <w:rPr>
          <w:rFonts w:hint="eastAsia" w:ascii="宋体" w:hAnsi="宋体" w:eastAsia="宋体" w:cs="宋体"/>
          <w:sz w:val="24"/>
          <w:szCs w:val="24"/>
          <w:lang w:val="en-US" w:eastAsia="zh-CN"/>
        </w:rPr>
        <w:t>④</w:t>
      </w:r>
      <w:r>
        <w:rPr>
          <w:rFonts w:hint="eastAsia" w:ascii="宋体" w:hAnsi="宋体" w:eastAsia="宋体" w:cs="宋体"/>
          <w:sz w:val="24"/>
          <w:szCs w:val="24"/>
        </w:rPr>
        <w:t>《</w:t>
      </w:r>
      <w:r>
        <w:rPr>
          <w:rFonts w:hint="eastAsia" w:ascii="宋体" w:hAnsi="宋体" w:cs="宋体"/>
          <w:sz w:val="24"/>
          <w:szCs w:val="24"/>
          <w:lang w:eastAsia="zh-CN"/>
        </w:rPr>
        <w:t>榆林市财政局关于</w:t>
      </w:r>
      <w:r>
        <w:rPr>
          <w:rFonts w:hint="eastAsia" w:ascii="宋体" w:hAnsi="宋体" w:eastAsia="宋体" w:cs="宋体"/>
          <w:sz w:val="24"/>
          <w:szCs w:val="24"/>
        </w:rPr>
        <w:t>进一步加大政府采购支持中小企业力度的通知》 陕财办采函〔2022〕10号；</w:t>
      </w:r>
      <w:r>
        <w:rPr>
          <w:rFonts w:hint="eastAsia" w:ascii="宋体" w:hAnsi="宋体" w:eastAsia="宋体" w:cs="宋体"/>
          <w:sz w:val="24"/>
          <w:szCs w:val="24"/>
          <w:lang w:val="en-US" w:eastAsia="zh-CN"/>
        </w:rPr>
        <w:t>⑤</w:t>
      </w:r>
      <w:r>
        <w:rPr>
          <w:rFonts w:hint="eastAsia" w:ascii="宋体" w:hAnsi="宋体" w:eastAsia="宋体" w:cs="宋体"/>
          <w:sz w:val="24"/>
          <w:szCs w:val="24"/>
        </w:rPr>
        <w:t>《政府采购促进中小企业发展管理办法》（财库〔2020〕46号）；</w:t>
      </w:r>
      <w:r>
        <w:rPr>
          <w:rFonts w:hint="eastAsia" w:ascii="宋体" w:hAnsi="宋体" w:eastAsia="宋体" w:cs="宋体"/>
          <w:sz w:val="24"/>
          <w:szCs w:val="24"/>
          <w:lang w:val="en-US" w:eastAsia="zh-CN"/>
        </w:rPr>
        <w:t>⑥</w:t>
      </w:r>
      <w:r>
        <w:rPr>
          <w:rFonts w:hint="eastAsia" w:ascii="宋体" w:hAnsi="宋体" w:eastAsia="宋体" w:cs="宋体"/>
          <w:sz w:val="24"/>
          <w:szCs w:val="24"/>
        </w:rPr>
        <w:t>根据《陕西省财政厅关于进一步加大政府采购支持中小企业力度的通知》（陕财办采〔2022〕5号）；</w:t>
      </w:r>
      <w:r>
        <w:rPr>
          <w:rFonts w:hint="eastAsia" w:ascii="宋体" w:hAnsi="宋体" w:eastAsia="宋体" w:cs="宋体"/>
          <w:sz w:val="24"/>
          <w:szCs w:val="24"/>
          <w:lang w:val="en-US" w:eastAsia="zh-CN"/>
        </w:rPr>
        <w:t>⑦</w:t>
      </w:r>
      <w:r>
        <w:rPr>
          <w:rFonts w:hint="eastAsia" w:ascii="宋体" w:hAnsi="宋体" w:eastAsia="宋体" w:cs="宋体"/>
          <w:sz w:val="24"/>
          <w:szCs w:val="24"/>
        </w:rPr>
        <w:t>陕西省财政厅关于印发《陕西省中小企业政府采购信用融资办法》（陕财办采〔2018〕23号）相关政策、业务流程、办理平台（http://www.ccgp-shaanxi.gov.cn/zcdservice/zcd/shanxi/）；</w:t>
      </w:r>
      <w:r>
        <w:rPr>
          <w:rFonts w:hint="eastAsia" w:ascii="宋体" w:hAnsi="宋体" w:eastAsia="宋体" w:cs="宋体"/>
          <w:sz w:val="24"/>
          <w:szCs w:val="24"/>
          <w:lang w:val="en-US" w:eastAsia="zh-CN"/>
        </w:rPr>
        <w:t>⑧</w:t>
      </w:r>
      <w:r>
        <w:rPr>
          <w:rFonts w:hint="eastAsia" w:ascii="宋体" w:hAnsi="宋体" w:eastAsia="宋体" w:cs="宋体"/>
          <w:sz w:val="24"/>
          <w:szCs w:val="24"/>
        </w:rPr>
        <w:t>财政部司法部关于政府采购支持监狱企业发展有关问题的通知（财库〔2014〕68号）；</w:t>
      </w:r>
      <w:r>
        <w:rPr>
          <w:rFonts w:hint="eastAsia" w:ascii="宋体" w:hAnsi="宋体" w:eastAsia="宋体" w:cs="宋体"/>
          <w:sz w:val="24"/>
          <w:szCs w:val="24"/>
          <w:lang w:val="en-US" w:eastAsia="zh-CN"/>
        </w:rPr>
        <w:t>⑨</w:t>
      </w:r>
      <w:r>
        <w:rPr>
          <w:rFonts w:hint="eastAsia" w:ascii="宋体" w:hAnsi="宋体" w:eastAsia="宋体" w:cs="宋体"/>
          <w:sz w:val="24"/>
          <w:szCs w:val="24"/>
        </w:rPr>
        <w:t>《财政部民政部中国残疾人联合会关于促进残疾人就业政府采购政策的通知》（财库〔2017〕141号）；</w:t>
      </w:r>
      <w:r>
        <w:rPr>
          <w:rFonts w:hint="eastAsia" w:ascii="宋体" w:hAnsi="宋体" w:eastAsia="宋体" w:cs="宋体"/>
          <w:sz w:val="24"/>
          <w:szCs w:val="24"/>
          <w:lang w:val="en-US" w:eastAsia="zh-CN"/>
        </w:rPr>
        <w:t>⑩</w:t>
      </w:r>
      <w:r>
        <w:rPr>
          <w:rFonts w:hint="eastAsia" w:ascii="宋体" w:hAnsi="宋体" w:eastAsia="宋体" w:cs="宋体"/>
          <w:sz w:val="24"/>
          <w:szCs w:val="24"/>
        </w:rPr>
        <w:t>《关于在政府采购活动中查询及使用信用记录有关问题的通知》（财库〔2016〕125号）；</w:t>
      </w:r>
      <w:r>
        <w:rPr>
          <w:rFonts w:hint="eastAsia" w:ascii="微软雅黑" w:hAnsi="微软雅黑" w:eastAsia="微软雅黑" w:cs="微软雅黑"/>
          <w:sz w:val="24"/>
          <w:szCs w:val="24"/>
        </w:rPr>
        <w:t>⑪</w:t>
      </w:r>
      <w:r>
        <w:rPr>
          <w:rFonts w:hint="eastAsia" w:ascii="宋体" w:hAnsi="宋体" w:eastAsia="宋体" w:cs="宋体"/>
          <w:sz w:val="24"/>
          <w:szCs w:val="24"/>
        </w:rPr>
        <w:t>其他需要落实的政府采购政策。</w:t>
      </w:r>
    </w:p>
    <w:p>
      <w:pPr>
        <w:spacing w:line="360" w:lineRule="auto"/>
        <w:jc w:val="center"/>
        <w:rPr>
          <w:rFonts w:ascii="宋体" w:hAnsi="宋体" w:eastAsiaTheme="minorEastAsia" w:cstheme="minorBidi"/>
          <w:b/>
          <w:color w:val="auto"/>
          <w:szCs w:val="24"/>
          <w:highlight w:val="none"/>
        </w:rPr>
      </w:pPr>
      <w:r>
        <w:rPr>
          <w:rFonts w:hint="eastAsia" w:ascii="宋体" w:hAnsi="宋体"/>
          <w:b/>
          <w:color w:val="auto"/>
          <w:szCs w:val="24"/>
          <w:highlight w:val="none"/>
        </w:rPr>
        <w:t>（三）竞争性磋商响应文件的编写</w:t>
      </w:r>
    </w:p>
    <w:p>
      <w:pPr>
        <w:spacing w:line="360" w:lineRule="auto"/>
        <w:rPr>
          <w:rFonts w:ascii="宋体" w:hAnsi="宋体"/>
          <w:color w:val="auto"/>
          <w:szCs w:val="24"/>
          <w:highlight w:val="none"/>
        </w:rPr>
      </w:pPr>
      <w:r>
        <w:rPr>
          <w:rFonts w:hint="eastAsia" w:ascii="宋体" w:hAnsi="宋体"/>
          <w:color w:val="auto"/>
          <w:szCs w:val="24"/>
          <w:highlight w:val="none"/>
        </w:rPr>
        <w:t>9、响应文件的构成</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详见磋商文件中第</w:t>
      </w:r>
      <w:r>
        <w:rPr>
          <w:rFonts w:hint="eastAsia" w:ascii="宋体" w:hAnsi="宋体"/>
          <w:color w:val="auto"/>
          <w:szCs w:val="24"/>
          <w:highlight w:val="none"/>
          <w:lang w:eastAsia="zh-CN"/>
        </w:rPr>
        <w:t>七</w:t>
      </w:r>
      <w:r>
        <w:rPr>
          <w:rFonts w:hint="eastAsia" w:ascii="宋体" w:hAnsi="宋体"/>
          <w:color w:val="auto"/>
          <w:szCs w:val="24"/>
          <w:highlight w:val="none"/>
        </w:rPr>
        <w:t>章“响应文件格式”及磋商文件要求提供的资格证</w:t>
      </w:r>
      <w:r>
        <w:rPr>
          <w:rFonts w:hint="eastAsia" w:ascii="宋体" w:hAnsi="宋体"/>
          <w:color w:val="auto"/>
          <w:szCs w:val="24"/>
          <w:highlight w:val="none"/>
          <w:lang w:eastAsia="zh-CN"/>
        </w:rPr>
        <w:t>明文</w:t>
      </w:r>
      <w:r>
        <w:rPr>
          <w:rFonts w:hint="eastAsia" w:ascii="宋体" w:hAnsi="宋体"/>
          <w:color w:val="auto"/>
          <w:szCs w:val="24"/>
          <w:highlight w:val="none"/>
        </w:rPr>
        <w:t>件。</w:t>
      </w:r>
    </w:p>
    <w:p>
      <w:pPr>
        <w:spacing w:line="360" w:lineRule="auto"/>
        <w:rPr>
          <w:rFonts w:ascii="宋体" w:hAnsi="宋体"/>
          <w:color w:val="auto"/>
          <w:szCs w:val="24"/>
          <w:highlight w:val="none"/>
        </w:rPr>
      </w:pPr>
      <w:r>
        <w:rPr>
          <w:rFonts w:hint="eastAsia" w:ascii="宋体" w:hAnsi="宋体"/>
          <w:color w:val="auto"/>
          <w:szCs w:val="24"/>
          <w:highlight w:val="none"/>
        </w:rPr>
        <w:t>10、磋商报价</w:t>
      </w:r>
    </w:p>
    <w:p>
      <w:pPr>
        <w:spacing w:line="360" w:lineRule="auto"/>
        <w:ind w:firstLine="480" w:firstLineChars="200"/>
        <w:rPr>
          <w:rFonts w:hint="eastAsia" w:ascii="宋体" w:hAnsi="宋体" w:eastAsia="宋体" w:cs="宋体"/>
          <w:b/>
          <w:color w:val="auto"/>
          <w:szCs w:val="24"/>
          <w:highlight w:val="none"/>
        </w:rPr>
      </w:pPr>
      <w:r>
        <w:rPr>
          <w:rFonts w:hint="eastAsia" w:ascii="宋体" w:hAnsi="宋体" w:eastAsia="宋体" w:cs="宋体"/>
          <w:color w:val="auto"/>
          <w:szCs w:val="24"/>
          <w:highlight w:val="none"/>
        </w:rPr>
        <w:t>10.1 所有磋商报价均以人民币报价。单位为元，精确到分。</w:t>
      </w:r>
      <w:r>
        <w:rPr>
          <w:rFonts w:hint="eastAsia" w:ascii="宋体" w:hAnsi="宋体" w:eastAsia="宋体" w:cs="宋体"/>
          <w:b/>
          <w:color w:val="auto"/>
          <w:szCs w:val="24"/>
          <w:highlight w:val="none"/>
        </w:rPr>
        <w:t>报价大于预算价时，按无效报价处理，且不进第二轮报价。本项目不公开唱价。</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10.2供应商依据磋商文件提供的招标要求等资料并自行考虑风险因素计算磋商报价，</w:t>
      </w:r>
      <w:r>
        <w:rPr>
          <w:rFonts w:hint="eastAsia" w:ascii="宋体" w:hAnsi="宋体" w:eastAsia="宋体" w:cs="宋体"/>
          <w:color w:val="auto"/>
          <w:kern w:val="2"/>
          <w:sz w:val="24"/>
          <w:szCs w:val="24"/>
          <w:highlight w:val="none"/>
          <w:lang w:val="zh-CN" w:eastAsia="zh-CN" w:bidi="ar-SA"/>
        </w:rPr>
        <w:t>合同价即</w:t>
      </w:r>
      <w:r>
        <w:rPr>
          <w:rFonts w:hint="eastAsia" w:ascii="宋体" w:hAnsi="宋体" w:cs="宋体"/>
          <w:color w:val="auto"/>
          <w:kern w:val="2"/>
          <w:sz w:val="24"/>
          <w:szCs w:val="24"/>
          <w:highlight w:val="none"/>
          <w:lang w:val="zh-CN" w:eastAsia="zh-CN" w:bidi="ar-SA"/>
        </w:rPr>
        <w:t>成交</w:t>
      </w:r>
      <w:r>
        <w:rPr>
          <w:rFonts w:hint="eastAsia" w:ascii="宋体" w:hAnsi="宋体" w:eastAsia="宋体" w:cs="宋体"/>
          <w:color w:val="auto"/>
          <w:kern w:val="2"/>
          <w:sz w:val="24"/>
          <w:szCs w:val="24"/>
          <w:highlight w:val="none"/>
          <w:lang w:val="zh-CN" w:eastAsia="zh-CN" w:bidi="ar-SA"/>
        </w:rPr>
        <w:t>价，供应商应在投标报价表明完成本次招标所要求服务的所有费用，投标报价表明</w:t>
      </w:r>
      <w:r>
        <w:rPr>
          <w:rFonts w:hint="eastAsia" w:ascii="宋体" w:hAnsi="宋体" w:cs="宋体"/>
          <w:color w:val="auto"/>
          <w:kern w:val="2"/>
          <w:sz w:val="24"/>
          <w:szCs w:val="24"/>
          <w:highlight w:val="none"/>
          <w:lang w:val="zh-CN" w:eastAsia="zh-CN" w:bidi="ar-SA"/>
        </w:rPr>
        <w:t>成交</w:t>
      </w:r>
      <w:r>
        <w:rPr>
          <w:rFonts w:hint="eastAsia" w:ascii="宋体" w:hAnsi="宋体" w:eastAsia="宋体" w:cs="宋体"/>
          <w:color w:val="auto"/>
          <w:kern w:val="2"/>
          <w:sz w:val="24"/>
          <w:szCs w:val="24"/>
          <w:highlight w:val="none"/>
          <w:lang w:val="zh-CN" w:eastAsia="zh-CN" w:bidi="ar-SA"/>
        </w:rPr>
        <w:t>本次服务的所有单项价格和总价，任何有选择的报价将不予接受，按无效投标处理。</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10.3供应商必须就整个项目进行响应，不得将整个项目中的内容拆开响应。拆开响应的，按无效响应文件处理。</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10.4凡因供应商对磋商文件阅读不深、理解不透、误解、疏漏、或因市场行情了解不清造成的后果和风险均由磋商供应商自负。磋商响应过程中所产生的一切费用由磋商供应商自行承担。</w:t>
      </w:r>
    </w:p>
    <w:p>
      <w:pPr>
        <w:spacing w:line="360" w:lineRule="auto"/>
        <w:rPr>
          <w:rFonts w:ascii="宋体" w:hAnsi="宋体"/>
          <w:color w:val="auto"/>
          <w:szCs w:val="24"/>
          <w:highlight w:val="none"/>
        </w:rPr>
      </w:pPr>
      <w:r>
        <w:rPr>
          <w:rFonts w:hint="eastAsia" w:ascii="宋体" w:hAnsi="宋体"/>
          <w:color w:val="auto"/>
          <w:szCs w:val="24"/>
          <w:highlight w:val="none"/>
        </w:rPr>
        <w:t>11、</w:t>
      </w:r>
      <w:r>
        <w:rPr>
          <w:rFonts w:hint="eastAsia" w:ascii="宋体" w:hAnsi="宋体"/>
          <w:color w:val="auto"/>
          <w:szCs w:val="24"/>
          <w:highlight w:val="none"/>
          <w:lang w:val="en-US" w:eastAsia="zh-CN"/>
        </w:rPr>
        <w:t>纸质版</w:t>
      </w:r>
      <w:r>
        <w:rPr>
          <w:rFonts w:hint="eastAsia" w:ascii="宋体" w:hAnsi="宋体"/>
          <w:color w:val="auto"/>
          <w:szCs w:val="24"/>
          <w:highlight w:val="none"/>
        </w:rPr>
        <w:t>响应文件的编制</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11.1</w:t>
      </w:r>
      <w:r>
        <w:rPr>
          <w:rFonts w:hint="eastAsia" w:ascii="宋体" w:hAnsi="宋体" w:eastAsia="宋体" w:cs="Times New Roman"/>
          <w:color w:val="auto"/>
          <w:szCs w:val="24"/>
          <w:highlight w:val="none"/>
        </w:rPr>
        <w:t>所有磋商</w:t>
      </w:r>
      <w:r>
        <w:rPr>
          <w:rFonts w:hint="eastAsia" w:ascii="宋体" w:hAnsi="宋体" w:eastAsia="宋体" w:cs="Times New Roman"/>
          <w:color w:val="auto"/>
          <w:szCs w:val="24"/>
          <w:highlight w:val="none"/>
          <w:lang w:eastAsia="zh-CN"/>
        </w:rPr>
        <w:t>响应</w:t>
      </w:r>
      <w:r>
        <w:rPr>
          <w:rFonts w:hint="eastAsia" w:ascii="宋体" w:hAnsi="宋体" w:eastAsia="宋体" w:cs="Times New Roman"/>
          <w:color w:val="auto"/>
          <w:szCs w:val="24"/>
          <w:highlight w:val="none"/>
        </w:rPr>
        <w:t>文件正本和副本须按第</w:t>
      </w:r>
      <w:r>
        <w:rPr>
          <w:rFonts w:hint="eastAsia" w:ascii="宋体" w:hAnsi="宋体" w:cs="Times New Roman"/>
          <w:color w:val="auto"/>
          <w:szCs w:val="24"/>
          <w:highlight w:val="none"/>
          <w:lang w:eastAsia="zh-CN"/>
        </w:rPr>
        <w:t>七</w:t>
      </w:r>
      <w:r>
        <w:rPr>
          <w:rFonts w:hint="eastAsia" w:ascii="宋体" w:hAnsi="宋体" w:eastAsia="宋体" w:cs="Times New Roman"/>
          <w:color w:val="auto"/>
          <w:szCs w:val="24"/>
          <w:highlight w:val="none"/>
        </w:rPr>
        <w:t>章规定的顺序编排、并应编制目录、逐页标注</w:t>
      </w:r>
      <w:r>
        <w:rPr>
          <w:rFonts w:hint="eastAsia" w:ascii="宋体" w:hAnsi="宋体" w:cs="Times New Roman"/>
          <w:color w:val="auto"/>
          <w:szCs w:val="24"/>
          <w:highlight w:val="none"/>
          <w:lang w:eastAsia="zh-CN"/>
        </w:rPr>
        <w:t>连续</w:t>
      </w:r>
      <w:r>
        <w:rPr>
          <w:rFonts w:hint="eastAsia" w:ascii="宋体" w:hAnsi="宋体" w:eastAsia="宋体" w:cs="Times New Roman"/>
          <w:color w:val="auto"/>
          <w:szCs w:val="24"/>
          <w:highlight w:val="none"/>
        </w:rPr>
        <w:t>页码，并分别胶装成册，胶装成册的磋商响应文件须加盖骑缝章，未按上述要求编制</w:t>
      </w:r>
      <w:r>
        <w:rPr>
          <w:rFonts w:hint="eastAsia" w:ascii="宋体" w:hAnsi="宋体" w:cs="Times New Roman"/>
          <w:color w:val="auto"/>
          <w:szCs w:val="24"/>
          <w:highlight w:val="none"/>
          <w:lang w:val="en-US" w:eastAsia="zh-CN"/>
        </w:rPr>
        <w:t>磋商</w:t>
      </w:r>
      <w:r>
        <w:rPr>
          <w:rFonts w:hint="eastAsia" w:ascii="宋体" w:hAnsi="宋体" w:eastAsia="宋体" w:cs="Times New Roman"/>
          <w:color w:val="auto"/>
          <w:szCs w:val="24"/>
          <w:highlight w:val="none"/>
        </w:rPr>
        <w:t>响应文件视为不符合磋商响应文件的签署、加盖印章；</w:t>
      </w:r>
    </w:p>
    <w:p>
      <w:pPr>
        <w:spacing w:line="360" w:lineRule="auto"/>
        <w:ind w:firstLine="480" w:firstLineChars="200"/>
        <w:rPr>
          <w:rFonts w:hint="eastAsia" w:ascii="宋体" w:hAnsi="宋体"/>
          <w:color w:val="auto"/>
          <w:szCs w:val="24"/>
          <w:highlight w:val="none"/>
        </w:rPr>
      </w:pPr>
      <w:r>
        <w:rPr>
          <w:rFonts w:hint="eastAsia" w:ascii="宋体" w:hAnsi="宋体"/>
          <w:color w:val="auto"/>
          <w:szCs w:val="24"/>
          <w:highlight w:val="none"/>
        </w:rPr>
        <w:t>11.2响应文件应用不褪色的材料书写或打印，并由供应商的法人代表或法定代表授权人在响应文件上签字并加盖单位公章。授权委托代理人签字或盖章的，响应文件应附法定代表人签署的授权委托书，并将其附在响应文件中。响应文件应尽量避免涂改、行间插字或删除。如果出现上述情况，改动之处应加盖公章并由供应商的法定代表人或其授权委托人签字或盖章确认。未按本条规定办理的，视同签字、盖章不全。</w:t>
      </w:r>
    </w:p>
    <w:p>
      <w:pPr>
        <w:spacing w:line="360" w:lineRule="auto"/>
        <w:ind w:firstLine="480" w:firstLineChars="200"/>
        <w:rPr>
          <w:rFonts w:ascii="宋体" w:hAnsi="宋体"/>
          <w:color w:val="auto"/>
          <w:szCs w:val="24"/>
          <w:highlight w:val="none"/>
        </w:rPr>
      </w:pPr>
      <w:r>
        <w:rPr>
          <w:rFonts w:hint="eastAsia" w:ascii="宋体" w:hAnsi="宋体" w:eastAsia="宋体" w:cs="Times New Roman"/>
          <w:color w:val="auto"/>
          <w:szCs w:val="24"/>
          <w:highlight w:val="none"/>
          <w:lang w:val="en-US" w:eastAsia="zh-CN"/>
        </w:rPr>
        <w:t>11.3</w:t>
      </w:r>
      <w:r>
        <w:rPr>
          <w:rFonts w:hint="eastAsia" w:ascii="宋体" w:hAnsi="宋体"/>
          <w:color w:val="auto"/>
          <w:szCs w:val="24"/>
          <w:highlight w:val="none"/>
        </w:rPr>
        <w:t>响应文件应按磋商文件规定的格式填写、签署和盖章。</w:t>
      </w:r>
    </w:p>
    <w:p>
      <w:pPr>
        <w:spacing w:line="360" w:lineRule="auto"/>
        <w:ind w:firstLine="480" w:firstLineChars="200"/>
        <w:rPr>
          <w:rFonts w:hint="eastAsia" w:ascii="宋体" w:hAnsi="宋体"/>
          <w:color w:val="auto"/>
          <w:szCs w:val="24"/>
          <w:highlight w:val="none"/>
        </w:rPr>
      </w:pPr>
      <w:r>
        <w:rPr>
          <w:rFonts w:hint="eastAsia" w:ascii="宋体" w:hAnsi="宋体"/>
          <w:color w:val="auto"/>
          <w:szCs w:val="24"/>
          <w:highlight w:val="none"/>
        </w:rPr>
        <w:t>11.</w:t>
      </w:r>
      <w:r>
        <w:rPr>
          <w:rFonts w:hint="eastAsia" w:ascii="宋体" w:hAnsi="宋体"/>
          <w:color w:val="auto"/>
          <w:szCs w:val="24"/>
          <w:highlight w:val="none"/>
          <w:lang w:val="en-US" w:eastAsia="zh-CN"/>
        </w:rPr>
        <w:t>4</w:t>
      </w:r>
      <w:r>
        <w:rPr>
          <w:rFonts w:hint="eastAsia" w:ascii="宋体" w:hAnsi="宋体"/>
          <w:color w:val="auto"/>
          <w:szCs w:val="24"/>
          <w:highlight w:val="none"/>
        </w:rPr>
        <w:t>响应文件正本和副本的封面上应清楚地标记“正本”或“副本”的字样。当副本和正本不一致时，以正本为准。</w:t>
      </w:r>
    </w:p>
    <w:p>
      <w:pPr>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11.</w:t>
      </w:r>
      <w:r>
        <w:rPr>
          <w:rFonts w:hint="eastAsia" w:ascii="宋体" w:hAnsi="宋体" w:cs="宋体"/>
          <w:b/>
          <w:color w:val="auto"/>
          <w:sz w:val="24"/>
          <w:szCs w:val="24"/>
          <w:highlight w:val="none"/>
          <w:lang w:val="en-US" w:eastAsia="zh-CN"/>
        </w:rPr>
        <w:t>5</w:t>
      </w:r>
      <w:r>
        <w:rPr>
          <w:rFonts w:hint="eastAsia" w:ascii="宋体" w:hAnsi="宋体" w:eastAsia="宋体" w:cs="宋体"/>
          <w:b/>
          <w:color w:val="auto"/>
          <w:sz w:val="24"/>
          <w:szCs w:val="24"/>
          <w:highlight w:val="none"/>
        </w:rPr>
        <w:t>本项目采用电子化</w:t>
      </w:r>
      <w:r>
        <w:rPr>
          <w:rFonts w:hint="eastAsia" w:ascii="宋体" w:hAnsi="宋体" w:cs="宋体"/>
          <w:b/>
          <w:color w:val="auto"/>
          <w:sz w:val="24"/>
          <w:szCs w:val="24"/>
          <w:highlight w:val="none"/>
          <w:lang w:eastAsia="zh-CN"/>
        </w:rPr>
        <w:t>磋商响应</w:t>
      </w:r>
      <w:r>
        <w:rPr>
          <w:rFonts w:hint="eastAsia" w:ascii="宋体" w:hAnsi="宋体" w:eastAsia="宋体" w:cs="宋体"/>
          <w:b/>
          <w:color w:val="auto"/>
          <w:sz w:val="24"/>
          <w:szCs w:val="24"/>
          <w:highlight w:val="none"/>
        </w:rPr>
        <w:t>文件的方式。投标人须使用数字认证证书对电子化</w:t>
      </w:r>
      <w:r>
        <w:rPr>
          <w:rFonts w:hint="eastAsia" w:ascii="宋体" w:hAnsi="宋体" w:cs="宋体"/>
          <w:b/>
          <w:color w:val="auto"/>
          <w:sz w:val="24"/>
          <w:szCs w:val="24"/>
          <w:highlight w:val="none"/>
          <w:lang w:eastAsia="zh-CN"/>
        </w:rPr>
        <w:t>磋商响应</w:t>
      </w:r>
      <w:r>
        <w:rPr>
          <w:rFonts w:hint="eastAsia" w:ascii="宋体" w:hAnsi="宋体" w:eastAsia="宋体" w:cs="宋体"/>
          <w:b/>
          <w:color w:val="auto"/>
          <w:sz w:val="24"/>
          <w:szCs w:val="24"/>
          <w:highlight w:val="none"/>
          <w:lang w:eastAsia="zh-CN"/>
        </w:rPr>
        <w:t>文件</w:t>
      </w:r>
      <w:r>
        <w:rPr>
          <w:rFonts w:hint="eastAsia" w:ascii="宋体" w:hAnsi="宋体" w:eastAsia="宋体" w:cs="宋体"/>
          <w:b/>
          <w:color w:val="auto"/>
          <w:sz w:val="24"/>
          <w:szCs w:val="24"/>
          <w:highlight w:val="none"/>
        </w:rPr>
        <w:t>进行签章、加密、递交及开标时解密等相关招投标事宜。如出现电子</w:t>
      </w:r>
      <w:r>
        <w:rPr>
          <w:rFonts w:hint="eastAsia" w:ascii="宋体" w:hAnsi="宋体" w:cs="宋体"/>
          <w:b/>
          <w:color w:val="auto"/>
          <w:sz w:val="24"/>
          <w:szCs w:val="24"/>
          <w:highlight w:val="none"/>
          <w:lang w:eastAsia="zh-CN"/>
        </w:rPr>
        <w:t>磋商响应</w:t>
      </w:r>
      <w:r>
        <w:rPr>
          <w:rFonts w:hint="eastAsia" w:ascii="宋体" w:hAnsi="宋体" w:eastAsia="宋体" w:cs="宋体"/>
          <w:b/>
          <w:color w:val="auto"/>
          <w:sz w:val="24"/>
          <w:szCs w:val="24"/>
          <w:highlight w:val="none"/>
        </w:rPr>
        <w:t>文件与纸质</w:t>
      </w:r>
      <w:r>
        <w:rPr>
          <w:rFonts w:hint="eastAsia" w:ascii="宋体" w:hAnsi="宋体" w:cs="宋体"/>
          <w:b/>
          <w:color w:val="auto"/>
          <w:sz w:val="24"/>
          <w:szCs w:val="24"/>
          <w:highlight w:val="none"/>
          <w:lang w:eastAsia="zh-CN"/>
        </w:rPr>
        <w:t>磋商响应</w:t>
      </w:r>
      <w:r>
        <w:rPr>
          <w:rFonts w:hint="eastAsia" w:ascii="宋体" w:hAnsi="宋体" w:eastAsia="宋体" w:cs="宋体"/>
          <w:b/>
          <w:color w:val="auto"/>
          <w:sz w:val="24"/>
          <w:szCs w:val="24"/>
          <w:highlight w:val="none"/>
        </w:rPr>
        <w:t>文件顺序不一致，不作为废标条款，以电子</w:t>
      </w:r>
      <w:r>
        <w:rPr>
          <w:rFonts w:hint="eastAsia" w:ascii="宋体" w:hAnsi="宋体" w:cs="宋体"/>
          <w:b/>
          <w:color w:val="auto"/>
          <w:sz w:val="24"/>
          <w:szCs w:val="24"/>
          <w:highlight w:val="none"/>
          <w:lang w:eastAsia="zh-CN"/>
        </w:rPr>
        <w:t>磋商响应</w:t>
      </w:r>
      <w:r>
        <w:rPr>
          <w:rFonts w:hint="eastAsia" w:ascii="宋体" w:hAnsi="宋体" w:eastAsia="宋体" w:cs="宋体"/>
          <w:b/>
          <w:color w:val="auto"/>
          <w:sz w:val="24"/>
          <w:szCs w:val="24"/>
          <w:highlight w:val="none"/>
        </w:rPr>
        <w:t>文件为准。</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.1电子</w:t>
      </w:r>
      <w:r>
        <w:rPr>
          <w:rFonts w:hint="eastAsia" w:ascii="宋体" w:hAnsi="宋体" w:cs="宋体"/>
          <w:color w:val="auto"/>
          <w:sz w:val="24"/>
          <w:szCs w:val="24"/>
          <w:highlight w:val="none"/>
          <w:lang w:val="en-US" w:eastAsia="zh-CN"/>
        </w:rPr>
        <w:t>磋商</w:t>
      </w:r>
      <w:r>
        <w:rPr>
          <w:rFonts w:hint="eastAsia" w:ascii="宋体" w:hAnsi="宋体" w:eastAsia="宋体" w:cs="宋体"/>
          <w:color w:val="auto"/>
          <w:sz w:val="24"/>
          <w:szCs w:val="24"/>
          <w:highlight w:val="none"/>
          <w:lang w:val="en-US" w:eastAsia="zh-CN"/>
        </w:rPr>
        <w:t>文件下载。供应商登录全国公共资源交易平台（陕西省） 网站〖首页·〉电子交易平台·〉企业端〗后，在〖招标公告/出让公告〗 模块中选择项目点击“我要投标”，参与投标活动。然后即可在〖我的项 目〗中点击“项目流程&gt;交易文件下载”下载电子</w:t>
      </w:r>
      <w:r>
        <w:rPr>
          <w:rFonts w:hint="eastAsia" w:ascii="宋体" w:hAnsi="宋体" w:cs="宋体"/>
          <w:color w:val="auto"/>
          <w:sz w:val="24"/>
          <w:szCs w:val="24"/>
          <w:highlight w:val="none"/>
          <w:lang w:val="en-US" w:eastAsia="zh-CN"/>
        </w:rPr>
        <w:t>磋商</w:t>
      </w:r>
      <w:r>
        <w:rPr>
          <w:rFonts w:hint="eastAsia" w:ascii="宋体" w:hAnsi="宋体" w:eastAsia="宋体" w:cs="宋体"/>
          <w:color w:val="auto"/>
          <w:sz w:val="24"/>
          <w:szCs w:val="24"/>
          <w:highlight w:val="none"/>
          <w:lang w:val="en-US" w:eastAsia="zh-CN"/>
        </w:rPr>
        <w:t xml:space="preserve">文件。 </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.2电子</w:t>
      </w:r>
      <w:r>
        <w:rPr>
          <w:rFonts w:hint="eastAsia" w:ascii="宋体" w:hAnsi="宋体" w:cs="宋体"/>
          <w:color w:val="auto"/>
          <w:sz w:val="24"/>
          <w:szCs w:val="24"/>
          <w:highlight w:val="none"/>
          <w:lang w:val="en-US" w:eastAsia="zh-CN"/>
        </w:rPr>
        <w:t>磋商</w:t>
      </w:r>
      <w:r>
        <w:rPr>
          <w:rFonts w:hint="eastAsia" w:ascii="宋体" w:hAnsi="宋体" w:eastAsia="宋体" w:cs="宋体"/>
          <w:color w:val="auto"/>
          <w:sz w:val="24"/>
          <w:szCs w:val="24"/>
          <w:highlight w:val="none"/>
          <w:lang w:val="en-US" w:eastAsia="zh-CN"/>
        </w:rPr>
        <w:t>文件需要使用专用软件打开、浏览。投标人可在全国公共资源交易平台（陕西省）网站〖首页·〉服务指南·〉下载专区〗免费下载“陕西省公共资源交易平台政府采购电子标书制作工具(V8.0.0.36)”，并升级至最新版本，使用该客户端可以打开电子</w:t>
      </w:r>
      <w:r>
        <w:rPr>
          <w:rFonts w:hint="eastAsia" w:ascii="宋体" w:hAnsi="宋体" w:cs="宋体"/>
          <w:color w:val="auto"/>
          <w:sz w:val="24"/>
          <w:szCs w:val="24"/>
          <w:highlight w:val="none"/>
          <w:lang w:val="en-US" w:eastAsia="zh-CN"/>
        </w:rPr>
        <w:t>磋商</w:t>
      </w:r>
      <w:r>
        <w:rPr>
          <w:rFonts w:hint="eastAsia" w:ascii="宋体" w:hAnsi="宋体" w:eastAsia="宋体" w:cs="宋体"/>
          <w:color w:val="auto"/>
          <w:sz w:val="24"/>
          <w:szCs w:val="24"/>
          <w:highlight w:val="none"/>
          <w:lang w:val="en-US" w:eastAsia="zh-CN"/>
        </w:rPr>
        <w:t>文件。软件操作手册详见全国公共资源交易平台（陕西省）网站〖首页·〉服务指南·〉下载专区〗中的《陕西省公共资源交易（政府采购类）投标文件制作软件操作手册》。</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.3制作电子</w:t>
      </w:r>
      <w:r>
        <w:rPr>
          <w:rFonts w:hint="eastAsia" w:ascii="宋体" w:hAnsi="宋体" w:cs="宋体"/>
          <w:color w:val="auto"/>
          <w:sz w:val="24"/>
          <w:szCs w:val="24"/>
          <w:highlight w:val="none"/>
          <w:lang w:val="en-US" w:eastAsia="zh-CN"/>
        </w:rPr>
        <w:t>磋商响应</w:t>
      </w:r>
      <w:r>
        <w:rPr>
          <w:rFonts w:hint="eastAsia" w:ascii="宋体" w:hAnsi="宋体" w:eastAsia="宋体" w:cs="宋体"/>
          <w:color w:val="auto"/>
          <w:sz w:val="24"/>
          <w:szCs w:val="24"/>
          <w:highlight w:val="none"/>
          <w:lang w:val="en-US" w:eastAsia="zh-CN"/>
        </w:rPr>
        <w:t>文件。电子</w:t>
      </w:r>
      <w:r>
        <w:rPr>
          <w:rFonts w:hint="eastAsia" w:ascii="宋体" w:hAnsi="宋体" w:cs="宋体"/>
          <w:color w:val="auto"/>
          <w:sz w:val="24"/>
          <w:szCs w:val="24"/>
          <w:highlight w:val="none"/>
          <w:lang w:val="en-US" w:eastAsia="zh-CN"/>
        </w:rPr>
        <w:t>磋商响应</w:t>
      </w:r>
      <w:r>
        <w:rPr>
          <w:rFonts w:hint="eastAsia" w:ascii="宋体" w:hAnsi="宋体" w:eastAsia="宋体" w:cs="宋体"/>
          <w:color w:val="auto"/>
          <w:sz w:val="24"/>
          <w:szCs w:val="24"/>
          <w:highlight w:val="none"/>
          <w:lang w:val="en-US" w:eastAsia="zh-CN"/>
        </w:rPr>
        <w:t xml:space="preserve">文件同样需要使用上述软件进行编制。在编制过程中，如有技术性问题，请先翻阅操作手册，或致电软件开发商。 </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技术支持热线：4009280095、4009980000 </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CA锁购买：榆林市市民大厦四楼窗口,电话：0912-3515031</w:t>
      </w:r>
    </w:p>
    <w:p>
      <w:pPr>
        <w:spacing w:line="360" w:lineRule="auto"/>
        <w:rPr>
          <w:rFonts w:hint="default" w:ascii="宋体" w:hAnsi="宋体" w:eastAsia="宋体"/>
          <w:b/>
          <w:color w:val="auto"/>
          <w:szCs w:val="24"/>
          <w:highlight w:val="none"/>
          <w:lang w:val="en-US" w:eastAsia="zh-CN"/>
        </w:rPr>
      </w:pPr>
      <w:bookmarkStart w:id="26" w:name="_Toc394934424"/>
      <w:bookmarkStart w:id="27" w:name="_Toc246928911"/>
      <w:bookmarkStart w:id="28" w:name="_Toc317248152"/>
      <w:r>
        <w:rPr>
          <w:rFonts w:hint="eastAsia" w:ascii="宋体" w:hAnsi="宋体"/>
          <w:color w:val="auto"/>
          <w:szCs w:val="24"/>
          <w:highlight w:val="none"/>
        </w:rPr>
        <w:t>12、供应商资质证明文件</w:t>
      </w:r>
      <w:bookmarkEnd w:id="26"/>
      <w:bookmarkEnd w:id="27"/>
      <w:r>
        <w:rPr>
          <w:rFonts w:hint="eastAsia" w:ascii="宋体" w:hAnsi="宋体"/>
          <w:color w:val="auto"/>
          <w:szCs w:val="24"/>
          <w:highlight w:val="none"/>
          <w:lang w:val="en-US" w:eastAsia="zh-CN"/>
        </w:rPr>
        <w:t>要求</w:t>
      </w:r>
      <w:r>
        <w:rPr>
          <w:rFonts w:hint="eastAsia" w:ascii="宋体" w:hAnsi="宋体"/>
          <w:color w:val="auto"/>
          <w:szCs w:val="24"/>
          <w:highlight w:val="none"/>
          <w:lang w:eastAsia="zh-CN"/>
        </w:rPr>
        <w:t>：</w:t>
      </w:r>
      <w:r>
        <w:rPr>
          <w:rFonts w:hint="eastAsia" w:ascii="宋体" w:hAnsi="宋体"/>
          <w:color w:val="auto"/>
          <w:szCs w:val="24"/>
          <w:highlight w:val="none"/>
          <w:lang w:val="en-US" w:eastAsia="zh-CN"/>
        </w:rPr>
        <w:t>详见前附表。</w:t>
      </w:r>
    </w:p>
    <w:bookmarkEnd w:id="28"/>
    <w:p>
      <w:pPr>
        <w:spacing w:line="360" w:lineRule="auto"/>
        <w:rPr>
          <w:rFonts w:ascii="宋体" w:hAnsi="宋体"/>
          <w:color w:val="auto"/>
          <w:szCs w:val="24"/>
          <w:highlight w:val="none"/>
        </w:rPr>
      </w:pPr>
      <w:r>
        <w:rPr>
          <w:rFonts w:hint="eastAsia" w:ascii="宋体" w:hAnsi="宋体"/>
          <w:color w:val="auto"/>
          <w:szCs w:val="24"/>
          <w:highlight w:val="none"/>
        </w:rPr>
        <w:t>13、磋商有效期</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 xml:space="preserve">13.1响应文件从磋商之日起，磋商有效期为90日历天。响应文件中所有要求的证明文件的有效期比本须知规定的有效期短的，将被视为非响应磋商，采购人有权拒绝。 </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13.2特殊情况下，采购人可于磋商有效期满之前要求供应商同意延长有效期，要求与答复均应为书面形式。供应商可以拒绝上述要求，其保证金不被没收。对于同意该要求的供应商，既不要求也不允许其修改响应文件，但将要求其相应延长保证金的有效期，有关退还和没收保证金的规定在磋商有效期的延长期内继续有效。</w:t>
      </w:r>
    </w:p>
    <w:p>
      <w:pPr>
        <w:spacing w:line="360" w:lineRule="auto"/>
        <w:rPr>
          <w:rFonts w:hint="eastAsia" w:ascii="宋体" w:hAnsi="宋体" w:eastAsia="宋体"/>
          <w:color w:val="auto"/>
          <w:szCs w:val="24"/>
          <w:highlight w:val="none"/>
          <w:lang w:eastAsia="zh-CN"/>
        </w:rPr>
      </w:pPr>
      <w:r>
        <w:rPr>
          <w:rFonts w:hint="eastAsia" w:ascii="宋体" w:hAnsi="宋体"/>
          <w:color w:val="auto"/>
          <w:szCs w:val="24"/>
          <w:highlight w:val="none"/>
        </w:rPr>
        <w:t>14、磋商保证金：</w:t>
      </w:r>
      <w:r>
        <w:rPr>
          <w:rFonts w:hint="eastAsia" w:ascii="宋体" w:hAnsi="宋体"/>
          <w:color w:val="auto"/>
          <w:szCs w:val="24"/>
          <w:highlight w:val="none"/>
          <w:lang w:eastAsia="zh-CN"/>
        </w:rPr>
        <w:t>（本项目采用投标信用承诺代理投标保证金的形式进行）</w:t>
      </w:r>
    </w:p>
    <w:p>
      <w:pPr>
        <w:pStyle w:val="16"/>
        <w:keepNext w:val="0"/>
        <w:keepLines w:val="0"/>
        <w:pageBreakBefore w:val="0"/>
        <w:overflowPunct/>
        <w:topLinePunct w:val="0"/>
        <w:bidi w:val="0"/>
        <w:adjustRightInd/>
        <w:spacing w:line="360" w:lineRule="auto"/>
        <w:ind w:firstLine="480" w:firstLineChars="200"/>
        <w:jc w:val="both"/>
        <w:rPr>
          <w:rFonts w:hint="eastAsia" w:ascii="宋体" w:hAnsi="宋体" w:eastAsia="宋体"/>
          <w:color w:val="auto"/>
          <w:szCs w:val="24"/>
          <w:highlight w:val="none"/>
          <w:lang w:eastAsia="zh-CN"/>
        </w:rPr>
      </w:pPr>
      <w:r>
        <w:rPr>
          <w:rFonts w:hint="eastAsia" w:ascii="宋体" w:hAnsi="宋体" w:cs="宋体"/>
          <w:color w:val="auto"/>
          <w:sz w:val="24"/>
          <w:szCs w:val="24"/>
          <w:highlight w:val="none"/>
          <w:lang w:val="en-US" w:eastAsia="zh-CN"/>
        </w:rPr>
        <w:t>14.1磋商保证金：详见前附表要求</w:t>
      </w:r>
      <w:r>
        <w:rPr>
          <w:rFonts w:hint="eastAsia" w:ascii="宋体" w:hAnsi="宋体" w:cs="宋体"/>
          <w:color w:val="auto"/>
          <w:sz w:val="24"/>
          <w:szCs w:val="24"/>
          <w:highlight w:val="none"/>
          <w:lang w:eastAsia="zh-CN"/>
        </w:rPr>
        <w:t>。</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14.2磋商保证金的有效期与磋商有效期一致。</w:t>
      </w:r>
    </w:p>
    <w:p>
      <w:pPr>
        <w:spacing w:line="360" w:lineRule="auto"/>
        <w:ind w:firstLine="480" w:firstLineChars="200"/>
        <w:rPr>
          <w:rFonts w:hint="eastAsia" w:ascii="宋体" w:hAnsi="宋体" w:eastAsia="宋体"/>
          <w:color w:val="auto"/>
          <w:szCs w:val="24"/>
          <w:highlight w:val="none"/>
          <w:lang w:eastAsia="zh-CN"/>
        </w:rPr>
      </w:pPr>
      <w:r>
        <w:rPr>
          <w:rFonts w:hint="eastAsia" w:ascii="宋体" w:hAnsi="宋体"/>
          <w:color w:val="auto"/>
          <w:szCs w:val="24"/>
          <w:highlight w:val="none"/>
        </w:rPr>
        <w:t>14.3磋商保证金的缴纳形式：供应商须从基本账户以支票、汇票、本票或者金融机构、担保机构出具的保函等非现金形式提交。</w:t>
      </w:r>
      <w:r>
        <w:rPr>
          <w:rFonts w:hint="eastAsia" w:ascii="宋体" w:hAnsi="宋体"/>
          <w:color w:val="auto"/>
          <w:szCs w:val="24"/>
          <w:highlight w:val="none"/>
          <w:lang w:eastAsia="zh-CN"/>
        </w:rPr>
        <w:t>（该项目</w:t>
      </w:r>
      <w:r>
        <w:rPr>
          <w:rFonts w:hint="eastAsia" w:ascii="宋体" w:hAnsi="宋体"/>
          <w:color w:val="auto"/>
          <w:szCs w:val="24"/>
          <w:highlight w:val="none"/>
          <w:lang w:val="en-US" w:eastAsia="zh-CN"/>
        </w:rPr>
        <w:t>不适用</w:t>
      </w:r>
      <w:r>
        <w:rPr>
          <w:rFonts w:hint="eastAsia" w:ascii="宋体" w:hAnsi="宋体"/>
          <w:color w:val="auto"/>
          <w:szCs w:val="24"/>
          <w:highlight w:val="none"/>
          <w:lang w:eastAsia="zh-CN"/>
        </w:rPr>
        <w:t>）</w:t>
      </w:r>
    </w:p>
    <w:p>
      <w:pPr>
        <w:spacing w:line="360" w:lineRule="auto"/>
        <w:ind w:firstLine="480" w:firstLineChars="200"/>
        <w:rPr>
          <w:rFonts w:ascii="宋体" w:hAnsi="宋体"/>
          <w:color w:val="auto"/>
          <w:szCs w:val="24"/>
          <w:highlight w:val="none"/>
        </w:rPr>
      </w:pPr>
    </w:p>
    <w:p>
      <w:pPr>
        <w:spacing w:line="360" w:lineRule="auto"/>
        <w:jc w:val="center"/>
        <w:rPr>
          <w:rFonts w:ascii="宋体" w:hAnsi="宋体"/>
          <w:b/>
          <w:color w:val="auto"/>
          <w:szCs w:val="24"/>
          <w:highlight w:val="none"/>
        </w:rPr>
      </w:pPr>
      <w:r>
        <w:rPr>
          <w:rFonts w:hint="eastAsia" w:ascii="宋体" w:hAnsi="宋体"/>
          <w:b/>
          <w:color w:val="auto"/>
          <w:szCs w:val="24"/>
          <w:highlight w:val="none"/>
        </w:rPr>
        <w:t>（四） 响应文件的提交</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15、电子版</w:t>
      </w:r>
      <w:r>
        <w:rPr>
          <w:rFonts w:hint="eastAsia" w:ascii="宋体" w:hAnsi="宋体" w:eastAsia="宋体" w:cs="宋体"/>
          <w:b/>
          <w:bCs/>
          <w:color w:val="auto"/>
          <w:sz w:val="24"/>
          <w:szCs w:val="24"/>
          <w:highlight w:val="none"/>
        </w:rPr>
        <w:t>投标文件的提交</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投标文件可于提交投标文件截止时间前任意时段登录全国公共资源交易平台（陕西省）网站“电子交易平台&gt;企业端”进行提交，逾期系统将拒绝接收。提交时，投标人应登录全国公共资源交易中心平台（陕西省），选择“首页&gt;电子交易平台&gt;企业端&gt;我的项目”，点击“项目流程”，在打开的“项目管理”对话框中选择“上传投标文件”，上传加密的电子投标文件。上传成功后，电子化平台将予以记录。</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15.1电子版</w:t>
      </w:r>
      <w:r>
        <w:rPr>
          <w:rFonts w:hint="eastAsia" w:ascii="宋体" w:hAnsi="宋体" w:eastAsia="宋体" w:cs="宋体"/>
          <w:b/>
          <w:bCs/>
          <w:color w:val="auto"/>
          <w:sz w:val="24"/>
          <w:szCs w:val="24"/>
          <w:highlight w:val="none"/>
        </w:rPr>
        <w:t>投标文件的补充、修改和撤回</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1、投标人在递交投标文件后，且在提交投标文件截止时间前，可以对所提交的投标文件进行补充、修改或撤回。</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对电子投标文件进行补充、修改的，应先从电子交易平台上撤回旧版，再重新提交新版。 </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投标文件提交截止时间后，投标人不得对其投标文件做任何修改。</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4、投标人在提交投标文件截止时间后撤回投标文件的，投标保证金不予退还。</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15.2</w:t>
      </w:r>
      <w:r>
        <w:rPr>
          <w:rFonts w:hint="eastAsia" w:ascii="宋体" w:hAnsi="宋体" w:eastAsia="宋体" w:cs="宋体"/>
          <w:b/>
          <w:bCs/>
          <w:color w:val="auto"/>
          <w:sz w:val="24"/>
          <w:szCs w:val="24"/>
          <w:highlight w:val="none"/>
        </w:rPr>
        <w:t>投标人出现下列情况之一的，其</w:t>
      </w:r>
      <w:r>
        <w:rPr>
          <w:rFonts w:hint="eastAsia" w:ascii="宋体" w:hAnsi="宋体" w:eastAsia="宋体" w:cs="宋体"/>
          <w:b/>
          <w:bCs/>
          <w:color w:val="auto"/>
          <w:sz w:val="24"/>
          <w:szCs w:val="24"/>
          <w:highlight w:val="none"/>
          <w:lang w:val="en-US" w:eastAsia="zh-CN"/>
        </w:rPr>
        <w:t>电子版</w:t>
      </w:r>
      <w:r>
        <w:rPr>
          <w:rFonts w:hint="eastAsia" w:ascii="宋体" w:hAnsi="宋体" w:eastAsia="宋体" w:cs="宋体"/>
          <w:b/>
          <w:bCs/>
          <w:color w:val="auto"/>
          <w:sz w:val="24"/>
          <w:szCs w:val="24"/>
          <w:highlight w:val="none"/>
        </w:rPr>
        <w:t>投标文件视为无效文件：</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1、逾期提交电子投标文件；</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2、提交的投标文件与本项目不相符；</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3、投标人拒绝对电子投标文件进行解密；</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4、因投标人自身原因（如未带CA锁、或所带CA锁与制作电子投标文件使用的CA锁不一致、或沿用旧版招标文件编制投标文件等情形），导致在规定时间内无法解密投标文件；</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5、上传的电子投标文件无法打开。</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1</w:t>
      </w:r>
      <w:r>
        <w:rPr>
          <w:rFonts w:hint="eastAsia" w:ascii="宋体" w:hAnsi="宋体" w:eastAsia="宋体" w:cs="宋体"/>
          <w:b/>
          <w:color w:val="auto"/>
          <w:sz w:val="24"/>
          <w:szCs w:val="24"/>
          <w:highlight w:val="none"/>
          <w:lang w:val="en-US" w:eastAsia="zh-CN"/>
        </w:rPr>
        <w:t>5</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3纸质版</w:t>
      </w:r>
      <w:r>
        <w:rPr>
          <w:rFonts w:hint="eastAsia" w:ascii="宋体" w:hAnsi="宋体" w:eastAsia="宋体" w:cs="宋体"/>
          <w:b/>
          <w:color w:val="auto"/>
          <w:sz w:val="24"/>
          <w:szCs w:val="24"/>
          <w:highlight w:val="none"/>
        </w:rPr>
        <w:t>投标文件的密封和标记</w:t>
      </w:r>
    </w:p>
    <w:p>
      <w:pPr>
        <w:keepNext w:val="0"/>
        <w:keepLines w:val="0"/>
        <w:pageBreakBefore w:val="0"/>
        <w:widowControl w:val="0"/>
        <w:tabs>
          <w:tab w:val="left" w:pos="1025"/>
        </w:tabs>
        <w:kinsoku/>
        <w:wordWrap/>
        <w:overflowPunct/>
        <w:topLinePunct w:val="0"/>
        <w:autoSpaceDE/>
        <w:autoSpaceDN/>
        <w:bidi w:val="0"/>
        <w:adjustRightInd/>
        <w:snapToGrid/>
        <w:spacing w:line="360" w:lineRule="auto"/>
        <w:ind w:right="8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投标人应将投标文件正本、所有的副本、电子版本分开密封装在单独的封袋中（封袋不得有破损），且在封袋正面标明“正本”“副本”“电子版本”等字样。封袋应加贴封条，在封线处由法定代表人或授权委托人代表签字并加盖投标人鲜章，封袋正面要粘贴投标人全称、项目名称、项目编号等标识。</w:t>
      </w:r>
    </w:p>
    <w:p>
      <w:pPr>
        <w:keepNext w:val="0"/>
        <w:keepLines w:val="0"/>
        <w:pageBreakBefore w:val="0"/>
        <w:widowControl w:val="0"/>
        <w:tabs>
          <w:tab w:val="left" w:pos="1025"/>
        </w:tabs>
        <w:kinsoku/>
        <w:wordWrap/>
        <w:overflowPunct/>
        <w:topLinePunct w:val="0"/>
        <w:autoSpaceDE/>
        <w:autoSpaceDN/>
        <w:bidi w:val="0"/>
        <w:adjustRightInd/>
        <w:snapToGrid/>
        <w:spacing w:line="360" w:lineRule="auto"/>
        <w:ind w:right="8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外层包装请按以下要求标记：</w:t>
      </w:r>
    </w:p>
    <w:p>
      <w:pPr>
        <w:keepNext w:val="0"/>
        <w:keepLines w:val="0"/>
        <w:pageBreakBefore w:val="0"/>
        <w:widowControl w:val="0"/>
        <w:tabs>
          <w:tab w:val="left" w:pos="1025"/>
        </w:tabs>
        <w:kinsoku/>
        <w:wordWrap/>
        <w:overflowPunct/>
        <w:topLinePunct w:val="0"/>
        <w:autoSpaceDE/>
        <w:autoSpaceDN/>
        <w:bidi w:val="0"/>
        <w:adjustRightInd/>
        <w:snapToGrid/>
        <w:spacing w:line="360" w:lineRule="auto"/>
        <w:ind w:right="8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1)供应商</w:t>
      </w:r>
      <w:r>
        <w:rPr>
          <w:rFonts w:hint="eastAsia" w:ascii="宋体" w:hAnsi="宋体" w:eastAsia="宋体" w:cs="宋体"/>
          <w:color w:val="auto"/>
          <w:sz w:val="24"/>
          <w:szCs w:val="24"/>
          <w:highlight w:val="none"/>
        </w:rPr>
        <w:t>的全称；</w:t>
      </w:r>
    </w:p>
    <w:p>
      <w:pPr>
        <w:keepNext w:val="0"/>
        <w:keepLines w:val="0"/>
        <w:pageBreakBefore w:val="0"/>
        <w:widowControl w:val="0"/>
        <w:tabs>
          <w:tab w:val="left" w:pos="1025"/>
        </w:tabs>
        <w:kinsoku/>
        <w:wordWrap/>
        <w:overflowPunct/>
        <w:topLinePunct w:val="0"/>
        <w:autoSpaceDE/>
        <w:autoSpaceDN/>
        <w:bidi w:val="0"/>
        <w:adjustRightInd/>
        <w:snapToGrid/>
        <w:spacing w:line="360" w:lineRule="auto"/>
        <w:ind w:right="8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投标项目名称、项目编号；</w:t>
      </w:r>
    </w:p>
    <w:p>
      <w:pPr>
        <w:keepNext w:val="0"/>
        <w:keepLines w:val="0"/>
        <w:pageBreakBefore w:val="0"/>
        <w:widowControl w:val="0"/>
        <w:tabs>
          <w:tab w:val="left" w:pos="1025"/>
        </w:tabs>
        <w:kinsoku/>
        <w:wordWrap/>
        <w:overflowPunct/>
        <w:topLinePunct w:val="0"/>
        <w:autoSpaceDE/>
        <w:autoSpaceDN/>
        <w:bidi w:val="0"/>
        <w:adjustRightInd/>
        <w:snapToGrid/>
        <w:spacing w:line="360" w:lineRule="auto"/>
        <w:ind w:right="8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正本或副本、电子版本。</w:t>
      </w:r>
    </w:p>
    <w:p>
      <w:pPr>
        <w:keepNext w:val="0"/>
        <w:keepLines w:val="0"/>
        <w:pageBreakBefore w:val="0"/>
        <w:widowControl w:val="0"/>
        <w:tabs>
          <w:tab w:val="left" w:pos="1025"/>
        </w:tabs>
        <w:kinsoku/>
        <w:wordWrap/>
        <w:overflowPunct/>
        <w:topLinePunct w:val="0"/>
        <w:autoSpaceDE/>
        <w:autoSpaceDN/>
        <w:bidi w:val="0"/>
        <w:adjustRightInd/>
        <w:snapToGrid/>
        <w:spacing w:line="360" w:lineRule="auto"/>
        <w:ind w:right="8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15</w:t>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如果投标人未对投标文件按上述要求进行完好密封，由此产生的不利后果由投标人自行承担。</w:t>
      </w:r>
    </w:p>
    <w:p>
      <w:pPr>
        <w:keepNext w:val="0"/>
        <w:keepLines w:val="0"/>
        <w:pageBreakBefore w:val="0"/>
        <w:widowControl w:val="0"/>
        <w:tabs>
          <w:tab w:val="left" w:pos="1025"/>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15.3.4</w:t>
      </w:r>
      <w:r>
        <w:rPr>
          <w:rFonts w:hint="eastAsia" w:ascii="宋体" w:hAnsi="宋体" w:eastAsia="宋体" w:cs="宋体"/>
          <w:color w:val="auto"/>
          <w:sz w:val="24"/>
          <w:szCs w:val="24"/>
          <w:highlight w:val="none"/>
        </w:rPr>
        <w:t>投标人应按照招标</w:t>
      </w:r>
      <w:r>
        <w:rPr>
          <w:rFonts w:hint="eastAsia" w:ascii="宋体" w:hAnsi="宋体" w:eastAsia="宋体" w:cs="宋体"/>
          <w:color w:val="auto"/>
          <w:sz w:val="24"/>
          <w:szCs w:val="24"/>
          <w:highlight w:val="none"/>
          <w:lang w:val="en-US" w:eastAsia="zh-CN"/>
        </w:rPr>
        <w:t>文件</w:t>
      </w:r>
      <w:r>
        <w:rPr>
          <w:rFonts w:hint="eastAsia" w:ascii="宋体" w:hAnsi="宋体" w:eastAsia="宋体" w:cs="宋体"/>
          <w:color w:val="auto"/>
          <w:sz w:val="24"/>
          <w:szCs w:val="24"/>
          <w:highlight w:val="none"/>
        </w:rPr>
        <w:t>中规定的时间、地点，在</w:t>
      </w:r>
      <w:r>
        <w:rPr>
          <w:rFonts w:hint="eastAsia" w:ascii="宋体" w:hAnsi="宋体" w:cs="宋体"/>
          <w:color w:val="auto"/>
          <w:sz w:val="24"/>
          <w:szCs w:val="24"/>
          <w:highlight w:val="none"/>
          <w:lang w:val="en-US" w:eastAsia="zh-CN"/>
        </w:rPr>
        <w:t>开标</w:t>
      </w:r>
      <w:r>
        <w:rPr>
          <w:rFonts w:hint="eastAsia" w:ascii="宋体" w:hAnsi="宋体" w:eastAsia="宋体" w:cs="宋体"/>
          <w:color w:val="auto"/>
          <w:sz w:val="24"/>
          <w:szCs w:val="24"/>
          <w:highlight w:val="none"/>
        </w:rPr>
        <w:t>后五个工作日内，各投标人补交一正两副纸质投标文件</w:t>
      </w:r>
      <w:r>
        <w:rPr>
          <w:rFonts w:hint="eastAsia" w:ascii="宋体" w:hAnsi="宋体" w:cs="宋体"/>
          <w:color w:val="auto"/>
          <w:sz w:val="24"/>
          <w:szCs w:val="24"/>
          <w:highlight w:val="none"/>
          <w:lang w:val="en-US" w:eastAsia="zh-CN"/>
        </w:rPr>
        <w:t>及电子版</w:t>
      </w:r>
      <w:r>
        <w:rPr>
          <w:rFonts w:hint="eastAsia" w:ascii="宋体" w:hAnsi="宋体" w:eastAsia="宋体" w:cs="宋体"/>
          <w:color w:val="auto"/>
          <w:sz w:val="24"/>
          <w:szCs w:val="24"/>
          <w:highlight w:val="none"/>
        </w:rPr>
        <w:t>（备案用）</w:t>
      </w:r>
      <w:r>
        <w:rPr>
          <w:rFonts w:hint="eastAsia" w:ascii="宋体" w:hAnsi="宋体" w:eastAsia="宋体" w:cs="宋体"/>
          <w:color w:val="auto"/>
          <w:sz w:val="24"/>
          <w:szCs w:val="24"/>
          <w:highlight w:val="none"/>
          <w:lang w:eastAsia="zh-CN"/>
        </w:rPr>
        <w:t>。</w:t>
      </w:r>
    </w:p>
    <w:p>
      <w:pPr>
        <w:keepNext w:val="0"/>
        <w:keepLines w:val="0"/>
        <w:pageBreakBefore w:val="0"/>
        <w:widowControl w:val="0"/>
        <w:tabs>
          <w:tab w:val="left" w:pos="1025"/>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15.3.5</w:t>
      </w:r>
      <w:r>
        <w:rPr>
          <w:rFonts w:hint="eastAsia" w:ascii="宋体" w:hAnsi="宋体" w:eastAsia="宋体" w:cs="宋体"/>
          <w:color w:val="auto"/>
          <w:sz w:val="24"/>
          <w:szCs w:val="24"/>
          <w:highlight w:val="none"/>
          <w:lang w:val="en-US" w:eastAsia="zh-CN"/>
        </w:rPr>
        <w:t>代理机构</w:t>
      </w:r>
      <w:r>
        <w:rPr>
          <w:rFonts w:hint="eastAsia" w:ascii="宋体" w:hAnsi="宋体" w:eastAsia="宋体" w:cs="宋体"/>
          <w:color w:val="auto"/>
          <w:sz w:val="24"/>
          <w:szCs w:val="24"/>
          <w:highlight w:val="none"/>
        </w:rPr>
        <w:t>只负责投标文件的接收、清点、造册登记工作，对其有效性不负任何责任</w:t>
      </w:r>
      <w:r>
        <w:rPr>
          <w:rFonts w:hint="eastAsia" w:ascii="宋体" w:hAnsi="宋体" w:eastAsia="宋体" w:cs="宋体"/>
          <w:color w:val="auto"/>
          <w:sz w:val="24"/>
          <w:szCs w:val="24"/>
          <w:highlight w:val="none"/>
          <w:lang w:eastAsia="zh-CN"/>
        </w:rPr>
        <w:t>。</w:t>
      </w:r>
    </w:p>
    <w:p>
      <w:pPr>
        <w:keepNext w:val="0"/>
        <w:keepLines w:val="0"/>
        <w:pageBreakBefore w:val="0"/>
        <w:widowControl w:val="0"/>
        <w:tabs>
          <w:tab w:val="left" w:pos="1020"/>
        </w:tabs>
        <w:kinsoku/>
        <w:wordWrap/>
        <w:overflowPunct/>
        <w:topLinePunct w:val="0"/>
        <w:autoSpaceDE/>
        <w:autoSpaceDN/>
        <w:bidi w:val="0"/>
        <w:adjustRightInd/>
        <w:snapToGrid/>
        <w:spacing w:line="360" w:lineRule="auto"/>
        <w:ind w:firstLine="480" w:firstLineChars="200"/>
        <w:textAlignment w:val="auto"/>
        <w:rPr>
          <w:color w:val="auto"/>
          <w:highlight w:val="none"/>
        </w:rPr>
      </w:pPr>
      <w:r>
        <w:rPr>
          <w:rFonts w:hint="eastAsia" w:ascii="宋体" w:hAnsi="宋体" w:cs="宋体"/>
          <w:color w:val="auto"/>
          <w:sz w:val="24"/>
          <w:szCs w:val="24"/>
          <w:highlight w:val="none"/>
          <w:lang w:val="en-US" w:eastAsia="zh-CN"/>
        </w:rPr>
        <w:t>15.3.6</w:t>
      </w:r>
      <w:r>
        <w:rPr>
          <w:rFonts w:hint="eastAsia" w:ascii="宋体" w:hAnsi="宋体" w:eastAsia="宋体" w:cs="宋体"/>
          <w:color w:val="auto"/>
          <w:sz w:val="24"/>
          <w:szCs w:val="24"/>
          <w:highlight w:val="none"/>
        </w:rPr>
        <w:t>无论投标人中标与否，其</w:t>
      </w:r>
      <w:r>
        <w:rPr>
          <w:rFonts w:hint="eastAsia" w:ascii="宋体" w:hAnsi="宋体" w:eastAsia="宋体" w:cs="宋体"/>
          <w:color w:val="auto"/>
          <w:sz w:val="24"/>
          <w:szCs w:val="24"/>
          <w:highlight w:val="none"/>
          <w:lang w:val="en-US" w:eastAsia="zh-CN"/>
        </w:rPr>
        <w:t>纸质版</w:t>
      </w:r>
      <w:r>
        <w:rPr>
          <w:rFonts w:hint="eastAsia" w:ascii="宋体" w:hAnsi="宋体" w:eastAsia="宋体" w:cs="宋体"/>
          <w:color w:val="auto"/>
          <w:sz w:val="24"/>
          <w:szCs w:val="24"/>
          <w:highlight w:val="none"/>
        </w:rPr>
        <w:t>投标文件恕不退还。</w:t>
      </w:r>
    </w:p>
    <w:p>
      <w:pPr>
        <w:spacing w:line="360" w:lineRule="auto"/>
        <w:jc w:val="center"/>
        <w:rPr>
          <w:rFonts w:ascii="宋体" w:hAnsi="宋体"/>
          <w:b/>
          <w:color w:val="auto"/>
          <w:szCs w:val="24"/>
          <w:highlight w:val="none"/>
        </w:rPr>
      </w:pPr>
      <w:r>
        <w:rPr>
          <w:rFonts w:hint="eastAsia" w:ascii="宋体" w:hAnsi="宋体"/>
          <w:b/>
          <w:color w:val="auto"/>
          <w:szCs w:val="24"/>
          <w:highlight w:val="none"/>
        </w:rPr>
        <w:t>（五）开 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olor w:val="auto"/>
          <w:szCs w:val="24"/>
          <w:highlight w:val="none"/>
        </w:rPr>
      </w:pPr>
      <w:bookmarkStart w:id="29" w:name="_Toc394934434"/>
      <w:r>
        <w:rPr>
          <w:rFonts w:hint="eastAsia" w:ascii="宋体" w:hAnsi="宋体"/>
          <w:color w:val="auto"/>
          <w:szCs w:val="24"/>
          <w:highlight w:val="none"/>
        </w:rPr>
        <w:t>17、</w:t>
      </w:r>
      <w:bookmarkEnd w:id="29"/>
      <w:r>
        <w:rPr>
          <w:rFonts w:hint="eastAsia" w:ascii="宋体" w:hAnsi="宋体"/>
          <w:color w:val="auto"/>
          <w:szCs w:val="24"/>
          <w:highlight w:val="none"/>
        </w:rPr>
        <w:t>磋商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b/>
          <w:bCs/>
          <w:color w:val="auto"/>
          <w:szCs w:val="24"/>
          <w:highlight w:val="none"/>
        </w:rPr>
      </w:pPr>
      <w:r>
        <w:rPr>
          <w:rFonts w:hint="eastAsia" w:ascii="宋体" w:hAnsi="宋体"/>
          <w:color w:val="auto"/>
          <w:szCs w:val="24"/>
          <w:highlight w:val="none"/>
        </w:rPr>
        <w:t xml:space="preserve">17.1 </w:t>
      </w:r>
      <w:r>
        <w:rPr>
          <w:rFonts w:hint="eastAsia" w:ascii="宋体" w:hAnsi="宋体" w:eastAsia="宋体" w:cs="宋体"/>
          <w:color w:val="auto"/>
          <w:sz w:val="24"/>
          <w:szCs w:val="24"/>
          <w:highlight w:val="none"/>
        </w:rPr>
        <w:t>采购代理机构在规定的时间和地点组织开标。开标时所有投标人代表自愿参加，不参加的视为认同开标结果，参加开标的</w:t>
      </w:r>
      <w:r>
        <w:rPr>
          <w:rFonts w:hint="eastAsia" w:ascii="宋体" w:hAnsi="宋体" w:eastAsia="宋体" w:cs="宋体"/>
          <w:color w:val="auto"/>
          <w:sz w:val="24"/>
          <w:szCs w:val="24"/>
          <w:highlight w:val="none"/>
          <w:lang w:val="en-US" w:eastAsia="zh-CN"/>
        </w:rPr>
        <w:t>法人或授权</w:t>
      </w:r>
      <w:r>
        <w:rPr>
          <w:rFonts w:hint="eastAsia" w:ascii="宋体" w:hAnsi="宋体" w:eastAsia="宋体" w:cs="宋体"/>
          <w:color w:val="auto"/>
          <w:sz w:val="24"/>
          <w:szCs w:val="24"/>
          <w:highlight w:val="none"/>
        </w:rPr>
        <w:t>代表应在开标截止时间前半小时内进行电子签到以证明其出席。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olor w:val="auto"/>
          <w:szCs w:val="24"/>
          <w:highlight w:val="none"/>
        </w:rPr>
      </w:pPr>
      <w:r>
        <w:rPr>
          <w:rFonts w:hint="eastAsia" w:ascii="宋体" w:hAnsi="宋体"/>
          <w:color w:val="auto"/>
          <w:szCs w:val="24"/>
          <w:highlight w:val="none"/>
        </w:rPr>
        <w:t>17.2</w:t>
      </w:r>
      <w:r>
        <w:rPr>
          <w:rFonts w:hint="eastAsia" w:ascii="宋体" w:hAnsi="宋体" w:eastAsia="宋体" w:cs="宋体"/>
          <w:sz w:val="24"/>
          <w:szCs w:val="24"/>
          <w:lang w:eastAsia="zh-CN"/>
        </w:rPr>
        <w:t>磋商会议开始时</w:t>
      </w:r>
      <w:r>
        <w:rPr>
          <w:rFonts w:hint="eastAsia" w:ascii="宋体" w:hAnsi="宋体" w:eastAsia="宋体" w:cs="宋体"/>
          <w:sz w:val="24"/>
          <w:szCs w:val="24"/>
        </w:rPr>
        <w:t>，</w:t>
      </w:r>
      <w:r>
        <w:rPr>
          <w:rFonts w:hint="eastAsia" w:ascii="宋体" w:hAnsi="宋体" w:eastAsia="宋体" w:cs="宋体"/>
          <w:color w:val="auto"/>
          <w:kern w:val="2"/>
          <w:sz w:val="24"/>
          <w:szCs w:val="24"/>
          <w:highlight w:val="none"/>
          <w:lang w:val="en-US" w:eastAsia="zh-CN" w:bidi="ar"/>
        </w:rPr>
        <w:t>投标人将电子磋商响应文件解密，由代理机构工作人员按照电子开标程序完成电子开标程序。</w:t>
      </w:r>
      <w:r>
        <w:rPr>
          <w:rFonts w:hint="eastAsia" w:ascii="宋体" w:hAnsi="宋体" w:eastAsia="宋体" w:cs="宋体"/>
          <w:sz w:val="24"/>
          <w:szCs w:val="24"/>
        </w:rPr>
        <w:t>各</w:t>
      </w:r>
      <w:r>
        <w:rPr>
          <w:rFonts w:hint="eastAsia" w:ascii="宋体" w:hAnsi="宋体" w:eastAsia="宋体" w:cs="宋体"/>
          <w:sz w:val="24"/>
          <w:szCs w:val="24"/>
          <w:lang w:eastAsia="zh-CN"/>
        </w:rPr>
        <w:t>投标人</w:t>
      </w:r>
      <w:r>
        <w:rPr>
          <w:rFonts w:hint="eastAsia" w:ascii="宋体" w:hAnsi="宋体" w:eastAsia="宋体" w:cs="宋体"/>
          <w:sz w:val="24"/>
          <w:szCs w:val="24"/>
        </w:rPr>
        <w:t>的每轮</w:t>
      </w:r>
      <w:r>
        <w:rPr>
          <w:rFonts w:hint="eastAsia" w:ascii="宋体" w:hAnsi="宋体" w:eastAsia="宋体" w:cs="宋体"/>
          <w:sz w:val="24"/>
          <w:szCs w:val="24"/>
          <w:lang w:eastAsia="zh-CN"/>
        </w:rPr>
        <w:t>磋商</w:t>
      </w:r>
      <w:r>
        <w:rPr>
          <w:rFonts w:hint="eastAsia" w:ascii="宋体" w:hAnsi="宋体" w:eastAsia="宋体" w:cs="宋体"/>
          <w:sz w:val="24"/>
          <w:szCs w:val="24"/>
        </w:rPr>
        <w:t>报价不予公布</w:t>
      </w:r>
      <w:r>
        <w:rPr>
          <w:rFonts w:hint="eastAsia" w:ascii="宋体" w:hAnsi="宋体"/>
          <w:color w:val="auto"/>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olor w:val="auto"/>
          <w:szCs w:val="24"/>
          <w:highlight w:val="none"/>
        </w:rPr>
      </w:pPr>
      <w:r>
        <w:rPr>
          <w:rFonts w:hint="eastAsia" w:ascii="宋体" w:hAnsi="宋体"/>
          <w:color w:val="auto"/>
          <w:szCs w:val="24"/>
          <w:highlight w:val="none"/>
        </w:rPr>
        <w:t>17.3采购代理机构将对磋商过程做记录，</w:t>
      </w:r>
      <w:r>
        <w:rPr>
          <w:rFonts w:hint="eastAsia" w:ascii="宋体" w:hAnsi="宋体" w:eastAsia="宋体" w:cs="宋体"/>
          <w:color w:val="auto"/>
          <w:sz w:val="24"/>
          <w:szCs w:val="24"/>
          <w:highlight w:val="none"/>
        </w:rPr>
        <w:t>存档备查</w:t>
      </w:r>
      <w:r>
        <w:rPr>
          <w:rFonts w:hint="eastAsia" w:ascii="宋体" w:hAnsi="宋体"/>
          <w:color w:val="auto"/>
          <w:szCs w:val="24"/>
          <w:highlight w:val="none"/>
        </w:rPr>
        <w:t>。</w:t>
      </w:r>
    </w:p>
    <w:p>
      <w:pPr>
        <w:keepNext w:val="0"/>
        <w:keepLines w:val="0"/>
        <w:pageBreakBefore w:val="0"/>
        <w:widowControl w:val="0"/>
        <w:tabs>
          <w:tab w:val="left" w:pos="108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bookmarkStart w:id="30" w:name="_Toc394934435"/>
      <w:bookmarkStart w:id="31" w:name="_Toc246928921"/>
      <w:r>
        <w:rPr>
          <w:rFonts w:hint="eastAsia" w:ascii="宋体" w:hAnsi="宋体" w:eastAsia="宋体" w:cs="宋体"/>
          <w:color w:val="auto"/>
          <w:sz w:val="24"/>
          <w:szCs w:val="24"/>
          <w:highlight w:val="none"/>
          <w:lang w:val="en-US" w:eastAsia="zh-CN"/>
        </w:rPr>
        <w:t>17.4</w:t>
      </w:r>
      <w:r>
        <w:rPr>
          <w:rFonts w:hint="eastAsia" w:ascii="宋体" w:hAnsi="宋体" w:eastAsia="宋体" w:cs="宋体"/>
          <w:color w:val="auto"/>
          <w:sz w:val="24"/>
          <w:szCs w:val="24"/>
          <w:highlight w:val="none"/>
        </w:rPr>
        <w:t>供应商不足</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家的，不得开标。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olor w:val="auto"/>
          <w:szCs w:val="24"/>
          <w:highlight w:val="none"/>
        </w:rPr>
      </w:pP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val="0"/>
          <w:bCs/>
          <w:color w:val="auto"/>
          <w:sz w:val="24"/>
          <w:szCs w:val="24"/>
          <w:highlight w:val="none"/>
          <w:lang w:val="en-US" w:eastAsia="zh-CN"/>
        </w:rPr>
        <w:t xml:space="preserve"> 17.5在开标、评审过程中，如因停电、断网、电子化系统故障等特殊原因导致电子化开、评标无法正常进行时，视具体情况确定是否从线上转线下或者停止开评标活动。</w:t>
      </w:r>
      <w:r>
        <w:rPr>
          <w:rFonts w:hint="eastAsia" w:ascii="宋体" w:hAnsi="宋体" w:eastAsia="宋体" w:cs="宋体"/>
          <w:b/>
          <w:color w:val="auto"/>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olor w:val="auto"/>
          <w:szCs w:val="24"/>
          <w:highlight w:val="none"/>
        </w:rPr>
      </w:pPr>
      <w:r>
        <w:rPr>
          <w:rFonts w:hint="eastAsia" w:ascii="宋体" w:hAnsi="宋体"/>
          <w:color w:val="auto"/>
          <w:szCs w:val="24"/>
          <w:highlight w:val="none"/>
        </w:rPr>
        <w:t>18、磋商小组</w:t>
      </w:r>
      <w:bookmarkEnd w:id="30"/>
      <w:bookmarkEnd w:id="3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olor w:val="auto"/>
          <w:szCs w:val="24"/>
          <w:highlight w:val="none"/>
        </w:rPr>
      </w:pPr>
      <w:r>
        <w:rPr>
          <w:rFonts w:hint="eastAsia" w:ascii="宋体" w:hAnsi="宋体"/>
          <w:color w:val="auto"/>
          <w:szCs w:val="24"/>
          <w:highlight w:val="none"/>
        </w:rPr>
        <w:t>18.1根据本次招标项目的特点，</w:t>
      </w:r>
      <w:r>
        <w:rPr>
          <w:rFonts w:hint="eastAsia" w:ascii="宋体" w:hAnsi="宋体"/>
          <w:color w:val="auto"/>
          <w:szCs w:val="24"/>
          <w:highlight w:val="none"/>
          <w:lang w:eastAsia="zh-CN"/>
        </w:rPr>
        <w:t>按</w:t>
      </w:r>
      <w:r>
        <w:rPr>
          <w:rFonts w:hint="eastAsia" w:ascii="宋体" w:hAnsi="宋体"/>
          <w:color w:val="auto"/>
          <w:szCs w:val="24"/>
          <w:highlight w:val="none"/>
        </w:rPr>
        <w:t>照《中华人民共和国政府采购法》等有关规定组建磋商小组。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olor w:val="auto"/>
          <w:szCs w:val="24"/>
          <w:highlight w:val="none"/>
        </w:rPr>
      </w:pPr>
      <w:r>
        <w:rPr>
          <w:rFonts w:hint="eastAsia" w:ascii="宋体" w:hAnsi="宋体"/>
          <w:color w:val="auto"/>
          <w:szCs w:val="24"/>
          <w:highlight w:val="none"/>
        </w:rPr>
        <w:t>18.2本项目磋商小组</w:t>
      </w:r>
      <w:r>
        <w:rPr>
          <w:rFonts w:hint="eastAsia" w:ascii="宋体" w:hAnsi="宋体"/>
          <w:color w:val="auto"/>
          <w:szCs w:val="24"/>
          <w:highlight w:val="none"/>
          <w:lang w:eastAsia="zh-CN"/>
        </w:rPr>
        <w:t>由采购人和</w:t>
      </w:r>
      <w:r>
        <w:rPr>
          <w:rFonts w:hint="eastAsia" w:ascii="宋体" w:hAnsi="宋体"/>
          <w:color w:val="auto"/>
          <w:szCs w:val="24"/>
          <w:highlight w:val="none"/>
        </w:rPr>
        <w:t>专家</w:t>
      </w:r>
      <w:r>
        <w:rPr>
          <w:rFonts w:hint="eastAsia" w:ascii="宋体" w:hAnsi="宋体"/>
          <w:color w:val="auto"/>
          <w:szCs w:val="24"/>
          <w:highlight w:val="none"/>
          <w:lang w:eastAsia="zh-CN"/>
        </w:rPr>
        <w:t>组成，专家</w:t>
      </w:r>
      <w:r>
        <w:rPr>
          <w:rFonts w:hint="eastAsia" w:ascii="宋体" w:hAnsi="宋体"/>
          <w:color w:val="auto"/>
          <w:szCs w:val="24"/>
          <w:highlight w:val="none"/>
        </w:rPr>
        <w:t>产生方式符合国家有关评审专家产生方式的规定。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olor w:val="auto"/>
          <w:szCs w:val="24"/>
          <w:highlight w:val="none"/>
        </w:rPr>
      </w:pPr>
      <w:r>
        <w:rPr>
          <w:rFonts w:hint="eastAsia" w:ascii="宋体" w:hAnsi="宋体"/>
          <w:color w:val="auto"/>
          <w:szCs w:val="24"/>
          <w:highlight w:val="none"/>
        </w:rPr>
        <w:t>18.3磋商小组成员对各供应商磋商响应文件进行审查、质疑、评估和比较，并推荐成交候选供应商。</w:t>
      </w:r>
    </w:p>
    <w:p>
      <w:pPr>
        <w:spacing w:line="360" w:lineRule="auto"/>
        <w:jc w:val="center"/>
        <w:rPr>
          <w:rFonts w:ascii="宋体" w:hAnsi="宋体"/>
          <w:b/>
          <w:color w:val="auto"/>
          <w:szCs w:val="24"/>
          <w:highlight w:val="none"/>
        </w:rPr>
      </w:pPr>
      <w:bookmarkStart w:id="32" w:name="_Toc246928924"/>
      <w:bookmarkStart w:id="33" w:name="_Toc394934436"/>
      <w:r>
        <w:rPr>
          <w:rFonts w:hint="eastAsia" w:ascii="宋体" w:hAnsi="宋体"/>
          <w:b/>
          <w:color w:val="auto"/>
          <w:szCs w:val="24"/>
          <w:highlight w:val="none"/>
        </w:rPr>
        <w:t>（六）评 审</w:t>
      </w:r>
    </w:p>
    <w:p>
      <w:pPr>
        <w:spacing w:line="360" w:lineRule="auto"/>
        <w:rPr>
          <w:rFonts w:ascii="宋体" w:hAnsi="宋体"/>
          <w:color w:val="auto"/>
          <w:szCs w:val="24"/>
          <w:highlight w:val="none"/>
        </w:rPr>
      </w:pPr>
      <w:r>
        <w:rPr>
          <w:rFonts w:hint="eastAsia" w:ascii="宋体" w:hAnsi="宋体"/>
          <w:color w:val="auto"/>
          <w:szCs w:val="24"/>
          <w:highlight w:val="none"/>
        </w:rPr>
        <w:t>19、评审</w:t>
      </w:r>
      <w:bookmarkEnd w:id="32"/>
      <w:bookmarkEnd w:id="33"/>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19.1磋商小组将遵循公平、公正和择优的原则，对所有供应商的磋商响应文件评审，都采用相同的程序和标准。</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19.2评审过程的保密：评审应在严格保密的状态下进行，在响应文件的评审、比较、成交候选供应商推荐以及授予合同的过程中，供应商向采购人和磋商小组施加影响的任何行为，都将会导致其报价被拒绝；成交供应商确定后，采购人不对未成交供应商就评审过程以及未能成交原因做出任何解释。未成交供应商不得向磋商小组成员或其他相关人员索问评审过程的情况和材料。</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19.3供应商或磋商响应文件出现的下列情形将按照无效响应文件处理，由磋商小组否决其磋商：</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19.3.1未按磋商文件规定要求签署、盖章；</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19.3.2不具备磋商文件规定资格条件的或提供的资格证明文件不全的；</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19.3.3响应文件内容不全或字迹模糊辨认不清导致磋商响应文件不满足磋商文件实质性要求的；</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19.3.4</w:t>
      </w:r>
      <w:r>
        <w:rPr>
          <w:rFonts w:hint="eastAsia" w:ascii="宋体" w:hAnsi="宋体" w:eastAsia="宋体" w:cs="宋体"/>
          <w:color w:val="auto"/>
          <w:sz w:val="24"/>
          <w:szCs w:val="24"/>
          <w:highlight w:val="none"/>
          <w:lang w:val="en-US" w:eastAsia="zh-CN"/>
        </w:rPr>
        <w:t>磋商小组认为供应商的报价明显低于其他通过符合性审查供应商的报价，有可能影响产品质量或者不能诚信履约的，应当要求其在评标现场合理的时间内提供书面说明，必要时提交相关证明材料；供应商不能证明其报价合理性的，磋商小组应当将其作为无效投标处理</w:t>
      </w:r>
      <w:r>
        <w:rPr>
          <w:rFonts w:hint="eastAsia" w:ascii="宋体" w:hAnsi="宋体"/>
          <w:color w:val="auto"/>
          <w:szCs w:val="24"/>
          <w:highlight w:val="none"/>
        </w:rPr>
        <w:t>；</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19.3.5</w:t>
      </w:r>
      <w:r>
        <w:rPr>
          <w:rFonts w:hint="eastAsia" w:ascii="宋体" w:hAnsi="宋体"/>
          <w:color w:val="auto"/>
          <w:szCs w:val="24"/>
          <w:highlight w:val="none"/>
          <w:lang w:eastAsia="zh-CN"/>
        </w:rPr>
        <w:t>服务期及</w:t>
      </w:r>
      <w:r>
        <w:rPr>
          <w:rFonts w:hint="eastAsia" w:ascii="宋体" w:hAnsi="宋体"/>
          <w:color w:val="auto"/>
          <w:szCs w:val="24"/>
          <w:highlight w:val="none"/>
        </w:rPr>
        <w:t>付款方式不满足竞争性磋商文件要求的；</w:t>
      </w:r>
    </w:p>
    <w:p>
      <w:pPr>
        <w:spacing w:line="360" w:lineRule="auto"/>
        <w:ind w:firstLine="480" w:firstLineChars="200"/>
        <w:rPr>
          <w:rFonts w:hint="eastAsia" w:ascii="宋体" w:hAnsi="宋体"/>
          <w:color w:val="auto"/>
          <w:szCs w:val="24"/>
          <w:highlight w:val="none"/>
        </w:rPr>
      </w:pPr>
      <w:r>
        <w:rPr>
          <w:rFonts w:hint="eastAsia" w:ascii="宋体" w:hAnsi="宋体"/>
          <w:color w:val="auto"/>
          <w:szCs w:val="24"/>
          <w:highlight w:val="none"/>
        </w:rPr>
        <w:t>19.3.6</w:t>
      </w:r>
      <w:r>
        <w:rPr>
          <w:rFonts w:hint="eastAsia" w:ascii="宋体" w:hAnsi="宋体" w:eastAsia="宋体" w:cs="宋体"/>
          <w:color w:val="auto"/>
          <w:kern w:val="2"/>
          <w:sz w:val="24"/>
          <w:szCs w:val="22"/>
          <w:highlight w:val="none"/>
          <w:lang w:val="en-US" w:eastAsia="zh-CN" w:bidi="ar"/>
        </w:rPr>
        <w:t>无磋商有效期或有效期达不到磋商文件要求的；</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19.3.7 属于磋商文件中所列无效响应情形的；</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19.3.8 与磋商文件要求条款有重大偏离的；</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olor w:val="auto"/>
          <w:szCs w:val="24"/>
          <w:highlight w:val="none"/>
        </w:rPr>
        <w:t>19.3.</w:t>
      </w:r>
      <w:r>
        <w:rPr>
          <w:rFonts w:hint="eastAsia" w:ascii="宋体" w:hAnsi="宋体"/>
          <w:color w:val="auto"/>
          <w:szCs w:val="24"/>
          <w:highlight w:val="none"/>
          <w:lang w:val="en-US" w:eastAsia="zh-CN"/>
        </w:rPr>
        <w:t>9</w:t>
      </w:r>
      <w:r>
        <w:rPr>
          <w:rFonts w:hint="eastAsia" w:ascii="宋体" w:hAnsi="宋体" w:eastAsia="宋体" w:cs="宋体"/>
          <w:color w:val="auto"/>
          <w:sz w:val="24"/>
          <w:szCs w:val="24"/>
          <w:highlight w:val="none"/>
          <w:lang w:val="en-US" w:eastAsia="zh-CN"/>
        </w:rPr>
        <w:t>逾期提交电子响应文件；</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olor w:val="auto"/>
          <w:szCs w:val="24"/>
          <w:highlight w:val="none"/>
        </w:rPr>
        <w:t>19.3.</w:t>
      </w:r>
      <w:r>
        <w:rPr>
          <w:rFonts w:hint="eastAsia" w:ascii="宋体" w:hAnsi="宋体"/>
          <w:color w:val="auto"/>
          <w:szCs w:val="24"/>
          <w:highlight w:val="none"/>
          <w:lang w:val="en-US" w:eastAsia="zh-CN"/>
        </w:rPr>
        <w:t>10</w:t>
      </w:r>
      <w:r>
        <w:rPr>
          <w:rFonts w:hint="eastAsia" w:ascii="宋体" w:hAnsi="宋体" w:eastAsia="宋体" w:cs="宋体"/>
          <w:color w:val="auto"/>
          <w:sz w:val="24"/>
          <w:szCs w:val="24"/>
          <w:highlight w:val="none"/>
          <w:lang w:val="en-US" w:eastAsia="zh-CN"/>
        </w:rPr>
        <w:t>提交的响应文件与本项目不相符；</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olor w:val="auto"/>
          <w:szCs w:val="24"/>
          <w:highlight w:val="none"/>
        </w:rPr>
        <w:t>19.3.</w:t>
      </w:r>
      <w:r>
        <w:rPr>
          <w:rFonts w:hint="eastAsia" w:ascii="宋体" w:hAnsi="宋体"/>
          <w:color w:val="auto"/>
          <w:szCs w:val="24"/>
          <w:highlight w:val="none"/>
          <w:lang w:val="en-US" w:eastAsia="zh-CN"/>
        </w:rPr>
        <w:t>11</w:t>
      </w:r>
      <w:r>
        <w:rPr>
          <w:rFonts w:hint="eastAsia" w:ascii="宋体" w:hAnsi="宋体" w:eastAsia="宋体" w:cs="宋体"/>
          <w:color w:val="auto"/>
          <w:sz w:val="24"/>
          <w:szCs w:val="24"/>
          <w:highlight w:val="none"/>
          <w:lang w:val="en-US" w:eastAsia="zh-CN"/>
        </w:rPr>
        <w:t>供应商拒绝对电子响应文件进行解密；</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olor w:val="auto"/>
          <w:szCs w:val="24"/>
          <w:highlight w:val="none"/>
        </w:rPr>
        <w:t>19.3.</w:t>
      </w:r>
      <w:r>
        <w:rPr>
          <w:rFonts w:hint="eastAsia" w:ascii="宋体" w:hAnsi="宋体"/>
          <w:color w:val="auto"/>
          <w:szCs w:val="24"/>
          <w:highlight w:val="none"/>
          <w:lang w:val="en-US" w:eastAsia="zh-CN"/>
        </w:rPr>
        <w:t>12</w:t>
      </w:r>
      <w:r>
        <w:rPr>
          <w:rFonts w:hint="eastAsia" w:ascii="宋体" w:hAnsi="宋体" w:eastAsia="宋体" w:cs="宋体"/>
          <w:color w:val="auto"/>
          <w:sz w:val="24"/>
          <w:szCs w:val="24"/>
          <w:highlight w:val="none"/>
          <w:lang w:val="en-US" w:eastAsia="zh-CN"/>
        </w:rPr>
        <w:t>因供应商自身原因（如未带CA锁、或所带CA锁与制作电子响应文件使用的CA锁不一致、或沿用旧版招标文件编制投标文件等情形），导致在规定时间内无法解密响应文件；</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olor w:val="auto"/>
          <w:szCs w:val="24"/>
          <w:highlight w:val="none"/>
        </w:rPr>
        <w:t>19.3.</w:t>
      </w:r>
      <w:r>
        <w:rPr>
          <w:rFonts w:hint="eastAsia" w:ascii="宋体" w:hAnsi="宋体"/>
          <w:color w:val="auto"/>
          <w:szCs w:val="24"/>
          <w:highlight w:val="none"/>
          <w:lang w:val="en-US" w:eastAsia="zh-CN"/>
        </w:rPr>
        <w:t>13</w:t>
      </w:r>
      <w:r>
        <w:rPr>
          <w:rFonts w:hint="eastAsia" w:ascii="宋体" w:hAnsi="宋体" w:eastAsia="宋体" w:cs="宋体"/>
          <w:color w:val="auto"/>
          <w:sz w:val="24"/>
          <w:szCs w:val="24"/>
          <w:highlight w:val="none"/>
          <w:lang w:val="en-US" w:eastAsia="zh-CN"/>
        </w:rPr>
        <w:t>上传的电子响应文件无法打开；</w:t>
      </w:r>
    </w:p>
    <w:p>
      <w:pPr>
        <w:spacing w:line="360" w:lineRule="auto"/>
        <w:ind w:firstLine="480" w:firstLineChars="200"/>
        <w:rPr>
          <w:rFonts w:hint="eastAsia" w:ascii="宋体" w:hAnsi="宋体"/>
          <w:color w:val="auto"/>
          <w:szCs w:val="24"/>
          <w:highlight w:val="none"/>
          <w:lang w:eastAsia="zh-CN"/>
        </w:rPr>
      </w:pPr>
      <w:r>
        <w:rPr>
          <w:rFonts w:hint="eastAsia" w:ascii="宋体" w:hAnsi="宋体"/>
          <w:color w:val="auto"/>
          <w:szCs w:val="24"/>
          <w:highlight w:val="none"/>
        </w:rPr>
        <w:t>19.3.</w:t>
      </w:r>
      <w:r>
        <w:rPr>
          <w:rFonts w:hint="eastAsia" w:ascii="宋体" w:hAnsi="宋体"/>
          <w:color w:val="auto"/>
          <w:szCs w:val="24"/>
          <w:highlight w:val="none"/>
          <w:lang w:val="en-US" w:eastAsia="zh-CN"/>
        </w:rPr>
        <w:t>14</w:t>
      </w:r>
      <w:r>
        <w:rPr>
          <w:rFonts w:hint="eastAsia" w:ascii="宋体" w:hAnsi="宋体"/>
          <w:color w:val="auto"/>
          <w:szCs w:val="24"/>
          <w:highlight w:val="none"/>
        </w:rPr>
        <w:t>不符合法律、法规和磋商文件中规定的其他实质性要求的</w:t>
      </w:r>
      <w:r>
        <w:rPr>
          <w:rFonts w:hint="eastAsia" w:ascii="宋体" w:hAnsi="宋体"/>
          <w:color w:val="auto"/>
          <w:szCs w:val="24"/>
          <w:highlight w:val="none"/>
          <w:lang w:eastAsia="zh-CN"/>
        </w:rPr>
        <w:t>。</w:t>
      </w:r>
    </w:p>
    <w:p>
      <w:pPr>
        <w:spacing w:line="360" w:lineRule="auto"/>
        <w:rPr>
          <w:rFonts w:ascii="宋体" w:hAnsi="宋体"/>
          <w:color w:val="auto"/>
          <w:szCs w:val="24"/>
          <w:highlight w:val="none"/>
        </w:rPr>
      </w:pPr>
      <w:bookmarkStart w:id="34" w:name="_Toc394934437"/>
      <w:r>
        <w:rPr>
          <w:rFonts w:hint="eastAsia" w:ascii="宋体" w:hAnsi="宋体"/>
          <w:color w:val="auto"/>
          <w:szCs w:val="24"/>
          <w:highlight w:val="none"/>
        </w:rPr>
        <w:t>20、评审</w:t>
      </w:r>
      <w:bookmarkEnd w:id="34"/>
      <w:r>
        <w:rPr>
          <w:rFonts w:hint="eastAsia" w:ascii="宋体" w:hAnsi="宋体"/>
          <w:color w:val="auto"/>
          <w:szCs w:val="24"/>
          <w:highlight w:val="none"/>
        </w:rPr>
        <w:t>程序及办法</w:t>
      </w:r>
    </w:p>
    <w:p>
      <w:pPr>
        <w:spacing w:line="360" w:lineRule="auto"/>
        <w:ind w:firstLine="480" w:firstLineChars="200"/>
        <w:jc w:val="left"/>
        <w:rPr>
          <w:rFonts w:ascii="宋体" w:hAnsi="宋体"/>
          <w:color w:val="auto"/>
          <w:szCs w:val="24"/>
          <w:highlight w:val="none"/>
        </w:rPr>
      </w:pPr>
      <w:r>
        <w:rPr>
          <w:rFonts w:hint="eastAsia" w:ascii="宋体" w:hAnsi="宋体"/>
          <w:color w:val="auto"/>
          <w:szCs w:val="24"/>
          <w:highlight w:val="none"/>
        </w:rPr>
        <w:t>20.1采购人对各个供应商的响应文件先进行资格审查，磋商小组再进行符合性审查，审查全都合格的供应商才有参加磋商与承诺的资格。</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20.1.1资格审查内容为：供应商须知前附表（供应商资质证明文件）</w:t>
      </w:r>
    </w:p>
    <w:p>
      <w:pPr>
        <w:spacing w:line="360" w:lineRule="auto"/>
        <w:ind w:firstLine="480" w:firstLineChars="200"/>
        <w:rPr>
          <w:rFonts w:hint="default" w:ascii="宋体" w:hAnsi="宋体" w:eastAsia="宋体"/>
          <w:color w:val="auto"/>
          <w:szCs w:val="24"/>
          <w:highlight w:val="none"/>
          <w:lang w:val="en-US" w:eastAsia="zh-CN"/>
        </w:rPr>
      </w:pPr>
      <w:r>
        <w:rPr>
          <w:rFonts w:hint="eastAsia" w:ascii="宋体" w:hAnsi="宋体"/>
          <w:color w:val="auto"/>
          <w:szCs w:val="24"/>
          <w:highlight w:val="none"/>
        </w:rPr>
        <w:t>20.2符合性审查内容为：</w:t>
      </w:r>
      <w:r>
        <w:rPr>
          <w:rFonts w:hint="eastAsia" w:ascii="宋体" w:hAnsi="宋体"/>
          <w:color w:val="auto"/>
          <w:szCs w:val="24"/>
          <w:highlight w:val="none"/>
          <w:lang w:eastAsia="zh-CN"/>
        </w:rPr>
        <w:t>详见评标</w:t>
      </w:r>
      <w:r>
        <w:rPr>
          <w:rFonts w:hint="eastAsia" w:ascii="宋体" w:hAnsi="宋体"/>
          <w:color w:val="auto"/>
          <w:szCs w:val="24"/>
          <w:highlight w:val="none"/>
          <w:lang w:val="en-US" w:eastAsia="zh-CN"/>
        </w:rPr>
        <w:t>办法</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lang w:val="en-US" w:eastAsia="zh-CN"/>
        </w:rPr>
        <w:t>20.3</w:t>
      </w:r>
      <w:r>
        <w:rPr>
          <w:rFonts w:hint="eastAsia" w:ascii="宋体" w:hAnsi="宋体"/>
          <w:color w:val="auto"/>
          <w:szCs w:val="24"/>
          <w:highlight w:val="none"/>
        </w:rPr>
        <w:t>磋商</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0</w:t>
      </w:r>
      <w:r>
        <w:rPr>
          <w:rFonts w:hint="eastAsia" w:ascii="宋体" w:hAnsi="宋体"/>
          <w:color w:val="auto"/>
          <w:szCs w:val="24"/>
          <w:highlight w:val="none"/>
        </w:rPr>
        <w:t>.</w:t>
      </w:r>
      <w:r>
        <w:rPr>
          <w:rFonts w:hint="eastAsia" w:ascii="宋体" w:hAnsi="宋体"/>
          <w:color w:val="auto"/>
          <w:szCs w:val="24"/>
          <w:highlight w:val="none"/>
          <w:lang w:val="en-US" w:eastAsia="zh-CN"/>
        </w:rPr>
        <w:t>3.1</w:t>
      </w:r>
      <w:r>
        <w:rPr>
          <w:rFonts w:hint="eastAsia" w:ascii="宋体" w:hAnsi="宋体"/>
          <w:color w:val="auto"/>
          <w:szCs w:val="24"/>
          <w:highlight w:val="none"/>
        </w:rPr>
        <w:t>磋商小组根据各磋商供应商响应文件响应情况决定是否与各供应商进行磋商，磋商方式为磋商小组所有成员集中与单一供应商分别进行磋商，并给与参加磋商的供应商平等的磋商机会。</w:t>
      </w:r>
    </w:p>
    <w:p>
      <w:pPr>
        <w:spacing w:line="360" w:lineRule="auto"/>
        <w:ind w:firstLine="480" w:firstLineChars="200"/>
        <w:rPr>
          <w:rFonts w:ascii="宋体" w:hAnsi="宋体"/>
          <w:b/>
          <w:bCs/>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0</w:t>
      </w:r>
      <w:r>
        <w:rPr>
          <w:rFonts w:hint="eastAsia" w:ascii="宋体" w:hAnsi="宋体"/>
          <w:color w:val="auto"/>
          <w:szCs w:val="24"/>
          <w:highlight w:val="none"/>
        </w:rPr>
        <w:t>.</w:t>
      </w:r>
      <w:r>
        <w:rPr>
          <w:rFonts w:hint="eastAsia" w:ascii="宋体" w:hAnsi="宋体"/>
          <w:color w:val="auto"/>
          <w:szCs w:val="24"/>
          <w:highlight w:val="none"/>
          <w:lang w:val="en-US" w:eastAsia="zh-CN"/>
        </w:rPr>
        <w:t>3.2</w:t>
      </w:r>
      <w:r>
        <w:rPr>
          <w:rFonts w:hint="eastAsia" w:ascii="宋体" w:hAnsi="宋体"/>
          <w:b/>
          <w:bCs/>
          <w:color w:val="auto"/>
          <w:szCs w:val="24"/>
          <w:highlight w:val="none"/>
        </w:rPr>
        <w:t>经磋商小组评审，质量和服务均能满足磋商文件实质性响应要求的供应商才具有最后报价的机会。供应商应按磋商小组规定的时间进行最后报价，最后报价现场不公布。该磋商报价为不可更改价格，作为磋商小组推荐成交候选人的依据。</w:t>
      </w:r>
    </w:p>
    <w:p>
      <w:pPr>
        <w:spacing w:line="360" w:lineRule="auto"/>
        <w:ind w:firstLine="480" w:firstLineChars="200"/>
        <w:rPr>
          <w:rFonts w:hint="eastAsia"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0</w:t>
      </w:r>
      <w:r>
        <w:rPr>
          <w:rFonts w:hint="eastAsia" w:ascii="宋体" w:hAnsi="宋体"/>
          <w:color w:val="auto"/>
          <w:szCs w:val="24"/>
          <w:highlight w:val="none"/>
        </w:rPr>
        <w:t>.3</w:t>
      </w:r>
      <w:r>
        <w:rPr>
          <w:rFonts w:hint="eastAsia" w:ascii="宋体" w:hAnsi="宋体"/>
          <w:color w:val="auto"/>
          <w:szCs w:val="24"/>
          <w:highlight w:val="none"/>
          <w:lang w:val="en-US" w:eastAsia="zh-CN"/>
        </w:rPr>
        <w:t>.3</w:t>
      </w:r>
      <w:r>
        <w:rPr>
          <w:rFonts w:hint="eastAsia" w:ascii="宋体" w:hAnsi="宋体"/>
          <w:color w:val="auto"/>
          <w:szCs w:val="24"/>
          <w:highlight w:val="none"/>
        </w:rPr>
        <w:t>磋商小组认为供应商的最后报价明显不合理或者低于成本，有可能影响质量和不能诚信履约的，要求其在磋商小组规定的期限内提供书面文件予以解释说明，并提交相关证明材料；如果其不能在磋商小组规定时间内够提供相关材料证明其报价的合理性，其最后报价为无效报价。</w:t>
      </w:r>
    </w:p>
    <w:p>
      <w:pPr>
        <w:spacing w:line="360" w:lineRule="auto"/>
        <w:ind w:firstLine="480" w:firstLineChars="200"/>
        <w:rPr>
          <w:rFonts w:hint="eastAsia" w:ascii="宋体" w:hAnsi="宋体" w:eastAsia="宋体"/>
          <w:color w:val="auto"/>
          <w:szCs w:val="24"/>
          <w:highlight w:val="none"/>
          <w:lang w:eastAsia="zh-CN"/>
        </w:rPr>
      </w:pPr>
      <w:r>
        <w:rPr>
          <w:rFonts w:hint="eastAsia" w:ascii="宋体" w:hAnsi="宋体"/>
          <w:color w:val="auto"/>
          <w:szCs w:val="24"/>
          <w:highlight w:val="none"/>
          <w:lang w:val="en-US" w:eastAsia="zh-CN"/>
        </w:rPr>
        <w:t>20.4</w:t>
      </w:r>
      <w:r>
        <w:rPr>
          <w:rFonts w:hint="eastAsia" w:ascii="宋体" w:hAnsi="宋体"/>
          <w:color w:val="auto"/>
          <w:szCs w:val="24"/>
          <w:highlight w:val="none"/>
        </w:rPr>
        <w:t>评委会各成员按照</w:t>
      </w:r>
      <w:r>
        <w:rPr>
          <w:rFonts w:hint="eastAsia" w:ascii="宋体" w:hAnsi="宋体" w:eastAsia="宋体" w:cs="宋体"/>
          <w:color w:val="auto"/>
          <w:sz w:val="24"/>
          <w:szCs w:val="24"/>
          <w:highlight w:val="none"/>
        </w:rPr>
        <w:t>磋商文件中规定的各项因素进行综合评</w:t>
      </w:r>
      <w:r>
        <w:rPr>
          <w:rFonts w:hint="eastAsia" w:ascii="宋体" w:hAnsi="宋体" w:cs="宋体"/>
          <w:color w:val="auto"/>
          <w:sz w:val="24"/>
          <w:szCs w:val="24"/>
          <w:highlight w:val="none"/>
          <w:lang w:eastAsia="zh-CN"/>
        </w:rPr>
        <w:t>审</w:t>
      </w:r>
      <w:r>
        <w:rPr>
          <w:rFonts w:hint="eastAsia" w:ascii="宋体" w:hAnsi="宋体" w:eastAsia="宋体" w:cs="宋体"/>
          <w:color w:val="auto"/>
          <w:sz w:val="24"/>
          <w:szCs w:val="24"/>
          <w:highlight w:val="none"/>
        </w:rPr>
        <w:t>，以</w:t>
      </w:r>
      <w:r>
        <w:rPr>
          <w:rFonts w:hint="eastAsia" w:ascii="宋体" w:hAnsi="宋体"/>
          <w:color w:val="auto"/>
          <w:szCs w:val="24"/>
          <w:highlight w:val="none"/>
        </w:rPr>
        <w:t>最后</w:t>
      </w:r>
      <w:r>
        <w:rPr>
          <w:rFonts w:hint="eastAsia" w:ascii="宋体" w:hAnsi="宋体" w:eastAsia="宋体" w:cs="宋体"/>
          <w:color w:val="auto"/>
          <w:sz w:val="24"/>
          <w:szCs w:val="24"/>
          <w:highlight w:val="none"/>
        </w:rPr>
        <w:t>得分由高到低</w:t>
      </w:r>
      <w:r>
        <w:rPr>
          <w:rFonts w:hint="eastAsia" w:ascii="宋体" w:hAnsi="宋体" w:cs="宋体"/>
          <w:color w:val="auto"/>
          <w:sz w:val="24"/>
          <w:szCs w:val="24"/>
          <w:highlight w:val="none"/>
          <w:lang w:eastAsia="zh-CN"/>
        </w:rPr>
        <w:t>的顺序</w:t>
      </w:r>
      <w:r>
        <w:rPr>
          <w:rFonts w:hint="eastAsia" w:ascii="宋体" w:hAnsi="宋体" w:eastAsia="宋体" w:cs="宋体"/>
          <w:color w:val="auto"/>
          <w:sz w:val="24"/>
          <w:szCs w:val="24"/>
          <w:highlight w:val="none"/>
        </w:rPr>
        <w:t>推荐成交候选人</w:t>
      </w:r>
      <w:r>
        <w:rPr>
          <w:rFonts w:hint="eastAsia" w:ascii="宋体" w:hAnsi="宋体" w:cs="宋体"/>
          <w:color w:val="auto"/>
          <w:sz w:val="24"/>
          <w:szCs w:val="24"/>
          <w:highlight w:val="none"/>
          <w:lang w:eastAsia="zh-CN"/>
        </w:rPr>
        <w:t>。</w:t>
      </w:r>
    </w:p>
    <w:p>
      <w:pPr>
        <w:spacing w:line="360" w:lineRule="auto"/>
        <w:ind w:firstLine="496" w:firstLineChars="200"/>
        <w:rPr>
          <w:rFonts w:ascii="宋体" w:hAnsi="宋体"/>
          <w:color w:val="auto"/>
          <w:szCs w:val="24"/>
          <w:highlight w:val="none"/>
        </w:rPr>
      </w:pPr>
      <w:r>
        <w:rPr>
          <w:rFonts w:hint="eastAsia" w:ascii="宋体" w:hAnsi="宋体" w:cs="宋体"/>
          <w:bCs/>
          <w:color w:val="auto"/>
          <w:spacing w:val="4"/>
          <w:szCs w:val="24"/>
          <w:highlight w:val="none"/>
          <w:lang w:val="en-US" w:eastAsia="zh-CN"/>
        </w:rPr>
        <w:t>20.5</w:t>
      </w:r>
      <w:r>
        <w:rPr>
          <w:rFonts w:hint="eastAsia" w:ascii="宋体" w:hAnsi="宋体"/>
          <w:color w:val="auto"/>
          <w:szCs w:val="24"/>
          <w:highlight w:val="none"/>
        </w:rPr>
        <w:t>评审方法</w:t>
      </w:r>
    </w:p>
    <w:p>
      <w:pPr>
        <w:spacing w:line="360" w:lineRule="auto"/>
        <w:ind w:firstLine="480" w:firstLineChars="200"/>
        <w:jc w:val="left"/>
        <w:rPr>
          <w:rFonts w:ascii="宋体" w:hAnsi="宋体"/>
          <w:color w:val="auto"/>
          <w:szCs w:val="24"/>
          <w:highlight w:val="none"/>
        </w:rPr>
      </w:pPr>
      <w:r>
        <w:rPr>
          <w:rFonts w:hint="eastAsia" w:ascii="宋体" w:hAnsi="宋体"/>
          <w:color w:val="auto"/>
          <w:szCs w:val="24"/>
          <w:highlight w:val="none"/>
        </w:rPr>
        <w:t>磋商小组从质量和服务均能满足磋商文件实质性响应要求的供应商中，按照最后得分由高到低的顺序提出成交候选人。</w:t>
      </w:r>
    </w:p>
    <w:p>
      <w:pPr>
        <w:spacing w:line="360" w:lineRule="auto"/>
        <w:jc w:val="center"/>
        <w:rPr>
          <w:rFonts w:ascii="宋体" w:hAnsi="宋体"/>
          <w:b/>
          <w:snapToGrid w:val="0"/>
          <w:color w:val="auto"/>
          <w:szCs w:val="24"/>
          <w:highlight w:val="none"/>
        </w:rPr>
      </w:pPr>
      <w:r>
        <w:rPr>
          <w:rFonts w:hint="eastAsia" w:ascii="宋体" w:hAnsi="宋体"/>
          <w:b/>
          <w:snapToGrid w:val="0"/>
          <w:color w:val="auto"/>
          <w:szCs w:val="24"/>
          <w:highlight w:val="none"/>
        </w:rPr>
        <w:t>（八） 授予合同</w:t>
      </w:r>
    </w:p>
    <w:p>
      <w:pPr>
        <w:spacing w:line="360" w:lineRule="auto"/>
        <w:rPr>
          <w:rFonts w:ascii="宋体" w:hAnsi="宋体"/>
          <w:color w:val="auto"/>
          <w:szCs w:val="24"/>
          <w:highlight w:val="none"/>
        </w:rPr>
      </w:pPr>
      <w:bookmarkStart w:id="35" w:name="_Toc246928926"/>
      <w:bookmarkStart w:id="36" w:name="_Toc385992361"/>
      <w:bookmarkStart w:id="37" w:name="_Toc389620200"/>
      <w:bookmarkStart w:id="38" w:name="_Toc394934441"/>
      <w:r>
        <w:rPr>
          <w:rFonts w:hint="eastAsia" w:ascii="宋体" w:hAnsi="宋体"/>
          <w:color w:val="auto"/>
          <w:szCs w:val="24"/>
          <w:highlight w:val="none"/>
        </w:rPr>
        <w:t>2</w:t>
      </w:r>
      <w:r>
        <w:rPr>
          <w:rFonts w:hint="eastAsia" w:ascii="宋体" w:hAnsi="宋体"/>
          <w:color w:val="auto"/>
          <w:szCs w:val="24"/>
          <w:highlight w:val="none"/>
          <w:lang w:val="en-US" w:eastAsia="zh-CN"/>
        </w:rPr>
        <w:t>1</w:t>
      </w:r>
      <w:r>
        <w:rPr>
          <w:rFonts w:hint="eastAsia" w:ascii="宋体" w:hAnsi="宋体"/>
          <w:color w:val="auto"/>
          <w:szCs w:val="24"/>
          <w:highlight w:val="none"/>
        </w:rPr>
        <w:t>、成交准则</w:t>
      </w:r>
      <w:bookmarkEnd w:id="35"/>
      <w:bookmarkEnd w:id="36"/>
      <w:bookmarkEnd w:id="37"/>
      <w:bookmarkEnd w:id="38"/>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1</w:t>
      </w:r>
      <w:r>
        <w:rPr>
          <w:rFonts w:hint="eastAsia" w:ascii="宋体" w:hAnsi="宋体"/>
          <w:color w:val="auto"/>
          <w:szCs w:val="24"/>
          <w:highlight w:val="none"/>
        </w:rPr>
        <w:t>.1合同将授予响应文件符合磋商文件要求、并能圆满地履行合同且总得分最高的供应商。</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1</w:t>
      </w:r>
      <w:r>
        <w:rPr>
          <w:rFonts w:hint="eastAsia" w:ascii="宋体" w:hAnsi="宋体"/>
          <w:color w:val="auto"/>
          <w:szCs w:val="24"/>
          <w:highlight w:val="none"/>
        </w:rPr>
        <w:t>.2磋商小组将根据评审方法推荐成交候选供应商名单。</w:t>
      </w:r>
      <w:bookmarkStart w:id="39" w:name="_Toc385992362"/>
      <w:bookmarkStart w:id="40" w:name="_Toc389620201"/>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1</w:t>
      </w:r>
      <w:r>
        <w:rPr>
          <w:rFonts w:hint="eastAsia" w:ascii="宋体" w:hAnsi="宋体"/>
          <w:color w:val="auto"/>
          <w:szCs w:val="24"/>
          <w:highlight w:val="none"/>
        </w:rPr>
        <w:t>.3采购代理机构在评审结束后将评审结论送采购人，采购人在收到评审结论后按照评审报告中推荐的成交候选供应商确定成交人。</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1</w:t>
      </w:r>
      <w:r>
        <w:rPr>
          <w:rFonts w:hint="eastAsia" w:ascii="宋体" w:hAnsi="宋体"/>
          <w:color w:val="auto"/>
          <w:szCs w:val="24"/>
          <w:highlight w:val="none"/>
        </w:rPr>
        <w:t>.4成交人因不可抗力或自身原因不能履行合同的，采购人可以再排位在成交人之后的第一位的成交候选人签订合同，以此类推。</w:t>
      </w:r>
    </w:p>
    <w:bookmarkEnd w:id="39"/>
    <w:bookmarkEnd w:id="40"/>
    <w:p>
      <w:pPr>
        <w:spacing w:line="360" w:lineRule="auto"/>
        <w:rPr>
          <w:rFonts w:ascii="宋体" w:hAnsi="宋体"/>
          <w:color w:val="auto"/>
          <w:szCs w:val="24"/>
          <w:highlight w:val="none"/>
        </w:rPr>
      </w:pPr>
      <w:bookmarkStart w:id="41" w:name="_Toc385992364"/>
      <w:bookmarkStart w:id="42" w:name="_Toc389620203"/>
      <w:bookmarkStart w:id="43" w:name="_Toc246928927"/>
      <w:bookmarkStart w:id="44" w:name="_Toc394934442"/>
      <w:r>
        <w:rPr>
          <w:rFonts w:hint="eastAsia" w:ascii="宋体" w:hAnsi="宋体"/>
          <w:color w:val="auto"/>
          <w:szCs w:val="24"/>
          <w:highlight w:val="none"/>
        </w:rPr>
        <w:t>2</w:t>
      </w:r>
      <w:r>
        <w:rPr>
          <w:rFonts w:hint="eastAsia" w:ascii="宋体" w:hAnsi="宋体"/>
          <w:color w:val="auto"/>
          <w:szCs w:val="24"/>
          <w:highlight w:val="none"/>
          <w:lang w:val="en-US" w:eastAsia="zh-CN"/>
        </w:rPr>
        <w:t>2</w:t>
      </w:r>
      <w:r>
        <w:rPr>
          <w:rFonts w:hint="eastAsia" w:ascii="宋体" w:hAnsi="宋体"/>
          <w:color w:val="auto"/>
          <w:szCs w:val="24"/>
          <w:highlight w:val="none"/>
        </w:rPr>
        <w:t>、定标</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lang w:val="en-US" w:eastAsia="zh-CN"/>
        </w:rPr>
        <w:t>22</w:t>
      </w:r>
      <w:r>
        <w:rPr>
          <w:rFonts w:hint="eastAsia" w:ascii="宋体" w:hAnsi="宋体"/>
          <w:color w:val="auto"/>
          <w:szCs w:val="24"/>
          <w:highlight w:val="none"/>
        </w:rPr>
        <w:t>.1采购代理机构应在评审结束后2个工作日内，将评审结论送采购人确认。</w:t>
      </w:r>
    </w:p>
    <w:bookmarkEnd w:id="41"/>
    <w:bookmarkEnd w:id="42"/>
    <w:p>
      <w:pPr>
        <w:spacing w:line="360" w:lineRule="auto"/>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3</w:t>
      </w:r>
      <w:r>
        <w:rPr>
          <w:rFonts w:hint="eastAsia" w:ascii="宋体" w:hAnsi="宋体"/>
          <w:color w:val="auto"/>
          <w:szCs w:val="24"/>
          <w:highlight w:val="none"/>
        </w:rPr>
        <w:t>、成交通知</w:t>
      </w:r>
      <w:bookmarkEnd w:id="43"/>
      <w:r>
        <w:rPr>
          <w:rFonts w:hint="eastAsia" w:ascii="宋体" w:hAnsi="宋体"/>
          <w:color w:val="auto"/>
          <w:szCs w:val="24"/>
          <w:highlight w:val="none"/>
        </w:rPr>
        <w:t>书</w:t>
      </w:r>
      <w:bookmarkEnd w:id="44"/>
    </w:p>
    <w:p>
      <w:pPr>
        <w:spacing w:line="360" w:lineRule="auto"/>
        <w:ind w:firstLine="480" w:firstLineChars="200"/>
        <w:rPr>
          <w:rFonts w:ascii="宋体" w:hAnsi="宋体"/>
          <w:color w:val="auto"/>
          <w:szCs w:val="24"/>
          <w:highlight w:val="none"/>
        </w:rPr>
      </w:pPr>
      <w:bookmarkStart w:id="45" w:name="_Toc389620205"/>
      <w:bookmarkStart w:id="46" w:name="_Toc394934443"/>
      <w:bookmarkStart w:id="47" w:name="_Toc385992366"/>
      <w:bookmarkStart w:id="48" w:name="_Toc246928928"/>
      <w:r>
        <w:rPr>
          <w:rFonts w:hint="eastAsia" w:ascii="宋体" w:hAnsi="宋体"/>
          <w:color w:val="auto"/>
          <w:szCs w:val="24"/>
          <w:highlight w:val="none"/>
        </w:rPr>
        <w:t>2</w:t>
      </w:r>
      <w:r>
        <w:rPr>
          <w:rFonts w:hint="eastAsia" w:ascii="宋体" w:hAnsi="宋体"/>
          <w:color w:val="auto"/>
          <w:szCs w:val="24"/>
          <w:highlight w:val="none"/>
          <w:lang w:val="en-US" w:eastAsia="zh-CN"/>
        </w:rPr>
        <w:t>3</w:t>
      </w:r>
      <w:r>
        <w:rPr>
          <w:rFonts w:hint="eastAsia" w:ascii="宋体" w:hAnsi="宋体"/>
          <w:color w:val="auto"/>
          <w:szCs w:val="24"/>
          <w:highlight w:val="none"/>
        </w:rPr>
        <w:t>.1《成交通知书》将作为签订合同的依据。</w:t>
      </w:r>
    </w:p>
    <w:p>
      <w:pPr>
        <w:spacing w:line="360" w:lineRule="auto"/>
        <w:ind w:firstLine="480" w:firstLineChars="200"/>
        <w:rPr>
          <w:rFonts w:ascii="宋体" w:hAnsi="宋体"/>
          <w:b w:val="0"/>
          <w:bCs w:val="0"/>
          <w:color w:val="auto"/>
          <w:szCs w:val="24"/>
          <w:highlight w:val="none"/>
        </w:rPr>
      </w:pPr>
      <w:r>
        <w:rPr>
          <w:rFonts w:hint="eastAsia" w:ascii="宋体" w:hAnsi="宋体"/>
          <w:b w:val="0"/>
          <w:bCs w:val="0"/>
          <w:szCs w:val="24"/>
        </w:rPr>
        <w:t>2</w:t>
      </w:r>
      <w:r>
        <w:rPr>
          <w:rFonts w:hint="eastAsia" w:ascii="宋体" w:hAnsi="宋体"/>
          <w:b w:val="0"/>
          <w:bCs w:val="0"/>
          <w:szCs w:val="24"/>
          <w:lang w:val="en-US" w:eastAsia="zh-CN"/>
        </w:rPr>
        <w:t>3</w:t>
      </w:r>
      <w:r>
        <w:rPr>
          <w:rFonts w:hint="eastAsia" w:ascii="宋体" w:hAnsi="宋体"/>
          <w:b w:val="0"/>
          <w:bCs w:val="0"/>
          <w:szCs w:val="24"/>
        </w:rPr>
        <w:t>.2</w:t>
      </w:r>
      <w:r>
        <w:rPr>
          <w:rFonts w:hint="eastAsia" w:ascii="宋体" w:hAnsi="宋体" w:eastAsia="宋体" w:cs="宋体"/>
          <w:b w:val="0"/>
          <w:bCs w:val="0"/>
          <w:color w:val="auto"/>
          <w:kern w:val="2"/>
          <w:sz w:val="24"/>
          <w:szCs w:val="24"/>
          <w:highlight w:val="none"/>
          <w:lang w:val="en-US" w:eastAsia="zh-CN" w:bidi="ar"/>
        </w:rPr>
        <w:t>中标人确定之后，中标结果将在财政部门指定的政府采购信息发布媒体上公告，在公告中标结果的同时，采购人或者采购代理机构应当向中标人发出中标通知书；对未通过资格审查的投标人，应当告知其未通过的原因；采用综合评分法评审的，还应当告知未中标人本人的评审得分与排序</w:t>
      </w:r>
      <w:r>
        <w:rPr>
          <w:rFonts w:hint="eastAsia" w:ascii="宋体" w:hAnsi="宋体"/>
          <w:b w:val="0"/>
          <w:bCs w:val="0"/>
          <w:color w:val="auto"/>
          <w:szCs w:val="24"/>
          <w:highlight w:val="none"/>
        </w:rPr>
        <w:t>。</w:t>
      </w:r>
    </w:p>
    <w:p>
      <w:pPr>
        <w:spacing w:line="360" w:lineRule="auto"/>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4</w:t>
      </w:r>
      <w:r>
        <w:rPr>
          <w:rFonts w:hint="eastAsia" w:ascii="宋体" w:hAnsi="宋体"/>
          <w:color w:val="auto"/>
          <w:szCs w:val="24"/>
          <w:highlight w:val="none"/>
        </w:rPr>
        <w:t>、签订合同</w:t>
      </w:r>
      <w:bookmarkEnd w:id="45"/>
      <w:bookmarkEnd w:id="46"/>
      <w:bookmarkEnd w:id="47"/>
      <w:bookmarkEnd w:id="48"/>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4</w:t>
      </w:r>
      <w:r>
        <w:rPr>
          <w:rFonts w:hint="eastAsia" w:ascii="宋体" w:hAnsi="宋体"/>
          <w:color w:val="auto"/>
          <w:szCs w:val="24"/>
          <w:highlight w:val="none"/>
        </w:rPr>
        <w:t>.1成交人应当自成交通知书发出之日起</w:t>
      </w:r>
      <w:r>
        <w:rPr>
          <w:rFonts w:hint="eastAsia" w:ascii="宋体" w:hAnsi="宋体"/>
          <w:color w:val="auto"/>
          <w:szCs w:val="24"/>
          <w:highlight w:val="none"/>
          <w:lang w:val="en-US" w:eastAsia="zh-CN"/>
        </w:rPr>
        <w:t>10个工作</w:t>
      </w:r>
      <w:r>
        <w:rPr>
          <w:rFonts w:hint="eastAsia" w:ascii="宋体" w:hAnsi="宋体"/>
          <w:color w:val="auto"/>
          <w:szCs w:val="24"/>
          <w:highlight w:val="none"/>
        </w:rPr>
        <w:t>日内，按照磋商文件确定的事项和成交人的响应文件，持成交通知书与采购人签订合同</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4</w:t>
      </w:r>
      <w:r>
        <w:rPr>
          <w:rFonts w:hint="eastAsia" w:ascii="宋体" w:hAnsi="宋体"/>
          <w:color w:val="auto"/>
          <w:szCs w:val="24"/>
          <w:highlight w:val="none"/>
        </w:rPr>
        <w:t>.2 磋商文件、成交人的响应文件和补</w:t>
      </w:r>
      <w:r>
        <w:rPr>
          <w:rFonts w:hint="eastAsia" w:ascii="宋体" w:hAnsi="宋体" w:cs="Times New Roman"/>
          <w:color w:val="auto"/>
          <w:szCs w:val="24"/>
          <w:highlight w:val="none"/>
        </w:rPr>
        <w:t>充文件（如澄清、承诺等）等，</w:t>
      </w:r>
      <w:r>
        <w:rPr>
          <w:rFonts w:hint="eastAsia" w:ascii="宋体" w:hAnsi="宋体"/>
          <w:color w:val="auto"/>
          <w:szCs w:val="24"/>
          <w:highlight w:val="none"/>
        </w:rPr>
        <w:t>均为签订合同的依据。所签订的合同不得对磋商文件和成交人响应文件作实质性修改。</w:t>
      </w:r>
    </w:p>
    <w:p>
      <w:pPr>
        <w:spacing w:line="360" w:lineRule="auto"/>
        <w:jc w:val="center"/>
        <w:rPr>
          <w:rFonts w:ascii="宋体" w:hAnsi="宋体"/>
          <w:b/>
          <w:snapToGrid w:val="0"/>
          <w:color w:val="auto"/>
          <w:szCs w:val="24"/>
          <w:highlight w:val="none"/>
        </w:rPr>
      </w:pPr>
      <w:bookmarkStart w:id="49" w:name="_Toc7215"/>
      <w:r>
        <w:rPr>
          <w:rFonts w:hint="eastAsia" w:ascii="宋体" w:hAnsi="宋体"/>
          <w:b/>
          <w:snapToGrid w:val="0"/>
          <w:color w:val="auto"/>
          <w:szCs w:val="24"/>
          <w:highlight w:val="none"/>
        </w:rPr>
        <w:t>（九）合同的履约验收</w:t>
      </w:r>
      <w:bookmarkEnd w:id="49"/>
    </w:p>
    <w:p>
      <w:pPr>
        <w:spacing w:line="360" w:lineRule="auto"/>
        <w:rPr>
          <w:rFonts w:ascii="Tahoma" w:hAnsi="Tahoma"/>
          <w:color w:val="auto"/>
          <w:highlight w:val="none"/>
        </w:rPr>
      </w:pPr>
      <w:r>
        <w:rPr>
          <w:rFonts w:hint="eastAsia" w:ascii="Tahoma" w:hAnsi="Tahoma"/>
          <w:color w:val="auto"/>
          <w:highlight w:val="none"/>
        </w:rPr>
        <w:t xml:space="preserve">     采购人应按照政府采购合同约定的技术、服务、安全标准组织对</w:t>
      </w:r>
      <w:r>
        <w:rPr>
          <w:rFonts w:hint="eastAsia" w:ascii="Tahoma" w:hAnsi="Tahoma"/>
          <w:color w:val="auto"/>
          <w:highlight w:val="none"/>
          <w:lang w:eastAsia="zh-CN"/>
        </w:rPr>
        <w:t>供应商</w:t>
      </w:r>
      <w:r>
        <w:rPr>
          <w:rFonts w:hint="eastAsia" w:ascii="Tahoma" w:hAnsi="Tahoma"/>
          <w:color w:val="auto"/>
          <w:highlight w:val="none"/>
        </w:rPr>
        <w:t>每一项技术、服务、安全标准的履约情况进行验收，并出具验收书。</w:t>
      </w:r>
    </w:p>
    <w:p>
      <w:pPr>
        <w:spacing w:line="360" w:lineRule="auto"/>
        <w:jc w:val="center"/>
        <w:rPr>
          <w:rFonts w:ascii="宋体" w:hAnsi="宋体"/>
          <w:b/>
          <w:snapToGrid w:val="0"/>
          <w:color w:val="auto"/>
          <w:szCs w:val="24"/>
          <w:highlight w:val="none"/>
        </w:rPr>
      </w:pPr>
      <w:bookmarkStart w:id="50" w:name="_Toc15528"/>
      <w:r>
        <w:rPr>
          <w:rFonts w:hint="eastAsia" w:ascii="宋体" w:hAnsi="宋体"/>
          <w:b/>
          <w:snapToGrid w:val="0"/>
          <w:color w:val="auto"/>
          <w:szCs w:val="24"/>
          <w:highlight w:val="none"/>
        </w:rPr>
        <w:t>（十）招标服务费</w:t>
      </w:r>
      <w:bookmarkEnd w:id="50"/>
    </w:p>
    <w:p>
      <w:pPr>
        <w:spacing w:line="360" w:lineRule="auto"/>
        <w:rPr>
          <w:rFonts w:ascii="宋体" w:hAnsi="宋体"/>
          <w:bCs/>
          <w:color w:val="auto"/>
          <w:szCs w:val="24"/>
          <w:highlight w:val="none"/>
        </w:rPr>
      </w:pPr>
      <w:r>
        <w:rPr>
          <w:rFonts w:hint="eastAsia" w:ascii="宋体" w:hAnsi="宋体"/>
          <w:bCs/>
          <w:color w:val="auto"/>
          <w:szCs w:val="24"/>
          <w:highlight w:val="none"/>
          <w:lang w:val="en-US" w:eastAsia="zh-CN"/>
        </w:rPr>
        <w:t>25、</w:t>
      </w:r>
      <w:r>
        <w:rPr>
          <w:rFonts w:hint="eastAsia" w:ascii="宋体" w:hAnsi="宋体"/>
          <w:bCs/>
          <w:color w:val="auto"/>
          <w:szCs w:val="24"/>
          <w:highlight w:val="none"/>
        </w:rPr>
        <w:t>招标代理服务费：</w:t>
      </w:r>
      <w:r>
        <w:rPr>
          <w:rFonts w:hint="eastAsia" w:ascii="宋体" w:hAnsi="宋体" w:cs="宋体"/>
          <w:color w:val="auto"/>
          <w:sz w:val="24"/>
          <w:szCs w:val="24"/>
          <w:highlight w:val="none"/>
        </w:rPr>
        <w:t>参照国家计委计价格[2002]1980号文</w:t>
      </w:r>
      <w:r>
        <w:rPr>
          <w:rFonts w:hint="eastAsia" w:ascii="宋体" w:hAnsi="宋体" w:cs="宋体"/>
          <w:color w:val="auto"/>
          <w:sz w:val="24"/>
          <w:szCs w:val="24"/>
          <w:highlight w:val="none"/>
          <w:lang w:eastAsia="zh-CN"/>
        </w:rPr>
        <w:t>服务类</w:t>
      </w:r>
      <w:r>
        <w:rPr>
          <w:rFonts w:hint="eastAsia" w:ascii="宋体" w:hAnsi="宋体" w:cs="宋体"/>
          <w:color w:val="auto"/>
          <w:sz w:val="24"/>
          <w:szCs w:val="24"/>
          <w:highlight w:val="none"/>
        </w:rPr>
        <w:t>规定收费标准</w:t>
      </w:r>
      <w:r>
        <w:rPr>
          <w:rFonts w:hint="eastAsia" w:ascii="宋体" w:hAnsi="宋体" w:cs="宋体"/>
          <w:color w:val="auto"/>
          <w:sz w:val="24"/>
          <w:szCs w:val="24"/>
          <w:highlight w:val="none"/>
          <w:lang w:val="en-US" w:eastAsia="zh-CN"/>
        </w:rPr>
        <w:t>服务类</w:t>
      </w:r>
      <w:r>
        <w:rPr>
          <w:rFonts w:hint="eastAsia" w:ascii="宋体" w:hAnsi="宋体" w:cs="宋体"/>
          <w:color w:val="auto"/>
          <w:sz w:val="24"/>
          <w:szCs w:val="24"/>
          <w:highlight w:val="none"/>
        </w:rPr>
        <w:t>收取</w:t>
      </w:r>
      <w:r>
        <w:rPr>
          <w:rFonts w:hint="eastAsia" w:ascii="宋体" w:hAnsi="宋体"/>
          <w:bCs/>
          <w:color w:val="auto"/>
          <w:szCs w:val="24"/>
          <w:highlight w:val="none"/>
        </w:rPr>
        <w:t>。</w:t>
      </w:r>
    </w:p>
    <w:p>
      <w:pPr>
        <w:keepNext w:val="0"/>
        <w:keepLines w:val="0"/>
        <w:numPr>
          <w:ilvl w:val="0"/>
          <w:numId w:val="0"/>
        </w:numPr>
        <w:suppressLineNumbers w:val="0"/>
        <w:spacing w:before="0" w:beforeAutospacing="0" w:after="0" w:afterAutospacing="0" w:line="360" w:lineRule="auto"/>
        <w:ind w:left="0" w:leftChars="0" w:right="0"/>
        <w:jc w:val="center"/>
        <w:rPr>
          <w:rFonts w:hint="eastAsia" w:ascii="宋体" w:hAnsi="宋体" w:eastAsia="宋体" w:cs="宋体"/>
          <w:b/>
          <w:bCs/>
          <w:color w:val="000000"/>
          <w:sz w:val="24"/>
          <w:szCs w:val="24"/>
          <w:highlight w:val="none"/>
          <w:shd w:val="clear" w:color="auto" w:fill="auto"/>
          <w:lang w:val="en-US"/>
        </w:rPr>
      </w:pPr>
      <w:r>
        <w:rPr>
          <w:rFonts w:hint="eastAsia" w:ascii="宋体" w:hAnsi="宋体" w:eastAsia="宋体" w:cs="宋体"/>
          <w:b/>
          <w:bCs/>
          <w:color w:val="000000"/>
          <w:sz w:val="24"/>
          <w:szCs w:val="24"/>
          <w:highlight w:val="none"/>
          <w:shd w:val="clear" w:color="auto" w:fill="auto"/>
          <w:lang w:val="en-US" w:eastAsia="zh-CN"/>
        </w:rPr>
        <w:t>招标代理服务收费标准(费率)</w:t>
      </w:r>
    </w:p>
    <w:tbl>
      <w:tblPr>
        <w:tblStyle w:val="26"/>
        <w:tblW w:w="8458" w:type="dxa"/>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326"/>
        <w:gridCol w:w="2276"/>
        <w:gridCol w:w="1934"/>
        <w:gridCol w:w="19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5" w:hRule="atLeast"/>
          <w:tblCellSpacing w:w="0" w:type="dxa"/>
          <w:jc w:val="center"/>
        </w:trPr>
        <w:tc>
          <w:tcPr>
            <w:tcW w:w="2326" w:type="dxa"/>
            <w:tcBorders>
              <w:top w:val="single" w:color="auto" w:sz="4" w:space="0"/>
              <w:left w:val="single" w:color="auto" w:sz="0"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中标金额（万元）</w:t>
            </w:r>
          </w:p>
        </w:tc>
        <w:tc>
          <w:tcPr>
            <w:tcW w:w="22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货物招标</w:t>
            </w:r>
          </w:p>
        </w:tc>
        <w:tc>
          <w:tcPr>
            <w:tcW w:w="19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服务招标</w:t>
            </w:r>
          </w:p>
        </w:tc>
        <w:tc>
          <w:tcPr>
            <w:tcW w:w="19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eastAsia="zh-CN"/>
              </w:rPr>
            </w:pPr>
            <w:r>
              <w:rPr>
                <w:rFonts w:hint="eastAsia" w:ascii="宋体" w:hAnsi="宋体" w:eastAsia="宋体" w:cs="宋体"/>
                <w:color w:val="000000"/>
                <w:sz w:val="24"/>
                <w:szCs w:val="24"/>
                <w:highlight w:val="none"/>
                <w:shd w:val="clear" w:color="auto" w:fill="auto"/>
                <w:lang w:val="en-US" w:eastAsia="zh-CN"/>
              </w:rPr>
              <w:t>工程招标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5" w:hRule="atLeast"/>
          <w:tblCellSpacing w:w="0" w:type="dxa"/>
          <w:jc w:val="center"/>
        </w:trPr>
        <w:tc>
          <w:tcPr>
            <w:tcW w:w="23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100以下</w:t>
            </w:r>
          </w:p>
        </w:tc>
        <w:tc>
          <w:tcPr>
            <w:tcW w:w="22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1.5％</w:t>
            </w:r>
          </w:p>
        </w:tc>
        <w:tc>
          <w:tcPr>
            <w:tcW w:w="19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1.5％</w:t>
            </w:r>
          </w:p>
        </w:tc>
        <w:tc>
          <w:tcPr>
            <w:tcW w:w="19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eastAsia="zh-CN"/>
              </w:rPr>
            </w:pPr>
            <w:r>
              <w:rPr>
                <w:rFonts w:hint="eastAsia" w:ascii="宋体" w:hAnsi="宋体" w:eastAsia="宋体" w:cs="宋体"/>
                <w:color w:val="000000"/>
                <w:sz w:val="24"/>
                <w:szCs w:val="24"/>
                <w:highlight w:val="none"/>
                <w:shd w:val="clear" w:color="auto" w:fill="auto"/>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5" w:hRule="atLeast"/>
          <w:tblCellSpacing w:w="0" w:type="dxa"/>
          <w:jc w:val="center"/>
        </w:trPr>
        <w:tc>
          <w:tcPr>
            <w:tcW w:w="23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100—500</w:t>
            </w:r>
          </w:p>
        </w:tc>
        <w:tc>
          <w:tcPr>
            <w:tcW w:w="22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1.1％</w:t>
            </w:r>
          </w:p>
        </w:tc>
        <w:tc>
          <w:tcPr>
            <w:tcW w:w="19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0.8％</w:t>
            </w:r>
          </w:p>
        </w:tc>
        <w:tc>
          <w:tcPr>
            <w:tcW w:w="19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eastAsia="zh-CN"/>
              </w:rPr>
            </w:pPr>
            <w:r>
              <w:rPr>
                <w:rFonts w:hint="eastAsia" w:ascii="宋体" w:hAnsi="宋体" w:eastAsia="宋体" w:cs="宋体"/>
                <w:color w:val="000000"/>
                <w:sz w:val="24"/>
                <w:szCs w:val="24"/>
                <w:highlight w:val="none"/>
                <w:shd w:val="clear" w:color="auto" w:fill="auto"/>
                <w:lang w:val="en-US" w:eastAsia="zh-CN"/>
              </w:rPr>
              <w:t>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5" w:hRule="atLeast"/>
          <w:tblCellSpacing w:w="0" w:type="dxa"/>
          <w:jc w:val="center"/>
        </w:trPr>
        <w:tc>
          <w:tcPr>
            <w:tcW w:w="23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500—1000</w:t>
            </w:r>
          </w:p>
        </w:tc>
        <w:tc>
          <w:tcPr>
            <w:tcW w:w="22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0.8％</w:t>
            </w:r>
          </w:p>
        </w:tc>
        <w:tc>
          <w:tcPr>
            <w:tcW w:w="19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0.45％</w:t>
            </w:r>
          </w:p>
        </w:tc>
        <w:tc>
          <w:tcPr>
            <w:tcW w:w="19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eastAsia="zh-CN"/>
              </w:rPr>
            </w:pPr>
            <w:r>
              <w:rPr>
                <w:rFonts w:hint="eastAsia" w:ascii="宋体" w:hAnsi="宋体" w:eastAsia="宋体" w:cs="宋体"/>
                <w:color w:val="000000"/>
                <w:sz w:val="24"/>
                <w:szCs w:val="24"/>
                <w:highlight w:val="none"/>
                <w:shd w:val="clear" w:color="auto" w:fill="auto"/>
                <w:lang w:val="en-US" w:eastAsia="zh-CN"/>
              </w:rPr>
              <w:t>0.55%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5" w:hRule="atLeast"/>
          <w:tblCellSpacing w:w="0" w:type="dxa"/>
          <w:jc w:val="center"/>
        </w:trPr>
        <w:tc>
          <w:tcPr>
            <w:tcW w:w="23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1000—5000</w:t>
            </w:r>
          </w:p>
        </w:tc>
        <w:tc>
          <w:tcPr>
            <w:tcW w:w="22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0.5％</w:t>
            </w:r>
          </w:p>
        </w:tc>
        <w:tc>
          <w:tcPr>
            <w:tcW w:w="19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0.25％</w:t>
            </w:r>
          </w:p>
        </w:tc>
        <w:tc>
          <w:tcPr>
            <w:tcW w:w="19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eastAsia="zh-CN"/>
              </w:rPr>
            </w:pPr>
            <w:r>
              <w:rPr>
                <w:rFonts w:hint="eastAsia" w:ascii="宋体" w:hAnsi="宋体" w:eastAsia="宋体" w:cs="宋体"/>
                <w:color w:val="000000"/>
                <w:sz w:val="24"/>
                <w:szCs w:val="24"/>
                <w:highlight w:val="none"/>
                <w:shd w:val="clear" w:color="auto" w:fill="auto"/>
                <w:lang w:val="en-US" w:eastAsia="zh-CN"/>
              </w:rPr>
              <w:t>0.35%</w:t>
            </w:r>
          </w:p>
        </w:tc>
      </w:tr>
    </w:tbl>
    <w:p>
      <w:pPr>
        <w:spacing w:line="360" w:lineRule="auto"/>
        <w:rPr>
          <w:rFonts w:hint="eastAsia" w:ascii="宋体" w:hAnsi="宋体"/>
          <w:bCs/>
          <w:color w:val="auto"/>
          <w:szCs w:val="24"/>
          <w:highlight w:val="none"/>
          <w:lang w:val="en-US" w:eastAsia="zh-CN"/>
        </w:rPr>
      </w:pPr>
    </w:p>
    <w:p>
      <w:pPr>
        <w:spacing w:line="360" w:lineRule="auto"/>
        <w:rPr>
          <w:rFonts w:ascii="宋体" w:hAnsi="宋体"/>
          <w:color w:val="auto"/>
          <w:szCs w:val="24"/>
          <w:highlight w:val="none"/>
        </w:rPr>
      </w:pPr>
      <w:r>
        <w:rPr>
          <w:rFonts w:hint="eastAsia" w:ascii="宋体" w:hAnsi="宋体"/>
          <w:bCs/>
          <w:color w:val="auto"/>
          <w:szCs w:val="24"/>
          <w:highlight w:val="none"/>
          <w:lang w:val="en-US" w:eastAsia="zh-CN"/>
        </w:rPr>
        <w:t>26、</w:t>
      </w:r>
      <w:r>
        <w:rPr>
          <w:rFonts w:hint="eastAsia" w:ascii="宋体" w:hAnsi="宋体"/>
          <w:bCs/>
          <w:color w:val="auto"/>
          <w:szCs w:val="24"/>
          <w:highlight w:val="none"/>
        </w:rPr>
        <w:t>代理服务费的收取：</w:t>
      </w:r>
      <w:r>
        <w:rPr>
          <w:rFonts w:hint="eastAsia" w:ascii="宋体" w:hAnsi="宋体"/>
          <w:bCs/>
          <w:szCs w:val="24"/>
        </w:rPr>
        <w:t>由成交人在领取成交通知书前按照磋商文件列明的标准向代理机构交纳</w:t>
      </w:r>
      <w:r>
        <w:rPr>
          <w:rFonts w:hint="eastAsia" w:ascii="宋体" w:hAnsi="宋体"/>
          <w:bCs/>
          <w:color w:val="auto"/>
          <w:szCs w:val="24"/>
          <w:highlight w:val="none"/>
        </w:rPr>
        <w:t>。</w:t>
      </w:r>
      <w:bookmarkStart w:id="51" w:name="_Toc193187089"/>
      <w:bookmarkStart w:id="52" w:name="_Toc193126874"/>
      <w:bookmarkStart w:id="53" w:name="_Toc188808820"/>
      <w:bookmarkStart w:id="54" w:name="_Toc194663910"/>
    </w:p>
    <w:p>
      <w:pPr>
        <w:spacing w:line="360" w:lineRule="auto"/>
        <w:rPr>
          <w:color w:val="auto"/>
          <w:highlight w:val="none"/>
        </w:rPr>
      </w:pPr>
      <w:r>
        <w:rPr>
          <w:rFonts w:hint="eastAsia" w:ascii="宋体" w:hAnsi="宋体"/>
          <w:color w:val="auto"/>
          <w:szCs w:val="24"/>
          <w:highlight w:val="none"/>
          <w:lang w:val="en-US" w:eastAsia="zh-CN"/>
        </w:rPr>
        <w:t>27、</w:t>
      </w:r>
      <w:r>
        <w:rPr>
          <w:rFonts w:hint="eastAsia" w:ascii="宋体" w:hAnsi="宋体"/>
          <w:color w:val="auto"/>
          <w:szCs w:val="24"/>
          <w:highlight w:val="none"/>
        </w:rPr>
        <w:t>招标服务费应采用转账、刷卡、现金形式缴纳，不得用磋商保证金冲抵。</w:t>
      </w:r>
      <w:bookmarkStart w:id="55" w:name="_Toc458617741"/>
      <w:bookmarkStart w:id="56" w:name="_Toc458617464"/>
    </w:p>
    <w:p>
      <w:pPr>
        <w:spacing w:line="360" w:lineRule="auto"/>
        <w:rPr>
          <w:color w:val="auto"/>
          <w:highlight w:val="none"/>
        </w:rPr>
      </w:pPr>
      <w:r>
        <w:rPr>
          <w:rFonts w:hint="eastAsia" w:ascii="宋体" w:hAnsi="宋体"/>
          <w:szCs w:val="24"/>
          <w:lang w:val="en-US" w:eastAsia="zh-CN"/>
        </w:rPr>
        <w:t>28、</w:t>
      </w:r>
      <w:r>
        <w:rPr>
          <w:rFonts w:hint="eastAsia" w:ascii="宋体" w:hAnsi="宋体"/>
          <w:szCs w:val="24"/>
        </w:rPr>
        <w:t>成交人如未按上述第1条规定办理，采购代理机构将没收其磋商保证金。提供投标担保的供应商将由专业担保机构先行偿付采购代理机构损失。</w:t>
      </w:r>
    </w:p>
    <w:bookmarkEnd w:id="51"/>
    <w:bookmarkEnd w:id="52"/>
    <w:bookmarkEnd w:id="53"/>
    <w:bookmarkEnd w:id="54"/>
    <w:bookmarkEnd w:id="55"/>
    <w:bookmarkEnd w:id="56"/>
    <w:p>
      <w:pPr>
        <w:spacing w:line="360" w:lineRule="auto"/>
        <w:jc w:val="center"/>
        <w:rPr>
          <w:rFonts w:ascii="宋体" w:hAnsi="宋体"/>
          <w:b/>
          <w:snapToGrid w:val="0"/>
          <w:color w:val="auto"/>
          <w:szCs w:val="24"/>
          <w:highlight w:val="none"/>
        </w:rPr>
      </w:pPr>
      <w:bookmarkStart w:id="57" w:name="_Toc31556"/>
      <w:bookmarkStart w:id="58" w:name="_Toc458617743"/>
      <w:bookmarkStart w:id="59" w:name="_Toc458617466"/>
      <w:r>
        <w:rPr>
          <w:rFonts w:hint="eastAsia" w:ascii="宋体" w:hAnsi="宋体"/>
          <w:b/>
          <w:snapToGrid w:val="0"/>
          <w:color w:val="auto"/>
          <w:szCs w:val="24"/>
          <w:highlight w:val="none"/>
        </w:rPr>
        <w:t>（十一）询问、质疑与投诉(按照中华人民共和国财政部令第94号执行)</w:t>
      </w:r>
      <w:bookmarkEnd w:id="57"/>
    </w:p>
    <w:bookmarkEnd w:id="58"/>
    <w:bookmarkEnd w:id="59"/>
    <w:p>
      <w:pPr>
        <w:spacing w:line="360" w:lineRule="auto"/>
        <w:rPr>
          <w:rFonts w:ascii="宋体" w:hAnsi="宋体"/>
          <w:color w:val="auto"/>
          <w:szCs w:val="24"/>
          <w:highlight w:val="none"/>
        </w:rPr>
      </w:pPr>
      <w:r>
        <w:rPr>
          <w:rFonts w:hint="eastAsia" w:ascii="宋体" w:hAnsi="宋体"/>
          <w:color w:val="auto"/>
          <w:szCs w:val="24"/>
          <w:highlight w:val="none"/>
        </w:rPr>
        <w:t>3</w:t>
      </w:r>
      <w:r>
        <w:rPr>
          <w:rFonts w:hint="eastAsia" w:ascii="宋体" w:hAnsi="宋体"/>
          <w:color w:val="auto"/>
          <w:szCs w:val="24"/>
          <w:highlight w:val="none"/>
          <w:lang w:val="en-US" w:eastAsia="zh-CN"/>
        </w:rPr>
        <w:t>0</w:t>
      </w:r>
      <w:r>
        <w:rPr>
          <w:rFonts w:hint="eastAsia" w:ascii="宋体" w:hAnsi="宋体"/>
          <w:color w:val="auto"/>
          <w:szCs w:val="24"/>
          <w:highlight w:val="none"/>
        </w:rPr>
        <w:t>、询问</w:t>
      </w:r>
    </w:p>
    <w:p>
      <w:pPr>
        <w:spacing w:line="360" w:lineRule="auto"/>
        <w:ind w:firstLine="480" w:firstLineChars="200"/>
        <w:rPr>
          <w:rFonts w:ascii="宋体" w:hAnsi="宋体" w:cs="宋体"/>
          <w:color w:val="auto"/>
          <w:kern w:val="0"/>
          <w:szCs w:val="24"/>
          <w:highlight w:val="none"/>
        </w:rPr>
      </w:pPr>
      <w:r>
        <w:rPr>
          <w:rFonts w:hint="eastAsia" w:ascii="宋体" w:hAnsi="宋体" w:cs="宋体"/>
          <w:color w:val="auto"/>
          <w:kern w:val="0"/>
          <w:szCs w:val="24"/>
          <w:highlight w:val="none"/>
        </w:rPr>
        <w:t>供应商对政府采购活动事项有疑问的，可以向采购人、采购代理机构提出询问。</w:t>
      </w:r>
    </w:p>
    <w:p>
      <w:pPr>
        <w:spacing w:line="360" w:lineRule="auto"/>
        <w:rPr>
          <w:rFonts w:ascii="宋体" w:hAnsi="宋体" w:cs="宋体"/>
          <w:color w:val="auto"/>
          <w:kern w:val="0"/>
          <w:szCs w:val="24"/>
          <w:highlight w:val="none"/>
        </w:rPr>
      </w:pPr>
      <w:r>
        <w:rPr>
          <w:rFonts w:hint="eastAsia" w:ascii="宋体" w:hAnsi="宋体" w:cs="宋体"/>
          <w:color w:val="auto"/>
          <w:kern w:val="0"/>
          <w:szCs w:val="24"/>
          <w:highlight w:val="none"/>
        </w:rPr>
        <w:t>3</w:t>
      </w:r>
      <w:r>
        <w:rPr>
          <w:rFonts w:hint="eastAsia" w:ascii="宋体" w:hAnsi="宋体" w:cs="宋体"/>
          <w:color w:val="auto"/>
          <w:kern w:val="0"/>
          <w:szCs w:val="24"/>
          <w:highlight w:val="none"/>
          <w:lang w:val="en-US" w:eastAsia="zh-CN"/>
        </w:rPr>
        <w:t>1</w:t>
      </w:r>
      <w:r>
        <w:rPr>
          <w:rFonts w:hint="eastAsia" w:ascii="宋体" w:hAnsi="宋体" w:cs="宋体"/>
          <w:color w:val="auto"/>
          <w:kern w:val="0"/>
          <w:szCs w:val="24"/>
          <w:highlight w:val="none"/>
        </w:rPr>
        <w:t>、质疑</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.1供应商认为采购文件、采购过程、中标或者成交结果使自己的权益受到损害的，可以在知道或者应知其权益受到损害之日起7个工作日内，以书面形式向采购人、采购代理机构提出质疑；</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.2潜在供应商已依法获取其可质疑的采购文件的，可以对该文件提出质疑。对采购文件提出质疑的，应当在获取采购文件或者采购文件公告期限届满之日起7个工作日内提出。</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.2.1有异议的应提供以下资料，资料不全的不予受理：</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（1）质疑书（内容包含异议事项的基本事实；相关请求及主张；异议人的名称、地址邮编、联系人、联系电话及有效联系方式）；</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（2）质疑的项目名称、项目编号；</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（3）具体、明确的质疑事项和与质疑事项相关的请求；</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（4）事实依据；</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（5）必要的法律依据；</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（6）提出质疑的日期。</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具体有效线索和相关证明材料；</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（7）质疑人的法定代表人/单位负责人或负责人的身份证明，或者授权委托人的经公证的授权委托书及有效身份证件；</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（8）</w:t>
      </w:r>
      <w:r>
        <w:rPr>
          <w:rFonts w:hint="eastAsia" w:ascii="宋体" w:hAnsi="宋体" w:cs="宋体"/>
          <w:color w:val="auto"/>
          <w:szCs w:val="24"/>
          <w:highlight w:val="none"/>
          <w:lang w:eastAsia="zh-CN"/>
        </w:rPr>
        <w:t>供应商</w:t>
      </w:r>
      <w:r>
        <w:rPr>
          <w:rFonts w:hint="eastAsia" w:ascii="宋体" w:hAnsi="宋体" w:cs="宋体"/>
          <w:color w:val="auto"/>
          <w:szCs w:val="24"/>
          <w:highlight w:val="none"/>
        </w:rPr>
        <w:t>为自然人的，应当由本人签字；</w:t>
      </w:r>
      <w:r>
        <w:rPr>
          <w:rFonts w:hint="eastAsia" w:ascii="宋体" w:hAnsi="宋体" w:cs="宋体"/>
          <w:color w:val="auto"/>
          <w:szCs w:val="24"/>
          <w:highlight w:val="none"/>
          <w:lang w:eastAsia="zh-CN"/>
        </w:rPr>
        <w:t>供应商</w:t>
      </w:r>
      <w:r>
        <w:rPr>
          <w:rFonts w:hint="eastAsia" w:ascii="宋体" w:hAnsi="宋体" w:cs="宋体"/>
          <w:color w:val="auto"/>
          <w:szCs w:val="24"/>
          <w:highlight w:val="none"/>
        </w:rPr>
        <w:t xml:space="preserve">为法人或者其他组织的，应当由法定代表人/单位负责人、主要负责人，或者其授权代表签字或者盖章，并加盖公章。  </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.3</w:t>
      </w:r>
      <w:r>
        <w:rPr>
          <w:rFonts w:hint="eastAsia" w:ascii="宋体" w:hAnsi="宋体" w:cs="宋体"/>
          <w:color w:val="auto"/>
          <w:szCs w:val="24"/>
          <w:highlight w:val="none"/>
          <w:lang w:eastAsia="zh-CN"/>
        </w:rPr>
        <w:t>供应商</w:t>
      </w:r>
      <w:r>
        <w:rPr>
          <w:rFonts w:hint="eastAsia" w:ascii="宋体" w:hAnsi="宋体" w:cs="宋体"/>
          <w:color w:val="auto"/>
          <w:szCs w:val="24"/>
          <w:highlight w:val="none"/>
        </w:rPr>
        <w:t>在法定质疑期内必须一次性提出针对同一采购程序环节的质疑，多次提出相同质疑问题的采购人及采购代理机构不接收。</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.4质疑</w:t>
      </w:r>
      <w:r>
        <w:rPr>
          <w:rFonts w:hint="eastAsia" w:ascii="宋体" w:hAnsi="宋体" w:cs="宋体"/>
          <w:color w:val="auto"/>
          <w:szCs w:val="24"/>
          <w:highlight w:val="none"/>
          <w:lang w:eastAsia="zh-CN"/>
        </w:rPr>
        <w:t>供应商</w:t>
      </w:r>
      <w:r>
        <w:rPr>
          <w:rFonts w:hint="eastAsia" w:ascii="宋体" w:hAnsi="宋体" w:cs="宋体"/>
          <w:color w:val="auto"/>
          <w:szCs w:val="24"/>
          <w:highlight w:val="none"/>
        </w:rPr>
        <w:t>对采购人、采购代理机构的答复不满意，认为本次招标活动违反法律、法规和规章规定的，有权向项目所在地财政局提出投诉，质疑是投诉的前置条件；</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.5其他应说明的事项：</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.5.1以上材料，质疑人须在每一页上加盖公章原件及电子版送至质疑函递交地址。</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.5.2质疑提出时间：质疑需在有效期内提出，逾期不予受理；</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.5.3质疑递交地址：</w:t>
      </w:r>
      <w:r>
        <w:rPr>
          <w:rFonts w:hint="eastAsia" w:ascii="宋体" w:hAnsi="宋体" w:cs="宋体"/>
          <w:color w:val="auto"/>
          <w:szCs w:val="24"/>
          <w:highlight w:val="none"/>
          <w:lang w:eastAsia="zh-CN"/>
        </w:rPr>
        <w:t>神木市创业苑小区一单元</w:t>
      </w:r>
      <w:r>
        <w:rPr>
          <w:rFonts w:hint="eastAsia" w:ascii="宋体" w:hAnsi="宋体" w:cs="宋体"/>
          <w:color w:val="auto"/>
          <w:szCs w:val="24"/>
          <w:highlight w:val="none"/>
          <w:lang w:val="en-US" w:eastAsia="zh-CN"/>
        </w:rPr>
        <w:t>1201室</w:t>
      </w:r>
      <w:r>
        <w:rPr>
          <w:rFonts w:hint="eastAsia" w:ascii="宋体" w:hAnsi="宋体" w:cs="宋体"/>
          <w:color w:val="auto"/>
          <w:szCs w:val="24"/>
          <w:highlight w:val="none"/>
        </w:rPr>
        <w:t>；</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.5.4联系人：</w:t>
      </w:r>
      <w:r>
        <w:rPr>
          <w:rFonts w:hint="eastAsia" w:ascii="宋体" w:hAnsi="宋体" w:cs="宋体"/>
          <w:color w:val="auto"/>
          <w:szCs w:val="24"/>
          <w:highlight w:val="none"/>
          <w:lang w:val="en-US" w:eastAsia="zh-CN"/>
        </w:rPr>
        <w:t>王静</w:t>
      </w:r>
      <w:r>
        <w:rPr>
          <w:rFonts w:hint="eastAsia" w:ascii="宋体" w:hAnsi="宋体" w:cs="宋体"/>
          <w:color w:val="auto"/>
          <w:szCs w:val="24"/>
          <w:highlight w:val="none"/>
        </w:rPr>
        <w:t xml:space="preserve">  </w:t>
      </w:r>
    </w:p>
    <w:p>
      <w:pPr>
        <w:spacing w:line="360" w:lineRule="auto"/>
        <w:ind w:firstLine="480" w:firstLineChars="200"/>
        <w:rPr>
          <w:rFonts w:hint="eastAsia" w:ascii="宋体" w:hAnsi="宋体" w:cs="宋体"/>
          <w:color w:val="auto"/>
          <w:szCs w:val="24"/>
          <w:highlight w:val="none"/>
          <w:lang w:val="en-US" w:eastAsia="zh-CN"/>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.5.5联系电话：</w:t>
      </w:r>
      <w:r>
        <w:rPr>
          <w:rFonts w:hint="eastAsia" w:ascii="宋体" w:hAnsi="宋体" w:cs="宋体"/>
          <w:color w:val="auto"/>
          <w:szCs w:val="24"/>
          <w:highlight w:val="none"/>
          <w:lang w:val="en-US" w:eastAsia="zh-CN"/>
        </w:rPr>
        <w:t>13310991595</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3</w:t>
      </w:r>
      <w:r>
        <w:rPr>
          <w:rFonts w:hint="eastAsia" w:ascii="宋体" w:hAnsi="宋体"/>
          <w:color w:val="auto"/>
          <w:szCs w:val="24"/>
          <w:highlight w:val="none"/>
          <w:lang w:val="en-US" w:eastAsia="zh-CN"/>
        </w:rPr>
        <w:t>1</w:t>
      </w:r>
      <w:r>
        <w:rPr>
          <w:rFonts w:hint="eastAsia" w:ascii="宋体" w:hAnsi="宋体"/>
          <w:color w:val="auto"/>
          <w:szCs w:val="24"/>
          <w:highlight w:val="none"/>
        </w:rPr>
        <w:t>.6投诉</w:t>
      </w:r>
    </w:p>
    <w:p>
      <w:pPr>
        <w:spacing w:line="360" w:lineRule="auto"/>
        <w:ind w:firstLine="480" w:firstLineChars="200"/>
        <w:rPr>
          <w:rFonts w:ascii="宋体" w:hAnsi="宋体"/>
          <w:color w:val="auto"/>
          <w:szCs w:val="24"/>
          <w:highlight w:val="none"/>
        </w:rPr>
      </w:pPr>
      <w:r>
        <w:rPr>
          <w:rFonts w:hint="eastAsia" w:ascii="宋体" w:hAnsi="宋体" w:cs="宋体"/>
          <w:color w:val="auto"/>
          <w:kern w:val="0"/>
          <w:szCs w:val="24"/>
          <w:highlight w:val="none"/>
        </w:rPr>
        <w:t>质疑</w:t>
      </w:r>
      <w:r>
        <w:rPr>
          <w:rFonts w:hint="eastAsia" w:ascii="宋体" w:hAnsi="宋体" w:cs="宋体"/>
          <w:color w:val="auto"/>
          <w:kern w:val="0"/>
          <w:szCs w:val="24"/>
          <w:highlight w:val="none"/>
          <w:lang w:eastAsia="zh-CN"/>
        </w:rPr>
        <w:t>供应商</w:t>
      </w:r>
      <w:r>
        <w:rPr>
          <w:rFonts w:hint="eastAsia" w:ascii="宋体" w:hAnsi="宋体" w:cs="宋体"/>
          <w:color w:val="auto"/>
          <w:kern w:val="0"/>
          <w:szCs w:val="24"/>
          <w:highlight w:val="none"/>
        </w:rPr>
        <w:t>对采购人、采购代理机构的答复不满意或者采购人、采购代理机构未在规定的时间内作出答复的，可按《政府采购法》第55条和</w:t>
      </w:r>
      <w:r>
        <w:rPr>
          <w:rFonts w:hint="eastAsia" w:ascii="宋体" w:hAnsi="宋体"/>
          <w:color w:val="auto"/>
          <w:szCs w:val="24"/>
          <w:highlight w:val="none"/>
        </w:rPr>
        <w:t>《政府采购质疑和投诉办法》（财政部令第94号）第17条</w:t>
      </w:r>
      <w:r>
        <w:rPr>
          <w:rFonts w:hint="eastAsia" w:ascii="宋体" w:hAnsi="宋体" w:cs="宋体"/>
          <w:color w:val="auto"/>
          <w:kern w:val="0"/>
          <w:szCs w:val="24"/>
          <w:highlight w:val="none"/>
        </w:rPr>
        <w:t>等有关规定执行。</w:t>
      </w:r>
    </w:p>
    <w:p>
      <w:pPr>
        <w:spacing w:line="360" w:lineRule="auto"/>
        <w:ind w:firstLine="482" w:firstLineChars="200"/>
        <w:jc w:val="center"/>
        <w:rPr>
          <w:rFonts w:ascii="宋体" w:hAnsi="宋体"/>
          <w:b/>
          <w:snapToGrid w:val="0"/>
          <w:color w:val="auto"/>
          <w:szCs w:val="24"/>
          <w:highlight w:val="none"/>
        </w:rPr>
      </w:pPr>
      <w:r>
        <w:rPr>
          <w:rFonts w:hint="eastAsia" w:ascii="宋体" w:hAnsi="宋体"/>
          <w:b/>
          <w:snapToGrid w:val="0"/>
          <w:color w:val="auto"/>
          <w:szCs w:val="24"/>
          <w:highlight w:val="none"/>
        </w:rPr>
        <w:t>（十二）拒绝商业贿赂</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3</w:t>
      </w:r>
      <w:r>
        <w:rPr>
          <w:rFonts w:hint="eastAsia" w:ascii="宋体" w:hAnsi="宋体"/>
          <w:color w:val="auto"/>
          <w:szCs w:val="24"/>
          <w:highlight w:val="none"/>
          <w:lang w:val="en-US" w:eastAsia="zh-CN"/>
        </w:rPr>
        <w:t>2</w:t>
      </w:r>
      <w:r>
        <w:rPr>
          <w:rFonts w:hint="eastAsia" w:ascii="宋体" w:hAnsi="宋体"/>
          <w:color w:val="auto"/>
          <w:szCs w:val="24"/>
          <w:highlight w:val="none"/>
        </w:rPr>
        <w:t>、遵照陕西省财政厅的规定，采购人、采购代理机构、供应商和评审专家在招投标活动中，都要签订相应的《拒绝政府采购领域商业贿赂承诺书》，并对违反承诺的行为承担全部责任。</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3</w:t>
      </w:r>
      <w:r>
        <w:rPr>
          <w:rFonts w:hint="eastAsia" w:ascii="宋体" w:hAnsi="宋体"/>
          <w:color w:val="auto"/>
          <w:szCs w:val="24"/>
          <w:highlight w:val="none"/>
          <w:lang w:val="en-US" w:eastAsia="zh-CN"/>
        </w:rPr>
        <w:t>3</w:t>
      </w:r>
      <w:r>
        <w:rPr>
          <w:rFonts w:hint="eastAsia" w:ascii="宋体" w:hAnsi="宋体"/>
          <w:color w:val="auto"/>
          <w:szCs w:val="24"/>
          <w:highlight w:val="none"/>
        </w:rPr>
        <w:t>、供应商必须填写《拒绝政府采购领域商业贿赂承诺书》（附件）并附在竞争性磋商响应文件中，同时应保证竞争性磋商响应文件正、副本中一致。</w:t>
      </w:r>
    </w:p>
    <w:p>
      <w:pPr>
        <w:spacing w:line="360" w:lineRule="auto"/>
        <w:ind w:firstLine="482" w:firstLineChars="200"/>
        <w:jc w:val="center"/>
        <w:rPr>
          <w:rFonts w:ascii="宋体" w:hAnsi="宋体"/>
          <w:b/>
          <w:snapToGrid w:val="0"/>
          <w:color w:val="auto"/>
          <w:szCs w:val="24"/>
          <w:highlight w:val="none"/>
        </w:rPr>
      </w:pPr>
      <w:r>
        <w:rPr>
          <w:rFonts w:hint="eastAsia" w:ascii="宋体" w:hAnsi="宋体"/>
          <w:b/>
          <w:snapToGrid w:val="0"/>
          <w:color w:val="auto"/>
          <w:szCs w:val="24"/>
          <w:highlight w:val="none"/>
        </w:rPr>
        <w:t>（十三）其他</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3</w:t>
      </w:r>
      <w:r>
        <w:rPr>
          <w:rFonts w:hint="eastAsia" w:ascii="宋体" w:hAnsi="宋体"/>
          <w:color w:val="auto"/>
          <w:szCs w:val="24"/>
          <w:highlight w:val="none"/>
          <w:lang w:val="en-US" w:eastAsia="zh-CN"/>
        </w:rPr>
        <w:t>4</w:t>
      </w:r>
      <w:r>
        <w:rPr>
          <w:rFonts w:hint="eastAsia" w:ascii="宋体" w:hAnsi="宋体"/>
          <w:color w:val="auto"/>
          <w:szCs w:val="24"/>
          <w:highlight w:val="none"/>
        </w:rPr>
        <w:t>、本次项目的验收费用由成交单位承担。</w:t>
      </w:r>
    </w:p>
    <w:p>
      <w:pPr>
        <w:spacing w:line="360" w:lineRule="auto"/>
        <w:ind w:firstLine="480" w:firstLineChars="200"/>
        <w:rPr>
          <w:rFonts w:hint="eastAsia" w:ascii="宋体" w:hAnsi="宋体" w:eastAsia="宋体"/>
          <w:color w:val="auto"/>
          <w:szCs w:val="24"/>
          <w:highlight w:val="none"/>
          <w:lang w:eastAsia="zh-CN"/>
        </w:rPr>
        <w:sectPr>
          <w:footerReference r:id="rId6" w:type="default"/>
          <w:pgSz w:w="11905" w:h="16838"/>
          <w:pgMar w:top="1383" w:right="1134" w:bottom="1270" w:left="1417" w:header="1134" w:footer="1134" w:gutter="0"/>
          <w:pgBorders>
            <w:top w:val="none" w:sz="0" w:space="0"/>
            <w:left w:val="none" w:sz="0" w:space="0"/>
            <w:bottom w:val="none" w:sz="0" w:space="0"/>
            <w:right w:val="none" w:sz="0" w:space="0"/>
          </w:pgBorders>
          <w:pgNumType w:fmt="decimal" w:start="1"/>
          <w:cols w:space="0" w:num="1"/>
          <w:docGrid w:linePitch="312" w:charSpace="0"/>
        </w:sectPr>
      </w:pPr>
      <w:r>
        <w:rPr>
          <w:rFonts w:hint="eastAsia" w:ascii="宋体" w:hAnsi="宋体"/>
          <w:color w:val="auto"/>
          <w:szCs w:val="24"/>
          <w:highlight w:val="none"/>
        </w:rPr>
        <w:t>3</w:t>
      </w:r>
      <w:r>
        <w:rPr>
          <w:rFonts w:hint="eastAsia" w:ascii="宋体" w:hAnsi="宋体"/>
          <w:color w:val="auto"/>
          <w:szCs w:val="24"/>
          <w:highlight w:val="none"/>
          <w:lang w:val="en-US" w:eastAsia="zh-CN"/>
        </w:rPr>
        <w:t>5</w:t>
      </w:r>
      <w:r>
        <w:rPr>
          <w:rFonts w:hint="eastAsia" w:ascii="宋体" w:hAnsi="宋体"/>
          <w:color w:val="auto"/>
          <w:szCs w:val="24"/>
          <w:highlight w:val="none"/>
        </w:rPr>
        <w:t>、本竞争性磋商文件的解释权归采购人及采购代理机构所有</w:t>
      </w:r>
      <w:r>
        <w:rPr>
          <w:rFonts w:hint="eastAsia" w:ascii="宋体" w:hAnsi="宋体"/>
          <w:color w:val="auto"/>
          <w:szCs w:val="24"/>
          <w:highlight w:val="none"/>
          <w:lang w:eastAsia="zh-CN"/>
        </w:rPr>
        <w:t>。</w:t>
      </w:r>
    </w:p>
    <w:p>
      <w:pPr>
        <w:pStyle w:val="3"/>
        <w:bidi w:val="0"/>
        <w:jc w:val="center"/>
        <w:rPr>
          <w:rFonts w:hint="eastAsia" w:eastAsia="宋体"/>
          <w:color w:val="auto"/>
          <w:highlight w:val="none"/>
          <w:lang w:eastAsia="zh-CN"/>
        </w:rPr>
      </w:pPr>
      <w:bookmarkStart w:id="60" w:name="_Toc26334"/>
      <w:bookmarkStart w:id="61" w:name="_Toc24205"/>
      <w:bookmarkStart w:id="62" w:name="_Toc885"/>
      <w:bookmarkStart w:id="63" w:name="_Toc6506"/>
      <w:bookmarkStart w:id="64" w:name="_Toc9523"/>
      <w:bookmarkStart w:id="65" w:name="_Toc3938"/>
      <w:bookmarkStart w:id="66" w:name="_Toc5438"/>
      <w:bookmarkStart w:id="67" w:name="_Toc7404"/>
      <w:r>
        <w:rPr>
          <w:rFonts w:hint="eastAsia"/>
          <w:color w:val="auto"/>
          <w:highlight w:val="none"/>
          <w:lang w:eastAsia="zh-CN"/>
        </w:rPr>
        <w:t>第三章</w:t>
      </w:r>
      <w:r>
        <w:rPr>
          <w:rFonts w:hint="eastAsia"/>
          <w:color w:val="auto"/>
          <w:highlight w:val="none"/>
          <w:lang w:val="en-US" w:eastAsia="zh-CN"/>
        </w:rPr>
        <w:t xml:space="preserve"> </w:t>
      </w:r>
      <w:r>
        <w:rPr>
          <w:rFonts w:hint="eastAsia"/>
          <w:color w:val="auto"/>
          <w:highlight w:val="none"/>
        </w:rPr>
        <w:t>合同条款及格式</w:t>
      </w:r>
      <w:bookmarkEnd w:id="60"/>
      <w:bookmarkEnd w:id="61"/>
      <w:bookmarkEnd w:id="62"/>
      <w:bookmarkEnd w:id="63"/>
      <w:bookmarkEnd w:id="64"/>
      <w:r>
        <w:rPr>
          <w:rFonts w:hint="eastAsia"/>
          <w:color w:val="auto"/>
          <w:highlight w:val="none"/>
          <w:lang w:eastAsia="zh-CN"/>
        </w:rPr>
        <w:t>（</w:t>
      </w:r>
      <w:r>
        <w:rPr>
          <w:rFonts w:hint="eastAsia"/>
          <w:color w:val="auto"/>
          <w:highlight w:val="none"/>
          <w:lang w:val="en-US" w:eastAsia="zh-CN"/>
        </w:rPr>
        <w:t>仅供参考</w:t>
      </w:r>
      <w:r>
        <w:rPr>
          <w:rFonts w:hint="eastAsia"/>
          <w:color w:val="auto"/>
          <w:highlight w:val="none"/>
          <w:lang w:eastAsia="zh-CN"/>
        </w:rPr>
        <w:t>）</w:t>
      </w:r>
      <w:bookmarkEnd w:id="65"/>
      <w:bookmarkEnd w:id="66"/>
      <w:bookmarkEnd w:id="67"/>
    </w:p>
    <w:p>
      <w:pPr>
        <w:spacing w:before="68" w:line="221" w:lineRule="auto"/>
        <w:ind w:left="3468"/>
        <w:rPr>
          <w:rFonts w:ascii="宋体" w:hAnsi="宋体" w:eastAsia="宋体" w:cs="宋体"/>
          <w:sz w:val="28"/>
          <w:szCs w:val="28"/>
        </w:rPr>
      </w:pPr>
      <w:bookmarkStart w:id="68" w:name="_Toc22757"/>
      <w:bookmarkStart w:id="69" w:name="_Toc458617467"/>
      <w:bookmarkStart w:id="70" w:name="_Toc458617744"/>
      <w:bookmarkStart w:id="71" w:name="_Toc324521850"/>
      <w:bookmarkStart w:id="72" w:name="_Toc321812053"/>
      <w:bookmarkStart w:id="73" w:name="_Toc32712"/>
      <w:bookmarkStart w:id="74" w:name="_Toc290389757"/>
      <w:bookmarkStart w:id="75" w:name="_Toc29665"/>
      <w:r>
        <w:rPr>
          <w:rFonts w:ascii="宋体" w:hAnsi="宋体" w:eastAsia="宋体" w:cs="宋体"/>
          <w:spacing w:val="1"/>
          <w:sz w:val="28"/>
          <w:szCs w:val="28"/>
          <w14:textOutline w14:w="3831" w14:cap="flat" w14:cmpd="sng">
            <w14:solidFill>
              <w14:srgbClr w14:val="000000"/>
            </w14:solidFill>
            <w14:prstDash w14:val="solid"/>
            <w14:miter w14:val="0"/>
          </w14:textOutline>
        </w:rPr>
        <w:t>第一部分</w:t>
      </w:r>
      <w:r>
        <w:rPr>
          <w:rFonts w:ascii="宋体" w:hAnsi="宋体" w:eastAsia="宋体" w:cs="宋体"/>
          <w:sz w:val="28"/>
          <w:szCs w:val="28"/>
        </w:rPr>
        <w:t xml:space="preserve"> </w:t>
      </w:r>
      <w:r>
        <w:rPr>
          <w:rFonts w:ascii="宋体" w:hAnsi="宋体" w:eastAsia="宋体" w:cs="宋体"/>
          <w:sz w:val="28"/>
          <w:szCs w:val="28"/>
          <w14:textOutline w14:w="3831" w14:cap="flat" w14:cmpd="sng">
            <w14:solidFill>
              <w14:srgbClr w14:val="000000"/>
            </w14:solidFill>
            <w14:prstDash w14:val="solid"/>
            <w14:miter w14:val="0"/>
          </w14:textOutline>
        </w:rPr>
        <w:t>建设工程委托监理合同</w:t>
      </w:r>
    </w:p>
    <w:p>
      <w:pPr>
        <w:spacing w:line="436" w:lineRule="auto"/>
        <w:rPr>
          <w:rFonts w:hint="eastAsia" w:ascii="宋体" w:hAnsi="宋体" w:eastAsia="宋体" w:cs="宋体"/>
          <w:spacing w:val="4"/>
          <w:kern w:val="2"/>
          <w:sz w:val="24"/>
          <w:szCs w:val="24"/>
          <w:lang w:val="en-US" w:eastAsia="zh-CN" w:bidi="ar-SA"/>
        </w:rPr>
      </w:pPr>
    </w:p>
    <w:p>
      <w:pPr>
        <w:spacing w:before="68" w:line="360" w:lineRule="auto"/>
        <w:ind w:left="54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委托人______与监理人_______经双方协商一致，签订本合同。</w:t>
      </w:r>
    </w:p>
    <w:p>
      <w:pPr>
        <w:spacing w:line="360" w:lineRule="auto"/>
        <w:ind w:left="550"/>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一、委托人委托监理人监理的工程(以下简称“本工程”)概况如下：</w:t>
      </w:r>
    </w:p>
    <w:p>
      <w:pPr>
        <w:spacing w:line="360" w:lineRule="auto"/>
        <w:ind w:left="0" w:firstLine="496" w:firstLineChars="200"/>
        <w:rPr>
          <w:rFonts w:hint="default" w:ascii="宋体" w:hAnsi="宋体" w:eastAsia="宋体" w:cs="宋体"/>
          <w:spacing w:val="4"/>
          <w:kern w:val="2"/>
          <w:sz w:val="24"/>
          <w:szCs w:val="24"/>
          <w:u w:val="single"/>
          <w:lang w:val="en-US" w:eastAsia="zh-CN" w:bidi="ar-SA"/>
        </w:rPr>
      </w:pPr>
      <w:r>
        <w:rPr>
          <w:rFonts w:hint="eastAsia" w:ascii="宋体" w:hAnsi="宋体" w:eastAsia="宋体" w:cs="宋体"/>
          <w:spacing w:val="4"/>
          <w:kern w:val="2"/>
          <w:sz w:val="24"/>
          <w:szCs w:val="24"/>
          <w:lang w:val="en-US" w:eastAsia="zh-CN" w:bidi="ar-SA"/>
        </w:rPr>
        <w:t>工程名称：</w:t>
      </w:r>
      <w:r>
        <w:rPr>
          <w:rFonts w:hint="eastAsia" w:ascii="宋体" w:hAnsi="宋体" w:cs="宋体"/>
          <w:spacing w:val="4"/>
          <w:kern w:val="2"/>
          <w:sz w:val="24"/>
          <w:szCs w:val="24"/>
          <w:u w:val="single"/>
          <w:lang w:val="en-US" w:eastAsia="zh-CN" w:bidi="ar-SA"/>
        </w:rPr>
        <w:t xml:space="preserve">                                       </w:t>
      </w:r>
    </w:p>
    <w:p>
      <w:pPr>
        <w:spacing w:line="360" w:lineRule="auto"/>
        <w:ind w:left="0" w:firstLine="496" w:firstLineChars="200"/>
        <w:rPr>
          <w:rFonts w:hint="default" w:ascii="宋体" w:hAnsi="宋体" w:eastAsia="宋体" w:cs="宋体"/>
          <w:spacing w:val="4"/>
          <w:kern w:val="2"/>
          <w:sz w:val="24"/>
          <w:szCs w:val="24"/>
          <w:u w:val="single"/>
          <w:lang w:val="en-US" w:eastAsia="zh-CN" w:bidi="ar-SA"/>
        </w:rPr>
      </w:pPr>
      <w:r>
        <w:rPr>
          <w:rFonts w:hint="eastAsia" w:ascii="宋体" w:hAnsi="宋体" w:eastAsia="宋体" w:cs="宋体"/>
          <w:spacing w:val="4"/>
          <w:kern w:val="2"/>
          <w:sz w:val="24"/>
          <w:szCs w:val="24"/>
          <w:lang w:val="en-US" w:eastAsia="zh-CN" w:bidi="ar-SA"/>
        </w:rPr>
        <w:t>工程地点：</w:t>
      </w:r>
      <w:r>
        <w:rPr>
          <w:rFonts w:hint="eastAsia" w:ascii="宋体" w:hAnsi="宋体" w:cs="宋体"/>
          <w:spacing w:val="4"/>
          <w:kern w:val="2"/>
          <w:sz w:val="24"/>
          <w:szCs w:val="24"/>
          <w:u w:val="single"/>
          <w:lang w:val="en-US" w:eastAsia="zh-CN" w:bidi="ar-SA"/>
        </w:rPr>
        <w:t xml:space="preserve">                                       </w:t>
      </w:r>
    </w:p>
    <w:p>
      <w:pPr>
        <w:spacing w:line="360" w:lineRule="auto"/>
        <w:ind w:left="0" w:firstLine="496" w:firstLineChars="200"/>
        <w:rPr>
          <w:rFonts w:hint="default" w:ascii="宋体" w:hAnsi="宋体" w:eastAsia="宋体" w:cs="宋体"/>
          <w:spacing w:val="4"/>
          <w:kern w:val="2"/>
          <w:sz w:val="24"/>
          <w:szCs w:val="24"/>
          <w:u w:val="single"/>
          <w:lang w:val="en-US" w:eastAsia="zh-CN" w:bidi="ar-SA"/>
        </w:rPr>
      </w:pPr>
      <w:r>
        <w:rPr>
          <w:rFonts w:hint="eastAsia" w:ascii="宋体" w:hAnsi="宋体" w:eastAsia="宋体" w:cs="宋体"/>
          <w:spacing w:val="4"/>
          <w:kern w:val="2"/>
          <w:sz w:val="24"/>
          <w:szCs w:val="24"/>
          <w:lang w:val="en-US" w:eastAsia="zh-CN" w:bidi="ar-SA"/>
        </w:rPr>
        <w:t>工程规模：</w:t>
      </w:r>
      <w:r>
        <w:rPr>
          <w:rFonts w:hint="eastAsia" w:ascii="宋体" w:hAnsi="宋体" w:cs="宋体"/>
          <w:spacing w:val="4"/>
          <w:kern w:val="2"/>
          <w:sz w:val="24"/>
          <w:szCs w:val="24"/>
          <w:u w:val="single"/>
          <w:lang w:val="en-US" w:eastAsia="zh-CN" w:bidi="ar-SA"/>
        </w:rPr>
        <w:t xml:space="preserve">                                       </w:t>
      </w:r>
    </w:p>
    <w:p>
      <w:pPr>
        <w:spacing w:line="360" w:lineRule="auto"/>
        <w:ind w:left="0" w:firstLine="496" w:firstLineChars="200"/>
        <w:rPr>
          <w:rFonts w:hint="default" w:ascii="宋体" w:hAnsi="宋体" w:eastAsia="宋体" w:cs="宋体"/>
          <w:spacing w:val="4"/>
          <w:kern w:val="2"/>
          <w:sz w:val="24"/>
          <w:szCs w:val="24"/>
          <w:u w:val="single"/>
          <w:lang w:val="en-US" w:eastAsia="zh-CN" w:bidi="ar-SA"/>
        </w:rPr>
      </w:pPr>
      <w:r>
        <w:rPr>
          <w:rFonts w:hint="eastAsia" w:ascii="宋体" w:hAnsi="宋体" w:eastAsia="宋体" w:cs="宋体"/>
          <w:spacing w:val="4"/>
          <w:kern w:val="2"/>
          <w:sz w:val="24"/>
          <w:szCs w:val="24"/>
          <w:lang w:val="en-US" w:eastAsia="zh-CN" w:bidi="ar-SA"/>
        </w:rPr>
        <w:t>总投资：</w:t>
      </w:r>
      <w:r>
        <w:rPr>
          <w:rFonts w:hint="eastAsia" w:ascii="宋体" w:hAnsi="宋体" w:cs="宋体"/>
          <w:spacing w:val="4"/>
          <w:kern w:val="2"/>
          <w:sz w:val="24"/>
          <w:szCs w:val="24"/>
          <w:u w:val="single"/>
          <w:lang w:val="en-US" w:eastAsia="zh-CN" w:bidi="ar-SA"/>
        </w:rPr>
        <w:t xml:space="preserve">                                         </w:t>
      </w:r>
    </w:p>
    <w:p>
      <w:pPr>
        <w:spacing w:before="216" w:line="360" w:lineRule="auto"/>
        <w:ind w:left="550"/>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二、本合同中的有关词语含义与本合同第二部分(标准条件)中赋予它们的定义相同。</w:t>
      </w:r>
    </w:p>
    <w:p>
      <w:pPr>
        <w:spacing w:before="218"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三、下列文件均为本合同的组成部分：</w:t>
      </w:r>
    </w:p>
    <w:p>
      <w:pPr>
        <w:spacing w:before="218" w:line="360" w:lineRule="auto"/>
        <w:ind w:left="54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①监理投标书或中标通知书；</w:t>
      </w:r>
    </w:p>
    <w:p>
      <w:pPr>
        <w:spacing w:before="220" w:line="360" w:lineRule="auto"/>
        <w:ind w:left="545"/>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②本合同标准条件；</w:t>
      </w:r>
    </w:p>
    <w:p>
      <w:pPr>
        <w:spacing w:before="220" w:line="360" w:lineRule="auto"/>
        <w:ind w:left="545"/>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③本合同专用条件；</w:t>
      </w:r>
    </w:p>
    <w:p>
      <w:pPr>
        <w:spacing w:before="220" w:line="360" w:lineRule="auto"/>
        <w:ind w:left="545"/>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④在实施过程中双方共同签署的补充与修正文件。</w:t>
      </w:r>
    </w:p>
    <w:p>
      <w:pPr>
        <w:spacing w:before="220" w:line="360" w:lineRule="auto"/>
        <w:ind w:left="56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四、监理人向委托人承诺， 按照本合同的规定，承担本合同专用条件中议定范围内的监理业务。</w:t>
      </w:r>
    </w:p>
    <w:p>
      <w:pPr>
        <w:spacing w:before="218" w:line="360" w:lineRule="auto"/>
        <w:ind w:left="550"/>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五、委托人向监理人承诺按照本合同注明的期限、方式、币种，向监理人支付报酬。</w:t>
      </w:r>
    </w:p>
    <w:p>
      <w:pPr>
        <w:spacing w:before="218"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本合同自____年__月__日开始实施， 至____年__月__日完    成。</w:t>
      </w:r>
    </w:p>
    <w:p>
      <w:pPr>
        <w:spacing w:before="224" w:line="360" w:lineRule="auto"/>
        <w:ind w:left="545"/>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本合同一式    份， 具有同等法律效力， 双方各执    份。</w:t>
      </w:r>
    </w:p>
    <w:p>
      <w:pPr>
        <w:spacing w:line="360" w:lineRule="auto"/>
        <w:rPr>
          <w:rFonts w:hint="eastAsia" w:ascii="宋体" w:hAnsi="宋体" w:eastAsia="宋体" w:cs="宋体"/>
          <w:spacing w:val="4"/>
          <w:kern w:val="2"/>
          <w:sz w:val="24"/>
          <w:szCs w:val="24"/>
          <w:lang w:val="en-US" w:eastAsia="zh-CN" w:bidi="ar-SA"/>
        </w:rPr>
      </w:pPr>
    </w:p>
    <w:p>
      <w:pPr>
        <w:spacing w:line="360" w:lineRule="auto"/>
        <w:rPr>
          <w:rFonts w:hint="eastAsia" w:ascii="宋体" w:hAnsi="宋体" w:eastAsia="宋体" w:cs="宋体"/>
          <w:spacing w:val="4"/>
          <w:kern w:val="2"/>
          <w:sz w:val="24"/>
          <w:szCs w:val="24"/>
          <w:lang w:val="en-US" w:eastAsia="zh-CN" w:bidi="ar-SA"/>
        </w:rPr>
      </w:pPr>
    </w:p>
    <w:p>
      <w:pPr>
        <w:spacing w:before="69" w:line="360" w:lineRule="auto"/>
        <w:ind w:left="86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委托人： (签章)            监理人： (签章)</w:t>
      </w:r>
    </w:p>
    <w:p>
      <w:pPr>
        <w:spacing w:before="219" w:line="360" w:lineRule="auto"/>
        <w:ind w:left="86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住所：                      住所：</w:t>
      </w:r>
    </w:p>
    <w:p>
      <w:pPr>
        <w:spacing w:before="216" w:line="360" w:lineRule="auto"/>
        <w:ind w:left="869"/>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法定代表人： (签章)        法定代表人： (签章)</w:t>
      </w:r>
    </w:p>
    <w:p>
      <w:pPr>
        <w:spacing w:before="218" w:line="360" w:lineRule="auto"/>
        <w:ind w:left="869"/>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开户银行：                  开户银行：</w:t>
      </w:r>
    </w:p>
    <w:p>
      <w:pPr>
        <w:spacing w:line="360" w:lineRule="auto"/>
        <w:ind w:left="872"/>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账号：                      账号：</w:t>
      </w:r>
    </w:p>
    <w:p>
      <w:pPr>
        <w:spacing w:before="215" w:line="360" w:lineRule="auto"/>
        <w:ind w:left="8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邮编：                      邮编：</w:t>
      </w:r>
    </w:p>
    <w:p>
      <w:pPr>
        <w:spacing w:before="217" w:line="360" w:lineRule="auto"/>
        <w:ind w:left="893"/>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电话：                      电话：</w:t>
      </w:r>
    </w:p>
    <w:p>
      <w:pPr>
        <w:spacing w:before="215" w:line="360" w:lineRule="auto"/>
        <w:ind w:left="869"/>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本合同签订于： ____年__月__日</w:t>
      </w:r>
    </w:p>
    <w:p>
      <w:pPr>
        <w:spacing w:line="360" w:lineRule="auto"/>
        <w:rPr>
          <w:rFonts w:hint="eastAsia" w:ascii="宋体" w:hAnsi="宋体" w:eastAsia="宋体" w:cs="宋体"/>
          <w:spacing w:val="4"/>
          <w:kern w:val="2"/>
          <w:sz w:val="24"/>
          <w:szCs w:val="24"/>
          <w:lang w:val="en-US" w:eastAsia="zh-CN" w:bidi="ar-SA"/>
        </w:rPr>
        <w:sectPr>
          <w:footerReference r:id="rId7" w:type="default"/>
          <w:pgSz w:w="11907" w:h="16839"/>
          <w:pgMar w:top="1046" w:right="1049" w:bottom="1244" w:left="964" w:header="805" w:footer="894" w:gutter="0"/>
          <w:cols w:space="720" w:num="1"/>
        </w:sectPr>
      </w:pPr>
    </w:p>
    <w:p>
      <w:pPr>
        <w:spacing w:before="68" w:line="360" w:lineRule="auto"/>
        <w:jc w:val="center"/>
        <w:rPr>
          <w:rFonts w:hint="eastAsia" w:ascii="宋体" w:hAnsi="宋体" w:eastAsia="宋体" w:cs="宋体"/>
          <w:b/>
          <w:bCs/>
          <w:spacing w:val="4"/>
          <w:kern w:val="2"/>
          <w:sz w:val="28"/>
          <w:szCs w:val="28"/>
          <w:lang w:val="en-US" w:eastAsia="zh-CN" w:bidi="ar-SA"/>
        </w:rPr>
      </w:pPr>
      <w:bookmarkStart w:id="76" w:name="_bookmark55"/>
      <w:bookmarkEnd w:id="76"/>
      <w:r>
        <w:rPr>
          <w:rFonts w:hint="eastAsia" w:ascii="宋体" w:hAnsi="宋体" w:eastAsia="宋体" w:cs="宋体"/>
          <w:b/>
          <w:bCs/>
          <w:spacing w:val="4"/>
          <w:kern w:val="2"/>
          <w:sz w:val="28"/>
          <w:szCs w:val="28"/>
          <w:lang w:val="en-US" w:eastAsia="zh-CN" w:bidi="ar-SA"/>
        </w:rPr>
        <w:t>第二部分  标准条件</w:t>
      </w:r>
    </w:p>
    <w:p>
      <w:pPr>
        <w:spacing w:line="360" w:lineRule="auto"/>
        <w:rPr>
          <w:rFonts w:hint="eastAsia" w:ascii="宋体" w:hAnsi="宋体" w:eastAsia="宋体" w:cs="宋体"/>
          <w:spacing w:val="4"/>
          <w:kern w:val="2"/>
          <w:sz w:val="24"/>
          <w:szCs w:val="24"/>
          <w:lang w:val="en-US" w:eastAsia="zh-CN" w:bidi="ar-SA"/>
        </w:rPr>
      </w:pPr>
    </w:p>
    <w:p>
      <w:pPr>
        <w:spacing w:before="68" w:line="360" w:lineRule="auto"/>
        <w:ind w:left="54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词语定义、适用范围和法规</w:t>
      </w:r>
    </w:p>
    <w:p>
      <w:pPr>
        <w:spacing w:before="215"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第一条  下列名词和用语， 除上下文另有规定外，有如下含义：</w:t>
      </w:r>
    </w:p>
    <w:p>
      <w:pPr>
        <w:spacing w:before="217" w:line="360" w:lineRule="auto"/>
        <w:ind w:left="5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( 1 )“工程”是指委托人委托实施监理的工程。</w:t>
      </w:r>
    </w:p>
    <w:p>
      <w:pPr>
        <w:spacing w:before="214" w:line="360" w:lineRule="auto"/>
        <w:ind w:left="5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( 2 )“委托人”是指承担直接投资责任和委托监理业务的一方以及其合法继承人。</w:t>
      </w:r>
    </w:p>
    <w:p>
      <w:pPr>
        <w:spacing w:before="215" w:line="360" w:lineRule="auto"/>
        <w:ind w:left="5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(3)“监理人”是指承担监理业务和监理责任的一方，以及其合法继承人。</w:t>
      </w:r>
    </w:p>
    <w:p>
      <w:pPr>
        <w:spacing w:before="214" w:line="360" w:lineRule="auto"/>
        <w:ind w:left="5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(4)“监理机构”是指监理人派驻本工程现场实施监理业务的组织。</w:t>
      </w:r>
    </w:p>
    <w:p>
      <w:pPr>
        <w:spacing w:before="214" w:line="360" w:lineRule="auto"/>
        <w:ind w:left="5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(5)“总监理工程师”是指经委托人同意，监理人派到监理机构全面履行本合同的全权负责人。</w:t>
      </w:r>
    </w:p>
    <w:p>
      <w:pPr>
        <w:spacing w:before="215" w:line="360" w:lineRule="auto"/>
        <w:ind w:left="5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( 6 )“承包人”是指除监理人以外， 委托人就工程建设有关事宜签订合同的当事人。</w:t>
      </w:r>
    </w:p>
    <w:p>
      <w:pPr>
        <w:spacing w:before="217" w:line="360" w:lineRule="auto"/>
        <w:ind w:left="5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(7)“工程监理的正常工作”是指双方在专用条件中约定，委托人委托的监理工作范围和内容。</w:t>
      </w:r>
    </w:p>
    <w:p>
      <w:pPr>
        <w:spacing w:before="214" w:line="360" w:lineRule="auto"/>
        <w:ind w:left="58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(8) “工程监理的附加工作”是指：①委托人委托监理范围以外，通过双方书面协议另外增加的工作</w:t>
      </w:r>
    </w:p>
    <w:p>
      <w:pPr>
        <w:spacing w:before="220" w:line="360" w:lineRule="auto"/>
        <w:ind w:left="149"/>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内容； ②由于委托人或承包人原因， 使监理工作受到阻碍或延误， 因增加工作量或持续时间而增加的工作。</w:t>
      </w:r>
    </w:p>
    <w:p>
      <w:pPr>
        <w:spacing w:before="221" w:line="360" w:lineRule="auto"/>
        <w:ind w:left="126" w:right="82" w:firstLine="459"/>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( 9 ) “工程监理的额外工作”是指正常工作和附加工作以外，根据第三十八条规定监理人必须完成的 工作， 或非监理人自己的原因而暂停或终止监理业务，其善后工作及恢复监理业务的工作。</w:t>
      </w:r>
    </w:p>
    <w:p>
      <w:pPr>
        <w:spacing w:before="1" w:line="360" w:lineRule="auto"/>
        <w:ind w:left="5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( 10 ) “日”是指任何一天零时至第二天零时的时间段。</w:t>
      </w:r>
    </w:p>
    <w:p>
      <w:pPr>
        <w:spacing w:before="216" w:line="360" w:lineRule="auto"/>
        <w:ind w:left="5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( 11 ) “月”是指根据公历从一个月份中任何一天开始到下一个月相应日期的前一天的时间段。</w:t>
      </w:r>
    </w:p>
    <w:p>
      <w:pPr>
        <w:spacing w:before="219" w:line="360" w:lineRule="auto"/>
        <w:ind w:left="125" w:right="82" w:firstLine="42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第二条  建设工程委托监理合同适用的法律是指国家的法律、行政法规， 以及专用条件中议定的部门 规章或工程所在地的地方法规、地方规章。</w:t>
      </w:r>
    </w:p>
    <w:p>
      <w:pPr>
        <w:spacing w:before="1" w:line="360" w:lineRule="auto"/>
        <w:ind w:left="133" w:right="77" w:firstLine="41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第三条  本合同文件使用汉语语言文字书写、解释和说明。如专用条件约定使用两种以上(含两种)语 言文字时， 汉语应为解释和说明本合同的标准语盲文字。</w:t>
      </w:r>
    </w:p>
    <w:p>
      <w:pPr>
        <w:spacing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监理人义务</w:t>
      </w:r>
    </w:p>
    <w:p>
      <w:pPr>
        <w:spacing w:before="216" w:line="360" w:lineRule="auto"/>
        <w:ind w:left="123" w:firstLine="42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第四条  监理人按合同约定派出监理工作需要的监理机构及监理人员，向委托人报送委派的总监理工 程师及其监理机构主要成员名单、监理规划， 完成监理合同专用条件中约定的监理工程范围内的监理业务。 在履行合同义务期间，应按合同约定定期向委托人报告监理工作。</w:t>
      </w:r>
    </w:p>
    <w:p>
      <w:pPr>
        <w:spacing w:before="1" w:line="360" w:lineRule="auto"/>
        <w:ind w:left="124" w:right="84" w:firstLine="425"/>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第五条  监理人在履行本合同的义务期间，应认真、勤奋地工作，为委托人提供与其水平相适应的咨 询意见，公正维护各方面的合法权益。</w:t>
      </w:r>
    </w:p>
    <w:p>
      <w:pPr>
        <w:spacing w:before="1" w:line="360" w:lineRule="auto"/>
        <w:ind w:left="123" w:right="84" w:firstLine="42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第六条  监理人使用委托人提供的设施和物品属委托人的财产。在监理工作完成或中止时，应将其设 施和剩余的物品按合同约定的时间和方式移交给委托人。</w:t>
      </w:r>
    </w:p>
    <w:p>
      <w:pPr>
        <w:spacing w:before="1" w:line="360" w:lineRule="auto"/>
        <w:ind w:left="549"/>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第七条  在合同期内或合同终止后，未征得有关方同意，不得泄露与本工程、本合同业务有关的保密资料。</w:t>
      </w:r>
    </w:p>
    <w:p>
      <w:pPr>
        <w:spacing w:before="216" w:line="360" w:lineRule="auto"/>
        <w:ind w:left="54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委托人义务</w:t>
      </w:r>
    </w:p>
    <w:p>
      <w:pPr>
        <w:spacing w:before="216"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第八条  委托人在监理人开展监理业务之前应向监理人支付预付款。</w:t>
      </w:r>
    </w:p>
    <w:p>
      <w:pPr>
        <w:spacing w:before="218" w:line="360" w:lineRule="auto"/>
        <w:ind w:left="122" w:right="30" w:firstLine="42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第九条  委托人应当负责工程建设的所有外部关系的协调，为监理工作提供外部条件。根据需要， 如将部分或全部协调工作委托监理人承担，则应在专用条件中明确委托的工作和相应的报酬。</w:t>
      </w:r>
    </w:p>
    <w:p>
      <w:pPr>
        <w:spacing w:line="360" w:lineRule="auto"/>
        <w:ind w:left="124" w:right="33" w:firstLine="425"/>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第十条  委托人应当在双方约定的时间内免费向监理人提供与工程有关的为监理工作所需要的工程资 料。</w:t>
      </w:r>
    </w:p>
    <w:p>
      <w:pPr>
        <w:spacing w:before="1" w:line="360" w:lineRule="auto"/>
        <w:ind w:left="125" w:right="33" w:firstLine="42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第十一条  委托人应当在专用条款约定的时间内就监理人书面提交并要求作出决定的一切事宜作出书 面决定。</w:t>
      </w:r>
    </w:p>
    <w:p>
      <w:pPr>
        <w:spacing w:before="1" w:line="360" w:lineRule="auto"/>
        <w:ind w:left="129" w:right="23" w:firstLine="41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第十二条  委托人应当授权一名熟悉工程情况、能在规定时间内作出决定的常驻代表(在专用条款中约 定)，负责与监理人联系。更换常驻代表， 要提前通知监理人。</w:t>
      </w:r>
    </w:p>
    <w:p>
      <w:pPr>
        <w:spacing w:before="1" w:line="360" w:lineRule="auto"/>
        <w:ind w:left="125" w:right="30" w:firstLine="42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第十三条  委托人应当将授予监理人的监理权利，以及监理人主要成员的职能分工、监理权限及时书 面通知已选定的承包合同的承包人， 并在与第三人签订的合同中予以明确。</w:t>
      </w:r>
    </w:p>
    <w:p>
      <w:pPr>
        <w:spacing w:before="1"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第十四条  委托人应在不影响监理人开展监理工作的时间内提供如下资料：</w:t>
      </w:r>
    </w:p>
    <w:p>
      <w:pPr>
        <w:spacing w:before="218" w:line="360" w:lineRule="auto"/>
        <w:ind w:left="5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( 1 )与本工程合作的原材料、构配件、机械设备等生产厂家名录。</w:t>
      </w:r>
    </w:p>
    <w:p>
      <w:pPr>
        <w:spacing w:before="218" w:line="360" w:lineRule="auto"/>
        <w:ind w:left="5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(2)提供与本工程有关的协作单位、配合单位的名录。</w:t>
      </w:r>
    </w:p>
    <w:p>
      <w:pPr>
        <w:spacing w:before="216" w:line="360" w:lineRule="auto"/>
        <w:ind w:left="123" w:right="24" w:firstLine="42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第十五条  委托人应免费向监理人提供办公用房、通讯设施、监理人员工地住房及合同专用条件约定 的设施，对监理人自备的设施给予合理的经济补偿(补偿金额＝设施在工程使用时间占折旧年限的比例×设 施原值＋管理费)。</w:t>
      </w:r>
    </w:p>
    <w:p>
      <w:pPr>
        <w:spacing w:before="1" w:line="360" w:lineRule="auto"/>
        <w:ind w:left="125" w:right="33" w:firstLine="423"/>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第十六条  根据情况需要，如果双方约定，由委托人免费向监理人提供其他人员，应在监理合同专用 条件中予以明确。</w:t>
      </w:r>
    </w:p>
    <w:p>
      <w:pPr>
        <w:spacing w:before="1"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监理人权利</w:t>
      </w:r>
    </w:p>
    <w:p>
      <w:pPr>
        <w:spacing w:before="216"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第十七条  监理人在委托人委托的工程范围内，享有以下权利：</w:t>
      </w:r>
    </w:p>
    <w:p>
      <w:pPr>
        <w:spacing w:before="217" w:line="360" w:lineRule="auto"/>
        <w:ind w:left="5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( 1 )选择工程总承包人的建议权。</w:t>
      </w:r>
    </w:p>
    <w:p>
      <w:pPr>
        <w:spacing w:before="217" w:line="360" w:lineRule="auto"/>
        <w:ind w:left="5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(2)选择工程分包人的认可权。</w:t>
      </w:r>
    </w:p>
    <w:p>
      <w:pPr>
        <w:spacing w:before="218" w:line="360" w:lineRule="auto"/>
        <w:ind w:left="124" w:right="31" w:firstLine="462"/>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(3)对工程建设有关事项包括工程规模、设计标准、规划设计、生产工艺设计和使用功能要求，向委 托人的建议权。</w:t>
      </w:r>
    </w:p>
    <w:p>
      <w:pPr>
        <w:spacing w:before="3" w:line="360" w:lineRule="auto"/>
        <w:ind w:left="123" w:right="30" w:firstLine="463"/>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(4)对工程设计中的技术问题， 按照安全和优化的原则， 向设计人提出建议；如果拟提出的建议可能 会提高工程造价， 或延长工期，应当事先征得委托人的同意。当发现工程设计不符合国家颁布的建设工程 质量标准或设计合同约定的质量标准时， 监理人应当书面报告委托人并要求设计人更正。</w:t>
      </w:r>
    </w:p>
    <w:p>
      <w:pPr>
        <w:spacing w:before="69" w:line="360" w:lineRule="auto"/>
        <w:ind w:left="129" w:right="14" w:firstLine="45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(5)审批工程施工组织设计和技术方案， 按照保质量、保工期和降低成本的原则， 向承包人提出建议， 并向委托人提出书面报告。</w:t>
      </w:r>
    </w:p>
    <w:p>
      <w:pPr>
        <w:spacing w:line="360" w:lineRule="auto"/>
        <w:ind w:left="58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(6)主持工程建设有关协作单位的组织协调， 重要协调事项应当事先向委托人报告。</w:t>
      </w:r>
    </w:p>
    <w:p>
      <w:pPr>
        <w:spacing w:before="219" w:line="360" w:lineRule="auto"/>
        <w:ind w:left="130" w:right="81" w:firstLine="455"/>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(7)征得委托人同意， 监理人有权发布开工令、停工令、复工令，但应当事先向委托人报告。如在紧 急情况下未能事先报告时，则应在24小时内向委托人作出书面报告。</w:t>
      </w:r>
    </w:p>
    <w:p>
      <w:pPr>
        <w:spacing w:before="1" w:line="360" w:lineRule="auto"/>
        <w:ind w:left="126" w:firstLine="45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(8)工程上使用的材料和施工质量的检验权。对于不符合设计要求和合同约定及国家质量标准的材料、 构配件、设备，有权通知承包人停止使用； 对于不符合规范和质量标准的工序、分部分项工程和不安全施 工作业，有权通知承包人停工整改、返工。承包人得到监理机构复工令后才能复工。</w:t>
      </w:r>
    </w:p>
    <w:p>
      <w:pPr>
        <w:spacing w:before="1" w:line="360" w:lineRule="auto"/>
        <w:ind w:left="141" w:right="81" w:firstLine="445"/>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( 9 )工程施工进度的检查、监督权，以及工程实际竣工日期提前或超过工程施工合同规定的竣工期限 的签认权。</w:t>
      </w:r>
    </w:p>
    <w:p>
      <w:pPr>
        <w:spacing w:line="360" w:lineRule="auto"/>
        <w:ind w:left="124" w:right="81" w:firstLine="462"/>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( 10 )在工程施工合同约定的工程价格范围内， 工程款支付的审核和签认权，以及工程结算的复核确 认权与否决权。未经总监理工程师签字确认， 委托人不支付工程款。</w:t>
      </w:r>
    </w:p>
    <w:p>
      <w:pPr>
        <w:spacing w:before="2" w:line="360" w:lineRule="auto"/>
        <w:ind w:left="124" w:right="83" w:firstLine="425"/>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第十八条  监理人在委托人授权下，可对任何承包人合同规定的义务提出变更。如果由此严重影响了 工程费用或质量、或进度， 则这种变更须经委托人事先批准。在紧急情况下未能事先报委托人批准时， 监 理人所做的变更也应尽快通知委托人。在监理过程中如发现工程承包人人员工作不力，监理机构可要求承 包人调换有关人员。</w:t>
      </w:r>
    </w:p>
    <w:p>
      <w:pPr>
        <w:spacing w:before="3" w:line="360" w:lineRule="auto"/>
        <w:ind w:left="125" w:right="77" w:firstLine="423"/>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第十九条  在委托的工程范围内，委托人或承包人对对方的任何意见和要求(包括索赔要求)，均必须 首先向监理机构提出，由监理机构研究处置意见，再同双方协商确定。当委托人和承包人发生争议时， 监 理机构应根据自己的职能， 以独立的身份判断，公正地进行调解。当双方的争议由政府建设行政主管部门 调解或仲裁机关仲裁时， 应当提供作证的事实材料。</w:t>
      </w:r>
    </w:p>
    <w:p>
      <w:pPr>
        <w:spacing w:line="360" w:lineRule="auto"/>
        <w:ind w:left="54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委托人权利</w:t>
      </w:r>
    </w:p>
    <w:p>
      <w:pPr>
        <w:spacing w:before="217"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第二十条  委托人有选定工程总承包人， 以及与其订立合同的权利。</w:t>
      </w:r>
    </w:p>
    <w:p>
      <w:pPr>
        <w:spacing w:before="218" w:line="360" w:lineRule="auto"/>
        <w:ind w:left="123" w:right="83" w:firstLine="42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第二十一条  委托人有对工程规模、设计标准、规划设计、生产工艺设计和设计使用功能要求的认定 权，以及对工程设计变更的审批权。</w:t>
      </w:r>
    </w:p>
    <w:p>
      <w:pPr>
        <w:spacing w:before="1"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第二十二条  监理人调换总监理工程师须事先经委托人同意。</w:t>
      </w:r>
    </w:p>
    <w:p>
      <w:pPr>
        <w:spacing w:before="218"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第二十三条  委托人有权要求监理人提交监理工作月报及监理业务范围内的专项报告。</w:t>
      </w:r>
    </w:p>
    <w:p>
      <w:pPr>
        <w:spacing w:before="220" w:line="360" w:lineRule="auto"/>
        <w:ind w:left="124" w:right="80" w:firstLine="425"/>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第二十四条  当委托人发现监理人员不按监理合同履行监理职责，或与承包人串通给委托人或工程造 成损失的，委托人有权要求监理人更换监理人员，直到终止合同并要求监理人承担相应的赔偿责任或连带 赔偿责任。</w:t>
      </w:r>
    </w:p>
    <w:p>
      <w:pPr>
        <w:spacing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监理人责任</w:t>
      </w:r>
    </w:p>
    <w:p>
      <w:pPr>
        <w:spacing w:before="69" w:line="360" w:lineRule="auto"/>
        <w:ind w:left="125" w:right="79" w:firstLine="42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第二十五条  监理人的责任期即委托监理合同有效期。在监理过程中，如果因工程建设进度的推迟或 延误而超过书面约定的日期，双方应进一步约定相应延长的合同期。</w:t>
      </w:r>
    </w:p>
    <w:p>
      <w:pPr>
        <w:spacing w:line="360" w:lineRule="auto"/>
        <w:ind w:left="129" w:firstLine="420"/>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第二十六条  监理人在责任期内，应当履行约定的义务。如果因监理人过失而造成了委托人的经济损 失， 应当向委托人赔偿。累计赔偿总额(除本合同第二十四条规定以外)不应超过监理报酬总额(除去税金)。</w:t>
      </w:r>
    </w:p>
    <w:p>
      <w:pPr>
        <w:spacing w:before="1" w:line="360" w:lineRule="auto"/>
        <w:ind w:left="125" w:right="74" w:firstLine="423"/>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第二十七条  监理人对承包人违反合同规定的质量要求和完工(交图、交货)时限，不承担责任。因不 可抗力导致委托监理合同不能全部或部分履行，监理人不承担责任。但对违反第五条规定引起的与之有关 的事宜，向委托人承担赔偿责任。</w:t>
      </w:r>
    </w:p>
    <w:p>
      <w:pPr>
        <w:spacing w:before="1" w:line="360" w:lineRule="auto"/>
        <w:ind w:left="126" w:right="79" w:firstLine="422"/>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第二十八条  监理人向委托人提出赔偿要求不能成立时，监理人应当补偿由于该索赔所导致委托人的 各种费用支出。</w:t>
      </w:r>
    </w:p>
    <w:p>
      <w:pPr>
        <w:spacing w:line="360" w:lineRule="auto"/>
        <w:ind w:left="54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委托人责任</w:t>
      </w:r>
    </w:p>
    <w:p>
      <w:pPr>
        <w:spacing w:before="218" w:line="360" w:lineRule="auto"/>
        <w:ind w:left="125" w:right="79" w:firstLine="423"/>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第二十九条  委托人应当履行委托监理合同约定的义务，如有违反则应当承担违约责任， 赔偿给监理 人造成的经济损失。</w:t>
      </w:r>
    </w:p>
    <w:p>
      <w:pPr>
        <w:spacing w:before="1"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监理人处理委托业务时，因非监理人原因的事由受到损失的， 可以向委托人要求补偿损失。</w:t>
      </w:r>
    </w:p>
    <w:p>
      <w:pPr>
        <w:spacing w:before="218" w:line="360" w:lineRule="auto"/>
        <w:ind w:left="124" w:right="79" w:firstLine="425"/>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第三十条  委托人如果向监理人提出赔偿的要求不能成立，则应当补偿由该索赔所引起的监理人的各 种费用支出。</w:t>
      </w:r>
    </w:p>
    <w:p>
      <w:pPr>
        <w:spacing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合同生效、变更与终止</w:t>
      </w:r>
    </w:p>
    <w:p>
      <w:pPr>
        <w:spacing w:before="215" w:line="360" w:lineRule="auto"/>
        <w:ind w:left="125" w:right="79" w:firstLine="42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第三十一条  由于委托人或承包人的原因使监理工作受到阻碍或延误，以致发生了附加工作或延长了 持续时间，则监理人应当将此情况与可能产生的影响及时通知委托人。完成监理业务的时间相应延长， 并 得到附加工作的报酬。</w:t>
      </w:r>
    </w:p>
    <w:p>
      <w:pPr>
        <w:spacing w:before="2" w:line="360" w:lineRule="auto"/>
        <w:ind w:left="123" w:right="76" w:firstLine="426"/>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第三十二条  在委托监理合同签订后， 实际情况发生变化，使得监理人不能全部或部分执行监理业务 时，监理人应当立即通知委托人。该监理业务的完成时间应予延长。当恢复执行监理业务时， 应当增加不 超过42日的时间用于恢复执行监理业务，并按双方约定的数量支付监理报酬。</w:t>
      </w:r>
    </w:p>
    <w:p>
      <w:pPr>
        <w:spacing w:before="1" w:line="360" w:lineRule="auto"/>
        <w:ind w:left="128" w:right="79" w:firstLine="42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第三十三条  监理人向委托人办理完竣工验收或工程移交手续， 承包人和委托人已签订工程保修责任 书，监理人收到监理报酬尾款， 本合同即终止。保修期间的责任， 双方在专用条款中约定。</w:t>
      </w:r>
    </w:p>
    <w:p>
      <w:pPr>
        <w:spacing w:before="1" w:line="360" w:lineRule="auto"/>
        <w:ind w:left="124" w:right="79" w:firstLine="425"/>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第三十四条  当事人一方要求变更或解除合同时，应当在42日前通知对方，因解除合同使一方遭受 损失的，除依法可以免除责任的外， 应由责任方负责赔偿。</w:t>
      </w:r>
    </w:p>
    <w:p>
      <w:pPr>
        <w:spacing w:before="1"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变更或解除合同的通知或协议必须采取书面形式，协议未达成之前，原合同仍然有效。</w:t>
      </w:r>
    </w:p>
    <w:p>
      <w:pPr>
        <w:spacing w:before="217" w:line="360" w:lineRule="auto"/>
        <w:ind w:left="125" w:right="11" w:firstLine="42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第三十五条  监理人在应当获得监理报酬之日起30日内仍未收到支付单据，而委托人又未对监理人 提出任何书面解释时，或根据第三十三条及第三十四条已暂停执行监理业务时限超过六个月的，监理人可 向委托人发出终止合同的通知， 发出通知后14日内仍未得到委托人答复， 可进一步发出终止合同的通知，如果第二份通知发出后42日内仍未得到委托人答复，可终止合同或自行暂停或继续暂停执行全部或部分 监理业务。委托人承担违约责任。</w:t>
      </w:r>
    </w:p>
    <w:p>
      <w:pPr>
        <w:spacing w:line="360" w:lineRule="auto"/>
        <w:ind w:left="125" w:right="81" w:firstLine="423"/>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第三十六条  监理人由于非自己的原因而暂停或终止执行监理业务，其善后工作以及恢复执行监理业 务的工作， 应当视为额外工作， 有权得到额外的报酬。</w:t>
      </w:r>
    </w:p>
    <w:p>
      <w:pPr>
        <w:spacing w:before="1" w:line="360" w:lineRule="auto"/>
        <w:ind w:left="125" w:right="81" w:firstLine="42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第三十七条  当委托人认为监理人无正当理由而又未履行监理义务时，可向监理人发出指明其未履行 义务的通知。若委托人发出通知后21日内没有收到答复， 可在第一个通知发出后35日内发出终止委托 监理合同的通知，合同即行终止。监理人承担违约责任。</w:t>
      </w:r>
    </w:p>
    <w:p>
      <w:pPr>
        <w:spacing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第三十八条  合同协议的终止并不影响各方应有的权利和应当承担的责任。</w:t>
      </w:r>
    </w:p>
    <w:p>
      <w:pPr>
        <w:spacing w:before="216"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监理报酬</w:t>
      </w:r>
    </w:p>
    <w:p>
      <w:pPr>
        <w:spacing w:before="219" w:line="360" w:lineRule="auto"/>
        <w:ind w:left="125" w:right="81" w:firstLine="42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第三十九条  正常的监理工作、附加工作和额外工作的报酬，按照监理合同专用条件中第四十条的方 法计算，并按约定的时间和数额支付。</w:t>
      </w:r>
    </w:p>
    <w:p>
      <w:pPr>
        <w:spacing w:before="1" w:line="360" w:lineRule="auto"/>
        <w:ind w:left="125" w:right="79" w:firstLine="423"/>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第四十条  如果委托人在规定的支付期限内未支付监理报酬，自规定之日起，还应向监理人支付滞纳 金。滞纳金从规定支付期限最后一日起计算。</w:t>
      </w:r>
    </w:p>
    <w:p>
      <w:pPr>
        <w:spacing w:before="1"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第四十一条  支付监理报酬所采取的货币币种、汇率由合同专用条件约定。</w:t>
      </w:r>
    </w:p>
    <w:p>
      <w:pPr>
        <w:spacing w:before="219" w:line="360" w:lineRule="auto"/>
        <w:ind w:left="124" w:right="81" w:firstLine="425"/>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第四十二条  如果委托人对监理人提交的支付通知中报酬或部分报酬项目提出异议，应当在收到支付 通知书24小时内向监理人发出表示异议的通知， 但委托人不得拖延其他无异议报酬项目的支付。</w:t>
      </w:r>
    </w:p>
    <w:p>
      <w:pPr>
        <w:spacing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其他</w:t>
      </w:r>
    </w:p>
    <w:p>
      <w:pPr>
        <w:spacing w:before="218" w:line="360" w:lineRule="auto"/>
        <w:ind w:left="144" w:right="81" w:firstLine="404"/>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第四十三条  委托的建设工程监理所必要的监理人员出外考察、材料设备复试， 其费用支出经委托人 同意的，在预算范围内向委托人实报实销。</w:t>
      </w:r>
    </w:p>
    <w:p>
      <w:pPr>
        <w:spacing w:before="1" w:line="360" w:lineRule="auto"/>
        <w:ind w:left="149" w:right="16" w:firstLine="39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第四十四条  在监理业务范围内，如需聘用专家咨询或协助， 由监理人聘用的，其费用由监理人承担； 由委托人聘用的，其费用由委托人承担。</w:t>
      </w:r>
    </w:p>
    <w:p>
      <w:pPr>
        <w:spacing w:before="1" w:line="360" w:lineRule="auto"/>
        <w:ind w:left="125" w:right="81" w:firstLine="423"/>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第四十五条  监理人在监理工作过程中提出的合理化建议，使委托人得到了经济效益，委托人应按专 用条件中的约定给予经济奖励。</w:t>
      </w:r>
    </w:p>
    <w:p>
      <w:pPr>
        <w:spacing w:before="1" w:line="360" w:lineRule="auto"/>
        <w:ind w:left="125" w:right="81" w:firstLine="423"/>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第四十六条  监理人驻地监理机构及其职员不得接受监理工程项目施工承包人的任何报酬或者经济利 益。</w:t>
      </w:r>
    </w:p>
    <w:p>
      <w:pPr>
        <w:spacing w:before="1"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监理人不得参与可能与合同规定的与委托人的利益相冲突的任何活动。</w:t>
      </w:r>
    </w:p>
    <w:p>
      <w:pPr>
        <w:spacing w:before="218" w:line="360" w:lineRule="auto"/>
        <w:ind w:left="125" w:right="81" w:firstLine="423"/>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第四十七条  监理人在监理过程中，不得泄露委托人申明的秘密，监理人亦不得泄露设计人、承包人 等提供并申明的秘密。</w:t>
      </w:r>
    </w:p>
    <w:p>
      <w:pPr>
        <w:spacing w:before="1" w:line="360" w:lineRule="auto"/>
        <w:ind w:left="54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第四十八条  监理人对于由其编制的所有文件拥有版权， 委托人仅有权为本工程使用或复制此类文件。</w:t>
      </w:r>
    </w:p>
    <w:p>
      <w:pPr>
        <w:spacing w:before="217" w:line="360" w:lineRule="auto"/>
        <w:ind w:left="55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争议的解决</w:t>
      </w:r>
    </w:p>
    <w:p>
      <w:pPr>
        <w:spacing w:before="68" w:line="360" w:lineRule="auto"/>
        <w:ind w:left="127" w:firstLine="42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第四十九条  因违反或终止合同而引起的对对方损失和损害的赔偿，双方应当协商解决， 如未能达成 一致， 可提交主管部门协调， 如仍未能达成一致时，根据双方约定提交仲裁机关仲裁， 或向人民法院起诉。</w:t>
      </w:r>
    </w:p>
    <w:p>
      <w:pPr>
        <w:spacing w:line="360" w:lineRule="auto"/>
        <w:rPr>
          <w:rFonts w:hint="eastAsia" w:ascii="宋体" w:hAnsi="宋体" w:eastAsia="宋体" w:cs="宋体"/>
          <w:spacing w:val="4"/>
          <w:kern w:val="2"/>
          <w:sz w:val="24"/>
          <w:szCs w:val="24"/>
          <w:lang w:val="en-US" w:eastAsia="zh-CN" w:bidi="ar-SA"/>
        </w:rPr>
        <w:sectPr>
          <w:headerReference r:id="rId8" w:type="default"/>
          <w:footerReference r:id="rId9" w:type="default"/>
          <w:pgSz w:w="11907" w:h="16839"/>
          <w:pgMar w:top="1046" w:right="1000" w:bottom="1244" w:left="964" w:header="805" w:footer="894" w:gutter="0"/>
          <w:cols w:space="720" w:num="1"/>
        </w:sectPr>
      </w:pPr>
    </w:p>
    <w:p>
      <w:pPr>
        <w:spacing w:line="360" w:lineRule="auto"/>
        <w:rPr>
          <w:rFonts w:hint="eastAsia" w:ascii="宋体" w:hAnsi="宋体" w:eastAsia="宋体" w:cs="宋体"/>
          <w:spacing w:val="4"/>
          <w:kern w:val="2"/>
          <w:sz w:val="24"/>
          <w:szCs w:val="24"/>
          <w:lang w:val="en-US" w:eastAsia="zh-CN" w:bidi="ar-SA"/>
        </w:rPr>
      </w:pPr>
      <w:bookmarkStart w:id="77" w:name="_bookmark56"/>
      <w:bookmarkEnd w:id="77"/>
    </w:p>
    <w:p>
      <w:pPr>
        <w:spacing w:before="68" w:line="360" w:lineRule="auto"/>
        <w:ind w:left="140"/>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附件 A：</w:t>
      </w:r>
    </w:p>
    <w:p>
      <w:pPr>
        <w:spacing w:before="219" w:line="360" w:lineRule="auto"/>
        <w:ind w:left="127" w:right="24" w:firstLine="560"/>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__________建设工程建设监理的主要内容是控制工程建设的投资、工程质量、安全和建设工期， 并进 行工程建设合同管理和信息管理，协调有关单位间的工作关系。监理单位受项目法人委托服务范围如下：</w:t>
      </w:r>
    </w:p>
    <w:p>
      <w:pPr>
        <w:spacing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1.施工监理</w:t>
      </w:r>
    </w:p>
    <w:p>
      <w:pPr>
        <w:spacing w:before="213"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1.1 参与分项、分部工程、关键工序和隐蔽工程的质量检查和验收；</w:t>
      </w:r>
    </w:p>
    <w:p>
      <w:pPr>
        <w:spacing w:before="216"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1.2 审查施工单位选择的分包单位、试验单位的资质并认可；</w:t>
      </w:r>
    </w:p>
    <w:p>
      <w:pPr>
        <w:spacing w:before="217"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1.3 审查施工单位提交的施工组织设计， 施工技术方案、施工质量保证措施、安全文明施工措施；</w:t>
      </w:r>
    </w:p>
    <w:p>
      <w:pPr>
        <w:spacing w:before="216"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1.4 核查网络计划， 并组织协调实施 ；</w:t>
      </w:r>
    </w:p>
    <w:p>
      <w:pPr>
        <w:spacing w:before="218"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1.5 审查施工单位开工申请报告；</w:t>
      </w:r>
    </w:p>
    <w:p>
      <w:pPr>
        <w:spacing w:before="218"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1.6 审查施工单位质保体系和质保手册并监督实施；</w:t>
      </w:r>
    </w:p>
    <w:p>
      <w:pPr>
        <w:spacing w:before="217"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1.7 检查现场施工人员中特殊工种持证上岗情况；</w:t>
      </w:r>
    </w:p>
    <w:p>
      <w:pPr>
        <w:spacing w:before="217"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1.8 检查施工现场原材料、构件的采购、入库、保管、领用等管理制度及其执行情况；</w:t>
      </w:r>
    </w:p>
    <w:p>
      <w:pPr>
        <w:spacing w:before="217"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1.9 参加主要设备的现场开箱检查。对设备保管提出监理意见；</w:t>
      </w:r>
    </w:p>
    <w:p>
      <w:pPr>
        <w:spacing w:before="217"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1.10 遇到威胁安全的重大问题时，有权下达“暂停施工”的通知， 并通报业主；</w:t>
      </w:r>
    </w:p>
    <w:p>
      <w:pPr>
        <w:spacing w:before="217"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1.11 审查施工单位工程结算书。工程付款必须有总监理工程师签字；</w:t>
      </w:r>
    </w:p>
    <w:p>
      <w:pPr>
        <w:spacing w:before="217"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1.12 监督施工合同的履行，维护业主和施工单位的正当权益；</w:t>
      </w:r>
    </w:p>
    <w:p>
      <w:pPr>
        <w:spacing w:before="218"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1.13 当发现工程设计不符合国家颁布的建设工程质量标准时， 应书面报告业主并提出建议；</w:t>
      </w:r>
    </w:p>
    <w:p>
      <w:pPr>
        <w:spacing w:before="218"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1.14 协助业主办理规划、报建、质量监督等与工程相关的所有手续；</w:t>
      </w:r>
    </w:p>
    <w:p>
      <w:pPr>
        <w:spacing w:before="217" w:line="360" w:lineRule="auto"/>
        <w:ind w:left="711"/>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1.15 协助业主办理竣工结算和保修阶段发生的有关事项。</w:t>
      </w:r>
    </w:p>
    <w:p>
      <w:pPr>
        <w:spacing w:before="217" w:line="360" w:lineRule="auto"/>
        <w:ind w:left="698"/>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2.监理资料的整理</w:t>
      </w:r>
    </w:p>
    <w:p>
      <w:pPr>
        <w:spacing w:before="216" w:line="360" w:lineRule="auto"/>
        <w:ind w:left="697"/>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编制整理监理工作的各种文件、通知、记录、检测资料、图纸等， 合同完成或终止时移交给业主。</w:t>
      </w:r>
    </w:p>
    <w:p>
      <w:pPr>
        <w:spacing w:line="460" w:lineRule="exact"/>
        <w:rPr>
          <w:rFonts w:hint="eastAsia" w:ascii="宋体" w:hAnsi="宋体" w:eastAsia="宋体" w:cs="宋体"/>
          <w:spacing w:val="4"/>
          <w:kern w:val="2"/>
          <w:sz w:val="24"/>
          <w:szCs w:val="24"/>
          <w:lang w:val="en-US" w:eastAsia="zh-CN" w:bidi="ar-SA"/>
        </w:rPr>
      </w:pPr>
    </w:p>
    <w:p>
      <w:pPr>
        <w:pStyle w:val="2"/>
        <w:adjustRightInd w:val="0"/>
        <w:snapToGrid w:val="0"/>
        <w:spacing w:after="0" w:line="360" w:lineRule="auto"/>
        <w:ind w:left="0" w:leftChars="0"/>
        <w:rPr>
          <w:rFonts w:hint="eastAsia" w:ascii="宋体" w:hAnsi="宋体" w:eastAsia="宋体" w:cs="宋体"/>
          <w:spacing w:val="4"/>
          <w:kern w:val="2"/>
          <w:sz w:val="24"/>
          <w:szCs w:val="24"/>
          <w:lang w:val="zh-CN" w:eastAsia="zh-CN" w:bidi="ar-SA"/>
        </w:rPr>
      </w:pPr>
    </w:p>
    <w:p>
      <w:pPr>
        <w:pStyle w:val="25"/>
        <w:adjustRightInd w:val="0"/>
        <w:snapToGrid w:val="0"/>
        <w:spacing w:line="360" w:lineRule="auto"/>
        <w:ind w:firstLine="0" w:firstLineChars="0"/>
        <w:rPr>
          <w:rFonts w:hint="eastAsia" w:ascii="宋体" w:hAnsi="宋体" w:eastAsia="宋体" w:cs="宋体"/>
          <w:spacing w:val="4"/>
          <w:kern w:val="2"/>
          <w:sz w:val="24"/>
          <w:szCs w:val="24"/>
          <w:lang w:val="en-US" w:eastAsia="zh-CN" w:bidi="ar-SA"/>
        </w:rPr>
      </w:pPr>
    </w:p>
    <w:p>
      <w:pPr>
        <w:rPr>
          <w:rFonts w:cs="仿宋_GB2312"/>
          <w:color w:val="000000" w:themeColor="text1"/>
          <w:sz w:val="24"/>
          <w:szCs w:val="24"/>
          <w14:textFill>
            <w14:solidFill>
              <w14:schemeClr w14:val="tx1"/>
            </w14:solidFill>
          </w14:textFill>
        </w:rPr>
      </w:pPr>
    </w:p>
    <w:p>
      <w:pPr>
        <w:pStyle w:val="10"/>
        <w:rPr>
          <w:rFonts w:cs="仿宋_GB2312"/>
          <w:color w:val="000000" w:themeColor="text1"/>
          <w:sz w:val="24"/>
          <w:szCs w:val="24"/>
          <w14:textFill>
            <w14:solidFill>
              <w14:schemeClr w14:val="tx1"/>
            </w14:solidFill>
          </w14:textFill>
        </w:rPr>
      </w:pPr>
    </w:p>
    <w:p>
      <w:pPr>
        <w:rPr>
          <w:rFonts w:cs="仿宋_GB2312"/>
          <w:color w:val="000000" w:themeColor="text1"/>
          <w:sz w:val="24"/>
          <w:szCs w:val="24"/>
          <w14:textFill>
            <w14:solidFill>
              <w14:schemeClr w14:val="tx1"/>
            </w14:solidFill>
          </w14:textFill>
        </w:rPr>
      </w:pPr>
    </w:p>
    <w:p>
      <w:pPr>
        <w:pStyle w:val="10"/>
        <w:rPr>
          <w:rFonts w:cs="仿宋_GB2312"/>
          <w:color w:val="000000" w:themeColor="text1"/>
          <w:sz w:val="24"/>
          <w:szCs w:val="24"/>
          <w14:textFill>
            <w14:solidFill>
              <w14:schemeClr w14:val="tx1"/>
            </w14:solidFill>
          </w14:textFill>
        </w:rPr>
      </w:pPr>
    </w:p>
    <w:p>
      <w:pPr>
        <w:rPr>
          <w:rFonts w:cs="仿宋_GB2312"/>
          <w:color w:val="000000" w:themeColor="text1"/>
          <w:sz w:val="24"/>
          <w:szCs w:val="24"/>
          <w14:textFill>
            <w14:solidFill>
              <w14:schemeClr w14:val="tx1"/>
            </w14:solidFill>
          </w14:textFill>
        </w:rPr>
      </w:pPr>
    </w:p>
    <w:p>
      <w:pPr>
        <w:pStyle w:val="10"/>
        <w:rPr>
          <w:rFonts w:cs="仿宋_GB2312"/>
          <w:color w:val="000000" w:themeColor="text1"/>
          <w:sz w:val="24"/>
          <w:szCs w:val="24"/>
          <w14:textFill>
            <w14:solidFill>
              <w14:schemeClr w14:val="tx1"/>
            </w14:solidFill>
          </w14:textFill>
        </w:rPr>
      </w:pPr>
    </w:p>
    <w:p>
      <w:pPr>
        <w:rPr>
          <w:rFonts w:cs="仿宋_GB2312"/>
          <w:color w:val="000000" w:themeColor="text1"/>
          <w:sz w:val="24"/>
          <w:szCs w:val="24"/>
          <w14:textFill>
            <w14:solidFill>
              <w14:schemeClr w14:val="tx1"/>
            </w14:solidFill>
          </w14:textFill>
        </w:rPr>
      </w:pPr>
    </w:p>
    <w:p>
      <w:pPr>
        <w:pStyle w:val="10"/>
        <w:rPr>
          <w:rFonts w:cs="仿宋_GB2312"/>
          <w:color w:val="000000" w:themeColor="text1"/>
          <w:sz w:val="24"/>
          <w:szCs w:val="24"/>
          <w14:textFill>
            <w14:solidFill>
              <w14:schemeClr w14:val="tx1"/>
            </w14:solidFill>
          </w14:textFill>
        </w:rPr>
      </w:pPr>
    </w:p>
    <w:p>
      <w:pPr>
        <w:rPr>
          <w:rFonts w:cs="仿宋_GB2312"/>
          <w:color w:val="000000" w:themeColor="text1"/>
          <w:sz w:val="24"/>
          <w:szCs w:val="24"/>
          <w14:textFill>
            <w14:solidFill>
              <w14:schemeClr w14:val="tx1"/>
            </w14:solidFill>
          </w14:textFill>
        </w:rPr>
      </w:pPr>
    </w:p>
    <w:p>
      <w:pPr>
        <w:pStyle w:val="10"/>
        <w:rPr>
          <w:rFonts w:cs="仿宋_GB2312"/>
          <w:color w:val="000000" w:themeColor="text1"/>
          <w:sz w:val="24"/>
          <w:szCs w:val="24"/>
          <w14:textFill>
            <w14:solidFill>
              <w14:schemeClr w14:val="tx1"/>
            </w14:solidFill>
          </w14:textFill>
        </w:rPr>
      </w:pPr>
    </w:p>
    <w:p>
      <w:pPr>
        <w:rPr>
          <w:rFonts w:cs="仿宋_GB2312"/>
          <w:color w:val="000000" w:themeColor="text1"/>
          <w:sz w:val="24"/>
          <w:szCs w:val="24"/>
          <w14:textFill>
            <w14:solidFill>
              <w14:schemeClr w14:val="tx1"/>
            </w14:solidFill>
          </w14:textFill>
        </w:rPr>
      </w:pPr>
    </w:p>
    <w:p>
      <w:pPr>
        <w:pStyle w:val="10"/>
        <w:rPr>
          <w:rFonts w:cs="仿宋_GB2312"/>
          <w:color w:val="000000" w:themeColor="text1"/>
          <w:sz w:val="24"/>
          <w:szCs w:val="24"/>
          <w14:textFill>
            <w14:solidFill>
              <w14:schemeClr w14:val="tx1"/>
            </w14:solidFill>
          </w14:textFill>
        </w:rPr>
      </w:pPr>
    </w:p>
    <w:p>
      <w:pPr>
        <w:rPr>
          <w:rFonts w:cs="仿宋_GB2312"/>
          <w:color w:val="000000" w:themeColor="text1"/>
          <w:sz w:val="24"/>
          <w:szCs w:val="24"/>
          <w14:textFill>
            <w14:solidFill>
              <w14:schemeClr w14:val="tx1"/>
            </w14:solidFill>
          </w14:textFill>
        </w:rPr>
      </w:pPr>
    </w:p>
    <w:p>
      <w:pPr>
        <w:pStyle w:val="10"/>
        <w:rPr>
          <w:rFonts w:cs="仿宋_GB2312"/>
          <w:color w:val="000000" w:themeColor="text1"/>
          <w:sz w:val="24"/>
          <w:szCs w:val="24"/>
          <w14:textFill>
            <w14:solidFill>
              <w14:schemeClr w14:val="tx1"/>
            </w14:solidFill>
          </w14:textFill>
        </w:rPr>
      </w:pPr>
    </w:p>
    <w:p>
      <w:pPr>
        <w:rPr>
          <w:rFonts w:cs="仿宋_GB2312"/>
          <w:color w:val="000000" w:themeColor="text1"/>
          <w:sz w:val="24"/>
          <w:szCs w:val="24"/>
          <w14:textFill>
            <w14:solidFill>
              <w14:schemeClr w14:val="tx1"/>
            </w14:solidFill>
          </w14:textFill>
        </w:rPr>
      </w:pPr>
    </w:p>
    <w:p>
      <w:pPr>
        <w:pStyle w:val="10"/>
        <w:rPr>
          <w:rFonts w:cs="仿宋_GB2312"/>
          <w:color w:val="000000" w:themeColor="text1"/>
          <w:sz w:val="24"/>
          <w:szCs w:val="24"/>
          <w14:textFill>
            <w14:solidFill>
              <w14:schemeClr w14:val="tx1"/>
            </w14:solidFill>
          </w14:textFill>
        </w:rPr>
      </w:pPr>
    </w:p>
    <w:p>
      <w:pPr>
        <w:rPr>
          <w:rFonts w:cs="仿宋_GB2312"/>
          <w:color w:val="000000" w:themeColor="text1"/>
          <w:sz w:val="24"/>
          <w:szCs w:val="24"/>
          <w14:textFill>
            <w14:solidFill>
              <w14:schemeClr w14:val="tx1"/>
            </w14:solidFill>
          </w14:textFill>
        </w:rPr>
      </w:pPr>
    </w:p>
    <w:p>
      <w:pPr>
        <w:pStyle w:val="10"/>
        <w:rPr>
          <w:rFonts w:cs="仿宋_GB2312"/>
          <w:color w:val="000000" w:themeColor="text1"/>
          <w:sz w:val="24"/>
          <w:szCs w:val="24"/>
          <w14:textFill>
            <w14:solidFill>
              <w14:schemeClr w14:val="tx1"/>
            </w14:solidFill>
          </w14:textFill>
        </w:rPr>
      </w:pPr>
    </w:p>
    <w:p>
      <w:pPr>
        <w:rPr>
          <w:rFonts w:cs="仿宋_GB2312"/>
          <w:color w:val="000000" w:themeColor="text1"/>
          <w:sz w:val="24"/>
          <w:szCs w:val="24"/>
          <w14:textFill>
            <w14:solidFill>
              <w14:schemeClr w14:val="tx1"/>
            </w14:solidFill>
          </w14:textFill>
        </w:rPr>
      </w:pPr>
    </w:p>
    <w:p>
      <w:pPr>
        <w:pStyle w:val="10"/>
        <w:rPr>
          <w:rFonts w:cs="仿宋_GB2312"/>
          <w:color w:val="000000" w:themeColor="text1"/>
          <w:sz w:val="24"/>
          <w:szCs w:val="24"/>
          <w14:textFill>
            <w14:solidFill>
              <w14:schemeClr w14:val="tx1"/>
            </w14:solidFill>
          </w14:textFill>
        </w:rPr>
      </w:pPr>
    </w:p>
    <w:p>
      <w:pPr>
        <w:rPr>
          <w:rFonts w:cs="仿宋_GB2312"/>
          <w:color w:val="000000" w:themeColor="text1"/>
          <w:sz w:val="24"/>
          <w:szCs w:val="24"/>
          <w14:textFill>
            <w14:solidFill>
              <w14:schemeClr w14:val="tx1"/>
            </w14:solidFill>
          </w14:textFill>
        </w:rPr>
      </w:pPr>
    </w:p>
    <w:p>
      <w:pPr>
        <w:pStyle w:val="10"/>
        <w:rPr>
          <w:rFonts w:cs="仿宋_GB2312"/>
          <w:color w:val="000000" w:themeColor="text1"/>
          <w:sz w:val="24"/>
          <w:szCs w:val="24"/>
          <w14:textFill>
            <w14:solidFill>
              <w14:schemeClr w14:val="tx1"/>
            </w14:solidFill>
          </w14:textFill>
        </w:rPr>
      </w:pPr>
    </w:p>
    <w:p/>
    <w:p>
      <w:pPr>
        <w:rPr>
          <w:rFonts w:cs="仿宋_GB2312"/>
          <w:color w:val="000000" w:themeColor="text1"/>
          <w:sz w:val="24"/>
          <w:szCs w:val="24"/>
          <w14:textFill>
            <w14:solidFill>
              <w14:schemeClr w14:val="tx1"/>
            </w14:solidFill>
          </w14:textFill>
        </w:rPr>
      </w:pPr>
    </w:p>
    <w:p>
      <w:pPr>
        <w:pStyle w:val="10"/>
        <w:rPr>
          <w:rFonts w:cs="仿宋_GB2312"/>
          <w:color w:val="000000" w:themeColor="text1"/>
          <w:sz w:val="24"/>
          <w:szCs w:val="24"/>
          <w14:textFill>
            <w14:solidFill>
              <w14:schemeClr w14:val="tx1"/>
            </w14:solidFill>
          </w14:textFill>
        </w:rPr>
      </w:pPr>
    </w:p>
    <w:p>
      <w:pPr>
        <w:rPr>
          <w:rFonts w:cs="仿宋_GB2312"/>
          <w:color w:val="000000" w:themeColor="text1"/>
          <w:sz w:val="24"/>
          <w:szCs w:val="24"/>
          <w14:textFill>
            <w14:solidFill>
              <w14:schemeClr w14:val="tx1"/>
            </w14:solidFill>
          </w14:textFill>
        </w:rPr>
      </w:pPr>
    </w:p>
    <w:bookmarkEnd w:id="68"/>
    <w:bookmarkEnd w:id="69"/>
    <w:bookmarkEnd w:id="70"/>
    <w:bookmarkEnd w:id="71"/>
    <w:bookmarkEnd w:id="72"/>
    <w:bookmarkEnd w:id="73"/>
    <w:bookmarkEnd w:id="74"/>
    <w:bookmarkEnd w:id="75"/>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rPr>
          <w:rFonts w:hint="eastAsia" w:ascii="Times New Roman" w:hAnsi="Times New Roman" w:cs="Times New Roman"/>
          <w:color w:val="auto"/>
          <w:highlight w:val="none"/>
          <w:lang w:val="en-US" w:eastAsia="zh-CN"/>
        </w:rPr>
      </w:pPr>
      <w:bookmarkStart w:id="78" w:name="_Toc15798"/>
      <w:bookmarkStart w:id="79" w:name="_Toc12329"/>
      <w:bookmarkStart w:id="80" w:name="_Toc25058"/>
      <w:bookmarkStart w:id="81" w:name="_Toc12910"/>
      <w:bookmarkStart w:id="82" w:name="_Toc18017"/>
      <w:bookmarkStart w:id="83" w:name="_Toc32103"/>
      <w:bookmarkStart w:id="84" w:name="_Toc23643"/>
      <w:r>
        <w:rPr>
          <w:rFonts w:hint="eastAsia" w:ascii="Times New Roman" w:hAnsi="Times New Roman" w:cs="Times New Roman"/>
          <w:color w:val="auto"/>
          <w:highlight w:val="none"/>
          <w:lang w:val="en-US" w:eastAsia="zh-CN"/>
        </w:rPr>
        <w:t xml:space="preserve">第四章 </w:t>
      </w:r>
      <w:bookmarkEnd w:id="78"/>
      <w:bookmarkEnd w:id="79"/>
      <w:r>
        <w:rPr>
          <w:rFonts w:hint="eastAsia" w:ascii="Times New Roman" w:hAnsi="Times New Roman" w:cs="Times New Roman"/>
          <w:color w:val="auto"/>
          <w:highlight w:val="none"/>
          <w:lang w:val="en-US" w:eastAsia="zh-CN"/>
        </w:rPr>
        <w:t>技术要求及规范</w:t>
      </w:r>
      <w:bookmarkEnd w:id="80"/>
      <w:bookmarkEnd w:id="81"/>
      <w:bookmarkEnd w:id="82"/>
      <w:bookmarkStart w:id="85" w:name="_Toc6112"/>
    </w:p>
    <w:p>
      <w:pPr>
        <w:pStyle w:val="15"/>
        <w:spacing w:before="174" w:beforeLines="50" w:line="440" w:lineRule="exact"/>
        <w:ind w:firstLine="496" w:firstLineChars="200"/>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1.1 本工程适用现行国家、行业和地方规范、标准和规程。构成合同文件的任何内容与适用的规范、标准和规程之间出现矛盾，监理人应书面要求发包人予以澄清，除发包人有特别指示外，监理人应按照最严格的标准执行。</w:t>
      </w:r>
    </w:p>
    <w:p>
      <w:pPr>
        <w:pStyle w:val="15"/>
        <w:spacing w:before="174" w:beforeLines="50" w:line="440" w:lineRule="exact"/>
        <w:ind w:firstLine="496" w:firstLineChars="200"/>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1.2 除合同另有约定外，材料、施工工艺和本工程都应依照本技术标准和要求以及适用的现行规范、标准和规程的最新版本执行。若适用的现行规范、标准和规程的最新版本是在基准日后颁布的，且相应标准发生变更并成为合同文件中最严格的标准。</w:t>
      </w:r>
    </w:p>
    <w:p>
      <w:pPr>
        <w:pStyle w:val="15"/>
        <w:spacing w:before="174" w:beforeLines="50" w:line="440" w:lineRule="exact"/>
        <w:ind w:firstLine="496" w:firstLineChars="200"/>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2.施工、监理及验收规范</w:t>
      </w:r>
    </w:p>
    <w:p>
      <w:pPr>
        <w:pStyle w:val="15"/>
        <w:spacing w:before="174" w:beforeLines="50" w:line="440" w:lineRule="exact"/>
        <w:ind w:firstLine="496" w:firstLineChars="200"/>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本工程执行国家现行的与本工程有关的施工、监理及验收规范、标准图集、图纸设计等。</w:t>
      </w:r>
    </w:p>
    <w:p>
      <w:pPr>
        <w:pStyle w:val="15"/>
        <w:spacing w:before="174" w:beforeLines="50" w:line="440" w:lineRule="exact"/>
        <w:ind w:firstLine="496" w:firstLineChars="200"/>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3.主要质量检验评定标准</w:t>
      </w:r>
    </w:p>
    <w:p>
      <w:pPr>
        <w:pStyle w:val="15"/>
        <w:spacing w:before="174" w:beforeLines="50" w:line="440" w:lineRule="exact"/>
        <w:ind w:firstLine="496" w:firstLineChars="200"/>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本工程执行国家现行的与本工程有关的质量检验评定标准</w:t>
      </w:r>
      <w:r>
        <w:rPr>
          <w:rFonts w:hint="eastAsia" w:hAnsi="宋体" w:cs="宋体"/>
          <w:spacing w:val="4"/>
          <w:kern w:val="2"/>
          <w:sz w:val="24"/>
          <w:szCs w:val="24"/>
          <w:lang w:val="en-US" w:eastAsia="zh-CN" w:bidi="ar-SA"/>
        </w:rPr>
        <w:t>。</w:t>
      </w:r>
    </w:p>
    <w:p>
      <w:pPr>
        <w:keepNext w:val="0"/>
        <w:keepLines w:val="0"/>
        <w:pageBreakBefore w:val="0"/>
        <w:kinsoku/>
        <w:wordWrap/>
        <w:overflowPunct/>
        <w:topLinePunct w:val="0"/>
        <w:bidi w:val="0"/>
        <w:snapToGrid/>
        <w:spacing w:line="360" w:lineRule="auto"/>
        <w:rPr>
          <w:rFonts w:hint="eastAsia" w:ascii="宋体" w:hAnsi="宋体" w:cs="宋体"/>
          <w:spacing w:val="4"/>
          <w:kern w:val="2"/>
          <w:sz w:val="24"/>
          <w:szCs w:val="24"/>
          <w:lang w:val="en-US" w:eastAsia="zh-CN" w:bidi="ar-SA"/>
        </w:rPr>
      </w:pPr>
      <w:r>
        <w:rPr>
          <w:rFonts w:hint="eastAsia" w:ascii="宋体" w:hAnsi="宋体" w:cs="宋体"/>
          <w:spacing w:val="4"/>
          <w:kern w:val="2"/>
          <w:sz w:val="24"/>
          <w:szCs w:val="24"/>
          <w:lang w:val="en-US" w:eastAsia="zh-CN" w:bidi="ar-SA"/>
        </w:rPr>
        <w:t xml:space="preserve">   </w:t>
      </w:r>
    </w:p>
    <w:p>
      <w:pPr>
        <w:pStyle w:val="10"/>
        <w:rPr>
          <w:rFonts w:hint="eastAsia" w:ascii="宋体" w:hAnsi="宋体" w:cs="宋体"/>
          <w:spacing w:val="4"/>
          <w:kern w:val="2"/>
          <w:sz w:val="24"/>
          <w:szCs w:val="24"/>
          <w:lang w:val="en-US" w:eastAsia="zh-CN" w:bidi="ar-SA"/>
        </w:rPr>
      </w:pPr>
    </w:p>
    <w:p>
      <w:pPr>
        <w:rPr>
          <w:rFonts w:hint="eastAsia" w:ascii="宋体" w:hAnsi="宋体" w:cs="宋体"/>
          <w:spacing w:val="4"/>
          <w:kern w:val="2"/>
          <w:sz w:val="24"/>
          <w:szCs w:val="24"/>
          <w:lang w:val="en-US" w:eastAsia="zh-CN" w:bidi="ar-SA"/>
        </w:rPr>
      </w:pPr>
    </w:p>
    <w:p>
      <w:pPr>
        <w:pStyle w:val="10"/>
        <w:rPr>
          <w:rFonts w:hint="eastAsia" w:ascii="宋体" w:hAnsi="宋体" w:cs="宋体"/>
          <w:spacing w:val="4"/>
          <w:kern w:val="2"/>
          <w:sz w:val="24"/>
          <w:szCs w:val="24"/>
          <w:lang w:val="en-US" w:eastAsia="zh-CN" w:bidi="ar-SA"/>
        </w:rPr>
      </w:pPr>
    </w:p>
    <w:p>
      <w:pPr>
        <w:rPr>
          <w:rFonts w:hint="eastAsia" w:ascii="宋体" w:hAnsi="宋体" w:cs="宋体"/>
          <w:spacing w:val="4"/>
          <w:kern w:val="2"/>
          <w:sz w:val="24"/>
          <w:szCs w:val="24"/>
          <w:lang w:val="en-US" w:eastAsia="zh-CN" w:bidi="ar-SA"/>
        </w:rPr>
      </w:pPr>
    </w:p>
    <w:p>
      <w:pPr>
        <w:pStyle w:val="10"/>
        <w:rPr>
          <w:rFonts w:hint="eastAsia" w:ascii="宋体" w:hAnsi="宋体" w:cs="宋体"/>
          <w:spacing w:val="4"/>
          <w:kern w:val="2"/>
          <w:sz w:val="24"/>
          <w:szCs w:val="24"/>
          <w:lang w:val="en-US" w:eastAsia="zh-CN" w:bidi="ar-SA"/>
        </w:rPr>
      </w:pPr>
    </w:p>
    <w:p>
      <w:pPr>
        <w:rPr>
          <w:rFonts w:hint="eastAsia" w:ascii="宋体" w:hAnsi="宋体" w:cs="宋体"/>
          <w:spacing w:val="4"/>
          <w:kern w:val="2"/>
          <w:sz w:val="24"/>
          <w:szCs w:val="24"/>
          <w:lang w:val="en-US" w:eastAsia="zh-CN" w:bidi="ar-SA"/>
        </w:rPr>
      </w:pPr>
    </w:p>
    <w:p>
      <w:pPr>
        <w:pStyle w:val="10"/>
        <w:rPr>
          <w:rFonts w:hint="eastAsia" w:ascii="宋体" w:hAnsi="宋体" w:cs="宋体"/>
          <w:spacing w:val="4"/>
          <w:kern w:val="2"/>
          <w:sz w:val="24"/>
          <w:szCs w:val="24"/>
          <w:lang w:val="en-US" w:eastAsia="zh-CN" w:bidi="ar-SA"/>
        </w:rPr>
      </w:pPr>
    </w:p>
    <w:p>
      <w:pPr>
        <w:rPr>
          <w:rFonts w:hint="eastAsia" w:ascii="宋体" w:hAnsi="宋体" w:cs="宋体"/>
          <w:spacing w:val="4"/>
          <w:kern w:val="2"/>
          <w:sz w:val="24"/>
          <w:szCs w:val="24"/>
          <w:lang w:val="en-US" w:eastAsia="zh-CN" w:bidi="ar-SA"/>
        </w:rPr>
      </w:pPr>
    </w:p>
    <w:p>
      <w:pPr>
        <w:pStyle w:val="10"/>
        <w:rPr>
          <w:rFonts w:hint="eastAsia" w:ascii="宋体" w:hAnsi="宋体" w:cs="宋体"/>
          <w:spacing w:val="4"/>
          <w:kern w:val="2"/>
          <w:sz w:val="24"/>
          <w:szCs w:val="24"/>
          <w:lang w:val="en-US" w:eastAsia="zh-CN" w:bidi="ar-SA"/>
        </w:rPr>
      </w:pPr>
    </w:p>
    <w:p>
      <w:pPr>
        <w:rPr>
          <w:rFonts w:hint="eastAsia" w:ascii="宋体" w:hAnsi="宋体" w:cs="宋体"/>
          <w:spacing w:val="4"/>
          <w:kern w:val="2"/>
          <w:sz w:val="24"/>
          <w:szCs w:val="24"/>
          <w:lang w:val="en-US" w:eastAsia="zh-CN" w:bidi="ar-SA"/>
        </w:rPr>
      </w:pPr>
    </w:p>
    <w:p>
      <w:pPr>
        <w:pStyle w:val="10"/>
        <w:rPr>
          <w:rFonts w:hint="eastAsia" w:ascii="宋体" w:hAnsi="宋体" w:cs="宋体"/>
          <w:spacing w:val="4"/>
          <w:kern w:val="2"/>
          <w:sz w:val="24"/>
          <w:szCs w:val="24"/>
          <w:lang w:val="en-US" w:eastAsia="zh-CN" w:bidi="ar-SA"/>
        </w:rPr>
      </w:pPr>
    </w:p>
    <w:p>
      <w:pPr>
        <w:rPr>
          <w:rFonts w:hint="eastAsia" w:ascii="宋体" w:hAnsi="宋体" w:cs="宋体"/>
          <w:spacing w:val="4"/>
          <w:kern w:val="2"/>
          <w:sz w:val="24"/>
          <w:szCs w:val="24"/>
          <w:lang w:val="en-US" w:eastAsia="zh-CN" w:bidi="ar-SA"/>
        </w:rPr>
      </w:pPr>
    </w:p>
    <w:p>
      <w:pPr>
        <w:pStyle w:val="10"/>
        <w:rPr>
          <w:rFonts w:hint="eastAsia" w:ascii="宋体" w:hAnsi="宋体" w:cs="宋体"/>
          <w:spacing w:val="4"/>
          <w:kern w:val="2"/>
          <w:sz w:val="24"/>
          <w:szCs w:val="24"/>
          <w:lang w:val="en-US" w:eastAsia="zh-CN" w:bidi="ar-SA"/>
        </w:rPr>
      </w:pPr>
    </w:p>
    <w:p>
      <w:pPr>
        <w:rPr>
          <w:rFonts w:hint="eastAsia" w:ascii="宋体" w:hAnsi="宋体" w:cs="宋体"/>
          <w:spacing w:val="4"/>
          <w:kern w:val="2"/>
          <w:sz w:val="24"/>
          <w:szCs w:val="24"/>
          <w:lang w:val="en-US" w:eastAsia="zh-CN" w:bidi="ar-SA"/>
        </w:rPr>
      </w:pPr>
    </w:p>
    <w:p>
      <w:pPr>
        <w:pStyle w:val="10"/>
        <w:rPr>
          <w:rFonts w:hint="eastAsia" w:ascii="宋体" w:hAnsi="宋体" w:cs="宋体"/>
          <w:spacing w:val="4"/>
          <w:kern w:val="2"/>
          <w:sz w:val="24"/>
          <w:szCs w:val="24"/>
          <w:lang w:val="en-US" w:eastAsia="zh-CN" w:bidi="ar-SA"/>
        </w:rPr>
      </w:pPr>
    </w:p>
    <w:p>
      <w:pPr>
        <w:rPr>
          <w:rFonts w:hint="eastAsia" w:ascii="宋体" w:hAnsi="宋体" w:cs="宋体"/>
          <w:spacing w:val="4"/>
          <w:kern w:val="2"/>
          <w:sz w:val="24"/>
          <w:szCs w:val="24"/>
          <w:lang w:val="en-US" w:eastAsia="zh-CN" w:bidi="ar-SA"/>
        </w:rPr>
      </w:pPr>
    </w:p>
    <w:p>
      <w:pPr>
        <w:pStyle w:val="10"/>
        <w:rPr>
          <w:rFonts w:hint="eastAsia" w:ascii="宋体" w:hAnsi="宋体" w:cs="宋体"/>
          <w:spacing w:val="4"/>
          <w:kern w:val="2"/>
          <w:sz w:val="24"/>
          <w:szCs w:val="24"/>
          <w:lang w:val="en-US" w:eastAsia="zh-CN" w:bidi="ar-SA"/>
        </w:rPr>
      </w:pPr>
    </w:p>
    <w:p>
      <w:pPr>
        <w:rPr>
          <w:rFonts w:hint="eastAsia" w:ascii="宋体" w:hAnsi="宋体" w:cs="宋体"/>
          <w:spacing w:val="4"/>
          <w:kern w:val="2"/>
          <w:sz w:val="24"/>
          <w:szCs w:val="24"/>
          <w:lang w:val="en-US" w:eastAsia="zh-CN" w:bidi="ar-SA"/>
        </w:rPr>
      </w:pPr>
    </w:p>
    <w:p>
      <w:pPr>
        <w:pStyle w:val="3"/>
        <w:keepNext/>
        <w:keepLines/>
        <w:pageBreakBefore w:val="0"/>
        <w:widowControl w:val="0"/>
        <w:numPr>
          <w:ilvl w:val="0"/>
          <w:numId w:val="3"/>
        </w:numPr>
        <w:kinsoku/>
        <w:wordWrap/>
        <w:overflowPunct/>
        <w:topLinePunct w:val="0"/>
        <w:autoSpaceDE/>
        <w:autoSpaceDN/>
        <w:bidi w:val="0"/>
        <w:adjustRightInd/>
        <w:snapToGrid/>
        <w:spacing w:before="0" w:after="0" w:line="360" w:lineRule="auto"/>
        <w:jc w:val="center"/>
        <w:textAlignment w:val="auto"/>
        <w:rPr>
          <w:rFonts w:hint="eastAsia" w:ascii="Times New Roman" w:hAnsi="Times New Roman" w:cs="Times New Roman"/>
          <w:color w:val="auto"/>
          <w:highlight w:val="none"/>
          <w:lang w:val="en-US" w:eastAsia="zh-CN"/>
        </w:rPr>
      </w:pPr>
      <w:bookmarkStart w:id="86" w:name="_Toc4527"/>
      <w:bookmarkStart w:id="87" w:name="_Toc4807"/>
      <w:bookmarkStart w:id="88" w:name="_Toc6554"/>
      <w:bookmarkStart w:id="89" w:name="_Toc12710"/>
      <w:bookmarkStart w:id="90" w:name="_Toc18142"/>
      <w:r>
        <w:rPr>
          <w:rFonts w:hint="eastAsia" w:ascii="Times New Roman" w:hAnsi="Times New Roman" w:cs="Times New Roman"/>
          <w:color w:val="auto"/>
          <w:highlight w:val="none"/>
          <w:lang w:val="en-US" w:eastAsia="zh-CN"/>
        </w:rPr>
        <w:t>监理任务范围及监理大纲</w:t>
      </w:r>
      <w:bookmarkEnd w:id="86"/>
      <w:bookmarkEnd w:id="87"/>
      <w:bookmarkEnd w:id="88"/>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default"/>
          <w:color w:val="auto"/>
          <w:sz w:val="32"/>
          <w:szCs w:val="32"/>
          <w:highlight w:val="none"/>
          <w:lang w:val="en-US" w:eastAsia="zh-CN"/>
        </w:rPr>
      </w:pPr>
      <w:bookmarkStart w:id="91" w:name="_Toc7506"/>
      <w:bookmarkStart w:id="92" w:name="_Toc19229"/>
      <w:bookmarkStart w:id="93" w:name="_Toc24943"/>
      <w:r>
        <w:rPr>
          <w:rFonts w:hint="eastAsia"/>
          <w:color w:val="auto"/>
          <w:sz w:val="32"/>
          <w:szCs w:val="32"/>
          <w:highlight w:val="none"/>
          <w:lang w:val="en-US" w:eastAsia="zh-CN"/>
        </w:rPr>
        <w:t>一、监理任务范围</w:t>
      </w:r>
      <w:bookmarkEnd w:id="91"/>
      <w:bookmarkEnd w:id="92"/>
      <w:bookmarkEnd w:id="93"/>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b w:val="0"/>
          <w:bCs w:val="0"/>
          <w:kern w:val="2"/>
          <w:sz w:val="24"/>
          <w:szCs w:val="24"/>
          <w:lang w:val="en-US" w:eastAsia="zh-CN" w:bidi="ar-SA"/>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ind w:firstLine="480" w:firstLineChars="200"/>
        <w:jc w:val="both"/>
        <w:textAlignment w:val="auto"/>
        <w:rPr>
          <w:rFonts w:hint="eastAsia" w:ascii="宋体" w:hAnsi="宋体" w:eastAsia="宋体" w:cs="宋体"/>
          <w:b w:val="0"/>
          <w:bCs w:val="0"/>
          <w:kern w:val="2"/>
          <w:sz w:val="24"/>
          <w:szCs w:val="24"/>
          <w:lang w:val="en-US" w:eastAsia="zh-CN" w:bidi="ar-SA"/>
        </w:rPr>
      </w:pPr>
      <w:bookmarkStart w:id="94" w:name="_Toc29844"/>
      <w:bookmarkStart w:id="95" w:name="_Toc21685"/>
      <w:bookmarkStart w:id="96" w:name="_Toc13433"/>
      <w:r>
        <w:rPr>
          <w:rFonts w:hint="eastAsia" w:ascii="宋体" w:hAnsi="宋体" w:eastAsia="宋体" w:cs="宋体"/>
          <w:b w:val="0"/>
          <w:bCs w:val="0"/>
          <w:kern w:val="2"/>
          <w:sz w:val="24"/>
          <w:szCs w:val="24"/>
          <w:lang w:val="en-US" w:eastAsia="zh-CN" w:bidi="ar-SA"/>
        </w:rPr>
        <w:t>本工程建设监理的主要内容是控制工程建设的投资、工程质量、安全和建设工期。进行工程建设合同管理和信息管理，协调有关单位间的工作关系。监理单位受项目法人委托服务范围如下:</w:t>
      </w:r>
      <w:bookmarkEnd w:id="94"/>
      <w:bookmarkEnd w:id="95"/>
      <w:bookmarkEnd w:id="96"/>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default" w:ascii="宋体" w:hAnsi="宋体" w:eastAsia="宋体" w:cs="宋体"/>
          <w:b w:val="0"/>
          <w:bCs w:val="0"/>
          <w:kern w:val="2"/>
          <w:sz w:val="24"/>
          <w:szCs w:val="24"/>
          <w:lang w:val="en-US" w:eastAsia="zh-CN" w:bidi="ar-SA"/>
        </w:rPr>
      </w:pPr>
      <w:bookmarkStart w:id="97" w:name="_Toc4903"/>
      <w:bookmarkStart w:id="98" w:name="_Toc30425"/>
      <w:bookmarkStart w:id="99" w:name="_Toc9979"/>
      <w:r>
        <w:rPr>
          <w:rFonts w:hint="eastAsia" w:ascii="宋体" w:hAnsi="宋体" w:eastAsia="宋体" w:cs="宋体"/>
          <w:b w:val="0"/>
          <w:bCs w:val="0"/>
          <w:kern w:val="2"/>
          <w:sz w:val="24"/>
          <w:szCs w:val="24"/>
          <w:lang w:val="en-US" w:eastAsia="zh-CN" w:bidi="ar-SA"/>
        </w:rPr>
        <w:t>1、施工监理</w:t>
      </w:r>
      <w:bookmarkEnd w:id="97"/>
      <w:bookmarkEnd w:id="98"/>
      <w:bookmarkEnd w:id="99"/>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kern w:val="2"/>
          <w:sz w:val="24"/>
          <w:szCs w:val="24"/>
          <w:lang w:val="en-US" w:eastAsia="zh-CN" w:bidi="ar-SA"/>
        </w:rPr>
      </w:pPr>
      <w:bookmarkStart w:id="100" w:name="_Toc10142"/>
      <w:bookmarkStart w:id="101" w:name="_Toc21153"/>
      <w:bookmarkStart w:id="102" w:name="_Toc29177"/>
      <w:r>
        <w:rPr>
          <w:rFonts w:hint="eastAsia" w:ascii="宋体" w:hAnsi="宋体" w:eastAsia="宋体" w:cs="宋体"/>
          <w:b w:val="0"/>
          <w:bCs w:val="0"/>
          <w:kern w:val="2"/>
          <w:sz w:val="24"/>
          <w:szCs w:val="24"/>
          <w:lang w:val="en-US" w:eastAsia="zh-CN" w:bidi="ar-SA"/>
        </w:rPr>
        <w:t>1.1 审查施工单位提交的施工组织设计、施工技术方案。</w:t>
      </w:r>
      <w:bookmarkEnd w:id="100"/>
      <w:bookmarkEnd w:id="101"/>
      <w:bookmarkEnd w:id="102"/>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kern w:val="2"/>
          <w:sz w:val="24"/>
          <w:szCs w:val="24"/>
          <w:lang w:val="en-US" w:eastAsia="zh-CN" w:bidi="ar-SA"/>
        </w:rPr>
      </w:pPr>
      <w:bookmarkStart w:id="103" w:name="_Toc22879"/>
      <w:bookmarkStart w:id="104" w:name="_Toc28955"/>
      <w:bookmarkStart w:id="105" w:name="_Toc27812"/>
      <w:r>
        <w:rPr>
          <w:rFonts w:hint="eastAsia" w:ascii="宋体" w:hAnsi="宋体" w:eastAsia="宋体" w:cs="宋体"/>
          <w:b w:val="0"/>
          <w:bCs w:val="0"/>
          <w:kern w:val="2"/>
          <w:sz w:val="24"/>
          <w:szCs w:val="24"/>
          <w:lang w:val="en-US" w:eastAsia="zh-CN" w:bidi="ar-SA"/>
        </w:rPr>
        <w:t>1.2审查施工单位开工申请报告。</w:t>
      </w:r>
      <w:bookmarkEnd w:id="103"/>
      <w:bookmarkEnd w:id="104"/>
      <w:bookmarkEnd w:id="105"/>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kern w:val="2"/>
          <w:sz w:val="24"/>
          <w:szCs w:val="24"/>
          <w:lang w:val="en-US" w:eastAsia="zh-CN" w:bidi="ar-SA"/>
        </w:rPr>
      </w:pPr>
      <w:bookmarkStart w:id="106" w:name="_Toc18033"/>
      <w:bookmarkStart w:id="107" w:name="_Toc14763"/>
      <w:bookmarkStart w:id="108" w:name="_Toc11912"/>
      <w:r>
        <w:rPr>
          <w:rFonts w:hint="eastAsia" w:ascii="宋体" w:hAnsi="宋体" w:eastAsia="宋体" w:cs="宋体"/>
          <w:b w:val="0"/>
          <w:bCs w:val="0"/>
          <w:kern w:val="2"/>
          <w:sz w:val="24"/>
          <w:szCs w:val="24"/>
          <w:lang w:val="en-US" w:eastAsia="zh-CN" w:bidi="ar-SA"/>
        </w:rPr>
        <w:t>1.3 审查施工单位质保体系和质保手册并监督实施。</w:t>
      </w:r>
      <w:bookmarkEnd w:id="106"/>
      <w:bookmarkEnd w:id="107"/>
      <w:bookmarkEnd w:id="108"/>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kern w:val="2"/>
          <w:sz w:val="24"/>
          <w:szCs w:val="24"/>
          <w:lang w:val="en-US" w:eastAsia="zh-CN" w:bidi="ar-SA"/>
        </w:rPr>
      </w:pPr>
      <w:bookmarkStart w:id="109" w:name="_Toc979"/>
      <w:bookmarkStart w:id="110" w:name="_Toc8084"/>
      <w:bookmarkStart w:id="111" w:name="_Toc29132"/>
      <w:r>
        <w:rPr>
          <w:rFonts w:hint="eastAsia" w:ascii="宋体" w:hAnsi="宋体" w:eastAsia="宋体" w:cs="宋体"/>
          <w:b w:val="0"/>
          <w:bCs w:val="0"/>
          <w:kern w:val="2"/>
          <w:sz w:val="24"/>
          <w:szCs w:val="24"/>
          <w:lang w:val="en-US" w:eastAsia="zh-CN" w:bidi="ar-SA"/>
        </w:rPr>
        <w:t>1.4检查现场施工人员中特殊工种持证上岗情况。</w:t>
      </w:r>
      <w:bookmarkEnd w:id="109"/>
      <w:bookmarkEnd w:id="110"/>
      <w:bookmarkEnd w:id="111"/>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kern w:val="2"/>
          <w:sz w:val="24"/>
          <w:szCs w:val="24"/>
          <w:lang w:val="en-US" w:eastAsia="zh-CN" w:bidi="ar-SA"/>
        </w:rPr>
      </w:pPr>
      <w:bookmarkStart w:id="112" w:name="_Toc16644"/>
      <w:bookmarkStart w:id="113" w:name="_Toc17130"/>
      <w:bookmarkStart w:id="114" w:name="_Toc13518"/>
      <w:r>
        <w:rPr>
          <w:rFonts w:hint="eastAsia" w:ascii="宋体" w:hAnsi="宋体" w:eastAsia="宋体" w:cs="宋体"/>
          <w:b w:val="0"/>
          <w:bCs w:val="0"/>
          <w:kern w:val="2"/>
          <w:sz w:val="24"/>
          <w:szCs w:val="24"/>
          <w:lang w:val="en-US" w:eastAsia="zh-CN" w:bidi="ar-SA"/>
        </w:rPr>
        <w:t>1.5 检查施工现场原材料、构件的采购、入库、保管、领用等管理制度及其执行情况。</w:t>
      </w:r>
      <w:bookmarkEnd w:id="112"/>
      <w:bookmarkEnd w:id="113"/>
      <w:bookmarkEnd w:id="114"/>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kern w:val="2"/>
          <w:sz w:val="24"/>
          <w:szCs w:val="24"/>
          <w:lang w:val="en-US" w:eastAsia="zh-CN" w:bidi="ar-SA"/>
        </w:rPr>
      </w:pPr>
      <w:bookmarkStart w:id="115" w:name="_Toc20018"/>
      <w:bookmarkStart w:id="116" w:name="_Toc7605"/>
      <w:bookmarkStart w:id="117" w:name="_Toc24810"/>
      <w:r>
        <w:rPr>
          <w:rFonts w:hint="eastAsia" w:ascii="宋体" w:hAnsi="宋体" w:eastAsia="宋体" w:cs="宋体"/>
          <w:b w:val="0"/>
          <w:bCs w:val="0"/>
          <w:kern w:val="2"/>
          <w:sz w:val="24"/>
          <w:szCs w:val="24"/>
          <w:lang w:val="en-US" w:eastAsia="zh-CN" w:bidi="ar-SA"/>
        </w:rPr>
        <w:t>1.6参加主要设备的现场开箱检查。对设备保管提出监理意见。</w:t>
      </w:r>
      <w:bookmarkEnd w:id="115"/>
      <w:bookmarkEnd w:id="116"/>
      <w:bookmarkEnd w:id="117"/>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kern w:val="2"/>
          <w:sz w:val="24"/>
          <w:szCs w:val="24"/>
          <w:lang w:val="en-US" w:eastAsia="zh-CN" w:bidi="ar-SA"/>
        </w:rPr>
      </w:pPr>
      <w:bookmarkStart w:id="118" w:name="_Toc60"/>
      <w:bookmarkStart w:id="119" w:name="_Toc3026"/>
      <w:bookmarkStart w:id="120" w:name="_Toc15230"/>
      <w:r>
        <w:rPr>
          <w:rFonts w:hint="eastAsia" w:ascii="宋体" w:hAnsi="宋体" w:eastAsia="宋体" w:cs="宋体"/>
          <w:b w:val="0"/>
          <w:bCs w:val="0"/>
          <w:kern w:val="2"/>
          <w:sz w:val="24"/>
          <w:szCs w:val="24"/>
          <w:lang w:val="en-US" w:eastAsia="zh-CN" w:bidi="ar-SA"/>
        </w:rPr>
        <w:t>1.7 遇到威胁安全的重大问题时,有权下达“暂停施工”的通知并通报业主。</w:t>
      </w:r>
      <w:bookmarkEnd w:id="118"/>
      <w:bookmarkEnd w:id="119"/>
      <w:bookmarkEnd w:id="120"/>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kern w:val="2"/>
          <w:sz w:val="24"/>
          <w:szCs w:val="24"/>
          <w:lang w:val="en-US" w:eastAsia="zh-CN" w:bidi="ar-SA"/>
        </w:rPr>
      </w:pPr>
      <w:bookmarkStart w:id="121" w:name="_Toc4911"/>
      <w:bookmarkStart w:id="122" w:name="_Toc19245"/>
      <w:bookmarkStart w:id="123" w:name="_Toc31452"/>
      <w:r>
        <w:rPr>
          <w:rFonts w:hint="eastAsia" w:ascii="宋体" w:hAnsi="宋体" w:eastAsia="宋体" w:cs="宋体"/>
          <w:b w:val="0"/>
          <w:bCs w:val="0"/>
          <w:kern w:val="2"/>
          <w:sz w:val="24"/>
          <w:szCs w:val="24"/>
          <w:lang w:val="en-US" w:eastAsia="zh-CN" w:bidi="ar-SA"/>
        </w:rPr>
        <w:t>1.8审查施工单位工程结算书工程付款必须有总监理工程师签字。</w:t>
      </w:r>
      <w:bookmarkEnd w:id="121"/>
      <w:bookmarkEnd w:id="122"/>
      <w:bookmarkEnd w:id="123"/>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kern w:val="2"/>
          <w:sz w:val="24"/>
          <w:szCs w:val="24"/>
          <w:lang w:val="en-US" w:eastAsia="zh-CN" w:bidi="ar-SA"/>
        </w:rPr>
      </w:pPr>
      <w:bookmarkStart w:id="124" w:name="_Toc13331"/>
      <w:bookmarkStart w:id="125" w:name="_Toc8311"/>
      <w:bookmarkStart w:id="126" w:name="_Toc5535"/>
      <w:r>
        <w:rPr>
          <w:rFonts w:hint="eastAsia" w:ascii="宋体" w:hAnsi="宋体" w:eastAsia="宋体" w:cs="宋体"/>
          <w:b w:val="0"/>
          <w:bCs w:val="0"/>
          <w:kern w:val="2"/>
          <w:sz w:val="24"/>
          <w:szCs w:val="24"/>
          <w:lang w:val="en-US" w:eastAsia="zh-CN" w:bidi="ar-SA"/>
        </w:rPr>
        <w:t>1.9监督施工合同的履行维护业主和施工单位的正当权益。</w:t>
      </w:r>
      <w:bookmarkEnd w:id="124"/>
      <w:bookmarkEnd w:id="125"/>
      <w:bookmarkEnd w:id="126"/>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kern w:val="2"/>
          <w:sz w:val="24"/>
          <w:szCs w:val="24"/>
          <w:lang w:val="en-US" w:eastAsia="zh-CN" w:bidi="ar-SA"/>
        </w:rPr>
      </w:pPr>
      <w:bookmarkStart w:id="127" w:name="_Toc10289"/>
      <w:bookmarkStart w:id="128" w:name="_Toc5430"/>
      <w:bookmarkStart w:id="129" w:name="_Toc1371"/>
      <w:r>
        <w:rPr>
          <w:rFonts w:hint="eastAsia" w:ascii="宋体" w:hAnsi="宋体" w:eastAsia="宋体" w:cs="宋体"/>
          <w:b w:val="0"/>
          <w:bCs w:val="0"/>
          <w:kern w:val="2"/>
          <w:sz w:val="24"/>
          <w:szCs w:val="24"/>
          <w:lang w:val="en-US" w:eastAsia="zh-CN" w:bidi="ar-SA"/>
        </w:rPr>
        <w:t>1.10当发现工程设计不符合国家颁布的建设工程质量标准时,应书面报告业主并提出建议。</w:t>
      </w:r>
      <w:bookmarkEnd w:id="127"/>
      <w:bookmarkEnd w:id="128"/>
      <w:bookmarkEnd w:id="129"/>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kern w:val="2"/>
          <w:sz w:val="24"/>
          <w:szCs w:val="24"/>
          <w:lang w:val="en-US" w:eastAsia="zh-CN" w:bidi="ar-SA"/>
        </w:rPr>
      </w:pPr>
      <w:bookmarkStart w:id="130" w:name="_Toc16284"/>
      <w:bookmarkStart w:id="131" w:name="_Toc3348"/>
      <w:bookmarkStart w:id="132" w:name="_Toc29208"/>
      <w:r>
        <w:rPr>
          <w:rFonts w:hint="eastAsia" w:ascii="宋体" w:hAnsi="宋体" w:eastAsia="宋体" w:cs="宋体"/>
          <w:b w:val="0"/>
          <w:bCs w:val="0"/>
          <w:kern w:val="2"/>
          <w:sz w:val="24"/>
          <w:szCs w:val="24"/>
          <w:lang w:val="en-US" w:eastAsia="zh-CN" w:bidi="ar-SA"/>
        </w:rPr>
        <w:t>2、监理资料的整理</w:t>
      </w:r>
      <w:bookmarkEnd w:id="130"/>
      <w:bookmarkEnd w:id="131"/>
      <w:bookmarkEnd w:id="132"/>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kern w:val="2"/>
          <w:sz w:val="24"/>
          <w:szCs w:val="24"/>
          <w:lang w:val="en-US" w:eastAsia="zh-CN" w:bidi="ar-SA"/>
        </w:rPr>
      </w:pPr>
      <w:bookmarkStart w:id="133" w:name="_Toc25829"/>
      <w:bookmarkStart w:id="134" w:name="_Toc21720"/>
      <w:bookmarkStart w:id="135" w:name="_Toc18266"/>
      <w:r>
        <w:rPr>
          <w:rFonts w:hint="eastAsia" w:ascii="宋体" w:hAnsi="宋体" w:eastAsia="宋体" w:cs="宋体"/>
          <w:b w:val="0"/>
          <w:bCs w:val="0"/>
          <w:kern w:val="2"/>
          <w:sz w:val="24"/>
          <w:szCs w:val="24"/>
          <w:lang w:val="en-US" w:eastAsia="zh-CN" w:bidi="ar-SA"/>
        </w:rPr>
        <w:t>编制整理监理工作的各种文件、通知、记录、检测资料、图纸等,合同完成或终止时移交给业主。</w:t>
      </w:r>
      <w:bookmarkEnd w:id="133"/>
      <w:bookmarkEnd w:id="134"/>
      <w:bookmarkEnd w:id="135"/>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default" w:ascii="宋体" w:hAnsi="宋体" w:eastAsia="宋体" w:cs="宋体"/>
          <w:b/>
          <w:bCs/>
          <w:kern w:val="2"/>
          <w:sz w:val="32"/>
          <w:szCs w:val="32"/>
          <w:lang w:val="en-US" w:eastAsia="zh-CN" w:bidi="ar-SA"/>
        </w:rPr>
      </w:pPr>
      <w:bookmarkStart w:id="136" w:name="_Toc1629"/>
      <w:bookmarkStart w:id="137" w:name="_Toc26519"/>
      <w:bookmarkStart w:id="138" w:name="_Toc4513"/>
      <w:r>
        <w:rPr>
          <w:rFonts w:hint="eastAsia" w:ascii="宋体" w:hAnsi="宋体" w:cs="宋体"/>
          <w:b/>
          <w:bCs/>
          <w:kern w:val="2"/>
          <w:sz w:val="32"/>
          <w:szCs w:val="32"/>
          <w:lang w:val="en-US" w:eastAsia="zh-CN" w:bidi="ar-SA"/>
        </w:rPr>
        <w:t>二、</w:t>
      </w:r>
      <w:r>
        <w:rPr>
          <w:rFonts w:hint="eastAsia" w:ascii="宋体" w:hAnsi="宋体" w:eastAsia="宋体" w:cs="宋体"/>
          <w:b/>
          <w:bCs/>
          <w:kern w:val="2"/>
          <w:sz w:val="32"/>
          <w:szCs w:val="32"/>
          <w:lang w:val="en-US" w:eastAsia="zh-CN" w:bidi="ar-SA"/>
        </w:rPr>
        <w:t>监理工程大纲</w:t>
      </w:r>
      <w:bookmarkEnd w:id="136"/>
      <w:bookmarkEnd w:id="137"/>
      <w:bookmarkEnd w:id="138"/>
    </w:p>
    <w:p>
      <w:pPr>
        <w:spacing w:line="360" w:lineRule="auto"/>
        <w:rPr>
          <w:rFonts w:hint="default" w:ascii="宋体" w:hAnsi="宋体" w:eastAsia="宋体" w:cs="宋体"/>
          <w:b w:val="0"/>
          <w:bCs w:val="0"/>
          <w:kern w:val="2"/>
          <w:sz w:val="24"/>
          <w:szCs w:val="24"/>
          <w:lang w:val="en-US" w:eastAsia="zh-CN" w:bidi="ar-SA"/>
        </w:rPr>
      </w:pPr>
      <w:r>
        <w:rPr>
          <w:rFonts w:hint="default" w:ascii="宋体" w:hAnsi="宋体" w:eastAsia="宋体" w:cs="宋体"/>
          <w:b w:val="0"/>
          <w:bCs w:val="0"/>
          <w:kern w:val="2"/>
          <w:sz w:val="24"/>
          <w:szCs w:val="24"/>
          <w:lang w:val="en-US" w:eastAsia="zh-CN" w:bidi="ar-SA"/>
        </w:rPr>
        <w:t>1、工程质量控制:</w:t>
      </w:r>
    </w:p>
    <w:p>
      <w:pPr>
        <w:spacing w:line="360" w:lineRule="auto"/>
        <w:rPr>
          <w:rFonts w:hint="default" w:ascii="宋体" w:hAnsi="宋体" w:eastAsia="宋体" w:cs="宋体"/>
          <w:b w:val="0"/>
          <w:bCs w:val="0"/>
          <w:kern w:val="2"/>
          <w:sz w:val="24"/>
          <w:szCs w:val="24"/>
          <w:lang w:val="en-US" w:eastAsia="zh-CN" w:bidi="ar-SA"/>
        </w:rPr>
      </w:pPr>
      <w:r>
        <w:rPr>
          <w:rFonts w:hint="default" w:ascii="宋体" w:hAnsi="宋体" w:eastAsia="宋体" w:cs="宋体"/>
          <w:b w:val="0"/>
          <w:bCs w:val="0"/>
          <w:kern w:val="2"/>
          <w:sz w:val="24"/>
          <w:szCs w:val="24"/>
          <w:lang w:val="en-US" w:eastAsia="zh-CN" w:bidi="ar-SA"/>
        </w:rPr>
        <w:t>监理单位必须对工程质量进行严格控制。要求从原材料进场到成品完成全过程的进程质量控制。对材料、设备、施工工艺、施工技术等方面进行全面检查，杜绝不合格产品出现。</w:t>
      </w:r>
    </w:p>
    <w:p>
      <w:pPr>
        <w:spacing w:line="360" w:lineRule="auto"/>
        <w:rPr>
          <w:rFonts w:hint="default" w:ascii="宋体" w:hAnsi="宋体" w:eastAsia="宋体" w:cs="宋体"/>
          <w:b w:val="0"/>
          <w:bCs w:val="0"/>
          <w:kern w:val="2"/>
          <w:sz w:val="24"/>
          <w:szCs w:val="24"/>
          <w:lang w:val="en-US" w:eastAsia="zh-CN" w:bidi="ar-SA"/>
        </w:rPr>
      </w:pPr>
      <w:r>
        <w:rPr>
          <w:rFonts w:hint="default" w:ascii="宋体" w:hAnsi="宋体" w:eastAsia="宋体" w:cs="宋体"/>
          <w:b w:val="0"/>
          <w:bCs w:val="0"/>
          <w:kern w:val="2"/>
          <w:sz w:val="24"/>
          <w:szCs w:val="24"/>
          <w:lang w:val="en-US" w:eastAsia="zh-CN" w:bidi="ar-SA"/>
        </w:rPr>
        <w:t>2、工程工期控制:</w:t>
      </w:r>
    </w:p>
    <w:p>
      <w:pPr>
        <w:spacing w:line="360" w:lineRule="auto"/>
        <w:rPr>
          <w:rFonts w:hint="default" w:ascii="宋体" w:hAnsi="宋体" w:eastAsia="宋体" w:cs="宋体"/>
          <w:b w:val="0"/>
          <w:bCs w:val="0"/>
          <w:kern w:val="2"/>
          <w:sz w:val="24"/>
          <w:szCs w:val="24"/>
          <w:lang w:val="en-US" w:eastAsia="zh-CN" w:bidi="ar-SA"/>
        </w:rPr>
      </w:pPr>
      <w:r>
        <w:rPr>
          <w:rFonts w:hint="default" w:ascii="宋体" w:hAnsi="宋体" w:eastAsia="宋体" w:cs="宋体"/>
          <w:b w:val="0"/>
          <w:bCs w:val="0"/>
          <w:kern w:val="2"/>
          <w:sz w:val="24"/>
          <w:szCs w:val="24"/>
          <w:lang w:val="en-US" w:eastAsia="zh-CN" w:bidi="ar-SA"/>
        </w:rPr>
        <w:t>严格按合同工期控制工程施工工期，负责审查施工单位制定的网络计划，定期检查网络计划执行情况。</w:t>
      </w:r>
    </w:p>
    <w:p>
      <w:pPr>
        <w:spacing w:line="360" w:lineRule="auto"/>
        <w:rPr>
          <w:rFonts w:hint="default" w:ascii="宋体" w:hAnsi="宋体" w:eastAsia="宋体" w:cs="宋体"/>
          <w:b w:val="0"/>
          <w:bCs w:val="0"/>
          <w:kern w:val="2"/>
          <w:sz w:val="24"/>
          <w:szCs w:val="24"/>
          <w:lang w:val="en-US" w:eastAsia="zh-CN" w:bidi="ar-SA"/>
        </w:rPr>
      </w:pPr>
      <w:r>
        <w:rPr>
          <w:rFonts w:hint="default" w:ascii="宋体" w:hAnsi="宋体" w:eastAsia="宋体" w:cs="宋体"/>
          <w:b w:val="0"/>
          <w:bCs w:val="0"/>
          <w:kern w:val="2"/>
          <w:sz w:val="24"/>
          <w:szCs w:val="24"/>
          <w:lang w:val="en-US" w:eastAsia="zh-CN" w:bidi="ar-SA"/>
        </w:rPr>
        <w:t>根据实际情况督促审查施工单位调整网络计划，使其能够按期完工。</w:t>
      </w:r>
    </w:p>
    <w:p>
      <w:pPr>
        <w:spacing w:line="360" w:lineRule="auto"/>
        <w:rPr>
          <w:rFonts w:hint="default" w:ascii="宋体" w:hAnsi="宋体" w:eastAsia="宋体" w:cs="宋体"/>
          <w:b w:val="0"/>
          <w:bCs w:val="0"/>
          <w:kern w:val="2"/>
          <w:sz w:val="24"/>
          <w:szCs w:val="24"/>
          <w:lang w:val="en-US" w:eastAsia="zh-CN" w:bidi="ar-SA"/>
        </w:rPr>
      </w:pPr>
      <w:r>
        <w:rPr>
          <w:rFonts w:hint="default" w:ascii="宋体" w:hAnsi="宋体" w:eastAsia="宋体" w:cs="宋体"/>
          <w:b w:val="0"/>
          <w:bCs w:val="0"/>
          <w:kern w:val="2"/>
          <w:sz w:val="24"/>
          <w:szCs w:val="24"/>
          <w:lang w:val="en-US" w:eastAsia="zh-CN" w:bidi="ar-SA"/>
        </w:rPr>
        <w:t>3、工程投资控制:</w:t>
      </w:r>
    </w:p>
    <w:p>
      <w:pPr>
        <w:spacing w:line="360" w:lineRule="auto"/>
        <w:rPr>
          <w:rFonts w:hint="default" w:ascii="宋体" w:hAnsi="宋体" w:eastAsia="宋体" w:cs="宋体"/>
          <w:b w:val="0"/>
          <w:bCs w:val="0"/>
          <w:kern w:val="2"/>
          <w:sz w:val="24"/>
          <w:szCs w:val="24"/>
          <w:lang w:val="en-US" w:eastAsia="zh-CN" w:bidi="ar-SA"/>
        </w:rPr>
      </w:pPr>
      <w:r>
        <w:rPr>
          <w:rFonts w:hint="default" w:ascii="宋体" w:hAnsi="宋体" w:eastAsia="宋体" w:cs="宋体"/>
          <w:b w:val="0"/>
          <w:bCs w:val="0"/>
          <w:kern w:val="2"/>
          <w:sz w:val="24"/>
          <w:szCs w:val="24"/>
          <w:lang w:val="en-US" w:eastAsia="zh-CN" w:bidi="ar-SA"/>
        </w:rPr>
        <w:t>要求监理单位严格控制各项工程变更，审查工程变更的合理性。一般不得突破工程预算，负责合格项目的验收签证，以此作为业主审查承包商工程量支付其工程款的基本依据。</w:t>
      </w:r>
    </w:p>
    <w:p>
      <w:pPr>
        <w:pStyle w:val="10"/>
        <w:spacing w:line="360" w:lineRule="auto"/>
        <w:rPr>
          <w:rFonts w:hint="default" w:ascii="宋体" w:hAnsi="宋体" w:eastAsia="宋体" w:cs="宋体"/>
          <w:b w:val="0"/>
          <w:bCs w:val="0"/>
          <w:kern w:val="2"/>
          <w:sz w:val="24"/>
          <w:szCs w:val="24"/>
          <w:lang w:val="en-US" w:eastAsia="zh-CN" w:bidi="ar-SA"/>
        </w:rPr>
      </w:pPr>
      <w:r>
        <w:rPr>
          <w:rFonts w:hint="default" w:ascii="宋体" w:hAnsi="宋体" w:eastAsia="宋体" w:cs="宋体"/>
          <w:b w:val="0"/>
          <w:bCs w:val="0"/>
          <w:kern w:val="2"/>
          <w:sz w:val="24"/>
          <w:szCs w:val="24"/>
          <w:lang w:val="en-US" w:eastAsia="zh-CN" w:bidi="ar-SA"/>
        </w:rPr>
        <w:t>4、工程安全控制:</w:t>
      </w:r>
    </w:p>
    <w:p>
      <w:pPr>
        <w:pStyle w:val="10"/>
        <w:spacing w:line="360" w:lineRule="auto"/>
        <w:rPr>
          <w:rFonts w:hint="default" w:ascii="宋体" w:hAnsi="宋体" w:eastAsia="宋体" w:cs="宋体"/>
          <w:b w:val="0"/>
          <w:bCs w:val="0"/>
          <w:kern w:val="2"/>
          <w:sz w:val="24"/>
          <w:szCs w:val="24"/>
          <w:lang w:val="en-US" w:eastAsia="zh-CN" w:bidi="ar-SA"/>
        </w:rPr>
      </w:pPr>
      <w:r>
        <w:rPr>
          <w:rFonts w:hint="default" w:ascii="宋体" w:hAnsi="宋体" w:eastAsia="宋体" w:cs="宋体"/>
          <w:b w:val="0"/>
          <w:bCs w:val="0"/>
          <w:kern w:val="2"/>
          <w:sz w:val="24"/>
          <w:szCs w:val="24"/>
          <w:lang w:val="en-US" w:eastAsia="zh-CN" w:bidi="ar-SA"/>
        </w:rPr>
        <w:t>工程安全控制措施得力，不留隐患。</w:t>
      </w:r>
    </w:p>
    <w:p>
      <w:pPr>
        <w:pStyle w:val="10"/>
        <w:spacing w:line="360" w:lineRule="auto"/>
        <w:rPr>
          <w:rFonts w:hint="default" w:ascii="宋体" w:hAnsi="宋体" w:eastAsia="宋体" w:cs="宋体"/>
          <w:b w:val="0"/>
          <w:bCs w:val="0"/>
          <w:kern w:val="2"/>
          <w:sz w:val="24"/>
          <w:szCs w:val="24"/>
          <w:lang w:val="en-US" w:eastAsia="zh-CN" w:bidi="ar-SA"/>
        </w:rPr>
      </w:pPr>
      <w:r>
        <w:rPr>
          <w:rFonts w:hint="default" w:ascii="宋体" w:hAnsi="宋体" w:eastAsia="宋体" w:cs="宋体"/>
          <w:b w:val="0"/>
          <w:bCs w:val="0"/>
          <w:kern w:val="2"/>
          <w:sz w:val="24"/>
          <w:szCs w:val="24"/>
          <w:lang w:val="en-US" w:eastAsia="zh-CN" w:bidi="ar-SA"/>
        </w:rPr>
        <w:t>5、工程合同管理、信息管理及协调有关单位的工作关系:工程现场的施工单位必须接受监理单位的监督管理。要求监理单位协调好现场各有关单位的关系，处理解决各单位之间因工程施工而出现的矛盾和问题，协助业主办理与工程相关的所有手续。</w:t>
      </w:r>
    </w:p>
    <w:p>
      <w:pPr>
        <w:rPr>
          <w:rFonts w:hint="eastAsia"/>
          <w:color w:val="auto"/>
          <w:highlight w:val="none"/>
          <w:lang w:val="en-US" w:eastAsia="zh-CN"/>
        </w:rPr>
      </w:pPr>
    </w:p>
    <w:p>
      <w:pPr>
        <w:rPr>
          <w:rFonts w:hint="eastAsia"/>
          <w:color w:val="auto"/>
          <w:highlight w:val="none"/>
          <w:lang w:val="en-US" w:eastAsia="zh-CN"/>
        </w:rPr>
      </w:pPr>
    </w:p>
    <w:p>
      <w:pPr>
        <w:pStyle w:val="10"/>
        <w:rPr>
          <w:rFonts w:hint="eastAsia"/>
          <w:color w:val="auto"/>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9"/>
        <w:rPr>
          <w:rFonts w:hint="eastAsia"/>
          <w:color w:val="auto"/>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9"/>
        <w:rPr>
          <w:rFonts w:hint="eastAsia"/>
          <w:color w:val="auto"/>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9"/>
        <w:rPr>
          <w:rFonts w:hint="eastAsia"/>
          <w:color w:val="auto"/>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9"/>
        <w:rPr>
          <w:rFonts w:hint="eastAsia"/>
          <w:color w:val="auto"/>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9"/>
        <w:rPr>
          <w:rFonts w:hint="eastAsia"/>
          <w:color w:val="auto"/>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9"/>
        <w:rPr>
          <w:rFonts w:hint="eastAsia"/>
          <w:color w:val="auto"/>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9"/>
        <w:rPr>
          <w:rFonts w:hint="eastAsia"/>
          <w:color w:val="auto"/>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9"/>
        <w:rPr>
          <w:rFonts w:hint="eastAsia"/>
          <w:color w:val="auto"/>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9"/>
        <w:rPr>
          <w:rFonts w:hint="eastAsia"/>
          <w:color w:val="auto"/>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9"/>
        <w:rPr>
          <w:rFonts w:hint="eastAsia"/>
          <w:color w:val="auto"/>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9"/>
        <w:rPr>
          <w:rFonts w:hint="eastAsia"/>
          <w:color w:val="auto"/>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9"/>
        <w:rPr>
          <w:rFonts w:hint="eastAsia"/>
          <w:color w:val="auto"/>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9"/>
        <w:rPr>
          <w:rFonts w:hint="eastAsia"/>
          <w:color w:val="auto"/>
          <w:highlight w:val="none"/>
          <w:lang w:val="en-US" w:eastAsia="zh-CN"/>
        </w:rPr>
      </w:pPr>
    </w:p>
    <w:p>
      <w:pPr>
        <w:bidi w:val="0"/>
        <w:rPr>
          <w:rFonts w:hint="eastAsia"/>
          <w:lang w:val="en-US" w:eastAsia="zh-CN"/>
        </w:rPr>
      </w:pPr>
    </w:p>
    <w:p>
      <w:pPr>
        <w:bidi w:val="0"/>
        <w:jc w:val="center"/>
        <w:outlineLvl w:val="0"/>
        <w:rPr>
          <w:rFonts w:hint="eastAsia" w:ascii="Times New Roman" w:hAnsi="Times New Roman" w:eastAsia="宋体" w:cs="Times New Roman"/>
          <w:b/>
          <w:bCs/>
          <w:color w:val="auto"/>
          <w:kern w:val="44"/>
          <w:sz w:val="36"/>
          <w:szCs w:val="44"/>
          <w:highlight w:val="none"/>
          <w:lang w:val="en-US" w:eastAsia="zh-CN" w:bidi="ar-SA"/>
        </w:rPr>
      </w:pPr>
      <w:bookmarkStart w:id="139" w:name="_Toc10314"/>
      <w:bookmarkStart w:id="140" w:name="_Toc19542"/>
      <w:r>
        <w:rPr>
          <w:rFonts w:hint="eastAsia" w:ascii="Times New Roman" w:hAnsi="Times New Roman" w:eastAsia="宋体" w:cs="Times New Roman"/>
          <w:b/>
          <w:bCs/>
          <w:color w:val="auto"/>
          <w:kern w:val="44"/>
          <w:sz w:val="36"/>
          <w:szCs w:val="44"/>
          <w:highlight w:val="none"/>
          <w:lang w:val="en-US" w:eastAsia="zh-CN" w:bidi="ar-SA"/>
        </w:rPr>
        <w:t>第六章 评标办法</w:t>
      </w:r>
      <w:bookmarkEnd w:id="89"/>
      <w:bookmarkEnd w:id="90"/>
      <w:bookmarkEnd w:id="139"/>
      <w:bookmarkEnd w:id="140"/>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宋体" w:hAnsi="宋体" w:eastAsia="宋体" w:cs="宋体"/>
          <w:b/>
          <w:color w:val="auto"/>
          <w:spacing w:val="4"/>
          <w:sz w:val="24"/>
          <w:highlight w:val="none"/>
        </w:rPr>
      </w:pPr>
      <w:bookmarkStart w:id="141" w:name="_Toc28843"/>
      <w:bookmarkStart w:id="142" w:name="_Toc10051"/>
      <w:bookmarkStart w:id="143" w:name="_Toc753"/>
      <w:bookmarkStart w:id="144" w:name="_Toc27869"/>
      <w:bookmarkStart w:id="145" w:name="_Toc21605"/>
      <w:bookmarkStart w:id="146" w:name="_Toc23576"/>
      <w:bookmarkStart w:id="147" w:name="_Toc12396"/>
      <w:bookmarkStart w:id="148" w:name="_Toc24206"/>
      <w:bookmarkStart w:id="149" w:name="_Toc20094"/>
      <w:bookmarkStart w:id="150" w:name="_Toc8617"/>
      <w:bookmarkStart w:id="151" w:name="_Toc580"/>
      <w:bookmarkStart w:id="152" w:name="_Toc9917"/>
      <w:bookmarkStart w:id="153" w:name="_Toc30418"/>
      <w:bookmarkStart w:id="154" w:name="_Toc15178"/>
      <w:bookmarkStart w:id="155" w:name="_Toc8742"/>
      <w:bookmarkStart w:id="156" w:name="_Toc27320"/>
      <w:bookmarkStart w:id="157" w:name="_Toc13236"/>
      <w:bookmarkStart w:id="158" w:name="_Toc31644"/>
      <w:bookmarkStart w:id="159" w:name="_Toc10389"/>
      <w:bookmarkStart w:id="160" w:name="_Toc12968"/>
      <w:bookmarkStart w:id="161" w:name="_Toc6327"/>
      <w:bookmarkStart w:id="162" w:name="_Toc6303"/>
      <w:bookmarkStart w:id="163" w:name="_Toc4221"/>
      <w:bookmarkStart w:id="164" w:name="_Toc11624"/>
      <w:bookmarkStart w:id="165" w:name="_Toc27296"/>
      <w:bookmarkStart w:id="166" w:name="_Toc17795"/>
      <w:bookmarkStart w:id="167" w:name="_Toc27275"/>
      <w:bookmarkStart w:id="168" w:name="_Toc10357"/>
      <w:r>
        <w:rPr>
          <w:rFonts w:hint="eastAsia" w:ascii="宋体" w:hAnsi="宋体" w:eastAsia="宋体" w:cs="宋体"/>
          <w:b/>
          <w:color w:val="auto"/>
          <w:spacing w:val="4"/>
          <w:sz w:val="24"/>
          <w:highlight w:val="none"/>
        </w:rPr>
        <w:t>一</w:t>
      </w:r>
      <w:r>
        <w:rPr>
          <w:rFonts w:hint="eastAsia" w:ascii="宋体" w:hAnsi="宋体" w:eastAsia="宋体" w:cs="宋体"/>
          <w:b/>
          <w:color w:val="auto"/>
          <w:spacing w:val="4"/>
          <w:sz w:val="24"/>
          <w:highlight w:val="none"/>
          <w:lang w:eastAsia="zh-CN"/>
        </w:rPr>
        <w:t>、</w:t>
      </w:r>
      <w:r>
        <w:rPr>
          <w:rFonts w:hint="eastAsia" w:ascii="宋体" w:hAnsi="宋体" w:eastAsia="宋体" w:cs="宋体"/>
          <w:b/>
          <w:color w:val="auto"/>
          <w:spacing w:val="4"/>
          <w:sz w:val="24"/>
          <w:highlight w:val="none"/>
        </w:rPr>
        <w:t>评审方法</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eastAsia" w:ascii="宋体" w:hAnsi="宋体" w:eastAsia="宋体" w:cs="宋体"/>
          <w:color w:val="auto"/>
          <w:sz w:val="24"/>
          <w:szCs w:val="24"/>
          <w:highlight w:val="none"/>
        </w:rPr>
      </w:pPr>
      <w:r>
        <w:rPr>
          <w:rFonts w:hint="eastAsia" w:ascii="宋体" w:hAnsi="宋体" w:eastAsia="宋体" w:cs="宋体"/>
          <w:spacing w:val="4"/>
          <w:sz w:val="24"/>
          <w:szCs w:val="24"/>
        </w:rPr>
        <w:t>按照</w:t>
      </w:r>
      <w:r>
        <w:rPr>
          <w:rFonts w:hint="eastAsia" w:ascii="宋体" w:hAnsi="宋体" w:eastAsia="宋体" w:cs="宋体"/>
          <w:sz w:val="24"/>
          <w:szCs w:val="24"/>
        </w:rPr>
        <w:t>中华人民共和国</w:t>
      </w:r>
      <w:r>
        <w:rPr>
          <w:rFonts w:hint="eastAsia" w:ascii="宋体" w:hAnsi="宋体" w:eastAsia="宋体" w:cs="宋体"/>
          <w:sz w:val="24"/>
          <w:szCs w:val="24"/>
          <w:lang w:eastAsia="zh-CN"/>
        </w:rPr>
        <w:t>财政部</w:t>
      </w:r>
      <w:r>
        <w:rPr>
          <w:rFonts w:hint="eastAsia" w:ascii="宋体" w:hAnsi="宋体" w:eastAsia="宋体" w:cs="宋体"/>
          <w:sz w:val="24"/>
          <w:szCs w:val="24"/>
          <w:lang w:val="en-US" w:eastAsia="zh-CN"/>
        </w:rPr>
        <w:t>--</w:t>
      </w:r>
      <w:r>
        <w:rPr>
          <w:rFonts w:hint="eastAsia" w:ascii="宋体" w:hAnsi="宋体" w:eastAsia="宋体" w:cs="宋体"/>
          <w:sz w:val="24"/>
          <w:szCs w:val="24"/>
        </w:rPr>
        <w:t>财库〔2014〕214号印发《政府采购竞争性磋商采购方式管理暂行办法</w:t>
      </w:r>
      <w:r>
        <w:rPr>
          <w:rFonts w:hint="eastAsia" w:ascii="宋体" w:hAnsi="宋体" w:eastAsia="宋体" w:cs="宋体"/>
          <w:sz w:val="24"/>
          <w:szCs w:val="24"/>
          <w:lang w:eastAsia="zh-CN"/>
        </w:rPr>
        <w:t>》</w:t>
      </w:r>
      <w:r>
        <w:rPr>
          <w:rFonts w:hint="eastAsia" w:ascii="宋体" w:hAnsi="宋体" w:eastAsia="宋体" w:cs="宋体"/>
          <w:spacing w:val="4"/>
          <w:sz w:val="24"/>
          <w:szCs w:val="24"/>
        </w:rPr>
        <w:t>的规定，本次评审采用</w:t>
      </w:r>
      <w:r>
        <w:rPr>
          <w:rFonts w:hint="eastAsia" w:ascii="宋体" w:hAnsi="宋体" w:eastAsia="宋体" w:cs="宋体"/>
          <w:spacing w:val="4"/>
          <w:sz w:val="24"/>
          <w:szCs w:val="24"/>
          <w:lang w:eastAsia="zh-CN"/>
        </w:rPr>
        <w:t>综合评分</w:t>
      </w:r>
      <w:r>
        <w:rPr>
          <w:rFonts w:hint="eastAsia" w:ascii="宋体" w:hAnsi="宋体" w:eastAsia="宋体" w:cs="宋体"/>
          <w:spacing w:val="4"/>
          <w:sz w:val="24"/>
          <w:szCs w:val="24"/>
        </w:rPr>
        <w:t>法，</w:t>
      </w:r>
      <w:r>
        <w:rPr>
          <w:rFonts w:hint="eastAsia" w:ascii="宋体" w:hAnsi="宋体" w:eastAsia="宋体" w:cs="宋体"/>
          <w:sz w:val="24"/>
          <w:szCs w:val="24"/>
        </w:rPr>
        <w:t>即</w:t>
      </w:r>
      <w:r>
        <w:rPr>
          <w:rFonts w:hint="eastAsia" w:ascii="宋体" w:hAnsi="宋体"/>
          <w:szCs w:val="24"/>
        </w:rPr>
        <w:t>从质量和服务均能满足</w:t>
      </w:r>
      <w:r>
        <w:rPr>
          <w:rFonts w:hint="eastAsia" w:ascii="宋体" w:hAnsi="宋体" w:eastAsia="宋体" w:cs="宋体"/>
          <w:sz w:val="24"/>
          <w:szCs w:val="24"/>
        </w:rPr>
        <w:t>磋商文件实质性要求前提下的所有磋商响应文件按照磋商文件中规定的各项因素进行综合评标后，以评标总得分由高到低推荐成交候选人。</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宋体" w:hAnsi="宋体" w:eastAsia="宋体" w:cs="宋体"/>
          <w:b/>
          <w:color w:val="auto"/>
          <w:spacing w:val="4"/>
          <w:sz w:val="24"/>
          <w:highlight w:val="none"/>
        </w:rPr>
      </w:pPr>
      <w:bookmarkStart w:id="169" w:name="_Toc15585"/>
      <w:bookmarkStart w:id="170" w:name="_Toc26060"/>
      <w:bookmarkStart w:id="171" w:name="_Toc6931"/>
      <w:bookmarkStart w:id="172" w:name="_Toc30908"/>
      <w:bookmarkStart w:id="173" w:name="_Toc14522"/>
      <w:bookmarkStart w:id="174" w:name="_Toc24523"/>
      <w:bookmarkStart w:id="175" w:name="_Toc24521"/>
      <w:bookmarkStart w:id="176" w:name="_Toc15882"/>
      <w:bookmarkStart w:id="177" w:name="_Toc20582"/>
      <w:bookmarkStart w:id="178" w:name="_Toc19473"/>
      <w:bookmarkStart w:id="179" w:name="_Toc5302"/>
      <w:bookmarkStart w:id="180" w:name="_Toc26518"/>
      <w:bookmarkStart w:id="181" w:name="_Toc1644"/>
      <w:bookmarkStart w:id="182" w:name="_Toc23937"/>
      <w:bookmarkStart w:id="183" w:name="_Toc20982"/>
      <w:bookmarkStart w:id="184" w:name="_Toc20120"/>
      <w:bookmarkStart w:id="185" w:name="_Toc20632"/>
      <w:bookmarkStart w:id="186" w:name="_Toc15370"/>
      <w:bookmarkStart w:id="187" w:name="_Toc17489"/>
      <w:bookmarkStart w:id="188" w:name="_Toc25331"/>
      <w:bookmarkStart w:id="189" w:name="_Toc6439"/>
      <w:bookmarkStart w:id="190" w:name="_Toc11349"/>
      <w:bookmarkStart w:id="191" w:name="_Toc12343"/>
      <w:bookmarkStart w:id="192" w:name="_Toc370906270"/>
      <w:bookmarkStart w:id="193" w:name="_Toc10276"/>
      <w:bookmarkStart w:id="194" w:name="_Toc3738"/>
      <w:bookmarkStart w:id="195" w:name="_Toc627"/>
      <w:bookmarkStart w:id="196" w:name="_Toc15023"/>
      <w:bookmarkStart w:id="197" w:name="_Toc4371"/>
      <w:r>
        <w:rPr>
          <w:rFonts w:hint="eastAsia" w:ascii="宋体" w:hAnsi="宋体" w:eastAsia="宋体" w:cs="宋体"/>
          <w:b/>
          <w:color w:val="auto"/>
          <w:spacing w:val="4"/>
          <w:sz w:val="24"/>
          <w:highlight w:val="none"/>
        </w:rPr>
        <w:t>二</w:t>
      </w:r>
      <w:r>
        <w:rPr>
          <w:rFonts w:hint="eastAsia" w:ascii="宋体" w:hAnsi="宋体" w:eastAsia="宋体" w:cs="宋体"/>
          <w:b/>
          <w:color w:val="auto"/>
          <w:spacing w:val="4"/>
          <w:sz w:val="24"/>
          <w:highlight w:val="none"/>
          <w:lang w:eastAsia="zh-CN"/>
        </w:rPr>
        <w:t>、</w:t>
      </w:r>
      <w:r>
        <w:rPr>
          <w:rFonts w:hint="eastAsia" w:ascii="宋体" w:hAnsi="宋体" w:eastAsia="宋体" w:cs="宋体"/>
          <w:b/>
          <w:color w:val="auto"/>
          <w:spacing w:val="4"/>
          <w:sz w:val="24"/>
          <w:highlight w:val="none"/>
        </w:rPr>
        <w:t>评审程序</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pPr>
        <w:pStyle w:val="20"/>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44"/>
        <w:textAlignment w:val="auto"/>
        <w:rPr>
          <w:rFonts w:hint="eastAsia" w:ascii="宋体" w:hAnsi="宋体" w:eastAsia="宋体" w:cs="宋体"/>
          <w:sz w:val="24"/>
          <w:szCs w:val="24"/>
        </w:rPr>
      </w:pPr>
      <w:r>
        <w:rPr>
          <w:rFonts w:hint="eastAsia" w:ascii="宋体" w:hAnsi="宋体" w:cs="宋体"/>
          <w:sz w:val="24"/>
          <w:szCs w:val="24"/>
          <w:lang w:val="en-US" w:eastAsia="zh-CN"/>
        </w:rPr>
        <w:t>1、</w:t>
      </w:r>
      <w:r>
        <w:rPr>
          <w:rFonts w:hint="eastAsia" w:ascii="宋体" w:hAnsi="宋体" w:eastAsia="宋体" w:cs="宋体"/>
          <w:sz w:val="24"/>
          <w:szCs w:val="24"/>
        </w:rPr>
        <w:t>按照</w:t>
      </w:r>
      <w:r>
        <w:rPr>
          <w:rFonts w:hint="eastAsia" w:ascii="宋体" w:hAnsi="宋体" w:eastAsia="宋体" w:cs="宋体"/>
          <w:sz w:val="24"/>
          <w:szCs w:val="24"/>
          <w:lang w:eastAsia="zh-CN"/>
        </w:rPr>
        <w:t>资审、符合性审查</w:t>
      </w:r>
      <w:r>
        <w:rPr>
          <w:rFonts w:hint="eastAsia" w:ascii="宋体" w:hAnsi="宋体" w:eastAsia="宋体" w:cs="宋体"/>
          <w:sz w:val="24"/>
          <w:szCs w:val="24"/>
        </w:rPr>
        <w:t>、</w:t>
      </w:r>
      <w:r>
        <w:rPr>
          <w:rFonts w:hint="eastAsia" w:ascii="宋体" w:hAnsi="宋体" w:eastAsia="宋体" w:cs="宋体"/>
          <w:spacing w:val="4"/>
          <w:kern w:val="2"/>
          <w:sz w:val="24"/>
          <w:szCs w:val="24"/>
          <w:highlight w:val="none"/>
          <w:lang w:val="en-US" w:eastAsia="zh-CN" w:bidi="ar"/>
        </w:rPr>
        <w:t>澄清有关问题、比较与评价、推荐成交候选人名单</w:t>
      </w:r>
      <w:r>
        <w:rPr>
          <w:rFonts w:hint="eastAsia" w:ascii="宋体" w:hAnsi="宋体" w:eastAsia="宋体" w:cs="宋体"/>
          <w:sz w:val="24"/>
          <w:szCs w:val="24"/>
        </w:rPr>
        <w:t>进行评审。在上一步评审中被废标者，不进入下一步的评审。</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ascii="宋体" w:hAnsi="宋体"/>
          <w:szCs w:val="24"/>
        </w:rPr>
      </w:pPr>
      <w:r>
        <w:rPr>
          <w:rFonts w:hint="eastAsia" w:ascii="宋体" w:hAnsi="宋体"/>
          <w:szCs w:val="24"/>
        </w:rPr>
        <w:t>采购人对各个供应商的响应文件先进行资格审查，磋商小组再进行符合性审查，审查全都合格的供应商才有参加磋商与承诺的资格。</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rPr>
        <w:t>1.1资格审查内容为：供应商须知前附表（供应商</w:t>
      </w:r>
      <w:r>
        <w:rPr>
          <w:rFonts w:hint="eastAsia" w:ascii="宋体" w:hAnsi="宋体"/>
          <w:szCs w:val="24"/>
          <w:lang w:eastAsia="zh-CN"/>
        </w:rPr>
        <w:t>、</w:t>
      </w:r>
      <w:r>
        <w:rPr>
          <w:rFonts w:hint="eastAsia" w:ascii="宋体" w:hAnsi="宋体"/>
          <w:szCs w:val="24"/>
          <w:lang w:val="en-US" w:eastAsia="zh-CN"/>
        </w:rPr>
        <w:t>投标人</w:t>
      </w:r>
      <w:r>
        <w:rPr>
          <w:rFonts w:hint="eastAsia" w:ascii="宋体" w:hAnsi="宋体"/>
          <w:szCs w:val="24"/>
        </w:rPr>
        <w:t>资质证明文件）</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b w:val="0"/>
          <w:bCs w:val="0"/>
          <w:szCs w:val="24"/>
        </w:rPr>
      </w:pPr>
      <w:r>
        <w:rPr>
          <w:rFonts w:hint="eastAsia" w:ascii="宋体" w:hAnsi="宋体"/>
          <w:b w:val="0"/>
          <w:bCs w:val="0"/>
          <w:szCs w:val="24"/>
          <w:lang w:val="en-US" w:eastAsia="zh-CN"/>
        </w:rPr>
        <w:t>2、</w:t>
      </w:r>
      <w:r>
        <w:rPr>
          <w:rFonts w:hint="eastAsia" w:ascii="宋体" w:hAnsi="宋体"/>
          <w:b w:val="0"/>
          <w:bCs w:val="0"/>
          <w:szCs w:val="24"/>
        </w:rPr>
        <w:t>符合性审查内容</w:t>
      </w:r>
      <w:r>
        <w:rPr>
          <w:rFonts w:hint="eastAsia" w:ascii="宋体" w:hAnsi="宋体"/>
          <w:b w:val="0"/>
          <w:bCs w:val="0"/>
          <w:szCs w:val="24"/>
          <w:lang w:eastAsia="zh-CN"/>
        </w:rPr>
        <w:t>见下表</w:t>
      </w:r>
      <w:r>
        <w:rPr>
          <w:rFonts w:hint="eastAsia" w:ascii="宋体" w:hAnsi="宋体"/>
          <w:b w:val="0"/>
          <w:bCs w:val="0"/>
          <w:szCs w:val="24"/>
        </w:rPr>
        <w:t>：</w:t>
      </w:r>
    </w:p>
    <w:tbl>
      <w:tblPr>
        <w:tblStyle w:val="26"/>
        <w:tblW w:w="905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7"/>
        <w:gridCol w:w="2999"/>
        <w:gridCol w:w="51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6" w:hRule="atLeast"/>
          <w:jc w:val="center"/>
        </w:trPr>
        <w:tc>
          <w:tcPr>
            <w:tcW w:w="877" w:type="dxa"/>
            <w:shd w:val="clear" w:color="auto" w:fill="D7D7D7"/>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2999" w:type="dxa"/>
            <w:shd w:val="clear" w:color="auto" w:fill="D7D7D7"/>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符合性审查项</w:t>
            </w:r>
          </w:p>
        </w:tc>
        <w:tc>
          <w:tcPr>
            <w:tcW w:w="5176" w:type="dxa"/>
            <w:shd w:val="clear" w:color="auto" w:fill="D7D7D7"/>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通过条件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8" w:hRule="atLeast"/>
          <w:jc w:val="center"/>
        </w:trPr>
        <w:tc>
          <w:tcPr>
            <w:tcW w:w="877" w:type="dxa"/>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2999"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响应文件封面、</w:t>
            </w:r>
            <w:r>
              <w:rPr>
                <w:rFonts w:hint="eastAsia" w:ascii="宋体" w:hAnsi="宋体" w:eastAsia="宋体" w:cs="宋体"/>
                <w:sz w:val="24"/>
                <w:szCs w:val="24"/>
                <w:lang w:eastAsia="zh-CN"/>
              </w:rPr>
              <w:t>响应</w:t>
            </w:r>
            <w:r>
              <w:rPr>
                <w:rFonts w:hint="eastAsia" w:ascii="宋体" w:hAnsi="宋体" w:eastAsia="宋体" w:cs="宋体"/>
                <w:sz w:val="24"/>
                <w:szCs w:val="24"/>
              </w:rPr>
              <w:t>函、法定代表人授权委托书三处的项目名称、项目编号、标段</w:t>
            </w:r>
          </w:p>
        </w:tc>
        <w:tc>
          <w:tcPr>
            <w:tcW w:w="5176"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三处均无遗漏，且与所投项目名称、项目编号、标段一致。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4" w:hRule="atLeast"/>
          <w:jc w:val="center"/>
        </w:trPr>
        <w:tc>
          <w:tcPr>
            <w:tcW w:w="877" w:type="dxa"/>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2999"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响应文件签署、盖章</w:t>
            </w:r>
          </w:p>
        </w:tc>
        <w:tc>
          <w:tcPr>
            <w:tcW w:w="5176"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均按磋商文件要求盖章。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46" w:hRule="atLeast"/>
          <w:jc w:val="center"/>
        </w:trPr>
        <w:tc>
          <w:tcPr>
            <w:tcW w:w="877" w:type="dxa"/>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3</w:t>
            </w:r>
          </w:p>
        </w:tc>
        <w:tc>
          <w:tcPr>
            <w:tcW w:w="2999"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响应文件组成</w:t>
            </w:r>
          </w:p>
        </w:tc>
        <w:tc>
          <w:tcPr>
            <w:tcW w:w="5176"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响应文件应包含以下内容：</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（1）响应函；</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（2）第一次磋商报价表；</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（3）资格证明文件；</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（4）供应商概况；</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（5）供应商参加政府采购活动承诺书；</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（6）响应方案。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9" w:hRule="atLeast"/>
          <w:jc w:val="center"/>
        </w:trPr>
        <w:tc>
          <w:tcPr>
            <w:tcW w:w="877" w:type="dxa"/>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4</w:t>
            </w:r>
          </w:p>
        </w:tc>
        <w:tc>
          <w:tcPr>
            <w:tcW w:w="2999"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响应文件有效期</w:t>
            </w:r>
          </w:p>
        </w:tc>
        <w:tc>
          <w:tcPr>
            <w:tcW w:w="5176"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响应文件有效期符合磋商文件要求。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0" w:hRule="atLeast"/>
          <w:jc w:val="center"/>
        </w:trPr>
        <w:tc>
          <w:tcPr>
            <w:tcW w:w="877" w:type="dxa"/>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5</w:t>
            </w:r>
          </w:p>
        </w:tc>
        <w:tc>
          <w:tcPr>
            <w:tcW w:w="2999"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第一次磋商报价一览表</w:t>
            </w:r>
          </w:p>
        </w:tc>
        <w:tc>
          <w:tcPr>
            <w:tcW w:w="5176"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磋商报价符合唯一性要求</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磋商一览表填写符合要求；</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rPr>
              <w:t>计量单位、报价货币均符合磋商文件要求；</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w:t>
            </w:r>
            <w:r>
              <w:rPr>
                <w:rFonts w:hint="eastAsia" w:ascii="宋体" w:hAnsi="宋体" w:eastAsia="宋体" w:cs="宋体"/>
                <w:sz w:val="24"/>
                <w:szCs w:val="24"/>
              </w:rPr>
              <w:t>未超出采购预算或磋商文件规定的最高限价。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70" w:hRule="atLeast"/>
          <w:jc w:val="center"/>
        </w:trPr>
        <w:tc>
          <w:tcPr>
            <w:tcW w:w="877" w:type="dxa"/>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6</w:t>
            </w:r>
          </w:p>
        </w:tc>
        <w:tc>
          <w:tcPr>
            <w:tcW w:w="2999"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监理工作范围</w:t>
            </w:r>
          </w:p>
        </w:tc>
        <w:tc>
          <w:tcPr>
            <w:tcW w:w="5176"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符合</w:t>
            </w:r>
            <w:r>
              <w:rPr>
                <w:rFonts w:hint="eastAsia" w:ascii="宋体" w:hAnsi="宋体" w:eastAsia="宋体" w:cs="宋体"/>
                <w:sz w:val="24"/>
                <w:szCs w:val="24"/>
              </w:rPr>
              <w:t>供应商须知前附表</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9</w:t>
            </w:r>
            <w:r>
              <w:rPr>
                <w:rFonts w:hint="eastAsia" w:ascii="宋体" w:hAnsi="宋体" w:eastAsia="宋体" w:cs="宋体"/>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32" w:hRule="atLeast"/>
          <w:jc w:val="center"/>
        </w:trPr>
        <w:tc>
          <w:tcPr>
            <w:tcW w:w="877" w:type="dxa"/>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7</w:t>
            </w:r>
          </w:p>
        </w:tc>
        <w:tc>
          <w:tcPr>
            <w:tcW w:w="2999"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工期控制目标</w:t>
            </w:r>
          </w:p>
        </w:tc>
        <w:tc>
          <w:tcPr>
            <w:tcW w:w="5176"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符合</w:t>
            </w:r>
            <w:r>
              <w:rPr>
                <w:rFonts w:hint="eastAsia" w:ascii="宋体" w:hAnsi="宋体" w:eastAsia="宋体" w:cs="宋体"/>
                <w:sz w:val="24"/>
                <w:szCs w:val="24"/>
              </w:rPr>
              <w:t>供应商须知前附表</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10</w:t>
            </w:r>
            <w:r>
              <w:rPr>
                <w:rFonts w:hint="eastAsia" w:ascii="宋体" w:hAnsi="宋体" w:eastAsia="宋体" w:cs="宋体"/>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51" w:hRule="atLeast"/>
          <w:jc w:val="center"/>
        </w:trPr>
        <w:tc>
          <w:tcPr>
            <w:tcW w:w="877" w:type="dxa"/>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8</w:t>
            </w:r>
          </w:p>
        </w:tc>
        <w:tc>
          <w:tcPr>
            <w:tcW w:w="2999"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质量控制目标</w:t>
            </w:r>
          </w:p>
        </w:tc>
        <w:tc>
          <w:tcPr>
            <w:tcW w:w="5176"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符合</w:t>
            </w:r>
            <w:r>
              <w:rPr>
                <w:rFonts w:hint="eastAsia" w:ascii="宋体" w:hAnsi="宋体" w:eastAsia="宋体" w:cs="宋体"/>
                <w:sz w:val="24"/>
                <w:szCs w:val="24"/>
              </w:rPr>
              <w:t>供应商须知前附表</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11</w:t>
            </w:r>
            <w:r>
              <w:rPr>
                <w:rFonts w:hint="eastAsia" w:ascii="宋体" w:hAnsi="宋体" w:eastAsia="宋体" w:cs="宋体"/>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51" w:hRule="atLeast"/>
          <w:jc w:val="center"/>
        </w:trPr>
        <w:tc>
          <w:tcPr>
            <w:tcW w:w="877" w:type="dxa"/>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9</w:t>
            </w:r>
          </w:p>
        </w:tc>
        <w:tc>
          <w:tcPr>
            <w:tcW w:w="2999"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4"/>
                <w:szCs w:val="24"/>
              </w:rPr>
            </w:pPr>
            <w:r>
              <w:rPr>
                <w:rFonts w:hint="eastAsia" w:ascii="宋体" w:hAnsi="宋体" w:eastAsia="宋体" w:cs="宋体"/>
                <w:sz w:val="24"/>
                <w:szCs w:val="24"/>
              </w:rPr>
              <w:t>投标有效期</w:t>
            </w:r>
          </w:p>
        </w:tc>
        <w:tc>
          <w:tcPr>
            <w:tcW w:w="5176"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符合</w:t>
            </w:r>
            <w:r>
              <w:rPr>
                <w:rFonts w:hint="eastAsia" w:ascii="宋体" w:hAnsi="宋体" w:eastAsia="宋体" w:cs="宋体"/>
                <w:sz w:val="24"/>
                <w:szCs w:val="24"/>
              </w:rPr>
              <w:t>供应商须知前附表</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21</w:t>
            </w:r>
            <w:r>
              <w:rPr>
                <w:rFonts w:hint="eastAsia" w:ascii="宋体" w:hAnsi="宋体" w:eastAsia="宋体" w:cs="宋体"/>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51" w:hRule="atLeast"/>
          <w:jc w:val="center"/>
        </w:trPr>
        <w:tc>
          <w:tcPr>
            <w:tcW w:w="877" w:type="dxa"/>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10</w:t>
            </w:r>
          </w:p>
        </w:tc>
        <w:tc>
          <w:tcPr>
            <w:tcW w:w="2999"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rPr>
              <w:t>投标</w:t>
            </w:r>
            <w:r>
              <w:rPr>
                <w:rFonts w:hint="eastAsia" w:ascii="宋体" w:hAnsi="宋体" w:eastAsia="宋体" w:cs="宋体"/>
                <w:sz w:val="24"/>
                <w:szCs w:val="24"/>
                <w:lang w:val="en-US" w:eastAsia="zh-CN"/>
              </w:rPr>
              <w:t>信用承诺书</w:t>
            </w:r>
          </w:p>
        </w:tc>
        <w:tc>
          <w:tcPr>
            <w:tcW w:w="5176" w:type="dxa"/>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符合</w:t>
            </w:r>
            <w:r>
              <w:rPr>
                <w:rFonts w:hint="eastAsia" w:ascii="宋体" w:hAnsi="宋体" w:eastAsia="宋体" w:cs="宋体"/>
                <w:sz w:val="24"/>
                <w:szCs w:val="24"/>
              </w:rPr>
              <w:t>供应商须知前附表</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22</w:t>
            </w:r>
            <w:r>
              <w:rPr>
                <w:rFonts w:hint="eastAsia" w:ascii="宋体" w:hAnsi="宋体" w:eastAsia="宋体" w:cs="宋体"/>
                <w:sz w:val="24"/>
                <w:szCs w:val="24"/>
                <w:lang w:eastAsia="zh-CN"/>
              </w:rPr>
              <w:t>”</w:t>
            </w:r>
          </w:p>
        </w:tc>
      </w:tr>
    </w:tbl>
    <w:p>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Cs w:val="24"/>
          <w:lang w:eastAsia="zh-CN"/>
        </w:rPr>
      </w:pP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lang w:val="en-US" w:eastAsia="zh-CN"/>
        </w:rPr>
        <w:t>3、</w:t>
      </w:r>
      <w:r>
        <w:rPr>
          <w:rFonts w:hint="eastAsia" w:ascii="宋体" w:hAnsi="宋体"/>
          <w:szCs w:val="24"/>
        </w:rPr>
        <w:t>对响应文件含义不明确、同类问题表述不一致或者有明显文字和计算错误的内容，磋商小组可以要求供应商在规定的时间内做出必要的澄清、说明或者纠正。供应商的澄清、说明或者补正应当采用书面形式，有其授权的代表签字，并不得超出磋商响应文件的范围或者改变响应文件的实质性内容。</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lang w:val="en-US" w:eastAsia="zh-CN"/>
        </w:rPr>
        <w:t>3</w:t>
      </w:r>
      <w:r>
        <w:rPr>
          <w:rFonts w:hint="eastAsia" w:ascii="宋体" w:hAnsi="宋体"/>
          <w:szCs w:val="24"/>
        </w:rPr>
        <w:t>.1澄清文件将作为响应文件的一部分。</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lang w:val="en-US" w:eastAsia="zh-CN"/>
        </w:rPr>
        <w:t>3</w:t>
      </w:r>
      <w:r>
        <w:rPr>
          <w:rFonts w:hint="eastAsia" w:ascii="宋体" w:hAnsi="宋体"/>
          <w:szCs w:val="24"/>
        </w:rPr>
        <w:t>.2算术错误将按以下方法更正：</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lang w:val="en-US" w:eastAsia="zh-CN"/>
        </w:rPr>
        <w:t>3</w:t>
      </w:r>
      <w:r>
        <w:rPr>
          <w:rFonts w:hint="eastAsia" w:ascii="宋体" w:hAnsi="宋体"/>
          <w:szCs w:val="24"/>
        </w:rPr>
        <w:t>.2.1响应文件的大写金额和小写金额不一致的，以大写金额为准；</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lang w:val="en-US" w:eastAsia="zh-CN"/>
        </w:rPr>
        <w:t>3</w:t>
      </w:r>
      <w:r>
        <w:rPr>
          <w:rFonts w:hint="eastAsia" w:ascii="宋体" w:hAnsi="宋体"/>
          <w:szCs w:val="24"/>
        </w:rPr>
        <w:t>.2.2总价金额与按单价汇总金额不一致的，以单价金额计算结果为准；</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lang w:val="en-US" w:eastAsia="zh-CN"/>
        </w:rPr>
        <w:t>3</w:t>
      </w:r>
      <w:r>
        <w:rPr>
          <w:rFonts w:hint="eastAsia" w:ascii="宋体" w:hAnsi="宋体"/>
          <w:szCs w:val="24"/>
        </w:rPr>
        <w:t>.2.3单价金额小数点有明显错位的，应当以总价为准，并修改单价；</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rPr>
        <w:t>2.2.4对不同文字文本磋商响应文件的解释发生异议的，以中文文本为准；</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lang w:val="en-US" w:eastAsia="zh-CN"/>
        </w:rPr>
        <w:t>3</w:t>
      </w:r>
      <w:r>
        <w:rPr>
          <w:rFonts w:hint="eastAsia" w:ascii="宋体" w:hAnsi="宋体"/>
          <w:szCs w:val="24"/>
        </w:rPr>
        <w:t>.2.5对于供应商不接受对其错误的更改，其磋商属于无效磋商情形。</w:t>
      </w:r>
    </w:p>
    <w:p>
      <w:pPr>
        <w:spacing w:line="360" w:lineRule="auto"/>
        <w:rPr>
          <w:rFonts w:hint="eastAsia" w:ascii="宋体" w:hAnsi="宋体" w:eastAsia="宋体" w:cs="宋体"/>
          <w:b/>
          <w:bCs/>
          <w:spacing w:val="4"/>
          <w:sz w:val="24"/>
          <w:szCs w:val="24"/>
          <w:lang w:val="en-US" w:eastAsia="zh-CN"/>
        </w:rPr>
      </w:pPr>
      <w:r>
        <w:rPr>
          <w:rFonts w:hint="eastAsia" w:ascii="宋体" w:hAnsi="宋体" w:eastAsia="宋体" w:cs="宋体"/>
          <w:b/>
          <w:bCs/>
          <w:spacing w:val="4"/>
          <w:sz w:val="24"/>
          <w:szCs w:val="24"/>
          <w:lang w:val="en-US" w:eastAsia="zh-CN"/>
        </w:rPr>
        <w:t>三、享受的政府采购政策</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olor w:val="000000"/>
          <w:sz w:val="24"/>
          <w:lang w:val="en-US" w:eastAsia="zh-CN"/>
        </w:rPr>
        <w:t>1、</w:t>
      </w:r>
      <w:r>
        <w:rPr>
          <w:rFonts w:hint="eastAsia" w:ascii="宋体" w:hAnsi="宋体" w:eastAsia="宋体"/>
          <w:color w:val="000000"/>
          <w:sz w:val="24"/>
        </w:rPr>
        <w:t>中小企业落实政府采购政策：落实</w:t>
      </w:r>
      <w:r>
        <w:rPr>
          <w:rFonts w:hint="eastAsia" w:ascii="宋体" w:hAnsi="宋体" w:eastAsia="宋体" w:cs="宋体"/>
          <w:sz w:val="24"/>
        </w:rPr>
        <w:t>促进支持中小企业、监狱企业、残疾人福利性单位发展、脱贫攻坚工作的政策(如为专门面向中小企业的采购项目（或采购包），不执行</w:t>
      </w:r>
      <w:r>
        <w:rPr>
          <w:rFonts w:hint="eastAsia" w:ascii="宋体" w:hAnsi="宋体" w:eastAsia="宋体" w:cs="宋体"/>
          <w:sz w:val="24"/>
          <w:lang w:eastAsia="zh-CN"/>
        </w:rPr>
        <w:t>以下</w:t>
      </w:r>
      <w:r>
        <w:rPr>
          <w:rFonts w:hint="eastAsia" w:ascii="宋体" w:hAnsi="宋体" w:eastAsia="宋体" w:cs="宋体"/>
          <w:sz w:val="24"/>
        </w:rPr>
        <w:t>条款。)</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lang w:val="en-US" w:eastAsia="zh-CN"/>
        </w:rPr>
        <w:t>1.1</w:t>
      </w:r>
      <w:r>
        <w:rPr>
          <w:rFonts w:hint="eastAsia" w:ascii="宋体" w:hAnsi="宋体" w:eastAsia="宋体" w:cs="宋体"/>
          <w:sz w:val="24"/>
        </w:rPr>
        <w:t>《政府采购促进中小企业发展管理办法》（财库〔2020〕46号）</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在政府采购活动中，供应商提供的货物、工程或者服务符合下列情形的，享受《办法》规定的中小企业扶持政策:</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(一)在货物采购项目中，货物由中小企业制造，即货物由中小企业生产且使用该中小企业商号或者注册商标；</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(二)在工程采购项目中，工程由中小企业承建，即工程施工单位为中小企业；</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(三)在服务采购项目中，服务由中小企业承接，即提供服务的人员为中小企业依照《中华人民共和国民法典》订立劳动合同的从业人员。</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在货物采购项目中，供应商提供的货物既有中小企业制造货物，也有大型企业制造货物的，不享受《办法》规定的中小企业扶持政策。</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以联合体形式参加政府采购活动，联合体各方均为中小企业的，联合体视同中小企业。其中，联合体各方均为小微企业的，联合体视同小微企业。</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依据《办法》规定享受扶持政策获得政府采购合同的，小微企业不得将合同分包给大中型企业，中型企业不得将合同分包给大型企业。</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根据《政府采购促进中小企业发展管理办法》的通知（财库〔2020〕46号）规定，参加政府采购活动的中小企业应当提供《中小企业声明函》。供应商提供的《中小企业声明函》原件必须真实，否则，按照有关规定予以处理。</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根据《政府采购促进中小企业发展管理办法》的相关规定，小微企业报价给予10%(工程项目为3%)的扣除，用扣除后的价格参加评审。适用招标投标法的政府采购工程建设项目，采用综合评分法但未采用低价优先法计算价格分的，评标时应当在采用原报价进行评分的基础上增加其价格得分的3%作为其价格分。</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2%(工程项目为1%)的扣除，用扣除后的价格参加评审。适用招标投标法的政府采购工程建设项目，采用综合评分法但未采用低价优先法计算价格分的，评标时应当在采用原报价进行评分的基础上增加其价格得分的1%作为其价格分。组成联合体或者接受分包的小微企业与联合体内其他企业、分包企业之间存在直接控股、管理关系的，不享受价格扣除优惠政策。</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lang w:val="en-US" w:eastAsia="zh-CN"/>
        </w:rPr>
        <w:t>1.2</w:t>
      </w:r>
      <w:r>
        <w:rPr>
          <w:rFonts w:hint="eastAsia" w:ascii="宋体" w:hAnsi="宋体" w:eastAsia="宋体" w:cs="宋体"/>
          <w:sz w:val="24"/>
        </w:rPr>
        <w:t xml:space="preserve"> 《财政部 司法部关于政府采购支持监狱企业发展有关问题的通知》（财库〔2014〕68号）</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监狱企业参加政府采购活动时，应当提供由省级以上监狱管理局、戒毒管理局（含新疆生产建设兵团）出具的属于监狱企业的证明文件。在政府采购活动中，监狱企业视同小型、微型企业。</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lang w:val="en-US" w:eastAsia="zh-CN"/>
        </w:rPr>
        <w:t>1.3</w:t>
      </w:r>
      <w:r>
        <w:rPr>
          <w:rFonts w:hint="eastAsia" w:ascii="宋体" w:hAnsi="宋体" w:eastAsia="宋体" w:cs="宋体"/>
          <w:sz w:val="24"/>
        </w:rPr>
        <w:t>《三部门联合发布关于促进残疾人就业政府采购政策的通知》（财库〔2017〕141号）；</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 xml:space="preserve">符合条件的残疾人福利性单位在参加政府采购活动时，应当提供本通知规定的《残疾人福利性单位声明函》，并对声明的真实性负责。在政府采购活动中，残疾人福利性单位视同小型、微型企业，享受预留份额。  </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lang w:val="en-US" w:eastAsia="zh-CN"/>
        </w:rPr>
        <w:t>2、</w:t>
      </w:r>
      <w:r>
        <w:rPr>
          <w:rFonts w:hint="eastAsia" w:ascii="宋体" w:hAnsi="宋体" w:eastAsia="宋体" w:cs="宋体"/>
          <w:sz w:val="24"/>
        </w:rPr>
        <w:t>落实优先采购节能、环保产品的政策（所投产品满足以下文件要求中任意一条（及以上），其价格给予3%的扣除，用扣除后价格参与评审。</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2.1 根据《财政部 国家发展改革委关于印发〈节能产品政府采购实施意见〉的通知》（财库〔2004〕185号）规定“政府采购属于节能产品品目清单的，在技术、服务等指标同等条件下，应当优先采购节能品目清单的节能产品。”</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2.2 根据《财政部环保总局关于环境标志产品政府采购实施的意见》（财库〔2006〕90号）规定“采购人采购的产品属于环境标志产品政府采购清单中品目的，在性能、技术、服务等指标同等条件下，应当优先采购清单中的产品”。</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2.3 根据《国务院办公厅关于建立政府强制采购节能产品制度的通知》（国办发〔2007〕51号）有关要求，“使用财政性资金进行政府采购活动时，在技术、服务等指标满足采购需求的前提下，要优先采购节能产品，对部分节能效果、性能等达到要求的产品，实行强制采购，以促进节约能源，保护环境，降低政府机构能源费用开支。”</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2.4根据《财政部 发展改革委 生态环境部 市场监管总局关于调整优化节能产品、环境标志产品政府采购执行机制的通知》（财库〔2019〕9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2.5 所有投标产品进入 “节能产品政府采购品目清单”的，应提供相关证书复印件，相关证书的颁发机构应来自《参与实施政府采购节能产品认证机构名录》。</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2.6 所有投标产品进入“环境标志产品政府采购品目清单”的，应提供相关证书复印件，相关证书的颁发机构应来自《参与实施政府采购环境标志产品认证机构名录》。</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2.7对于已列入品目清单的产品类别，采购人可在采购需求中提出更高的节约资源和保护环境要求，对符合条件的获证产品给予优先待遇。</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2.8投标供应商在投标文件中对所投标产品为节能、环保、环境标志产品清单中的产品，在投标报价时必须对此类产品单独分项报价，计算出小计金额。未提供节能、环保、环境标志产品计分明细表的不给予计分。</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2.9若节能、环保、环境标志清单内的产品仅是构成投标产品的部件、组件或零件的，则该投标产品不享受鼓励优惠政策。</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2.10同一标段的节能、环保、环境标志产品部分计分只对属于清单内的非强制类产品进行计分，强制类产品不给予计分。</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2.11节能、环保、环境标志产品不重复计分；同时列入国家级清单和省级清单的产品不重复计分。</w:t>
      </w:r>
    </w:p>
    <w:p>
      <w:pPr>
        <w:pageBreakBefore w:val="0"/>
        <w:kinsoku/>
        <w:wordWrap/>
        <w:overflowPunct/>
        <w:topLinePunct w:val="0"/>
        <w:autoSpaceDE/>
        <w:autoSpaceDN/>
        <w:bidi w:val="0"/>
        <w:adjustRightInd/>
        <w:snapToGrid/>
        <w:spacing w:line="360" w:lineRule="auto"/>
        <w:textAlignment w:val="auto"/>
        <w:rPr>
          <w:rFonts w:ascii="宋体" w:hAnsi="宋体"/>
          <w:b/>
          <w:bCs/>
          <w:szCs w:val="24"/>
        </w:rPr>
      </w:pPr>
      <w:r>
        <w:rPr>
          <w:rFonts w:hint="eastAsia" w:ascii="宋体" w:hAnsi="宋体"/>
          <w:b/>
          <w:bCs/>
          <w:szCs w:val="24"/>
          <w:lang w:eastAsia="zh-CN"/>
        </w:rPr>
        <w:t>四</w:t>
      </w:r>
      <w:r>
        <w:rPr>
          <w:rFonts w:hint="eastAsia" w:ascii="宋体" w:hAnsi="宋体"/>
          <w:b/>
          <w:bCs/>
          <w:szCs w:val="24"/>
        </w:rPr>
        <w:t>、磋商</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rPr>
        <w:t>1</w:t>
      </w:r>
      <w:r>
        <w:rPr>
          <w:rFonts w:hint="eastAsia" w:ascii="宋体" w:hAnsi="宋体"/>
          <w:szCs w:val="24"/>
          <w:lang w:val="en-US" w:eastAsia="zh-CN"/>
        </w:rPr>
        <w:t>.</w:t>
      </w:r>
      <w:r>
        <w:rPr>
          <w:rFonts w:hint="eastAsia" w:ascii="宋体" w:hAnsi="宋体"/>
          <w:szCs w:val="24"/>
        </w:rPr>
        <w:t>磋商小组根据各磋商供应商响应文件响应情况决定是否与各供应商进行磋商，磋商方式为磋商小组所有成员集中与单一供应商分别进行磋商，并给与参加磋商的供应商平等的磋商机会。</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rPr>
        <w:t>2</w:t>
      </w:r>
      <w:r>
        <w:rPr>
          <w:rFonts w:hint="eastAsia" w:ascii="宋体" w:hAnsi="宋体"/>
          <w:szCs w:val="24"/>
          <w:lang w:val="en-US" w:eastAsia="zh-CN"/>
        </w:rPr>
        <w:t>.</w:t>
      </w:r>
      <w:r>
        <w:rPr>
          <w:rFonts w:hint="eastAsia" w:ascii="宋体" w:hAnsi="宋体"/>
          <w:szCs w:val="24"/>
        </w:rPr>
        <w:t>经磋商小组评审，质量和服务均能满足磋商文件实质性响应要求的供应商才具有最后报价的机会。供应商应按磋商小组规定的时间进行最后报价，并由法定代表人或其授权人签字，最后报价现场不公布。该磋商报价为不可更改价格，作为磋商小组推荐成交候选人的依据。</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rPr>
        <w:t>3</w:t>
      </w:r>
      <w:r>
        <w:rPr>
          <w:rFonts w:hint="eastAsia" w:ascii="宋体" w:hAnsi="宋体"/>
          <w:szCs w:val="24"/>
          <w:lang w:val="en-US" w:eastAsia="zh-CN"/>
        </w:rPr>
        <w:t>.</w:t>
      </w:r>
      <w:r>
        <w:rPr>
          <w:rFonts w:hint="eastAsia" w:ascii="宋体" w:hAnsi="宋体"/>
          <w:szCs w:val="24"/>
        </w:rPr>
        <w:t>磋商小组认为供应商的最后报价明显不合理或者低于成本，有可能影响质量和不能诚信履约的，要求其在磋商小组规定的期限内提供书面文件予以解释说明，并提交相关证明材料；如果其不能在磋商小组规定时间内够提供相关材料证明其报价的合理性，其最后报价为无效报价。</w:t>
      </w:r>
    </w:p>
    <w:p>
      <w:pPr>
        <w:pageBreakBefore w:val="0"/>
        <w:kinsoku/>
        <w:wordWrap/>
        <w:overflowPunct/>
        <w:topLinePunct w:val="0"/>
        <w:autoSpaceDE/>
        <w:autoSpaceDN/>
        <w:bidi w:val="0"/>
        <w:adjustRightInd/>
        <w:snapToGrid/>
        <w:spacing w:line="360" w:lineRule="auto"/>
        <w:textAlignment w:val="auto"/>
        <w:rPr>
          <w:rFonts w:ascii="宋体" w:hAnsi="宋体"/>
          <w:b/>
          <w:bCs w:val="0"/>
          <w:szCs w:val="24"/>
        </w:rPr>
      </w:pPr>
      <w:r>
        <w:rPr>
          <w:rFonts w:hint="eastAsia" w:ascii="宋体" w:hAnsi="宋体" w:cs="宋体"/>
          <w:b/>
          <w:bCs w:val="0"/>
          <w:spacing w:val="4"/>
          <w:szCs w:val="24"/>
          <w:lang w:val="en-US" w:eastAsia="zh-CN"/>
        </w:rPr>
        <w:t>五</w:t>
      </w:r>
      <w:r>
        <w:rPr>
          <w:rFonts w:hint="eastAsia" w:ascii="宋体" w:hAnsi="宋体" w:cs="宋体"/>
          <w:b/>
          <w:bCs w:val="0"/>
          <w:spacing w:val="4"/>
          <w:szCs w:val="24"/>
        </w:rPr>
        <w:t>、</w:t>
      </w:r>
      <w:r>
        <w:rPr>
          <w:rFonts w:hint="eastAsia" w:ascii="宋体" w:hAnsi="宋体"/>
          <w:b/>
          <w:bCs w:val="0"/>
          <w:szCs w:val="24"/>
        </w:rPr>
        <w:t>评审方法</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ascii="宋体" w:hAnsi="宋体"/>
          <w:szCs w:val="24"/>
        </w:rPr>
      </w:pPr>
      <w:r>
        <w:rPr>
          <w:rFonts w:hint="eastAsia" w:ascii="宋体" w:hAnsi="宋体"/>
          <w:szCs w:val="24"/>
        </w:rPr>
        <w:t>磋商小组从质量和服务均能满足磋商文件实质性响应要求的供应商中，按照最后得分由高到低的顺序提出成交候选人。</w:t>
      </w:r>
    </w:p>
    <w:p>
      <w:pPr>
        <w:pageBreakBefore w:val="0"/>
        <w:kinsoku/>
        <w:wordWrap/>
        <w:overflowPunct/>
        <w:topLinePunct w:val="0"/>
        <w:autoSpaceDE/>
        <w:autoSpaceDN/>
        <w:bidi w:val="0"/>
        <w:adjustRightInd/>
        <w:snapToGrid/>
        <w:spacing w:line="360" w:lineRule="auto"/>
        <w:jc w:val="center"/>
        <w:textAlignment w:val="auto"/>
        <w:rPr>
          <w:rFonts w:ascii="宋体" w:hAnsi="宋体"/>
          <w:b/>
          <w:snapToGrid w:val="0"/>
          <w:szCs w:val="24"/>
        </w:rPr>
      </w:pPr>
      <w:r>
        <w:rPr>
          <w:rFonts w:hint="eastAsia" w:ascii="宋体" w:hAnsi="宋体"/>
          <w:b/>
          <w:snapToGrid w:val="0"/>
          <w:szCs w:val="24"/>
        </w:rPr>
        <w:t>评分内容和评分方式</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highlight w:val="yellow"/>
        </w:rPr>
      </w:pPr>
      <w:r>
        <w:rPr>
          <w:rFonts w:hint="eastAsia" w:ascii="宋体" w:hAnsi="宋体"/>
          <w:szCs w:val="24"/>
        </w:rPr>
        <w:t>总分100分，每个供应商每项评分因素得分汇总即为最后得分，各项评分因素具体内容及打分标准如下：</w:t>
      </w:r>
    </w:p>
    <w:p>
      <w:pPr>
        <w:pageBreakBefore w:val="0"/>
        <w:kinsoku/>
        <w:wordWrap/>
        <w:overflowPunct/>
        <w:topLinePunct w:val="0"/>
        <w:autoSpaceDE/>
        <w:autoSpaceDN/>
        <w:bidi w:val="0"/>
        <w:adjustRightInd/>
        <w:snapToGrid/>
        <w:spacing w:line="360" w:lineRule="auto"/>
        <w:ind w:firstLine="496" w:firstLineChars="200"/>
        <w:textAlignment w:val="auto"/>
        <w:rPr>
          <w:color w:val="auto"/>
          <w:highlight w:val="none"/>
        </w:rPr>
      </w:pPr>
      <w:r>
        <w:rPr>
          <w:rFonts w:hint="eastAsia" w:ascii="宋体" w:hAnsi="宋体" w:cs="宋体"/>
          <w:spacing w:val="4"/>
          <w:szCs w:val="24"/>
        </w:rPr>
        <w:t>评价和比较以投标响应文件为依据，从“</w:t>
      </w:r>
      <w:r>
        <w:rPr>
          <w:rFonts w:hint="eastAsia" w:ascii="宋体" w:hAnsi="宋体" w:cs="宋体"/>
          <w:spacing w:val="4"/>
          <w:szCs w:val="24"/>
          <w:lang w:val="en-US" w:eastAsia="zh-CN"/>
        </w:rPr>
        <w:t>投标</w:t>
      </w:r>
      <w:r>
        <w:rPr>
          <w:rFonts w:hint="eastAsia" w:ascii="宋体" w:hAnsi="宋体" w:cs="宋体"/>
          <w:spacing w:val="4"/>
          <w:szCs w:val="24"/>
        </w:rPr>
        <w:t>报价”、“</w:t>
      </w:r>
      <w:r>
        <w:rPr>
          <w:rFonts w:hint="eastAsia" w:ascii="宋体" w:hAnsi="宋体" w:cs="宋体"/>
          <w:spacing w:val="4"/>
          <w:szCs w:val="24"/>
          <w:lang w:val="en-US" w:eastAsia="zh-CN"/>
        </w:rPr>
        <w:t>监理大纲</w:t>
      </w:r>
      <w:r>
        <w:rPr>
          <w:rFonts w:hint="eastAsia" w:ascii="宋体" w:hAnsi="宋体" w:cs="宋体"/>
          <w:spacing w:val="4"/>
          <w:szCs w:val="24"/>
        </w:rPr>
        <w:t>”、“</w:t>
      </w:r>
      <w:r>
        <w:rPr>
          <w:rFonts w:hint="eastAsia" w:ascii="宋体" w:hAnsi="宋体" w:cs="宋体"/>
          <w:spacing w:val="4"/>
          <w:szCs w:val="24"/>
          <w:lang w:val="en-US" w:eastAsia="zh-CN"/>
        </w:rPr>
        <w:t>服务承诺</w:t>
      </w:r>
      <w:r>
        <w:rPr>
          <w:rFonts w:hint="eastAsia" w:ascii="宋体" w:hAnsi="宋体" w:cs="宋体"/>
          <w:spacing w:val="4"/>
          <w:szCs w:val="24"/>
          <w:lang w:eastAsia="zh-CN"/>
        </w:rPr>
        <w:t>”、“</w:t>
      </w:r>
      <w:r>
        <w:rPr>
          <w:rFonts w:hint="eastAsia" w:ascii="宋体" w:hAnsi="宋体" w:cs="宋体"/>
          <w:spacing w:val="4"/>
          <w:szCs w:val="24"/>
          <w:lang w:val="en-US" w:eastAsia="zh-CN"/>
        </w:rPr>
        <w:t>业绩</w:t>
      </w:r>
      <w:r>
        <w:rPr>
          <w:rFonts w:hint="eastAsia" w:ascii="宋体" w:hAnsi="宋体" w:cs="宋体"/>
          <w:spacing w:val="4"/>
          <w:szCs w:val="24"/>
          <w:lang w:eastAsia="zh-CN"/>
        </w:rPr>
        <w:t>”</w:t>
      </w:r>
      <w:r>
        <w:rPr>
          <w:rFonts w:hint="eastAsia" w:ascii="宋体" w:hAnsi="宋体" w:cs="宋体"/>
          <w:spacing w:val="4"/>
          <w:szCs w:val="24"/>
        </w:rPr>
        <w:t>等方面进行评审并按照百分制进行赋分。</w:t>
      </w:r>
    </w:p>
    <w:p>
      <w:pPr>
        <w:keepNext w:val="0"/>
        <w:keepLines w:val="0"/>
        <w:pageBreakBefore w:val="0"/>
        <w:overflowPunct/>
        <w:topLinePunct w:val="0"/>
        <w:bidi w:val="0"/>
        <w:adjustRightInd/>
        <w:spacing w:line="360" w:lineRule="auto"/>
        <w:ind w:firstLine="482" w:firstLineChars="200"/>
        <w:jc w:val="center"/>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《评审要素和分值分解表》</w:t>
      </w:r>
    </w:p>
    <w:tbl>
      <w:tblPr>
        <w:tblStyle w:val="26"/>
        <w:tblW w:w="100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05"/>
        <w:gridCol w:w="1350"/>
        <w:gridCol w:w="7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09" w:type="dxa"/>
            <w:noWrap w:val="0"/>
            <w:vAlign w:val="center"/>
          </w:tcPr>
          <w:p>
            <w:pPr>
              <w:jc w:val="center"/>
              <w:rPr>
                <w:rFonts w:ascii="仿宋" w:hAnsi="仿宋"/>
                <w:b/>
                <w:bCs/>
                <w:szCs w:val="22"/>
              </w:rPr>
            </w:pPr>
            <w:r>
              <w:rPr>
                <w:rFonts w:hint="eastAsia" w:ascii="仿宋" w:hAnsi="仿宋"/>
                <w:b/>
                <w:bCs/>
                <w:szCs w:val="22"/>
              </w:rPr>
              <w:t>序号</w:t>
            </w:r>
          </w:p>
        </w:tc>
        <w:tc>
          <w:tcPr>
            <w:tcW w:w="905" w:type="dxa"/>
            <w:noWrap w:val="0"/>
            <w:vAlign w:val="center"/>
          </w:tcPr>
          <w:p>
            <w:pPr>
              <w:jc w:val="center"/>
              <w:rPr>
                <w:rFonts w:ascii="仿宋" w:hAnsi="仿宋"/>
                <w:b/>
                <w:bCs/>
                <w:szCs w:val="22"/>
              </w:rPr>
            </w:pPr>
            <w:r>
              <w:rPr>
                <w:rFonts w:hint="eastAsia" w:ascii="仿宋" w:hAnsi="仿宋"/>
                <w:b/>
                <w:bCs/>
                <w:szCs w:val="22"/>
              </w:rPr>
              <w:t>评分因素</w:t>
            </w:r>
          </w:p>
        </w:tc>
        <w:tc>
          <w:tcPr>
            <w:tcW w:w="8436" w:type="dxa"/>
            <w:gridSpan w:val="2"/>
            <w:noWrap w:val="0"/>
            <w:vAlign w:val="center"/>
          </w:tcPr>
          <w:p>
            <w:pPr>
              <w:ind w:left="480" w:hanging="482" w:hangingChars="200"/>
              <w:jc w:val="center"/>
              <w:rPr>
                <w:rFonts w:ascii="仿宋" w:hAnsi="仿宋"/>
                <w:b/>
                <w:bCs/>
                <w:szCs w:val="22"/>
              </w:rPr>
            </w:pPr>
            <w:r>
              <w:rPr>
                <w:rFonts w:hint="eastAsia" w:ascii="仿宋" w:hAnsi="仿宋"/>
                <w:b/>
                <w:bCs/>
                <w:szCs w:val="22"/>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center"/>
          </w:tcPr>
          <w:p>
            <w:pPr>
              <w:jc w:val="center"/>
              <w:rPr>
                <w:rFonts w:ascii="仿宋" w:hAnsi="仿宋"/>
                <w:szCs w:val="22"/>
              </w:rPr>
            </w:pPr>
            <w:r>
              <w:rPr>
                <w:rFonts w:hint="eastAsia" w:ascii="仿宋" w:hAnsi="仿宋"/>
                <w:szCs w:val="22"/>
              </w:rPr>
              <w:t>1</w:t>
            </w:r>
          </w:p>
        </w:tc>
        <w:tc>
          <w:tcPr>
            <w:tcW w:w="905" w:type="dxa"/>
            <w:noWrap w:val="0"/>
            <w:vAlign w:val="center"/>
          </w:tcPr>
          <w:p>
            <w:pPr>
              <w:jc w:val="center"/>
              <w:rPr>
                <w:rFonts w:ascii="仿宋" w:hAnsi="仿宋"/>
                <w:color w:val="auto"/>
                <w:sz w:val="24"/>
                <w:szCs w:val="24"/>
              </w:rPr>
            </w:pPr>
            <w:r>
              <w:rPr>
                <w:rFonts w:hint="eastAsia" w:ascii="仿宋" w:hAnsi="仿宋"/>
                <w:color w:val="auto"/>
                <w:sz w:val="24"/>
                <w:szCs w:val="24"/>
              </w:rPr>
              <w:t>投标报价</w:t>
            </w:r>
          </w:p>
          <w:p>
            <w:pPr>
              <w:jc w:val="center"/>
              <w:rPr>
                <w:rFonts w:hint="eastAsia" w:ascii="仿宋" w:hAnsi="仿宋"/>
                <w:color w:val="auto"/>
                <w:sz w:val="24"/>
                <w:szCs w:val="24"/>
              </w:rPr>
            </w:pPr>
            <w:r>
              <w:rPr>
                <w:rFonts w:hint="eastAsia" w:ascii="仿宋" w:hAnsi="仿宋"/>
                <w:color w:val="auto"/>
                <w:sz w:val="24"/>
                <w:szCs w:val="24"/>
              </w:rPr>
              <w:t>（</w:t>
            </w:r>
            <w:r>
              <w:rPr>
                <w:rFonts w:hint="eastAsia" w:ascii="仿宋" w:hAnsi="仿宋"/>
                <w:color w:val="auto"/>
                <w:sz w:val="24"/>
                <w:szCs w:val="24"/>
                <w:lang w:val="en-US" w:eastAsia="zh-CN"/>
              </w:rPr>
              <w:t>1</w:t>
            </w:r>
            <w:r>
              <w:rPr>
                <w:rFonts w:hint="eastAsia" w:ascii="仿宋" w:hAnsi="仿宋"/>
                <w:color w:val="auto"/>
                <w:sz w:val="24"/>
                <w:szCs w:val="24"/>
              </w:rPr>
              <w:t>0分）</w:t>
            </w:r>
          </w:p>
        </w:tc>
        <w:tc>
          <w:tcPr>
            <w:tcW w:w="8436" w:type="dxa"/>
            <w:gridSpan w:val="2"/>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1.经资格审查及符合性审查合格的供应商，其投标报价为有效投标价，以二次（最终）报价为最终评审价格。对符合政策性扣减的有效投标报价进行政策性扣减，并依据扣减后的价格（评审价格）进行价格评审。</w:t>
            </w:r>
          </w:p>
          <w:p>
            <w:pPr>
              <w:rPr>
                <w:rFonts w:hint="eastAsia" w:ascii="宋体" w:hAnsi="宋体" w:eastAsia="宋体" w:cs="宋体"/>
                <w:color w:val="auto"/>
                <w:sz w:val="24"/>
                <w:szCs w:val="24"/>
              </w:rPr>
            </w:pPr>
            <w:r>
              <w:rPr>
                <w:rFonts w:hint="eastAsia" w:ascii="宋体" w:hAnsi="宋体" w:eastAsia="宋体" w:cs="宋体"/>
                <w:color w:val="auto"/>
                <w:sz w:val="24"/>
                <w:szCs w:val="24"/>
              </w:rPr>
              <w:t>2.有效最低报价为基准价得</w:t>
            </w:r>
            <w:r>
              <w:rPr>
                <w:rFonts w:hint="eastAsia" w:hAnsi="宋体" w:cs="宋体"/>
                <w:color w:val="auto"/>
                <w:sz w:val="24"/>
                <w:szCs w:val="24"/>
                <w:lang w:val="en-US" w:eastAsia="zh-CN"/>
              </w:rPr>
              <w:t>1</w:t>
            </w:r>
            <w:r>
              <w:rPr>
                <w:rFonts w:hint="eastAsia" w:ascii="宋体" w:hAnsi="宋体" w:eastAsia="宋体" w:cs="宋体"/>
                <w:color w:val="auto"/>
                <w:sz w:val="24"/>
                <w:szCs w:val="24"/>
              </w:rPr>
              <w:t>0分。</w:t>
            </w:r>
          </w:p>
          <w:p>
            <w:pPr>
              <w:rPr>
                <w:rFonts w:hint="eastAsia" w:ascii="宋体" w:hAnsi="宋体" w:eastAsia="宋体" w:cs="宋体"/>
                <w:color w:val="auto"/>
                <w:sz w:val="24"/>
                <w:szCs w:val="24"/>
              </w:rPr>
            </w:pPr>
            <w:r>
              <w:rPr>
                <w:rFonts w:hint="eastAsia" w:ascii="宋体" w:hAnsi="宋体" w:eastAsia="宋体" w:cs="宋体"/>
                <w:color w:val="auto"/>
                <w:sz w:val="24"/>
                <w:szCs w:val="24"/>
              </w:rPr>
              <w:t>3.按（有效最低报价/有效投标报价）×</w:t>
            </w:r>
            <w:r>
              <w:rPr>
                <w:rFonts w:hint="eastAsia" w:ascii="宋体" w:hAnsi="宋体" w:cs="宋体"/>
                <w:color w:val="auto"/>
                <w:sz w:val="24"/>
                <w:szCs w:val="24"/>
                <w:lang w:val="en-US" w:eastAsia="zh-CN"/>
              </w:rPr>
              <w:t>价格权值</w:t>
            </w:r>
            <w:r>
              <w:rPr>
                <w:rFonts w:hint="eastAsia" w:hAnsi="宋体" w:cs="宋体"/>
                <w:color w:val="auto"/>
                <w:sz w:val="24"/>
                <w:szCs w:val="24"/>
                <w:lang w:val="en-US" w:eastAsia="zh-CN"/>
              </w:rPr>
              <w:t>1</w:t>
            </w:r>
            <w:r>
              <w:rPr>
                <w:rFonts w:hint="eastAsia" w:hAnsi="宋体" w:eastAsia="宋体" w:cs="宋体"/>
                <w:color w:val="auto"/>
                <w:sz w:val="24"/>
                <w:szCs w:val="24"/>
                <w:lang w:val="en-US" w:eastAsia="zh-CN"/>
              </w:rPr>
              <w:t>0</w:t>
            </w:r>
            <w:r>
              <w:rPr>
                <w:rFonts w:hint="eastAsia" w:ascii="宋体" w:hAnsi="宋体" w:eastAsia="宋体" w:cs="宋体"/>
                <w:color w:val="auto"/>
                <w:sz w:val="24"/>
                <w:szCs w:val="24"/>
              </w:rPr>
              <w:t>的公式计算其得分。</w:t>
            </w:r>
          </w:p>
          <w:p>
            <w:pPr>
              <w:rPr>
                <w:rFonts w:hint="eastAsia" w:ascii="宋体" w:hAnsi="宋体" w:eastAsia="宋体" w:cs="宋体"/>
                <w:color w:val="auto"/>
                <w:sz w:val="24"/>
                <w:szCs w:val="24"/>
              </w:rPr>
            </w:pPr>
            <w:r>
              <w:rPr>
                <w:rFonts w:hint="eastAsia" w:ascii="宋体" w:hAnsi="宋体" w:eastAsia="宋体" w:cs="宋体"/>
                <w:color w:val="auto"/>
                <w:sz w:val="24"/>
                <w:szCs w:val="24"/>
              </w:rPr>
              <w:t>4.报价不完整的，不进入评标标准价的计算，本项得0分。</w:t>
            </w:r>
          </w:p>
          <w:p>
            <w:pPr>
              <w:rPr>
                <w:rFonts w:hint="eastAsia" w:ascii="宋体" w:hAnsi="宋体" w:eastAsia="宋体" w:cs="宋体"/>
                <w:color w:val="auto"/>
                <w:sz w:val="24"/>
                <w:szCs w:val="24"/>
              </w:rPr>
            </w:pPr>
            <w:r>
              <w:rPr>
                <w:rFonts w:hint="eastAsia" w:ascii="宋体" w:hAnsi="宋体" w:eastAsia="宋体" w:cs="宋体"/>
                <w:color w:val="auto"/>
                <w:sz w:val="24"/>
                <w:szCs w:val="24"/>
              </w:rPr>
              <w:t>5.经评委一致认定，供应商的总报价低于公认市场成本，或超过采购预算,其投标将被拒绝。</w:t>
            </w:r>
          </w:p>
          <w:p>
            <w:pPr>
              <w:rPr>
                <w:rFonts w:hint="eastAsia" w:ascii="宋体" w:hAnsi="宋体" w:eastAsia="宋体" w:cs="宋体"/>
                <w:color w:val="auto"/>
                <w:sz w:val="24"/>
                <w:szCs w:val="24"/>
              </w:rPr>
            </w:pPr>
            <w:r>
              <w:rPr>
                <w:rFonts w:hint="eastAsia" w:ascii="宋体" w:hAnsi="宋体" w:eastAsia="宋体" w:cs="宋体"/>
                <w:color w:val="auto"/>
                <w:sz w:val="24"/>
                <w:szCs w:val="24"/>
              </w:rPr>
              <w:t>注：</w:t>
            </w:r>
            <w:r>
              <w:rPr>
                <w:rFonts w:hint="eastAsia" w:ascii="宋体" w:hAnsi="宋体" w:eastAsia="宋体" w:cs="宋体"/>
                <w:color w:val="auto"/>
                <w:sz w:val="24"/>
                <w:szCs w:val="24"/>
                <w:lang w:val="en-US" w:eastAsia="zh-CN"/>
              </w:rPr>
              <w:t>本项目专门面向中小企业，价格优惠均不予</w:t>
            </w:r>
            <w:r>
              <w:rPr>
                <w:rFonts w:hint="eastAsia" w:ascii="宋体" w:hAnsi="宋体" w:eastAsia="宋体" w:cs="宋体"/>
                <w:color w:val="auto"/>
                <w:sz w:val="24"/>
                <w:szCs w:val="24"/>
              </w:rPr>
              <w:t>扣除。</w:t>
            </w:r>
          </w:p>
          <w:p>
            <w:pPr>
              <w:rPr>
                <w:rFonts w:ascii="仿宋" w:hAnsi="仿宋"/>
                <w:color w:val="auto"/>
                <w:sz w:val="24"/>
                <w:szCs w:val="24"/>
              </w:rPr>
            </w:pPr>
            <w:r>
              <w:rPr>
                <w:rFonts w:hint="eastAsia" w:ascii="宋体" w:hAnsi="宋体" w:eastAsia="宋体" w:cs="宋体"/>
                <w:color w:val="auto"/>
                <w:sz w:val="24"/>
                <w:szCs w:val="24"/>
              </w:rPr>
              <w:t>投标单位报价不完整的得0分。投标报价超出采购预算的为无效投标，且不得参与评标。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9" w:type="dxa"/>
            <w:vMerge w:val="restart"/>
            <w:noWrap w:val="0"/>
            <w:vAlign w:val="center"/>
          </w:tcPr>
          <w:p>
            <w:pPr>
              <w:jc w:val="center"/>
              <w:rPr>
                <w:rFonts w:hint="eastAsia" w:ascii="仿宋" w:hAnsi="仿宋" w:eastAsia="宋体"/>
                <w:szCs w:val="22"/>
                <w:lang w:eastAsia="zh-CN"/>
              </w:rPr>
            </w:pPr>
            <w:r>
              <w:rPr>
                <w:rFonts w:hint="eastAsia" w:ascii="仿宋" w:hAnsi="仿宋"/>
                <w:szCs w:val="22"/>
                <w:lang w:val="en-US" w:eastAsia="zh-CN"/>
              </w:rPr>
              <w:t>2</w:t>
            </w:r>
          </w:p>
        </w:tc>
        <w:tc>
          <w:tcPr>
            <w:tcW w:w="905" w:type="dxa"/>
            <w:vMerge w:val="restart"/>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监理</w:t>
            </w:r>
            <w:r>
              <w:rPr>
                <w:rFonts w:hint="eastAsia" w:ascii="宋体" w:hAnsi="宋体" w:cs="宋体"/>
                <w:color w:val="auto"/>
                <w:sz w:val="24"/>
                <w:szCs w:val="24"/>
                <w:lang w:val="en-US" w:eastAsia="zh-CN"/>
              </w:rPr>
              <w:t>大纲</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76</w:t>
            </w:r>
            <w:r>
              <w:rPr>
                <w:rFonts w:hint="eastAsia" w:ascii="宋体" w:hAnsi="宋体" w:eastAsia="宋体" w:cs="宋体"/>
                <w:color w:val="auto"/>
                <w:sz w:val="24"/>
                <w:szCs w:val="24"/>
              </w:rPr>
              <w:t>分）</w:t>
            </w:r>
          </w:p>
          <w:p>
            <w:pPr>
              <w:rPr>
                <w:rFonts w:hint="eastAsia" w:ascii="宋体" w:hAnsi="宋体" w:eastAsia="宋体" w:cs="宋体"/>
                <w:color w:val="auto"/>
                <w:sz w:val="24"/>
                <w:szCs w:val="24"/>
                <w:lang w:eastAsia="zh-CN"/>
              </w:rPr>
            </w:pPr>
          </w:p>
        </w:tc>
        <w:tc>
          <w:tcPr>
            <w:tcW w:w="1350" w:type="dxa"/>
            <w:noWrap w:val="0"/>
            <w:vAlign w:val="center"/>
          </w:tcPr>
          <w:p>
            <w:pP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组织机构</w:t>
            </w:r>
          </w:p>
          <w:p>
            <w:pP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(12分）</w:t>
            </w:r>
          </w:p>
          <w:p>
            <w:pPr>
              <w:rPr>
                <w:rFonts w:hint="eastAsia" w:ascii="宋体" w:hAnsi="宋体" w:eastAsia="宋体" w:cs="宋体"/>
                <w:color w:val="auto"/>
                <w:sz w:val="24"/>
                <w:szCs w:val="24"/>
                <w:lang w:val="en-US" w:eastAsia="zh-CN"/>
              </w:rPr>
            </w:pPr>
          </w:p>
        </w:tc>
        <w:tc>
          <w:tcPr>
            <w:tcW w:w="7086"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 xml:space="preserve">有现场监理组织机构图得 1 分；组织机构图设置合理并考虑到公司对现场监督管理的加 </w:t>
            </w:r>
            <w:r>
              <w:rPr>
                <w:rFonts w:hint="eastAsia" w:ascii="宋体" w:hAnsi="宋体" w:cs="宋体"/>
                <w:color w:val="auto"/>
                <w:sz w:val="24"/>
                <w:szCs w:val="24"/>
                <w:lang w:val="en-US" w:eastAsia="zh-CN"/>
              </w:rPr>
              <w:t>0-4</w:t>
            </w:r>
            <w:r>
              <w:rPr>
                <w:rFonts w:hint="eastAsia" w:ascii="宋体" w:hAnsi="宋体" w:eastAsia="宋体" w:cs="宋体"/>
                <w:color w:val="auto"/>
                <w:sz w:val="24"/>
                <w:szCs w:val="24"/>
              </w:rPr>
              <w:t xml:space="preserve"> 分； 共</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 xml:space="preserve">分。            </w:t>
            </w:r>
          </w:p>
          <w:p>
            <w:pPr>
              <w:rPr>
                <w:rFonts w:hint="eastAsia" w:ascii="宋体" w:hAnsi="宋体" w:eastAsia="宋体" w:cs="宋体"/>
                <w:color w:val="auto"/>
                <w:sz w:val="24"/>
                <w:szCs w:val="24"/>
              </w:rPr>
            </w:pPr>
            <w:r>
              <w:rPr>
                <w:rFonts w:hint="eastAsia" w:ascii="宋体" w:hAnsi="宋体" w:eastAsia="宋体" w:cs="宋体"/>
                <w:color w:val="auto"/>
                <w:sz w:val="24"/>
                <w:szCs w:val="24"/>
              </w:rPr>
              <w:t>各级监理人员</w:t>
            </w:r>
            <w:r>
              <w:rPr>
                <w:rFonts w:hint="eastAsia" w:ascii="宋体" w:hAnsi="宋体" w:cs="宋体"/>
                <w:color w:val="auto"/>
                <w:sz w:val="24"/>
                <w:szCs w:val="24"/>
                <w:lang w:eastAsia="zh-CN"/>
              </w:rPr>
              <w:t>：</w:t>
            </w:r>
            <w:r>
              <w:rPr>
                <w:rFonts w:ascii="宋体" w:hAnsi="宋体" w:eastAsia="宋体" w:cs="宋体"/>
                <w:spacing w:val="-4"/>
                <w:sz w:val="21"/>
                <w:szCs w:val="21"/>
              </w:rPr>
              <w:t>拟派总监理工程师须具有市政公用工程专业</w:t>
            </w:r>
            <w:r>
              <w:rPr>
                <w:rFonts w:hint="eastAsia" w:ascii="宋体" w:hAnsi="宋体" w:cs="宋体"/>
                <w:sz w:val="21"/>
                <w:szCs w:val="21"/>
                <w:lang w:eastAsia="zh-CN"/>
              </w:rPr>
              <w:t>二级建造师以上</w:t>
            </w:r>
            <w:r>
              <w:rPr>
                <w:rFonts w:ascii="宋体" w:hAnsi="宋体" w:eastAsia="宋体" w:cs="宋体"/>
                <w:spacing w:val="-1"/>
                <w:sz w:val="21"/>
                <w:szCs w:val="21"/>
              </w:rPr>
              <w:t>资格</w:t>
            </w:r>
            <w:r>
              <w:rPr>
                <w:rFonts w:hint="eastAsia" w:ascii="宋体" w:hAnsi="宋体" w:cs="宋体"/>
                <w:spacing w:val="-1"/>
                <w:sz w:val="21"/>
                <w:szCs w:val="21"/>
                <w:lang w:eastAsia="zh-CN"/>
              </w:rPr>
              <w:t>（包含</w:t>
            </w:r>
            <w:r>
              <w:rPr>
                <w:rFonts w:ascii="宋体" w:hAnsi="宋体" w:eastAsia="宋体" w:cs="宋体"/>
                <w:spacing w:val="-4"/>
                <w:sz w:val="21"/>
                <w:szCs w:val="21"/>
              </w:rPr>
              <w:t>市政公用工程专业</w:t>
            </w:r>
            <w:r>
              <w:rPr>
                <w:rFonts w:hint="eastAsia" w:ascii="宋体" w:hAnsi="宋体" w:cs="宋体"/>
                <w:sz w:val="21"/>
                <w:szCs w:val="21"/>
                <w:lang w:eastAsia="zh-CN"/>
              </w:rPr>
              <w:t>二级建造师</w:t>
            </w:r>
            <w:r>
              <w:rPr>
                <w:rFonts w:hint="eastAsia" w:ascii="宋体" w:hAnsi="宋体" w:cs="宋体"/>
                <w:spacing w:val="-1"/>
                <w:sz w:val="21"/>
                <w:szCs w:val="21"/>
                <w:lang w:eastAsia="zh-CN"/>
              </w:rPr>
              <w:t>）</w:t>
            </w:r>
            <w:r>
              <w:rPr>
                <w:rFonts w:hint="eastAsia" w:ascii="宋体" w:hAnsi="宋体" w:eastAsia="宋体" w:cs="宋体"/>
                <w:spacing w:val="-1"/>
                <w:sz w:val="21"/>
                <w:szCs w:val="21"/>
                <w:lang w:eastAsia="zh-CN"/>
              </w:rPr>
              <w:t>且</w:t>
            </w:r>
            <w:r>
              <w:rPr>
                <w:rFonts w:ascii="宋体" w:hAnsi="宋体" w:eastAsia="宋体" w:cs="宋体"/>
                <w:sz w:val="21"/>
                <w:szCs w:val="21"/>
              </w:rPr>
              <w:t xml:space="preserve">应提供近 </w:t>
            </w:r>
            <w:r>
              <w:rPr>
                <w:rFonts w:hint="eastAsia" w:ascii="宋体" w:hAnsi="宋体" w:eastAsia="宋体" w:cs="宋体"/>
                <w:sz w:val="21"/>
                <w:szCs w:val="21"/>
                <w:lang w:val="en-US" w:eastAsia="zh-CN"/>
              </w:rPr>
              <w:t>1</w:t>
            </w:r>
            <w:r>
              <w:rPr>
                <w:rFonts w:ascii="宋体" w:hAnsi="宋体" w:eastAsia="宋体" w:cs="宋体"/>
                <w:sz w:val="21"/>
                <w:szCs w:val="21"/>
              </w:rPr>
              <w:t xml:space="preserve"> </w:t>
            </w:r>
            <w:r>
              <w:rPr>
                <w:rFonts w:ascii="宋体" w:hAnsi="宋体" w:eastAsia="宋体" w:cs="宋体"/>
                <w:spacing w:val="-1"/>
                <w:sz w:val="21"/>
                <w:szCs w:val="21"/>
              </w:rPr>
              <w:t>个月以上养老保险缴纳证明</w:t>
            </w:r>
            <w:r>
              <w:rPr>
                <w:rFonts w:hint="eastAsia" w:ascii="宋体" w:hAnsi="宋体" w:eastAsia="宋体" w:cs="宋体"/>
                <w:spacing w:val="-1"/>
                <w:sz w:val="21"/>
                <w:szCs w:val="21"/>
                <w:lang w:eastAsia="zh-CN"/>
              </w:rPr>
              <w:t>，依法不需要提供的提供相关证明材料，其余监理人员</w:t>
            </w:r>
            <w:r>
              <w:rPr>
                <w:rFonts w:hint="eastAsia" w:ascii="宋体" w:hAnsi="宋体" w:eastAsia="宋体" w:cs="宋体"/>
                <w:color w:val="auto"/>
                <w:sz w:val="24"/>
                <w:szCs w:val="24"/>
              </w:rPr>
              <w:t>(包括总监理工程师代表、 专业监理工程师、监理员、见证员</w:t>
            </w:r>
            <w:r>
              <w:rPr>
                <w:rFonts w:hint="eastAsia" w:ascii="宋体" w:hAnsi="宋体" w:cs="宋体"/>
                <w:color w:val="auto"/>
                <w:sz w:val="24"/>
                <w:szCs w:val="24"/>
                <w:lang w:eastAsia="zh-CN"/>
              </w:rPr>
              <w:t>或</w:t>
            </w:r>
            <w:r>
              <w:rPr>
                <w:rFonts w:hint="eastAsia" w:ascii="宋体" w:hAnsi="宋体" w:eastAsia="宋体" w:cs="宋体"/>
                <w:color w:val="auto"/>
                <w:sz w:val="24"/>
                <w:szCs w:val="24"/>
              </w:rPr>
              <w:t>工程信息管理员)岗位职责明确，得 5 分，缺一个岗位职责扣 1 分，此项扣完为止。</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监理部成员(不包括总监理工程师)具有</w:t>
            </w:r>
            <w:r>
              <w:rPr>
                <w:rFonts w:hint="eastAsia" w:ascii="宋体" w:hAnsi="宋体" w:cs="宋体"/>
                <w:color w:val="auto"/>
                <w:sz w:val="24"/>
                <w:szCs w:val="24"/>
                <w:lang w:val="en-US" w:eastAsia="zh-CN"/>
              </w:rPr>
              <w:t>市政公用工程专业</w:t>
            </w:r>
            <w:r>
              <w:rPr>
                <w:rFonts w:hint="eastAsia" w:ascii="宋体" w:hAnsi="宋体" w:cs="宋体"/>
                <w:color w:val="auto"/>
                <w:sz w:val="24"/>
                <w:szCs w:val="24"/>
                <w:lang w:eastAsia="zh-CN"/>
              </w:rPr>
              <w:t>二级建造师以上</w:t>
            </w:r>
            <w:r>
              <w:rPr>
                <w:rFonts w:hint="eastAsia" w:ascii="宋体" w:hAnsi="宋体" w:eastAsia="宋体" w:cs="宋体"/>
                <w:color w:val="auto"/>
                <w:sz w:val="24"/>
                <w:szCs w:val="24"/>
              </w:rPr>
              <w:t>资格证书的</w:t>
            </w:r>
            <w:r>
              <w:rPr>
                <w:rFonts w:hint="eastAsia" w:ascii="宋体" w:hAnsi="宋体" w:cs="宋体"/>
                <w:spacing w:val="-1"/>
                <w:sz w:val="21"/>
                <w:szCs w:val="21"/>
                <w:lang w:eastAsia="zh-CN"/>
              </w:rPr>
              <w:t>（包含</w:t>
            </w:r>
            <w:r>
              <w:rPr>
                <w:rFonts w:ascii="宋体" w:hAnsi="宋体" w:eastAsia="宋体" w:cs="宋体"/>
                <w:spacing w:val="-4"/>
                <w:sz w:val="21"/>
                <w:szCs w:val="21"/>
              </w:rPr>
              <w:t>市政公用工程专业</w:t>
            </w:r>
            <w:r>
              <w:rPr>
                <w:rFonts w:hint="eastAsia" w:ascii="宋体" w:hAnsi="宋体" w:cs="宋体"/>
                <w:sz w:val="21"/>
                <w:szCs w:val="21"/>
                <w:lang w:eastAsia="zh-CN"/>
              </w:rPr>
              <w:t>二级建造师</w:t>
            </w:r>
            <w:r>
              <w:rPr>
                <w:rFonts w:hint="eastAsia" w:ascii="宋体" w:hAnsi="宋体" w:cs="宋体"/>
                <w:spacing w:val="-1"/>
                <w:sz w:val="21"/>
                <w:szCs w:val="21"/>
                <w:lang w:eastAsia="zh-CN"/>
              </w:rPr>
              <w:t>）</w:t>
            </w:r>
            <w:r>
              <w:rPr>
                <w:rFonts w:hint="eastAsia" w:ascii="宋体" w:hAnsi="宋体" w:eastAsia="宋体" w:cs="宋体"/>
                <w:color w:val="auto"/>
                <w:sz w:val="24"/>
                <w:szCs w:val="24"/>
              </w:rPr>
              <w:t xml:space="preserve">， 每多 1 人得 1 分，此项最多得 2 分。  </w:t>
            </w:r>
            <w:bookmarkStart w:id="381" w:name="_GoBack"/>
            <w:bookmarkEnd w:id="381"/>
            <w:r>
              <w:rPr>
                <w:rFonts w:hint="eastAsia" w:ascii="宋体" w:hAnsi="宋体" w:eastAsia="宋体" w:cs="宋体"/>
                <w:color w:val="auto"/>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9" w:type="dxa"/>
            <w:vMerge w:val="continue"/>
            <w:noWrap w:val="0"/>
            <w:vAlign w:val="center"/>
          </w:tcPr>
          <w:p>
            <w:pPr>
              <w:jc w:val="center"/>
              <w:rPr>
                <w:rFonts w:hint="eastAsia" w:ascii="仿宋" w:hAnsi="仿宋"/>
                <w:szCs w:val="22"/>
              </w:rPr>
            </w:pPr>
          </w:p>
        </w:tc>
        <w:tc>
          <w:tcPr>
            <w:tcW w:w="905" w:type="dxa"/>
            <w:vMerge w:val="continue"/>
            <w:noWrap w:val="0"/>
            <w:vAlign w:val="center"/>
          </w:tcPr>
          <w:p>
            <w:pPr>
              <w:rPr>
                <w:rFonts w:hint="eastAsia" w:ascii="宋体" w:hAnsi="宋体" w:eastAsia="宋体" w:cs="宋体"/>
                <w:color w:val="auto"/>
                <w:sz w:val="24"/>
                <w:szCs w:val="24"/>
                <w:lang w:eastAsia="zh-CN"/>
              </w:rPr>
            </w:pPr>
          </w:p>
        </w:tc>
        <w:tc>
          <w:tcPr>
            <w:tcW w:w="1350"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保证旁站监理措施</w:t>
            </w:r>
          </w:p>
          <w:p>
            <w:pPr>
              <w:rPr>
                <w:rFonts w:hint="eastAsia" w:ascii="宋体" w:hAnsi="宋体" w:eastAsia="宋体" w:cs="宋体"/>
                <w:color w:val="auto"/>
                <w:sz w:val="24"/>
                <w:szCs w:val="24"/>
              </w:rPr>
            </w:pPr>
            <w:r>
              <w:rPr>
                <w:rFonts w:hint="eastAsia" w:ascii="宋体" w:hAnsi="宋体" w:eastAsia="宋体" w:cs="宋体"/>
                <w:color w:val="auto"/>
                <w:sz w:val="24"/>
                <w:szCs w:val="24"/>
              </w:rPr>
              <w:t>(8分)</w:t>
            </w:r>
          </w:p>
        </w:tc>
        <w:tc>
          <w:tcPr>
            <w:tcW w:w="7086"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(1)旁站监理的范围：按照国家旁站监理规定，对相应部位或 施工过程设置旁站； (0-2 分)</w:t>
            </w:r>
          </w:p>
          <w:p>
            <w:pPr>
              <w:rPr>
                <w:rFonts w:hint="eastAsia" w:ascii="宋体" w:hAnsi="宋体" w:eastAsia="宋体" w:cs="宋体"/>
                <w:color w:val="auto"/>
                <w:sz w:val="24"/>
                <w:szCs w:val="24"/>
              </w:rPr>
            </w:pPr>
            <w:r>
              <w:rPr>
                <w:rFonts w:hint="eastAsia" w:ascii="宋体" w:hAnsi="宋体" w:eastAsia="宋体" w:cs="宋体"/>
                <w:color w:val="auto"/>
                <w:sz w:val="24"/>
                <w:szCs w:val="24"/>
              </w:rPr>
              <w:t>(2)旁站监理的细则和方案，旁站监理的程序； (1-3 分)</w:t>
            </w:r>
          </w:p>
          <w:p>
            <w:pPr>
              <w:rPr>
                <w:rFonts w:hint="eastAsia" w:ascii="宋体" w:hAnsi="宋体" w:eastAsia="宋体" w:cs="宋体"/>
                <w:color w:val="auto"/>
                <w:sz w:val="24"/>
                <w:szCs w:val="24"/>
              </w:rPr>
            </w:pPr>
            <w:r>
              <w:rPr>
                <w:rFonts w:hint="eastAsia" w:ascii="宋体" w:hAnsi="宋体" w:eastAsia="宋体" w:cs="宋体"/>
                <w:color w:val="auto"/>
                <w:sz w:val="24"/>
                <w:szCs w:val="24"/>
              </w:rPr>
              <w:t>(3)旁站监理人员职责； (1-3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vMerge w:val="continue"/>
            <w:noWrap w:val="0"/>
            <w:vAlign w:val="center"/>
          </w:tcPr>
          <w:p>
            <w:pPr>
              <w:jc w:val="center"/>
              <w:rPr>
                <w:rFonts w:hint="eastAsia" w:ascii="仿宋" w:hAnsi="仿宋"/>
                <w:szCs w:val="22"/>
              </w:rPr>
            </w:pPr>
          </w:p>
        </w:tc>
        <w:tc>
          <w:tcPr>
            <w:tcW w:w="905" w:type="dxa"/>
            <w:vMerge w:val="continue"/>
            <w:noWrap w:val="0"/>
            <w:vAlign w:val="center"/>
          </w:tcPr>
          <w:p>
            <w:pPr>
              <w:rPr>
                <w:rFonts w:hint="eastAsia" w:ascii="宋体" w:hAnsi="宋体" w:eastAsia="宋体" w:cs="宋体"/>
                <w:color w:val="auto"/>
                <w:sz w:val="24"/>
                <w:szCs w:val="24"/>
                <w:lang w:eastAsia="zh-CN"/>
              </w:rPr>
            </w:pPr>
          </w:p>
        </w:tc>
        <w:tc>
          <w:tcPr>
            <w:tcW w:w="1350"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质量控制的措施和</w:t>
            </w:r>
          </w:p>
          <w:p>
            <w:pPr>
              <w:rPr>
                <w:rFonts w:hint="eastAsia" w:ascii="宋体" w:hAnsi="宋体" w:eastAsia="宋体" w:cs="宋体"/>
                <w:color w:val="auto"/>
                <w:sz w:val="24"/>
                <w:szCs w:val="24"/>
              </w:rPr>
            </w:pPr>
            <w:r>
              <w:rPr>
                <w:rFonts w:hint="eastAsia" w:ascii="宋体" w:hAnsi="宋体" w:eastAsia="宋体" w:cs="宋体"/>
                <w:color w:val="auto"/>
                <w:sz w:val="24"/>
                <w:szCs w:val="24"/>
              </w:rPr>
              <w:t>方法</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w:t>
            </w:r>
            <w:r>
              <w:rPr>
                <w:rFonts w:hint="eastAsia" w:ascii="宋体" w:hAnsi="宋体" w:cs="宋体"/>
                <w:color w:val="auto"/>
                <w:sz w:val="24"/>
                <w:szCs w:val="24"/>
                <w:lang w:val="en-US" w:eastAsia="zh-CN"/>
              </w:rPr>
              <w:t>12</w:t>
            </w:r>
            <w:r>
              <w:rPr>
                <w:rFonts w:hint="eastAsia" w:ascii="宋体" w:hAnsi="宋体" w:eastAsia="宋体" w:cs="宋体"/>
                <w:color w:val="auto"/>
                <w:sz w:val="24"/>
                <w:szCs w:val="24"/>
              </w:rPr>
              <w:t>分)</w:t>
            </w:r>
          </w:p>
        </w:tc>
        <w:tc>
          <w:tcPr>
            <w:tcW w:w="7086"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(1)事前质量控制措施和方法； (1-</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 xml:space="preserve"> 分)</w:t>
            </w:r>
          </w:p>
          <w:p>
            <w:pPr>
              <w:rPr>
                <w:rFonts w:hint="eastAsia" w:ascii="宋体" w:hAnsi="宋体" w:eastAsia="宋体" w:cs="宋体"/>
                <w:color w:val="auto"/>
                <w:sz w:val="24"/>
                <w:szCs w:val="24"/>
              </w:rPr>
            </w:pPr>
            <w:r>
              <w:rPr>
                <w:rFonts w:hint="eastAsia" w:ascii="宋体" w:hAnsi="宋体" w:eastAsia="宋体" w:cs="宋体"/>
                <w:color w:val="auto"/>
                <w:sz w:val="24"/>
                <w:szCs w:val="24"/>
              </w:rPr>
              <w:t>(2)事中质量控制措施和方法； (1-</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 xml:space="preserve"> 分)</w:t>
            </w:r>
          </w:p>
          <w:p>
            <w:pPr>
              <w:rPr>
                <w:rFonts w:hint="eastAsia" w:ascii="宋体" w:hAnsi="宋体" w:eastAsia="宋体" w:cs="宋体"/>
                <w:color w:val="auto"/>
                <w:sz w:val="24"/>
                <w:szCs w:val="24"/>
              </w:rPr>
            </w:pPr>
            <w:r>
              <w:rPr>
                <w:rFonts w:hint="eastAsia" w:ascii="宋体" w:hAnsi="宋体" w:eastAsia="宋体" w:cs="宋体"/>
                <w:color w:val="auto"/>
                <w:sz w:val="24"/>
                <w:szCs w:val="24"/>
              </w:rPr>
              <w:t>(3)事后质量控制措施和方法； (1-</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 xml:space="preserve"> 分)</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(4)</w:t>
            </w:r>
            <w:r>
              <w:rPr>
                <w:rFonts w:hint="eastAsia" w:ascii="宋体" w:hAnsi="宋体" w:cs="宋体"/>
                <w:color w:val="auto"/>
                <w:sz w:val="24"/>
                <w:szCs w:val="24"/>
                <w:lang w:val="en-US" w:eastAsia="zh-CN"/>
              </w:rPr>
              <w:t>苗木</w:t>
            </w:r>
            <w:r>
              <w:rPr>
                <w:rFonts w:hint="eastAsia" w:ascii="宋体" w:hAnsi="宋体" w:eastAsia="宋体" w:cs="宋体"/>
                <w:color w:val="auto"/>
                <w:sz w:val="24"/>
                <w:szCs w:val="24"/>
              </w:rPr>
              <w:t>质量控制的措施和方法；(1-</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 xml:space="preserve">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709" w:type="dxa"/>
            <w:vMerge w:val="continue"/>
            <w:noWrap w:val="0"/>
            <w:vAlign w:val="center"/>
          </w:tcPr>
          <w:p>
            <w:pPr>
              <w:jc w:val="center"/>
              <w:rPr>
                <w:rFonts w:hint="eastAsia" w:ascii="仿宋" w:hAnsi="仿宋"/>
                <w:szCs w:val="22"/>
              </w:rPr>
            </w:pPr>
          </w:p>
        </w:tc>
        <w:tc>
          <w:tcPr>
            <w:tcW w:w="905" w:type="dxa"/>
            <w:vMerge w:val="continue"/>
            <w:noWrap w:val="0"/>
            <w:vAlign w:val="center"/>
          </w:tcPr>
          <w:p>
            <w:pPr>
              <w:rPr>
                <w:rFonts w:hint="eastAsia" w:ascii="宋体" w:hAnsi="宋体" w:eastAsia="宋体" w:cs="宋体"/>
                <w:color w:val="auto"/>
                <w:sz w:val="24"/>
                <w:szCs w:val="24"/>
                <w:lang w:eastAsia="zh-CN"/>
              </w:rPr>
            </w:pPr>
          </w:p>
        </w:tc>
        <w:tc>
          <w:tcPr>
            <w:tcW w:w="1350"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进度控制的措施和</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方法(</w:t>
            </w:r>
            <w:r>
              <w:rPr>
                <w:rFonts w:hint="eastAsia" w:ascii="宋体" w:hAnsi="宋体" w:cs="宋体"/>
                <w:color w:val="auto"/>
                <w:sz w:val="24"/>
                <w:szCs w:val="24"/>
                <w:lang w:val="en-US" w:eastAsia="zh-CN"/>
              </w:rPr>
              <w:t>12</w:t>
            </w:r>
            <w:r>
              <w:rPr>
                <w:rFonts w:hint="eastAsia" w:ascii="宋体" w:hAnsi="宋体" w:eastAsia="宋体" w:cs="宋体"/>
                <w:color w:val="auto"/>
                <w:sz w:val="24"/>
                <w:szCs w:val="24"/>
              </w:rPr>
              <w:t>分)</w:t>
            </w:r>
          </w:p>
        </w:tc>
        <w:tc>
          <w:tcPr>
            <w:tcW w:w="7086"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(1)进度控制的监理工作内容；(1-</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分)</w:t>
            </w:r>
          </w:p>
          <w:p>
            <w:pPr>
              <w:rPr>
                <w:rFonts w:hint="eastAsia" w:ascii="宋体" w:hAnsi="宋体" w:eastAsia="宋体" w:cs="宋体"/>
                <w:color w:val="auto"/>
                <w:sz w:val="24"/>
                <w:szCs w:val="24"/>
              </w:rPr>
            </w:pPr>
            <w:r>
              <w:rPr>
                <w:rFonts w:hint="eastAsia" w:ascii="宋体" w:hAnsi="宋体" w:eastAsia="宋体" w:cs="宋体"/>
                <w:color w:val="auto"/>
                <w:sz w:val="24"/>
                <w:szCs w:val="24"/>
              </w:rPr>
              <w:t>(2)进度控制的监理原则、方法和程序等；(1-</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 xml:space="preserve"> 分) </w:t>
            </w:r>
          </w:p>
          <w:p>
            <w:pPr>
              <w:rPr>
                <w:rFonts w:hint="eastAsia" w:ascii="宋体" w:hAnsi="宋体" w:eastAsia="宋体" w:cs="宋体"/>
                <w:color w:val="auto"/>
                <w:sz w:val="24"/>
                <w:szCs w:val="24"/>
              </w:rPr>
            </w:pPr>
            <w:r>
              <w:rPr>
                <w:rFonts w:hint="eastAsia" w:ascii="宋体" w:hAnsi="宋体" w:eastAsia="宋体" w:cs="宋体"/>
                <w:color w:val="auto"/>
                <w:sz w:val="24"/>
                <w:szCs w:val="24"/>
              </w:rPr>
              <w:t>(3)针对本项目的进度控制分析；(1-</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 xml:space="preserve">分)       </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(4)制定有符合本项目进度控制关键工序相应措施的；(1-</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 xml:space="preserve">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9" w:type="dxa"/>
            <w:vMerge w:val="continue"/>
            <w:noWrap w:val="0"/>
            <w:vAlign w:val="center"/>
          </w:tcPr>
          <w:p>
            <w:pPr>
              <w:jc w:val="center"/>
              <w:rPr>
                <w:rFonts w:hint="eastAsia" w:ascii="仿宋" w:hAnsi="仿宋"/>
                <w:szCs w:val="22"/>
              </w:rPr>
            </w:pPr>
          </w:p>
        </w:tc>
        <w:tc>
          <w:tcPr>
            <w:tcW w:w="905" w:type="dxa"/>
            <w:vMerge w:val="continue"/>
            <w:noWrap w:val="0"/>
            <w:vAlign w:val="center"/>
          </w:tcPr>
          <w:p>
            <w:pPr>
              <w:rPr>
                <w:rFonts w:hint="eastAsia" w:ascii="宋体" w:hAnsi="宋体" w:eastAsia="宋体" w:cs="宋体"/>
                <w:color w:val="auto"/>
                <w:sz w:val="24"/>
                <w:szCs w:val="24"/>
                <w:lang w:eastAsia="zh-CN"/>
              </w:rPr>
            </w:pPr>
          </w:p>
        </w:tc>
        <w:tc>
          <w:tcPr>
            <w:tcW w:w="1350"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投资控制的措施和</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方法(8分)</w:t>
            </w:r>
          </w:p>
        </w:tc>
        <w:tc>
          <w:tcPr>
            <w:tcW w:w="7086" w:type="dxa"/>
            <w:noWrap w:val="0"/>
            <w:vAlign w:val="center"/>
          </w:tcPr>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工程变更投资控制、费用、索赔的处理方法   (</w:t>
            </w: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8</w:t>
            </w:r>
            <w:r>
              <w:rPr>
                <w:rFonts w:hint="eastAsia" w:ascii="宋体" w:hAnsi="宋体" w:eastAsia="宋体" w:cs="宋体"/>
                <w:color w:val="auto"/>
                <w:sz w:val="24"/>
                <w:szCs w:val="24"/>
              </w:rPr>
              <w:t xml:space="preserve"> 分</w:t>
            </w:r>
            <w:r>
              <w:rPr>
                <w:rFonts w:hint="eastAsia" w:ascii="宋体" w:hAnsi="宋体" w:eastAsia="宋体" w:cs="宋体"/>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9" w:type="dxa"/>
            <w:vMerge w:val="continue"/>
            <w:noWrap w:val="0"/>
            <w:vAlign w:val="center"/>
          </w:tcPr>
          <w:p>
            <w:pPr>
              <w:jc w:val="center"/>
              <w:rPr>
                <w:rFonts w:hint="eastAsia" w:ascii="仿宋" w:hAnsi="仿宋"/>
                <w:szCs w:val="22"/>
              </w:rPr>
            </w:pPr>
          </w:p>
        </w:tc>
        <w:tc>
          <w:tcPr>
            <w:tcW w:w="905" w:type="dxa"/>
            <w:vMerge w:val="continue"/>
            <w:noWrap w:val="0"/>
            <w:vAlign w:val="center"/>
          </w:tcPr>
          <w:p>
            <w:pPr>
              <w:rPr>
                <w:rFonts w:hint="eastAsia" w:ascii="宋体" w:hAnsi="宋体" w:eastAsia="宋体" w:cs="宋体"/>
                <w:color w:val="auto"/>
                <w:sz w:val="24"/>
                <w:szCs w:val="24"/>
                <w:lang w:eastAsia="zh-CN"/>
              </w:rPr>
            </w:pPr>
          </w:p>
        </w:tc>
        <w:tc>
          <w:tcPr>
            <w:tcW w:w="1350" w:type="dxa"/>
            <w:noWrap w:val="0"/>
            <w:vAlign w:val="center"/>
          </w:tcPr>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文明、安全控制的措施和方法(7分)</w:t>
            </w:r>
          </w:p>
        </w:tc>
        <w:tc>
          <w:tcPr>
            <w:tcW w:w="7086" w:type="dxa"/>
            <w:noWrap w:val="0"/>
            <w:vAlign w:val="center"/>
          </w:tcPr>
          <w:p>
            <w:pPr>
              <w:numPr>
                <w:ilvl w:val="0"/>
                <w:numId w:val="4"/>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xml:space="preserve">文明、安全的监理工作方法和措施； (1-3 分)          </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(2)文明、安全的监理措施是否详细， 技术措施、组织措施、经济措施、合同措施是否齐全； (2-4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9" w:type="dxa"/>
            <w:vMerge w:val="continue"/>
            <w:noWrap w:val="0"/>
            <w:vAlign w:val="center"/>
          </w:tcPr>
          <w:p>
            <w:pPr>
              <w:jc w:val="center"/>
              <w:rPr>
                <w:rFonts w:hint="eastAsia" w:ascii="仿宋" w:hAnsi="仿宋"/>
                <w:szCs w:val="22"/>
              </w:rPr>
            </w:pPr>
          </w:p>
        </w:tc>
        <w:tc>
          <w:tcPr>
            <w:tcW w:w="905" w:type="dxa"/>
            <w:vMerge w:val="continue"/>
            <w:noWrap w:val="0"/>
            <w:vAlign w:val="center"/>
          </w:tcPr>
          <w:p>
            <w:pPr>
              <w:rPr>
                <w:rFonts w:hint="eastAsia" w:ascii="宋体" w:hAnsi="宋体" w:eastAsia="宋体" w:cs="宋体"/>
                <w:color w:val="auto"/>
                <w:sz w:val="24"/>
                <w:szCs w:val="24"/>
                <w:lang w:eastAsia="zh-CN"/>
              </w:rPr>
            </w:pPr>
          </w:p>
        </w:tc>
        <w:tc>
          <w:tcPr>
            <w:tcW w:w="1350"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合同管理、信息管理(</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分)</w:t>
            </w:r>
          </w:p>
        </w:tc>
        <w:tc>
          <w:tcPr>
            <w:tcW w:w="7086"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(1)合同、信息管理的监理工作方法和措施； (0-</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分)</w:t>
            </w:r>
          </w:p>
          <w:p>
            <w:pPr>
              <w:rPr>
                <w:rFonts w:hint="eastAsia" w:ascii="宋体" w:hAnsi="宋体" w:eastAsia="宋体" w:cs="宋体"/>
                <w:color w:val="auto"/>
                <w:sz w:val="24"/>
                <w:szCs w:val="24"/>
              </w:rPr>
            </w:pPr>
            <w:r>
              <w:rPr>
                <w:rFonts w:hint="eastAsia" w:ascii="宋体" w:hAnsi="宋体" w:eastAsia="宋体" w:cs="宋体"/>
                <w:color w:val="auto"/>
                <w:sz w:val="24"/>
                <w:szCs w:val="24"/>
              </w:rPr>
              <w:t>(2)合同、信息管理的监理措施是否详细，技术措施、组织措施、经济措施、合同措施是否齐全；    (1-2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9" w:type="dxa"/>
            <w:vMerge w:val="continue"/>
            <w:noWrap w:val="0"/>
            <w:vAlign w:val="center"/>
          </w:tcPr>
          <w:p>
            <w:pPr>
              <w:jc w:val="center"/>
              <w:rPr>
                <w:rFonts w:hint="eastAsia" w:ascii="仿宋" w:hAnsi="仿宋"/>
                <w:szCs w:val="22"/>
              </w:rPr>
            </w:pPr>
          </w:p>
        </w:tc>
        <w:tc>
          <w:tcPr>
            <w:tcW w:w="905" w:type="dxa"/>
            <w:vMerge w:val="continue"/>
            <w:noWrap w:val="0"/>
            <w:vAlign w:val="center"/>
          </w:tcPr>
          <w:p>
            <w:pPr>
              <w:rPr>
                <w:rFonts w:hint="eastAsia" w:ascii="宋体" w:hAnsi="宋体" w:eastAsia="宋体" w:cs="宋体"/>
                <w:color w:val="auto"/>
                <w:sz w:val="24"/>
                <w:szCs w:val="24"/>
                <w:lang w:eastAsia="zh-CN"/>
              </w:rPr>
            </w:pPr>
          </w:p>
        </w:tc>
        <w:tc>
          <w:tcPr>
            <w:tcW w:w="1350"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工作协调的措施和</w:t>
            </w:r>
          </w:p>
          <w:p>
            <w:pPr>
              <w:rPr>
                <w:rFonts w:hint="eastAsia" w:ascii="宋体" w:hAnsi="宋体" w:eastAsia="宋体" w:cs="宋体"/>
                <w:color w:val="auto"/>
                <w:sz w:val="24"/>
                <w:szCs w:val="24"/>
              </w:rPr>
            </w:pPr>
            <w:r>
              <w:rPr>
                <w:rFonts w:hint="eastAsia" w:ascii="宋体" w:hAnsi="宋体" w:eastAsia="宋体" w:cs="宋体"/>
                <w:color w:val="auto"/>
                <w:sz w:val="24"/>
                <w:szCs w:val="24"/>
              </w:rPr>
              <w:t>方法(</w:t>
            </w:r>
            <w:r>
              <w:rPr>
                <w:rFonts w:hint="eastAsia" w:ascii="宋体" w:hAnsi="宋体" w:cs="宋体"/>
                <w:color w:val="auto"/>
                <w:sz w:val="24"/>
                <w:szCs w:val="24"/>
                <w:lang w:val="en-US" w:eastAsia="zh-CN"/>
              </w:rPr>
              <w:t>8</w:t>
            </w:r>
            <w:r>
              <w:rPr>
                <w:rFonts w:hint="eastAsia" w:ascii="宋体" w:hAnsi="宋体" w:eastAsia="宋体" w:cs="宋体"/>
                <w:color w:val="auto"/>
                <w:sz w:val="24"/>
                <w:szCs w:val="24"/>
              </w:rPr>
              <w:t>分)</w:t>
            </w:r>
          </w:p>
        </w:tc>
        <w:tc>
          <w:tcPr>
            <w:tcW w:w="7086" w:type="dxa"/>
            <w:noWrap w:val="0"/>
            <w:vAlign w:val="center"/>
          </w:tcPr>
          <w:p>
            <w:pPr>
              <w:numPr>
                <w:ilvl w:val="0"/>
                <w:numId w:val="5"/>
              </w:numPr>
              <w:rPr>
                <w:rFonts w:hint="eastAsia" w:ascii="宋体" w:hAnsi="宋体" w:eastAsia="宋体" w:cs="宋体"/>
                <w:color w:val="auto"/>
                <w:sz w:val="24"/>
                <w:szCs w:val="24"/>
              </w:rPr>
            </w:pPr>
            <w:r>
              <w:rPr>
                <w:rFonts w:hint="eastAsia" w:ascii="宋体" w:hAnsi="宋体" w:eastAsia="宋体" w:cs="宋体"/>
                <w:color w:val="auto"/>
                <w:sz w:val="24"/>
                <w:szCs w:val="24"/>
              </w:rPr>
              <w:t>项目工作协调的工作内容、原则和程序； (0-</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 xml:space="preserve">分)      </w:t>
            </w:r>
          </w:p>
          <w:p>
            <w:pPr>
              <w:numPr>
                <w:ilvl w:val="0"/>
                <w:numId w:val="0"/>
              </w:numPr>
              <w:rPr>
                <w:rFonts w:hint="eastAsia" w:ascii="宋体" w:hAnsi="宋体" w:eastAsia="宋体" w:cs="宋体"/>
                <w:color w:val="auto"/>
                <w:sz w:val="24"/>
                <w:szCs w:val="24"/>
              </w:rPr>
            </w:pPr>
            <w:r>
              <w:rPr>
                <w:rFonts w:hint="eastAsia" w:ascii="宋体" w:hAnsi="宋体" w:eastAsia="宋体" w:cs="宋体"/>
                <w:color w:val="auto"/>
                <w:sz w:val="24"/>
                <w:szCs w:val="24"/>
              </w:rPr>
              <w:t>(2)项目工作协调的工作方法和措施，如监理措施、技术措施、组织措施、经济措施、合同措施；   (0-</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 xml:space="preserve">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9" w:type="dxa"/>
            <w:vMerge w:val="continue"/>
            <w:noWrap w:val="0"/>
            <w:vAlign w:val="center"/>
          </w:tcPr>
          <w:p>
            <w:pPr>
              <w:jc w:val="center"/>
              <w:rPr>
                <w:rFonts w:hint="eastAsia" w:ascii="仿宋" w:hAnsi="仿宋"/>
                <w:szCs w:val="22"/>
              </w:rPr>
            </w:pPr>
          </w:p>
        </w:tc>
        <w:tc>
          <w:tcPr>
            <w:tcW w:w="905" w:type="dxa"/>
            <w:vMerge w:val="continue"/>
            <w:noWrap w:val="0"/>
            <w:vAlign w:val="center"/>
          </w:tcPr>
          <w:p>
            <w:pPr>
              <w:rPr>
                <w:rFonts w:hint="eastAsia" w:ascii="宋体" w:hAnsi="宋体" w:eastAsia="宋体" w:cs="宋体"/>
                <w:color w:val="auto"/>
                <w:sz w:val="24"/>
                <w:szCs w:val="24"/>
                <w:lang w:eastAsia="zh-CN"/>
              </w:rPr>
            </w:pPr>
          </w:p>
        </w:tc>
        <w:tc>
          <w:tcPr>
            <w:tcW w:w="1350" w:type="dxa"/>
            <w:noWrap w:val="0"/>
            <w:vAlign w:val="center"/>
          </w:tcPr>
          <w:p>
            <w:pP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监理部投入设备(</w:t>
            </w:r>
            <w:r>
              <w:rPr>
                <w:rFonts w:hint="eastAsia" w:ascii="宋体" w:hAnsi="宋体" w:cs="宋体"/>
                <w:color w:val="auto"/>
                <w:sz w:val="24"/>
                <w:szCs w:val="24"/>
                <w:lang w:val="en-US" w:eastAsia="zh-CN"/>
              </w:rPr>
              <w:t>4</w:t>
            </w:r>
          </w:p>
          <w:p>
            <w:pPr>
              <w:rPr>
                <w:rFonts w:hint="eastAsia" w:ascii="宋体" w:hAnsi="宋体" w:eastAsia="宋体" w:cs="宋体"/>
                <w:color w:val="auto"/>
                <w:sz w:val="24"/>
                <w:szCs w:val="24"/>
              </w:rPr>
            </w:pPr>
            <w:r>
              <w:rPr>
                <w:rFonts w:hint="eastAsia" w:ascii="宋体" w:hAnsi="宋体" w:eastAsia="宋体" w:cs="宋体"/>
                <w:color w:val="auto"/>
                <w:sz w:val="24"/>
                <w:szCs w:val="24"/>
              </w:rPr>
              <w:t>分)</w:t>
            </w:r>
          </w:p>
        </w:tc>
        <w:tc>
          <w:tcPr>
            <w:tcW w:w="7086"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 xml:space="preserve">拟投入的监理设备，包括经纬仪、水准仪、计算机、监理管理软件， 齐全得 </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分， 缺 1 项扣 0.5 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050" w:type="dxa"/>
            <w:gridSpan w:val="4"/>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注：以上各项如有缺项， 则该项得分为 0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9" w:type="dxa"/>
            <w:noWrap w:val="0"/>
            <w:vAlign w:val="center"/>
          </w:tcPr>
          <w:p>
            <w:pPr>
              <w:jc w:val="center"/>
              <w:rPr>
                <w:rFonts w:hint="eastAsia" w:ascii="仿宋" w:hAnsi="仿宋" w:eastAsia="宋体"/>
                <w:szCs w:val="22"/>
                <w:lang w:val="en-US" w:eastAsia="zh-CN"/>
              </w:rPr>
            </w:pPr>
            <w:r>
              <w:rPr>
                <w:rFonts w:hint="eastAsia" w:ascii="仿宋" w:hAnsi="仿宋"/>
                <w:szCs w:val="22"/>
                <w:lang w:val="en-US" w:eastAsia="zh-CN"/>
              </w:rPr>
              <w:t>4</w:t>
            </w:r>
          </w:p>
        </w:tc>
        <w:tc>
          <w:tcPr>
            <w:tcW w:w="905"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企业业绩</w:t>
            </w:r>
          </w:p>
          <w:p>
            <w:pP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(6分)</w:t>
            </w:r>
          </w:p>
        </w:tc>
        <w:tc>
          <w:tcPr>
            <w:tcW w:w="1350"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企业业绩</w:t>
            </w:r>
          </w:p>
        </w:tc>
        <w:tc>
          <w:tcPr>
            <w:tcW w:w="7086"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投标人 201</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 xml:space="preserve">年 1 月 1 日以来监理过类似工程业绩的一项得 </w:t>
            </w: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 xml:space="preserve"> 分， 最多得 6 分。(以签订合同日期为准， 需提供中标通知书及合同书等材料)  (以合同签订日期为准， 需提供中标通知书及与原件一致的合同书等)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9" w:type="dxa"/>
            <w:noWrap w:val="0"/>
            <w:vAlign w:val="center"/>
          </w:tcPr>
          <w:p>
            <w:pPr>
              <w:jc w:val="center"/>
              <w:rPr>
                <w:rFonts w:hint="eastAsia" w:ascii="仿宋" w:hAnsi="仿宋" w:eastAsia="宋体"/>
                <w:szCs w:val="22"/>
                <w:lang w:val="en-US" w:eastAsia="zh-CN"/>
              </w:rPr>
            </w:pPr>
            <w:r>
              <w:rPr>
                <w:rFonts w:hint="eastAsia" w:ascii="仿宋" w:hAnsi="仿宋"/>
                <w:szCs w:val="22"/>
                <w:lang w:val="en-US" w:eastAsia="zh-CN"/>
              </w:rPr>
              <w:t>5</w:t>
            </w:r>
          </w:p>
        </w:tc>
        <w:tc>
          <w:tcPr>
            <w:tcW w:w="905" w:type="dxa"/>
            <w:noWrap w:val="0"/>
            <w:vAlign w:val="center"/>
          </w:tcPr>
          <w:p>
            <w:pP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服务承诺</w:t>
            </w:r>
            <w:r>
              <w:rPr>
                <w:rFonts w:hint="eastAsia" w:ascii="宋体" w:hAnsi="宋体" w:eastAsia="宋体" w:cs="宋体"/>
                <w:color w:val="auto"/>
                <w:sz w:val="24"/>
                <w:szCs w:val="24"/>
                <w:lang w:val="en-US" w:eastAsia="zh-CN"/>
              </w:rPr>
              <w:t>(8分）</w:t>
            </w:r>
          </w:p>
        </w:tc>
        <w:tc>
          <w:tcPr>
            <w:tcW w:w="1350"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投标人针对本项目作出的服务承诺及合理化建议(8分)</w:t>
            </w:r>
          </w:p>
        </w:tc>
        <w:tc>
          <w:tcPr>
            <w:tcW w:w="7086"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1、 帮助招标人做好各项协调工作，协助办理各种手续，投入充足人员、设备， 保证监理服务质量的承诺方案并切实可行。 (0-3 分)</w:t>
            </w:r>
          </w:p>
          <w:p>
            <w:pPr>
              <w:rPr>
                <w:rFonts w:hint="eastAsia" w:ascii="宋体" w:hAnsi="宋体" w:eastAsia="宋体" w:cs="宋体"/>
                <w:color w:val="auto"/>
                <w:sz w:val="24"/>
                <w:szCs w:val="24"/>
              </w:rPr>
            </w:pPr>
            <w:r>
              <w:rPr>
                <w:rFonts w:hint="eastAsia" w:ascii="宋体" w:hAnsi="宋体" w:eastAsia="宋体" w:cs="宋体"/>
                <w:color w:val="auto"/>
                <w:sz w:val="24"/>
                <w:szCs w:val="24"/>
              </w:rPr>
              <w:t>2、 针对提高项目质量、缩短工期、减少投资、提高项目综合效益等方面的合理化建议方案并切实可行。(0-5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9" w:type="dxa"/>
            <w:noWrap w:val="0"/>
            <w:vAlign w:val="center"/>
          </w:tcPr>
          <w:p>
            <w:pPr>
              <w:jc w:val="center"/>
              <w:rPr>
                <w:rFonts w:hint="eastAsia" w:ascii="仿宋" w:hAnsi="仿宋"/>
                <w:szCs w:val="22"/>
              </w:rPr>
            </w:pPr>
          </w:p>
        </w:tc>
        <w:tc>
          <w:tcPr>
            <w:tcW w:w="905" w:type="dxa"/>
            <w:noWrap w:val="0"/>
            <w:vAlign w:val="center"/>
          </w:tcPr>
          <w:p>
            <w:pPr>
              <w:jc w:val="center"/>
              <w:rPr>
                <w:rFonts w:hint="eastAsia" w:ascii="仿宋" w:hAnsi="仿宋"/>
                <w:color w:val="auto"/>
                <w:sz w:val="24"/>
                <w:szCs w:val="24"/>
                <w:lang w:eastAsia="zh-CN"/>
              </w:rPr>
            </w:pPr>
          </w:p>
        </w:tc>
        <w:tc>
          <w:tcPr>
            <w:tcW w:w="1350" w:type="dxa"/>
            <w:noWrap w:val="0"/>
            <w:vAlign w:val="center"/>
          </w:tcPr>
          <w:p>
            <w:pPr>
              <w:rPr>
                <w:rFonts w:ascii="宋体" w:hAnsi="宋体" w:eastAsia="宋体" w:cs="宋体"/>
                <w:spacing w:val="-12"/>
                <w:sz w:val="21"/>
                <w:szCs w:val="21"/>
              </w:rPr>
            </w:pPr>
          </w:p>
        </w:tc>
        <w:tc>
          <w:tcPr>
            <w:tcW w:w="7086" w:type="dxa"/>
            <w:noWrap w:val="0"/>
            <w:vAlign w:val="center"/>
          </w:tcPr>
          <w:p>
            <w:pPr>
              <w:rPr>
                <w:rFonts w:ascii="宋体" w:hAnsi="宋体" w:eastAsia="宋体" w:cs="宋体"/>
                <w:spacing w:val="-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0050" w:type="dxa"/>
            <w:gridSpan w:val="4"/>
            <w:noWrap w:val="0"/>
            <w:vAlign w:val="center"/>
          </w:tcPr>
          <w:p>
            <w:pPr>
              <w:jc w:val="left"/>
              <w:rPr>
                <w:rFonts w:hint="eastAsia" w:ascii="仿宋" w:hAnsi="仿宋"/>
                <w:szCs w:val="22"/>
              </w:rPr>
            </w:pPr>
            <w:r>
              <w:rPr>
                <w:rFonts w:hint="eastAsia" w:hAnsi="宋体" w:cs="宋体"/>
                <w:b/>
                <w:sz w:val="22"/>
                <w:szCs w:val="22"/>
              </w:rPr>
              <w:t>备注：以上所有证明文件须提供清晰复印件加盖投标人公章装订于正、副本中。</w:t>
            </w:r>
          </w:p>
        </w:tc>
      </w:tr>
    </w:tbl>
    <w:p>
      <w:pPr>
        <w:bidi w:val="0"/>
        <w:rPr>
          <w:rFonts w:hint="eastAsia"/>
        </w:rPr>
      </w:pPr>
    </w:p>
    <w:p>
      <w:pPr>
        <w:pStyle w:val="11"/>
        <w:pageBreakBefore w:val="0"/>
        <w:kinsoku/>
        <w:wordWrap/>
        <w:overflowPunct/>
        <w:topLinePunct w:val="0"/>
        <w:autoSpaceDE/>
        <w:autoSpaceDN/>
        <w:bidi w:val="0"/>
        <w:adjustRightInd/>
        <w:snapToGrid/>
        <w:spacing w:line="360" w:lineRule="auto"/>
        <w:ind w:firstLine="0"/>
        <w:jc w:val="left"/>
        <w:textAlignment w:val="auto"/>
        <w:rPr>
          <w:rFonts w:hAnsi="宋体"/>
          <w:b/>
          <w:color w:val="auto"/>
          <w:sz w:val="24"/>
          <w:szCs w:val="24"/>
          <w:highlight w:val="none"/>
        </w:rPr>
      </w:pPr>
      <w:r>
        <w:rPr>
          <w:rFonts w:hint="eastAsia" w:hAnsi="宋体"/>
          <w:b/>
          <w:color w:val="auto"/>
          <w:sz w:val="24"/>
          <w:szCs w:val="24"/>
          <w:highlight w:val="none"/>
        </w:rPr>
        <w:t>备注：</w:t>
      </w:r>
    </w:p>
    <w:p>
      <w:pPr>
        <w:pageBreakBefore w:val="0"/>
        <w:kinsoku/>
        <w:wordWrap/>
        <w:overflowPunct/>
        <w:topLinePunct w:val="0"/>
        <w:autoSpaceDE/>
        <w:autoSpaceDN/>
        <w:bidi w:val="0"/>
        <w:adjustRightInd/>
        <w:snapToGrid/>
        <w:spacing w:line="360" w:lineRule="auto"/>
        <w:ind w:firstLine="470" w:firstLineChars="196"/>
        <w:textAlignment w:val="auto"/>
        <w:rPr>
          <w:rFonts w:ascii="宋体" w:hAnsi="宋体"/>
          <w:color w:val="auto"/>
          <w:szCs w:val="24"/>
          <w:highlight w:val="none"/>
        </w:rPr>
      </w:pPr>
      <w:r>
        <w:rPr>
          <w:rFonts w:hint="eastAsia" w:ascii="宋体" w:hAnsi="宋体"/>
          <w:color w:val="auto"/>
          <w:szCs w:val="24"/>
          <w:highlight w:val="none"/>
        </w:rPr>
        <w:t>1) 若出现综合得分并列时，按磋商报价由低到高顺序排列；若报价得分仍相同，比较评审因素的量化指标评审得分，此分项得分高者排序在前；若评审因素的量化指标得分仍相同，则由磋商小组无记名投票，得票高者排序在前。</w:t>
      </w:r>
    </w:p>
    <w:p>
      <w:pPr>
        <w:pageBreakBefore w:val="0"/>
        <w:kinsoku/>
        <w:wordWrap/>
        <w:overflowPunct/>
        <w:topLinePunct w:val="0"/>
        <w:autoSpaceDE/>
        <w:autoSpaceDN/>
        <w:bidi w:val="0"/>
        <w:adjustRightInd/>
        <w:snapToGrid/>
        <w:spacing w:line="360" w:lineRule="auto"/>
        <w:ind w:firstLine="470" w:firstLineChars="196"/>
        <w:textAlignment w:val="auto"/>
        <w:rPr>
          <w:rFonts w:ascii="宋体" w:hAnsi="宋体"/>
          <w:b/>
          <w:color w:val="auto"/>
          <w:szCs w:val="24"/>
          <w:highlight w:val="none"/>
        </w:rPr>
      </w:pPr>
      <w:r>
        <w:rPr>
          <w:rFonts w:hint="eastAsia" w:ascii="宋体" w:hAnsi="宋体"/>
          <w:color w:val="auto"/>
          <w:szCs w:val="24"/>
          <w:highlight w:val="none"/>
        </w:rPr>
        <w:t>2) 磋商响应文件中缺少某分项时，该分项为0分。</w:t>
      </w:r>
    </w:p>
    <w:p>
      <w:pPr>
        <w:pageBreakBefore w:val="0"/>
        <w:kinsoku/>
        <w:wordWrap/>
        <w:overflowPunct/>
        <w:topLinePunct w:val="0"/>
        <w:autoSpaceDE/>
        <w:autoSpaceDN/>
        <w:bidi w:val="0"/>
        <w:adjustRightInd/>
        <w:snapToGrid/>
        <w:spacing w:line="360" w:lineRule="auto"/>
        <w:ind w:firstLine="470" w:firstLineChars="196"/>
        <w:textAlignment w:val="auto"/>
        <w:rPr>
          <w:rFonts w:ascii="宋体" w:hAnsi="宋体"/>
          <w:b/>
          <w:color w:val="auto"/>
          <w:szCs w:val="24"/>
          <w:highlight w:val="none"/>
        </w:rPr>
      </w:pPr>
      <w:r>
        <w:rPr>
          <w:rFonts w:hint="eastAsia" w:ascii="宋体" w:hAnsi="宋体"/>
          <w:color w:val="auto"/>
          <w:szCs w:val="24"/>
          <w:highlight w:val="none"/>
        </w:rPr>
        <w:t>3) 评委打分超过得分界限或未按本方法赋分时，该评委的打分按废票处理。</w:t>
      </w:r>
    </w:p>
    <w:p>
      <w:pPr>
        <w:pageBreakBefore w:val="0"/>
        <w:kinsoku/>
        <w:wordWrap/>
        <w:overflowPunct/>
        <w:topLinePunct w:val="0"/>
        <w:autoSpaceDE/>
        <w:autoSpaceDN/>
        <w:bidi w:val="0"/>
        <w:adjustRightInd/>
        <w:snapToGrid/>
        <w:spacing w:line="360" w:lineRule="auto"/>
        <w:ind w:firstLine="470" w:firstLineChars="196"/>
        <w:textAlignment w:val="auto"/>
        <w:rPr>
          <w:rFonts w:ascii="宋体" w:hAnsi="宋体"/>
          <w:color w:val="auto"/>
          <w:szCs w:val="24"/>
          <w:highlight w:val="none"/>
        </w:rPr>
      </w:pPr>
      <w:r>
        <w:rPr>
          <w:rFonts w:hint="eastAsia" w:ascii="宋体" w:hAnsi="宋体"/>
          <w:color w:val="auto"/>
          <w:szCs w:val="24"/>
          <w:highlight w:val="none"/>
        </w:rPr>
        <w:t>4) 各种计算采用插入法，数字均保留两位小数，第三位“四舍五入”。</w:t>
      </w:r>
    </w:p>
    <w:p>
      <w:pPr>
        <w:pageBreakBefore w:val="0"/>
        <w:kinsoku/>
        <w:wordWrap/>
        <w:overflowPunct/>
        <w:topLinePunct w:val="0"/>
        <w:autoSpaceDE/>
        <w:autoSpaceDN/>
        <w:bidi w:val="0"/>
        <w:adjustRightInd/>
        <w:snapToGrid/>
        <w:spacing w:line="360" w:lineRule="auto"/>
        <w:ind w:firstLine="470" w:firstLineChars="196"/>
        <w:textAlignment w:val="auto"/>
        <w:rPr>
          <w:rFonts w:hint="eastAsia" w:ascii="宋体" w:hAnsi="宋体"/>
          <w:color w:val="auto"/>
          <w:szCs w:val="24"/>
          <w:highlight w:val="none"/>
        </w:rPr>
      </w:pPr>
      <w:r>
        <w:rPr>
          <w:rFonts w:hint="eastAsia" w:ascii="宋体" w:hAnsi="宋体"/>
          <w:color w:val="auto"/>
          <w:szCs w:val="24"/>
          <w:highlight w:val="none"/>
        </w:rPr>
        <w:t>5）最低报价不是中标的唯一条件。</w:t>
      </w:r>
    </w:p>
    <w:p>
      <w:pPr>
        <w:pageBreakBefore w:val="0"/>
        <w:kinsoku/>
        <w:wordWrap/>
        <w:overflowPunct/>
        <w:topLinePunct w:val="0"/>
        <w:autoSpaceDE/>
        <w:autoSpaceDN/>
        <w:bidi w:val="0"/>
        <w:adjustRightInd/>
        <w:snapToGrid/>
        <w:spacing w:line="360" w:lineRule="auto"/>
        <w:ind w:firstLine="470" w:firstLineChars="196"/>
        <w:textAlignment w:val="auto"/>
        <w:rPr>
          <w:color w:val="auto"/>
          <w:highlight w:val="none"/>
        </w:rPr>
      </w:pPr>
      <w:r>
        <w:rPr>
          <w:rFonts w:hint="eastAsia" w:ascii="宋体" w:hAnsi="宋体"/>
          <w:color w:val="auto"/>
          <w:szCs w:val="24"/>
          <w:highlight w:val="none"/>
        </w:rPr>
        <w:t xml:space="preserve">6）评标过程中，若出现特殊情况时，由磋商小组决定暂停评标，并提出具体处理意见。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right="0"/>
        <w:jc w:val="both"/>
        <w:textAlignment w:val="auto"/>
        <w:rPr>
          <w:rFonts w:hint="eastAsia" w:ascii="宋体" w:hAnsi="宋体" w:eastAsia="宋体" w:cs="宋体"/>
          <w:b/>
          <w:bCs w:val="0"/>
          <w:color w:val="auto"/>
          <w:spacing w:val="4"/>
          <w:sz w:val="24"/>
          <w:szCs w:val="24"/>
          <w:highlight w:val="none"/>
          <w:lang w:val="en-US"/>
        </w:rPr>
      </w:pPr>
      <w:r>
        <w:rPr>
          <w:rFonts w:hint="eastAsia" w:ascii="宋体" w:hAnsi="宋体" w:eastAsia="宋体" w:cs="宋体"/>
          <w:b/>
          <w:bCs w:val="0"/>
          <w:color w:val="auto"/>
          <w:spacing w:val="4"/>
          <w:kern w:val="2"/>
          <w:sz w:val="24"/>
          <w:szCs w:val="24"/>
          <w:highlight w:val="none"/>
          <w:lang w:val="en-US" w:eastAsia="zh-CN" w:bidi="ar"/>
        </w:rPr>
        <w:t>三、定标：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right="0" w:firstLine="496" w:firstLineChars="200"/>
        <w:jc w:val="both"/>
        <w:textAlignment w:val="auto"/>
        <w:rPr>
          <w:rFonts w:hint="eastAsia" w:ascii="宋体" w:hAnsi="宋体" w:eastAsia="宋体" w:cs="宋体"/>
          <w:color w:val="auto"/>
          <w:spacing w:val="4"/>
          <w:sz w:val="24"/>
          <w:szCs w:val="24"/>
          <w:highlight w:val="none"/>
          <w:lang w:val="en-US"/>
        </w:rPr>
      </w:pPr>
      <w:r>
        <w:rPr>
          <w:rFonts w:hint="eastAsia" w:ascii="宋体" w:hAnsi="宋体" w:eastAsia="宋体" w:cs="宋体"/>
          <w:color w:val="auto"/>
          <w:spacing w:val="4"/>
          <w:kern w:val="2"/>
          <w:sz w:val="24"/>
          <w:szCs w:val="24"/>
          <w:highlight w:val="none"/>
          <w:lang w:val="en-US" w:eastAsia="zh-CN" w:bidi="ar"/>
        </w:rPr>
        <w:t>1、评标结果由全体</w:t>
      </w:r>
      <w:r>
        <w:rPr>
          <w:rFonts w:hint="eastAsia" w:ascii="宋体" w:hAnsi="宋体" w:cs="宋体"/>
          <w:color w:val="auto"/>
          <w:kern w:val="2"/>
          <w:sz w:val="24"/>
          <w:szCs w:val="24"/>
          <w:highlight w:val="none"/>
          <w:lang w:val="en-US" w:eastAsia="zh-CN" w:bidi="ar"/>
        </w:rPr>
        <w:t>磋商小组</w:t>
      </w:r>
      <w:r>
        <w:rPr>
          <w:rFonts w:hint="eastAsia" w:ascii="宋体" w:hAnsi="宋体" w:eastAsia="宋体" w:cs="宋体"/>
          <w:color w:val="auto"/>
          <w:kern w:val="2"/>
          <w:sz w:val="24"/>
          <w:szCs w:val="24"/>
          <w:highlight w:val="none"/>
          <w:lang w:val="en-US" w:eastAsia="zh-CN" w:bidi="ar"/>
        </w:rPr>
        <w:t>成员</w:t>
      </w:r>
      <w:r>
        <w:rPr>
          <w:rFonts w:hint="eastAsia" w:ascii="宋体" w:hAnsi="宋体" w:eastAsia="宋体" w:cs="宋体"/>
          <w:color w:val="auto"/>
          <w:spacing w:val="4"/>
          <w:kern w:val="2"/>
          <w:sz w:val="24"/>
          <w:szCs w:val="24"/>
          <w:highlight w:val="none"/>
          <w:lang w:val="en-US" w:eastAsia="zh-CN" w:bidi="ar"/>
        </w:rPr>
        <w:t>签字确认。</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right="0" w:firstLine="496" w:firstLineChars="200"/>
        <w:jc w:val="both"/>
        <w:textAlignment w:val="auto"/>
        <w:rPr>
          <w:rFonts w:hint="eastAsia" w:ascii="宋体" w:hAnsi="宋体" w:eastAsia="宋体" w:cs="宋体"/>
          <w:color w:val="auto"/>
          <w:spacing w:val="4"/>
          <w:kern w:val="2"/>
          <w:sz w:val="24"/>
          <w:szCs w:val="24"/>
          <w:highlight w:val="none"/>
          <w:lang w:val="en-US" w:eastAsia="zh-CN" w:bidi="ar"/>
        </w:rPr>
      </w:pPr>
      <w:r>
        <w:rPr>
          <w:rFonts w:hint="eastAsia" w:ascii="宋体" w:hAnsi="宋体" w:eastAsia="宋体" w:cs="宋体"/>
          <w:color w:val="auto"/>
          <w:spacing w:val="4"/>
          <w:kern w:val="2"/>
          <w:sz w:val="24"/>
          <w:szCs w:val="24"/>
          <w:highlight w:val="none"/>
          <w:lang w:val="en-US" w:eastAsia="zh-CN" w:bidi="ar"/>
        </w:rPr>
        <w:t>2、采购人根据评标报告中推荐的</w:t>
      </w:r>
      <w:r>
        <w:rPr>
          <w:rFonts w:hint="eastAsia" w:ascii="宋体" w:hAnsi="宋体" w:cs="宋体"/>
          <w:color w:val="auto"/>
          <w:spacing w:val="4"/>
          <w:kern w:val="2"/>
          <w:sz w:val="24"/>
          <w:szCs w:val="24"/>
          <w:highlight w:val="none"/>
          <w:lang w:val="en-US" w:eastAsia="zh-CN" w:bidi="ar"/>
        </w:rPr>
        <w:t>成交</w:t>
      </w:r>
      <w:r>
        <w:rPr>
          <w:rFonts w:hint="eastAsia" w:ascii="宋体" w:hAnsi="宋体" w:eastAsia="宋体" w:cs="宋体"/>
          <w:color w:val="auto"/>
          <w:spacing w:val="4"/>
          <w:kern w:val="2"/>
          <w:sz w:val="24"/>
          <w:szCs w:val="24"/>
          <w:highlight w:val="none"/>
          <w:lang w:val="en-US" w:eastAsia="zh-CN" w:bidi="ar"/>
        </w:rPr>
        <w:t>候选人排列顺序确定成交人</w:t>
      </w:r>
      <w:r>
        <w:rPr>
          <w:rFonts w:hint="eastAsia" w:ascii="宋体" w:hAnsi="宋体" w:cs="宋体"/>
          <w:color w:val="auto"/>
          <w:spacing w:val="4"/>
          <w:kern w:val="2"/>
          <w:sz w:val="24"/>
          <w:szCs w:val="24"/>
          <w:highlight w:val="none"/>
          <w:lang w:val="en-US" w:eastAsia="zh-CN" w:bidi="ar"/>
        </w:rPr>
        <w:t>。</w:t>
      </w:r>
    </w:p>
    <w:p>
      <w:pPr>
        <w:pStyle w:val="10"/>
        <w:rPr>
          <w:rFonts w:hint="eastAsia"/>
          <w:lang w:val="en-US" w:eastAsia="zh-CN"/>
        </w:rPr>
      </w:pPr>
    </w:p>
    <w:p>
      <w:pPr>
        <w:rPr>
          <w:rFonts w:hint="eastAsia"/>
          <w:lang w:val="en-US" w:eastAsia="zh-CN"/>
        </w:rPr>
      </w:pPr>
    </w:p>
    <w:p>
      <w:pPr>
        <w:pStyle w:val="2"/>
        <w:rPr>
          <w:rFonts w:hint="eastAsia"/>
          <w:color w:val="auto"/>
          <w:highlight w:val="none"/>
        </w:rPr>
      </w:pPr>
      <w:bookmarkStart w:id="198" w:name="_Toc21797"/>
      <w:bookmarkStart w:id="199" w:name="_Toc315"/>
    </w:p>
    <w:p>
      <w:pPr>
        <w:pStyle w:val="3"/>
        <w:bidi w:val="0"/>
        <w:jc w:val="both"/>
        <w:outlineLvl w:val="9"/>
        <w:rPr>
          <w:rFonts w:hint="eastAsia"/>
          <w:color w:val="auto"/>
          <w:highlight w:val="none"/>
        </w:rPr>
      </w:pPr>
    </w:p>
    <w:p>
      <w:pPr>
        <w:rPr>
          <w:rFonts w:hint="eastAsia"/>
        </w:rPr>
      </w:pPr>
    </w:p>
    <w:p>
      <w:pPr>
        <w:bidi w:val="0"/>
        <w:rPr>
          <w:rFonts w:hint="eastAsia"/>
        </w:rPr>
      </w:pPr>
    </w:p>
    <w:p>
      <w:pPr>
        <w:bidi w:val="0"/>
        <w:rPr>
          <w:rFonts w:hint="eastAsia"/>
        </w:rPr>
      </w:pPr>
    </w:p>
    <w:p>
      <w:pPr>
        <w:bidi w:val="0"/>
        <w:jc w:val="center"/>
        <w:outlineLvl w:val="0"/>
        <w:rPr>
          <w:rFonts w:hint="eastAsia" w:ascii="Times New Roman" w:hAnsi="Times New Roman" w:eastAsia="宋体" w:cs="Times New Roman"/>
          <w:b/>
          <w:bCs/>
          <w:color w:val="auto"/>
          <w:kern w:val="44"/>
          <w:sz w:val="36"/>
          <w:szCs w:val="44"/>
          <w:highlight w:val="none"/>
          <w:lang w:val="en-US" w:eastAsia="zh-CN" w:bidi="ar-SA"/>
        </w:rPr>
      </w:pPr>
      <w:bookmarkStart w:id="200" w:name="_Toc22973"/>
      <w:bookmarkStart w:id="201" w:name="_Toc15163"/>
      <w:r>
        <w:rPr>
          <w:rFonts w:hint="eastAsia" w:ascii="Times New Roman" w:hAnsi="Times New Roman" w:eastAsia="宋体" w:cs="Times New Roman"/>
          <w:b/>
          <w:bCs/>
          <w:color w:val="auto"/>
          <w:kern w:val="44"/>
          <w:sz w:val="36"/>
          <w:szCs w:val="44"/>
          <w:highlight w:val="none"/>
          <w:lang w:val="en-US" w:eastAsia="zh-CN" w:bidi="ar-SA"/>
        </w:rPr>
        <w:t>第七章 响应文件格式</w:t>
      </w:r>
      <w:bookmarkEnd w:id="83"/>
      <w:bookmarkEnd w:id="84"/>
      <w:bookmarkEnd w:id="85"/>
      <w:bookmarkEnd w:id="198"/>
      <w:bookmarkEnd w:id="199"/>
      <w:bookmarkEnd w:id="200"/>
      <w:bookmarkEnd w:id="201"/>
    </w:p>
    <w:p>
      <w:pPr>
        <w:pStyle w:val="16"/>
        <w:rPr>
          <w:rFonts w:hint="eastAsia" w:ascii="宋体" w:hAnsi="宋体" w:eastAsia="宋体" w:cs="宋体"/>
          <w:b/>
          <w:bCs/>
          <w:color w:val="auto"/>
          <w:sz w:val="36"/>
          <w:szCs w:val="36"/>
          <w:highlight w:val="none"/>
          <w:lang w:val="en-US" w:eastAsia="zh-CN"/>
        </w:rPr>
      </w:pPr>
      <w:bookmarkStart w:id="202" w:name="_Toc184794035"/>
      <w:bookmarkStart w:id="203" w:name="_Toc257126854"/>
    </w:p>
    <w:p>
      <w:pPr>
        <w:pStyle w:val="16"/>
        <w:rPr>
          <w:rFonts w:asciiTheme="minorEastAsia" w:hAnsiTheme="minorEastAsia" w:eastAsiaTheme="minorEastAsia" w:cstheme="minorEastAsia"/>
          <w:color w:val="auto"/>
          <w:sz w:val="36"/>
          <w:szCs w:val="36"/>
          <w:highlight w:val="none"/>
        </w:rPr>
      </w:pPr>
      <w:r>
        <w:rPr>
          <w:rFonts w:hint="eastAsia" w:ascii="宋体" w:hAnsi="宋体" w:eastAsia="宋体" w:cs="宋体"/>
          <w:b/>
          <w:bCs/>
          <w:color w:val="auto"/>
          <w:sz w:val="36"/>
          <w:szCs w:val="36"/>
          <w:highlight w:val="none"/>
          <w:lang w:val="en-US" w:eastAsia="zh-CN"/>
        </w:rPr>
        <w:t>采购</w:t>
      </w:r>
      <w:r>
        <w:rPr>
          <w:rFonts w:hint="eastAsia" w:ascii="宋体" w:hAnsi="宋体" w:eastAsia="宋体" w:cs="宋体"/>
          <w:b/>
          <w:bCs/>
          <w:color w:val="auto"/>
          <w:sz w:val="36"/>
          <w:szCs w:val="36"/>
          <w:highlight w:val="none"/>
        </w:rPr>
        <w:t>项目编号：</w:t>
      </w:r>
      <w:r>
        <w:rPr>
          <w:rFonts w:hint="eastAsia" w:ascii="宋体" w:hAnsi="宋体" w:cs="宋体"/>
          <w:b/>
          <w:bCs/>
          <w:color w:val="auto"/>
          <w:sz w:val="36"/>
          <w:szCs w:val="36"/>
          <w:highlight w:val="none"/>
          <w:lang w:val="en-US" w:eastAsia="zh-CN"/>
        </w:rPr>
        <w:t>SXMLCG2023-09</w:t>
      </w:r>
    </w:p>
    <w:p>
      <w:pPr>
        <w:pStyle w:val="8"/>
        <w:spacing w:line="360" w:lineRule="auto"/>
        <w:ind w:firstLine="0"/>
        <w:jc w:val="center"/>
        <w:rPr>
          <w:rFonts w:hint="eastAsia" w:hAnsi="宋体" w:cs="宋体"/>
          <w:b/>
          <w:color w:val="000000"/>
          <w:sz w:val="56"/>
          <w:szCs w:val="56"/>
          <w:lang w:val="en-US" w:eastAsia="zh-CN"/>
        </w:rPr>
      </w:pPr>
    </w:p>
    <w:p>
      <w:pPr>
        <w:pStyle w:val="8"/>
        <w:jc w:val="center"/>
        <w:rPr>
          <w:color w:val="auto"/>
          <w:highlight w:val="none"/>
        </w:rPr>
      </w:pPr>
      <w:r>
        <w:rPr>
          <w:rFonts w:hint="eastAsia" w:hAnsi="宋体" w:cs="宋体"/>
          <w:b/>
          <w:color w:val="000000"/>
          <w:sz w:val="56"/>
          <w:szCs w:val="56"/>
          <w:lang w:val="en-US" w:eastAsia="zh-CN"/>
        </w:rPr>
        <w:t>神木市2023年沿黄防护林提质增效和高质量发展试点工程监理</w:t>
      </w:r>
    </w:p>
    <w:p>
      <w:pPr>
        <w:pStyle w:val="8"/>
        <w:rPr>
          <w:color w:val="auto"/>
          <w:highlight w:val="none"/>
        </w:rPr>
      </w:pPr>
    </w:p>
    <w:bookmarkEnd w:id="202"/>
    <w:bookmarkEnd w:id="203"/>
    <w:p>
      <w:pPr>
        <w:bidi w:val="0"/>
        <w:jc w:val="center"/>
        <w:rPr>
          <w:rFonts w:hint="eastAsia"/>
          <w:b/>
          <w:bCs/>
          <w:color w:val="auto"/>
          <w:sz w:val="96"/>
          <w:szCs w:val="96"/>
          <w:highlight w:val="none"/>
          <w:lang w:eastAsia="zh-CN"/>
        </w:rPr>
      </w:pPr>
    </w:p>
    <w:p>
      <w:pPr>
        <w:bidi w:val="0"/>
        <w:jc w:val="center"/>
        <w:rPr>
          <w:rFonts w:hint="eastAsia" w:ascii="宋体" w:hAnsi="宋体" w:eastAsia="宋体" w:cs="宋体"/>
          <w:color w:val="auto"/>
          <w:sz w:val="36"/>
          <w:szCs w:val="36"/>
          <w:highlight w:val="none"/>
        </w:rPr>
      </w:pPr>
      <w:r>
        <w:rPr>
          <w:rFonts w:hint="eastAsia"/>
          <w:b/>
          <w:bCs/>
          <w:color w:val="auto"/>
          <w:sz w:val="96"/>
          <w:szCs w:val="96"/>
          <w:highlight w:val="none"/>
          <w:lang w:eastAsia="zh-CN"/>
        </w:rPr>
        <w:t>磋商响应</w:t>
      </w:r>
      <w:r>
        <w:rPr>
          <w:rFonts w:hint="eastAsia"/>
          <w:b/>
          <w:bCs/>
          <w:color w:val="auto"/>
          <w:sz w:val="96"/>
          <w:szCs w:val="96"/>
          <w:highlight w:val="none"/>
        </w:rPr>
        <w:t>文件</w:t>
      </w:r>
    </w:p>
    <w:p>
      <w:pPr>
        <w:pStyle w:val="92"/>
        <w:widowControl/>
        <w:spacing w:line="360" w:lineRule="auto"/>
        <w:ind w:firstLine="0" w:firstLineChars="0"/>
        <w:jc w:val="center"/>
        <w:rPr>
          <w:rFonts w:hint="eastAsia" w:ascii="宋体" w:hAnsi="宋体" w:eastAsia="宋体" w:cs="宋体"/>
          <w:color w:val="auto"/>
          <w:sz w:val="36"/>
          <w:highlight w:val="none"/>
        </w:rPr>
      </w:pPr>
      <w:r>
        <w:rPr>
          <w:rFonts w:hint="eastAsia" w:ascii="宋体" w:hAnsi="宋体" w:eastAsia="宋体" w:cs="宋体"/>
          <w:b/>
          <w:bCs/>
          <w:color w:val="auto"/>
          <w:sz w:val="36"/>
          <w:szCs w:val="36"/>
          <w:highlight w:val="none"/>
        </w:rPr>
        <w:t>正本/副本</w:t>
      </w:r>
    </w:p>
    <w:p>
      <w:pPr>
        <w:pStyle w:val="92"/>
        <w:widowControl/>
        <w:spacing w:line="240" w:lineRule="auto"/>
        <w:ind w:firstLine="0" w:firstLineChars="0"/>
        <w:jc w:val="center"/>
        <w:rPr>
          <w:rFonts w:hint="eastAsia" w:ascii="宋体" w:hAnsi="宋体" w:eastAsia="宋体" w:cs="宋体"/>
          <w:color w:val="auto"/>
          <w:sz w:val="36"/>
          <w:highlight w:val="none"/>
        </w:rPr>
      </w:pPr>
    </w:p>
    <w:p>
      <w:pPr>
        <w:pStyle w:val="92"/>
        <w:widowControl/>
        <w:spacing w:line="240" w:lineRule="auto"/>
        <w:ind w:firstLine="0" w:firstLineChars="0"/>
        <w:jc w:val="center"/>
        <w:rPr>
          <w:rFonts w:hint="eastAsia" w:ascii="宋体" w:hAnsi="宋体" w:eastAsia="宋体" w:cs="宋体"/>
          <w:color w:val="auto"/>
          <w:sz w:val="36"/>
          <w:highlight w:val="none"/>
        </w:rPr>
      </w:pPr>
    </w:p>
    <w:p>
      <w:pPr>
        <w:pStyle w:val="92"/>
        <w:widowControl/>
        <w:spacing w:line="240" w:lineRule="auto"/>
        <w:ind w:firstLine="0" w:firstLineChars="0"/>
        <w:jc w:val="center"/>
        <w:rPr>
          <w:rFonts w:hint="eastAsia" w:ascii="宋体" w:hAnsi="宋体" w:eastAsia="宋体" w:cs="宋体"/>
          <w:color w:val="auto"/>
          <w:sz w:val="36"/>
          <w:highlight w:val="none"/>
        </w:rPr>
      </w:pPr>
    </w:p>
    <w:p>
      <w:pPr>
        <w:pStyle w:val="92"/>
        <w:widowControl/>
        <w:spacing w:line="240" w:lineRule="auto"/>
        <w:ind w:firstLine="0" w:firstLineChars="0"/>
        <w:jc w:val="center"/>
        <w:rPr>
          <w:rFonts w:hint="eastAsia" w:ascii="宋体" w:hAnsi="宋体" w:eastAsia="宋体" w:cs="宋体"/>
          <w:color w:val="auto"/>
          <w:sz w:val="36"/>
          <w:highlight w:val="none"/>
        </w:rPr>
      </w:pPr>
    </w:p>
    <w:p>
      <w:pPr>
        <w:pStyle w:val="92"/>
        <w:widowControl/>
        <w:spacing w:line="240" w:lineRule="auto"/>
        <w:ind w:firstLine="0" w:firstLineChars="0"/>
        <w:jc w:val="center"/>
        <w:rPr>
          <w:rFonts w:hint="eastAsia" w:ascii="宋体" w:hAnsi="宋体" w:eastAsia="宋体" w:cs="宋体"/>
          <w:color w:val="auto"/>
          <w:sz w:val="36"/>
          <w:highlight w:val="none"/>
        </w:rPr>
      </w:pPr>
    </w:p>
    <w:p>
      <w:pPr>
        <w:spacing w:line="360" w:lineRule="auto"/>
        <w:ind w:firstLine="643" w:firstLineChars="200"/>
        <w:rPr>
          <w:rFonts w:ascii="宋体" w:hAnsi="宋体" w:cs="宋体"/>
          <w:b/>
          <w:sz w:val="32"/>
          <w:szCs w:val="32"/>
        </w:rPr>
      </w:pPr>
      <w:r>
        <w:rPr>
          <w:rFonts w:hint="eastAsia" w:ascii="宋体" w:hAnsi="宋体" w:cs="宋体"/>
          <w:b/>
          <w:sz w:val="32"/>
          <w:szCs w:val="32"/>
        </w:rPr>
        <w:t>投标人：</w:t>
      </w:r>
      <w:r>
        <w:rPr>
          <w:rFonts w:hint="eastAsia" w:ascii="宋体" w:hAnsi="宋体" w:cs="宋体"/>
          <w:b/>
          <w:sz w:val="32"/>
          <w:szCs w:val="32"/>
          <w:u w:val="single"/>
        </w:rPr>
        <w:t xml:space="preserve">        公司名称          </w:t>
      </w:r>
      <w:r>
        <w:rPr>
          <w:rFonts w:hint="eastAsia" w:ascii="宋体" w:hAnsi="宋体" w:cs="宋体"/>
          <w:b/>
          <w:sz w:val="32"/>
          <w:szCs w:val="32"/>
        </w:rPr>
        <w:t>（公章)</w:t>
      </w:r>
    </w:p>
    <w:p>
      <w:pPr>
        <w:spacing w:line="360" w:lineRule="auto"/>
        <w:jc w:val="center"/>
        <w:rPr>
          <w:rFonts w:ascii="宋体" w:hAnsi="宋体" w:cs="宋体"/>
          <w:b/>
          <w:sz w:val="32"/>
          <w:szCs w:val="32"/>
          <w:u w:val="single"/>
        </w:rPr>
      </w:pPr>
    </w:p>
    <w:p>
      <w:pPr>
        <w:spacing w:line="360" w:lineRule="auto"/>
        <w:jc w:val="left"/>
        <w:rPr>
          <w:rFonts w:ascii="宋体" w:hAnsi="宋体" w:cs="宋体"/>
          <w:b/>
          <w:sz w:val="32"/>
          <w:szCs w:val="32"/>
          <w:u w:val="single"/>
        </w:rPr>
      </w:pPr>
      <w:r>
        <w:rPr>
          <w:rFonts w:hint="eastAsia" w:ascii="宋体" w:hAnsi="宋体" w:cs="宋体"/>
          <w:b/>
          <w:sz w:val="32"/>
          <w:szCs w:val="32"/>
        </w:rPr>
        <w:t xml:space="preserve">    投标人法人或授权委托人（签字或盖章）：</w:t>
      </w:r>
      <w:r>
        <w:rPr>
          <w:rFonts w:hint="eastAsia" w:ascii="宋体" w:hAnsi="宋体" w:cs="宋体"/>
          <w:b/>
          <w:i/>
          <w:iCs/>
          <w:sz w:val="32"/>
          <w:szCs w:val="32"/>
          <w:u w:val="single"/>
        </w:rPr>
        <w:t xml:space="preserve">  </w:t>
      </w:r>
      <w:r>
        <w:rPr>
          <w:rFonts w:hint="eastAsia" w:ascii="宋体" w:hAnsi="宋体" w:cs="宋体"/>
          <w:b/>
          <w:sz w:val="32"/>
          <w:szCs w:val="32"/>
          <w:u w:val="single"/>
        </w:rPr>
        <w:t xml:space="preserve">       </w:t>
      </w:r>
    </w:p>
    <w:p>
      <w:pPr>
        <w:spacing w:line="360" w:lineRule="auto"/>
        <w:jc w:val="left"/>
        <w:rPr>
          <w:rFonts w:ascii="宋体" w:hAnsi="宋体" w:cs="宋体"/>
          <w:b/>
          <w:sz w:val="32"/>
          <w:szCs w:val="32"/>
          <w:u w:val="single"/>
        </w:rPr>
      </w:pPr>
    </w:p>
    <w:p>
      <w:pPr>
        <w:spacing w:line="360" w:lineRule="auto"/>
        <w:jc w:val="left"/>
        <w:rPr>
          <w:rFonts w:ascii="宋体" w:hAnsi="宋体" w:cs="宋体"/>
          <w:b/>
          <w:sz w:val="32"/>
          <w:szCs w:val="32"/>
          <w:u w:val="single"/>
        </w:rPr>
      </w:pPr>
      <w:r>
        <w:rPr>
          <w:rFonts w:hint="eastAsia" w:ascii="宋体" w:hAnsi="宋体" w:cs="宋体"/>
          <w:b/>
          <w:sz w:val="32"/>
          <w:szCs w:val="32"/>
        </w:rPr>
        <w:t xml:space="preserve">    时  间：</w:t>
      </w:r>
      <w:r>
        <w:rPr>
          <w:rFonts w:hint="eastAsia" w:ascii="宋体" w:hAnsi="宋体" w:cs="宋体"/>
          <w:b/>
          <w:sz w:val="32"/>
          <w:szCs w:val="32"/>
          <w:u w:val="single"/>
        </w:rPr>
        <w:t xml:space="preserve">                  </w:t>
      </w:r>
    </w:p>
    <w:p>
      <w:pPr>
        <w:widowControl/>
        <w:jc w:val="left"/>
        <w:rPr>
          <w:rFonts w:ascii="宋体" w:hAnsi="宋体"/>
          <w:b/>
          <w:color w:val="auto"/>
          <w:sz w:val="44"/>
          <w:szCs w:val="44"/>
          <w:highlight w:val="none"/>
        </w:rPr>
      </w:pPr>
      <w:r>
        <w:rPr>
          <w:rFonts w:ascii="宋体" w:hAnsi="宋体"/>
          <w:b/>
          <w:color w:val="auto"/>
          <w:sz w:val="44"/>
          <w:szCs w:val="44"/>
          <w:highlight w:val="none"/>
        </w:rPr>
        <w:br w:type="page"/>
      </w:r>
    </w:p>
    <w:p>
      <w:pPr>
        <w:pStyle w:val="4"/>
        <w:bidi w:val="0"/>
        <w:jc w:val="center"/>
        <w:rPr>
          <w:rFonts w:hint="eastAsia"/>
          <w:color w:val="auto"/>
          <w:highlight w:val="none"/>
          <w:lang w:val="en-US" w:eastAsia="zh-CN"/>
        </w:rPr>
      </w:pPr>
      <w:bookmarkStart w:id="204" w:name="_Toc11086"/>
      <w:bookmarkStart w:id="205" w:name="_Toc27723"/>
      <w:bookmarkStart w:id="206" w:name="_Toc22061"/>
      <w:bookmarkStart w:id="207" w:name="_Toc15048"/>
      <w:bookmarkStart w:id="208" w:name="_Toc20393"/>
      <w:bookmarkStart w:id="209" w:name="_Toc15779"/>
      <w:bookmarkStart w:id="210" w:name="_Toc27299"/>
      <w:bookmarkStart w:id="211" w:name="_Toc13882"/>
      <w:r>
        <w:rPr>
          <w:rFonts w:hint="eastAsia"/>
          <w:color w:val="auto"/>
          <w:highlight w:val="none"/>
          <w:lang w:val="en-US" w:eastAsia="zh-CN"/>
        </w:rPr>
        <w:t>第一部分 资格证明文件</w:t>
      </w:r>
      <w:bookmarkEnd w:id="204"/>
      <w:bookmarkEnd w:id="205"/>
      <w:bookmarkEnd w:id="206"/>
      <w:bookmarkEnd w:id="207"/>
      <w:bookmarkEnd w:id="208"/>
    </w:p>
    <w:p>
      <w:pPr>
        <w:keepNext w:val="0"/>
        <w:keepLines w:val="0"/>
        <w:widowControl/>
        <w:suppressLineNumbers w:val="0"/>
        <w:spacing w:line="360" w:lineRule="auto"/>
        <w:ind w:firstLine="482" w:firstLineChars="200"/>
        <w:jc w:val="left"/>
        <w:rPr>
          <w:rFonts w:hint="eastAsia" w:ascii="宋体" w:hAnsi="宋体" w:eastAsia="宋体" w:cs="宋体"/>
          <w:b/>
          <w:bCs/>
          <w:color w:val="auto"/>
          <w:kern w:val="0"/>
          <w:sz w:val="24"/>
          <w:szCs w:val="24"/>
          <w:highlight w:val="none"/>
          <w:lang w:val="en-US" w:eastAsia="zh-CN" w:bidi="ar"/>
        </w:rPr>
      </w:pPr>
      <w:bookmarkStart w:id="212" w:name="_Toc10236"/>
      <w:r>
        <w:rPr>
          <w:rFonts w:hint="eastAsia" w:ascii="宋体" w:hAnsi="宋体" w:eastAsia="宋体" w:cs="宋体"/>
          <w:b/>
          <w:bCs/>
          <w:color w:val="auto"/>
          <w:kern w:val="0"/>
          <w:sz w:val="24"/>
          <w:szCs w:val="24"/>
          <w:highlight w:val="none"/>
          <w:lang w:val="en-US" w:eastAsia="zh-CN" w:bidi="ar"/>
        </w:rPr>
        <w:t>供应商应按照</w:t>
      </w:r>
      <w:r>
        <w:rPr>
          <w:rFonts w:hint="eastAsia" w:ascii="宋体" w:hAnsi="宋体" w:cs="宋体"/>
          <w:b/>
          <w:bCs/>
          <w:color w:val="auto"/>
          <w:kern w:val="0"/>
          <w:sz w:val="24"/>
          <w:szCs w:val="24"/>
          <w:highlight w:val="none"/>
          <w:lang w:val="en-US" w:eastAsia="zh-CN" w:bidi="ar"/>
        </w:rPr>
        <w:t>磋商</w:t>
      </w:r>
      <w:r>
        <w:rPr>
          <w:rFonts w:hint="eastAsia" w:ascii="宋体" w:hAnsi="宋体" w:eastAsia="宋体" w:cs="宋体"/>
          <w:b/>
          <w:bCs/>
          <w:color w:val="auto"/>
          <w:kern w:val="0"/>
          <w:sz w:val="24"/>
          <w:szCs w:val="24"/>
          <w:highlight w:val="none"/>
          <w:lang w:val="en-US" w:eastAsia="zh-CN" w:bidi="ar"/>
        </w:rPr>
        <w:t xml:space="preserve">文件“供应商资格要求”逐一提 供全部资格证明文件。缺少其中任何一项，其响应文件将被视为无效文件。 </w:t>
      </w:r>
    </w:p>
    <w:p>
      <w:pPr>
        <w:keepNext w:val="0"/>
        <w:keepLines w:val="0"/>
        <w:widowControl/>
        <w:suppressLineNumbers w:val="0"/>
        <w:spacing w:line="360" w:lineRule="auto"/>
        <w:ind w:firstLine="482" w:firstLineChars="200"/>
        <w:jc w:val="left"/>
        <w:rPr>
          <w:rFonts w:hint="eastAsia"/>
          <w:color w:val="auto"/>
          <w:highlight w:val="none"/>
          <w:lang w:val="en-US" w:eastAsia="zh-CN"/>
        </w:rPr>
      </w:pPr>
      <w:r>
        <w:rPr>
          <w:rFonts w:hint="eastAsia" w:ascii="宋体" w:hAnsi="宋体" w:eastAsia="宋体" w:cs="宋体"/>
          <w:b/>
          <w:bCs/>
          <w:color w:val="auto"/>
          <w:kern w:val="0"/>
          <w:sz w:val="24"/>
          <w:szCs w:val="24"/>
          <w:highlight w:val="none"/>
          <w:lang w:val="en-US" w:eastAsia="zh-CN" w:bidi="ar"/>
        </w:rPr>
        <w:t>特别说明，法定代表人亲自参加</w:t>
      </w:r>
      <w:r>
        <w:rPr>
          <w:rFonts w:hint="eastAsia" w:ascii="宋体" w:hAnsi="宋体" w:cs="宋体"/>
          <w:b/>
          <w:bCs/>
          <w:color w:val="auto"/>
          <w:kern w:val="0"/>
          <w:sz w:val="24"/>
          <w:szCs w:val="24"/>
          <w:highlight w:val="none"/>
          <w:lang w:val="en-US" w:eastAsia="zh-CN" w:bidi="ar"/>
        </w:rPr>
        <w:t>磋商</w:t>
      </w:r>
      <w:r>
        <w:rPr>
          <w:rFonts w:hint="eastAsia" w:ascii="宋体" w:hAnsi="宋体" w:eastAsia="宋体" w:cs="宋体"/>
          <w:b/>
          <w:bCs/>
          <w:color w:val="auto"/>
          <w:kern w:val="0"/>
          <w:sz w:val="24"/>
          <w:szCs w:val="24"/>
          <w:highlight w:val="none"/>
          <w:lang w:val="en-US" w:eastAsia="zh-CN" w:bidi="ar"/>
        </w:rPr>
        <w:t>的，可不提供法定代表人授权委托书，但须提供其本人身份证（正反面）复印件。</w:t>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bookmarkStart w:id="213" w:name="_Toc15424"/>
      <w:bookmarkStart w:id="214" w:name="_Toc16994"/>
      <w:r>
        <w:rPr>
          <w:rFonts w:hint="eastAsia"/>
          <w:color w:val="auto"/>
          <w:highlight w:val="none"/>
          <w:lang w:val="en-US" w:eastAsia="zh-CN"/>
        </w:rPr>
        <w:t>一、营业执照等主体资格证明文件</w:t>
      </w:r>
      <w:bookmarkEnd w:id="209"/>
      <w:bookmarkEnd w:id="212"/>
      <w:bookmarkEnd w:id="213"/>
      <w:bookmarkEnd w:id="214"/>
      <w:r>
        <w:rPr>
          <w:rFonts w:hint="eastAsia"/>
          <w:color w:val="auto"/>
          <w:highlight w:val="none"/>
          <w:lang w:val="en-US" w:eastAsia="zh-CN"/>
        </w:rPr>
        <w:t xml:space="preserve"> </w:t>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bookmarkStart w:id="215" w:name="_Toc14790"/>
      <w:bookmarkStart w:id="216" w:name="_Toc17801"/>
      <w:bookmarkStart w:id="217" w:name="_Toc11459"/>
      <w:bookmarkStart w:id="218" w:name="_Toc26581"/>
      <w:bookmarkStart w:id="219" w:name="_Toc1285"/>
      <w:bookmarkStart w:id="220" w:name="_Toc30842"/>
      <w:r>
        <w:rPr>
          <w:rFonts w:hint="eastAsia"/>
          <w:color w:val="auto"/>
          <w:highlight w:val="none"/>
          <w:lang w:val="en-US" w:eastAsia="zh-CN"/>
        </w:rPr>
        <w:t>二、财务状况报告</w:t>
      </w:r>
      <w:bookmarkEnd w:id="215"/>
      <w:bookmarkEnd w:id="216"/>
      <w:bookmarkEnd w:id="217"/>
      <w:bookmarkEnd w:id="218"/>
      <w:r>
        <w:rPr>
          <w:rFonts w:hint="eastAsia"/>
          <w:color w:val="auto"/>
          <w:highlight w:val="none"/>
          <w:lang w:val="en-US" w:eastAsia="zh-CN"/>
        </w:rPr>
        <w:t xml:space="preserve"> </w:t>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bookmarkStart w:id="221" w:name="_Toc17188"/>
      <w:bookmarkStart w:id="222" w:name="_Toc6291"/>
      <w:r>
        <w:rPr>
          <w:rFonts w:hint="eastAsia"/>
          <w:color w:val="auto"/>
          <w:highlight w:val="none"/>
          <w:lang w:val="en-US" w:eastAsia="zh-CN"/>
        </w:rPr>
        <w:t>三、社保缴纳证明</w:t>
      </w:r>
      <w:bookmarkEnd w:id="219"/>
      <w:bookmarkEnd w:id="220"/>
      <w:bookmarkEnd w:id="221"/>
      <w:bookmarkEnd w:id="222"/>
      <w:r>
        <w:rPr>
          <w:rFonts w:hint="eastAsia"/>
          <w:color w:val="auto"/>
          <w:highlight w:val="none"/>
          <w:lang w:val="en-US" w:eastAsia="zh-CN"/>
        </w:rPr>
        <w:t xml:space="preserve"> </w:t>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bookmarkStart w:id="223" w:name="_Toc2288"/>
      <w:bookmarkStart w:id="224" w:name="_Toc20979"/>
      <w:bookmarkStart w:id="225" w:name="_Toc6624"/>
      <w:bookmarkStart w:id="226" w:name="_Toc5444"/>
      <w:r>
        <w:rPr>
          <w:rFonts w:hint="eastAsia"/>
          <w:color w:val="auto"/>
          <w:highlight w:val="none"/>
          <w:lang w:val="en-US" w:eastAsia="zh-CN"/>
        </w:rPr>
        <w:t>四、税收缴纳证明</w:t>
      </w:r>
      <w:bookmarkEnd w:id="223"/>
      <w:bookmarkEnd w:id="224"/>
      <w:bookmarkEnd w:id="225"/>
      <w:bookmarkEnd w:id="226"/>
      <w:r>
        <w:rPr>
          <w:rFonts w:hint="eastAsia"/>
          <w:color w:val="auto"/>
          <w:highlight w:val="none"/>
          <w:lang w:val="en-US" w:eastAsia="zh-CN"/>
        </w:rPr>
        <w:t xml:space="preserve"> </w:t>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bookmarkStart w:id="227" w:name="_Toc21735"/>
      <w:bookmarkStart w:id="228" w:name="_Toc4916"/>
      <w:bookmarkStart w:id="229" w:name="_Toc10559"/>
      <w:bookmarkStart w:id="230" w:name="_Toc23518"/>
      <w:r>
        <w:rPr>
          <w:rFonts w:hint="eastAsia"/>
          <w:color w:val="auto"/>
          <w:highlight w:val="none"/>
          <w:lang w:val="en-US" w:eastAsia="zh-CN"/>
        </w:rPr>
        <w:t>五、书面声明函</w:t>
      </w:r>
      <w:bookmarkEnd w:id="227"/>
      <w:bookmarkEnd w:id="228"/>
      <w:bookmarkEnd w:id="229"/>
      <w:bookmarkEnd w:id="230"/>
      <w:bookmarkStart w:id="231" w:name="_Toc21967"/>
      <w:bookmarkStart w:id="232" w:name="_Toc14334"/>
    </w:p>
    <w:p>
      <w:pPr>
        <w:pStyle w:val="93"/>
        <w:widowControl/>
        <w:spacing w:beforeLines="0" w:beforeAutospacing="0" w:afterLines="0" w:afterAutospacing="0" w:line="360" w:lineRule="auto"/>
        <w:jc w:val="center"/>
        <w:outlineLvl w:val="9"/>
        <w:rPr>
          <w:rFonts w:hint="eastAsia" w:ascii="Arial" w:hAnsi="Arial" w:eastAsia="宋体" w:cs="Times New Roman"/>
          <w:b/>
          <w:bCs w:val="0"/>
          <w:color w:val="auto"/>
          <w:kern w:val="0"/>
          <w:sz w:val="30"/>
          <w:szCs w:val="32"/>
          <w:highlight w:val="none"/>
          <w:lang w:val="en-US" w:eastAsia="zh-CN" w:bidi="ar"/>
        </w:rPr>
      </w:pPr>
      <w:bookmarkStart w:id="233" w:name="_Toc29937"/>
      <w:bookmarkStart w:id="234" w:name="_Toc16242"/>
      <w:bookmarkStart w:id="235" w:name="_Toc11518"/>
      <w:bookmarkStart w:id="236" w:name="_Toc27143"/>
      <w:bookmarkStart w:id="237" w:name="_Toc23995"/>
      <w:bookmarkStart w:id="238" w:name="_Toc22243"/>
      <w:bookmarkStart w:id="239" w:name="_Toc10769"/>
      <w:bookmarkStart w:id="240" w:name="_Toc21945"/>
      <w:r>
        <w:rPr>
          <w:rFonts w:hint="eastAsia" w:ascii="Arial" w:hAnsi="Arial" w:eastAsia="宋体" w:cs="Times New Roman"/>
          <w:b/>
          <w:bCs w:val="0"/>
          <w:color w:val="auto"/>
          <w:kern w:val="0"/>
          <w:sz w:val="30"/>
          <w:szCs w:val="32"/>
          <w:highlight w:val="none"/>
          <w:lang w:val="en-US" w:eastAsia="zh-CN" w:bidi="ar"/>
        </w:rPr>
        <w:t>书面声明函</w:t>
      </w:r>
      <w:bookmarkEnd w:id="233"/>
      <w:bookmarkEnd w:id="234"/>
      <w:bookmarkEnd w:id="235"/>
      <w:bookmarkEnd w:id="236"/>
      <w:bookmarkEnd w:id="237"/>
      <w:bookmarkEnd w:id="238"/>
      <w:bookmarkEnd w:id="239"/>
      <w:bookmarkEnd w:id="240"/>
    </w:p>
    <w:p>
      <w:pPr>
        <w:widowControl/>
        <w:spacing w:line="360" w:lineRule="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陕西曼力工程管理咨询有限公司</w:t>
      </w:r>
      <w:r>
        <w:rPr>
          <w:rFonts w:hint="eastAsia" w:ascii="宋体" w:hAnsi="宋体" w:eastAsia="宋体" w:cs="宋体"/>
          <w:color w:val="auto"/>
          <w:sz w:val="24"/>
          <w:szCs w:val="24"/>
          <w:highlight w:val="none"/>
        </w:rPr>
        <w:t>：</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我方作为</w:t>
      </w:r>
      <w:r>
        <w:rPr>
          <w:rFonts w:hint="eastAsia" w:ascii="宋体" w:hAnsi="宋体" w:cs="宋体"/>
          <w:color w:val="auto"/>
          <w:sz w:val="24"/>
          <w:szCs w:val="24"/>
          <w:highlight w:val="none"/>
          <w:u w:val="single"/>
          <w:lang w:eastAsia="zh-CN"/>
        </w:rPr>
        <w:t>神木市林业局关于神木市2023年沿黄防护林提质增效和高质量发展试点工程监理</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）的投标供应商，在此郑重声明：</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1、在参加政府采购活动前3年内的经营活动中____（填“没有”或“有”）重大违法记录。供应商</w:t>
      </w:r>
      <w:r>
        <w:rPr>
          <w:rFonts w:hint="eastAsia" w:ascii="宋体" w:hAnsi="宋体" w:eastAsia="宋体" w:cs="宋体"/>
          <w:b/>
          <w:bCs/>
          <w:color w:val="auto"/>
          <w:sz w:val="24"/>
          <w:szCs w:val="24"/>
          <w:highlight w:val="none"/>
        </w:rPr>
        <w:t>在参加政府采购活动前3年内因违法经营被禁止在一定期限内参加政府采购活动，期限届满的，可以参加政府采购活动，但应提供期限届满的证明材料。</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2、我方______（填“未被列入”或“被列入”）失信被执行人名单。</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3、我方______（填“未被列入”或“被列入”）重大税收违法案件当事人名单。</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4、我方______（填“未被列入”或“被列入”）政府采购严重违法失信行为记录名单。</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如有不实，我方将无条件地退出本项目的采购活动，并遵照《政府采购法》有关“提供虚假材料的规定”接受处罚。</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特此声明。</w:t>
      </w:r>
    </w:p>
    <w:p>
      <w:pPr>
        <w:widowControl/>
        <w:spacing w:line="360" w:lineRule="auto"/>
        <w:ind w:firstLine="480" w:firstLineChars="200"/>
        <w:rPr>
          <w:rFonts w:hint="eastAsia" w:ascii="宋体" w:hAnsi="宋体" w:eastAsia="宋体" w:cs="宋体"/>
          <w:color w:val="auto"/>
          <w:sz w:val="24"/>
          <w:szCs w:val="24"/>
          <w:highlight w:val="none"/>
        </w:rPr>
      </w:pP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      （盖公章）</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法定代表人或授权代表：</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（签字或盖章）</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　　年　月　日</w:t>
      </w:r>
    </w:p>
    <w:p>
      <w:pPr>
        <w:bidi w:val="0"/>
        <w:rPr>
          <w:rFonts w:hint="eastAsia"/>
          <w:color w:val="auto"/>
          <w:highlight w:val="none"/>
          <w:lang w:val="en-US" w:eastAsia="zh-CN"/>
        </w:rPr>
      </w:pP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bookmarkStart w:id="241" w:name="_Toc10915"/>
      <w:bookmarkStart w:id="242" w:name="_Toc13344"/>
      <w:r>
        <w:rPr>
          <w:rFonts w:hint="eastAsia"/>
          <w:color w:val="auto"/>
          <w:highlight w:val="none"/>
          <w:lang w:val="en-US" w:eastAsia="zh-CN"/>
        </w:rPr>
        <w:t>六、</w:t>
      </w:r>
      <w:bookmarkEnd w:id="241"/>
      <w:r>
        <w:rPr>
          <w:rFonts w:hint="eastAsia"/>
          <w:color w:val="auto"/>
          <w:highlight w:val="none"/>
          <w:lang w:val="en-US" w:eastAsia="zh-CN"/>
        </w:rPr>
        <w:t>信用查询</w:t>
      </w:r>
      <w:bookmarkEnd w:id="231"/>
      <w:bookmarkEnd w:id="232"/>
      <w:bookmarkEnd w:id="242"/>
      <w:bookmarkStart w:id="243" w:name="_Toc32391"/>
      <w:bookmarkStart w:id="244" w:name="_Toc9029"/>
    </w:p>
    <w:bookmarkEnd w:id="243"/>
    <w:bookmarkEnd w:id="244"/>
    <w:p>
      <w:pPr>
        <w:pStyle w:val="5"/>
        <w:bidi w:val="0"/>
        <w:rPr>
          <w:rFonts w:hint="eastAsia" w:ascii="宋体" w:hAnsi="宋体" w:eastAsia="宋体" w:cs="宋体"/>
          <w:b/>
          <w:bCs/>
          <w:sz w:val="30"/>
          <w:szCs w:val="30"/>
        </w:rPr>
      </w:pPr>
      <w:bookmarkStart w:id="245" w:name="_Toc12385"/>
      <w:bookmarkStart w:id="246" w:name="_Toc22072"/>
      <w:bookmarkStart w:id="247" w:name="_Toc31166"/>
      <w:bookmarkStart w:id="248" w:name="_Toc7295"/>
      <w:r>
        <w:rPr>
          <w:rFonts w:hint="eastAsia"/>
          <w:color w:val="auto"/>
          <w:highlight w:val="none"/>
          <w:lang w:val="en-US" w:eastAsia="zh-CN"/>
        </w:rPr>
        <w:t>七、</w:t>
      </w:r>
      <w:bookmarkEnd w:id="245"/>
      <w:r>
        <w:rPr>
          <w:rFonts w:hint="eastAsia"/>
          <w:lang w:eastAsia="zh-CN"/>
        </w:rPr>
        <w:t>榆林市政府采购工程类</w:t>
      </w:r>
      <w:r>
        <w:rPr>
          <w:rFonts w:hint="eastAsia"/>
          <w:lang w:val="en-US" w:eastAsia="zh-CN"/>
        </w:rPr>
        <w:t>/货物类/服务类项目供应商信用承诺书</w:t>
      </w:r>
      <w:r>
        <w:rPr>
          <w:rFonts w:hint="eastAsia"/>
        </w:rPr>
        <w:t>、</w:t>
      </w:r>
      <w:r>
        <w:rPr>
          <w:rFonts w:hint="eastAsia"/>
          <w:lang w:eastAsia="zh-CN"/>
        </w:rPr>
        <w:t>投标人委托代理人员信用承诺书</w:t>
      </w:r>
      <w:r>
        <w:rPr>
          <w:rFonts w:hint="eastAsia"/>
        </w:rPr>
        <w:t>、投标信用</w:t>
      </w:r>
      <w:r>
        <w:rPr>
          <w:rFonts w:hint="eastAsia"/>
          <w:lang w:eastAsia="zh-CN"/>
        </w:rPr>
        <w:t>（保证金）承诺书</w:t>
      </w:r>
      <w:bookmarkEnd w:id="246"/>
    </w:p>
    <w:p>
      <w:pPr>
        <w:keepNext w:val="0"/>
        <w:keepLines w:val="0"/>
        <w:pageBreakBefore w:val="0"/>
        <w:widowControl w:val="0"/>
        <w:kinsoku/>
        <w:wordWrap/>
        <w:overflowPunct/>
        <w:topLinePunct w:val="0"/>
        <w:autoSpaceDE w:val="0"/>
        <w:autoSpaceDN w:val="0"/>
        <w:bidi w:val="0"/>
        <w:adjustRightInd/>
        <w:snapToGrid/>
        <w:spacing w:line="360" w:lineRule="auto"/>
        <w:ind w:firstLine="602" w:firstLineChars="200"/>
        <w:textAlignment w:val="auto"/>
        <w:rPr>
          <w:rFonts w:hint="eastAsia" w:ascii="宋体" w:hAnsi="宋体" w:eastAsia="宋体" w:cs="宋体"/>
          <w:sz w:val="30"/>
          <w:szCs w:val="30"/>
        </w:rPr>
      </w:pPr>
      <w:r>
        <w:rPr>
          <w:rFonts w:hint="eastAsia" w:ascii="宋体" w:hAnsi="宋体" w:eastAsia="宋体" w:cs="宋体"/>
          <w:b/>
          <w:bCs/>
          <w:sz w:val="30"/>
          <w:szCs w:val="30"/>
        </w:rPr>
        <w:t>榆林市政府采购工程类/货物类/服务类项目供应商信用承诺书</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市场主体名称：</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统一社会信用代码证件号码：</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法人代表：</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承诺有效期限：</w:t>
      </w:r>
      <w:r>
        <w:rPr>
          <w:rFonts w:hint="eastAsia" w:ascii="宋体" w:hAnsi="宋体" w:eastAsia="宋体" w:cs="宋体"/>
          <w:sz w:val="28"/>
          <w:szCs w:val="28"/>
        </w:rPr>
        <w:tab/>
      </w:r>
      <w:r>
        <w:rPr>
          <w:rFonts w:hint="eastAsia" w:ascii="宋体" w:hAnsi="宋体" w:eastAsia="宋体" w:cs="宋体"/>
          <w:sz w:val="28"/>
          <w:szCs w:val="28"/>
        </w:rPr>
        <w:t>年</w:t>
      </w:r>
      <w:r>
        <w:rPr>
          <w:rFonts w:hint="eastAsia" w:ascii="宋体" w:hAnsi="宋体" w:eastAsia="宋体" w:cs="宋体"/>
          <w:sz w:val="28"/>
          <w:szCs w:val="28"/>
        </w:rPr>
        <w:tab/>
      </w:r>
      <w:r>
        <w:rPr>
          <w:rFonts w:hint="eastAsia" w:ascii="宋体" w:hAnsi="宋体" w:eastAsia="宋体" w:cs="宋体"/>
          <w:sz w:val="28"/>
          <w:szCs w:val="28"/>
        </w:rPr>
        <w:t>月</w:t>
      </w:r>
      <w:r>
        <w:rPr>
          <w:rFonts w:hint="eastAsia" w:ascii="宋体" w:hAnsi="宋体" w:eastAsia="宋体" w:cs="宋体"/>
          <w:sz w:val="28"/>
          <w:szCs w:val="28"/>
        </w:rPr>
        <w:tab/>
      </w:r>
      <w:r>
        <w:rPr>
          <w:rFonts w:hint="eastAsia" w:ascii="宋体" w:hAnsi="宋体" w:eastAsia="宋体" w:cs="宋体"/>
          <w:sz w:val="28"/>
          <w:szCs w:val="28"/>
        </w:rPr>
        <w:t>日—</w:t>
      </w:r>
      <w:r>
        <w:rPr>
          <w:rFonts w:hint="eastAsia" w:ascii="宋体" w:hAnsi="宋体" w:eastAsia="宋体" w:cs="宋体"/>
          <w:sz w:val="28"/>
          <w:szCs w:val="28"/>
        </w:rPr>
        <w:tab/>
      </w:r>
      <w:r>
        <w:rPr>
          <w:rFonts w:hint="eastAsia" w:ascii="宋体" w:hAnsi="宋体" w:eastAsia="宋体" w:cs="宋体"/>
          <w:sz w:val="28"/>
          <w:szCs w:val="28"/>
        </w:rPr>
        <w:t>年</w:t>
      </w:r>
      <w:r>
        <w:rPr>
          <w:rFonts w:hint="eastAsia" w:ascii="宋体" w:hAnsi="宋体" w:eastAsia="宋体" w:cs="宋体"/>
          <w:sz w:val="28"/>
          <w:szCs w:val="28"/>
        </w:rPr>
        <w:tab/>
      </w:r>
      <w:r>
        <w:rPr>
          <w:rFonts w:hint="eastAsia" w:ascii="宋体" w:hAnsi="宋体" w:eastAsia="宋体" w:cs="宋体"/>
          <w:sz w:val="28"/>
          <w:szCs w:val="28"/>
        </w:rPr>
        <w:t>月</w:t>
      </w:r>
      <w:r>
        <w:rPr>
          <w:rFonts w:hint="eastAsia" w:ascii="宋体" w:hAnsi="宋体" w:eastAsia="宋体" w:cs="宋体"/>
          <w:sz w:val="28"/>
          <w:szCs w:val="28"/>
        </w:rPr>
        <w:tab/>
      </w:r>
      <w:r>
        <w:rPr>
          <w:rFonts w:hint="eastAsia" w:ascii="宋体" w:hAnsi="宋体" w:eastAsia="宋体" w:cs="宋体"/>
          <w:sz w:val="28"/>
          <w:szCs w:val="28"/>
        </w:rPr>
        <w:t>日</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承诺内容：</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为维护公开、公平、公正的政府采购市场秩序，树立诚实守信的政府采购供应商形象，本单位自愿做出以下承诺：</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一、承诺本单位严格遵守国家法律、法规和规章，全面履行应尽的责任和义务， 全面做到履约守信，具备《政府采购法》第二十二条第一款规定的条件</w:t>
      </w:r>
      <w:r>
        <w:rPr>
          <w:rFonts w:hint="eastAsia" w:ascii="宋体" w:hAnsi="宋体" w:eastAsia="宋体" w:cs="宋体"/>
          <w:sz w:val="28"/>
          <w:szCs w:val="28"/>
          <w:lang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二、承诺本单位提供给注册登记部门、行业管理部门、司法部门、行业组织以及在政府采购活动中提交的所有资料均合法、真实、有效，无任何伪造、修改、虚假成份，并对所提供资料的真实性负责；</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三、承诺本单位严格依法开展生产经营活动，主动接受行业监管，自愿接受依法开展的日常检查；违法失信经营后将自愿接受约束和惩戒，并依法承担相应责任；</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四、承诺本单位自觉接受行政管理部门、行业组织、社会公众、新闻舆论的监督； </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五、承诺本单位自我约束、自我管理，重合同、守信用，不制假售假、商标侵权、虚假宣传、违约毁约、恶意逃债、偷税漏税、价格欺诈、垄断和不正当竞争，维护经营者、消费者的合法权益；</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六、承诺本单位提出政府采购质疑和投诉坚持依法依规、诚实信用原则，在全国范围12个月内没有三次以上查无实据的政府采购投诉；</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u w:val="single"/>
        </w:rPr>
      </w:pPr>
      <w:r>
        <w:rPr>
          <w:rFonts w:hint="eastAsia" w:ascii="宋体" w:hAnsi="宋体" w:eastAsia="宋体" w:cs="宋体"/>
          <w:sz w:val="28"/>
          <w:szCs w:val="28"/>
        </w:rPr>
        <w:t>七、根据政府采购相关法律法规的规定需要作出的其他承诺：</w:t>
      </w:r>
      <w:r>
        <w:rPr>
          <w:rFonts w:hint="eastAsia" w:ascii="宋体" w:hAnsi="宋体" w:eastAsia="宋体" w:cs="宋体"/>
          <w:sz w:val="28"/>
          <w:szCs w:val="28"/>
          <w:u w:val="single"/>
        </w:rPr>
        <w:tab/>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承诺单位（盖章）：</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法定代表人（负责人）：</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法定代表人（负责人）身份证号：</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承诺日期：</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备注：法定代表人或负责人、主体名称发生变更的应当重新做出承诺</w:t>
      </w:r>
      <w:r>
        <w:rPr>
          <w:rFonts w:hint="eastAsia" w:ascii="宋体" w:hAnsi="宋体" w:eastAsia="宋体" w:cs="宋体"/>
          <w:sz w:val="28"/>
          <w:szCs w:val="28"/>
          <w:lang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lang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lang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lang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lang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lang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lang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lang w:eastAsia="zh-CN"/>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Cs w:val="28"/>
        </w:rPr>
      </w:pPr>
      <w:r>
        <w:rPr>
          <w:rFonts w:hint="eastAsia" w:ascii="宋体" w:hAnsi="宋体" w:eastAsia="宋体" w:cs="宋体"/>
          <w:b/>
          <w:bCs/>
          <w:sz w:val="28"/>
          <w:szCs w:val="28"/>
          <w:lang w:eastAsia="zh-CN"/>
        </w:rPr>
        <w:t>★</w:t>
      </w:r>
      <w:r>
        <w:rPr>
          <w:rFonts w:hint="eastAsia" w:ascii="宋体" w:hAnsi="宋体" w:eastAsia="宋体" w:cs="宋体"/>
          <w:b/>
          <w:bCs/>
          <w:sz w:val="28"/>
          <w:szCs w:val="28"/>
          <w:lang w:val="en-US" w:eastAsia="zh-CN"/>
        </w:rPr>
        <w:t>后附信用中国（陕西榆林）“榆林市政府采购工程类/货物类/服务类项目供应商信用承诺书”公示情况截图，公示操作指南见附件</w:t>
      </w:r>
      <w:r>
        <w:rPr>
          <w:rFonts w:hint="eastAsia" w:ascii="宋体" w:hAnsi="宋体" w:cs="宋体"/>
          <w:b/>
          <w:bCs/>
          <w:sz w:val="28"/>
          <w:szCs w:val="28"/>
          <w:lang w:val="en-US" w:eastAsia="zh-CN"/>
        </w:rPr>
        <w:t>五</w:t>
      </w:r>
      <w:r>
        <w:rPr>
          <w:rFonts w:hint="eastAsia" w:ascii="宋体" w:hAnsi="宋体" w:eastAsia="宋体" w:cs="宋体"/>
          <w:b/>
          <w:bCs/>
          <w:sz w:val="28"/>
          <w:szCs w:val="28"/>
          <w:lang w:val="en-US" w:eastAsia="zh-CN"/>
        </w:rPr>
        <w:t>。</w:t>
      </w:r>
      <w:r>
        <w:rPr>
          <w:rFonts w:hint="eastAsia" w:ascii="宋体" w:hAnsi="宋体" w:eastAsia="宋体" w:cs="宋体"/>
          <w:szCs w:val="28"/>
        </w:rPr>
        <w:br w:type="page"/>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投标人委托代理人员信用承诺书</w:t>
      </w:r>
    </w:p>
    <w:p>
      <w:pPr>
        <w:widowControl/>
        <w:spacing w:line="540" w:lineRule="exact"/>
        <w:ind w:firstLine="480" w:firstLineChars="200"/>
        <w:jc w:val="left"/>
        <w:rPr>
          <w:rFonts w:ascii="宋体" w:hAnsi="宋体" w:cs="宋体"/>
          <w:kern w:val="0"/>
          <w:sz w:val="24"/>
        </w:rPr>
      </w:pPr>
    </w:p>
    <w:p>
      <w:pPr>
        <w:keepNext w:val="0"/>
        <w:keepLines w:val="0"/>
        <w:pageBreakBefore w:val="0"/>
        <w:widowControl/>
        <w:kinsoku/>
        <w:wordWrap/>
        <w:overflowPunct/>
        <w:topLinePunct w:val="0"/>
        <w:autoSpaceDE w:val="0"/>
        <w:autoSpaceDN w:val="0"/>
        <w:bidi w:val="0"/>
        <w:spacing w:line="360" w:lineRule="auto"/>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在</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rPr>
        <w:t>项目招投标活动中，我个人郑重作出以下信用承诺：</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（一）能严格遵守法律法规、职业道德和行业规范，具有独立承担民事责任的能力；无法律法规规定禁止开展从业活动情形。我所递交的文件资料合法、真实、准确、完整、有效，无弄虚作假等情形。</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（三）自愿接受招投标监督部门和有关行政监督部门的依法检查。</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（四）同意将此信用承诺纳入陕西省公共信用信息平台和榆林市公共信用信息共享平台，并接受社会监督。</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keepNext w:val="0"/>
        <w:keepLines w:val="0"/>
        <w:pageBreakBefore w:val="0"/>
        <w:widowControl/>
        <w:kinsoku/>
        <w:wordWrap/>
        <w:overflowPunct/>
        <w:topLinePunct w:val="0"/>
        <w:autoSpaceDE w:val="0"/>
        <w:autoSpaceDN w:val="0"/>
        <w:bidi w:val="0"/>
        <w:spacing w:line="360" w:lineRule="auto"/>
        <w:ind w:firstLine="482"/>
        <w:jc w:val="left"/>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rPr>
        <w:t>承诺有效期限：</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rPr>
        <w:t>年</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rPr>
        <w:t>月</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rPr>
        <w:t>日—</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rPr>
        <w:t>年</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rPr>
        <w:t>月</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rPr>
        <w:t>日</w:t>
      </w:r>
    </w:p>
    <w:p>
      <w:pPr>
        <w:keepNext w:val="0"/>
        <w:keepLines w:val="0"/>
        <w:pageBreakBefore w:val="0"/>
        <w:widowControl/>
        <w:kinsoku/>
        <w:wordWrap/>
        <w:overflowPunct/>
        <w:topLinePunct w:val="0"/>
        <w:autoSpaceDE w:val="0"/>
        <w:autoSpaceDN w:val="0"/>
        <w:bidi w:val="0"/>
        <w:spacing w:line="360" w:lineRule="auto"/>
        <w:ind w:firstLine="482"/>
        <w:jc w:val="left"/>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lang w:eastAsia="zh-CN"/>
        </w:rPr>
        <w:t>供应商</w:t>
      </w:r>
      <w:r>
        <w:rPr>
          <w:rFonts w:hint="eastAsia" w:ascii="宋体" w:hAnsi="宋体" w:eastAsia="宋体" w:cs="宋体"/>
          <w:kern w:val="0"/>
          <w:sz w:val="28"/>
          <w:szCs w:val="28"/>
        </w:rPr>
        <w:t>：</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u w:val="single"/>
          <w:lang w:val="en-US" w:eastAsia="zh-CN"/>
        </w:rPr>
        <w:t xml:space="preserve">  </w:t>
      </w:r>
      <w:r>
        <w:rPr>
          <w:rFonts w:hint="eastAsia" w:ascii="宋体" w:hAnsi="宋体" w:eastAsia="宋体" w:cs="宋体"/>
          <w:kern w:val="0"/>
          <w:sz w:val="28"/>
          <w:szCs w:val="28"/>
          <w:u w:val="single"/>
        </w:rPr>
        <w:t xml:space="preserve">                                      </w:t>
      </w:r>
    </w:p>
    <w:p>
      <w:pPr>
        <w:keepNext w:val="0"/>
        <w:keepLines w:val="0"/>
        <w:pageBreakBefore w:val="0"/>
        <w:widowControl/>
        <w:kinsoku/>
        <w:wordWrap/>
        <w:overflowPunct/>
        <w:topLinePunct w:val="0"/>
        <w:autoSpaceDE w:val="0"/>
        <w:autoSpaceDN w:val="0"/>
        <w:bidi w:val="0"/>
        <w:adjustRightInd/>
        <w:snapToGrid/>
        <w:spacing w:line="360" w:lineRule="auto"/>
        <w:ind w:firstLine="560" w:firstLineChars="200"/>
        <w:jc w:val="left"/>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rPr>
        <w:t>承诺人（签字）：</w:t>
      </w:r>
      <w:r>
        <w:rPr>
          <w:rFonts w:hint="eastAsia" w:ascii="宋体" w:hAnsi="宋体" w:eastAsia="宋体" w:cs="宋体"/>
          <w:kern w:val="0"/>
          <w:sz w:val="28"/>
          <w:szCs w:val="28"/>
          <w:u w:val="single"/>
        </w:rPr>
        <w:t xml:space="preserve">                 </w:t>
      </w: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承诺时间：</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rPr>
        <w:t>年</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rPr>
        <w:t>月</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rPr>
        <w:t>日</w:t>
      </w: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kern w:val="0"/>
          <w:sz w:val="28"/>
          <w:szCs w:val="28"/>
        </w:rPr>
      </w:pPr>
    </w:p>
    <w:p>
      <w:pPr>
        <w:keepNext w:val="0"/>
        <w:keepLines w:val="0"/>
        <w:pageBreakBefore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b/>
          <w:bCs/>
          <w:sz w:val="28"/>
          <w:szCs w:val="28"/>
          <w:lang w:eastAsia="zh-CN"/>
        </w:rPr>
        <w:t>★</w:t>
      </w:r>
      <w:r>
        <w:rPr>
          <w:rFonts w:hint="eastAsia" w:ascii="宋体" w:hAnsi="宋体" w:eastAsia="宋体" w:cs="宋体"/>
          <w:b/>
          <w:bCs/>
          <w:sz w:val="28"/>
          <w:szCs w:val="28"/>
          <w:lang w:val="en-US" w:eastAsia="zh-CN"/>
        </w:rPr>
        <w:t>后附信用中国（陕西榆林）“投标人委托代理人员信用承诺书”公示情况截图，公示操作指南见附件</w:t>
      </w:r>
      <w:r>
        <w:rPr>
          <w:rFonts w:hint="eastAsia" w:ascii="宋体" w:hAnsi="宋体" w:cs="宋体"/>
          <w:b/>
          <w:bCs/>
          <w:sz w:val="28"/>
          <w:szCs w:val="28"/>
          <w:lang w:val="en-US" w:eastAsia="zh-CN"/>
        </w:rPr>
        <w:t>五</w:t>
      </w:r>
      <w:r>
        <w:rPr>
          <w:rFonts w:hint="eastAsia" w:ascii="宋体" w:hAnsi="宋体" w:eastAsia="宋体" w:cs="宋体"/>
          <w:b/>
          <w:bCs/>
          <w:sz w:val="28"/>
          <w:szCs w:val="28"/>
          <w:lang w:val="en-US" w:eastAsia="zh-CN"/>
        </w:rPr>
        <w:t>。</w:t>
      </w:r>
      <w:r>
        <w:rPr>
          <w:rFonts w:hint="eastAsia" w:ascii="宋体" w:hAnsi="宋体" w:eastAsia="宋体" w:cs="宋体"/>
          <w:sz w:val="28"/>
          <w:szCs w:val="28"/>
        </w:rPr>
        <w:br w:type="page"/>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投标信用</w:t>
      </w:r>
      <w:r>
        <w:rPr>
          <w:rFonts w:hint="eastAsia" w:ascii="宋体" w:hAnsi="宋体" w:eastAsia="宋体" w:cs="宋体"/>
          <w:b/>
          <w:bCs/>
          <w:sz w:val="30"/>
          <w:szCs w:val="30"/>
          <w:lang w:eastAsia="zh-CN"/>
        </w:rPr>
        <w:t>（保证金）承诺书</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sz w:val="28"/>
          <w:szCs w:val="28"/>
        </w:rPr>
        <w:t>项目标段：</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sz w:val="28"/>
          <w:szCs w:val="28"/>
        </w:rPr>
        <w:t>供应商：</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sz w:val="28"/>
          <w:szCs w:val="28"/>
        </w:rPr>
        <w:t>统一社会信用代码：</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法人代表：</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在本项目标段招投标活动中，我公司（单位）自愿作出以下投标信用承诺：</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（一）能严格遵守法律法规、职业道德和行业规范。</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（二）不得有以下违法违规行为：1.围标串标</w:t>
      </w:r>
      <w:r>
        <w:rPr>
          <w:rFonts w:hint="eastAsia" w:ascii="宋体" w:hAnsi="宋体" w:eastAsia="宋体" w:cs="宋体"/>
          <w:sz w:val="28"/>
          <w:szCs w:val="28"/>
          <w:lang w:eastAsia="zh-CN"/>
        </w:rPr>
        <w:t>：</w:t>
      </w:r>
      <w:r>
        <w:rPr>
          <w:rFonts w:hint="eastAsia" w:ascii="宋体" w:hAnsi="宋体" w:eastAsia="宋体" w:cs="宋体"/>
          <w:sz w:val="28"/>
          <w:szCs w:val="28"/>
        </w:rPr>
        <w:t>以他人名义或者其他方式弄虚作假投标；出让出租资格、资质证书供他人投标；恶意竞标；以暴力、威胁、利诱等手段阻止或者控制其他潜在供应商参与招投标活动。2. 向监督部门、交易中心、采购人、招标代理机构、评审委员会及其成员等当事主体赠送财物。3.投标截止后至中标人确定前，修改或者撤销响应文件。4.在被确定为中标人后无正当理由：不按照招标文件和响应文件与采购人签订合同；在签订合同时向采购人提出附加条件、或者改变响应文件的实质性内容；收到中标通知书后，30日内未将合同原件送至招标代理机构备案；放弃中标；不按照招标文件的规定提交履约保证金。5.招投标法规定的其它违法违规行为。</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法定代表人（签字或盖章）：</w:t>
      </w:r>
      <w:r>
        <w:rPr>
          <w:rFonts w:hint="eastAsia" w:ascii="宋体" w:hAnsi="宋体" w:eastAsia="宋体" w:cs="宋体"/>
          <w:sz w:val="28"/>
          <w:szCs w:val="28"/>
        </w:rPr>
        <w:tab/>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供应商（盖章）：</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承诺时间： </w:t>
      </w:r>
      <w:r>
        <w:rPr>
          <w:rFonts w:hint="eastAsia" w:ascii="宋体" w:hAnsi="宋体" w:eastAsia="宋体" w:cs="宋体"/>
          <w:sz w:val="28"/>
          <w:szCs w:val="28"/>
        </w:rPr>
        <w:tab/>
      </w:r>
      <w:r>
        <w:rPr>
          <w:rFonts w:hint="eastAsia" w:ascii="宋体" w:hAnsi="宋体" w:eastAsia="宋体" w:cs="宋体"/>
          <w:sz w:val="28"/>
          <w:szCs w:val="28"/>
        </w:rPr>
        <w:t xml:space="preserve">年 </w:t>
      </w:r>
      <w:r>
        <w:rPr>
          <w:rFonts w:hint="eastAsia" w:ascii="宋体" w:hAnsi="宋体" w:eastAsia="宋体" w:cs="宋体"/>
          <w:sz w:val="28"/>
          <w:szCs w:val="28"/>
        </w:rPr>
        <w:tab/>
      </w:r>
      <w:r>
        <w:rPr>
          <w:rFonts w:hint="eastAsia" w:ascii="宋体" w:hAnsi="宋体" w:eastAsia="宋体" w:cs="宋体"/>
          <w:sz w:val="28"/>
          <w:szCs w:val="28"/>
        </w:rPr>
        <w:t xml:space="preserve">月 </w:t>
      </w:r>
      <w:r>
        <w:rPr>
          <w:rFonts w:hint="eastAsia" w:ascii="宋体" w:hAnsi="宋体" w:eastAsia="宋体" w:cs="宋体"/>
          <w:sz w:val="28"/>
          <w:szCs w:val="28"/>
        </w:rPr>
        <w:tab/>
      </w:r>
      <w:r>
        <w:rPr>
          <w:rFonts w:hint="eastAsia" w:ascii="宋体" w:hAnsi="宋体" w:eastAsia="宋体" w:cs="宋体"/>
          <w:sz w:val="28"/>
          <w:szCs w:val="28"/>
        </w:rPr>
        <w:t>日</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Cs w:val="28"/>
        </w:rPr>
      </w:pPr>
      <w:r>
        <w:rPr>
          <w:rFonts w:hint="eastAsia" w:ascii="宋体" w:hAnsi="宋体" w:eastAsia="宋体" w:cs="宋体"/>
          <w:sz w:val="28"/>
          <w:szCs w:val="28"/>
        </w:rPr>
        <w:t>说明：本承诺书效力和作用等同投标保证金，其有效期与投标有效期一致。</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rPr>
          <w:rFonts w:hint="eastAsia"/>
          <w:lang w:val="en-US" w:eastAsia="zh-CN"/>
        </w:rPr>
      </w:pPr>
      <w:r>
        <w:rPr>
          <w:rFonts w:hint="eastAsia" w:ascii="宋体" w:hAnsi="宋体" w:eastAsia="宋体" w:cs="宋体"/>
          <w:b/>
          <w:bCs/>
          <w:sz w:val="28"/>
          <w:szCs w:val="28"/>
          <w:lang w:eastAsia="zh-CN"/>
        </w:rPr>
        <w:t>★</w:t>
      </w:r>
      <w:r>
        <w:rPr>
          <w:rFonts w:hint="eastAsia" w:ascii="宋体" w:hAnsi="宋体" w:eastAsia="宋体" w:cs="宋体"/>
          <w:b/>
          <w:bCs/>
          <w:sz w:val="28"/>
          <w:szCs w:val="28"/>
          <w:lang w:val="en-US" w:eastAsia="zh-CN"/>
        </w:rPr>
        <w:t>后附信用中国（陕西榆林）“投标信用（保证金）承诺书”公示情况截图，公示操作指南见附件</w:t>
      </w:r>
      <w:r>
        <w:rPr>
          <w:rFonts w:hint="eastAsia" w:ascii="宋体" w:hAnsi="宋体" w:cs="宋体"/>
          <w:b/>
          <w:bCs/>
          <w:sz w:val="28"/>
          <w:szCs w:val="28"/>
          <w:lang w:val="en-US" w:eastAsia="zh-CN"/>
        </w:rPr>
        <w:t>五</w:t>
      </w:r>
      <w:r>
        <w:rPr>
          <w:rFonts w:hint="eastAsia" w:ascii="宋体" w:hAnsi="宋体" w:eastAsia="宋体" w:cs="宋体"/>
          <w:b/>
          <w:bCs/>
          <w:sz w:val="28"/>
          <w:szCs w:val="28"/>
          <w:lang w:val="en-US" w:eastAsia="zh-CN"/>
        </w:rPr>
        <w:t>。</w:t>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bookmarkStart w:id="249" w:name="_Toc17400"/>
      <w:bookmarkStart w:id="250" w:name="_Toc5243"/>
      <w:r>
        <w:rPr>
          <w:rFonts w:hint="eastAsia"/>
          <w:color w:val="auto"/>
          <w:highlight w:val="none"/>
          <w:lang w:val="en-US" w:eastAsia="zh-CN"/>
        </w:rPr>
        <w:t>八、</w:t>
      </w:r>
      <w:bookmarkEnd w:id="247"/>
      <w:bookmarkEnd w:id="248"/>
      <w:bookmarkEnd w:id="249"/>
      <w:r>
        <w:rPr>
          <w:rFonts w:hint="eastAsia" w:ascii="Times New Roman" w:hAnsi="Times New Roman" w:eastAsia="宋体" w:cs="Times New Roman"/>
          <w:b/>
          <w:color w:val="auto"/>
          <w:kern w:val="2"/>
          <w:sz w:val="28"/>
          <w:highlight w:val="none"/>
          <w:lang w:val="en-US" w:eastAsia="zh-CN" w:bidi="ar-SA"/>
        </w:rPr>
        <w:t>投标人需具备市政公用工程 工程监理乙级及以上资质。</w:t>
      </w:r>
      <w:bookmarkEnd w:id="250"/>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color w:val="auto"/>
          <w:kern w:val="2"/>
          <w:sz w:val="28"/>
          <w:highlight w:val="none"/>
          <w:lang w:val="en-US" w:eastAsia="zh-CN" w:bidi="ar-SA"/>
        </w:rPr>
      </w:pPr>
      <w:bookmarkStart w:id="251" w:name="_Toc27379"/>
      <w:bookmarkStart w:id="252" w:name="_Toc32463"/>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color w:val="auto"/>
          <w:kern w:val="2"/>
          <w:sz w:val="28"/>
          <w:highlight w:val="none"/>
          <w:lang w:val="en-US" w:eastAsia="zh-CN" w:bidi="ar-SA"/>
        </w:rPr>
      </w:pPr>
      <w:bookmarkStart w:id="253" w:name="_Toc10544"/>
      <w:r>
        <w:rPr>
          <w:rFonts w:hint="eastAsia" w:ascii="Times New Roman" w:hAnsi="Times New Roman" w:eastAsia="宋体" w:cs="Times New Roman"/>
          <w:b/>
          <w:color w:val="auto"/>
          <w:kern w:val="2"/>
          <w:sz w:val="28"/>
          <w:highlight w:val="none"/>
          <w:lang w:val="en-US" w:eastAsia="zh-CN" w:bidi="ar-SA"/>
        </w:rPr>
        <w:t>法定代表人参加磋商的，提供本人身份证</w:t>
      </w:r>
      <w:r>
        <w:rPr>
          <w:rFonts w:hint="eastAsia" w:cs="Times New Roman"/>
          <w:b/>
          <w:color w:val="auto"/>
          <w:kern w:val="2"/>
          <w:sz w:val="28"/>
          <w:highlight w:val="none"/>
          <w:lang w:val="en-US" w:eastAsia="zh-CN" w:bidi="ar-SA"/>
        </w:rPr>
        <w:t>及法定代表人身份证明书</w:t>
      </w:r>
      <w:r>
        <w:rPr>
          <w:rFonts w:hint="eastAsia" w:ascii="Times New Roman" w:hAnsi="Times New Roman" w:eastAsia="宋体" w:cs="Times New Roman"/>
          <w:b/>
          <w:color w:val="auto"/>
          <w:kern w:val="2"/>
          <w:sz w:val="28"/>
          <w:highlight w:val="none"/>
          <w:lang w:val="en-US" w:eastAsia="zh-CN" w:bidi="ar-SA"/>
        </w:rPr>
        <w:t>，法定代表人授权他人参加磋商的，提供法定代表人授权委托书和被授权人在本单位的社保证明资料；</w:t>
      </w:r>
    </w:p>
    <w:p>
      <w:pPr>
        <w:pStyle w:val="5"/>
        <w:bidi w:val="0"/>
        <w:jc w:val="center"/>
        <w:rPr>
          <w:rFonts w:hint="eastAsia"/>
          <w:color w:val="auto"/>
          <w:highlight w:val="none"/>
          <w:lang w:val="en-US" w:eastAsia="zh-CN"/>
        </w:rPr>
      </w:pPr>
      <w:bookmarkStart w:id="254" w:name="_Toc5825"/>
      <w:r>
        <w:rPr>
          <w:rFonts w:hint="eastAsia"/>
          <w:color w:val="auto"/>
          <w:highlight w:val="none"/>
          <w:lang w:val="en-US" w:eastAsia="zh-CN"/>
        </w:rPr>
        <w:t>法定代表人/单位负责人身份证明书</w:t>
      </w:r>
      <w:bookmarkEnd w:id="254"/>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sz w:val="24"/>
          <w:szCs w:val="20"/>
          <w:highlight w:val="none"/>
          <w:lang w:val="en-US"/>
        </w:rPr>
      </w:pP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单位名称：</w:t>
      </w:r>
      <w:r>
        <w:rPr>
          <w:rFonts w:hint="default" w:ascii="Times New Roman" w:hAnsi="宋体" w:eastAsia="宋体" w:cs="宋体"/>
          <w:color w:val="auto"/>
          <w:kern w:val="2"/>
          <w:sz w:val="24"/>
          <w:szCs w:val="20"/>
          <w:highlight w:val="none"/>
          <w:u w:val="single"/>
          <w:lang w:val="en-US" w:eastAsia="zh-CN" w:bidi="ar"/>
        </w:rPr>
        <w:t xml:space="preserve">                                     </w:t>
      </w:r>
    </w:p>
    <w:p>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单位性质：</w:t>
      </w:r>
      <w:r>
        <w:rPr>
          <w:rFonts w:hint="default" w:ascii="Times New Roman" w:hAnsi="宋体" w:eastAsia="宋体" w:cs="宋体"/>
          <w:color w:val="auto"/>
          <w:kern w:val="2"/>
          <w:sz w:val="24"/>
          <w:szCs w:val="20"/>
          <w:highlight w:val="none"/>
          <w:u w:val="single"/>
          <w:lang w:val="en-US" w:eastAsia="zh-CN" w:bidi="ar"/>
        </w:rPr>
        <w:t xml:space="preserve">                                     </w:t>
      </w:r>
    </w:p>
    <w:p>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地址：</w:t>
      </w:r>
      <w:r>
        <w:rPr>
          <w:rFonts w:hint="default" w:ascii="Times New Roman" w:hAnsi="宋体" w:eastAsia="宋体" w:cs="宋体"/>
          <w:color w:val="auto"/>
          <w:kern w:val="2"/>
          <w:sz w:val="24"/>
          <w:szCs w:val="20"/>
          <w:highlight w:val="none"/>
          <w:u w:val="single"/>
          <w:lang w:val="en-US" w:eastAsia="zh-CN" w:bidi="ar"/>
        </w:rPr>
        <w:t xml:space="preserve">                                         </w:t>
      </w:r>
    </w:p>
    <w:p>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成立时间：</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年</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月</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日</w:t>
      </w:r>
    </w:p>
    <w:p>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经营期限：</w:t>
      </w:r>
      <w:r>
        <w:rPr>
          <w:rFonts w:hint="default" w:ascii="Times New Roman" w:hAnsi="宋体" w:eastAsia="宋体" w:cs="宋体"/>
          <w:color w:val="auto"/>
          <w:kern w:val="2"/>
          <w:sz w:val="24"/>
          <w:szCs w:val="20"/>
          <w:highlight w:val="none"/>
          <w:u w:val="single"/>
          <w:lang w:val="en-US" w:eastAsia="zh-CN" w:bidi="ar"/>
        </w:rPr>
        <w:t xml:space="preserve">                                     </w:t>
      </w:r>
    </w:p>
    <w:p>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姓名：</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性别：</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年龄：</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职务：</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p>
    <w:p>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系</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的法定代表人/</w:t>
      </w:r>
      <w:r>
        <w:rPr>
          <w:rFonts w:hint="eastAsia" w:ascii="Times New Roman" w:hAnsi="宋体" w:eastAsia="宋体" w:cs="宋体"/>
          <w:color w:val="auto"/>
          <w:kern w:val="2"/>
          <w:sz w:val="24"/>
          <w:szCs w:val="20"/>
          <w:highlight w:val="none"/>
          <w:lang w:val="en-US" w:eastAsia="zh-CN" w:bidi="ar"/>
        </w:rPr>
        <w:t>单位</w:t>
      </w:r>
      <w:r>
        <w:rPr>
          <w:rFonts w:hint="eastAsia" w:ascii="宋体" w:hAnsi="宋体" w:eastAsia="宋体" w:cs="宋体"/>
          <w:color w:val="auto"/>
          <w:kern w:val="2"/>
          <w:sz w:val="24"/>
          <w:szCs w:val="20"/>
          <w:highlight w:val="none"/>
          <w:lang w:val="en-US" w:eastAsia="zh-CN" w:bidi="ar"/>
        </w:rPr>
        <w:t>负责人。</w:t>
      </w:r>
    </w:p>
    <w:p>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特此证明。</w:t>
      </w:r>
    </w:p>
    <w:p>
      <w:pPr>
        <w:keepNext w:val="0"/>
        <w:keepLines w:val="0"/>
        <w:widowControl w:val="0"/>
        <w:suppressLineNumbers w:val="0"/>
        <w:wordWrap w:val="0"/>
        <w:spacing w:before="0" w:beforeAutospacing="0" w:after="0" w:afterAutospacing="0" w:line="360" w:lineRule="auto"/>
        <w:ind w:left="0" w:right="560"/>
        <w:jc w:val="both"/>
        <w:rPr>
          <w:rFonts w:hint="eastAsia" w:ascii="宋体" w:hAnsi="宋体" w:eastAsia="宋体" w:cs="宋体"/>
          <w:color w:val="auto"/>
          <w:sz w:val="24"/>
          <w:szCs w:val="20"/>
          <w:highlight w:val="none"/>
          <w:lang w:val="en-US"/>
        </w:rPr>
      </w:pPr>
    </w:p>
    <w:p>
      <w:pPr>
        <w:keepNext w:val="0"/>
        <w:keepLines w:val="0"/>
        <w:widowControl w:val="0"/>
        <w:suppressLineNumbers w:val="0"/>
        <w:wordWrap w:val="0"/>
        <w:spacing w:before="0" w:beforeAutospacing="0" w:after="0" w:afterAutospacing="0" w:line="360" w:lineRule="auto"/>
        <w:ind w:left="0" w:right="560"/>
        <w:jc w:val="both"/>
        <w:rPr>
          <w:rFonts w:hint="eastAsia" w:ascii="宋体" w:hAnsi="宋体" w:eastAsia="宋体" w:cs="宋体"/>
          <w:color w:val="auto"/>
          <w:sz w:val="24"/>
          <w:szCs w:val="20"/>
          <w:highlight w:val="none"/>
          <w:lang w:val="en-US"/>
        </w:rPr>
      </w:pPr>
    </w:p>
    <w:p>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0"/>
          <w:highlight w:val="none"/>
          <w:u w:val="single"/>
          <w:lang w:val="en-US" w:eastAsia="zh-CN" w:bidi="ar"/>
        </w:rPr>
      </w:pPr>
      <w:r>
        <w:rPr>
          <w:rFonts w:hint="eastAsia" w:ascii="宋体" w:hAnsi="宋体" w:eastAsia="宋体" w:cs="宋体"/>
          <w:color w:val="auto"/>
          <w:kern w:val="2"/>
          <w:sz w:val="24"/>
          <w:szCs w:val="20"/>
          <w:highlight w:val="none"/>
          <w:lang w:val="en-US" w:eastAsia="zh-CN" w:bidi="ar"/>
        </w:rPr>
        <w:t>投标人：</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（盖公章）</w:t>
      </w:r>
    </w:p>
    <w:p>
      <w:pPr>
        <w:keepNext w:val="0"/>
        <w:keepLines w:val="0"/>
        <w:widowControl w:val="0"/>
        <w:suppressLineNumbers w:val="0"/>
        <w:spacing w:before="0" w:beforeAutospacing="0" w:after="120" w:afterAutospacing="0"/>
        <w:ind w:left="0" w:right="0"/>
        <w:jc w:val="both"/>
        <w:rPr>
          <w:rFonts w:hint="eastAsia" w:ascii="Times New Roman" w:hAnsi="Times New Roman" w:eastAsia="宋体" w:cs="Times New Roman"/>
          <w:color w:val="auto"/>
          <w:kern w:val="2"/>
          <w:sz w:val="21"/>
          <w:szCs w:val="20"/>
          <w:highlight w:val="none"/>
          <w:lang w:val="en-US" w:eastAsia="zh-CN" w:bidi="ar"/>
        </w:rPr>
      </w:pPr>
    </w:p>
    <w:p>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t>日期：</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年</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月</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日</w:t>
      </w:r>
    </w:p>
    <w:p>
      <w:pPr>
        <w:keepNext w:val="0"/>
        <w:keepLines w:val="0"/>
        <w:widowControl w:val="0"/>
        <w:suppressLineNumbers w:val="0"/>
        <w:spacing w:before="0" w:beforeAutospacing="0" w:after="120" w:afterAutospacing="0"/>
        <w:ind w:left="0" w:right="0"/>
        <w:jc w:val="both"/>
        <w:rPr>
          <w:rFonts w:hint="eastAsia" w:ascii="宋体" w:hAnsi="宋体" w:eastAsia="宋体" w:cs="宋体"/>
          <w:color w:val="auto"/>
          <w:kern w:val="2"/>
          <w:sz w:val="24"/>
          <w:szCs w:val="20"/>
          <w:highlight w:val="none"/>
          <w:lang w:val="en-US" w:eastAsia="zh-CN" w:bidi="ar"/>
        </w:rPr>
      </w:pPr>
    </w:p>
    <w:p>
      <w:pPr>
        <w:rPr>
          <w:rFonts w:hint="eastAsia" w:asciiTheme="minorHAnsi" w:hAnsiTheme="minorHAnsi" w:eastAsiaTheme="minorEastAsia" w:cstheme="minorBidi"/>
          <w:color w:val="auto"/>
          <w:sz w:val="21"/>
          <w:szCs w:val="24"/>
          <w:highlight w:val="none"/>
          <w:lang w:val="en-US"/>
        </w:rPr>
      </w:pPr>
    </w:p>
    <w:p>
      <w:pPr>
        <w:keepNext w:val="0"/>
        <w:keepLines w:val="0"/>
        <w:widowControl w:val="0"/>
        <w:suppressLineNumbers w:val="0"/>
        <w:wordWrap w:val="0"/>
        <w:spacing w:before="240" w:beforeAutospacing="0" w:after="0" w:afterAutospacing="0" w:line="360" w:lineRule="auto"/>
        <w:ind w:left="0" w:right="560"/>
        <w:jc w:val="both"/>
        <w:rPr>
          <w:rFonts w:asciiTheme="minorHAnsi" w:hAnsiTheme="minorHAnsi" w:eastAsiaTheme="minorEastAsia" w:cstheme="minorBidi"/>
          <w:color w:val="auto"/>
          <w:sz w:val="21"/>
          <w:szCs w:val="24"/>
          <w:highlight w:val="none"/>
          <w:lang w:val="en-US"/>
        </w:rPr>
      </w:pPr>
      <w:r>
        <w:rPr>
          <w:rFonts w:hint="eastAsia" w:ascii="宋体" w:hAnsi="宋体" w:eastAsia="宋体" w:cs="宋体"/>
          <w:b/>
          <w:bCs w:val="0"/>
          <w:color w:val="auto"/>
          <w:kern w:val="2"/>
          <w:sz w:val="24"/>
          <w:szCs w:val="20"/>
          <w:highlight w:val="none"/>
          <w:lang w:val="en-US" w:eastAsia="zh-CN" w:bidi="ar"/>
        </w:rPr>
        <w:t>附法定代表人/负责人身份证复印件</w:t>
      </w:r>
    </w:p>
    <w:p>
      <w:pPr>
        <w:keepNext w:val="0"/>
        <w:keepLines w:val="0"/>
        <w:widowControl w:val="0"/>
        <w:suppressLineNumbers w:val="0"/>
        <w:tabs>
          <w:tab w:val="left" w:pos="8820"/>
        </w:tabs>
        <w:spacing w:before="0" w:beforeAutospacing="0" w:after="0" w:afterAutospacing="0" w:line="360" w:lineRule="auto"/>
        <w:ind w:left="0" w:right="0" w:firstLine="570"/>
        <w:jc w:val="both"/>
        <w:rPr>
          <w:rFonts w:hint="eastAsia" w:ascii="宋体" w:hAnsi="宋体" w:eastAsia="宋体" w:cs="宋体"/>
          <w:color w:val="auto"/>
          <w:sz w:val="24"/>
          <w:szCs w:val="20"/>
          <w:highlight w:val="none"/>
          <w:lang w:val="en-US"/>
        </w:rPr>
      </w:pPr>
    </w:p>
    <w:p>
      <w:pPr>
        <w:keepNext/>
        <w:keepLines/>
        <w:widowControl/>
        <w:suppressLineNumbers w:val="0"/>
        <w:spacing w:before="260" w:beforeAutospacing="0" w:after="260" w:afterAutospacing="0"/>
        <w:ind w:right="0"/>
        <w:jc w:val="center"/>
        <w:outlineLvl w:val="1"/>
        <w:rPr>
          <w:rStyle w:val="74"/>
          <w:color w:val="auto"/>
          <w:highlight w:val="none"/>
          <w:lang w:val="en-US" w:eastAsia="zh-CN"/>
        </w:rPr>
      </w:pPr>
      <w:bookmarkStart w:id="255" w:name="_Toc8685"/>
      <w:bookmarkStart w:id="256" w:name="_Toc27694"/>
      <w:bookmarkStart w:id="257" w:name="_Toc16804"/>
      <w:bookmarkStart w:id="258" w:name="_Toc729"/>
      <w:bookmarkStart w:id="259" w:name="_Toc6321"/>
      <w:r>
        <w:rPr>
          <w:rStyle w:val="74"/>
          <w:rFonts w:hint="eastAsia"/>
          <w:color w:val="auto"/>
          <w:highlight w:val="none"/>
          <w:lang w:val="en-US" w:eastAsia="zh-CN"/>
        </w:rPr>
        <w:t>法定代表人</w:t>
      </w:r>
      <w:r>
        <w:rPr>
          <w:rStyle w:val="74"/>
          <w:color w:val="auto"/>
          <w:highlight w:val="none"/>
          <w:lang w:val="en-US" w:eastAsia="zh-CN"/>
        </w:rPr>
        <w:t>/</w:t>
      </w:r>
      <w:r>
        <w:rPr>
          <w:rStyle w:val="74"/>
          <w:rFonts w:hint="eastAsia"/>
          <w:color w:val="auto"/>
          <w:highlight w:val="none"/>
          <w:lang w:val="en-US" w:eastAsia="zh-CN"/>
        </w:rPr>
        <w:t>单位负责人授权委托书</w:t>
      </w:r>
      <w:bookmarkEnd w:id="255"/>
      <w:bookmarkEnd w:id="256"/>
      <w:bookmarkEnd w:id="257"/>
      <w:bookmarkEnd w:id="258"/>
      <w:bookmarkEnd w:id="259"/>
    </w:p>
    <w:p>
      <w:pPr>
        <w:shd w:val="clear"/>
        <w:tabs>
          <w:tab w:val="left" w:pos="8820"/>
        </w:tabs>
        <w:spacing w:line="360" w:lineRule="auto"/>
        <w:ind w:firstLine="570"/>
        <w:rPr>
          <w:rFonts w:hint="eastAsia" w:ascii="宋体" w:hAnsi="宋体" w:eastAsia="宋体" w:cs="宋体"/>
          <w:color w:val="auto"/>
          <w:sz w:val="24"/>
          <w:highlight w:val="none"/>
          <w:u w:val="single"/>
        </w:rPr>
      </w:pPr>
      <w:bookmarkStart w:id="260" w:name="OLE_LINK7"/>
      <w:r>
        <w:rPr>
          <w:rFonts w:hint="eastAsia" w:ascii="宋体" w:hAnsi="宋体" w:eastAsia="宋体" w:cs="宋体"/>
          <w:color w:val="auto"/>
          <w:sz w:val="24"/>
          <w:highlight w:val="none"/>
        </w:rPr>
        <w:t>本授权委托书声明：我</w:t>
      </w:r>
      <w:r>
        <w:rPr>
          <w:rFonts w:hint="eastAsia" w:ascii="宋体" w:hAnsi="宋体" w:eastAsia="宋体" w:cs="宋体"/>
          <w:color w:val="auto"/>
          <w:sz w:val="24"/>
          <w:szCs w:val="22"/>
          <w:highlight w:val="none"/>
          <w:u w:val="single"/>
          <w:lang w:eastAsia="zh-CN"/>
        </w:rPr>
        <w:t>（法定代表人姓名）</w:t>
      </w:r>
      <w:r>
        <w:rPr>
          <w:rFonts w:hint="eastAsia" w:ascii="宋体" w:hAnsi="宋体" w:eastAsia="宋体" w:cs="宋体"/>
          <w:color w:val="auto"/>
          <w:sz w:val="24"/>
          <w:szCs w:val="22"/>
          <w:highlight w:val="none"/>
          <w:lang w:eastAsia="zh-CN"/>
        </w:rPr>
        <w:t>系注</w:t>
      </w:r>
      <w:r>
        <w:rPr>
          <w:rFonts w:hint="eastAsia" w:ascii="宋体" w:hAnsi="宋体" w:eastAsia="宋体" w:cs="宋体"/>
          <w:color w:val="auto"/>
          <w:sz w:val="24"/>
          <w:highlight w:val="none"/>
        </w:rPr>
        <w:t>册于</w:t>
      </w:r>
      <w:r>
        <w:rPr>
          <w:rFonts w:hint="eastAsia" w:ascii="宋体" w:hAnsi="宋体" w:eastAsia="宋体" w:cs="宋体"/>
          <w:color w:val="auto"/>
          <w:sz w:val="24"/>
          <w:highlight w:val="none"/>
          <w:u w:val="single"/>
        </w:rPr>
        <w:t>（投标人地址）</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（投标人名称）</w:t>
      </w:r>
      <w:r>
        <w:rPr>
          <w:rFonts w:hint="eastAsia" w:ascii="宋体" w:hAnsi="宋体" w:eastAsia="宋体" w:cs="宋体"/>
          <w:color w:val="auto"/>
          <w:sz w:val="24"/>
          <w:highlight w:val="none"/>
        </w:rPr>
        <w:t>的法定代表人，现代表公司授权下面签字的</w:t>
      </w:r>
      <w:r>
        <w:rPr>
          <w:rFonts w:hint="eastAsia" w:ascii="宋体" w:hAnsi="宋体" w:eastAsia="宋体" w:cs="宋体"/>
          <w:color w:val="auto"/>
          <w:sz w:val="24"/>
          <w:highlight w:val="none"/>
          <w:u w:val="single"/>
        </w:rPr>
        <w:t>（被授权人的姓名、职务）</w:t>
      </w:r>
      <w:r>
        <w:rPr>
          <w:rFonts w:hint="eastAsia" w:ascii="宋体" w:hAnsi="宋体" w:eastAsia="宋体" w:cs="宋体"/>
          <w:color w:val="auto"/>
          <w:sz w:val="24"/>
          <w:highlight w:val="none"/>
        </w:rPr>
        <w:t>为我公司合法代理人，代表本公司参加</w:t>
      </w:r>
      <w:r>
        <w:rPr>
          <w:rFonts w:hint="eastAsia" w:ascii="宋体" w:hAnsi="宋体" w:eastAsia="宋体" w:cs="宋体"/>
          <w:color w:val="auto"/>
          <w:sz w:val="24"/>
          <w:highlight w:val="none"/>
          <w:u w:val="single"/>
        </w:rPr>
        <w:t>（采购项目名称）(采购项目编号)</w:t>
      </w:r>
      <w:r>
        <w:rPr>
          <w:rFonts w:hint="eastAsia" w:ascii="宋体" w:hAnsi="宋体" w:eastAsia="宋体" w:cs="宋体"/>
          <w:color w:val="auto"/>
          <w:sz w:val="24"/>
          <w:highlight w:val="none"/>
        </w:rPr>
        <w:t>的招标活动。代理人在本次投标、</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、签约中所签署的一切文件和处理的一切有关事物，我公司均予承认。</w:t>
      </w:r>
    </w:p>
    <w:p>
      <w:pPr>
        <w:shd w:val="clea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注：</w:t>
      </w:r>
      <w:r>
        <w:rPr>
          <w:rFonts w:hint="eastAsia" w:ascii="宋体" w:hAnsi="宋体" w:eastAsia="宋体" w:cs="宋体"/>
          <w:color w:val="auto"/>
          <w:sz w:val="24"/>
          <w:highlight w:val="none"/>
        </w:rPr>
        <w:t>此授权书的有效期与</w:t>
      </w:r>
      <w:r>
        <w:rPr>
          <w:rFonts w:hint="eastAsia" w:ascii="宋体" w:hAnsi="宋体" w:eastAsia="宋体" w:cs="宋体"/>
          <w:color w:val="auto"/>
          <w:sz w:val="24"/>
          <w:highlight w:val="none"/>
          <w:lang w:eastAsia="zh-CN"/>
        </w:rPr>
        <w:t>磋商响应</w:t>
      </w:r>
      <w:r>
        <w:rPr>
          <w:rFonts w:hint="eastAsia" w:ascii="宋体" w:hAnsi="宋体" w:eastAsia="宋体" w:cs="宋体"/>
          <w:color w:val="auto"/>
          <w:sz w:val="24"/>
          <w:highlight w:val="none"/>
        </w:rPr>
        <w:t>文件有效期一致</w:t>
      </w:r>
      <w:r>
        <w:rPr>
          <w:rFonts w:hint="eastAsia" w:ascii="宋体" w:hAnsi="宋体" w:eastAsia="宋体" w:cs="宋体"/>
          <w:color w:val="auto"/>
          <w:sz w:val="24"/>
          <w:highlight w:val="none"/>
          <w:lang w:eastAsia="zh-CN"/>
        </w:rPr>
        <w:t>、法人直接参加开标不需要填写此表。</w:t>
      </w:r>
    </w:p>
    <w:p>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rPr>
        <w:t xml:space="preserve"> 附件：法定代表人身份证、被授权人身份证</w:t>
      </w:r>
      <w:r>
        <w:rPr>
          <w:rFonts w:hint="eastAsia" w:ascii="宋体" w:hAnsi="宋体" w:cs="宋体"/>
          <w:color w:val="auto"/>
          <w:sz w:val="24"/>
          <w:highlight w:val="none"/>
          <w:lang w:val="en-US" w:eastAsia="zh-CN"/>
        </w:rPr>
        <w:t>及被授权人本公司社保证明资料</w:t>
      </w:r>
      <w:r>
        <w:rPr>
          <w:rFonts w:hint="eastAsia" w:ascii="宋体" w:hAnsi="宋体" w:eastAsia="宋体" w:cs="宋体"/>
          <w:color w:val="auto"/>
          <w:sz w:val="24"/>
          <w:highlight w:val="none"/>
        </w:rPr>
        <w:t>。</w:t>
      </w:r>
    </w:p>
    <w:tbl>
      <w:tblPr>
        <w:tblStyle w:val="27"/>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0"/>
        <w:gridCol w:w="4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70" w:hRule="atLeast"/>
          <w:jc w:val="center"/>
        </w:trPr>
        <w:tc>
          <w:tcPr>
            <w:tcW w:w="4790" w:type="dxa"/>
            <w:noWrap w:val="0"/>
            <w:vAlign w:val="center"/>
          </w:tcPr>
          <w:p>
            <w:pPr>
              <w:shd w:val="clea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p>
            <w:pPr>
              <w:shd w:val="clear"/>
              <w:spacing w:line="360" w:lineRule="auto"/>
              <w:jc w:val="center"/>
              <w:rPr>
                <w:rFonts w:hint="eastAsia" w:ascii="宋体" w:hAnsi="宋体" w:eastAsia="宋体" w:cs="宋体"/>
                <w:color w:val="auto"/>
                <w:sz w:val="24"/>
                <w:highlight w:val="none"/>
              </w:rPr>
            </w:pPr>
          </w:p>
        </w:tc>
        <w:tc>
          <w:tcPr>
            <w:tcW w:w="4790" w:type="dxa"/>
            <w:noWrap w:val="0"/>
            <w:vAlign w:val="center"/>
          </w:tcPr>
          <w:p>
            <w:pPr>
              <w:widowControl/>
              <w:shd w:val="clea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被授权人身份证复印件</w:t>
            </w:r>
          </w:p>
          <w:p>
            <w:pPr>
              <w:shd w:val="clear"/>
              <w:spacing w:line="36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8" w:hRule="atLeast"/>
          <w:jc w:val="center"/>
        </w:trPr>
        <w:tc>
          <w:tcPr>
            <w:tcW w:w="4790" w:type="dxa"/>
            <w:noWrap w:val="0"/>
            <w:vAlign w:val="center"/>
          </w:tcPr>
          <w:p>
            <w:pPr>
              <w:shd w:val="clea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p>
            <w:pPr>
              <w:shd w:val="clear"/>
              <w:spacing w:line="360" w:lineRule="auto"/>
              <w:jc w:val="center"/>
              <w:rPr>
                <w:rFonts w:hint="eastAsia" w:ascii="宋体" w:hAnsi="宋体" w:eastAsia="宋体" w:cs="宋体"/>
                <w:color w:val="auto"/>
                <w:sz w:val="24"/>
                <w:highlight w:val="none"/>
              </w:rPr>
            </w:pPr>
          </w:p>
        </w:tc>
        <w:tc>
          <w:tcPr>
            <w:tcW w:w="4790" w:type="dxa"/>
            <w:noWrap w:val="0"/>
            <w:vAlign w:val="center"/>
          </w:tcPr>
          <w:p>
            <w:pPr>
              <w:widowControl/>
              <w:shd w:val="clea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被授权人身份证复印件</w:t>
            </w:r>
          </w:p>
          <w:p>
            <w:pPr>
              <w:shd w:val="clear"/>
              <w:spacing w:line="360" w:lineRule="auto"/>
              <w:jc w:val="center"/>
              <w:rPr>
                <w:rFonts w:hint="eastAsia" w:ascii="宋体" w:hAnsi="宋体" w:eastAsia="宋体" w:cs="宋体"/>
                <w:color w:val="auto"/>
                <w:sz w:val="24"/>
                <w:highlight w:val="none"/>
              </w:rPr>
            </w:pPr>
          </w:p>
        </w:tc>
      </w:tr>
    </w:tbl>
    <w:p>
      <w:pPr>
        <w:shd w:val="clear"/>
        <w:spacing w:line="360" w:lineRule="auto"/>
        <w:rPr>
          <w:rFonts w:hint="eastAsia" w:ascii="宋体" w:hAnsi="宋体" w:eastAsia="宋体" w:cs="宋体"/>
          <w:color w:val="auto"/>
          <w:highlight w:val="none"/>
        </w:rPr>
      </w:pPr>
    </w:p>
    <w:p>
      <w:pPr>
        <w:shd w:val="clear"/>
        <w:spacing w:line="360" w:lineRule="auto"/>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（公章）</w:t>
      </w:r>
    </w:p>
    <w:p>
      <w:pPr>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法定代表人（签字</w:t>
      </w:r>
      <w:r>
        <w:rPr>
          <w:rFonts w:hint="eastAsia" w:ascii="宋体" w:hAnsi="宋体" w:cs="宋体"/>
          <w:color w:val="auto"/>
          <w:sz w:val="24"/>
          <w:szCs w:val="24"/>
          <w:highlight w:val="none"/>
          <w:lang w:val="en-US" w:eastAsia="zh-CN"/>
        </w:rPr>
        <w:t>或</w:t>
      </w:r>
      <w:r>
        <w:rPr>
          <w:rFonts w:hint="eastAsia" w:ascii="宋体" w:hAnsi="宋体" w:eastAsia="宋体" w:cs="宋体"/>
          <w:color w:val="auto"/>
          <w:sz w:val="24"/>
          <w:szCs w:val="24"/>
          <w:highlight w:val="none"/>
        </w:rPr>
        <w:t>盖章）：</w:t>
      </w:r>
      <w:r>
        <w:rPr>
          <w:rFonts w:hint="eastAsia" w:ascii="宋体" w:hAnsi="宋体" w:eastAsia="宋体" w:cs="宋体"/>
          <w:color w:val="auto"/>
          <w:sz w:val="24"/>
          <w:szCs w:val="24"/>
          <w:highlight w:val="none"/>
          <w:u w:val="single"/>
        </w:rPr>
        <w:t xml:space="preserve">                  </w:t>
      </w:r>
    </w:p>
    <w:p>
      <w:pPr>
        <w:shd w:val="clear"/>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被 授 权人（签字确认）：</w:t>
      </w:r>
      <w:r>
        <w:rPr>
          <w:rFonts w:hint="eastAsia" w:ascii="宋体" w:hAnsi="宋体" w:eastAsia="宋体" w:cs="宋体"/>
          <w:color w:val="auto"/>
          <w:sz w:val="24"/>
          <w:szCs w:val="24"/>
          <w:highlight w:val="none"/>
          <w:u w:val="single"/>
        </w:rPr>
        <w:t xml:space="preserve">                      </w:t>
      </w:r>
      <w:bookmarkEnd w:id="260"/>
    </w:p>
    <w:p>
      <w:pPr>
        <w:shd w:val="clear"/>
        <w:spacing w:line="360" w:lineRule="auto"/>
        <w:ind w:firstLine="3360" w:firstLineChars="1400"/>
        <w:rPr>
          <w:rFonts w:hint="eastAsia" w:ascii="宋体" w:hAnsi="宋体" w:eastAsia="宋体" w:cs="宋体"/>
          <w:color w:val="auto"/>
          <w:kern w:val="2"/>
          <w:sz w:val="24"/>
          <w:szCs w:val="24"/>
          <w:highlight w:val="none"/>
          <w:u w:val="single"/>
          <w:lang w:val="en-US" w:eastAsia="zh-CN" w:bidi="ar-SA"/>
        </w:rPr>
      </w:pPr>
      <w:r>
        <w:rPr>
          <w:rFonts w:hint="eastAsia" w:ascii="宋体" w:hAnsi="宋体" w:eastAsia="宋体" w:cs="宋体"/>
          <w:color w:val="auto"/>
          <w:kern w:val="2"/>
          <w:sz w:val="24"/>
          <w:szCs w:val="24"/>
          <w:highlight w:val="none"/>
          <w:u w:val="none"/>
          <w:lang w:val="en-US" w:eastAsia="zh-CN" w:bidi="ar-SA"/>
        </w:rPr>
        <w:t>日    期：</w:t>
      </w:r>
      <w:r>
        <w:rPr>
          <w:rFonts w:hint="eastAsia" w:ascii="宋体" w:hAnsi="宋体" w:eastAsia="宋体" w:cs="宋体"/>
          <w:color w:val="auto"/>
          <w:kern w:val="2"/>
          <w:sz w:val="24"/>
          <w:szCs w:val="24"/>
          <w:highlight w:val="none"/>
          <w:u w:val="single"/>
          <w:lang w:val="en-US" w:eastAsia="zh-CN" w:bidi="ar-SA"/>
        </w:rPr>
        <w:t xml:space="preserve">                   </w:t>
      </w:r>
    </w:p>
    <w:p>
      <w:pPr>
        <w:keepNext/>
        <w:keepLines/>
        <w:pageBreakBefore w:val="0"/>
        <w:widowControl w:val="0"/>
        <w:kinsoku/>
        <w:wordWrap/>
        <w:overflowPunct/>
        <w:topLinePunct w:val="0"/>
        <w:autoSpaceDE/>
        <w:autoSpaceDN/>
        <w:bidi w:val="0"/>
        <w:adjustRightInd/>
        <w:snapToGrid/>
        <w:spacing w:line="360" w:lineRule="auto"/>
        <w:jc w:val="both"/>
        <w:textAlignment w:val="auto"/>
        <w:outlineLvl w:val="9"/>
        <w:rPr>
          <w:rStyle w:val="43"/>
          <w:rFonts w:hint="eastAsia"/>
          <w:color w:val="auto"/>
          <w:highlight w:val="none"/>
          <w:lang w:val="en-US" w:eastAsia="zh-CN"/>
        </w:rPr>
      </w:pPr>
    </w:p>
    <w:p>
      <w:pPr>
        <w:pStyle w:val="2"/>
        <w:numPr>
          <w:ilvl w:val="0"/>
          <w:numId w:val="0"/>
        </w:numPr>
        <w:rPr>
          <w:rFonts w:hint="default"/>
          <w:lang w:val="en-US" w:eastAsia="zh-CN"/>
        </w:rPr>
      </w:pPr>
    </w:p>
    <w:p>
      <w:pPr>
        <w:pStyle w:val="5"/>
        <w:bidi w:val="0"/>
        <w:rPr>
          <w:rFonts w:hint="eastAsia" w:eastAsia="宋体"/>
          <w:color w:val="auto"/>
          <w:highlight w:val="none"/>
          <w:lang w:eastAsia="zh-CN"/>
        </w:rPr>
      </w:pPr>
      <w:bookmarkStart w:id="261" w:name="_Toc30920"/>
      <w:r>
        <w:rPr>
          <w:rFonts w:hint="eastAsia" w:cs="Times New Roman"/>
          <w:color w:val="auto"/>
          <w:highlight w:val="none"/>
          <w:lang w:val="en-US" w:eastAsia="zh-CN"/>
        </w:rPr>
        <w:t>十</w:t>
      </w:r>
      <w:r>
        <w:rPr>
          <w:rFonts w:hint="eastAsia" w:ascii="Times New Roman" w:hAnsi="Times New Roman" w:eastAsia="宋体" w:cs="Times New Roman"/>
          <w:color w:val="auto"/>
          <w:highlight w:val="none"/>
          <w:lang w:val="en-US" w:eastAsia="zh-CN"/>
        </w:rPr>
        <w:t>、</w:t>
      </w:r>
      <w:r>
        <w:rPr>
          <w:rFonts w:hint="eastAsia"/>
        </w:rPr>
        <w:t>中小企业声明函</w:t>
      </w:r>
      <w:r>
        <w:rPr>
          <w:rFonts w:hint="eastAsia"/>
          <w:lang w:eastAsia="zh-CN"/>
        </w:rPr>
        <w:t>（见附件一）</w:t>
      </w:r>
      <w:bookmarkEnd w:id="261"/>
    </w:p>
    <w:p>
      <w:pPr>
        <w:bidi w:val="0"/>
        <w:rPr>
          <w:rFonts w:hint="eastAsia"/>
          <w:color w:val="auto"/>
          <w:highlight w:val="none"/>
          <w:lang w:val="en-US" w:eastAsia="zh-CN"/>
        </w:rPr>
      </w:pP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bookmarkStart w:id="262" w:name="_Toc26169"/>
      <w:r>
        <w:rPr>
          <w:rFonts w:hint="eastAsia"/>
          <w:color w:val="auto"/>
          <w:highlight w:val="none"/>
          <w:lang w:val="en-US" w:eastAsia="zh-CN"/>
        </w:rPr>
        <w:t>十一、</w:t>
      </w:r>
      <w:bookmarkEnd w:id="251"/>
      <w:bookmarkEnd w:id="252"/>
      <w:bookmarkEnd w:id="253"/>
      <w:r>
        <w:rPr>
          <w:rFonts w:hint="eastAsia"/>
          <w:color w:val="auto"/>
          <w:highlight w:val="none"/>
          <w:lang w:val="en-US" w:eastAsia="zh-CN"/>
        </w:rPr>
        <w:t>非联合体投标声明</w:t>
      </w:r>
      <w:bookmarkEnd w:id="262"/>
      <w:r>
        <w:rPr>
          <w:rFonts w:hint="eastAsia"/>
          <w:color w:val="auto"/>
          <w:highlight w:val="none"/>
          <w:lang w:val="en-US" w:eastAsia="zh-CN"/>
        </w:rPr>
        <w:t xml:space="preserve"> </w:t>
      </w:r>
    </w:p>
    <w:p>
      <w:pPr>
        <w:keepNext w:val="0"/>
        <w:keepLines w:val="0"/>
        <w:widowControl/>
        <w:suppressLineNumbers w:val="0"/>
        <w:spacing w:line="360" w:lineRule="auto"/>
        <w:jc w:val="center"/>
        <w:rPr>
          <w:rFonts w:hint="eastAsia" w:ascii="宋体" w:hAnsi="宋体" w:eastAsia="宋体" w:cs="宋体"/>
          <w:b/>
          <w:bCs/>
          <w:color w:val="auto"/>
          <w:kern w:val="0"/>
          <w:sz w:val="24"/>
          <w:szCs w:val="24"/>
          <w:highlight w:val="none"/>
          <w:lang w:val="en-US" w:eastAsia="zh-CN" w:bidi="ar"/>
        </w:rPr>
      </w:pPr>
    </w:p>
    <w:p>
      <w:pPr>
        <w:keepNext w:val="0"/>
        <w:keepLines w:val="0"/>
        <w:widowControl/>
        <w:suppressLineNumbers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非联合体投标声明（格式）</w:t>
      </w:r>
    </w:p>
    <w:p>
      <w:pPr>
        <w:keepNext w:val="0"/>
        <w:keepLines w:val="0"/>
        <w:widowControl/>
        <w:suppressLineNumbers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本单位郑重声明，参加</w:t>
      </w:r>
      <w:r>
        <w:rPr>
          <w:rFonts w:hint="eastAsia" w:ascii="宋体" w:hAnsi="宋体" w:cs="宋体"/>
          <w:color w:val="auto"/>
          <w:kern w:val="0"/>
          <w:sz w:val="24"/>
          <w:szCs w:val="24"/>
          <w:highlight w:val="none"/>
          <w:lang w:val="en-US" w:eastAsia="zh-CN" w:bidi="ar"/>
        </w:rPr>
        <w:t>陕西曼力工程管理咨询有限公司</w:t>
      </w:r>
      <w:r>
        <w:rPr>
          <w:rFonts w:hint="eastAsia" w:ascii="宋体" w:hAnsi="宋体" w:eastAsia="宋体" w:cs="宋体"/>
          <w:color w:val="auto"/>
          <w:kern w:val="0"/>
          <w:sz w:val="24"/>
          <w:szCs w:val="24"/>
          <w:highlight w:val="none"/>
          <w:lang w:val="en-US" w:eastAsia="zh-CN" w:bidi="ar"/>
        </w:rPr>
        <w:t>的项目名称:</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（项目编号：______）采购活动，为非联合体投标，本项目实施过程由本单位独立承担。 </w:t>
      </w:r>
    </w:p>
    <w:p>
      <w:pPr>
        <w:keepNext w:val="0"/>
        <w:keepLines w:val="0"/>
        <w:widowControl/>
        <w:suppressLineNumbers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本单位对上述声明的真实性负责。如有虚假，将依法承担相应责任。 </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p>
    <w:p>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0"/>
          <w:highlight w:val="none"/>
          <w:u w:val="single"/>
          <w:lang w:val="en-US" w:eastAsia="zh-CN" w:bidi="ar"/>
        </w:rPr>
      </w:pPr>
      <w:r>
        <w:rPr>
          <w:rFonts w:hint="eastAsia" w:ascii="宋体" w:hAnsi="宋体" w:eastAsia="宋体" w:cs="宋体"/>
          <w:color w:val="auto"/>
          <w:kern w:val="2"/>
          <w:sz w:val="24"/>
          <w:szCs w:val="20"/>
          <w:highlight w:val="none"/>
          <w:lang w:val="en-US" w:eastAsia="zh-CN" w:bidi="ar"/>
        </w:rPr>
        <w:t>投标人：</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（盖公章）</w:t>
      </w:r>
    </w:p>
    <w:p>
      <w:pPr>
        <w:keepNext w:val="0"/>
        <w:keepLines w:val="0"/>
        <w:widowControl w:val="0"/>
        <w:suppressLineNumbers w:val="0"/>
        <w:spacing w:before="0" w:beforeAutospacing="0" w:after="120" w:afterAutospacing="0"/>
        <w:ind w:left="0" w:right="0"/>
        <w:jc w:val="both"/>
        <w:rPr>
          <w:rFonts w:hint="eastAsia" w:ascii="Times New Roman" w:hAnsi="Times New Roman" w:eastAsia="宋体" w:cs="Times New Roman"/>
          <w:color w:val="auto"/>
          <w:kern w:val="2"/>
          <w:sz w:val="21"/>
          <w:szCs w:val="20"/>
          <w:highlight w:val="none"/>
          <w:lang w:val="en-US" w:eastAsia="zh-CN" w:bidi="ar"/>
        </w:rPr>
      </w:pPr>
    </w:p>
    <w:p>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t>日期：</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年</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月</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日</w:t>
      </w:r>
    </w:p>
    <w:p>
      <w:pPr>
        <w:pStyle w:val="2"/>
        <w:rPr>
          <w:rStyle w:val="43"/>
          <w:rFonts w:hint="eastAsia"/>
          <w:color w:val="auto"/>
          <w:highlight w:val="none"/>
          <w:lang w:val="en-US" w:eastAsia="zh-CN"/>
        </w:rPr>
      </w:pPr>
      <w:bookmarkStart w:id="263" w:name="_Toc5091"/>
      <w:bookmarkStart w:id="264" w:name="_Toc419"/>
    </w:p>
    <w:p>
      <w:pPr>
        <w:pStyle w:val="2"/>
        <w:rPr>
          <w:rStyle w:val="43"/>
          <w:rFonts w:hint="eastAsia"/>
          <w:color w:val="auto"/>
          <w:highlight w:val="none"/>
          <w:lang w:val="en-US" w:eastAsia="zh-CN"/>
        </w:rPr>
      </w:pPr>
    </w:p>
    <w:p>
      <w:pPr>
        <w:pStyle w:val="2"/>
        <w:rPr>
          <w:rStyle w:val="43"/>
          <w:rFonts w:hint="eastAsia"/>
          <w:color w:val="auto"/>
          <w:highlight w:val="none"/>
          <w:lang w:val="en-US" w:eastAsia="zh-CN"/>
        </w:rPr>
      </w:pPr>
    </w:p>
    <w:p>
      <w:pPr>
        <w:pStyle w:val="2"/>
        <w:rPr>
          <w:rStyle w:val="43"/>
          <w:rFonts w:hint="eastAsia"/>
          <w:color w:val="auto"/>
          <w:highlight w:val="none"/>
          <w:lang w:val="en-US" w:eastAsia="zh-CN"/>
        </w:rPr>
      </w:pPr>
    </w:p>
    <w:p>
      <w:pPr>
        <w:pStyle w:val="2"/>
        <w:rPr>
          <w:rStyle w:val="43"/>
          <w:rFonts w:hint="eastAsia"/>
          <w:color w:val="auto"/>
          <w:highlight w:val="none"/>
          <w:lang w:val="en-US" w:eastAsia="zh-CN"/>
        </w:rPr>
      </w:pPr>
    </w:p>
    <w:p>
      <w:pPr>
        <w:pStyle w:val="2"/>
        <w:rPr>
          <w:rStyle w:val="43"/>
          <w:rFonts w:hint="eastAsia"/>
          <w:color w:val="auto"/>
          <w:highlight w:val="none"/>
          <w:lang w:val="en-US" w:eastAsia="zh-CN"/>
        </w:rPr>
      </w:pPr>
    </w:p>
    <w:p>
      <w:pPr>
        <w:pStyle w:val="2"/>
        <w:rPr>
          <w:rStyle w:val="43"/>
          <w:rFonts w:hint="eastAsia"/>
          <w:color w:val="auto"/>
          <w:highlight w:val="none"/>
          <w:lang w:val="en-US" w:eastAsia="zh-CN"/>
        </w:rPr>
      </w:pPr>
    </w:p>
    <w:p>
      <w:pPr>
        <w:pStyle w:val="2"/>
        <w:rPr>
          <w:rStyle w:val="43"/>
          <w:rFonts w:hint="eastAsia"/>
          <w:color w:val="auto"/>
          <w:highlight w:val="none"/>
          <w:lang w:val="en-US" w:eastAsia="zh-CN"/>
        </w:rPr>
      </w:pPr>
    </w:p>
    <w:p>
      <w:pPr>
        <w:pStyle w:val="2"/>
        <w:rPr>
          <w:rStyle w:val="43"/>
          <w:rFonts w:hint="eastAsia"/>
          <w:color w:val="auto"/>
          <w:highlight w:val="none"/>
          <w:lang w:val="en-US" w:eastAsia="zh-CN"/>
        </w:rPr>
      </w:pPr>
    </w:p>
    <w:p>
      <w:pPr>
        <w:keepNext/>
        <w:keepLines/>
        <w:pageBreakBefore w:val="0"/>
        <w:widowControl w:val="0"/>
        <w:kinsoku/>
        <w:wordWrap/>
        <w:overflowPunct/>
        <w:topLinePunct w:val="0"/>
        <w:autoSpaceDE/>
        <w:autoSpaceDN/>
        <w:bidi w:val="0"/>
        <w:adjustRightInd/>
        <w:snapToGrid/>
        <w:spacing w:line="360" w:lineRule="auto"/>
        <w:jc w:val="center"/>
        <w:textAlignment w:val="auto"/>
        <w:outlineLvl w:val="1"/>
        <w:rPr>
          <w:rFonts w:hint="eastAsia" w:ascii="Arial" w:hAnsi="Arial" w:eastAsia="新宋体" w:cs="Times New Roman"/>
          <w:b/>
          <w:bCs/>
          <w:color w:val="auto"/>
          <w:kern w:val="2"/>
          <w:sz w:val="32"/>
          <w:szCs w:val="32"/>
          <w:highlight w:val="none"/>
          <w:lang w:val="en-US" w:eastAsia="zh-CN" w:bidi="ar-SA"/>
        </w:rPr>
      </w:pPr>
      <w:bookmarkStart w:id="265" w:name="_Toc30329"/>
      <w:r>
        <w:rPr>
          <w:rStyle w:val="43"/>
          <w:rFonts w:hint="eastAsia"/>
          <w:color w:val="auto"/>
          <w:highlight w:val="none"/>
          <w:lang w:val="en-US" w:eastAsia="zh-CN"/>
        </w:rPr>
        <w:t>第二部分 符合性证明文件</w:t>
      </w:r>
      <w:bookmarkEnd w:id="263"/>
      <w:bookmarkEnd w:id="264"/>
      <w:bookmarkEnd w:id="265"/>
    </w:p>
    <w:bookmarkEnd w:id="210"/>
    <w:bookmarkEnd w:id="211"/>
    <w:p>
      <w:pPr>
        <w:spacing w:before="91" w:line="436" w:lineRule="exact"/>
        <w:ind w:left="3458"/>
        <w:rPr>
          <w:rFonts w:ascii="宋体" w:hAnsi="宋体" w:eastAsia="宋体" w:cs="宋体"/>
          <w:sz w:val="28"/>
          <w:szCs w:val="28"/>
        </w:rPr>
      </w:pPr>
      <w:r>
        <w:rPr>
          <w:rFonts w:ascii="宋体" w:hAnsi="宋体" w:eastAsia="宋体" w:cs="宋体"/>
          <w:spacing w:val="-1"/>
          <w:position w:val="11"/>
          <w:sz w:val="28"/>
          <w:szCs w:val="28"/>
          <w14:textOutline w14:w="5094" w14:cap="flat" w14:cmpd="sng">
            <w14:solidFill>
              <w14:srgbClr w14:val="000000"/>
            </w14:solidFill>
            <w14:prstDash w14:val="solid"/>
            <w14:miter w14:val="0"/>
          </w14:textOutline>
        </w:rPr>
        <w:t>一、磋商函</w:t>
      </w:r>
    </w:p>
    <w:p>
      <w:pPr>
        <w:keepNext w:val="0"/>
        <w:keepLines w:val="0"/>
        <w:widowControl/>
        <w:suppressLineNumbers w:val="0"/>
        <w:spacing w:line="360" w:lineRule="auto"/>
        <w:jc w:val="both"/>
        <w:rPr>
          <w:rFonts w:hint="eastAsia" w:ascii="宋体" w:hAnsi="宋体" w:cs="宋体"/>
          <w:color w:val="auto"/>
          <w:kern w:val="0"/>
          <w:sz w:val="24"/>
          <w:szCs w:val="24"/>
          <w:highlight w:val="none"/>
          <w:u w:val="single"/>
          <w:lang w:val="en-US" w:eastAsia="zh-CN" w:bidi="ar"/>
        </w:rPr>
      </w:pPr>
      <w:r>
        <w:rPr>
          <w:rFonts w:hint="eastAsia" w:ascii="宋体" w:hAnsi="宋体" w:eastAsia="宋体" w:cs="宋体"/>
          <w:color w:val="auto"/>
          <w:kern w:val="0"/>
          <w:sz w:val="24"/>
          <w:szCs w:val="24"/>
          <w:highlight w:val="none"/>
          <w:lang w:val="en-US" w:eastAsia="zh-CN" w:bidi="ar"/>
        </w:rPr>
        <w:t>(招标人名称)：</w:t>
      </w:r>
      <w:r>
        <w:rPr>
          <w:rFonts w:hint="eastAsia" w:ascii="宋体" w:hAnsi="宋体" w:cs="宋体"/>
          <w:color w:val="auto"/>
          <w:kern w:val="0"/>
          <w:sz w:val="24"/>
          <w:szCs w:val="24"/>
          <w:highlight w:val="none"/>
          <w:u w:val="single"/>
          <w:lang w:val="en-US" w:eastAsia="zh-CN" w:bidi="ar"/>
        </w:rPr>
        <w:t xml:space="preserve">                      </w:t>
      </w:r>
    </w:p>
    <w:p>
      <w:pPr>
        <w:keepNext w:val="0"/>
        <w:keepLines w:val="0"/>
        <w:widowControl/>
        <w:suppressLineNumbers w:val="0"/>
        <w:spacing w:line="360" w:lineRule="auto"/>
        <w:ind w:firstLine="480" w:firstLineChars="200"/>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1．我方已仔细研究了</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(项目名称)监理磋商文件的全部内容，愿意以：</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为投标报价，工期控制目标</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 ，质量监控目标</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，按合同约定承担实施和完成及质量保修的全部监理工作， 工程质量达到现行国家、省、市规范和标准。</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2．我方已经详细审核了全部磋商文件，包括修改、补充的文件(如果有的话)和参考资料以及有关附件， 我们完全理解并同意放弃对这方面有不明及误解的权利。</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3．我方承诺在投标有效期</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天内不修改、撤销响应文件。</w:t>
      </w:r>
    </w:p>
    <w:p>
      <w:pPr>
        <w:keepNext w:val="0"/>
        <w:keepLines w:val="0"/>
        <w:widowControl/>
        <w:suppressLineNumbers w:val="0"/>
        <w:spacing w:line="360" w:lineRule="auto"/>
        <w:ind w:firstLine="480" w:firstLineChars="200"/>
        <w:jc w:val="left"/>
        <w:rPr>
          <w:rFonts w:hint="eastAsia" w:ascii="宋体" w:hAnsi="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4．  随同本投标函提交投标</w:t>
      </w:r>
      <w:r>
        <w:rPr>
          <w:rFonts w:hint="eastAsia" w:ascii="宋体" w:hAnsi="宋体" w:cs="宋体"/>
          <w:color w:val="auto"/>
          <w:kern w:val="0"/>
          <w:sz w:val="24"/>
          <w:szCs w:val="24"/>
          <w:highlight w:val="none"/>
          <w:lang w:val="en-US" w:eastAsia="zh-CN" w:bidi="ar"/>
        </w:rPr>
        <w:t>信用承诺书</w:t>
      </w:r>
      <w:r>
        <w:rPr>
          <w:rFonts w:hint="eastAsia" w:ascii="宋体" w:hAnsi="宋体" w:eastAsia="宋体" w:cs="宋体"/>
          <w:color w:val="auto"/>
          <w:kern w:val="0"/>
          <w:sz w:val="24"/>
          <w:szCs w:val="24"/>
          <w:highlight w:val="none"/>
          <w:lang w:val="en-US" w:eastAsia="zh-CN" w:bidi="ar"/>
        </w:rPr>
        <w:t>一份</w:t>
      </w:r>
      <w:r>
        <w:rPr>
          <w:rFonts w:hint="eastAsia" w:ascii="宋体" w:hAnsi="宋体" w:cs="宋体"/>
          <w:color w:val="auto"/>
          <w:kern w:val="0"/>
          <w:sz w:val="24"/>
          <w:szCs w:val="24"/>
          <w:highlight w:val="none"/>
          <w:lang w:val="en-US" w:eastAsia="zh-CN" w:bidi="ar"/>
        </w:rPr>
        <w:t>。</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5．如我方中标：</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(1)我方承诺在收到中标通知书后，在中标通知书规定的期限内与你方签订合同。</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(2)随同本投标函递交的投标函附录属于合同文件的组成部分。</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(3)我方承诺按照磋商文件规定向你方递交履约担保。</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(4)我方承诺在合同约定的期限内完成并移交全部监理工作。</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(5)我方承诺按照磋商文件的要求和招标人签订工程监理合同，按磋商文件要求组建项目管理监理</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部进驻施工现场实施监理合同。</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6．我方理解贵方不一定接受最低投标报价或任何贵方可能收到的投标。</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7．我方在此声明， 所递交的响应文件及有关资料内容完整、真实和准确，且不存在第二章“投标人须 知”第 1.4.3 项规定的任何一种情形。</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8．我方在此声明， 所递交的响应文件(包括有关资料、澄清)真实可信， 不存在虚假(包括隐瞒)，我方 承诺， 如存在虚假投标行为，我方自愿按有关规定承担责任。</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响应人：</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 (盖单位公章)  </w:t>
      </w:r>
    </w:p>
    <w:p>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法定代表人或其委托代理人：</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(签字) </w:t>
      </w:r>
    </w:p>
    <w:p>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地址：</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网址：</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电话：</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kern w:val="0"/>
          <w:sz w:val="24"/>
          <w:szCs w:val="24"/>
          <w:highlight w:val="none"/>
          <w:u w:val="single"/>
          <w:lang w:val="en-US" w:eastAsia="zh-CN" w:bidi="ar"/>
        </w:rPr>
      </w:pPr>
      <w:r>
        <w:rPr>
          <w:rFonts w:hint="eastAsia" w:ascii="宋体" w:hAnsi="宋体" w:eastAsia="宋体" w:cs="宋体"/>
          <w:color w:val="auto"/>
          <w:kern w:val="0"/>
          <w:sz w:val="24"/>
          <w:szCs w:val="24"/>
          <w:highlight w:val="none"/>
          <w:lang w:val="en-US" w:eastAsia="zh-CN" w:bidi="ar"/>
        </w:rPr>
        <w:t xml:space="preserve">传真：  </w:t>
      </w:r>
      <w:r>
        <w:rPr>
          <w:rFonts w:hint="eastAsia" w:ascii="宋体" w:hAnsi="宋体" w:eastAsia="宋体" w:cs="宋体"/>
          <w:color w:val="auto"/>
          <w:kern w:val="0"/>
          <w:sz w:val="24"/>
          <w:szCs w:val="24"/>
          <w:highlight w:val="none"/>
          <w:u w:val="singl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邮政编码：</w:t>
      </w:r>
      <w:r>
        <w:rPr>
          <w:rFonts w:hint="eastAsia" w:ascii="宋体" w:hAnsi="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ind w:firstLine="4800" w:firstLineChars="2000"/>
        <w:jc w:val="left"/>
        <w:rPr>
          <w:rFonts w:hint="eastAsia" w:ascii="宋体" w:hAnsi="宋体" w:eastAsia="宋体" w:cs="宋体"/>
          <w:color w:val="auto"/>
          <w:kern w:val="0"/>
          <w:sz w:val="24"/>
          <w:szCs w:val="24"/>
          <w:highlight w:val="none"/>
          <w:lang w:val="en-US" w:eastAsia="zh-CN" w:bidi="ar"/>
        </w:rPr>
      </w:pPr>
    </w:p>
    <w:p>
      <w:pPr>
        <w:keepNext w:val="0"/>
        <w:keepLines w:val="0"/>
        <w:widowControl/>
        <w:suppressLineNumbers w:val="0"/>
        <w:spacing w:line="360" w:lineRule="auto"/>
        <w:ind w:firstLine="4800" w:firstLineChars="2000"/>
        <w:jc w:val="left"/>
        <w:rPr>
          <w:rFonts w:hint="eastAsia" w:ascii="宋体" w:hAnsi="宋体" w:eastAsia="宋体" w:cs="宋体"/>
          <w:color w:val="auto"/>
          <w:kern w:val="0"/>
          <w:sz w:val="24"/>
          <w:szCs w:val="24"/>
          <w:highlight w:val="none"/>
          <w:lang w:val="en-US" w:eastAsia="zh-CN" w:bidi="ar"/>
        </w:rPr>
      </w:pPr>
    </w:p>
    <w:p>
      <w:pPr>
        <w:keepNext w:val="0"/>
        <w:keepLines w:val="0"/>
        <w:widowControl/>
        <w:suppressLineNumbers w:val="0"/>
        <w:spacing w:line="360" w:lineRule="auto"/>
        <w:ind w:firstLine="4800" w:firstLineChars="20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u w:val="single"/>
          <w:lang w:val="en-US" w:eastAsia="zh-CN" w:bidi="ar"/>
        </w:rPr>
        <w:tab/>
      </w:r>
      <w:r>
        <w:rPr>
          <w:rFonts w:hint="eastAsia" w:ascii="宋体" w:hAnsi="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年</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月</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日</w:t>
      </w:r>
    </w:p>
    <w:p>
      <w:pPr>
        <w:rPr>
          <w:rFonts w:hint="eastAsia"/>
          <w:lang w:val="en-US" w:eastAsia="zh-CN"/>
        </w:rPr>
      </w:pPr>
      <w:r>
        <w:rPr>
          <w:rFonts w:hint="eastAsia" w:ascii="宋体" w:hAnsi="宋体" w:cs="Times New Roman"/>
          <w:b/>
          <w:bCs/>
          <w:color w:val="auto"/>
          <w:sz w:val="28"/>
          <w:highlight w:val="none"/>
        </w:rPr>
        <w:br w:type="page"/>
      </w:r>
      <w:bookmarkStart w:id="266" w:name="_Toc3365"/>
      <w:bookmarkStart w:id="267" w:name="_Toc11561"/>
      <w:bookmarkStart w:id="268" w:name="_Toc24912"/>
      <w:bookmarkStart w:id="269" w:name="_Toc13702"/>
      <w:bookmarkStart w:id="270" w:name="_Toc11250"/>
      <w:bookmarkStart w:id="271" w:name="_Toc28680"/>
      <w:bookmarkStart w:id="272" w:name="_Toc3275"/>
    </w:p>
    <w:p>
      <w:pPr>
        <w:pStyle w:val="5"/>
        <w:bidi w:val="0"/>
        <w:jc w:val="center"/>
        <w:rPr>
          <w:rFonts w:hint="eastAsia"/>
          <w:color w:val="auto"/>
          <w:highlight w:val="none"/>
          <w:lang w:val="en-US" w:eastAsia="zh-CN"/>
        </w:rPr>
      </w:pPr>
      <w:bookmarkStart w:id="273" w:name="_Toc30451"/>
      <w:r>
        <w:rPr>
          <w:rFonts w:hint="eastAsia"/>
          <w:color w:val="auto"/>
          <w:highlight w:val="none"/>
          <w:lang w:val="en-US" w:eastAsia="zh-CN"/>
        </w:rPr>
        <w:t>二、第一次磋商报价表</w:t>
      </w:r>
      <w:bookmarkEnd w:id="266"/>
      <w:bookmarkEnd w:id="267"/>
      <w:bookmarkEnd w:id="268"/>
      <w:bookmarkEnd w:id="269"/>
      <w:bookmarkEnd w:id="270"/>
      <w:bookmarkEnd w:id="271"/>
      <w:bookmarkEnd w:id="272"/>
      <w:bookmarkEnd w:id="273"/>
    </w:p>
    <w:tbl>
      <w:tblPr>
        <w:tblStyle w:val="26"/>
        <w:tblW w:w="87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4"/>
        <w:gridCol w:w="6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044" w:type="dxa"/>
            <w:vAlign w:val="center"/>
          </w:tcPr>
          <w:p>
            <w:pPr>
              <w:shd w:val="clea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lang w:eastAsia="zh-CN"/>
              </w:rPr>
              <w:t>采购</w:t>
            </w:r>
            <w:r>
              <w:rPr>
                <w:rFonts w:hint="eastAsia" w:ascii="宋体" w:hAnsi="宋体" w:eastAsia="宋体" w:cs="宋体"/>
                <w:color w:val="auto"/>
                <w:szCs w:val="21"/>
                <w:highlight w:val="none"/>
              </w:rPr>
              <w:t>项目编号</w:t>
            </w:r>
          </w:p>
        </w:tc>
        <w:tc>
          <w:tcPr>
            <w:tcW w:w="6704" w:type="dxa"/>
            <w:vAlign w:val="center"/>
          </w:tcPr>
          <w:p>
            <w:pPr>
              <w:shd w:val="clear"/>
              <w:spacing w:line="360" w:lineRule="auto"/>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044" w:type="dxa"/>
            <w:vAlign w:val="center"/>
          </w:tcPr>
          <w:p>
            <w:pPr>
              <w:shd w:val="clea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lang w:eastAsia="zh-CN"/>
              </w:rPr>
              <w:t>采购</w:t>
            </w:r>
            <w:r>
              <w:rPr>
                <w:rFonts w:hint="eastAsia" w:ascii="宋体" w:hAnsi="宋体" w:eastAsia="宋体" w:cs="宋体"/>
                <w:color w:val="auto"/>
                <w:szCs w:val="21"/>
                <w:highlight w:val="none"/>
              </w:rPr>
              <w:t>项目名称</w:t>
            </w:r>
          </w:p>
        </w:tc>
        <w:tc>
          <w:tcPr>
            <w:tcW w:w="6704" w:type="dxa"/>
            <w:vAlign w:val="center"/>
          </w:tcPr>
          <w:p>
            <w:pPr>
              <w:shd w:val="clear"/>
              <w:spacing w:line="360" w:lineRule="auto"/>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044" w:type="dxa"/>
            <w:vAlign w:val="center"/>
          </w:tcPr>
          <w:p>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总报价</w:t>
            </w:r>
          </w:p>
          <w:p>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（人民币）</w:t>
            </w:r>
          </w:p>
        </w:tc>
        <w:tc>
          <w:tcPr>
            <w:tcW w:w="6704" w:type="dxa"/>
            <w:vAlign w:val="center"/>
          </w:tcPr>
          <w:p>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小写金额：</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元。</w:t>
            </w:r>
          </w:p>
          <w:p>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大写金额：</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044" w:type="dxa"/>
            <w:vAlign w:val="center"/>
          </w:tcPr>
          <w:p>
            <w:pPr>
              <w:shd w:val="clear"/>
              <w:spacing w:line="36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监理服务期</w:t>
            </w:r>
          </w:p>
        </w:tc>
        <w:tc>
          <w:tcPr>
            <w:tcW w:w="6704" w:type="dxa"/>
            <w:vAlign w:val="center"/>
          </w:tcPr>
          <w:p>
            <w:pPr>
              <w:shd w:val="clear"/>
              <w:spacing w:line="360" w:lineRule="auto"/>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044" w:type="dxa"/>
            <w:vAlign w:val="center"/>
          </w:tcPr>
          <w:p>
            <w:pPr>
              <w:shd w:val="clear"/>
              <w:spacing w:line="360" w:lineRule="auto"/>
              <w:jc w:val="center"/>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其他声明</w:t>
            </w:r>
          </w:p>
        </w:tc>
        <w:tc>
          <w:tcPr>
            <w:tcW w:w="6704" w:type="dxa"/>
            <w:vAlign w:val="center"/>
          </w:tcPr>
          <w:p>
            <w:pPr>
              <w:shd w:val="clear"/>
              <w:spacing w:line="360" w:lineRule="auto"/>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8748" w:type="dxa"/>
            <w:gridSpan w:val="2"/>
            <w:vAlign w:val="center"/>
          </w:tcPr>
          <w:p>
            <w:pPr>
              <w:shd w:val="clea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highlight w:val="none"/>
              </w:rPr>
              <w:t>备注：表内报价内容以元为单位，保留小数点后两位。</w:t>
            </w:r>
          </w:p>
        </w:tc>
      </w:tr>
    </w:tbl>
    <w:p>
      <w:pPr>
        <w:shd w:val="clear"/>
        <w:spacing w:line="360" w:lineRule="auto"/>
        <w:rPr>
          <w:rFonts w:hint="eastAsia" w:ascii="宋体" w:hAnsi="宋体" w:eastAsia="宋体" w:cs="宋体"/>
          <w:color w:val="auto"/>
          <w:szCs w:val="21"/>
          <w:highlight w:val="none"/>
        </w:rPr>
      </w:pPr>
    </w:p>
    <w:p>
      <w:pPr>
        <w:shd w:val="clear"/>
        <w:spacing w:line="360" w:lineRule="auto"/>
        <w:rPr>
          <w:rFonts w:hint="eastAsia" w:ascii="宋体" w:hAnsi="宋体" w:eastAsia="宋体" w:cs="宋体"/>
          <w:color w:val="auto"/>
          <w:szCs w:val="21"/>
          <w:highlight w:val="none"/>
        </w:rPr>
      </w:pPr>
    </w:p>
    <w:p>
      <w:pPr>
        <w:shd w:val="clear"/>
        <w:spacing w:line="480" w:lineRule="exact"/>
        <w:ind w:left="240" w:leftChars="100"/>
        <w:rPr>
          <w:rFonts w:hint="eastAsia" w:ascii="宋体" w:hAnsi="宋体" w:eastAsia="宋体" w:cs="宋体"/>
          <w:color w:val="auto"/>
          <w:sz w:val="24"/>
          <w:highlight w:val="none"/>
          <w:u w:val="single"/>
        </w:rPr>
      </w:pPr>
      <w:bookmarkStart w:id="274" w:name="_Toc8368"/>
      <w:r>
        <w:rPr>
          <w:rFonts w:hint="eastAsia" w:ascii="宋体" w:hAnsi="宋体" w:cs="Times New Roman"/>
          <w:color w:val="auto"/>
          <w:sz w:val="24"/>
          <w:szCs w:val="24"/>
          <w:highlight w:val="none"/>
          <w:lang w:eastAsia="zh-CN"/>
        </w:rPr>
        <w:t>供应商名称（</w:t>
      </w:r>
      <w:r>
        <w:rPr>
          <w:rFonts w:hint="eastAsia" w:ascii="宋体" w:hAnsi="宋体" w:cs="Times New Roman"/>
          <w:color w:val="auto"/>
          <w:sz w:val="24"/>
          <w:szCs w:val="24"/>
          <w:highlight w:val="none"/>
        </w:rPr>
        <w:t>公章</w:t>
      </w:r>
      <w:r>
        <w:rPr>
          <w:rFonts w:hint="eastAsia" w:ascii="宋体" w:hAnsi="宋体" w:cs="Times New Roman"/>
          <w:color w:val="auto"/>
          <w:sz w:val="24"/>
          <w:szCs w:val="24"/>
          <w:highlight w:val="none"/>
          <w:lang w:eastAsia="zh-CN"/>
        </w:rPr>
        <w:t>）</w:t>
      </w:r>
      <w:r>
        <w:rPr>
          <w:rFonts w:hint="eastAsia" w:ascii="宋体" w:hAnsi="宋体" w:cs="Times New Roman"/>
          <w:color w:val="auto"/>
          <w:sz w:val="24"/>
          <w:szCs w:val="24"/>
          <w:highlight w:val="none"/>
        </w:rPr>
        <w:t>：</w:t>
      </w:r>
      <w:r>
        <w:rPr>
          <w:rFonts w:hint="eastAsia" w:ascii="宋体" w:hAnsi="宋体" w:eastAsia="宋体" w:cs="宋体"/>
          <w:color w:val="auto"/>
          <w:sz w:val="24"/>
          <w:highlight w:val="none"/>
          <w:u w:val="single"/>
        </w:rPr>
        <w:t>     </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w:t>
      </w:r>
    </w:p>
    <w:p>
      <w:pPr>
        <w:shd w:val="clear"/>
        <w:spacing w:line="480" w:lineRule="exact"/>
        <w:ind w:left="240" w:leftChars="100"/>
        <w:rPr>
          <w:rFonts w:ascii="宋体" w:hAnsi="宋体" w:cs="Times New Roman"/>
          <w:color w:val="auto"/>
          <w:szCs w:val="24"/>
          <w:highlight w:val="none"/>
        </w:rPr>
      </w:pPr>
      <w:r>
        <w:rPr>
          <w:rFonts w:hint="eastAsia" w:ascii="宋体" w:hAnsi="宋体" w:cs="Times New Roman"/>
          <w:color w:val="auto"/>
          <w:szCs w:val="24"/>
          <w:highlight w:val="none"/>
          <w:lang w:val="zh-CN"/>
        </w:rPr>
        <w:t>法定代表人或被授权人（签字或盖章）</w:t>
      </w:r>
      <w:r>
        <w:rPr>
          <w:rFonts w:ascii="宋体" w:hAnsi="宋体" w:cs="Times New Roman"/>
          <w:color w:val="auto"/>
          <w:szCs w:val="24"/>
          <w:highlight w:val="none"/>
        </w:rPr>
        <w:t>：</w:t>
      </w:r>
      <w:r>
        <w:rPr>
          <w:rFonts w:ascii="宋体" w:hAnsi="宋体" w:cs="Times New Roman"/>
          <w:color w:val="auto"/>
          <w:szCs w:val="24"/>
          <w:highlight w:val="none"/>
          <w:u w:val="single"/>
        </w:rPr>
        <w:t xml:space="preserve">      </w:t>
      </w:r>
    </w:p>
    <w:p>
      <w:pPr>
        <w:shd w:val="clear"/>
        <w:spacing w:line="480" w:lineRule="exact"/>
        <w:ind w:left="240" w:leftChars="100"/>
        <w:rPr>
          <w:rFonts w:ascii="宋体" w:hAnsi="宋体" w:cs="Times New Roman"/>
          <w:color w:val="auto"/>
          <w:highlight w:val="none"/>
          <w:u w:val="single"/>
        </w:rPr>
      </w:pPr>
      <w:r>
        <w:rPr>
          <w:rFonts w:ascii="宋体" w:hAnsi="宋体" w:cs="Times New Roman"/>
          <w:color w:val="auto"/>
          <w:szCs w:val="24"/>
          <w:highlight w:val="none"/>
        </w:rPr>
        <w:t>日 期：</w:t>
      </w:r>
      <w:r>
        <w:rPr>
          <w:rFonts w:ascii="宋体" w:hAnsi="宋体" w:cs="Times New Roman"/>
          <w:color w:val="auto"/>
          <w:highlight w:val="none"/>
          <w:u w:val="single"/>
        </w:rPr>
        <w:t xml:space="preserve">    </w:t>
      </w:r>
      <w:r>
        <w:rPr>
          <w:rFonts w:hint="eastAsia" w:ascii="宋体" w:hAnsi="宋体" w:cs="Times New Roman"/>
          <w:color w:val="auto"/>
          <w:highlight w:val="none"/>
          <w:u w:val="single"/>
          <w:lang w:val="en-US" w:eastAsia="zh-CN"/>
        </w:rPr>
        <w:t xml:space="preserve">                     </w:t>
      </w:r>
      <w:r>
        <w:rPr>
          <w:rFonts w:ascii="宋体" w:hAnsi="宋体" w:cs="Times New Roman"/>
          <w:color w:val="auto"/>
          <w:highlight w:val="none"/>
          <w:u w:val="single"/>
        </w:rPr>
        <w:t xml:space="preserve"> </w:t>
      </w:r>
      <w:r>
        <w:rPr>
          <w:rFonts w:hint="eastAsia" w:ascii="宋体" w:hAnsi="宋体" w:cs="Times New Roman"/>
          <w:color w:val="auto"/>
          <w:highlight w:val="none"/>
          <w:u w:val="single"/>
          <w:lang w:val="en-US" w:eastAsia="zh-CN"/>
        </w:rPr>
        <w:t xml:space="preserve"> </w:t>
      </w:r>
      <w:r>
        <w:rPr>
          <w:rFonts w:ascii="宋体" w:hAnsi="宋体" w:cs="Times New Roman"/>
          <w:color w:val="auto"/>
          <w:highlight w:val="none"/>
          <w:u w:val="single"/>
        </w:rPr>
        <w:t xml:space="preserve">       </w:t>
      </w:r>
    </w:p>
    <w:p>
      <w:pPr>
        <w:keepNext/>
        <w:widowControl w:val="0"/>
        <w:shd w:val="clear"/>
        <w:bidi w:val="0"/>
        <w:spacing w:before="624" w:beforeLines="200" w:line="400" w:lineRule="exact"/>
        <w:jc w:val="center"/>
        <w:outlineLvl w:val="9"/>
        <w:rPr>
          <w:rFonts w:hint="eastAsia" w:asciiTheme="minorEastAsia" w:hAnsiTheme="minorEastAsia" w:eastAsiaTheme="minorEastAsia" w:cstheme="minorEastAsia"/>
          <w:b/>
          <w:bCs/>
          <w:color w:val="auto"/>
          <w:kern w:val="2"/>
          <w:sz w:val="24"/>
          <w:szCs w:val="24"/>
          <w:highlight w:val="none"/>
          <w:lang w:val="en-US" w:eastAsia="zh-CN" w:bidi="ar-SA"/>
        </w:rPr>
      </w:pPr>
    </w:p>
    <w:p>
      <w:pPr>
        <w:rPr>
          <w:rFonts w:hint="eastAsia" w:asciiTheme="minorEastAsia" w:hAnsiTheme="minorEastAsia" w:eastAsiaTheme="minorEastAsia" w:cstheme="minorEastAsia"/>
          <w:color w:val="auto"/>
          <w:highlight w:val="none"/>
          <w:lang w:val="en-US" w:eastAsia="zh-CN"/>
        </w:rPr>
      </w:pPr>
    </w:p>
    <w:p>
      <w:pPr>
        <w:widowControl w:val="0"/>
        <w:spacing w:after="120" w:afterLines="0"/>
        <w:jc w:val="both"/>
        <w:rPr>
          <w:rFonts w:hint="eastAsia" w:asciiTheme="minorEastAsia" w:hAnsiTheme="minorEastAsia" w:eastAsiaTheme="minorEastAsia" w:cstheme="minorEastAsia"/>
          <w:color w:val="auto"/>
          <w:kern w:val="2"/>
          <w:sz w:val="24"/>
          <w:highlight w:val="none"/>
          <w:lang w:val="en-US" w:eastAsia="zh-CN" w:bidi="ar-SA"/>
        </w:rPr>
      </w:pPr>
    </w:p>
    <w:p>
      <w:pPr>
        <w:rPr>
          <w:rFonts w:hint="eastAsia" w:asciiTheme="minorEastAsia" w:hAnsiTheme="minorEastAsia" w:eastAsiaTheme="minorEastAsia" w:cstheme="minorEastAsia"/>
          <w:color w:val="auto"/>
          <w:highlight w:val="none"/>
          <w:lang w:val="en-US" w:eastAsia="zh-CN"/>
        </w:rPr>
      </w:pPr>
    </w:p>
    <w:p>
      <w:pPr>
        <w:widowControl w:val="0"/>
        <w:spacing w:after="120" w:afterLines="0"/>
        <w:jc w:val="both"/>
        <w:rPr>
          <w:rFonts w:hint="eastAsia" w:ascii="Times New Roman" w:hAnsi="Times New Roman" w:eastAsia="宋体" w:cs="Times New Roman"/>
          <w:color w:val="auto"/>
          <w:kern w:val="2"/>
          <w:sz w:val="24"/>
          <w:highlight w:val="none"/>
          <w:lang w:val="en-US" w:eastAsia="zh-CN" w:bidi="ar-SA"/>
        </w:rPr>
      </w:pPr>
    </w:p>
    <w:p>
      <w:pPr>
        <w:rPr>
          <w:rFonts w:hint="eastAsia" w:ascii="Times New Roman" w:hAnsi="Times New Roman" w:cs="Times New Roman"/>
          <w:color w:val="auto"/>
          <w:highlight w:val="none"/>
          <w:lang w:val="en-US" w:eastAsia="zh-CN"/>
        </w:rPr>
      </w:pPr>
    </w:p>
    <w:bookmarkEnd w:id="274"/>
    <w:p>
      <w:pPr>
        <w:widowControl w:val="0"/>
        <w:shd w:val="clear" w:color="auto" w:fill="auto"/>
        <w:spacing w:line="360" w:lineRule="auto"/>
        <w:ind w:firstLine="480" w:firstLineChars="200"/>
        <w:jc w:val="both"/>
        <w:rPr>
          <w:rFonts w:ascii="宋体" w:hAnsi="Times New Roman" w:eastAsia="宋体" w:cs="Times New Roman"/>
          <w:color w:val="auto"/>
          <w:sz w:val="24"/>
          <w:szCs w:val="22"/>
          <w:highlight w:val="none"/>
          <w:lang w:val="zh-CN" w:eastAsia="zh-CN" w:bidi="ar-SA"/>
        </w:rPr>
      </w:pPr>
      <w:bookmarkStart w:id="275" w:name="_Toc311415658"/>
      <w:bookmarkStart w:id="276" w:name="_Toc347478747"/>
      <w:bookmarkStart w:id="277" w:name="_Toc312789404"/>
      <w:bookmarkStart w:id="278" w:name="_Toc12268"/>
      <w:bookmarkStart w:id="279" w:name="_Toc356814675"/>
      <w:bookmarkStart w:id="280" w:name="_Toc12277"/>
      <w:bookmarkStart w:id="281" w:name="_Toc19460"/>
      <w:bookmarkStart w:id="282" w:name="_Toc19883"/>
      <w:bookmarkStart w:id="283" w:name="_Toc334522292"/>
      <w:bookmarkStart w:id="284" w:name="_Toc283240497"/>
    </w:p>
    <w:p>
      <w:pPr>
        <w:shd w:val="clear" w:color="auto" w:fill="auto"/>
        <w:spacing w:line="312" w:lineRule="auto"/>
        <w:rPr>
          <w:rFonts w:ascii="宋体" w:hAnsi="Times New Roman" w:eastAsia="宋体" w:cs="Times New Roman"/>
          <w:color w:val="auto"/>
          <w:kern w:val="0"/>
          <w:highlight w:val="none"/>
        </w:rPr>
      </w:pPr>
    </w:p>
    <w:p>
      <w:pPr>
        <w:widowControl w:val="0"/>
        <w:shd w:val="clear"/>
        <w:snapToGrid w:val="0"/>
        <w:jc w:val="left"/>
        <w:rPr>
          <w:rFonts w:hint="eastAsia" w:ascii="宋体" w:hAnsi="宋体" w:eastAsia="宋体" w:cs="宋体"/>
          <w:color w:val="auto"/>
          <w:kern w:val="2"/>
          <w:sz w:val="18"/>
          <w:szCs w:val="21"/>
          <w:highlight w:val="none"/>
          <w:lang w:val="en-US" w:eastAsia="zh-CN" w:bidi="ar-SA"/>
        </w:rPr>
      </w:pPr>
    </w:p>
    <w:p>
      <w:pPr>
        <w:rPr>
          <w:rFonts w:hint="eastAsia"/>
          <w:color w:val="auto"/>
          <w:highlight w:val="none"/>
          <w:lang w:val="en-US" w:eastAsia="zh-CN"/>
        </w:rPr>
      </w:pPr>
      <w:bookmarkStart w:id="285" w:name="_Toc12700"/>
      <w:bookmarkStart w:id="286" w:name="_Toc25962"/>
      <w:bookmarkStart w:id="287" w:name="_Toc4766"/>
      <w:bookmarkStart w:id="288" w:name="_Toc2908"/>
      <w:bookmarkStart w:id="289" w:name="_Toc30946"/>
    </w:p>
    <w:p>
      <w:pPr>
        <w:jc w:val="center"/>
        <w:rPr>
          <w:rFonts w:hint="eastAsia" w:ascii="Times New Roman" w:hAnsi="Times New Roman" w:eastAsia="宋体" w:cs="Times New Roman"/>
          <w:b/>
          <w:color w:val="auto"/>
          <w:kern w:val="2"/>
          <w:sz w:val="24"/>
          <w:szCs w:val="18"/>
          <w:highlight w:val="none"/>
          <w:lang w:val="en-US" w:eastAsia="zh-CN" w:bidi="ar-SA"/>
        </w:rPr>
      </w:pPr>
      <w:r>
        <w:rPr>
          <w:rFonts w:hint="eastAsia" w:cs="Times New Roman"/>
          <w:b/>
          <w:color w:val="auto"/>
          <w:kern w:val="2"/>
          <w:sz w:val="24"/>
          <w:szCs w:val="18"/>
          <w:highlight w:val="none"/>
          <w:lang w:val="en-US" w:eastAsia="zh-CN" w:bidi="ar-SA"/>
        </w:rPr>
        <w:t>三</w:t>
      </w:r>
      <w:r>
        <w:rPr>
          <w:rFonts w:hint="eastAsia" w:ascii="Times New Roman" w:hAnsi="Times New Roman" w:eastAsia="宋体" w:cs="Times New Roman"/>
          <w:b/>
          <w:color w:val="auto"/>
          <w:kern w:val="2"/>
          <w:sz w:val="24"/>
          <w:szCs w:val="18"/>
          <w:highlight w:val="none"/>
          <w:lang w:val="en-US" w:eastAsia="zh-CN" w:bidi="ar-SA"/>
        </w:rPr>
        <w:t>、供应商承诺书</w:t>
      </w:r>
      <w:bookmarkEnd w:id="285"/>
      <w:bookmarkEnd w:id="286"/>
    </w:p>
    <w:p>
      <w:pPr>
        <w:pStyle w:val="5"/>
        <w:bidi w:val="0"/>
        <w:spacing w:line="240" w:lineRule="auto"/>
        <w:jc w:val="center"/>
        <w:rPr>
          <w:rFonts w:hint="eastAsia"/>
          <w:color w:val="auto"/>
          <w:sz w:val="24"/>
          <w:szCs w:val="18"/>
          <w:highlight w:val="none"/>
          <w:lang w:val="en-US" w:eastAsia="zh-CN"/>
        </w:rPr>
      </w:pPr>
      <w:bookmarkStart w:id="290" w:name="_Toc21986"/>
      <w:bookmarkStart w:id="291" w:name="_Toc25526"/>
      <w:bookmarkStart w:id="292" w:name="_Toc19114"/>
      <w:bookmarkStart w:id="293" w:name="_Toc15960"/>
      <w:bookmarkStart w:id="294" w:name="_Toc8885"/>
      <w:r>
        <w:rPr>
          <w:rFonts w:hint="eastAsia"/>
          <w:color w:val="auto"/>
          <w:sz w:val="24"/>
          <w:szCs w:val="18"/>
          <w:highlight w:val="none"/>
          <w:lang w:val="en-US" w:eastAsia="zh-CN"/>
        </w:rPr>
        <w:t>陕西省政府采购供应商拒绝政府采购领域商业贿赂承诺书</w:t>
      </w:r>
      <w:bookmarkEnd w:id="290"/>
      <w:bookmarkEnd w:id="291"/>
      <w:bookmarkEnd w:id="292"/>
      <w:bookmarkEnd w:id="293"/>
      <w:bookmarkEnd w:id="294"/>
    </w:p>
    <w:p>
      <w:pPr>
        <w:pStyle w:val="5"/>
        <w:bidi w:val="0"/>
        <w:spacing w:line="240" w:lineRule="auto"/>
        <w:jc w:val="center"/>
        <w:rPr>
          <w:color w:val="auto"/>
          <w:sz w:val="24"/>
          <w:szCs w:val="18"/>
          <w:highlight w:val="none"/>
          <w:lang w:val="en-US" w:eastAsia="zh-CN"/>
        </w:rPr>
      </w:pPr>
      <w:bookmarkStart w:id="295" w:name="_Toc16007"/>
      <w:bookmarkStart w:id="296" w:name="_Toc9568"/>
      <w:bookmarkStart w:id="297" w:name="_Toc10986"/>
      <w:bookmarkStart w:id="298" w:name="_Toc1476"/>
      <w:bookmarkStart w:id="299" w:name="_Toc13980"/>
      <w:r>
        <w:rPr>
          <w:rFonts w:hint="eastAsia"/>
          <w:color w:val="auto"/>
          <w:sz w:val="24"/>
          <w:szCs w:val="18"/>
          <w:highlight w:val="none"/>
          <w:lang w:val="en-US" w:eastAsia="zh-CN"/>
        </w:rPr>
        <w:t>承诺书（一）</w:t>
      </w:r>
      <w:bookmarkEnd w:id="295"/>
      <w:bookmarkEnd w:id="296"/>
      <w:bookmarkEnd w:id="297"/>
      <w:bookmarkEnd w:id="298"/>
      <w:bookmarkEnd w:id="299"/>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ascii="宋体" w:hAnsi="宋体" w:eastAsia="宋体" w:cs="宋体"/>
          <w:color w:val="auto"/>
          <w:kern w:val="0"/>
          <w:sz w:val="24"/>
          <w:szCs w:val="20"/>
          <w:highlight w:val="none"/>
        </w:rPr>
        <w:t>为响应党中央、国务院关于治理政府采购领域商业贿赂行为的号召，我公司在此庄严承诺：</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1、在参与政府采购活动中遵纪守法、诚信经营、公平竞标。</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2、不向政府采购人、采购代理机构和政府采购评审专家进行任何形式的商业贿赂以谋取交易机会。</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3、不向政府采购代理机构和采购人提供虚假资质文件或采用虚假应标方式参与政府采购市场竞争并谋取中标、成交。</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4、不采取“围标、陪标”等商业欺诈手段获得政府采购定单。</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5、不采取不正当手段诋毁、排挤其他供应商。</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6、不在提供商品和服务时“偷梁换柱、以次充好”损害采购人的合法权益。</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7、不与采购人、采购代理机构政府采购评审专家或其它供应商恶意串通，进行质疑和投诉，维护政府采购市场秩序。</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8、尊重和接受政府采购监督管理部门的监督和政府采购代理机构招标采购要求，承担因违约行为给采购人造成的损失。</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9、不发生其他有悖于政府采购公开、公平、公正和诚信原则的行为。</w:t>
      </w:r>
    </w:p>
    <w:p>
      <w:pPr>
        <w:pStyle w:val="16"/>
        <w:rPr>
          <w:rFonts w:hint="eastAsia"/>
          <w:lang w:eastAsia="zh-CN"/>
        </w:rPr>
      </w:pPr>
    </w:p>
    <w:p>
      <w:pPr>
        <w:widowControl/>
        <w:shd w:val="clear"/>
        <w:spacing w:line="360" w:lineRule="auto"/>
        <w:ind w:left="274" w:leftChars="114"/>
        <w:jc w:val="left"/>
        <w:rPr>
          <w:rFonts w:hint="eastAsia" w:ascii="宋体" w:hAnsi="宋体" w:eastAsia="宋体" w:cs="宋体"/>
          <w:color w:val="auto"/>
          <w:kern w:val="0"/>
          <w:sz w:val="24"/>
          <w:szCs w:val="20"/>
          <w:highlight w:val="none"/>
          <w:lang w:eastAsia="zh-CN"/>
        </w:rPr>
      </w:pPr>
      <w:r>
        <w:rPr>
          <w:rFonts w:ascii="宋体" w:hAnsi="宋体" w:eastAsia="宋体" w:cs="宋体"/>
          <w:color w:val="auto"/>
          <w:kern w:val="0"/>
          <w:sz w:val="24"/>
          <w:szCs w:val="20"/>
          <w:highlight w:val="none"/>
        </w:rPr>
        <w:t>承诺单位</w:t>
      </w:r>
      <w:r>
        <w:rPr>
          <w:rFonts w:hint="eastAsia" w:ascii="宋体" w:hAnsi="宋体" w:eastAsia="宋体" w:cs="宋体"/>
          <w:color w:val="auto"/>
          <w:kern w:val="0"/>
          <w:sz w:val="24"/>
          <w:szCs w:val="20"/>
          <w:highlight w:val="none"/>
        </w:rPr>
        <w:t>名称</w:t>
      </w:r>
      <w:r>
        <w:rPr>
          <w:rFonts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u w:val="single"/>
        </w:rPr>
        <w:t xml:space="preserve">             </w:t>
      </w:r>
      <w:r>
        <w:rPr>
          <w:rFonts w:ascii="宋体" w:hAnsi="宋体" w:eastAsia="宋体" w:cs="宋体"/>
          <w:color w:val="auto"/>
          <w:kern w:val="0"/>
          <w:sz w:val="24"/>
          <w:szCs w:val="20"/>
          <w:highlight w:val="none"/>
        </w:rPr>
        <w:t>（盖章）</w:t>
      </w:r>
    </w:p>
    <w:p>
      <w:pPr>
        <w:widowControl/>
        <w:shd w:val="clear"/>
        <w:spacing w:line="360" w:lineRule="auto"/>
        <w:ind w:left="274" w:leftChars="114"/>
        <w:jc w:val="left"/>
        <w:rPr>
          <w:rFonts w:hint="eastAsia" w:ascii="宋体" w:hAnsi="宋体" w:eastAsia="宋体" w:cs="宋体"/>
          <w:color w:val="auto"/>
          <w:kern w:val="0"/>
          <w:sz w:val="24"/>
          <w:szCs w:val="20"/>
          <w:highlight w:val="none"/>
          <w:lang w:eastAsia="zh-CN"/>
        </w:rPr>
      </w:pPr>
      <w:r>
        <w:rPr>
          <w:rFonts w:hint="eastAsia" w:ascii="宋体" w:hAnsi="宋体" w:eastAsia="宋体" w:cs="Times New Roman"/>
          <w:color w:val="auto"/>
          <w:sz w:val="24"/>
          <w:szCs w:val="24"/>
          <w:highlight w:val="none"/>
        </w:rPr>
        <w:t>法定代表人</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或</w:t>
      </w:r>
      <w:r>
        <w:rPr>
          <w:rFonts w:ascii="宋体" w:hAnsi="宋体" w:eastAsia="宋体" w:cs="Times New Roman"/>
          <w:color w:val="auto"/>
          <w:sz w:val="24"/>
          <w:szCs w:val="24"/>
          <w:highlight w:val="none"/>
        </w:rPr>
        <w:t>被授权人签字：</w:t>
      </w:r>
      <w:r>
        <w:rPr>
          <w:rFonts w:hint="eastAsia" w:ascii="宋体" w:hAnsi="宋体" w:cs="Times New Roman"/>
          <w:color w:val="auto"/>
          <w:sz w:val="24"/>
          <w:szCs w:val="24"/>
          <w:highlight w:val="none"/>
          <w:u w:val="single"/>
          <w:lang w:val="en-US" w:eastAsia="zh-CN"/>
        </w:rPr>
        <w:t xml:space="preserve">           </w:t>
      </w:r>
      <w:r>
        <w:rPr>
          <w:rFonts w:ascii="宋体" w:hAnsi="宋体" w:eastAsia="宋体" w:cs="宋体"/>
          <w:color w:val="auto"/>
          <w:kern w:val="0"/>
          <w:sz w:val="24"/>
          <w:szCs w:val="20"/>
          <w:highlight w:val="none"/>
        </w:rPr>
        <w:t>（签字）</w:t>
      </w:r>
    </w:p>
    <w:p>
      <w:pPr>
        <w:widowControl/>
        <w:shd w:val="clear"/>
        <w:spacing w:line="360" w:lineRule="auto"/>
        <w:ind w:left="274" w:leftChars="114"/>
        <w:jc w:val="left"/>
        <w:rPr>
          <w:rFonts w:ascii="宋体" w:hAnsi="宋体" w:eastAsia="宋体" w:cs="宋体"/>
          <w:color w:val="auto"/>
          <w:kern w:val="0"/>
          <w:sz w:val="24"/>
          <w:szCs w:val="20"/>
          <w:highlight w:val="none"/>
        </w:rPr>
      </w:pPr>
      <w:r>
        <w:rPr>
          <w:rFonts w:ascii="宋体" w:hAnsi="宋体" w:eastAsia="宋体" w:cs="宋体"/>
          <w:color w:val="auto"/>
          <w:kern w:val="0"/>
          <w:sz w:val="24"/>
          <w:szCs w:val="20"/>
          <w:highlight w:val="none"/>
        </w:rPr>
        <w:t>地  址：                        </w:t>
      </w:r>
    </w:p>
    <w:p>
      <w:pPr>
        <w:widowControl/>
        <w:shd w:val="clear"/>
        <w:spacing w:line="360" w:lineRule="auto"/>
        <w:ind w:left="274" w:leftChars="114"/>
        <w:jc w:val="left"/>
        <w:rPr>
          <w:rFonts w:hint="eastAsia" w:ascii="宋体" w:hAnsi="宋体" w:eastAsia="宋体" w:cs="宋体"/>
          <w:color w:val="auto"/>
          <w:kern w:val="0"/>
          <w:sz w:val="24"/>
          <w:szCs w:val="20"/>
          <w:highlight w:val="none"/>
          <w:lang w:eastAsia="zh-CN"/>
        </w:rPr>
      </w:pPr>
      <w:r>
        <w:rPr>
          <w:rFonts w:ascii="宋体" w:hAnsi="宋体" w:eastAsia="宋体" w:cs="宋体"/>
          <w:color w:val="auto"/>
          <w:kern w:val="0"/>
          <w:sz w:val="24"/>
          <w:szCs w:val="20"/>
          <w:highlight w:val="none"/>
        </w:rPr>
        <w:t>邮  编：</w:t>
      </w:r>
    </w:p>
    <w:p>
      <w:pPr>
        <w:widowControl/>
        <w:shd w:val="clear"/>
        <w:spacing w:line="360" w:lineRule="auto"/>
        <w:ind w:left="274" w:leftChars="114"/>
        <w:jc w:val="left"/>
        <w:rPr>
          <w:rFonts w:ascii="宋体" w:hAnsi="宋体" w:eastAsia="宋体" w:cs="宋体"/>
          <w:color w:val="auto"/>
          <w:kern w:val="0"/>
          <w:sz w:val="24"/>
          <w:szCs w:val="20"/>
          <w:highlight w:val="none"/>
        </w:rPr>
      </w:pPr>
      <w:r>
        <w:rPr>
          <w:rFonts w:ascii="宋体" w:hAnsi="宋体" w:eastAsia="宋体" w:cs="宋体"/>
          <w:color w:val="auto"/>
          <w:kern w:val="0"/>
          <w:sz w:val="24"/>
          <w:szCs w:val="20"/>
          <w:highlight w:val="none"/>
        </w:rPr>
        <w:t>电  话：                               </w:t>
      </w:r>
    </w:p>
    <w:p>
      <w:pPr>
        <w:widowControl/>
        <w:shd w:val="clear"/>
        <w:spacing w:line="360" w:lineRule="auto"/>
        <w:ind w:left="274" w:leftChars="114"/>
        <w:jc w:val="left"/>
        <w:rPr>
          <w:rFonts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日    期：</w:t>
      </w:r>
      <w:r>
        <w:rPr>
          <w:rFonts w:ascii="宋体" w:hAnsi="宋体" w:eastAsia="宋体" w:cs="宋体"/>
          <w:color w:val="auto"/>
          <w:kern w:val="0"/>
          <w:sz w:val="24"/>
          <w:szCs w:val="20"/>
          <w:highlight w:val="none"/>
        </w:rPr>
        <w:t>             </w:t>
      </w:r>
    </w:p>
    <w:p>
      <w:pPr>
        <w:widowControl/>
        <w:shd w:val="clear"/>
        <w:spacing w:line="360" w:lineRule="auto"/>
        <w:ind w:left="274" w:leftChars="114"/>
        <w:jc w:val="left"/>
        <w:rPr>
          <w:rFonts w:ascii="宋体" w:hAnsi="宋体" w:eastAsia="宋体" w:cs="宋体"/>
          <w:color w:val="auto"/>
          <w:kern w:val="0"/>
          <w:sz w:val="24"/>
          <w:szCs w:val="20"/>
          <w:highlight w:val="none"/>
        </w:rPr>
      </w:pPr>
    </w:p>
    <w:p>
      <w:pPr>
        <w:widowControl w:val="0"/>
        <w:shd w:val="clear"/>
        <w:ind w:firstLine="480" w:firstLineChars="200"/>
        <w:jc w:val="both"/>
        <w:rPr>
          <w:rFonts w:ascii="宋体" w:hAnsi="宋体" w:eastAsia="宋体" w:cs="宋体"/>
          <w:color w:val="auto"/>
          <w:kern w:val="0"/>
          <w:sz w:val="24"/>
          <w:szCs w:val="20"/>
          <w:highlight w:val="none"/>
          <w:lang w:val="en-US" w:eastAsia="zh-CN" w:bidi="ar-SA"/>
        </w:rPr>
      </w:pPr>
    </w:p>
    <w:p>
      <w:pPr>
        <w:widowControl w:val="0"/>
        <w:shd w:val="clear"/>
        <w:ind w:firstLine="480" w:firstLineChars="200"/>
        <w:jc w:val="both"/>
        <w:rPr>
          <w:rFonts w:ascii="宋体" w:hAnsi="宋体" w:eastAsia="宋体" w:cs="宋体"/>
          <w:color w:val="auto"/>
          <w:kern w:val="0"/>
          <w:sz w:val="24"/>
          <w:szCs w:val="20"/>
          <w:highlight w:val="none"/>
          <w:lang w:val="en-US" w:eastAsia="zh-CN" w:bidi="ar-SA"/>
        </w:rPr>
      </w:pPr>
    </w:p>
    <w:p>
      <w:pPr>
        <w:widowControl w:val="0"/>
        <w:shd w:val="clear"/>
        <w:ind w:firstLine="480" w:firstLineChars="200"/>
        <w:jc w:val="both"/>
        <w:rPr>
          <w:rFonts w:ascii="宋体" w:hAnsi="宋体" w:eastAsia="宋体" w:cs="宋体"/>
          <w:color w:val="auto"/>
          <w:kern w:val="0"/>
          <w:sz w:val="24"/>
          <w:szCs w:val="20"/>
          <w:highlight w:val="none"/>
          <w:lang w:val="en-US" w:eastAsia="zh-CN" w:bidi="ar-SA"/>
        </w:rPr>
      </w:pPr>
    </w:p>
    <w:p>
      <w:pPr>
        <w:keepNext/>
        <w:widowControl w:val="0"/>
        <w:shd w:val="clear"/>
        <w:spacing w:before="624" w:beforeLines="200" w:line="400" w:lineRule="exact"/>
        <w:jc w:val="center"/>
        <w:outlineLvl w:val="2"/>
        <w:rPr>
          <w:rFonts w:ascii="Times New Roman" w:hAnsi="Times New Roman" w:eastAsia="宋体" w:cs="Times New Roman"/>
          <w:b/>
          <w:bCs/>
          <w:color w:val="auto"/>
          <w:kern w:val="2"/>
          <w:sz w:val="24"/>
          <w:szCs w:val="24"/>
          <w:highlight w:val="none"/>
          <w:lang w:val="en-US" w:eastAsia="zh-CN" w:bidi="ar-SA"/>
        </w:rPr>
      </w:pPr>
      <w:bookmarkStart w:id="300" w:name="_Toc32039"/>
      <w:bookmarkStart w:id="301" w:name="_Toc1713"/>
      <w:bookmarkStart w:id="302" w:name="_Toc32034"/>
      <w:bookmarkStart w:id="303" w:name="_Toc26673"/>
      <w:bookmarkStart w:id="304" w:name="_Toc9731"/>
      <w:r>
        <w:rPr>
          <w:rFonts w:hint="eastAsia" w:ascii="Times New Roman" w:hAnsi="Times New Roman" w:eastAsia="宋体" w:cs="Times New Roman"/>
          <w:b/>
          <w:bCs/>
          <w:color w:val="auto"/>
          <w:kern w:val="2"/>
          <w:sz w:val="24"/>
          <w:szCs w:val="24"/>
          <w:highlight w:val="none"/>
          <w:lang w:val="en-US" w:eastAsia="zh-CN" w:bidi="ar-SA"/>
        </w:rPr>
        <w:t>承诺书（二）</w:t>
      </w:r>
      <w:bookmarkEnd w:id="300"/>
      <w:bookmarkEnd w:id="301"/>
      <w:bookmarkEnd w:id="302"/>
      <w:bookmarkEnd w:id="303"/>
      <w:bookmarkEnd w:id="304"/>
    </w:p>
    <w:tbl>
      <w:tblPr>
        <w:tblStyle w:val="26"/>
        <w:tblW w:w="9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2"/>
        <w:gridCol w:w="3465"/>
        <w:gridCol w:w="2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jc w:val="center"/>
        </w:trPr>
        <w:tc>
          <w:tcPr>
            <w:tcW w:w="9118" w:type="dxa"/>
            <w:gridSpan w:val="3"/>
            <w:vAlign w:val="center"/>
          </w:tcPr>
          <w:p>
            <w:pPr>
              <w:shd w:val="clear"/>
              <w:spacing w:line="360" w:lineRule="auto"/>
              <w:rPr>
                <w:rFonts w:hint="eastAsia" w:ascii="宋体" w:hAnsi="宋体" w:eastAsia="宋体" w:cs="Times New Roman"/>
                <w:color w:val="auto"/>
                <w:sz w:val="24"/>
                <w:szCs w:val="20"/>
                <w:highlight w:val="none"/>
                <w:lang w:eastAsia="zh-CN"/>
              </w:rPr>
            </w:pPr>
            <w:r>
              <w:rPr>
                <w:rFonts w:hint="eastAsia" w:ascii="宋体" w:hAnsi="宋体" w:eastAsia="宋体" w:cs="Times New Roman"/>
                <w:color w:val="auto"/>
                <w:sz w:val="24"/>
                <w:szCs w:val="20"/>
                <w:highlight w:val="none"/>
              </w:rPr>
              <w:t>致：</w:t>
            </w:r>
            <w:r>
              <w:rPr>
                <w:rFonts w:hint="eastAsia" w:ascii="宋体" w:hAnsi="宋体" w:cs="Times New Roman"/>
                <w:color w:val="auto"/>
                <w:sz w:val="24"/>
                <w:szCs w:val="20"/>
                <w:highlight w:val="none"/>
                <w:lang w:eastAsia="zh-CN"/>
              </w:rPr>
              <w:t>陕西曼力工程管理咨询有限公司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1" w:hRule="atLeast"/>
          <w:jc w:val="center"/>
        </w:trPr>
        <w:tc>
          <w:tcPr>
            <w:tcW w:w="9118" w:type="dxa"/>
            <w:gridSpan w:val="3"/>
            <w:vAlign w:val="center"/>
          </w:tcPr>
          <w:p>
            <w:pPr>
              <w:shd w:val="clear"/>
              <w:spacing w:line="360" w:lineRule="auto"/>
              <w:ind w:firstLine="480" w:firstLineChars="200"/>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作为参加贵公司组织的本次招标项目的供应商，本公司承诺：在参加本项目招标之前不存在被依法禁止经营行为、财产被接管或冻结的情况，如有隐瞒实情，愿承担一切责任及后果。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6" w:hRule="atLeast"/>
          <w:jc w:val="center"/>
        </w:trPr>
        <w:tc>
          <w:tcPr>
            <w:tcW w:w="3282"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 xml:space="preserve"> 供应商</w:t>
            </w:r>
          </w:p>
        </w:tc>
        <w:tc>
          <w:tcPr>
            <w:tcW w:w="3465"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法定代表人/单位负责人</w:t>
            </w:r>
          </w:p>
        </w:tc>
        <w:tc>
          <w:tcPr>
            <w:tcW w:w="2371"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22" w:hRule="atLeast"/>
          <w:jc w:val="center"/>
        </w:trPr>
        <w:tc>
          <w:tcPr>
            <w:tcW w:w="3282"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（供应商名称）（公章）</w:t>
            </w:r>
          </w:p>
        </w:tc>
        <w:tc>
          <w:tcPr>
            <w:tcW w:w="3465"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（签字或盖章）</w:t>
            </w:r>
          </w:p>
        </w:tc>
        <w:tc>
          <w:tcPr>
            <w:tcW w:w="2371" w:type="dxa"/>
            <w:vAlign w:val="center"/>
          </w:tcPr>
          <w:p>
            <w:pPr>
              <w:shd w:val="clear"/>
              <w:spacing w:line="360" w:lineRule="auto"/>
              <w:ind w:firstLine="240" w:firstLineChars="100"/>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年  月  日</w:t>
            </w:r>
          </w:p>
        </w:tc>
      </w:tr>
    </w:tbl>
    <w:p>
      <w:pPr>
        <w:keepNext/>
        <w:widowControl w:val="0"/>
        <w:shd w:val="clear"/>
        <w:spacing w:before="624" w:beforeLines="200" w:line="400" w:lineRule="exact"/>
        <w:jc w:val="center"/>
        <w:outlineLvl w:val="2"/>
        <w:rPr>
          <w:rFonts w:ascii="Times New Roman" w:hAnsi="Times New Roman" w:eastAsia="宋体" w:cs="Times New Roman"/>
          <w:b/>
          <w:bCs/>
          <w:color w:val="auto"/>
          <w:kern w:val="2"/>
          <w:sz w:val="24"/>
          <w:szCs w:val="24"/>
          <w:highlight w:val="none"/>
          <w:lang w:val="en-US" w:eastAsia="zh-CN" w:bidi="ar-SA"/>
        </w:rPr>
      </w:pPr>
      <w:bookmarkStart w:id="305" w:name="_Toc22805"/>
      <w:bookmarkStart w:id="306" w:name="_Toc9733"/>
      <w:bookmarkStart w:id="307" w:name="_Toc9114"/>
      <w:bookmarkStart w:id="308" w:name="_Toc21023"/>
      <w:bookmarkStart w:id="309" w:name="_Toc9382"/>
      <w:r>
        <w:rPr>
          <w:rFonts w:hint="eastAsia" w:ascii="Times New Roman" w:hAnsi="Times New Roman" w:eastAsia="宋体" w:cs="Times New Roman"/>
          <w:b/>
          <w:bCs/>
          <w:color w:val="auto"/>
          <w:kern w:val="2"/>
          <w:sz w:val="24"/>
          <w:szCs w:val="24"/>
          <w:highlight w:val="none"/>
          <w:lang w:val="en-US" w:eastAsia="zh-CN" w:bidi="ar-SA"/>
        </w:rPr>
        <w:t>承诺书（三）</w:t>
      </w:r>
      <w:bookmarkEnd w:id="305"/>
      <w:bookmarkEnd w:id="306"/>
      <w:bookmarkEnd w:id="307"/>
      <w:bookmarkEnd w:id="308"/>
      <w:bookmarkEnd w:id="309"/>
    </w:p>
    <w:tbl>
      <w:tblPr>
        <w:tblStyle w:val="26"/>
        <w:tblW w:w="92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3"/>
        <w:gridCol w:w="3497"/>
        <w:gridCol w:w="2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9202" w:type="dxa"/>
            <w:gridSpan w:val="3"/>
            <w:vAlign w:val="center"/>
          </w:tcPr>
          <w:p>
            <w:pPr>
              <w:shd w:val="clear"/>
              <w:spacing w:line="360" w:lineRule="auto"/>
              <w:rPr>
                <w:rFonts w:hint="eastAsia" w:ascii="宋体" w:hAnsi="宋体" w:eastAsia="宋体" w:cs="Times New Roman"/>
                <w:color w:val="auto"/>
                <w:sz w:val="24"/>
                <w:szCs w:val="20"/>
                <w:highlight w:val="none"/>
                <w:lang w:eastAsia="zh-CN"/>
              </w:rPr>
            </w:pPr>
            <w:r>
              <w:rPr>
                <w:rFonts w:hint="eastAsia" w:ascii="宋体" w:hAnsi="宋体" w:eastAsia="宋体" w:cs="Times New Roman"/>
                <w:color w:val="auto"/>
                <w:sz w:val="24"/>
                <w:szCs w:val="20"/>
                <w:highlight w:val="none"/>
              </w:rPr>
              <w:t>致：</w:t>
            </w:r>
            <w:r>
              <w:rPr>
                <w:rFonts w:hint="eastAsia" w:ascii="宋体" w:hAnsi="宋体" w:cs="Times New Roman"/>
                <w:color w:val="auto"/>
                <w:sz w:val="24"/>
                <w:szCs w:val="20"/>
                <w:highlight w:val="none"/>
                <w:lang w:eastAsia="zh-CN"/>
              </w:rPr>
              <w:t>陕西曼力工程管理咨询有限公司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jc w:val="center"/>
        </w:trPr>
        <w:tc>
          <w:tcPr>
            <w:tcW w:w="9202" w:type="dxa"/>
            <w:gridSpan w:val="3"/>
            <w:vAlign w:val="center"/>
          </w:tcPr>
          <w:p>
            <w:pPr>
              <w:shd w:val="clear"/>
              <w:spacing w:line="360" w:lineRule="auto"/>
              <w:ind w:firstLine="480" w:firstLineChars="200"/>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作为参加贵公司组织的本次招标项目的供应商，本公司郑重申告并承诺：近三年受到有关行政主管部门的行政处理、不良行为记录为</w:t>
            </w:r>
            <w:r>
              <w:rPr>
                <w:rFonts w:hint="eastAsia"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3313"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供应商</w:t>
            </w:r>
          </w:p>
        </w:tc>
        <w:tc>
          <w:tcPr>
            <w:tcW w:w="3497"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法定代表人/单位负责人</w:t>
            </w:r>
          </w:p>
        </w:tc>
        <w:tc>
          <w:tcPr>
            <w:tcW w:w="2392"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0" w:hRule="atLeast"/>
          <w:jc w:val="center"/>
        </w:trPr>
        <w:tc>
          <w:tcPr>
            <w:tcW w:w="3313"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（供应商名称）（公章）</w:t>
            </w:r>
          </w:p>
        </w:tc>
        <w:tc>
          <w:tcPr>
            <w:tcW w:w="3497"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（签字或盖章）</w:t>
            </w:r>
          </w:p>
        </w:tc>
        <w:tc>
          <w:tcPr>
            <w:tcW w:w="2392" w:type="dxa"/>
            <w:vAlign w:val="center"/>
          </w:tcPr>
          <w:p>
            <w:pPr>
              <w:shd w:val="clear"/>
              <w:spacing w:line="360" w:lineRule="auto"/>
              <w:ind w:firstLine="240" w:firstLineChars="100"/>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年  月  日</w:t>
            </w:r>
          </w:p>
        </w:tc>
      </w:tr>
    </w:tbl>
    <w:p>
      <w:pPr>
        <w:shd w:val="clear"/>
        <w:rPr>
          <w:rFonts w:hint="eastAsia"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br w:type="page"/>
      </w:r>
    </w:p>
    <w:p>
      <w:pPr>
        <w:keepNext/>
        <w:widowControl w:val="0"/>
        <w:shd w:val="clear"/>
        <w:spacing w:before="624" w:beforeLines="200" w:line="400" w:lineRule="exact"/>
        <w:jc w:val="center"/>
        <w:outlineLvl w:val="2"/>
        <w:rPr>
          <w:rFonts w:ascii="Times New Roman" w:hAnsi="Times New Roman" w:eastAsia="宋体" w:cs="Times New Roman"/>
          <w:b/>
          <w:bCs/>
          <w:color w:val="auto"/>
          <w:kern w:val="2"/>
          <w:sz w:val="24"/>
          <w:szCs w:val="24"/>
          <w:highlight w:val="none"/>
          <w:lang w:val="en-US" w:eastAsia="zh-CN" w:bidi="ar-SA"/>
        </w:rPr>
      </w:pPr>
      <w:bookmarkStart w:id="310" w:name="_Toc27234"/>
      <w:bookmarkStart w:id="311" w:name="_Toc24273"/>
      <w:bookmarkStart w:id="312" w:name="_Toc22104"/>
      <w:bookmarkStart w:id="313" w:name="_Toc23303"/>
      <w:bookmarkStart w:id="314" w:name="_Toc6058"/>
      <w:r>
        <w:rPr>
          <w:rFonts w:hint="eastAsia" w:ascii="Times New Roman" w:hAnsi="Times New Roman" w:eastAsia="宋体" w:cs="Times New Roman"/>
          <w:b/>
          <w:bCs/>
          <w:color w:val="auto"/>
          <w:kern w:val="2"/>
          <w:sz w:val="24"/>
          <w:szCs w:val="24"/>
          <w:highlight w:val="none"/>
          <w:lang w:val="en-US" w:eastAsia="zh-CN" w:bidi="ar-SA"/>
        </w:rPr>
        <w:t>承诺书（四）</w:t>
      </w:r>
      <w:bookmarkEnd w:id="310"/>
      <w:bookmarkEnd w:id="311"/>
      <w:bookmarkEnd w:id="312"/>
      <w:bookmarkEnd w:id="313"/>
      <w:bookmarkEnd w:id="314"/>
    </w:p>
    <w:p>
      <w:pPr>
        <w:shd w:val="clear"/>
        <w:spacing w:line="360" w:lineRule="auto"/>
        <w:jc w:val="center"/>
        <w:rPr>
          <w:rFonts w:ascii="宋体" w:hAnsi="宋体" w:eastAsia="宋体" w:cs="Times New Roman"/>
          <w:b/>
          <w:color w:val="auto"/>
          <w:sz w:val="24"/>
          <w:szCs w:val="20"/>
          <w:highlight w:val="none"/>
        </w:rPr>
      </w:pPr>
    </w:p>
    <w:tbl>
      <w:tblPr>
        <w:tblStyle w:val="26"/>
        <w:tblW w:w="91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8"/>
        <w:gridCol w:w="3471"/>
        <w:gridCol w:w="2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9135" w:type="dxa"/>
            <w:gridSpan w:val="3"/>
            <w:vAlign w:val="center"/>
          </w:tcPr>
          <w:p>
            <w:pPr>
              <w:shd w:val="clear"/>
              <w:spacing w:line="360" w:lineRule="auto"/>
              <w:rPr>
                <w:rFonts w:hint="eastAsia" w:ascii="宋体" w:hAnsi="宋体" w:eastAsia="宋体" w:cs="Times New Roman"/>
                <w:color w:val="auto"/>
                <w:sz w:val="24"/>
                <w:szCs w:val="20"/>
                <w:highlight w:val="none"/>
                <w:lang w:eastAsia="zh-CN"/>
              </w:rPr>
            </w:pPr>
            <w:r>
              <w:rPr>
                <w:rFonts w:hint="eastAsia" w:ascii="宋体" w:hAnsi="宋体" w:eastAsia="宋体" w:cs="Times New Roman"/>
                <w:color w:val="auto"/>
                <w:sz w:val="24"/>
                <w:szCs w:val="20"/>
                <w:highlight w:val="none"/>
              </w:rPr>
              <w:t>致：</w:t>
            </w:r>
            <w:r>
              <w:rPr>
                <w:rFonts w:hint="eastAsia" w:ascii="宋体" w:hAnsi="宋体" w:cs="Times New Roman"/>
                <w:color w:val="auto"/>
                <w:sz w:val="24"/>
                <w:szCs w:val="20"/>
                <w:highlight w:val="none"/>
                <w:lang w:eastAsia="zh-CN"/>
              </w:rPr>
              <w:t>陕西曼力工程管理咨询有限公司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7" w:hRule="atLeast"/>
          <w:jc w:val="center"/>
        </w:trPr>
        <w:tc>
          <w:tcPr>
            <w:tcW w:w="9135" w:type="dxa"/>
            <w:gridSpan w:val="3"/>
            <w:vAlign w:val="center"/>
          </w:tcPr>
          <w:p>
            <w:pPr>
              <w:shd w:val="clear"/>
              <w:spacing w:line="360" w:lineRule="auto"/>
              <w:ind w:firstLine="480" w:firstLineChars="200"/>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作为参加贵公司组织的本次招标项目的供应商，本公司郑重申告：近三年因服务问题的不法行为记录为</w:t>
            </w:r>
            <w:r>
              <w:rPr>
                <w:rFonts w:hint="eastAsia"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次（没有填零），如有隐瞒实情，愿承担一切责任及后果。</w:t>
            </w:r>
          </w:p>
          <w:p>
            <w:pPr>
              <w:shd w:val="clear"/>
              <w:spacing w:line="360" w:lineRule="auto"/>
              <w:ind w:firstLine="480" w:firstLineChars="200"/>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本公司承诺：本次招标标的物为正品行货。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3288"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供应商</w:t>
            </w:r>
          </w:p>
        </w:tc>
        <w:tc>
          <w:tcPr>
            <w:tcW w:w="3471"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法定代表人/单位负责人</w:t>
            </w:r>
          </w:p>
        </w:tc>
        <w:tc>
          <w:tcPr>
            <w:tcW w:w="2376"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6" w:hRule="atLeast"/>
          <w:jc w:val="center"/>
        </w:trPr>
        <w:tc>
          <w:tcPr>
            <w:tcW w:w="3288" w:type="dxa"/>
            <w:vAlign w:val="center"/>
          </w:tcPr>
          <w:p>
            <w:pPr>
              <w:shd w:val="clear"/>
              <w:spacing w:line="360" w:lineRule="auto"/>
              <w:ind w:left="-62" w:leftChars="-26" w:firstLine="52" w:firstLineChars="22"/>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（供应商名称）（公章）</w:t>
            </w:r>
          </w:p>
        </w:tc>
        <w:tc>
          <w:tcPr>
            <w:tcW w:w="3471"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（签字或盖章）</w:t>
            </w:r>
          </w:p>
        </w:tc>
        <w:tc>
          <w:tcPr>
            <w:tcW w:w="2376" w:type="dxa"/>
            <w:vAlign w:val="center"/>
          </w:tcPr>
          <w:p>
            <w:pPr>
              <w:shd w:val="clear"/>
              <w:spacing w:line="360" w:lineRule="auto"/>
              <w:ind w:firstLine="240" w:firstLineChars="100"/>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年  月  日</w:t>
            </w:r>
          </w:p>
        </w:tc>
      </w:tr>
    </w:tbl>
    <w:p>
      <w:pPr>
        <w:keepNext/>
        <w:widowControl w:val="0"/>
        <w:shd w:val="clear"/>
        <w:spacing w:before="624" w:beforeLines="200" w:line="400" w:lineRule="exact"/>
        <w:jc w:val="center"/>
        <w:outlineLvl w:val="2"/>
        <w:rPr>
          <w:rFonts w:ascii="Times New Roman" w:hAnsi="Times New Roman" w:eastAsia="宋体" w:cs="Times New Roman"/>
          <w:b/>
          <w:bCs/>
          <w:color w:val="auto"/>
          <w:kern w:val="2"/>
          <w:sz w:val="24"/>
          <w:szCs w:val="24"/>
          <w:highlight w:val="none"/>
          <w:lang w:val="en-US" w:eastAsia="zh-CN" w:bidi="ar-SA"/>
        </w:rPr>
      </w:pPr>
      <w:bookmarkStart w:id="315" w:name="_Toc30478"/>
      <w:bookmarkStart w:id="316" w:name="_Toc16997"/>
      <w:bookmarkStart w:id="317" w:name="_Toc32559"/>
      <w:bookmarkStart w:id="318" w:name="_Toc26506"/>
      <w:bookmarkStart w:id="319" w:name="_Toc12680"/>
      <w:r>
        <w:rPr>
          <w:rFonts w:hint="eastAsia" w:ascii="Times New Roman" w:hAnsi="Times New Roman" w:eastAsia="宋体" w:cs="Times New Roman"/>
          <w:b/>
          <w:bCs/>
          <w:color w:val="auto"/>
          <w:kern w:val="2"/>
          <w:sz w:val="24"/>
          <w:szCs w:val="24"/>
          <w:highlight w:val="none"/>
          <w:lang w:val="en-US" w:eastAsia="zh-CN" w:bidi="ar-SA"/>
        </w:rPr>
        <w:t>承诺书（五）</w:t>
      </w:r>
      <w:bookmarkEnd w:id="315"/>
      <w:bookmarkEnd w:id="316"/>
      <w:bookmarkEnd w:id="317"/>
      <w:bookmarkEnd w:id="318"/>
      <w:bookmarkEnd w:id="319"/>
    </w:p>
    <w:tbl>
      <w:tblPr>
        <w:tblStyle w:val="26"/>
        <w:tblpPr w:leftFromText="180" w:rightFromText="180" w:vertAnchor="text" w:horzAnchor="margin" w:tblpXSpec="center" w:tblpY="115"/>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8"/>
        <w:gridCol w:w="3524"/>
        <w:gridCol w:w="2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9073" w:type="dxa"/>
            <w:gridSpan w:val="3"/>
            <w:vAlign w:val="center"/>
          </w:tcPr>
          <w:p>
            <w:pPr>
              <w:shd w:val="clear"/>
              <w:spacing w:line="360" w:lineRule="auto"/>
              <w:rPr>
                <w:rFonts w:hint="eastAsia" w:ascii="宋体" w:hAnsi="宋体" w:eastAsia="宋体" w:cs="Times New Roman"/>
                <w:color w:val="auto"/>
                <w:sz w:val="24"/>
                <w:szCs w:val="20"/>
                <w:highlight w:val="none"/>
                <w:lang w:eastAsia="zh-CN"/>
              </w:rPr>
            </w:pPr>
            <w:r>
              <w:rPr>
                <w:rFonts w:hint="eastAsia" w:ascii="宋体" w:hAnsi="宋体" w:eastAsia="宋体" w:cs="Times New Roman"/>
                <w:color w:val="auto"/>
                <w:sz w:val="24"/>
                <w:szCs w:val="20"/>
                <w:highlight w:val="none"/>
              </w:rPr>
              <w:t>致：</w:t>
            </w:r>
            <w:r>
              <w:rPr>
                <w:rFonts w:hint="eastAsia" w:ascii="宋体" w:hAnsi="宋体" w:cs="Times New Roman"/>
                <w:color w:val="auto"/>
                <w:sz w:val="24"/>
                <w:szCs w:val="20"/>
                <w:highlight w:val="none"/>
                <w:lang w:eastAsia="zh-CN"/>
              </w:rPr>
              <w:t>陕西曼力工程管理咨询有限公司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4" w:hRule="atLeast"/>
          <w:jc w:val="center"/>
        </w:trPr>
        <w:tc>
          <w:tcPr>
            <w:tcW w:w="9073" w:type="dxa"/>
            <w:gridSpan w:val="3"/>
            <w:vAlign w:val="center"/>
          </w:tcPr>
          <w:p>
            <w:pPr>
              <w:shd w:val="clear"/>
              <w:spacing w:line="360" w:lineRule="auto"/>
              <w:ind w:firstLine="480" w:firstLineChars="200"/>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作为参加贵公司组织的本次招标项目的供应商，本公司承诺：参加本次招标提交的所有资质证明文件及业绩证明文件是真实的、有效的，如有隐瞒实情，愿承担一切责任及后果。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2788"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供应商</w:t>
            </w:r>
          </w:p>
        </w:tc>
        <w:tc>
          <w:tcPr>
            <w:tcW w:w="3524"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法定代表人/单位负责人</w:t>
            </w:r>
          </w:p>
        </w:tc>
        <w:tc>
          <w:tcPr>
            <w:tcW w:w="2761"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2788"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（供应商名称）（公章）</w:t>
            </w:r>
          </w:p>
        </w:tc>
        <w:tc>
          <w:tcPr>
            <w:tcW w:w="3524"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（签字或盖章）</w:t>
            </w:r>
          </w:p>
        </w:tc>
        <w:tc>
          <w:tcPr>
            <w:tcW w:w="2761" w:type="dxa"/>
            <w:vAlign w:val="center"/>
          </w:tcPr>
          <w:p>
            <w:pPr>
              <w:shd w:val="clear"/>
              <w:spacing w:line="360" w:lineRule="auto"/>
              <w:ind w:firstLine="240" w:firstLineChars="100"/>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年  月  日</w:t>
            </w:r>
          </w:p>
        </w:tc>
      </w:tr>
    </w:tbl>
    <w:p>
      <w:pPr>
        <w:widowControl/>
        <w:shd w:val="clear"/>
        <w:spacing w:line="360" w:lineRule="auto"/>
        <w:jc w:val="left"/>
        <w:rPr>
          <w:rFonts w:hint="eastAsia" w:ascii="宋体" w:hAnsi="宋体" w:eastAsia="宋体" w:cs="宋体"/>
          <w:b/>
          <w:color w:val="auto"/>
          <w:sz w:val="28"/>
          <w:szCs w:val="28"/>
          <w:highlight w:val="none"/>
        </w:rPr>
      </w:pPr>
    </w:p>
    <w:p>
      <w:pPr>
        <w:pStyle w:val="25"/>
        <w:rPr>
          <w:rFonts w:hint="eastAsia" w:ascii="宋体" w:hAnsi="宋体" w:eastAsia="宋体" w:cs="宋体"/>
          <w:b/>
          <w:color w:val="auto"/>
          <w:sz w:val="28"/>
          <w:szCs w:val="28"/>
          <w:highlight w:val="none"/>
        </w:rPr>
      </w:pPr>
    </w:p>
    <w:p>
      <w:pPr>
        <w:pStyle w:val="25"/>
        <w:rPr>
          <w:rFonts w:hint="eastAsia" w:ascii="宋体" w:hAnsi="宋体" w:eastAsia="宋体" w:cs="宋体"/>
          <w:b/>
          <w:color w:val="auto"/>
          <w:sz w:val="28"/>
          <w:szCs w:val="28"/>
          <w:highlight w:val="none"/>
        </w:rPr>
      </w:pPr>
    </w:p>
    <w:p>
      <w:pPr>
        <w:pStyle w:val="25"/>
        <w:rPr>
          <w:rFonts w:hint="eastAsia" w:ascii="宋体" w:hAnsi="宋体" w:eastAsia="宋体" w:cs="宋体"/>
          <w:b/>
          <w:color w:val="auto"/>
          <w:sz w:val="28"/>
          <w:szCs w:val="28"/>
          <w:highlight w:val="none"/>
        </w:rPr>
      </w:pPr>
    </w:p>
    <w:p>
      <w:pPr>
        <w:widowControl w:val="0"/>
        <w:spacing w:after="120" w:afterLines="0" w:afterAutospacing="0"/>
        <w:ind w:left="480" w:leftChars="200" w:firstLine="420" w:firstLineChars="200"/>
        <w:jc w:val="both"/>
        <w:rPr>
          <w:rFonts w:hint="eastAsia" w:asciiTheme="minorHAnsi" w:hAnsiTheme="minorHAnsi" w:eastAsiaTheme="minorEastAsia" w:cstheme="minorBidi"/>
          <w:color w:val="auto"/>
          <w:kern w:val="2"/>
          <w:sz w:val="21"/>
          <w:szCs w:val="24"/>
          <w:highlight w:val="none"/>
          <w:lang w:val="en-US" w:eastAsia="zh-CN" w:bidi="ar-SA"/>
        </w:rPr>
      </w:pPr>
    </w:p>
    <w:bookmarkEnd w:id="275"/>
    <w:bookmarkEnd w:id="276"/>
    <w:bookmarkEnd w:id="277"/>
    <w:bookmarkEnd w:id="278"/>
    <w:bookmarkEnd w:id="279"/>
    <w:bookmarkEnd w:id="280"/>
    <w:bookmarkEnd w:id="281"/>
    <w:bookmarkEnd w:id="282"/>
    <w:bookmarkEnd w:id="283"/>
    <w:bookmarkEnd w:id="284"/>
    <w:bookmarkEnd w:id="287"/>
    <w:bookmarkEnd w:id="288"/>
    <w:bookmarkEnd w:id="289"/>
    <w:p>
      <w:pPr>
        <w:pStyle w:val="4"/>
        <w:numPr>
          <w:ilvl w:val="0"/>
          <w:numId w:val="7"/>
        </w:numPr>
        <w:bidi w:val="0"/>
        <w:jc w:val="center"/>
        <w:rPr>
          <w:rFonts w:hint="eastAsia"/>
          <w:color w:val="auto"/>
          <w:highlight w:val="none"/>
          <w:lang w:val="en-US" w:eastAsia="zh-CN"/>
        </w:rPr>
      </w:pPr>
      <w:bookmarkStart w:id="320" w:name="_Toc6671"/>
      <w:bookmarkStart w:id="321" w:name="_Toc17648"/>
      <w:bookmarkStart w:id="322" w:name="_Toc6481"/>
      <w:bookmarkStart w:id="323" w:name="_Toc31503"/>
      <w:bookmarkStart w:id="324" w:name="_Toc16650"/>
      <w:r>
        <w:rPr>
          <w:rFonts w:hint="eastAsia"/>
          <w:color w:val="auto"/>
          <w:highlight w:val="none"/>
          <w:lang w:val="en-US" w:eastAsia="zh-CN"/>
        </w:rPr>
        <w:t>响应方案</w:t>
      </w:r>
      <w:bookmarkEnd w:id="320"/>
      <w:bookmarkEnd w:id="321"/>
      <w:bookmarkEnd w:id="322"/>
      <w:bookmarkEnd w:id="323"/>
      <w:bookmarkEnd w:id="324"/>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sz w:val="28"/>
          <w:szCs w:val="28"/>
        </w:rPr>
      </w:pPr>
      <w:r>
        <w:rPr>
          <w:rFonts w:hint="eastAsia" w:ascii="宋体" w:hAnsi="宋体" w:cs="宋体"/>
          <w:b/>
          <w:bCs/>
          <w:sz w:val="28"/>
          <w:szCs w:val="28"/>
          <w:lang w:eastAsia="zh-CN"/>
        </w:rPr>
        <w:t>一、</w:t>
      </w:r>
      <w:r>
        <w:rPr>
          <w:rFonts w:hint="eastAsia" w:ascii="宋体" w:hAnsi="宋体" w:eastAsia="宋体" w:cs="宋体"/>
          <w:b/>
          <w:bCs/>
          <w:sz w:val="28"/>
          <w:szCs w:val="28"/>
        </w:rPr>
        <w:t>响应函</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ascii="宋体" w:hAnsi="宋体" w:eastAsia="宋体" w:cs="宋体"/>
          <w:sz w:val="28"/>
          <w:szCs w:val="28"/>
          <w:u w:val="single"/>
          <w:lang w:val="en-US" w:eastAsia="zh-CN"/>
        </w:rPr>
      </w:pPr>
      <w:r>
        <w:rPr>
          <w:rFonts w:hint="eastAsia" w:ascii="宋体" w:hAnsi="宋体" w:eastAsia="宋体" w:cs="宋体"/>
          <w:sz w:val="28"/>
          <w:szCs w:val="28"/>
          <w:lang w:eastAsia="zh-CN"/>
        </w:rPr>
        <w:t>采购人：</w:t>
      </w:r>
      <w:r>
        <w:rPr>
          <w:rFonts w:hint="eastAsia" w:ascii="宋体" w:hAnsi="宋体" w:cs="宋体"/>
          <w:sz w:val="28"/>
          <w:szCs w:val="28"/>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我方收到贵中心发布的</w:t>
      </w:r>
      <w:r>
        <w:rPr>
          <w:rFonts w:hint="eastAsia" w:ascii="宋体" w:hAnsi="宋体" w:eastAsia="宋体" w:cs="宋体"/>
          <w:sz w:val="28"/>
          <w:szCs w:val="28"/>
          <w:u w:val="single"/>
        </w:rPr>
        <w:t>《项目名称》</w:t>
      </w:r>
      <w:r>
        <w:rPr>
          <w:rFonts w:hint="eastAsia" w:ascii="宋体" w:hAnsi="宋体" w:eastAsia="宋体" w:cs="宋体"/>
          <w:sz w:val="28"/>
          <w:szCs w:val="28"/>
        </w:rPr>
        <w:t>（项目编号：</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）第</w:t>
      </w:r>
      <w:r>
        <w:rPr>
          <w:rFonts w:hint="eastAsia" w:ascii="宋体" w:hAnsi="宋体" w:eastAsia="宋体" w:cs="宋体"/>
          <w:sz w:val="28"/>
          <w:szCs w:val="28"/>
          <w:u w:val="single"/>
        </w:rPr>
        <w:t xml:space="preserve">  </w:t>
      </w:r>
      <w:r>
        <w:rPr>
          <w:rFonts w:hint="eastAsia" w:ascii="宋体" w:hAnsi="宋体" w:eastAsia="宋体" w:cs="宋体"/>
          <w:sz w:val="28"/>
          <w:szCs w:val="28"/>
        </w:rPr>
        <w:t>标段磋商文件，经详细研究，我方决定参加该项目第</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标段招标活动。为此，我方郑重声明以下诸点，并负法律责任。</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一、我方已详细阅读了磋商文件，完全理解并同意磋商文件的所有事项及内容。</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二、我方已悉知并关注了贵方在政府采购信息发布媒体（详见磋商文件第二章第三条中的“磋商文件的修改、澄清”）上发布的关于本项目的有关变更公告（包括但不限于对磋商文件做出的修改或澄清、答疑纪要， 以及项目暂停、重启、延期、终止等）。</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三、我方同意向贵方提供与本投标有关的任何证明材料，保证所提交的证明材料真实、合法、有效，并尊重磋商小组的评审结果。</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四、我方愿意按照磋商文件中的一切要求，完成本项目合同责任和</w:t>
      </w:r>
      <w:r>
        <w:rPr>
          <w:rFonts w:hint="eastAsia" w:ascii="宋体" w:hAnsi="宋体" w:eastAsia="宋体" w:cs="宋体"/>
          <w:sz w:val="28"/>
          <w:szCs w:val="28"/>
          <w:lang w:eastAsia="zh-CN"/>
        </w:rPr>
        <w:t>义务</w:t>
      </w:r>
      <w:r>
        <w:rPr>
          <w:rFonts w:hint="eastAsia" w:ascii="宋体" w:hAnsi="宋体" w:eastAsia="宋体" w:cs="宋体"/>
          <w:sz w:val="28"/>
          <w:szCs w:val="28"/>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五、我方提交电子响应文件一份。</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六、开标后在规定的投标有效期内撤回投标，我们愿接受政府采购的有关处罚决定。</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七、我方的响应文件在开标之日起90个日历日内有效，如成交，延长至合同执行完毕时止。</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八、所有关于此次招标活动的函电，请按下列地址联系：</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供应商：</w:t>
      </w:r>
      <w:r>
        <w:rPr>
          <w:rFonts w:hint="eastAsia" w:ascii="宋体" w:hAnsi="宋体" w:eastAsia="宋体" w:cs="宋体"/>
          <w:sz w:val="28"/>
          <w:szCs w:val="28"/>
          <w:u w:val="single"/>
        </w:rPr>
        <w:t>名称</w:t>
      </w:r>
      <w:r>
        <w:rPr>
          <w:rFonts w:hint="eastAsia" w:ascii="宋体" w:hAnsi="宋体" w:eastAsia="宋体" w:cs="宋体"/>
          <w:sz w:val="28"/>
          <w:szCs w:val="28"/>
        </w:rPr>
        <w:t>（盖章）</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地址：</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开户银行：</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账号：</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电话：</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传真：</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邮编：</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电子邮箱：</w:t>
      </w:r>
      <w:r>
        <w:rPr>
          <w:rFonts w:hint="eastAsia" w:ascii="宋体" w:hAnsi="宋体" w:eastAsia="宋体" w:cs="宋体"/>
          <w:sz w:val="28"/>
          <w:szCs w:val="28"/>
        </w:rPr>
        <w:tab/>
      </w:r>
      <w:r>
        <w:rPr>
          <w:rFonts w:hint="eastAsia" w:ascii="宋体" w:hAnsi="宋体" w:eastAsia="宋体" w:cs="宋体"/>
          <w:sz w:val="28"/>
          <w:szCs w:val="28"/>
        </w:rPr>
        <w:tab/>
      </w:r>
      <w:r>
        <w:rPr>
          <w:rFonts w:hint="eastAsia" w:ascii="宋体" w:hAnsi="宋体" w:eastAsia="宋体" w:cs="宋体"/>
          <w:sz w:val="28"/>
          <w:szCs w:val="28"/>
        </w:rPr>
        <w:tab/>
      </w:r>
      <w:r>
        <w:rPr>
          <w:rFonts w:hint="eastAsia" w:ascii="宋体" w:hAnsi="宋体" w:eastAsia="宋体" w:cs="宋体"/>
          <w:sz w:val="28"/>
          <w:szCs w:val="28"/>
        </w:rPr>
        <w:tab/>
      </w:r>
      <w:r>
        <w:rPr>
          <w:rFonts w:hint="eastAsia" w:ascii="宋体" w:hAnsi="宋体" w:eastAsia="宋体" w:cs="宋体"/>
          <w:sz w:val="28"/>
          <w:szCs w:val="28"/>
        </w:rPr>
        <w:t>（专用邮箱）</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日期：</w:t>
      </w:r>
      <w:r>
        <w:rPr>
          <w:rFonts w:hint="eastAsia" w:ascii="宋体" w:hAnsi="宋体" w:eastAsia="宋体" w:cs="宋体"/>
          <w:sz w:val="28"/>
          <w:szCs w:val="28"/>
        </w:rPr>
        <w:tab/>
      </w:r>
      <w:r>
        <w:rPr>
          <w:rFonts w:hint="eastAsia" w:ascii="宋体" w:hAnsi="宋体" w:eastAsia="宋体" w:cs="宋体"/>
          <w:sz w:val="28"/>
          <w:szCs w:val="28"/>
        </w:rPr>
        <w:t>年</w:t>
      </w:r>
      <w:r>
        <w:rPr>
          <w:rFonts w:hint="eastAsia" w:ascii="宋体" w:hAnsi="宋体" w:eastAsia="宋体" w:cs="宋体"/>
          <w:sz w:val="28"/>
          <w:szCs w:val="28"/>
        </w:rPr>
        <w:tab/>
      </w:r>
      <w:r>
        <w:rPr>
          <w:rFonts w:hint="eastAsia" w:ascii="宋体" w:hAnsi="宋体" w:eastAsia="宋体" w:cs="宋体"/>
          <w:sz w:val="28"/>
          <w:szCs w:val="28"/>
        </w:rPr>
        <w:t>月</w:t>
      </w:r>
      <w:r>
        <w:rPr>
          <w:rFonts w:hint="eastAsia" w:ascii="宋体" w:hAnsi="宋体" w:eastAsia="宋体" w:cs="宋体"/>
          <w:sz w:val="28"/>
          <w:szCs w:val="28"/>
        </w:rPr>
        <w:tab/>
      </w:r>
      <w:r>
        <w:rPr>
          <w:rFonts w:hint="eastAsia" w:ascii="宋体" w:hAnsi="宋体" w:eastAsia="宋体" w:cs="宋体"/>
          <w:sz w:val="28"/>
          <w:szCs w:val="28"/>
        </w:rPr>
        <w:t>日</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备注：1、项目不分标段的，第</w:t>
      </w:r>
      <w:r>
        <w:rPr>
          <w:rFonts w:hint="eastAsia" w:ascii="宋体" w:hAnsi="宋体" w:eastAsia="宋体" w:cs="宋体"/>
          <w:sz w:val="28"/>
          <w:szCs w:val="28"/>
          <w:u w:val="single"/>
        </w:rPr>
        <w:t xml:space="preserve"> </w:t>
      </w:r>
      <w:r>
        <w:rPr>
          <w:rFonts w:hint="eastAsia" w:ascii="宋体" w:hAnsi="宋体" w:eastAsia="宋体" w:cs="宋体"/>
          <w:sz w:val="28"/>
          <w:szCs w:val="28"/>
          <w:u w:val="single"/>
        </w:rPr>
        <w:tab/>
      </w:r>
      <w:r>
        <w:rPr>
          <w:rFonts w:hint="eastAsia" w:ascii="宋体" w:hAnsi="宋体" w:eastAsia="宋体" w:cs="宋体"/>
          <w:sz w:val="28"/>
          <w:szCs w:val="28"/>
        </w:rPr>
        <w:t>标段空白处填写“/”。</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2、除可填报项目外，对本响应函的任何实质性内容修改将被视为非实质性响应，在评审时将其视为无效响应。</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sectPr>
          <w:headerReference r:id="rId10" w:type="default"/>
          <w:footerReference r:id="rId11" w:type="default"/>
          <w:pgSz w:w="11910" w:h="16840"/>
          <w:pgMar w:top="1440" w:right="1440" w:bottom="1440" w:left="1440" w:header="882" w:footer="794" w:gutter="0"/>
          <w:pgBorders>
            <w:top w:val="none" w:sz="0" w:space="0"/>
            <w:left w:val="none" w:sz="0" w:space="0"/>
            <w:bottom w:val="none" w:sz="0" w:space="0"/>
            <w:right w:val="none" w:sz="0" w:space="0"/>
          </w:pgBorders>
          <w:pgNumType w:fmt="decimal"/>
          <w:cols w:space="720" w:num="1"/>
          <w:rtlGutter w:val="0"/>
          <w:docGrid w:linePitch="0" w:charSpace="0"/>
        </w:sectPr>
      </w:pPr>
    </w:p>
    <w:p>
      <w:pPr>
        <w:numPr>
          <w:ilvl w:val="0"/>
          <w:numId w:val="0"/>
        </w:numPr>
        <w:rPr>
          <w:rFonts w:hint="eastAsia"/>
          <w:lang w:val="en-US" w:eastAsia="zh-CN"/>
        </w:rPr>
      </w:pPr>
    </w:p>
    <w:p>
      <w:pPr>
        <w:pStyle w:val="5"/>
        <w:numPr>
          <w:ilvl w:val="0"/>
          <w:numId w:val="8"/>
        </w:numPr>
        <w:bidi w:val="0"/>
        <w:jc w:val="center"/>
        <w:rPr>
          <w:rFonts w:hint="eastAsia"/>
        </w:rPr>
      </w:pPr>
      <w:bookmarkStart w:id="325" w:name="_Toc607"/>
      <w:bookmarkStart w:id="326" w:name="_Toc29"/>
      <w:bookmarkStart w:id="327" w:name="_Toc25301"/>
      <w:bookmarkStart w:id="328" w:name="_Toc12847"/>
      <w:bookmarkStart w:id="329" w:name="_Toc23736"/>
      <w:bookmarkStart w:id="330" w:name="_Toc24023"/>
      <w:r>
        <w:rPr>
          <w:rFonts w:hint="eastAsia"/>
          <w:color w:val="auto"/>
          <w:highlight w:val="none"/>
          <w:lang w:val="en-US" w:eastAsia="zh-CN"/>
        </w:rPr>
        <w:t>供应商性质及其概况</w:t>
      </w:r>
      <w:bookmarkEnd w:id="325"/>
      <w:bookmarkEnd w:id="326"/>
      <w:bookmarkEnd w:id="327"/>
      <w:bookmarkEnd w:id="328"/>
      <w:bookmarkEnd w:id="329"/>
      <w:bookmarkEnd w:id="330"/>
    </w:p>
    <w:p>
      <w:pPr>
        <w:pStyle w:val="5"/>
        <w:bidi w:val="0"/>
        <w:rPr>
          <w:rFonts w:hint="eastAsia"/>
        </w:rPr>
      </w:pPr>
      <w:bookmarkStart w:id="331" w:name="_Toc240"/>
      <w:bookmarkStart w:id="332" w:name="_Toc3160"/>
      <w:r>
        <w:rPr>
          <w:rFonts w:hint="eastAsia"/>
          <w:lang w:val="en-US" w:eastAsia="zh-CN"/>
        </w:rPr>
        <w:t>1</w:t>
      </w:r>
      <w:r>
        <w:rPr>
          <w:rFonts w:hint="eastAsia"/>
        </w:rPr>
        <w:t>、供应商基本信息</w:t>
      </w:r>
      <w:bookmarkEnd w:id="331"/>
      <w:bookmarkEnd w:id="332"/>
    </w:p>
    <w:tbl>
      <w:tblPr>
        <w:tblStyle w:val="26"/>
        <w:tblW w:w="9180"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686"/>
        <w:gridCol w:w="1586"/>
        <w:gridCol w:w="1533"/>
        <w:gridCol w:w="1417"/>
        <w:gridCol w:w="1560"/>
        <w:gridCol w:w="139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0" w:hRule="atLeast"/>
          <w:jc w:val="center"/>
        </w:trPr>
        <w:tc>
          <w:tcPr>
            <w:tcW w:w="9180" w:type="dxa"/>
            <w:gridSpan w:val="6"/>
            <w:tcBorders>
              <w:bottom w:val="single" w:color="000000" w:sz="6" w:space="0"/>
            </w:tcBorders>
            <w:shd w:val="clear" w:color="auto" w:fill="E4B8B7"/>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单位基本情况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jc w:val="center"/>
        </w:trPr>
        <w:tc>
          <w:tcPr>
            <w:tcW w:w="1686"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供应商全称</w:t>
            </w:r>
          </w:p>
        </w:tc>
        <w:tc>
          <w:tcPr>
            <w:tcW w:w="7494" w:type="dxa"/>
            <w:gridSpan w:val="5"/>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jc w:val="center"/>
        </w:trPr>
        <w:tc>
          <w:tcPr>
            <w:tcW w:w="1686"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注册地址</w:t>
            </w:r>
          </w:p>
        </w:tc>
        <w:tc>
          <w:tcPr>
            <w:tcW w:w="3119"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c>
          <w:tcPr>
            <w:tcW w:w="1417"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成立时间</w:t>
            </w:r>
          </w:p>
        </w:tc>
        <w:tc>
          <w:tcPr>
            <w:tcW w:w="2958" w:type="dxa"/>
            <w:gridSpan w:val="2"/>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jc w:val="center"/>
        </w:trPr>
        <w:tc>
          <w:tcPr>
            <w:tcW w:w="1686"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登记证号</w:t>
            </w:r>
          </w:p>
        </w:tc>
        <w:tc>
          <w:tcPr>
            <w:tcW w:w="3119"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c>
          <w:tcPr>
            <w:tcW w:w="1417"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单位性质</w:t>
            </w:r>
          </w:p>
        </w:tc>
        <w:tc>
          <w:tcPr>
            <w:tcW w:w="2958" w:type="dxa"/>
            <w:gridSpan w:val="2"/>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00" w:hRule="atLeast"/>
          <w:jc w:val="center"/>
        </w:trPr>
        <w:tc>
          <w:tcPr>
            <w:tcW w:w="1686"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法定代表人</w:t>
            </w:r>
          </w:p>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(主要负责人)</w:t>
            </w:r>
          </w:p>
        </w:tc>
        <w:tc>
          <w:tcPr>
            <w:tcW w:w="3119"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c>
          <w:tcPr>
            <w:tcW w:w="1417"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所属行业</w:t>
            </w:r>
          </w:p>
        </w:tc>
        <w:tc>
          <w:tcPr>
            <w:tcW w:w="2958" w:type="dxa"/>
            <w:gridSpan w:val="2"/>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99" w:hRule="atLeast"/>
          <w:jc w:val="center"/>
        </w:trPr>
        <w:tc>
          <w:tcPr>
            <w:tcW w:w="1686"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上年度营业收入</w:t>
            </w:r>
          </w:p>
        </w:tc>
        <w:tc>
          <w:tcPr>
            <w:tcW w:w="3119"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c>
          <w:tcPr>
            <w:tcW w:w="1417"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资产总额</w:t>
            </w:r>
          </w:p>
        </w:tc>
        <w:tc>
          <w:tcPr>
            <w:tcW w:w="2958" w:type="dxa"/>
            <w:gridSpan w:val="2"/>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87" w:hRule="atLeast"/>
          <w:jc w:val="center"/>
        </w:trPr>
        <w:tc>
          <w:tcPr>
            <w:tcW w:w="1686"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所获得资质及等级(国家行政部门颁发)</w:t>
            </w:r>
          </w:p>
        </w:tc>
        <w:tc>
          <w:tcPr>
            <w:tcW w:w="7494" w:type="dxa"/>
            <w:gridSpan w:val="5"/>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1" w:hRule="atLeast"/>
          <w:jc w:val="center"/>
        </w:trPr>
        <w:tc>
          <w:tcPr>
            <w:tcW w:w="1686"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经营范围</w:t>
            </w:r>
          </w:p>
        </w:tc>
        <w:tc>
          <w:tcPr>
            <w:tcW w:w="7494" w:type="dxa"/>
            <w:gridSpan w:val="5"/>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0" w:hRule="atLeast"/>
          <w:jc w:val="center"/>
        </w:trPr>
        <w:tc>
          <w:tcPr>
            <w:tcW w:w="9180" w:type="dxa"/>
            <w:gridSpan w:val="6"/>
            <w:tcBorders>
              <w:top w:val="single" w:color="000000" w:sz="6" w:space="0"/>
              <w:bottom w:val="single" w:color="000000" w:sz="6" w:space="0"/>
            </w:tcBorders>
            <w:shd w:val="clear" w:color="auto" w:fill="E4B8B7"/>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人员情况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00" w:hRule="atLeast"/>
          <w:jc w:val="center"/>
        </w:trPr>
        <w:tc>
          <w:tcPr>
            <w:tcW w:w="1686" w:type="dxa"/>
            <w:vMerge w:val="restart"/>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从业人员总数</w:t>
            </w:r>
          </w:p>
        </w:tc>
        <w:tc>
          <w:tcPr>
            <w:tcW w:w="1586" w:type="dxa"/>
            <w:vMerge w:val="restar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c>
          <w:tcPr>
            <w:tcW w:w="1533"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管理人员数量</w:t>
            </w:r>
          </w:p>
        </w:tc>
        <w:tc>
          <w:tcPr>
            <w:tcW w:w="1417"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c>
          <w:tcPr>
            <w:tcW w:w="1560"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专业技术人员数量</w:t>
            </w:r>
          </w:p>
        </w:tc>
        <w:tc>
          <w:tcPr>
            <w:tcW w:w="1398" w:type="dxa"/>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99" w:hRule="atLeast"/>
          <w:jc w:val="center"/>
        </w:trPr>
        <w:tc>
          <w:tcPr>
            <w:tcW w:w="1686" w:type="dxa"/>
            <w:vMerge w:val="continue"/>
            <w:tcBorders>
              <w:top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c>
          <w:tcPr>
            <w:tcW w:w="1586" w:type="dxa"/>
            <w:vMerge w:val="continue"/>
            <w:tcBorders>
              <w:top w:val="nil"/>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c>
          <w:tcPr>
            <w:tcW w:w="1533"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残疾人人数</w:t>
            </w:r>
          </w:p>
        </w:tc>
        <w:tc>
          <w:tcPr>
            <w:tcW w:w="1417"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c>
          <w:tcPr>
            <w:tcW w:w="1560"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少数民族人数</w:t>
            </w:r>
          </w:p>
        </w:tc>
        <w:tc>
          <w:tcPr>
            <w:tcW w:w="1398" w:type="dxa"/>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8" w:hRule="atLeast"/>
          <w:jc w:val="center"/>
        </w:trPr>
        <w:tc>
          <w:tcPr>
            <w:tcW w:w="9180" w:type="dxa"/>
            <w:gridSpan w:val="6"/>
            <w:tcBorders>
              <w:top w:val="single" w:color="000000" w:sz="6" w:space="0"/>
              <w:bottom w:val="single" w:color="000000" w:sz="6" w:space="0"/>
            </w:tcBorders>
            <w:shd w:val="clear" w:color="auto" w:fill="E4B8B7"/>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存在直接控股、管理关系的相关供应商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0" w:hRule="atLeast"/>
          <w:jc w:val="center"/>
        </w:trPr>
        <w:tc>
          <w:tcPr>
            <w:tcW w:w="1686"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关系</w:t>
            </w:r>
          </w:p>
        </w:tc>
        <w:tc>
          <w:tcPr>
            <w:tcW w:w="7494" w:type="dxa"/>
            <w:gridSpan w:val="5"/>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r>
              <w:rPr>
                <w:rFonts w:hint="eastAsia" w:ascii="宋体" w:hAnsi="宋体" w:eastAsia="宋体" w:cs="宋体"/>
                <w:sz w:val="28"/>
                <w:szCs w:val="28"/>
              </w:rPr>
              <w:t>供应商名称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0" w:hRule="atLeast"/>
          <w:jc w:val="center"/>
        </w:trPr>
        <w:tc>
          <w:tcPr>
            <w:tcW w:w="1686"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c>
          <w:tcPr>
            <w:tcW w:w="7494" w:type="dxa"/>
            <w:gridSpan w:val="5"/>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0" w:hRule="atLeast"/>
          <w:jc w:val="center"/>
        </w:trPr>
        <w:tc>
          <w:tcPr>
            <w:tcW w:w="1686"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c>
          <w:tcPr>
            <w:tcW w:w="7494" w:type="dxa"/>
            <w:gridSpan w:val="5"/>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8" w:hRule="atLeast"/>
          <w:jc w:val="center"/>
        </w:trPr>
        <w:tc>
          <w:tcPr>
            <w:tcW w:w="1686"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c>
          <w:tcPr>
            <w:tcW w:w="7494" w:type="dxa"/>
            <w:gridSpan w:val="5"/>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8" w:hRule="atLeast"/>
          <w:jc w:val="center"/>
        </w:trPr>
        <w:tc>
          <w:tcPr>
            <w:tcW w:w="1686" w:type="dxa"/>
            <w:tcBorders>
              <w:top w:val="single" w:color="000000" w:sz="6" w:space="0"/>
              <w:bottom w:val="single" w:color="000000" w:sz="4"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说明</w:t>
            </w:r>
          </w:p>
        </w:tc>
        <w:tc>
          <w:tcPr>
            <w:tcW w:w="7494" w:type="dxa"/>
            <w:gridSpan w:val="5"/>
            <w:tcBorders>
              <w:top w:val="single" w:color="000000" w:sz="6" w:space="0"/>
              <w:left w:val="single" w:color="000000" w:sz="6"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8"/>
                <w:szCs w:val="28"/>
              </w:rPr>
            </w:pPr>
            <w:r>
              <w:rPr>
                <w:rFonts w:hint="eastAsia" w:ascii="宋体" w:hAnsi="宋体" w:eastAsia="宋体" w:cs="宋体"/>
                <w:sz w:val="28"/>
                <w:szCs w:val="28"/>
              </w:rPr>
              <w:t>1、登记证号指营业执照/事业单位法人证书/专业服务机构执业许可证/民办非企业单位登记证书中的登记号。</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8"/>
                <w:szCs w:val="28"/>
              </w:rPr>
            </w:pPr>
            <w:r>
              <w:rPr>
                <w:rFonts w:hint="eastAsia" w:ascii="宋体" w:hAnsi="宋体" w:eastAsia="宋体" w:cs="宋体"/>
                <w:sz w:val="28"/>
                <w:szCs w:val="28"/>
              </w:rPr>
              <w:t>2、成立时间至提交响应文件截止时间不足一年的可不提供“上年度营业收入”。</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sz w:val="28"/>
                <w:szCs w:val="28"/>
              </w:rPr>
            </w:pPr>
            <w:r>
              <w:rPr>
                <w:rFonts w:hint="eastAsia" w:ascii="宋体" w:hAnsi="宋体" w:eastAsia="宋体" w:cs="宋体"/>
                <w:sz w:val="28"/>
                <w:szCs w:val="28"/>
              </w:rPr>
              <w:t>3、供应商应如实填写上述信息。磋商文件允许联合体投标的，联合体各方均应提供。</w:t>
            </w:r>
          </w:p>
        </w:tc>
      </w:tr>
    </w:tbl>
    <w:p>
      <w:pPr>
        <w:bidi w:val="0"/>
        <w:rPr>
          <w:rFonts w:hint="eastAsia"/>
        </w:rPr>
      </w:pPr>
    </w:p>
    <w:p>
      <w:pPr>
        <w:bidi w:val="0"/>
        <w:rPr>
          <w:rFonts w:hint="eastAsia"/>
        </w:rPr>
      </w:pPr>
    </w:p>
    <w:p>
      <w:pPr>
        <w:rPr>
          <w:rFonts w:hint="eastAsia"/>
        </w:rPr>
      </w:pPr>
      <w:bookmarkStart w:id="333" w:name="_TOC_250006"/>
      <w:bookmarkEnd w:id="333"/>
      <w:r>
        <w:rPr>
          <w:rFonts w:hint="eastAsia"/>
        </w:rPr>
        <w:br w:type="page"/>
      </w:r>
    </w:p>
    <w:p>
      <w:pPr>
        <w:pStyle w:val="5"/>
        <w:bidi w:val="0"/>
        <w:rPr>
          <w:rFonts w:hint="eastAsia"/>
        </w:rPr>
      </w:pPr>
      <w:bookmarkStart w:id="334" w:name="_Toc1894"/>
      <w:bookmarkStart w:id="335" w:name="_Toc31345"/>
      <w:r>
        <w:rPr>
          <w:rFonts w:hint="eastAsia"/>
          <w:lang w:val="en-US" w:eastAsia="zh-CN"/>
        </w:rPr>
        <w:t>2</w:t>
      </w:r>
      <w:r>
        <w:rPr>
          <w:rFonts w:hint="eastAsia"/>
        </w:rPr>
        <w:t>、供应商性质</w:t>
      </w:r>
      <w:bookmarkEnd w:id="334"/>
      <w:bookmarkEnd w:id="335"/>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中小企业、残疾人福利性单位投标时，应提供声明函（按下文给定格式）。未提供或未按给定格式提供声明函的，其投标产品中的残疾人福利性单位生产的产品将不能享受磋商文件规定的价格扣除。本项目专门面向中小企业采购，预留份额为整体预留，供应商须填写《中小企业声明函》。</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监狱企业投标时，应当提供由省级以上监狱管理局、戒毒管理局（含新疆生产建设兵团）出具的属于监狱企业的证明文件（格式不做要求）。未提供证明文件的不能享受磋商文件规定的价格扣除，但不影响响应文件的有效性。</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磋商文件允许联合体投标的，联合体成员应分别提供上述声明函或证明文件，此外，还须按下文给定格式提供联合体协议书。投标联合体未提供联合体协议书的，其响应文件无效。</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残疾人福利性单位、监狱企业，也无联合体情况的，可不提供此项内容。</w:t>
      </w:r>
    </w:p>
    <w:p>
      <w:pPr>
        <w:rPr>
          <w:rFonts w:hint="eastAsia" w:ascii="宋体" w:hAnsi="宋体" w:eastAsia="宋体" w:cs="宋体"/>
          <w:sz w:val="28"/>
          <w:szCs w:val="28"/>
        </w:rPr>
      </w:pPr>
      <w:bookmarkStart w:id="336" w:name="_TOC_250005"/>
      <w:bookmarkEnd w:id="336"/>
      <w:r>
        <w:rPr>
          <w:rFonts w:hint="eastAsia" w:ascii="宋体" w:hAnsi="宋体" w:eastAsia="宋体" w:cs="宋体"/>
          <w:sz w:val="28"/>
          <w:szCs w:val="28"/>
        </w:rPr>
        <w:br w:type="page"/>
      </w:r>
    </w:p>
    <w:p>
      <w:pPr>
        <w:pStyle w:val="5"/>
        <w:bidi w:val="0"/>
        <w:rPr>
          <w:rFonts w:hint="eastAsia" w:eastAsia="宋体"/>
          <w:lang w:eastAsia="zh-CN"/>
        </w:rPr>
      </w:pPr>
      <w:bookmarkStart w:id="337" w:name="_Toc12475"/>
      <w:bookmarkStart w:id="338" w:name="_Toc14241"/>
      <w:r>
        <w:rPr>
          <w:rFonts w:hint="eastAsia"/>
          <w:lang w:val="en-US" w:eastAsia="zh-CN"/>
        </w:rPr>
        <w:t>3</w:t>
      </w:r>
      <w:r>
        <w:rPr>
          <w:rFonts w:hint="eastAsia"/>
        </w:rPr>
        <w:t>、其他</w:t>
      </w:r>
      <w:bookmarkEnd w:id="337"/>
      <w:bookmarkEnd w:id="338"/>
      <w:r>
        <w:rPr>
          <w:rFonts w:hint="eastAsia"/>
          <w:lang w:eastAsia="zh-CN"/>
        </w:rPr>
        <w:t>（如有）</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如：经营状况、同类服务业绩、客户评价证明、获得奖励及证书等。</w:t>
      </w:r>
    </w:p>
    <w:p>
      <w:pPr>
        <w:numPr>
          <w:ilvl w:val="0"/>
          <w:numId w:val="0"/>
        </w:numPr>
        <w:rPr>
          <w:rFonts w:hint="eastAsia"/>
          <w:lang w:val="en-US" w:eastAsia="zh-CN"/>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shd w:val="clear"/>
        <w:spacing w:line="360" w:lineRule="auto"/>
        <w:rPr>
          <w:rFonts w:hint="eastAsia" w:ascii="宋体" w:hAnsi="宋体" w:eastAsia="宋体" w:cs="宋体"/>
          <w:color w:val="auto"/>
          <w:highlight w:val="none"/>
        </w:rPr>
      </w:pPr>
    </w:p>
    <w:p>
      <w:pPr>
        <w:shd w:val="clear"/>
        <w:rPr>
          <w:rFonts w:hint="eastAsia" w:ascii="Times New Roman" w:hAnsi="Times New Roman" w:cs="Times New Roman"/>
          <w:color w:val="auto"/>
          <w:highlight w:val="none"/>
          <w:lang w:eastAsia="zh-CN"/>
        </w:rPr>
      </w:pPr>
      <w:bookmarkStart w:id="339" w:name="_Toc18730"/>
      <w:bookmarkStart w:id="340" w:name="_Toc2986"/>
      <w:r>
        <w:rPr>
          <w:rFonts w:hint="eastAsia" w:ascii="Times New Roman" w:hAnsi="Times New Roman" w:cs="Times New Roman"/>
          <w:color w:val="auto"/>
          <w:highlight w:val="none"/>
          <w:lang w:eastAsia="zh-CN"/>
        </w:rPr>
        <w:br w:type="page"/>
      </w:r>
    </w:p>
    <w:p>
      <w:pPr>
        <w:pStyle w:val="5"/>
        <w:spacing w:line="360" w:lineRule="auto"/>
        <w:rPr>
          <w:rFonts w:ascii="宋体" w:hAnsi="宋体" w:cs="宋体"/>
          <w:color w:val="auto"/>
          <w:highlight w:val="none"/>
        </w:rPr>
      </w:pPr>
      <w:bookmarkStart w:id="341" w:name="_Toc28759"/>
      <w:bookmarkStart w:id="342" w:name="_Toc26341"/>
      <w:bookmarkStart w:id="343" w:name="_Toc11662"/>
      <w:bookmarkStart w:id="344" w:name="_Toc11876"/>
      <w:bookmarkStart w:id="345" w:name="_Toc11553"/>
      <w:bookmarkStart w:id="346" w:name="_Toc12971"/>
      <w:bookmarkStart w:id="347" w:name="_Toc10067"/>
      <w:bookmarkStart w:id="348" w:name="_Toc17432"/>
      <w:bookmarkStart w:id="349" w:name="_Toc21873"/>
      <w:r>
        <w:rPr>
          <w:rFonts w:hint="eastAsia" w:ascii="宋体" w:hAnsi="宋体" w:cs="宋体"/>
          <w:color w:val="auto"/>
          <w:highlight w:val="none"/>
        </w:rPr>
        <w:t>附件1</w:t>
      </w:r>
      <w:r>
        <w:rPr>
          <w:rFonts w:hint="eastAsia" w:ascii="宋体" w:hAnsi="宋体" w:cs="宋体"/>
          <w:color w:val="auto"/>
          <w:highlight w:val="none"/>
          <w:lang w:val="en-US" w:eastAsia="zh-CN"/>
        </w:rPr>
        <w:t>中小</w:t>
      </w:r>
      <w:r>
        <w:rPr>
          <w:rFonts w:hint="eastAsia" w:ascii="宋体" w:hAnsi="宋体" w:cs="宋体"/>
          <w:color w:val="auto"/>
          <w:highlight w:val="none"/>
        </w:rPr>
        <w:t>企业声明函</w:t>
      </w:r>
      <w:bookmarkEnd w:id="341"/>
      <w:bookmarkEnd w:id="342"/>
      <w:bookmarkEnd w:id="343"/>
      <w:bookmarkEnd w:id="344"/>
      <w:bookmarkEnd w:id="345"/>
      <w:bookmarkEnd w:id="346"/>
      <w:bookmarkEnd w:id="347"/>
      <w:bookmarkEnd w:id="348"/>
      <w:bookmarkEnd w:id="349"/>
    </w:p>
    <w:p>
      <w:pPr>
        <w:spacing w:line="500" w:lineRule="atLeast"/>
        <w:jc w:val="center"/>
        <w:outlineLvl w:val="2"/>
        <w:rPr>
          <w:rFonts w:ascii="宋体" w:hAnsi="宋体" w:cs="宋体"/>
          <w:color w:val="auto"/>
          <w:sz w:val="32"/>
          <w:szCs w:val="32"/>
          <w:highlight w:val="none"/>
        </w:rPr>
      </w:pPr>
      <w:bookmarkStart w:id="350" w:name="_Toc27199"/>
      <w:bookmarkStart w:id="351" w:name="_Toc31953"/>
      <w:bookmarkStart w:id="352" w:name="_Toc8594"/>
      <w:bookmarkStart w:id="353" w:name="_Toc32719"/>
      <w:r>
        <w:rPr>
          <w:rFonts w:hint="eastAsia" w:ascii="宋体" w:hAnsi="宋体" w:cs="宋体"/>
          <w:b/>
          <w:bCs/>
          <w:color w:val="auto"/>
          <w:kern w:val="0"/>
          <w:sz w:val="28"/>
          <w:szCs w:val="28"/>
          <w:highlight w:val="none"/>
        </w:rPr>
        <w:t>中小企业声明函</w:t>
      </w:r>
      <w:bookmarkEnd w:id="350"/>
      <w:bookmarkEnd w:id="351"/>
      <w:bookmarkEnd w:id="352"/>
      <w:bookmarkEnd w:id="353"/>
    </w:p>
    <w:p>
      <w:pPr>
        <w:pStyle w:val="169"/>
        <w:spacing w:line="360" w:lineRule="auto"/>
        <w:ind w:firstLine="660"/>
        <w:rPr>
          <w:sz w:val="24"/>
          <w:szCs w:val="24"/>
        </w:rPr>
      </w:pPr>
      <w:r>
        <w:rPr>
          <w:rFonts w:hint="eastAsia" w:ascii="宋体" w:hAnsi="宋体" w:cs="宋体"/>
          <w:color w:val="auto"/>
          <w:sz w:val="24"/>
          <w:szCs w:val="22"/>
          <w:highlight w:val="none"/>
        </w:rPr>
        <w:t xml:space="preserve">  </w:t>
      </w:r>
      <w:r>
        <w:rPr>
          <w:rFonts w:hint="eastAsia"/>
          <w:color w:val="000000"/>
          <w:sz w:val="24"/>
          <w:szCs w:val="24"/>
        </w:rPr>
        <w:t>本公司（</w:t>
      </w:r>
      <w:r>
        <w:rPr>
          <w:rFonts w:hint="eastAsia" w:eastAsia="宋体"/>
          <w:color w:val="000000"/>
          <w:sz w:val="24"/>
          <w:szCs w:val="24"/>
          <w:lang w:val="en-US" w:eastAsia="zh-CN"/>
        </w:rPr>
        <w:t>非</w:t>
      </w:r>
      <w:r>
        <w:rPr>
          <w:rFonts w:hint="eastAsia"/>
          <w:color w:val="000000"/>
          <w:sz w:val="24"/>
          <w:szCs w:val="24"/>
        </w:rPr>
        <w:t>联合体）郑重声明，根据《政府采购促进中小 企业发展管理办法》（财库〔2020〕46号）的规定，本公司 （</w:t>
      </w:r>
      <w:r>
        <w:rPr>
          <w:rFonts w:hint="eastAsia" w:eastAsia="宋体"/>
          <w:color w:val="000000"/>
          <w:sz w:val="24"/>
          <w:szCs w:val="24"/>
          <w:lang w:val="en-US" w:eastAsia="zh-CN"/>
        </w:rPr>
        <w:t>非</w:t>
      </w:r>
      <w:r>
        <w:rPr>
          <w:rFonts w:hint="eastAsia"/>
          <w:color w:val="000000"/>
          <w:sz w:val="24"/>
          <w:szCs w:val="24"/>
        </w:rPr>
        <w:t>联合体）参加</w:t>
      </w:r>
      <w:r>
        <w:rPr>
          <w:rFonts w:hint="eastAsia"/>
          <w:color w:val="000000"/>
          <w:sz w:val="24"/>
          <w:szCs w:val="24"/>
          <w:u w:val="single"/>
        </w:rPr>
        <w:t>（单位名称）</w:t>
      </w:r>
      <w:r>
        <w:rPr>
          <w:rFonts w:hint="eastAsia"/>
          <w:color w:val="000000"/>
          <w:sz w:val="24"/>
          <w:szCs w:val="24"/>
        </w:rPr>
        <w:t>的</w:t>
      </w:r>
      <w:r>
        <w:rPr>
          <w:rFonts w:hint="eastAsia"/>
          <w:color w:val="000000"/>
          <w:sz w:val="24"/>
          <w:szCs w:val="24"/>
          <w:u w:val="single"/>
        </w:rPr>
        <w:t>（项目名称</w:t>
      </w:r>
      <w:r>
        <w:rPr>
          <w:rFonts w:hint="eastAsia" w:eastAsia="宋体"/>
          <w:color w:val="000000"/>
          <w:sz w:val="24"/>
          <w:szCs w:val="24"/>
          <w:u w:val="single"/>
          <w:lang w:eastAsia="zh-CN"/>
        </w:rPr>
        <w:t>、</w:t>
      </w:r>
      <w:r>
        <w:rPr>
          <w:rFonts w:hint="eastAsia" w:eastAsia="宋体"/>
          <w:color w:val="000000"/>
          <w:sz w:val="24"/>
          <w:szCs w:val="24"/>
          <w:u w:val="single"/>
          <w:lang w:val="en-US" w:eastAsia="zh-CN"/>
        </w:rPr>
        <w:t>项目编号</w:t>
      </w:r>
      <w:r>
        <w:rPr>
          <w:rFonts w:hint="eastAsia"/>
          <w:color w:val="000000"/>
          <w:sz w:val="24"/>
          <w:szCs w:val="24"/>
          <w:u w:val="single"/>
        </w:rPr>
        <w:t>）</w:t>
      </w:r>
      <w:r>
        <w:rPr>
          <w:rFonts w:hint="eastAsia"/>
          <w:color w:val="000000"/>
          <w:sz w:val="24"/>
          <w:szCs w:val="24"/>
        </w:rPr>
        <w:t>采购活动,工 程的施工单位全部为符合政策要求的中小企业（或者：服务 全部由符合政策要求的中小企业承接）。相关企业（含联合 体中的中小企业、签订分包意向协议的中小企业）的具体情 况如下：</w:t>
      </w:r>
    </w:p>
    <w:p>
      <w:pPr>
        <w:pStyle w:val="169"/>
        <w:numPr>
          <w:ilvl w:val="0"/>
          <w:numId w:val="9"/>
        </w:numPr>
        <w:tabs>
          <w:tab w:val="left" w:pos="1224"/>
          <w:tab w:val="left" w:pos="6989"/>
        </w:tabs>
        <w:spacing w:line="360" w:lineRule="auto"/>
        <w:ind w:firstLine="660"/>
        <w:rPr>
          <w:sz w:val="24"/>
          <w:szCs w:val="24"/>
        </w:rPr>
      </w:pPr>
      <w:bookmarkStart w:id="354" w:name="bookmark24"/>
      <w:bookmarkEnd w:id="354"/>
      <w:r>
        <w:rPr>
          <w:rFonts w:hint="eastAsia"/>
          <w:color w:val="000000"/>
          <w:sz w:val="24"/>
          <w:szCs w:val="24"/>
          <w:u w:val="single"/>
        </w:rPr>
        <w:t>（标的名称）</w:t>
      </w:r>
      <w:r>
        <w:rPr>
          <w:rFonts w:hint="eastAsia"/>
          <w:color w:val="000000"/>
          <w:sz w:val="24"/>
          <w:szCs w:val="24"/>
        </w:rPr>
        <w:t>,属于</w:t>
      </w:r>
      <w:r>
        <w:rPr>
          <w:rFonts w:hint="eastAsia"/>
          <w:color w:val="000000"/>
          <w:sz w:val="24"/>
          <w:szCs w:val="24"/>
          <w:u w:val="single"/>
        </w:rPr>
        <w:t>（采购文件 中明确的所属行业</w:t>
      </w:r>
      <w:r>
        <w:rPr>
          <w:rFonts w:hint="eastAsia" w:eastAsia="宋体"/>
          <w:color w:val="000000"/>
          <w:sz w:val="24"/>
          <w:szCs w:val="24"/>
          <w:u w:val="single"/>
          <w:lang w:eastAsia="zh-CN"/>
        </w:rPr>
        <w:t>：</w:t>
      </w:r>
      <w:r>
        <w:rPr>
          <w:rFonts w:hint="eastAsia" w:eastAsia="宋体"/>
          <w:color w:val="000000"/>
          <w:sz w:val="24"/>
          <w:szCs w:val="24"/>
          <w:u w:val="single"/>
          <w:lang w:val="en-US" w:eastAsia="zh-CN"/>
        </w:rPr>
        <w:t>其他未列明行业</w:t>
      </w:r>
      <w:r>
        <w:rPr>
          <w:rFonts w:hint="eastAsia"/>
          <w:color w:val="000000"/>
          <w:sz w:val="24"/>
          <w:szCs w:val="24"/>
          <w:u w:val="single"/>
        </w:rPr>
        <w:t xml:space="preserve">） </w:t>
      </w:r>
      <w:r>
        <w:rPr>
          <w:rFonts w:hint="eastAsia"/>
          <w:color w:val="000000"/>
          <w:sz w:val="24"/>
          <w:szCs w:val="24"/>
        </w:rPr>
        <w:t>承建（承接）企业为</w:t>
      </w:r>
      <w:r>
        <w:rPr>
          <w:rFonts w:hint="eastAsia"/>
          <w:color w:val="000000"/>
          <w:sz w:val="24"/>
          <w:szCs w:val="24"/>
          <w:u w:val="single"/>
        </w:rPr>
        <w:t>（企业名称）</w:t>
      </w:r>
      <w:r>
        <w:rPr>
          <w:rFonts w:hint="eastAsia"/>
          <w:color w:val="000000"/>
          <w:sz w:val="24"/>
          <w:szCs w:val="24"/>
        </w:rPr>
        <w:t>,从业人员</w:t>
      </w:r>
      <w:r>
        <w:rPr>
          <w:rFonts w:hint="eastAsia" w:eastAsia="宋体"/>
          <w:color w:val="000000"/>
          <w:sz w:val="24"/>
          <w:szCs w:val="24"/>
          <w:u w:val="single"/>
          <w:lang w:val="en-US" w:eastAsia="zh-CN"/>
        </w:rPr>
        <w:t xml:space="preserve">   </w:t>
      </w:r>
      <w:r>
        <w:rPr>
          <w:rFonts w:hint="eastAsia"/>
          <w:color w:val="000000"/>
          <w:sz w:val="24"/>
          <w:szCs w:val="24"/>
        </w:rPr>
        <w:t>人，营业 收入为</w:t>
      </w:r>
      <w:r>
        <w:rPr>
          <w:rFonts w:hint="eastAsia" w:eastAsia="宋体"/>
          <w:color w:val="000000"/>
          <w:sz w:val="24"/>
          <w:szCs w:val="24"/>
          <w:u w:val="single"/>
          <w:lang w:val="en-US" w:eastAsia="zh-CN"/>
        </w:rPr>
        <w:t xml:space="preserve">   </w:t>
      </w:r>
      <w:r>
        <w:rPr>
          <w:rFonts w:hint="eastAsia"/>
          <w:color w:val="000000"/>
          <w:sz w:val="24"/>
          <w:szCs w:val="24"/>
        </w:rPr>
        <w:t>万元，资产总额为</w:t>
      </w:r>
      <w:r>
        <w:rPr>
          <w:rFonts w:hint="eastAsia" w:eastAsia="宋体"/>
          <w:color w:val="000000"/>
          <w:sz w:val="24"/>
          <w:szCs w:val="24"/>
          <w:u w:val="single"/>
          <w:lang w:val="en-US" w:eastAsia="zh-CN"/>
        </w:rPr>
        <w:t xml:space="preserve">   </w:t>
      </w:r>
      <w:r>
        <w:rPr>
          <w:rFonts w:hint="eastAsia"/>
          <w:color w:val="000000"/>
          <w:sz w:val="24"/>
          <w:szCs w:val="24"/>
        </w:rPr>
        <w:t>万元</w:t>
      </w:r>
      <w:r>
        <w:fldChar w:fldCharType="begin"/>
      </w:r>
      <w:r>
        <w:instrText xml:space="preserve"> HYPERLINK \l "bookmark26" \o "Current Document" \h </w:instrText>
      </w:r>
      <w:r>
        <w:fldChar w:fldCharType="separate"/>
      </w:r>
      <w:r>
        <w:rPr>
          <w:rFonts w:hint="eastAsia"/>
          <w:color w:val="000000"/>
          <w:sz w:val="24"/>
          <w:szCs w:val="24"/>
          <w:lang w:val="en-US" w:eastAsia="zh-CN" w:bidi="en-US"/>
        </w:rPr>
        <w:t>'</w:t>
      </w:r>
      <w:r>
        <w:rPr>
          <w:rFonts w:hint="eastAsia"/>
          <w:color w:val="000000"/>
          <w:sz w:val="24"/>
          <w:szCs w:val="24"/>
          <w:lang w:val="en-US" w:eastAsia="zh-CN" w:bidi="en-US"/>
        </w:rPr>
        <w:fldChar w:fldCharType="end"/>
      </w:r>
      <w:r>
        <w:rPr>
          <w:rFonts w:hint="eastAsia"/>
          <w:color w:val="000000"/>
          <w:sz w:val="24"/>
          <w:szCs w:val="24"/>
          <w:lang w:val="en-US" w:eastAsia="zh-CN" w:bidi="en-US"/>
        </w:rPr>
        <w:t>，</w:t>
      </w:r>
      <w:r>
        <w:rPr>
          <w:rFonts w:hint="eastAsia"/>
          <w:color w:val="000000"/>
          <w:sz w:val="24"/>
          <w:szCs w:val="24"/>
        </w:rPr>
        <w:t>属于</w:t>
      </w:r>
      <w:r>
        <w:rPr>
          <w:rFonts w:hint="eastAsia"/>
          <w:color w:val="000000"/>
          <w:sz w:val="24"/>
          <w:szCs w:val="24"/>
          <w:u w:val="single"/>
        </w:rPr>
        <w:t>（中型企业、 小型企业、微型企业）</w:t>
      </w:r>
      <w:r>
        <w:rPr>
          <w:rFonts w:hint="eastAsia"/>
          <w:color w:val="000000"/>
          <w:sz w:val="24"/>
          <w:szCs w:val="24"/>
        </w:rPr>
        <w:t>;</w:t>
      </w:r>
    </w:p>
    <w:p>
      <w:pPr>
        <w:pStyle w:val="169"/>
        <w:numPr>
          <w:ilvl w:val="0"/>
          <w:numId w:val="9"/>
        </w:numPr>
        <w:tabs>
          <w:tab w:val="left" w:pos="1224"/>
          <w:tab w:val="left" w:pos="6989"/>
        </w:tabs>
        <w:spacing w:line="360" w:lineRule="auto"/>
        <w:ind w:firstLine="660"/>
        <w:rPr>
          <w:sz w:val="24"/>
          <w:szCs w:val="24"/>
        </w:rPr>
      </w:pPr>
      <w:bookmarkStart w:id="355" w:name="bookmark25"/>
      <w:bookmarkEnd w:id="355"/>
      <w:r>
        <w:rPr>
          <w:rFonts w:hint="eastAsia"/>
          <w:color w:val="000000"/>
          <w:sz w:val="24"/>
          <w:szCs w:val="24"/>
          <w:u w:val="single"/>
        </w:rPr>
        <w:t>（标的名称）</w:t>
      </w:r>
      <w:r>
        <w:rPr>
          <w:rFonts w:hint="eastAsia"/>
          <w:color w:val="000000"/>
          <w:sz w:val="24"/>
          <w:szCs w:val="24"/>
        </w:rPr>
        <w:t>,属于</w:t>
      </w:r>
      <w:r>
        <w:rPr>
          <w:rFonts w:hint="eastAsia"/>
          <w:color w:val="000000"/>
          <w:sz w:val="24"/>
          <w:szCs w:val="24"/>
          <w:u w:val="single"/>
        </w:rPr>
        <w:t>（采购文件 中明确的所属行业</w:t>
      </w:r>
      <w:r>
        <w:rPr>
          <w:rFonts w:hint="eastAsia" w:eastAsia="宋体"/>
          <w:color w:val="000000"/>
          <w:sz w:val="24"/>
          <w:szCs w:val="24"/>
          <w:u w:val="single"/>
          <w:lang w:eastAsia="zh-CN"/>
        </w:rPr>
        <w:t>：</w:t>
      </w:r>
      <w:r>
        <w:rPr>
          <w:rFonts w:hint="eastAsia" w:eastAsia="宋体"/>
          <w:color w:val="000000"/>
          <w:sz w:val="24"/>
          <w:szCs w:val="24"/>
          <w:u w:val="single"/>
          <w:lang w:val="en-US" w:eastAsia="zh-CN"/>
        </w:rPr>
        <w:t>其他未列明行业</w:t>
      </w:r>
      <w:r>
        <w:rPr>
          <w:rFonts w:hint="eastAsia"/>
          <w:color w:val="000000"/>
          <w:sz w:val="24"/>
          <w:szCs w:val="24"/>
          <w:u w:val="single"/>
        </w:rPr>
        <w:t xml:space="preserve">） </w:t>
      </w:r>
      <w:r>
        <w:rPr>
          <w:rFonts w:hint="eastAsia"/>
          <w:color w:val="000000"/>
          <w:sz w:val="24"/>
          <w:szCs w:val="24"/>
        </w:rPr>
        <w:t>承建（承接）企业为</w:t>
      </w:r>
      <w:r>
        <w:rPr>
          <w:rFonts w:hint="eastAsia"/>
          <w:color w:val="000000"/>
          <w:sz w:val="24"/>
          <w:szCs w:val="24"/>
          <w:u w:val="single"/>
        </w:rPr>
        <w:t>（企业名称）</w:t>
      </w:r>
      <w:r>
        <w:rPr>
          <w:rFonts w:hint="eastAsia"/>
          <w:color w:val="000000"/>
          <w:sz w:val="24"/>
          <w:szCs w:val="24"/>
        </w:rPr>
        <w:t>,从业人员</w:t>
      </w:r>
      <w:r>
        <w:rPr>
          <w:rFonts w:hint="eastAsia" w:eastAsia="宋体"/>
          <w:color w:val="000000"/>
          <w:sz w:val="24"/>
          <w:szCs w:val="24"/>
          <w:u w:val="single"/>
          <w:lang w:val="en-US" w:eastAsia="zh-CN"/>
        </w:rPr>
        <w:t xml:space="preserve">   </w:t>
      </w:r>
      <w:r>
        <w:rPr>
          <w:rFonts w:hint="eastAsia"/>
          <w:color w:val="000000"/>
          <w:sz w:val="24"/>
          <w:szCs w:val="24"/>
        </w:rPr>
        <w:t>人，营业 收入为</w:t>
      </w:r>
      <w:r>
        <w:rPr>
          <w:rFonts w:hint="eastAsia" w:eastAsia="宋体"/>
          <w:color w:val="000000"/>
          <w:sz w:val="24"/>
          <w:szCs w:val="24"/>
          <w:u w:val="single"/>
          <w:lang w:val="en-US" w:eastAsia="zh-CN"/>
        </w:rPr>
        <w:t xml:space="preserve">   </w:t>
      </w:r>
      <w:r>
        <w:rPr>
          <w:rFonts w:hint="eastAsia"/>
          <w:color w:val="000000"/>
          <w:sz w:val="24"/>
          <w:szCs w:val="24"/>
        </w:rPr>
        <w:t>万元，资产总额为</w:t>
      </w:r>
      <w:r>
        <w:rPr>
          <w:rFonts w:hint="eastAsia" w:eastAsia="宋体"/>
          <w:color w:val="000000"/>
          <w:sz w:val="24"/>
          <w:szCs w:val="24"/>
          <w:u w:val="single"/>
          <w:lang w:val="en-US" w:eastAsia="zh-CN"/>
        </w:rPr>
        <w:t xml:space="preserve">   </w:t>
      </w:r>
      <w:r>
        <w:rPr>
          <w:rFonts w:hint="eastAsia"/>
          <w:color w:val="000000"/>
          <w:sz w:val="24"/>
          <w:szCs w:val="24"/>
        </w:rPr>
        <w:t>万元</w:t>
      </w:r>
      <w:r>
        <w:fldChar w:fldCharType="begin"/>
      </w:r>
      <w:r>
        <w:instrText xml:space="preserve"> HYPERLINK \l "bookmark26" \o "Current Document" \h </w:instrText>
      </w:r>
      <w:r>
        <w:fldChar w:fldCharType="separate"/>
      </w:r>
      <w:r>
        <w:rPr>
          <w:rFonts w:hint="eastAsia"/>
          <w:color w:val="000000"/>
          <w:sz w:val="24"/>
          <w:szCs w:val="24"/>
          <w:lang w:val="en-US" w:eastAsia="zh-CN" w:bidi="en-US"/>
        </w:rPr>
        <w:t>'</w:t>
      </w:r>
      <w:r>
        <w:rPr>
          <w:rFonts w:hint="eastAsia"/>
          <w:color w:val="000000"/>
          <w:sz w:val="24"/>
          <w:szCs w:val="24"/>
          <w:lang w:val="en-US" w:eastAsia="zh-CN" w:bidi="en-US"/>
        </w:rPr>
        <w:fldChar w:fldCharType="end"/>
      </w:r>
      <w:r>
        <w:rPr>
          <w:rFonts w:hint="eastAsia"/>
          <w:color w:val="000000"/>
          <w:sz w:val="24"/>
          <w:szCs w:val="24"/>
          <w:lang w:val="en-US" w:eastAsia="zh-CN" w:bidi="en-US"/>
        </w:rPr>
        <w:t>，</w:t>
      </w:r>
      <w:r>
        <w:rPr>
          <w:rFonts w:hint="eastAsia"/>
          <w:color w:val="000000"/>
          <w:sz w:val="24"/>
          <w:szCs w:val="24"/>
        </w:rPr>
        <w:t>属于</w:t>
      </w:r>
      <w:r>
        <w:rPr>
          <w:rFonts w:hint="eastAsia"/>
          <w:color w:val="000000"/>
          <w:sz w:val="24"/>
          <w:szCs w:val="24"/>
          <w:u w:val="single"/>
        </w:rPr>
        <w:t>（中型企业、 小型企业、微型企业）</w:t>
      </w:r>
      <w:r>
        <w:rPr>
          <w:rFonts w:hint="eastAsia"/>
          <w:color w:val="000000"/>
          <w:sz w:val="24"/>
          <w:szCs w:val="24"/>
        </w:rPr>
        <w:t>;</w:t>
      </w:r>
    </w:p>
    <w:p>
      <w:pPr>
        <w:pStyle w:val="169"/>
        <w:spacing w:line="360" w:lineRule="auto"/>
        <w:ind w:firstLine="660"/>
        <w:rPr>
          <w:sz w:val="24"/>
          <w:szCs w:val="24"/>
        </w:rPr>
      </w:pPr>
      <w:r>
        <w:rPr>
          <w:rFonts w:hint="eastAsia"/>
          <w:color w:val="000000"/>
          <w:sz w:val="24"/>
          <w:szCs w:val="24"/>
        </w:rPr>
        <w:t>以上企业，不属于大企业的分支机构，不存在控股股东 为大企业的情形，也不存在与大企业的负责人为同一人的情形。</w:t>
      </w:r>
    </w:p>
    <w:p>
      <w:pPr>
        <w:pStyle w:val="169"/>
        <w:spacing w:line="360" w:lineRule="auto"/>
        <w:ind w:firstLine="660"/>
        <w:rPr>
          <w:sz w:val="24"/>
          <w:szCs w:val="24"/>
        </w:rPr>
      </w:pPr>
      <w:r>
        <w:rPr>
          <w:rFonts w:hint="eastAsia"/>
          <w:color w:val="000000"/>
          <w:sz w:val="24"/>
          <w:szCs w:val="24"/>
        </w:rPr>
        <w:t>本企业对上述声明内容的真实性负责。如有虚假，将依 法承担相应责任。</w:t>
      </w:r>
    </w:p>
    <w:p>
      <w:pPr>
        <w:pStyle w:val="169"/>
        <w:spacing w:line="360" w:lineRule="auto"/>
        <w:ind w:left="3860" w:firstLine="0"/>
        <w:jc w:val="left"/>
        <w:rPr>
          <w:color w:val="000000"/>
          <w:sz w:val="24"/>
          <w:szCs w:val="24"/>
        </w:rPr>
      </w:pPr>
    </w:p>
    <w:p>
      <w:pPr>
        <w:pStyle w:val="169"/>
        <w:spacing w:line="360" w:lineRule="auto"/>
        <w:ind w:left="3860" w:firstLine="0"/>
        <w:jc w:val="left"/>
        <w:rPr>
          <w:sz w:val="24"/>
          <w:szCs w:val="24"/>
        </w:rPr>
      </w:pPr>
      <w:r>
        <w:rPr>
          <w:rFonts w:hint="eastAsia"/>
          <w:color w:val="000000"/>
          <w:sz w:val="24"/>
          <w:szCs w:val="24"/>
        </w:rPr>
        <w:t>企业名称（盖章）：</w:t>
      </w:r>
    </w:p>
    <w:p>
      <w:pPr>
        <w:pStyle w:val="169"/>
        <w:spacing w:line="360" w:lineRule="auto"/>
        <w:ind w:firstLine="0"/>
        <w:jc w:val="center"/>
        <w:rPr>
          <w:sz w:val="24"/>
          <w:szCs w:val="24"/>
        </w:rPr>
      </w:pPr>
      <w:r>
        <w:rPr>
          <w:rFonts w:hint="eastAsia"/>
          <w:color w:val="000000"/>
          <w:sz w:val="24"/>
          <w:szCs w:val="24"/>
        </w:rPr>
        <w:t>日期：</w:t>
      </w:r>
    </w:p>
    <w:p>
      <w:pPr>
        <w:spacing w:line="360" w:lineRule="auto"/>
        <w:ind w:firstLine="480" w:firstLineChars="200"/>
        <w:rPr>
          <w:rFonts w:ascii="宋体" w:hAnsi="宋体" w:cs="宋体"/>
          <w:b/>
          <w:bCs/>
          <w:sz w:val="32"/>
          <w:szCs w:val="32"/>
        </w:rPr>
      </w:pPr>
      <w:r>
        <w:rPr>
          <w:rFonts w:hint="eastAsia" w:ascii="宋体" w:hAnsi="宋体" w:cs="宋体"/>
          <w:color w:val="000000"/>
          <w:sz w:val="24"/>
        </w:rPr>
        <w:t>从业人员、营业收入、资产总额填报上一年度数据，无上一年度数据的新成立企业可不填报。</w:t>
      </w:r>
    </w:p>
    <w:p>
      <w:pPr>
        <w:tabs>
          <w:tab w:val="left" w:pos="5670"/>
        </w:tabs>
        <w:ind w:firstLine="566"/>
        <w:rPr>
          <w:rFonts w:ascii="宋体" w:hAnsi="宋体" w:cs="宋体"/>
          <w:color w:val="auto"/>
          <w:sz w:val="24"/>
          <w:szCs w:val="24"/>
          <w:highlight w:val="none"/>
        </w:rPr>
      </w:pPr>
      <w:r>
        <w:rPr>
          <w:rFonts w:hint="eastAsia" w:ascii="宋体" w:hAnsi="宋体" w:cs="宋体"/>
          <w:sz w:val="24"/>
        </w:rPr>
        <w:t>备注：投标人提供的《中小企业声明函》必须真实有效，如果被举报经查实出具虚假声明函的，将被取消投标资格，并按有关规定予以处理。</w:t>
      </w:r>
      <w:r>
        <w:rPr>
          <w:rFonts w:hint="eastAsia" w:ascii="宋体" w:hAnsi="宋体" w:cs="宋体"/>
          <w:sz w:val="28"/>
          <w:szCs w:val="28"/>
        </w:rPr>
        <w:br w:type="page"/>
      </w:r>
    </w:p>
    <w:p>
      <w:pPr>
        <w:spacing w:line="360" w:lineRule="auto"/>
        <w:rPr>
          <w:rFonts w:ascii="宋体" w:hAnsi="宋体" w:cs="宋体"/>
          <w:color w:val="auto"/>
          <w:highlight w:val="none"/>
        </w:rPr>
      </w:pPr>
      <w:r>
        <w:rPr>
          <w:rFonts w:hint="eastAsia" w:ascii="宋体" w:hAnsi="宋体" w:cs="宋体"/>
          <w:b/>
          <w:color w:val="auto"/>
          <w:sz w:val="32"/>
          <w:szCs w:val="32"/>
          <w:highlight w:val="none"/>
        </w:rPr>
        <w:t>附件 2：政府采购投标担保函（如用，不用可删除）</w:t>
      </w:r>
    </w:p>
    <w:p>
      <w:pPr>
        <w:spacing w:line="216" w:lineRule="exact"/>
        <w:rPr>
          <w:rFonts w:ascii="宋体" w:hAnsi="宋体" w:cs="宋体"/>
          <w:color w:val="auto"/>
          <w:highlight w:val="none"/>
        </w:rPr>
      </w:pPr>
    </w:p>
    <w:p>
      <w:pPr>
        <w:spacing w:line="0" w:lineRule="atLeast"/>
        <w:ind w:left="6720"/>
        <w:rPr>
          <w:rFonts w:ascii="宋体" w:hAnsi="宋体" w:cs="宋体"/>
          <w:color w:val="auto"/>
          <w:highlight w:val="none"/>
        </w:rPr>
      </w:pPr>
      <w:r>
        <w:rPr>
          <w:rFonts w:hint="eastAsia" w:ascii="宋体" w:hAnsi="宋体" w:cs="宋体"/>
          <w:color w:val="auto"/>
          <w:sz w:val="24"/>
          <w:highlight w:val="none"/>
        </w:rPr>
        <w:t>编号：</w:t>
      </w:r>
    </w:p>
    <w:p>
      <w:pPr>
        <w:spacing w:line="360" w:lineRule="auto"/>
        <w:rPr>
          <w:rFonts w:ascii="宋体" w:hAnsi="宋体" w:cs="宋体"/>
          <w:color w:val="auto"/>
          <w:sz w:val="24"/>
          <w:szCs w:val="22"/>
          <w:highlight w:val="none"/>
        </w:rPr>
      </w:pPr>
      <w:r>
        <w:rPr>
          <w:rFonts w:hint="eastAsia" w:ascii="宋体" w:hAnsi="宋体" w:cs="宋体"/>
          <w:color w:val="auto"/>
          <w:sz w:val="24"/>
          <w:szCs w:val="22"/>
          <w:highlight w:val="none"/>
          <w:u w:val="single"/>
        </w:rPr>
        <w:t>（采购人或采购代理机构）</w:t>
      </w:r>
      <w:r>
        <w:rPr>
          <w:rFonts w:hint="eastAsia" w:ascii="宋体" w:hAnsi="宋体" w:cs="宋体"/>
          <w:color w:val="auto"/>
          <w:sz w:val="24"/>
          <w:szCs w:val="22"/>
          <w:highlight w:val="none"/>
        </w:rPr>
        <w:t>:</w:t>
      </w:r>
    </w:p>
    <w:p>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鉴于（以下简称“投标人”）拟参加编号为（项目编号）的</w:t>
      </w:r>
      <w:r>
        <w:rPr>
          <w:rFonts w:hint="eastAsia" w:ascii="宋体" w:hAnsi="宋体" w:cs="宋体"/>
          <w:color w:val="auto"/>
          <w:sz w:val="24"/>
          <w:szCs w:val="22"/>
          <w:highlight w:val="none"/>
          <w:u w:val="single"/>
        </w:rPr>
        <w:tab/>
      </w:r>
      <w:r>
        <w:rPr>
          <w:rFonts w:hint="eastAsia" w:ascii="宋体" w:hAnsi="宋体" w:cs="宋体"/>
          <w:color w:val="auto"/>
          <w:sz w:val="24"/>
          <w:szCs w:val="22"/>
          <w:highlight w:val="none"/>
        </w:rPr>
        <w:t>项目（以下简称“本项目”）投标，根据本项目招标文件，投标人参加投标时应向你方交纳投标保证金，且可以投标担保函的形式交纳投标保证金。应投标人的申请，我方以保证的方式向你方提供如下投标保证金担保：</w:t>
      </w:r>
    </w:p>
    <w:p>
      <w:pPr>
        <w:spacing w:line="360" w:lineRule="auto"/>
        <w:rPr>
          <w:rFonts w:ascii="宋体" w:hAnsi="宋体" w:cs="宋体"/>
          <w:color w:val="auto"/>
          <w:highlight w:val="none"/>
        </w:rPr>
      </w:pPr>
      <w:r>
        <w:rPr>
          <w:rFonts w:hint="eastAsia" w:ascii="宋体" w:hAnsi="宋体" w:cs="宋体"/>
          <w:b/>
          <w:color w:val="auto"/>
          <w:sz w:val="24"/>
          <w:highlight w:val="none"/>
        </w:rPr>
        <w:t>一、保证责任的情形及保证金额</w:t>
      </w:r>
    </w:p>
    <w:p>
      <w:pPr>
        <w:spacing w:line="360" w:lineRule="auto"/>
        <w:ind w:left="480"/>
        <w:rPr>
          <w:rFonts w:ascii="宋体" w:hAnsi="宋体" w:cs="宋体"/>
          <w:color w:val="auto"/>
          <w:highlight w:val="none"/>
        </w:rPr>
      </w:pPr>
      <w:r>
        <w:rPr>
          <w:rFonts w:hint="eastAsia" w:ascii="宋体" w:hAnsi="宋体" w:cs="宋体"/>
          <w:color w:val="auto"/>
          <w:sz w:val="24"/>
          <w:highlight w:val="none"/>
        </w:rPr>
        <w:t>（一）在投标人出现下列情形之一时，我方承担保证责任：</w:t>
      </w:r>
    </w:p>
    <w:p>
      <w:pPr>
        <w:spacing w:line="360" w:lineRule="auto"/>
        <w:ind w:left="480"/>
        <w:rPr>
          <w:rFonts w:ascii="宋体" w:hAnsi="宋体" w:cs="宋体"/>
          <w:color w:val="auto"/>
          <w:sz w:val="24"/>
          <w:highlight w:val="none"/>
        </w:rPr>
      </w:pPr>
      <w:r>
        <w:rPr>
          <w:rFonts w:hint="eastAsia" w:ascii="宋体" w:hAnsi="宋体" w:cs="宋体"/>
          <w:color w:val="auto"/>
          <w:sz w:val="24"/>
          <w:highlight w:val="none"/>
        </w:rPr>
        <w:t>1．中标后投标人无正当理由不与采购人或者采购代理机构签订《政府采购</w:t>
      </w:r>
    </w:p>
    <w:p>
      <w:pPr>
        <w:spacing w:line="360" w:lineRule="auto"/>
        <w:rPr>
          <w:rFonts w:ascii="宋体" w:hAnsi="宋体" w:cs="宋体"/>
          <w:color w:val="auto"/>
          <w:highlight w:val="none"/>
        </w:rPr>
      </w:pPr>
      <w:r>
        <w:rPr>
          <w:rFonts w:hint="eastAsia" w:ascii="宋体" w:hAnsi="宋体" w:cs="宋体"/>
          <w:color w:val="auto"/>
          <w:sz w:val="24"/>
          <w:highlight w:val="none"/>
        </w:rPr>
        <w:t>合同》；</w:t>
      </w:r>
    </w:p>
    <w:p>
      <w:pPr>
        <w:spacing w:line="360" w:lineRule="auto"/>
        <w:ind w:left="480"/>
        <w:rPr>
          <w:rFonts w:ascii="宋体" w:hAnsi="宋体" w:cs="宋体"/>
          <w:color w:val="auto"/>
          <w:highlight w:val="none"/>
        </w:rPr>
      </w:pPr>
      <w:r>
        <w:rPr>
          <w:rFonts w:hint="eastAsia" w:ascii="宋体" w:hAnsi="宋体" w:cs="宋体"/>
          <w:color w:val="auto"/>
          <w:sz w:val="24"/>
          <w:highlight w:val="none"/>
        </w:rPr>
        <w:t>2．招标文件规定的投标人应当缴纳保证金的其他情形。</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（二）我方承担保证责任的最高金额为人民币</w:t>
      </w:r>
      <w:r>
        <w:rPr>
          <w:rFonts w:hint="eastAsia" w:ascii="宋体" w:hAnsi="宋体" w:cs="宋体"/>
          <w:color w:val="auto"/>
          <w:sz w:val="24"/>
          <w:highlight w:val="none"/>
          <w:u w:val="single"/>
        </w:rPr>
        <w:tab/>
      </w:r>
      <w:r>
        <w:rPr>
          <w:rFonts w:hint="eastAsia" w:ascii="宋体" w:hAnsi="宋体" w:cs="宋体"/>
          <w:color w:val="auto"/>
          <w:sz w:val="24"/>
          <w:highlight w:val="none"/>
          <w:u w:val="single"/>
        </w:rPr>
        <w:tab/>
      </w:r>
      <w:r>
        <w:rPr>
          <w:rFonts w:hint="eastAsia" w:ascii="宋体" w:hAnsi="宋体" w:cs="宋体"/>
          <w:color w:val="auto"/>
          <w:sz w:val="24"/>
          <w:highlight w:val="none"/>
        </w:rPr>
        <w:t>元（大写</w:t>
      </w:r>
      <w:r>
        <w:rPr>
          <w:rFonts w:hint="eastAsia" w:ascii="宋体" w:hAnsi="宋体" w:cs="宋体"/>
          <w:color w:val="auto"/>
          <w:sz w:val="24"/>
          <w:highlight w:val="none"/>
          <w:u w:val="single"/>
        </w:rPr>
        <w:tab/>
      </w:r>
      <w:r>
        <w:rPr>
          <w:rFonts w:hint="eastAsia" w:ascii="宋体" w:hAnsi="宋体" w:cs="宋体"/>
          <w:color w:val="auto"/>
          <w:sz w:val="24"/>
          <w:highlight w:val="none"/>
          <w:u w:val="single"/>
        </w:rPr>
        <w:tab/>
      </w:r>
      <w:r>
        <w:rPr>
          <w:rFonts w:hint="eastAsia" w:ascii="宋体" w:hAnsi="宋体" w:cs="宋体"/>
          <w:color w:val="auto"/>
          <w:sz w:val="24"/>
          <w:highlight w:val="none"/>
        </w:rPr>
        <w:t>），即本项目的投标保证金金额。</w:t>
      </w:r>
      <w:r>
        <w:rPr>
          <w:rFonts w:hint="eastAsia" w:ascii="宋体" w:hAnsi="宋体" w:cs="宋体"/>
          <w:color w:val="auto"/>
          <w:sz w:val="24"/>
          <w:highlight w:val="none"/>
        </w:rPr>
        <w:tab/>
      </w:r>
      <w:r>
        <w:rPr>
          <w:rFonts w:hint="eastAsia" w:ascii="宋体" w:hAnsi="宋体" w:cs="宋体"/>
          <w:color w:val="auto"/>
          <w:sz w:val="24"/>
          <w:highlight w:val="none"/>
        </w:rPr>
        <w:tab/>
      </w:r>
      <w:r>
        <w:rPr>
          <w:rFonts w:hint="eastAsia" w:ascii="宋体" w:hAnsi="宋体" w:cs="宋体"/>
          <w:color w:val="auto"/>
          <w:sz w:val="24"/>
          <w:highlight w:val="none"/>
        </w:rPr>
        <w:tab/>
      </w:r>
      <w:r>
        <w:rPr>
          <w:rFonts w:hint="eastAsia" w:ascii="宋体" w:hAnsi="宋体" w:cs="宋体"/>
          <w:color w:val="auto"/>
          <w:sz w:val="24"/>
          <w:highlight w:val="none"/>
        </w:rPr>
        <w:tab/>
      </w:r>
    </w:p>
    <w:p>
      <w:pPr>
        <w:spacing w:line="360" w:lineRule="auto"/>
        <w:rPr>
          <w:rFonts w:ascii="宋体" w:hAnsi="宋体" w:cs="宋体"/>
          <w:color w:val="auto"/>
          <w:highlight w:val="none"/>
        </w:rPr>
      </w:pPr>
      <w:r>
        <w:rPr>
          <w:rFonts w:hint="eastAsia" w:ascii="宋体" w:hAnsi="宋体" w:cs="宋体"/>
          <w:b/>
          <w:color w:val="auto"/>
          <w:sz w:val="24"/>
          <w:highlight w:val="none"/>
        </w:rPr>
        <w:t>二、保证的方式及保证期间</w:t>
      </w:r>
    </w:p>
    <w:p>
      <w:pPr>
        <w:spacing w:line="360" w:lineRule="auto"/>
        <w:ind w:left="480"/>
        <w:rPr>
          <w:rFonts w:ascii="宋体" w:hAnsi="宋体" w:cs="宋体"/>
          <w:color w:val="auto"/>
          <w:sz w:val="24"/>
          <w:szCs w:val="22"/>
          <w:highlight w:val="none"/>
        </w:rPr>
      </w:pPr>
      <w:r>
        <w:rPr>
          <w:rFonts w:hint="eastAsia" w:ascii="宋体" w:hAnsi="宋体" w:cs="宋体"/>
          <w:color w:val="auto"/>
          <w:sz w:val="24"/>
          <w:szCs w:val="22"/>
          <w:highlight w:val="none"/>
        </w:rPr>
        <w:t>我方保证的方式为：连带责任保证。</w:t>
      </w:r>
    </w:p>
    <w:p>
      <w:pPr>
        <w:spacing w:line="360" w:lineRule="auto"/>
        <w:ind w:left="480"/>
        <w:rPr>
          <w:rFonts w:ascii="宋体" w:hAnsi="宋体" w:cs="宋体"/>
          <w:color w:val="auto"/>
          <w:sz w:val="24"/>
          <w:szCs w:val="22"/>
          <w:highlight w:val="none"/>
        </w:rPr>
      </w:pPr>
      <w:r>
        <w:rPr>
          <w:rFonts w:hint="eastAsia" w:ascii="宋体" w:hAnsi="宋体" w:cs="宋体"/>
          <w:color w:val="auto"/>
          <w:sz w:val="24"/>
          <w:szCs w:val="22"/>
          <w:highlight w:val="none"/>
        </w:rPr>
        <w:t>我方的保证期间为：自本保函生效之日起</w:t>
      </w:r>
      <w:r>
        <w:rPr>
          <w:rFonts w:hint="eastAsia" w:ascii="宋体" w:hAnsi="宋体" w:cs="宋体"/>
          <w:color w:val="auto"/>
          <w:sz w:val="24"/>
          <w:szCs w:val="22"/>
          <w:highlight w:val="none"/>
          <w:u w:val="single"/>
        </w:rPr>
        <w:tab/>
      </w:r>
      <w:r>
        <w:rPr>
          <w:rFonts w:hint="eastAsia" w:ascii="宋体" w:hAnsi="宋体" w:cs="宋体"/>
          <w:color w:val="auto"/>
          <w:sz w:val="24"/>
          <w:szCs w:val="22"/>
          <w:highlight w:val="none"/>
        </w:rPr>
        <w:t>个月止。</w:t>
      </w:r>
    </w:p>
    <w:p>
      <w:pPr>
        <w:spacing w:line="360" w:lineRule="auto"/>
        <w:rPr>
          <w:rFonts w:ascii="宋体" w:hAnsi="宋体" w:cs="宋体"/>
          <w:color w:val="auto"/>
          <w:highlight w:val="none"/>
        </w:rPr>
      </w:pPr>
      <w:r>
        <w:rPr>
          <w:rFonts w:hint="eastAsia" w:ascii="宋体" w:hAnsi="宋体" w:cs="宋体"/>
          <w:b/>
          <w:color w:val="auto"/>
          <w:sz w:val="24"/>
          <w:highlight w:val="none"/>
        </w:rPr>
        <w:t>三、承担保证责任的程序</w:t>
      </w:r>
    </w:p>
    <w:p>
      <w:pPr>
        <w:spacing w:line="360" w:lineRule="auto"/>
        <w:ind w:left="480"/>
        <w:rPr>
          <w:rFonts w:ascii="宋体" w:hAnsi="宋体" w:cs="宋体"/>
          <w:color w:val="auto"/>
          <w:sz w:val="24"/>
          <w:szCs w:val="22"/>
          <w:highlight w:val="none"/>
        </w:rPr>
      </w:pPr>
      <w:r>
        <w:rPr>
          <w:rFonts w:hint="eastAsia" w:ascii="宋体" w:hAnsi="宋体" w:cs="宋体"/>
          <w:color w:val="auto"/>
          <w:sz w:val="24"/>
          <w:szCs w:val="22"/>
          <w:highlight w:val="none"/>
        </w:rPr>
        <w:t>1．你方要求我方承担保证责任的，应在本保函保证期间内向我方发出书面</w:t>
      </w:r>
    </w:p>
    <w:p>
      <w:pPr>
        <w:spacing w:line="360" w:lineRule="auto"/>
        <w:rPr>
          <w:rFonts w:ascii="宋体" w:hAnsi="宋体" w:cs="宋体"/>
          <w:color w:val="auto"/>
          <w:sz w:val="24"/>
          <w:szCs w:val="22"/>
          <w:highlight w:val="none"/>
        </w:rPr>
      </w:pPr>
      <w:r>
        <w:rPr>
          <w:rFonts w:hint="eastAsia" w:ascii="宋体" w:hAnsi="宋体" w:cs="宋体"/>
          <w:color w:val="auto"/>
          <w:sz w:val="24"/>
          <w:szCs w:val="22"/>
          <w:highlight w:val="none"/>
        </w:rPr>
        <w:t>索赔通知。索赔通知应写明要求索赔的金额，支付款项应到达的账号，并附有证明投标人发生我方应承担保证责任情形的事实材料。</w:t>
      </w:r>
    </w:p>
    <w:p>
      <w:pPr>
        <w:numPr>
          <w:ilvl w:val="0"/>
          <w:numId w:val="10"/>
        </w:numPr>
        <w:spacing w:line="360" w:lineRule="auto"/>
        <w:ind w:left="480"/>
        <w:rPr>
          <w:rFonts w:ascii="宋体" w:hAnsi="宋体" w:cs="宋体"/>
          <w:color w:val="auto"/>
          <w:sz w:val="24"/>
          <w:szCs w:val="22"/>
          <w:highlight w:val="none"/>
        </w:rPr>
      </w:pPr>
      <w:r>
        <w:rPr>
          <w:rFonts w:hint="eastAsia" w:ascii="宋体" w:hAnsi="宋体" w:cs="宋体"/>
          <w:color w:val="auto"/>
          <w:sz w:val="24"/>
          <w:szCs w:val="22"/>
          <w:highlight w:val="none"/>
        </w:rPr>
        <w:t>我方在收到索赔通知及相关证明材料后，在</w:t>
      </w:r>
      <w:r>
        <w:rPr>
          <w:rFonts w:hint="eastAsia" w:ascii="宋体" w:hAnsi="宋体" w:cs="宋体"/>
          <w:color w:val="auto"/>
          <w:sz w:val="24"/>
          <w:szCs w:val="22"/>
          <w:highlight w:val="none"/>
        </w:rPr>
        <w:tab/>
      </w:r>
      <w:r>
        <w:rPr>
          <w:rFonts w:hint="eastAsia" w:ascii="宋体" w:hAnsi="宋体" w:cs="宋体"/>
          <w:color w:val="auto"/>
          <w:sz w:val="24"/>
          <w:szCs w:val="22"/>
          <w:highlight w:val="none"/>
        </w:rPr>
        <w:t>个工作日内进行审查，符合</w:t>
      </w:r>
    </w:p>
    <w:p>
      <w:pPr>
        <w:spacing w:line="360" w:lineRule="auto"/>
        <w:rPr>
          <w:rFonts w:ascii="宋体" w:hAnsi="宋体" w:cs="宋体"/>
          <w:color w:val="auto"/>
          <w:sz w:val="24"/>
          <w:szCs w:val="22"/>
          <w:highlight w:val="none"/>
        </w:rPr>
      </w:pPr>
      <w:r>
        <w:rPr>
          <w:rFonts w:hint="eastAsia" w:ascii="宋体" w:hAnsi="宋体" w:cs="宋体"/>
          <w:color w:val="auto"/>
          <w:sz w:val="24"/>
          <w:szCs w:val="22"/>
          <w:highlight w:val="none"/>
        </w:rPr>
        <w:t>应承担保证责任情形的，我方应按照你方的要求代投标人向你方支付投标保证金。</w:t>
      </w:r>
    </w:p>
    <w:p>
      <w:pPr>
        <w:spacing w:line="360" w:lineRule="auto"/>
        <w:rPr>
          <w:rFonts w:ascii="宋体" w:hAnsi="宋体" w:cs="宋体"/>
          <w:color w:val="auto"/>
          <w:highlight w:val="none"/>
        </w:rPr>
      </w:pPr>
      <w:r>
        <w:rPr>
          <w:rFonts w:hint="eastAsia" w:ascii="宋体" w:hAnsi="宋体" w:cs="宋体"/>
          <w:b/>
          <w:color w:val="auto"/>
          <w:sz w:val="24"/>
          <w:highlight w:val="none"/>
        </w:rPr>
        <w:t>四、保证责任的终止</w:t>
      </w:r>
    </w:p>
    <w:p>
      <w:pPr>
        <w:spacing w:line="360" w:lineRule="auto"/>
        <w:ind w:left="480"/>
        <w:rPr>
          <w:rFonts w:ascii="宋体" w:hAnsi="宋体" w:cs="宋体"/>
          <w:color w:val="auto"/>
          <w:sz w:val="24"/>
          <w:szCs w:val="22"/>
          <w:highlight w:val="none"/>
        </w:rPr>
      </w:pPr>
      <w:r>
        <w:rPr>
          <w:rFonts w:hint="eastAsia" w:ascii="宋体" w:hAnsi="宋体" w:cs="宋体"/>
          <w:color w:val="auto"/>
          <w:sz w:val="24"/>
          <w:szCs w:val="22"/>
          <w:highlight w:val="none"/>
        </w:rPr>
        <w:t>1．保证期间届满你方未向我方书面主张保证责任的，自保证期间届满次日</w:t>
      </w:r>
    </w:p>
    <w:p>
      <w:pPr>
        <w:spacing w:line="360" w:lineRule="auto"/>
        <w:rPr>
          <w:rFonts w:ascii="宋体" w:hAnsi="宋体" w:cs="宋体"/>
          <w:color w:val="auto"/>
          <w:sz w:val="24"/>
          <w:szCs w:val="22"/>
          <w:highlight w:val="none"/>
        </w:rPr>
      </w:pPr>
      <w:r>
        <w:rPr>
          <w:rFonts w:hint="eastAsia" w:ascii="宋体" w:hAnsi="宋体" w:cs="宋体"/>
          <w:color w:val="auto"/>
          <w:sz w:val="24"/>
          <w:szCs w:val="22"/>
          <w:highlight w:val="none"/>
        </w:rPr>
        <w:t>起，我方保证责任自动终止。</w:t>
      </w:r>
    </w:p>
    <w:p>
      <w:pPr>
        <w:numPr>
          <w:ilvl w:val="0"/>
          <w:numId w:val="10"/>
        </w:numPr>
        <w:spacing w:line="360" w:lineRule="auto"/>
        <w:ind w:left="480"/>
        <w:rPr>
          <w:rFonts w:ascii="宋体" w:hAnsi="宋体" w:cs="宋体"/>
          <w:color w:val="auto"/>
          <w:sz w:val="24"/>
          <w:szCs w:val="22"/>
          <w:highlight w:val="none"/>
        </w:rPr>
      </w:pPr>
      <w:r>
        <w:rPr>
          <w:rFonts w:hint="eastAsia" w:ascii="宋体" w:hAnsi="宋体" w:cs="宋体"/>
          <w:color w:val="auto"/>
          <w:sz w:val="24"/>
          <w:szCs w:val="22"/>
          <w:highlight w:val="none"/>
        </w:rPr>
        <w:t>我方按照本保函向你贵方履行了保证责任后，自我方向你贵方支付款项</w:t>
      </w:r>
    </w:p>
    <w:p>
      <w:pPr>
        <w:spacing w:line="360" w:lineRule="auto"/>
        <w:rPr>
          <w:rFonts w:ascii="宋体" w:hAnsi="宋体" w:cs="宋体"/>
          <w:color w:val="auto"/>
          <w:sz w:val="24"/>
          <w:szCs w:val="22"/>
          <w:highlight w:val="none"/>
        </w:rPr>
      </w:pPr>
      <w:r>
        <w:rPr>
          <w:rFonts w:hint="eastAsia" w:ascii="宋体" w:hAnsi="宋体" w:cs="宋体"/>
          <w:color w:val="auto"/>
          <w:sz w:val="24"/>
          <w:szCs w:val="22"/>
          <w:highlight w:val="none"/>
        </w:rPr>
        <w:t>（支付款项从我方账户划出）之日起，保证责任终止。</w:t>
      </w:r>
    </w:p>
    <w:p>
      <w:pPr>
        <w:numPr>
          <w:ilvl w:val="0"/>
          <w:numId w:val="10"/>
        </w:numPr>
        <w:spacing w:line="360" w:lineRule="auto"/>
        <w:ind w:left="480"/>
        <w:rPr>
          <w:rFonts w:ascii="宋体" w:hAnsi="宋体" w:cs="宋体"/>
          <w:color w:val="auto"/>
          <w:sz w:val="24"/>
          <w:szCs w:val="22"/>
          <w:highlight w:val="none"/>
        </w:rPr>
      </w:pPr>
      <w:r>
        <w:rPr>
          <w:rFonts w:hint="eastAsia" w:ascii="宋体" w:hAnsi="宋体" w:cs="宋体"/>
          <w:color w:val="auto"/>
          <w:sz w:val="24"/>
          <w:szCs w:val="22"/>
          <w:highlight w:val="none"/>
        </w:rPr>
        <w:t>按照法律法规的规定或出现我方保证责任终止的其它情形的，我方在本</w:t>
      </w:r>
    </w:p>
    <w:p>
      <w:pPr>
        <w:spacing w:line="360" w:lineRule="auto"/>
        <w:rPr>
          <w:rFonts w:ascii="宋体" w:hAnsi="宋体" w:cs="宋体"/>
          <w:color w:val="auto"/>
          <w:sz w:val="24"/>
          <w:szCs w:val="22"/>
          <w:highlight w:val="none"/>
        </w:rPr>
      </w:pPr>
      <w:r>
        <w:rPr>
          <w:rFonts w:hint="eastAsia" w:ascii="宋体" w:hAnsi="宋体" w:cs="宋体"/>
          <w:color w:val="auto"/>
          <w:sz w:val="24"/>
          <w:szCs w:val="22"/>
          <w:highlight w:val="none"/>
        </w:rPr>
        <w:t>保函项下的保证责任亦终止。</w:t>
      </w:r>
    </w:p>
    <w:p>
      <w:pPr>
        <w:spacing w:line="360" w:lineRule="auto"/>
        <w:rPr>
          <w:rFonts w:ascii="宋体" w:hAnsi="宋体" w:cs="宋体"/>
          <w:color w:val="auto"/>
          <w:highlight w:val="none"/>
        </w:rPr>
      </w:pPr>
      <w:r>
        <w:rPr>
          <w:rFonts w:hint="eastAsia" w:ascii="宋体" w:hAnsi="宋体" w:cs="宋体"/>
          <w:b/>
          <w:color w:val="auto"/>
          <w:sz w:val="24"/>
          <w:highlight w:val="none"/>
        </w:rPr>
        <w:t>五、免责条款</w:t>
      </w:r>
    </w:p>
    <w:p>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1</w:t>
      </w:r>
      <w:r>
        <w:rPr>
          <w:rFonts w:hint="eastAsia" w:ascii="宋体" w:hAnsi="宋体" w:cs="宋体"/>
          <w:color w:val="auto"/>
          <w:sz w:val="24"/>
          <w:szCs w:val="22"/>
          <w:highlight w:val="none"/>
          <w:lang w:val="en-US" w:eastAsia="zh-CN"/>
        </w:rPr>
        <w:t>.</w:t>
      </w:r>
      <w:r>
        <w:rPr>
          <w:rFonts w:hint="eastAsia" w:ascii="宋体" w:hAnsi="宋体" w:cs="宋体"/>
          <w:color w:val="auto"/>
          <w:sz w:val="24"/>
          <w:szCs w:val="22"/>
          <w:highlight w:val="none"/>
        </w:rPr>
        <w:t>依照法律规定或你方与投标人的另行约定，全部或者部分免除投标人投标保证金义务时，我方亦免除相应的保证责任。</w:t>
      </w:r>
    </w:p>
    <w:p>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2.因你方原因致使投标人发生本保函第一条第（一）款约定情形的，我方不承担保证责任。</w:t>
      </w:r>
    </w:p>
    <w:p>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3.因不可抗力造成投标人发生本保函第一条约定情形的，我方不承担保证责任。</w:t>
      </w:r>
    </w:p>
    <w:p>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4.你方或其他有权机关对招标文件进行任何澄清或修改，加重我方保证责任的，我方对加重部分不承担保证责任，但该澄清或修改经我方事先书面同意的除外。</w:t>
      </w:r>
    </w:p>
    <w:p>
      <w:pPr>
        <w:spacing w:line="360" w:lineRule="auto"/>
        <w:rPr>
          <w:rFonts w:ascii="宋体" w:hAnsi="宋体" w:cs="宋体"/>
          <w:color w:val="auto"/>
          <w:highlight w:val="none"/>
        </w:rPr>
      </w:pPr>
      <w:r>
        <w:rPr>
          <w:rFonts w:hint="eastAsia" w:ascii="宋体" w:hAnsi="宋体" w:cs="宋体"/>
          <w:b/>
          <w:color w:val="auto"/>
          <w:sz w:val="24"/>
          <w:highlight w:val="none"/>
        </w:rPr>
        <w:t>六、争议的解决</w:t>
      </w:r>
    </w:p>
    <w:p>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因本保函发生的纠纷，由你我双方协商解决，协商不成的，通过诉讼程序解决，诉讼管辖地法院为</w:t>
      </w:r>
      <w:r>
        <w:rPr>
          <w:rFonts w:hint="eastAsia" w:ascii="宋体" w:hAnsi="宋体" w:cs="宋体"/>
          <w:color w:val="auto"/>
          <w:sz w:val="24"/>
          <w:szCs w:val="22"/>
          <w:highlight w:val="none"/>
          <w:u w:val="single"/>
        </w:rPr>
        <w:tab/>
      </w:r>
      <w:r>
        <w:rPr>
          <w:rFonts w:hint="eastAsia" w:ascii="宋体" w:hAnsi="宋体" w:cs="宋体"/>
          <w:color w:val="auto"/>
          <w:sz w:val="24"/>
          <w:szCs w:val="22"/>
          <w:highlight w:val="none"/>
        </w:rPr>
        <w:t>法院。</w:t>
      </w:r>
    </w:p>
    <w:p>
      <w:pPr>
        <w:spacing w:line="360" w:lineRule="auto"/>
        <w:rPr>
          <w:rFonts w:ascii="宋体" w:hAnsi="宋体" w:cs="宋体"/>
          <w:color w:val="auto"/>
          <w:highlight w:val="none"/>
        </w:rPr>
      </w:pPr>
      <w:r>
        <w:rPr>
          <w:rFonts w:hint="eastAsia" w:ascii="宋体" w:hAnsi="宋体" w:cs="宋体"/>
          <w:b/>
          <w:color w:val="auto"/>
          <w:sz w:val="24"/>
          <w:highlight w:val="none"/>
        </w:rPr>
        <w:t>七、保函的生效</w:t>
      </w:r>
    </w:p>
    <w:p>
      <w:pPr>
        <w:spacing w:line="360" w:lineRule="auto"/>
        <w:ind w:left="480"/>
        <w:rPr>
          <w:rFonts w:ascii="宋体" w:hAnsi="宋体" w:cs="宋体"/>
          <w:color w:val="auto"/>
          <w:sz w:val="24"/>
          <w:highlight w:val="none"/>
        </w:rPr>
      </w:pPr>
      <w:r>
        <w:rPr>
          <w:rFonts w:hint="eastAsia" w:ascii="宋体" w:hAnsi="宋体" w:cs="宋体"/>
          <w:color w:val="auto"/>
          <w:sz w:val="24"/>
          <w:highlight w:val="none"/>
        </w:rPr>
        <w:t>本保函自我方加盖公章之日起生效。</w:t>
      </w:r>
    </w:p>
    <w:p>
      <w:pPr>
        <w:spacing w:line="0" w:lineRule="atLeast"/>
        <w:ind w:left="480"/>
        <w:rPr>
          <w:rFonts w:ascii="宋体" w:hAnsi="宋体" w:cs="宋体"/>
          <w:color w:val="auto"/>
          <w:sz w:val="24"/>
          <w:highlight w:val="none"/>
        </w:rPr>
      </w:pPr>
    </w:p>
    <w:p>
      <w:pPr>
        <w:spacing w:line="0" w:lineRule="atLeast"/>
        <w:ind w:left="480"/>
        <w:rPr>
          <w:rFonts w:ascii="宋体" w:hAnsi="宋体" w:cs="宋体"/>
          <w:color w:val="auto"/>
          <w:sz w:val="24"/>
          <w:highlight w:val="none"/>
        </w:rPr>
      </w:pPr>
    </w:p>
    <w:p>
      <w:pPr>
        <w:spacing w:line="0" w:lineRule="atLeast"/>
        <w:ind w:left="480"/>
        <w:rPr>
          <w:rFonts w:ascii="宋体" w:hAnsi="宋体" w:cs="宋体"/>
          <w:color w:val="auto"/>
          <w:sz w:val="24"/>
          <w:highlight w:val="none"/>
        </w:rPr>
      </w:pPr>
    </w:p>
    <w:p>
      <w:pPr>
        <w:spacing w:line="0" w:lineRule="atLeast"/>
        <w:ind w:left="4320"/>
        <w:rPr>
          <w:rFonts w:ascii="宋体" w:hAnsi="宋体" w:cs="宋体"/>
          <w:color w:val="auto"/>
          <w:sz w:val="24"/>
          <w:highlight w:val="none"/>
        </w:rPr>
      </w:pPr>
      <w:r>
        <w:rPr>
          <w:rFonts w:hint="eastAsia" w:ascii="宋体" w:hAnsi="宋体" w:cs="宋体"/>
          <w:color w:val="auto"/>
          <w:sz w:val="24"/>
          <w:highlight w:val="none"/>
        </w:rPr>
        <w:t>保证人：（公章）</w:t>
      </w:r>
    </w:p>
    <w:p>
      <w:pPr>
        <w:spacing w:line="194" w:lineRule="exact"/>
        <w:rPr>
          <w:rFonts w:ascii="宋体" w:hAnsi="宋体" w:cs="宋体"/>
          <w:color w:val="auto"/>
          <w:highlight w:val="none"/>
        </w:rPr>
      </w:pPr>
    </w:p>
    <w:p>
      <w:pPr>
        <w:tabs>
          <w:tab w:val="left" w:pos="5260"/>
          <w:tab w:val="left" w:pos="6220"/>
        </w:tabs>
        <w:spacing w:line="0" w:lineRule="atLeast"/>
        <w:ind w:firstLine="4320" w:firstLineChars="1800"/>
        <w:rPr>
          <w:rFonts w:ascii="宋体" w:hAnsi="宋体" w:cs="宋体"/>
          <w:color w:val="auto"/>
          <w:sz w:val="24"/>
          <w:szCs w:val="24"/>
          <w:highlight w:val="none"/>
        </w:rPr>
      </w:pPr>
      <w:r>
        <w:rPr>
          <w:rFonts w:hint="eastAsia" w:ascii="宋体" w:hAnsi="宋体" w:cs="宋体"/>
          <w:color w:val="auto"/>
          <w:sz w:val="24"/>
          <w:highlight w:val="none"/>
        </w:rPr>
        <w:t>年</w:t>
      </w:r>
      <w:r>
        <w:rPr>
          <w:rFonts w:hint="eastAsia" w:ascii="宋体" w:hAnsi="宋体" w:cs="宋体"/>
          <w:color w:val="auto"/>
          <w:highlight w:val="none"/>
        </w:rPr>
        <w:tab/>
      </w:r>
      <w:r>
        <w:rPr>
          <w:rFonts w:hint="eastAsia" w:ascii="宋体" w:hAnsi="宋体" w:cs="宋体"/>
          <w:color w:val="auto"/>
          <w:sz w:val="24"/>
          <w:highlight w:val="none"/>
        </w:rPr>
        <w:t>月</w:t>
      </w:r>
      <w:r>
        <w:rPr>
          <w:rFonts w:hint="eastAsia" w:ascii="宋体" w:hAnsi="宋体" w:cs="宋体"/>
          <w:color w:val="auto"/>
          <w:highlight w:val="none"/>
        </w:rPr>
        <w:tab/>
      </w:r>
      <w:r>
        <w:rPr>
          <w:rFonts w:hint="eastAsia" w:ascii="宋体" w:hAnsi="宋体" w:cs="宋体"/>
          <w:color w:val="auto"/>
          <w:sz w:val="24"/>
          <w:highlight w:val="none"/>
        </w:rPr>
        <w:t>日</w:t>
      </w:r>
    </w:p>
    <w:p>
      <w:pPr>
        <w:pStyle w:val="98"/>
        <w:numPr>
          <w:ilvl w:val="0"/>
          <w:numId w:val="0"/>
        </w:numPr>
        <w:spacing w:line="360" w:lineRule="auto"/>
        <w:outlineLvl w:val="9"/>
        <w:rPr>
          <w:rFonts w:ascii="宋体" w:hAnsi="宋体" w:cs="宋体"/>
          <w:color w:val="auto"/>
          <w:sz w:val="24"/>
          <w:szCs w:val="24"/>
          <w:highlight w:val="none"/>
        </w:rPr>
      </w:pPr>
    </w:p>
    <w:p>
      <w:pPr>
        <w:rPr>
          <w:rFonts w:ascii="宋体" w:hAnsi="宋体" w:cs="宋体"/>
          <w:color w:val="auto"/>
          <w:highlight w:val="none"/>
        </w:rPr>
      </w:pPr>
    </w:p>
    <w:p>
      <w:pPr>
        <w:rPr>
          <w:rFonts w:ascii="宋体" w:hAnsi="宋体" w:cs="宋体"/>
          <w:color w:val="auto"/>
          <w:highlight w:val="none"/>
        </w:rPr>
      </w:pPr>
    </w:p>
    <w:p>
      <w:pPr>
        <w:pStyle w:val="10"/>
        <w:rPr>
          <w:rFonts w:ascii="宋体" w:hAnsi="宋体" w:cs="宋体"/>
          <w:color w:val="auto"/>
          <w:sz w:val="24"/>
          <w:szCs w:val="24"/>
          <w:highlight w:val="none"/>
        </w:rPr>
      </w:pPr>
    </w:p>
    <w:p>
      <w:pPr>
        <w:rPr>
          <w:rFonts w:ascii="宋体" w:hAnsi="宋体" w:cs="宋体"/>
          <w:color w:val="auto"/>
          <w:sz w:val="24"/>
          <w:szCs w:val="24"/>
          <w:highlight w:val="none"/>
        </w:rPr>
      </w:pPr>
    </w:p>
    <w:p>
      <w:pPr>
        <w:pStyle w:val="25"/>
        <w:rPr>
          <w:color w:val="auto"/>
          <w:highlight w:val="none"/>
        </w:rPr>
      </w:pPr>
    </w:p>
    <w:p>
      <w:pPr>
        <w:pStyle w:val="10"/>
        <w:rPr>
          <w:rFonts w:ascii="宋体" w:hAnsi="宋体" w:cs="宋体"/>
          <w:color w:val="auto"/>
          <w:sz w:val="24"/>
          <w:szCs w:val="24"/>
          <w:highlight w:val="none"/>
        </w:rPr>
      </w:pPr>
    </w:p>
    <w:p>
      <w:pPr>
        <w:pStyle w:val="10"/>
        <w:rPr>
          <w:rFonts w:ascii="宋体" w:hAnsi="宋体" w:cs="宋体"/>
          <w:color w:val="auto"/>
          <w:sz w:val="24"/>
          <w:szCs w:val="24"/>
          <w:highlight w:val="none"/>
        </w:rPr>
      </w:pPr>
    </w:p>
    <w:p>
      <w:pPr>
        <w:pStyle w:val="10"/>
        <w:rPr>
          <w:rFonts w:ascii="宋体" w:hAnsi="宋体" w:cs="宋体"/>
          <w:color w:val="auto"/>
          <w:sz w:val="24"/>
          <w:szCs w:val="24"/>
          <w:highlight w:val="none"/>
        </w:rPr>
      </w:pPr>
    </w:p>
    <w:p>
      <w:pPr>
        <w:rPr>
          <w:rFonts w:ascii="宋体" w:hAnsi="宋体" w:cs="宋体"/>
          <w:color w:val="auto"/>
          <w:sz w:val="24"/>
          <w:szCs w:val="24"/>
          <w:highlight w:val="none"/>
        </w:rPr>
      </w:pPr>
    </w:p>
    <w:p>
      <w:pPr>
        <w:pStyle w:val="16"/>
        <w:rPr>
          <w:rFonts w:ascii="宋体" w:hAnsi="宋体" w:cs="宋体"/>
          <w:color w:val="auto"/>
          <w:sz w:val="24"/>
          <w:szCs w:val="24"/>
          <w:highlight w:val="none"/>
        </w:rPr>
      </w:pPr>
    </w:p>
    <w:p>
      <w:pPr>
        <w:rPr>
          <w:color w:val="auto"/>
          <w:highlight w:val="none"/>
        </w:rPr>
      </w:pPr>
    </w:p>
    <w:p>
      <w:pPr>
        <w:rPr>
          <w:color w:val="auto"/>
          <w:highlight w:val="none"/>
        </w:rPr>
      </w:pPr>
    </w:p>
    <w:p>
      <w:pPr>
        <w:pStyle w:val="10"/>
        <w:rPr>
          <w:color w:val="auto"/>
          <w:highlight w:val="none"/>
        </w:rPr>
      </w:pPr>
    </w:p>
    <w:p>
      <w:pPr>
        <w:pStyle w:val="10"/>
        <w:rPr>
          <w:rFonts w:ascii="宋体" w:hAnsi="宋体" w:cs="宋体"/>
          <w:color w:val="auto"/>
          <w:sz w:val="24"/>
          <w:szCs w:val="24"/>
          <w:highlight w:val="none"/>
        </w:rPr>
      </w:pPr>
    </w:p>
    <w:p>
      <w:pPr>
        <w:spacing w:line="360" w:lineRule="auto"/>
        <w:rPr>
          <w:rFonts w:ascii="宋体" w:hAnsi="宋体" w:cs="宋体"/>
          <w:b/>
          <w:color w:val="auto"/>
          <w:sz w:val="36"/>
          <w:szCs w:val="36"/>
          <w:highlight w:val="none"/>
        </w:rPr>
      </w:pPr>
      <w:bookmarkStart w:id="356" w:name="OLE_LINK13"/>
      <w:r>
        <w:rPr>
          <w:rFonts w:hint="eastAsia" w:ascii="宋体" w:hAnsi="宋体" w:cs="宋体"/>
          <w:b/>
          <w:color w:val="auto"/>
          <w:sz w:val="32"/>
          <w:szCs w:val="32"/>
          <w:highlight w:val="none"/>
        </w:rPr>
        <w:t>附件3残疾人福利性单位声明函（如用，不用可删除）</w:t>
      </w:r>
    </w:p>
    <w:bookmarkEnd w:id="356"/>
    <w:p>
      <w:pPr>
        <w:spacing w:line="360" w:lineRule="auto"/>
        <w:rPr>
          <w:rFonts w:ascii="宋体" w:hAnsi="宋体" w:cs="宋体"/>
          <w:b/>
          <w:color w:val="auto"/>
          <w:spacing w:val="6"/>
          <w:sz w:val="24"/>
          <w:szCs w:val="24"/>
          <w:highlight w:val="none"/>
        </w:rPr>
      </w:pPr>
    </w:p>
    <w:p>
      <w:pPr>
        <w:spacing w:line="360" w:lineRule="auto"/>
        <w:ind w:firstLine="504" w:firstLineChars="200"/>
        <w:rPr>
          <w:rFonts w:ascii="宋体" w:hAnsi="宋体" w:cs="宋体"/>
          <w:color w:val="auto"/>
          <w:spacing w:val="6"/>
          <w:sz w:val="24"/>
          <w:szCs w:val="24"/>
          <w:highlight w:val="none"/>
        </w:rPr>
      </w:pPr>
      <w:r>
        <w:rPr>
          <w:rFonts w:hint="eastAsia" w:ascii="宋体" w:hAnsi="宋体" w:cs="宋体"/>
          <w:color w:val="auto"/>
          <w:spacing w:val="6"/>
          <w:sz w:val="24"/>
          <w:szCs w:val="24"/>
          <w:highlight w:val="none"/>
        </w:rPr>
        <w:t>本单位郑重声明，根据《财政部 民政部 中国残疾人联合会关于促进残疾人就业政府采购政策的通知》（财库</w:t>
      </w:r>
      <w:r>
        <w:rPr>
          <w:rFonts w:hint="eastAsia" w:ascii="宋体" w:hAnsi="宋体" w:cs="宋体"/>
          <w:color w:val="auto"/>
          <w:sz w:val="24"/>
          <w:szCs w:val="24"/>
          <w:highlight w:val="none"/>
        </w:rPr>
        <w:t>〔2017〕 141</w:t>
      </w:r>
      <w:r>
        <w:rPr>
          <w:rFonts w:hint="eastAsia" w:ascii="宋体" w:hAnsi="宋体" w:cs="宋体"/>
          <w:color w:val="auto"/>
          <w:spacing w:val="6"/>
          <w:sz w:val="24"/>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504" w:firstLineChars="200"/>
        <w:rPr>
          <w:rFonts w:ascii="宋体" w:hAnsi="宋体" w:cs="宋体"/>
          <w:color w:val="auto"/>
          <w:spacing w:val="6"/>
          <w:sz w:val="24"/>
          <w:szCs w:val="24"/>
          <w:highlight w:val="none"/>
        </w:rPr>
      </w:pPr>
      <w:r>
        <w:rPr>
          <w:rFonts w:hint="eastAsia" w:ascii="宋体" w:hAnsi="宋体" w:cs="宋体"/>
          <w:color w:val="auto"/>
          <w:spacing w:val="6"/>
          <w:sz w:val="24"/>
          <w:szCs w:val="24"/>
          <w:highlight w:val="none"/>
        </w:rPr>
        <w:t>本单位对上述声明的真实性负责。如有虚假，将依法承担相应责任。</w:t>
      </w:r>
    </w:p>
    <w:p>
      <w:pPr>
        <w:spacing w:line="360" w:lineRule="auto"/>
        <w:ind w:firstLine="504" w:firstLineChars="200"/>
        <w:rPr>
          <w:rFonts w:ascii="宋体" w:hAnsi="宋体" w:cs="宋体"/>
          <w:color w:val="auto"/>
          <w:spacing w:val="6"/>
          <w:sz w:val="24"/>
          <w:szCs w:val="24"/>
          <w:highlight w:val="none"/>
        </w:rPr>
      </w:pPr>
    </w:p>
    <w:p>
      <w:pPr>
        <w:spacing w:line="360" w:lineRule="auto"/>
        <w:ind w:firstLine="504" w:firstLineChars="200"/>
        <w:rPr>
          <w:rFonts w:ascii="宋体" w:hAnsi="宋体" w:cs="宋体"/>
          <w:color w:val="auto"/>
          <w:spacing w:val="6"/>
          <w:sz w:val="24"/>
          <w:szCs w:val="24"/>
          <w:highlight w:val="none"/>
        </w:rPr>
      </w:pPr>
    </w:p>
    <w:p>
      <w:pPr>
        <w:tabs>
          <w:tab w:val="left" w:pos="4860"/>
        </w:tabs>
        <w:spacing w:line="360" w:lineRule="auto"/>
        <w:ind w:right="1560" w:firstLine="504" w:firstLineChars="200"/>
        <w:jc w:val="center"/>
        <w:rPr>
          <w:rFonts w:ascii="宋体" w:hAnsi="宋体" w:cs="宋体"/>
          <w:color w:val="auto"/>
          <w:spacing w:val="6"/>
          <w:sz w:val="24"/>
          <w:szCs w:val="24"/>
          <w:highlight w:val="none"/>
        </w:rPr>
      </w:pPr>
      <w:r>
        <w:rPr>
          <w:rFonts w:hint="eastAsia" w:ascii="宋体" w:hAnsi="宋体" w:cs="宋体"/>
          <w:color w:val="auto"/>
          <w:spacing w:val="6"/>
          <w:sz w:val="24"/>
          <w:szCs w:val="24"/>
          <w:highlight w:val="none"/>
        </w:rPr>
        <w:t xml:space="preserve">               单位名称（盖章）：</w:t>
      </w:r>
    </w:p>
    <w:p>
      <w:pPr>
        <w:tabs>
          <w:tab w:val="left" w:pos="4860"/>
        </w:tabs>
        <w:spacing w:line="360" w:lineRule="auto"/>
        <w:ind w:right="1560" w:firstLine="504" w:firstLineChars="200"/>
        <w:jc w:val="center"/>
        <w:rPr>
          <w:rFonts w:ascii="宋体" w:hAnsi="宋体" w:cs="宋体"/>
          <w:color w:val="auto"/>
          <w:spacing w:val="6"/>
          <w:sz w:val="24"/>
          <w:szCs w:val="24"/>
          <w:highlight w:val="none"/>
        </w:rPr>
      </w:pPr>
      <w:r>
        <w:rPr>
          <w:rFonts w:hint="eastAsia" w:ascii="宋体" w:hAnsi="宋体" w:cs="宋体"/>
          <w:color w:val="auto"/>
          <w:spacing w:val="6"/>
          <w:sz w:val="24"/>
          <w:szCs w:val="24"/>
          <w:highlight w:val="none"/>
        </w:rPr>
        <w:t xml:space="preserve">       日  期：</w:t>
      </w:r>
    </w:p>
    <w:p>
      <w:pPr>
        <w:pStyle w:val="10"/>
        <w:rPr>
          <w:rFonts w:ascii="宋体" w:hAnsi="宋体" w:cs="宋体"/>
          <w:color w:val="auto"/>
          <w:sz w:val="24"/>
          <w:szCs w:val="24"/>
          <w:highlight w:val="none"/>
        </w:rPr>
      </w:pPr>
    </w:p>
    <w:p>
      <w:pPr>
        <w:spacing w:line="520" w:lineRule="exact"/>
        <w:rPr>
          <w:rFonts w:ascii="宋体" w:hAnsi="宋体" w:cs="宋体"/>
          <w:color w:val="auto"/>
          <w:sz w:val="24"/>
          <w:szCs w:val="24"/>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6"/>
          <w:szCs w:val="36"/>
          <w:highlight w:val="none"/>
        </w:rPr>
      </w:pPr>
      <w:r>
        <w:rPr>
          <w:rFonts w:hint="eastAsia" w:ascii="宋体" w:hAnsi="宋体" w:cs="宋体"/>
          <w:b/>
          <w:color w:val="auto"/>
          <w:sz w:val="32"/>
          <w:szCs w:val="32"/>
          <w:highlight w:val="none"/>
        </w:rPr>
        <w:t>附件4监狱、戒毒企业声明函（如用，不用可删除）</w:t>
      </w:r>
    </w:p>
    <w:p>
      <w:pPr>
        <w:rPr>
          <w:color w:val="auto"/>
          <w:highlight w:val="none"/>
        </w:rPr>
      </w:pPr>
    </w:p>
    <w:p>
      <w:pPr>
        <w:rPr>
          <w:color w:val="auto"/>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w:t>
      </w:r>
      <w:r>
        <w:rPr>
          <w:rFonts w:hint="eastAsia" w:ascii="宋体" w:hAnsi="宋体" w:cs="宋体"/>
          <w:color w:val="auto"/>
          <w:spacing w:val="-4"/>
          <w:kern w:val="0"/>
          <w:sz w:val="24"/>
          <w:highlight w:val="none"/>
        </w:rPr>
        <w:t>财政部 司法部 关于政府采购支持监狱企业发展有关问题的通知</w:t>
      </w:r>
      <w:r>
        <w:rPr>
          <w:rFonts w:hint="eastAsia" w:ascii="宋体" w:hAnsi="宋体" w:cs="宋体"/>
          <w:color w:val="auto"/>
          <w:sz w:val="24"/>
          <w:highlight w:val="none"/>
        </w:rPr>
        <w:t>》（财库〔2014〕 68号）的规定，本单位为符合条件的监狱、戒毒企业，且本单位参加的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项目采购活动提供本单位制造的货物（由本单位承担工程/提供服务），或者提供其他监狱、戒毒企业制造的货物（不包括使用非监狱、戒毒企业注册商标的货物）。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p>
    <w:p>
      <w:pPr>
        <w:tabs>
          <w:tab w:val="left" w:pos="4860"/>
          <w:tab w:val="left" w:pos="8040"/>
          <w:tab w:val="left" w:pos="8160"/>
        </w:tabs>
        <w:spacing w:line="360" w:lineRule="auto"/>
        <w:ind w:right="862" w:firstLine="3360" w:firstLineChars="1400"/>
        <w:jc w:val="both"/>
        <w:rPr>
          <w:rFonts w:ascii="宋体" w:hAnsi="宋体" w:cs="宋体"/>
          <w:color w:val="auto"/>
          <w:sz w:val="24"/>
          <w:highlight w:val="none"/>
          <w:u w:val="single"/>
        </w:rPr>
      </w:pPr>
      <w:r>
        <w:rPr>
          <w:rFonts w:hint="eastAsia" w:ascii="宋体" w:hAnsi="宋体" w:cs="宋体"/>
          <w:color w:val="auto"/>
          <w:sz w:val="24"/>
          <w:highlight w:val="none"/>
        </w:rPr>
        <w:t>投标人（公章）：</w:t>
      </w:r>
    </w:p>
    <w:p>
      <w:pPr>
        <w:tabs>
          <w:tab w:val="left" w:pos="4860"/>
        </w:tabs>
        <w:spacing w:line="360" w:lineRule="auto"/>
        <w:ind w:right="1560" w:firstLine="480" w:firstLineChars="200"/>
        <w:jc w:val="center"/>
        <w:rPr>
          <w:rFonts w:ascii="宋体" w:hAnsi="宋体" w:cs="宋体"/>
          <w:color w:val="auto"/>
          <w:sz w:val="24"/>
          <w:highlight w:val="none"/>
        </w:rPr>
      </w:pPr>
    </w:p>
    <w:p>
      <w:pPr>
        <w:tabs>
          <w:tab w:val="left" w:pos="4860"/>
        </w:tabs>
        <w:spacing w:line="360" w:lineRule="auto"/>
        <w:ind w:firstLine="3360" w:firstLineChars="1400"/>
        <w:jc w:val="both"/>
        <w:rPr>
          <w:rFonts w:ascii="宋体" w:hAnsi="宋体" w:cs="宋体"/>
          <w:color w:val="auto"/>
          <w:sz w:val="24"/>
          <w:highlight w:val="none"/>
        </w:rPr>
      </w:pPr>
      <w:r>
        <w:rPr>
          <w:rFonts w:hint="eastAsia" w:ascii="宋体" w:hAnsi="宋体" w:cs="宋体"/>
          <w:color w:val="auto"/>
          <w:sz w:val="24"/>
          <w:highlight w:val="none"/>
        </w:rPr>
        <w:t>日  期：</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年</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日</w:t>
      </w:r>
    </w:p>
    <w:p>
      <w:pPr>
        <w:spacing w:line="360" w:lineRule="auto"/>
        <w:ind w:firstLine="506" w:firstLineChars="200"/>
        <w:rPr>
          <w:rFonts w:ascii="宋体" w:hAnsi="宋体" w:cs="宋体"/>
          <w:b/>
          <w:color w:val="auto"/>
          <w:spacing w:val="6"/>
          <w:sz w:val="24"/>
          <w:highlight w:val="none"/>
          <w:shd w:val="pct10" w:color="auto" w:fill="FFFFFF"/>
        </w:rPr>
      </w:pPr>
    </w:p>
    <w:p>
      <w:pPr>
        <w:spacing w:line="360" w:lineRule="auto"/>
        <w:ind w:firstLine="506" w:firstLineChars="200"/>
        <w:rPr>
          <w:rFonts w:ascii="宋体" w:hAnsi="宋体" w:cs="宋体"/>
          <w:b/>
          <w:color w:val="auto"/>
          <w:spacing w:val="6"/>
          <w:sz w:val="24"/>
          <w:highlight w:val="none"/>
          <w:shd w:val="pct10" w:color="auto" w:fill="FFFFFF"/>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备注：投标人提供的《</w:t>
      </w:r>
      <w:r>
        <w:rPr>
          <w:rFonts w:hint="eastAsia" w:ascii="宋体" w:hAnsi="宋体" w:cs="宋体"/>
          <w:color w:val="auto"/>
          <w:sz w:val="24"/>
          <w:highlight w:val="none"/>
        </w:rPr>
        <w:t>监狱、戒毒企业</w:t>
      </w:r>
      <w:r>
        <w:rPr>
          <w:rFonts w:hint="eastAsia" w:ascii="宋体" w:hAnsi="宋体" w:cs="宋体"/>
          <w:color w:val="auto"/>
          <w:kern w:val="0"/>
          <w:sz w:val="24"/>
          <w:highlight w:val="none"/>
          <w:lang w:val="zh-CN"/>
        </w:rPr>
        <w:t>声明函》必须真实有效，</w:t>
      </w:r>
      <w:r>
        <w:rPr>
          <w:rFonts w:hint="eastAsia" w:ascii="宋体" w:hAnsi="宋体" w:cs="宋体"/>
          <w:color w:val="auto"/>
          <w:sz w:val="24"/>
          <w:highlight w:val="none"/>
        </w:rPr>
        <w:t>投标人应当提供由省级以上监狱管理局、戒毒管理局(含新疆生产建设兵团)出具的属于监狱企业的证明文件。</w:t>
      </w:r>
    </w:p>
    <w:p>
      <w:pPr>
        <w:pStyle w:val="25"/>
        <w:rPr>
          <w:rFonts w:hint="eastAsia" w:ascii="Times New Roman" w:hAnsi="Times New Roman" w:cs="Times New Roman"/>
          <w:color w:val="auto"/>
          <w:highlight w:val="none"/>
          <w:lang w:eastAsia="zh-CN"/>
        </w:rPr>
      </w:pPr>
      <w:r>
        <w:rPr>
          <w:rFonts w:hint="eastAsia" w:ascii="宋体" w:hAnsi="宋体" w:eastAsia="宋体" w:cs="宋体"/>
          <w:b/>
          <w:bCs/>
          <w:color w:val="auto"/>
          <w:kern w:val="44"/>
          <w:sz w:val="36"/>
          <w:szCs w:val="44"/>
          <w:highlight w:val="none"/>
          <w:lang w:val="en-US" w:eastAsia="zh-CN" w:bidi="ar-SA"/>
        </w:rPr>
        <w:br w:type="page"/>
      </w:r>
    </w:p>
    <w:p>
      <w:pPr>
        <w:pStyle w:val="5"/>
        <w:bidi w:val="0"/>
        <w:jc w:val="center"/>
        <w:rPr>
          <w:rFonts w:hint="eastAsia"/>
          <w:color w:val="auto"/>
          <w:highlight w:val="none"/>
          <w:lang w:val="en-US" w:eastAsia="zh-CN"/>
        </w:rPr>
      </w:pPr>
      <w:bookmarkStart w:id="357" w:name="_Toc9283"/>
      <w:bookmarkStart w:id="358" w:name="_Toc11676"/>
      <w:bookmarkStart w:id="359" w:name="_Toc9802"/>
      <w:bookmarkStart w:id="360" w:name="_Toc28403"/>
      <w:bookmarkStart w:id="361" w:name="_Toc19137"/>
      <w:bookmarkStart w:id="362" w:name="_Toc92"/>
      <w:bookmarkStart w:id="363" w:name="_Toc27335"/>
      <w:bookmarkStart w:id="364" w:name="_Toc4462"/>
      <w:r>
        <w:rPr>
          <w:rFonts w:hint="eastAsia"/>
          <w:color w:val="auto"/>
          <w:highlight w:val="none"/>
          <w:lang w:val="en-US" w:eastAsia="zh-CN"/>
        </w:rPr>
        <w:t>三、响应方案</w:t>
      </w:r>
      <w:bookmarkEnd w:id="357"/>
      <w:bookmarkEnd w:id="358"/>
      <w:bookmarkEnd w:id="359"/>
      <w:bookmarkEnd w:id="360"/>
      <w:bookmarkEnd w:id="361"/>
      <w:bookmarkEnd w:id="362"/>
    </w:p>
    <w:bookmarkEnd w:id="339"/>
    <w:bookmarkEnd w:id="340"/>
    <w:bookmarkEnd w:id="363"/>
    <w:bookmarkEnd w:id="364"/>
    <w:p>
      <w:pPr>
        <w:pStyle w:val="5"/>
        <w:bidi w:val="0"/>
        <w:rPr>
          <w:rFonts w:hint="eastAsia"/>
        </w:rPr>
      </w:pPr>
      <w:bookmarkStart w:id="365" w:name="_Toc21059"/>
      <w:bookmarkStart w:id="366" w:name="_Toc21623"/>
      <w:r>
        <w:rPr>
          <w:rFonts w:hint="eastAsia"/>
        </w:rPr>
        <w:t>一、响应方案</w:t>
      </w:r>
      <w:bookmarkEnd w:id="365"/>
      <w:bookmarkEnd w:id="366"/>
    </w:p>
    <w:p>
      <w:pPr>
        <w:pStyle w:val="5"/>
        <w:bidi w:val="0"/>
        <w:ind w:firstLine="560" w:firstLineChars="200"/>
        <w:rPr>
          <w:rFonts w:hint="eastAsia" w:ascii="宋体" w:hAnsi="宋体" w:eastAsia="宋体" w:cs="宋体"/>
          <w:b w:val="0"/>
          <w:kern w:val="2"/>
          <w:sz w:val="28"/>
          <w:szCs w:val="28"/>
          <w:lang w:val="en-US" w:eastAsia="zh-CN" w:bidi="ar-SA"/>
        </w:rPr>
      </w:pPr>
      <w:r>
        <w:rPr>
          <w:rFonts w:hint="eastAsia" w:ascii="宋体" w:hAnsi="宋体" w:eastAsia="宋体" w:cs="宋体"/>
          <w:b w:val="0"/>
          <w:kern w:val="2"/>
          <w:sz w:val="28"/>
          <w:szCs w:val="28"/>
          <w:lang w:val="en-US" w:eastAsia="zh-CN" w:bidi="ar-SA"/>
        </w:rPr>
        <w:t>参照磋商文件第六章《组织评标》各条款的要求，结合第四章《技术要求及规范》编制响应方案。</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sz w:val="28"/>
          <w:szCs w:val="28"/>
        </w:rPr>
      </w:pPr>
      <w:bookmarkStart w:id="367" w:name="_Toc31329"/>
      <w:r>
        <w:rPr>
          <w:rStyle w:val="170"/>
          <w:rFonts w:hint="eastAsia"/>
          <w:lang w:eastAsia="zh-CN"/>
        </w:rPr>
        <w:t>二、</w:t>
      </w:r>
      <w:r>
        <w:rPr>
          <w:rStyle w:val="170"/>
          <w:rFonts w:hint="eastAsia"/>
        </w:rPr>
        <w:t>参考样表</w:t>
      </w:r>
      <w:bookmarkEnd w:id="367"/>
      <w:r>
        <w:rPr>
          <w:rFonts w:hint="eastAsia" w:ascii="宋体" w:hAnsi="宋体" w:eastAsia="宋体" w:cs="宋体"/>
          <w:sz w:val="28"/>
          <w:szCs w:val="28"/>
        </w:rPr>
        <w:t xml:space="preserve">（仅供参考） </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sz w:val="28"/>
          <w:szCs w:val="28"/>
        </w:rPr>
        <w:t>1、项目团队情况概述</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rPr>
      </w:pPr>
      <w:r>
        <w:rPr>
          <w:rFonts w:hint="eastAsia" w:ascii="宋体" w:hAnsi="宋体" w:eastAsia="宋体" w:cs="宋体"/>
          <w:sz w:val="28"/>
          <w:szCs w:val="28"/>
        </w:rPr>
        <w:t>概述内容包括但不限于为本项目提供</w:t>
      </w:r>
      <w:r>
        <w:rPr>
          <w:rFonts w:hint="eastAsia" w:ascii="宋体" w:hAnsi="宋体" w:cs="宋体"/>
          <w:sz w:val="28"/>
          <w:szCs w:val="28"/>
          <w:lang w:eastAsia="zh-CN"/>
        </w:rPr>
        <w:t>监理</w:t>
      </w:r>
      <w:r>
        <w:rPr>
          <w:rFonts w:hint="eastAsia" w:ascii="宋体" w:hAnsi="宋体" w:eastAsia="宋体" w:cs="宋体"/>
          <w:sz w:val="28"/>
          <w:szCs w:val="28"/>
        </w:rPr>
        <w:t>服务的团队整体情况、团队负责人、联系人基本情况、背景、能力介绍等，具体内容自行编制。</w:t>
      </w:r>
    </w:p>
    <w:p>
      <w:pPr>
        <w:spacing w:before="91" w:line="213" w:lineRule="auto"/>
        <w:ind w:left="2083"/>
        <w:rPr>
          <w:rFonts w:ascii="宋体" w:hAnsi="宋体" w:eastAsia="宋体" w:cs="宋体"/>
          <w:sz w:val="28"/>
          <w:szCs w:val="28"/>
        </w:rPr>
      </w:pPr>
      <w:r>
        <w:rPr>
          <w:rFonts w:ascii="宋体" w:hAnsi="宋体" w:eastAsia="宋体" w:cs="宋体"/>
          <w:spacing w:val="-14"/>
          <w:sz w:val="28"/>
          <w:szCs w:val="28"/>
        </w:rPr>
        <w:t>附表</w:t>
      </w:r>
      <w:r>
        <w:rPr>
          <w:rFonts w:ascii="宋体" w:hAnsi="宋体" w:eastAsia="宋体" w:cs="宋体"/>
          <w:spacing w:val="-10"/>
          <w:sz w:val="28"/>
          <w:szCs w:val="28"/>
        </w:rPr>
        <w:t>一</w:t>
      </w:r>
      <w:r>
        <w:rPr>
          <w:rFonts w:ascii="宋体" w:hAnsi="宋体" w:eastAsia="宋体" w:cs="宋体"/>
          <w:spacing w:val="-7"/>
          <w:sz w:val="28"/>
          <w:szCs w:val="28"/>
        </w:rPr>
        <w:t>： 拟配备本项目的试验和检测仪器设备表</w:t>
      </w:r>
    </w:p>
    <w:tbl>
      <w:tblPr>
        <w:tblStyle w:val="171"/>
        <w:tblW w:w="9085" w:type="dxa"/>
        <w:tblInd w:w="1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2"/>
        <w:gridCol w:w="1226"/>
        <w:gridCol w:w="770"/>
        <w:gridCol w:w="766"/>
        <w:gridCol w:w="923"/>
        <w:gridCol w:w="770"/>
        <w:gridCol w:w="924"/>
        <w:gridCol w:w="770"/>
        <w:gridCol w:w="1387"/>
        <w:gridCol w:w="7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90" w:hRule="atLeast"/>
        </w:trPr>
        <w:tc>
          <w:tcPr>
            <w:tcW w:w="782" w:type="dxa"/>
            <w:vAlign w:val="top"/>
          </w:tcPr>
          <w:p>
            <w:pPr>
              <w:spacing w:line="326" w:lineRule="auto"/>
              <w:rPr>
                <w:rFonts w:ascii="Arial"/>
                <w:sz w:val="21"/>
              </w:rPr>
            </w:pPr>
          </w:p>
          <w:p>
            <w:pPr>
              <w:spacing w:before="69" w:line="222" w:lineRule="auto"/>
              <w:ind w:left="115"/>
              <w:rPr>
                <w:rFonts w:ascii="宋体" w:hAnsi="宋体" w:eastAsia="宋体" w:cs="宋体"/>
                <w:sz w:val="21"/>
                <w:szCs w:val="21"/>
              </w:rPr>
            </w:pPr>
            <w:r>
              <w:rPr>
                <w:rFonts w:ascii="宋体" w:hAnsi="宋体" w:eastAsia="宋体" w:cs="宋体"/>
                <w:spacing w:val="-2"/>
                <w:sz w:val="21"/>
                <w:szCs w:val="21"/>
              </w:rPr>
              <w:t>序</w:t>
            </w:r>
            <w:r>
              <w:rPr>
                <w:rFonts w:ascii="宋体" w:hAnsi="宋体" w:eastAsia="宋体" w:cs="宋体"/>
                <w:spacing w:val="-1"/>
                <w:sz w:val="21"/>
                <w:szCs w:val="21"/>
              </w:rPr>
              <w:t>号</w:t>
            </w:r>
          </w:p>
        </w:tc>
        <w:tc>
          <w:tcPr>
            <w:tcW w:w="1226" w:type="dxa"/>
            <w:vAlign w:val="top"/>
          </w:tcPr>
          <w:p>
            <w:pPr>
              <w:spacing w:before="176" w:line="439" w:lineRule="exact"/>
              <w:ind w:left="196"/>
              <w:rPr>
                <w:rFonts w:ascii="宋体" w:hAnsi="宋体" w:eastAsia="宋体" w:cs="宋体"/>
                <w:sz w:val="21"/>
                <w:szCs w:val="21"/>
              </w:rPr>
            </w:pPr>
            <w:r>
              <w:rPr>
                <w:rFonts w:ascii="宋体" w:hAnsi="宋体" w:eastAsia="宋体" w:cs="宋体"/>
                <w:spacing w:val="-2"/>
                <w:position w:val="17"/>
                <w:sz w:val="21"/>
                <w:szCs w:val="21"/>
              </w:rPr>
              <w:t>仪器</w:t>
            </w:r>
            <w:r>
              <w:rPr>
                <w:rFonts w:ascii="宋体" w:hAnsi="宋体" w:eastAsia="宋体" w:cs="宋体"/>
                <w:spacing w:val="-1"/>
                <w:position w:val="17"/>
                <w:sz w:val="21"/>
                <w:szCs w:val="21"/>
              </w:rPr>
              <w:t>设备</w:t>
            </w:r>
          </w:p>
          <w:p>
            <w:pPr>
              <w:spacing w:line="222" w:lineRule="auto"/>
              <w:ind w:left="409"/>
              <w:rPr>
                <w:rFonts w:ascii="宋体" w:hAnsi="宋体" w:eastAsia="宋体" w:cs="宋体"/>
                <w:sz w:val="21"/>
                <w:szCs w:val="21"/>
              </w:rPr>
            </w:pPr>
            <w:r>
              <w:rPr>
                <w:rFonts w:ascii="宋体" w:hAnsi="宋体" w:eastAsia="宋体" w:cs="宋体"/>
                <w:spacing w:val="-3"/>
                <w:sz w:val="21"/>
                <w:szCs w:val="21"/>
              </w:rPr>
              <w:t>名</w:t>
            </w:r>
            <w:r>
              <w:rPr>
                <w:rFonts w:ascii="宋体" w:hAnsi="宋体" w:eastAsia="宋体" w:cs="宋体"/>
                <w:spacing w:val="-2"/>
                <w:sz w:val="21"/>
                <w:szCs w:val="21"/>
              </w:rPr>
              <w:t>称</w:t>
            </w:r>
          </w:p>
        </w:tc>
        <w:tc>
          <w:tcPr>
            <w:tcW w:w="770" w:type="dxa"/>
            <w:vAlign w:val="top"/>
          </w:tcPr>
          <w:p>
            <w:pPr>
              <w:spacing w:before="176" w:line="439" w:lineRule="exact"/>
              <w:ind w:left="186"/>
              <w:rPr>
                <w:rFonts w:ascii="宋体" w:hAnsi="宋体" w:eastAsia="宋体" w:cs="宋体"/>
                <w:sz w:val="21"/>
                <w:szCs w:val="21"/>
              </w:rPr>
            </w:pPr>
            <w:r>
              <w:rPr>
                <w:rFonts w:ascii="宋体" w:hAnsi="宋体" w:eastAsia="宋体" w:cs="宋体"/>
                <w:spacing w:val="-4"/>
                <w:position w:val="17"/>
                <w:sz w:val="21"/>
                <w:szCs w:val="21"/>
              </w:rPr>
              <w:t>型</w:t>
            </w:r>
            <w:r>
              <w:rPr>
                <w:rFonts w:ascii="宋体" w:hAnsi="宋体" w:eastAsia="宋体" w:cs="宋体"/>
                <w:spacing w:val="-3"/>
                <w:position w:val="17"/>
                <w:sz w:val="21"/>
                <w:szCs w:val="21"/>
              </w:rPr>
              <w:t>号</w:t>
            </w:r>
          </w:p>
          <w:p>
            <w:pPr>
              <w:spacing w:line="220" w:lineRule="auto"/>
              <w:ind w:left="180"/>
              <w:rPr>
                <w:rFonts w:ascii="宋体" w:hAnsi="宋体" w:eastAsia="宋体" w:cs="宋体"/>
                <w:sz w:val="21"/>
                <w:szCs w:val="21"/>
              </w:rPr>
            </w:pPr>
            <w:r>
              <w:rPr>
                <w:rFonts w:ascii="宋体" w:hAnsi="宋体" w:eastAsia="宋体" w:cs="宋体"/>
                <w:spacing w:val="-2"/>
                <w:sz w:val="21"/>
                <w:szCs w:val="21"/>
              </w:rPr>
              <w:t>规格</w:t>
            </w:r>
          </w:p>
        </w:tc>
        <w:tc>
          <w:tcPr>
            <w:tcW w:w="766" w:type="dxa"/>
            <w:vAlign w:val="top"/>
          </w:tcPr>
          <w:p>
            <w:pPr>
              <w:spacing w:line="326" w:lineRule="auto"/>
              <w:rPr>
                <w:rFonts w:ascii="Arial"/>
                <w:sz w:val="21"/>
              </w:rPr>
            </w:pPr>
          </w:p>
          <w:p>
            <w:pPr>
              <w:spacing w:before="68" w:line="221" w:lineRule="auto"/>
              <w:ind w:left="179"/>
              <w:rPr>
                <w:rFonts w:ascii="宋体" w:hAnsi="宋体" w:eastAsia="宋体" w:cs="宋体"/>
                <w:sz w:val="21"/>
                <w:szCs w:val="21"/>
              </w:rPr>
            </w:pPr>
            <w:r>
              <w:rPr>
                <w:rFonts w:ascii="宋体" w:hAnsi="宋体" w:eastAsia="宋体" w:cs="宋体"/>
                <w:spacing w:val="-2"/>
                <w:sz w:val="21"/>
                <w:szCs w:val="21"/>
              </w:rPr>
              <w:t>数量</w:t>
            </w:r>
          </w:p>
        </w:tc>
        <w:tc>
          <w:tcPr>
            <w:tcW w:w="923" w:type="dxa"/>
            <w:vAlign w:val="top"/>
          </w:tcPr>
          <w:p>
            <w:pPr>
              <w:spacing w:before="176" w:line="439" w:lineRule="exact"/>
              <w:ind w:left="277"/>
              <w:rPr>
                <w:rFonts w:ascii="宋体" w:hAnsi="宋体" w:eastAsia="宋体" w:cs="宋体"/>
                <w:sz w:val="21"/>
                <w:szCs w:val="21"/>
              </w:rPr>
            </w:pPr>
            <w:r>
              <w:rPr>
                <w:rFonts w:ascii="宋体" w:hAnsi="宋体" w:eastAsia="宋体" w:cs="宋体"/>
                <w:spacing w:val="-8"/>
                <w:position w:val="17"/>
                <w:sz w:val="21"/>
                <w:szCs w:val="21"/>
              </w:rPr>
              <w:t>国</w:t>
            </w:r>
            <w:r>
              <w:rPr>
                <w:rFonts w:ascii="宋体" w:hAnsi="宋体" w:eastAsia="宋体" w:cs="宋体"/>
                <w:spacing w:val="-6"/>
                <w:position w:val="17"/>
                <w:sz w:val="21"/>
                <w:szCs w:val="21"/>
              </w:rPr>
              <w:t>别</w:t>
            </w:r>
          </w:p>
          <w:p>
            <w:pPr>
              <w:spacing w:line="220" w:lineRule="auto"/>
              <w:ind w:left="257"/>
              <w:rPr>
                <w:rFonts w:ascii="宋体" w:hAnsi="宋体" w:eastAsia="宋体" w:cs="宋体"/>
                <w:sz w:val="21"/>
                <w:szCs w:val="21"/>
              </w:rPr>
            </w:pPr>
            <w:r>
              <w:rPr>
                <w:rFonts w:ascii="宋体" w:hAnsi="宋体" w:eastAsia="宋体" w:cs="宋体"/>
                <w:spacing w:val="-2"/>
                <w:sz w:val="21"/>
                <w:szCs w:val="21"/>
              </w:rPr>
              <w:t>产</w:t>
            </w:r>
            <w:r>
              <w:rPr>
                <w:rFonts w:ascii="宋体" w:hAnsi="宋体" w:eastAsia="宋体" w:cs="宋体"/>
                <w:spacing w:val="-1"/>
                <w:sz w:val="21"/>
                <w:szCs w:val="21"/>
              </w:rPr>
              <w:t>地</w:t>
            </w:r>
          </w:p>
        </w:tc>
        <w:tc>
          <w:tcPr>
            <w:tcW w:w="770" w:type="dxa"/>
            <w:vAlign w:val="top"/>
          </w:tcPr>
          <w:p>
            <w:pPr>
              <w:spacing w:before="176" w:line="439" w:lineRule="exact"/>
              <w:ind w:left="182"/>
              <w:rPr>
                <w:rFonts w:ascii="宋体" w:hAnsi="宋体" w:eastAsia="宋体" w:cs="宋体"/>
                <w:sz w:val="21"/>
                <w:szCs w:val="21"/>
              </w:rPr>
            </w:pPr>
            <w:r>
              <w:rPr>
                <w:rFonts w:ascii="宋体" w:hAnsi="宋体" w:eastAsia="宋体" w:cs="宋体"/>
                <w:spacing w:val="-2"/>
                <w:position w:val="17"/>
                <w:sz w:val="21"/>
                <w:szCs w:val="21"/>
              </w:rPr>
              <w:t>制造</w:t>
            </w:r>
          </w:p>
          <w:p>
            <w:pPr>
              <w:spacing w:line="220" w:lineRule="auto"/>
              <w:ind w:left="182"/>
              <w:rPr>
                <w:rFonts w:ascii="宋体" w:hAnsi="宋体" w:eastAsia="宋体" w:cs="宋体"/>
                <w:sz w:val="21"/>
                <w:szCs w:val="21"/>
              </w:rPr>
            </w:pPr>
            <w:r>
              <w:rPr>
                <w:rFonts w:ascii="宋体" w:hAnsi="宋体" w:eastAsia="宋体" w:cs="宋体"/>
                <w:spacing w:val="-2"/>
                <w:sz w:val="21"/>
                <w:szCs w:val="21"/>
              </w:rPr>
              <w:t>年份</w:t>
            </w:r>
          </w:p>
        </w:tc>
        <w:tc>
          <w:tcPr>
            <w:tcW w:w="924" w:type="dxa"/>
            <w:vAlign w:val="top"/>
          </w:tcPr>
          <w:p>
            <w:pPr>
              <w:spacing w:before="176" w:line="439" w:lineRule="exact"/>
              <w:ind w:left="175"/>
              <w:rPr>
                <w:rFonts w:ascii="宋体" w:hAnsi="宋体" w:eastAsia="宋体" w:cs="宋体"/>
                <w:sz w:val="21"/>
                <w:szCs w:val="21"/>
              </w:rPr>
            </w:pPr>
            <w:r>
              <w:rPr>
                <w:rFonts w:ascii="宋体" w:hAnsi="宋体" w:eastAsia="宋体" w:cs="宋体"/>
                <w:spacing w:val="-7"/>
                <w:position w:val="17"/>
                <w:sz w:val="21"/>
                <w:szCs w:val="21"/>
              </w:rPr>
              <w:t>已</w:t>
            </w:r>
            <w:r>
              <w:rPr>
                <w:rFonts w:ascii="宋体" w:hAnsi="宋体" w:eastAsia="宋体" w:cs="宋体"/>
                <w:spacing w:val="-6"/>
                <w:position w:val="17"/>
                <w:sz w:val="21"/>
                <w:szCs w:val="21"/>
              </w:rPr>
              <w:t>使用</w:t>
            </w:r>
          </w:p>
          <w:p>
            <w:pPr>
              <w:spacing w:line="220" w:lineRule="auto"/>
              <w:ind w:left="259"/>
              <w:rPr>
                <w:rFonts w:ascii="宋体" w:hAnsi="宋体" w:eastAsia="宋体" w:cs="宋体"/>
                <w:sz w:val="21"/>
                <w:szCs w:val="21"/>
              </w:rPr>
            </w:pPr>
            <w:r>
              <w:rPr>
                <w:rFonts w:ascii="宋体" w:hAnsi="宋体" w:eastAsia="宋体" w:cs="宋体"/>
                <w:spacing w:val="-2"/>
                <w:sz w:val="21"/>
                <w:szCs w:val="21"/>
              </w:rPr>
              <w:t>年数</w:t>
            </w:r>
          </w:p>
        </w:tc>
        <w:tc>
          <w:tcPr>
            <w:tcW w:w="770" w:type="dxa"/>
            <w:vAlign w:val="top"/>
          </w:tcPr>
          <w:p>
            <w:pPr>
              <w:spacing w:line="326" w:lineRule="auto"/>
              <w:rPr>
                <w:rFonts w:ascii="Arial"/>
                <w:sz w:val="21"/>
              </w:rPr>
            </w:pPr>
          </w:p>
          <w:p>
            <w:pPr>
              <w:spacing w:before="69" w:line="222" w:lineRule="auto"/>
              <w:ind w:left="183"/>
              <w:rPr>
                <w:rFonts w:ascii="宋体" w:hAnsi="宋体" w:eastAsia="宋体" w:cs="宋体"/>
                <w:sz w:val="21"/>
                <w:szCs w:val="21"/>
              </w:rPr>
            </w:pPr>
            <w:r>
              <w:rPr>
                <w:rFonts w:ascii="宋体" w:hAnsi="宋体" w:eastAsia="宋体" w:cs="宋体"/>
                <w:spacing w:val="-2"/>
                <w:sz w:val="21"/>
                <w:szCs w:val="21"/>
              </w:rPr>
              <w:t>用途</w:t>
            </w:r>
          </w:p>
        </w:tc>
        <w:tc>
          <w:tcPr>
            <w:tcW w:w="1387" w:type="dxa"/>
            <w:vAlign w:val="top"/>
          </w:tcPr>
          <w:p>
            <w:pPr>
              <w:spacing w:line="327" w:lineRule="auto"/>
              <w:rPr>
                <w:rFonts w:ascii="Arial"/>
                <w:sz w:val="21"/>
              </w:rPr>
            </w:pPr>
          </w:p>
          <w:p>
            <w:pPr>
              <w:spacing w:before="68" w:line="221" w:lineRule="auto"/>
              <w:ind w:left="283"/>
              <w:rPr>
                <w:rFonts w:ascii="宋体" w:hAnsi="宋体" w:eastAsia="宋体" w:cs="宋体"/>
                <w:sz w:val="21"/>
                <w:szCs w:val="21"/>
              </w:rPr>
            </w:pPr>
            <w:r>
              <w:rPr>
                <w:rFonts w:ascii="宋体" w:hAnsi="宋体" w:eastAsia="宋体" w:cs="宋体"/>
                <w:spacing w:val="-2"/>
                <w:sz w:val="21"/>
                <w:szCs w:val="21"/>
              </w:rPr>
              <w:t>投入时间</w:t>
            </w:r>
          </w:p>
        </w:tc>
        <w:tc>
          <w:tcPr>
            <w:tcW w:w="767" w:type="dxa"/>
            <w:vAlign w:val="top"/>
          </w:tcPr>
          <w:p>
            <w:pPr>
              <w:spacing w:line="326" w:lineRule="auto"/>
              <w:rPr>
                <w:rFonts w:ascii="Arial"/>
                <w:sz w:val="21"/>
              </w:rPr>
            </w:pPr>
          </w:p>
          <w:p>
            <w:pPr>
              <w:spacing w:before="69" w:line="222" w:lineRule="auto"/>
              <w:ind w:left="183"/>
              <w:rPr>
                <w:rFonts w:ascii="宋体" w:hAnsi="宋体" w:eastAsia="宋体" w:cs="宋体"/>
                <w:sz w:val="21"/>
                <w:szCs w:val="21"/>
              </w:rPr>
            </w:pPr>
            <w:r>
              <w:rPr>
                <w:rFonts w:ascii="宋体" w:hAnsi="宋体" w:eastAsia="宋体" w:cs="宋体"/>
                <w:spacing w:val="-3"/>
                <w:sz w:val="21"/>
                <w:szCs w:val="21"/>
              </w:rPr>
              <w:t>备</w:t>
            </w:r>
            <w:r>
              <w:rPr>
                <w:rFonts w:ascii="宋体" w:hAnsi="宋体" w:eastAsia="宋体" w:cs="宋体"/>
                <w:spacing w:val="-2"/>
                <w:sz w:val="21"/>
                <w:szCs w:val="21"/>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782" w:type="dxa"/>
            <w:vAlign w:val="top"/>
          </w:tcPr>
          <w:p>
            <w:pPr>
              <w:rPr>
                <w:rFonts w:ascii="Arial"/>
                <w:sz w:val="21"/>
              </w:rPr>
            </w:pPr>
          </w:p>
        </w:tc>
        <w:tc>
          <w:tcPr>
            <w:tcW w:w="1226" w:type="dxa"/>
            <w:vAlign w:val="top"/>
          </w:tcPr>
          <w:p>
            <w:pPr>
              <w:rPr>
                <w:rFonts w:ascii="Arial"/>
                <w:sz w:val="21"/>
              </w:rPr>
            </w:pPr>
          </w:p>
        </w:tc>
        <w:tc>
          <w:tcPr>
            <w:tcW w:w="770" w:type="dxa"/>
            <w:vAlign w:val="top"/>
          </w:tcPr>
          <w:p>
            <w:pPr>
              <w:rPr>
                <w:rFonts w:ascii="Arial"/>
                <w:sz w:val="21"/>
              </w:rPr>
            </w:pPr>
          </w:p>
        </w:tc>
        <w:tc>
          <w:tcPr>
            <w:tcW w:w="766" w:type="dxa"/>
            <w:vAlign w:val="top"/>
          </w:tcPr>
          <w:p>
            <w:pPr>
              <w:rPr>
                <w:rFonts w:ascii="Arial"/>
                <w:sz w:val="21"/>
              </w:rPr>
            </w:pPr>
          </w:p>
        </w:tc>
        <w:tc>
          <w:tcPr>
            <w:tcW w:w="923" w:type="dxa"/>
            <w:vAlign w:val="top"/>
          </w:tcPr>
          <w:p>
            <w:pPr>
              <w:rPr>
                <w:rFonts w:ascii="Arial"/>
                <w:sz w:val="21"/>
              </w:rPr>
            </w:pPr>
          </w:p>
        </w:tc>
        <w:tc>
          <w:tcPr>
            <w:tcW w:w="770" w:type="dxa"/>
            <w:vAlign w:val="top"/>
          </w:tcPr>
          <w:p>
            <w:pPr>
              <w:rPr>
                <w:rFonts w:ascii="Arial"/>
                <w:sz w:val="21"/>
              </w:rPr>
            </w:pPr>
          </w:p>
        </w:tc>
        <w:tc>
          <w:tcPr>
            <w:tcW w:w="924" w:type="dxa"/>
            <w:vAlign w:val="top"/>
          </w:tcPr>
          <w:p>
            <w:pPr>
              <w:rPr>
                <w:rFonts w:ascii="Arial"/>
                <w:sz w:val="21"/>
              </w:rPr>
            </w:pPr>
          </w:p>
        </w:tc>
        <w:tc>
          <w:tcPr>
            <w:tcW w:w="770" w:type="dxa"/>
            <w:vAlign w:val="top"/>
          </w:tcPr>
          <w:p>
            <w:pPr>
              <w:rPr>
                <w:rFonts w:ascii="Arial"/>
                <w:sz w:val="21"/>
              </w:rPr>
            </w:pPr>
          </w:p>
        </w:tc>
        <w:tc>
          <w:tcPr>
            <w:tcW w:w="1387" w:type="dxa"/>
            <w:vAlign w:val="top"/>
          </w:tcPr>
          <w:p>
            <w:pPr>
              <w:rPr>
                <w:rFonts w:ascii="Arial"/>
                <w:sz w:val="21"/>
              </w:rPr>
            </w:pPr>
          </w:p>
        </w:tc>
        <w:tc>
          <w:tcPr>
            <w:tcW w:w="767" w:type="dxa"/>
            <w:vAlign w:val="top"/>
          </w:tcPr>
          <w:p>
            <w:pPr>
              <w:rPr>
                <w:rFonts w:ascii="Arial"/>
                <w:sz w:val="21"/>
              </w:rPr>
            </w:pPr>
          </w:p>
        </w:tc>
      </w:tr>
    </w:tbl>
    <w:p>
      <w:pPr>
        <w:spacing w:before="91" w:line="219" w:lineRule="auto"/>
        <w:jc w:val="both"/>
        <w:rPr>
          <w:rFonts w:hint="eastAsia" w:ascii="宋体" w:hAnsi="宋体" w:eastAsia="宋体" w:cs="宋体"/>
          <w:spacing w:val="-2"/>
          <w:sz w:val="28"/>
          <w:szCs w:val="28"/>
          <w:lang w:eastAsia="zh-CN"/>
        </w:rPr>
      </w:pPr>
    </w:p>
    <w:p>
      <w:pPr>
        <w:spacing w:before="91" w:line="219" w:lineRule="auto"/>
        <w:jc w:val="center"/>
        <w:rPr>
          <w:rFonts w:ascii="宋体" w:hAnsi="宋体" w:eastAsia="宋体" w:cs="宋体"/>
          <w:sz w:val="28"/>
          <w:szCs w:val="28"/>
        </w:rPr>
      </w:pPr>
      <w:r>
        <w:rPr>
          <w:rFonts w:hint="eastAsia" w:ascii="宋体" w:hAnsi="宋体" w:eastAsia="宋体" w:cs="宋体"/>
          <w:spacing w:val="-2"/>
          <w:sz w:val="28"/>
          <w:szCs w:val="28"/>
          <w:lang w:eastAsia="zh-CN"/>
        </w:rPr>
        <w:t>附表二</w:t>
      </w:r>
      <w:r>
        <w:rPr>
          <w:rFonts w:hint="eastAsia" w:ascii="宋体" w:hAnsi="宋体" w:eastAsia="宋体" w:cs="宋体"/>
          <w:spacing w:val="-2"/>
          <w:sz w:val="28"/>
          <w:szCs w:val="28"/>
          <w:lang w:val="en-US" w:eastAsia="zh-CN"/>
        </w:rPr>
        <w:t xml:space="preserve">  </w:t>
      </w:r>
      <w:r>
        <w:rPr>
          <w:rFonts w:ascii="宋体" w:hAnsi="宋体" w:eastAsia="宋体" w:cs="宋体"/>
          <w:spacing w:val="-2"/>
          <w:sz w:val="28"/>
          <w:szCs w:val="28"/>
        </w:rPr>
        <w:t>项目管</w:t>
      </w:r>
      <w:r>
        <w:rPr>
          <w:rFonts w:ascii="宋体" w:hAnsi="宋体" w:eastAsia="宋体" w:cs="宋体"/>
          <w:spacing w:val="-1"/>
          <w:sz w:val="28"/>
          <w:szCs w:val="28"/>
        </w:rPr>
        <w:t>理机构</w:t>
      </w:r>
    </w:p>
    <w:p>
      <w:pPr>
        <w:spacing w:before="102" w:line="220" w:lineRule="auto"/>
        <w:ind w:left="167" w:firstLine="448" w:firstLineChars="200"/>
        <w:jc w:val="center"/>
        <w:rPr>
          <w:rFonts w:ascii="宋体" w:hAnsi="宋体" w:eastAsia="宋体" w:cs="宋体"/>
          <w:sz w:val="24"/>
          <w:szCs w:val="24"/>
        </w:rPr>
      </w:pPr>
      <w:bookmarkStart w:id="368" w:name="_bookmark75"/>
      <w:bookmarkEnd w:id="368"/>
      <w:bookmarkStart w:id="369" w:name="_bookmark76"/>
      <w:bookmarkEnd w:id="369"/>
      <w:r>
        <w:rPr>
          <w:rFonts w:hint="eastAsia" w:ascii="宋体" w:hAnsi="宋体" w:eastAsia="宋体" w:cs="宋体"/>
          <w:spacing w:val="-8"/>
          <w:sz w:val="24"/>
          <w:szCs w:val="24"/>
          <w:lang w:val="en-US" w:eastAsia="zh-CN"/>
        </w:rPr>
        <w:t>1.</w:t>
      </w:r>
      <w:r>
        <w:rPr>
          <w:rFonts w:ascii="宋体" w:hAnsi="宋体" w:eastAsia="宋体" w:cs="宋体"/>
          <w:spacing w:val="-4"/>
          <w:sz w:val="24"/>
          <w:szCs w:val="24"/>
        </w:rPr>
        <w:t>项目管理机构组成表</w:t>
      </w:r>
    </w:p>
    <w:tbl>
      <w:tblPr>
        <w:tblStyle w:val="171"/>
        <w:tblW w:w="9094" w:type="dxa"/>
        <w:tblInd w:w="44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2"/>
        <w:gridCol w:w="770"/>
        <w:gridCol w:w="770"/>
        <w:gridCol w:w="1231"/>
        <w:gridCol w:w="770"/>
        <w:gridCol w:w="772"/>
        <w:gridCol w:w="770"/>
        <w:gridCol w:w="1230"/>
        <w:gridCol w:w="1234"/>
        <w:gridCol w:w="7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31" w:hRule="atLeast"/>
        </w:trPr>
        <w:tc>
          <w:tcPr>
            <w:tcW w:w="772" w:type="dxa"/>
            <w:vMerge w:val="restart"/>
            <w:tcBorders>
              <w:bottom w:val="nil"/>
            </w:tcBorders>
            <w:vAlign w:val="top"/>
          </w:tcPr>
          <w:p>
            <w:pPr>
              <w:spacing w:line="471" w:lineRule="auto"/>
              <w:rPr>
                <w:rFonts w:ascii="Arial"/>
                <w:sz w:val="21"/>
              </w:rPr>
            </w:pPr>
          </w:p>
          <w:p>
            <w:pPr>
              <w:spacing w:before="68" w:line="221" w:lineRule="auto"/>
              <w:ind w:left="181"/>
              <w:rPr>
                <w:rFonts w:ascii="宋体" w:hAnsi="宋体" w:eastAsia="宋体" w:cs="宋体"/>
                <w:sz w:val="21"/>
                <w:szCs w:val="21"/>
              </w:rPr>
            </w:pPr>
            <w:r>
              <w:rPr>
                <w:rFonts w:ascii="宋体" w:hAnsi="宋体" w:eastAsia="宋体" w:cs="宋体"/>
                <w:spacing w:val="-2"/>
                <w:sz w:val="21"/>
                <w:szCs w:val="21"/>
              </w:rPr>
              <w:t>职务</w:t>
            </w:r>
          </w:p>
        </w:tc>
        <w:tc>
          <w:tcPr>
            <w:tcW w:w="770" w:type="dxa"/>
            <w:vMerge w:val="restart"/>
            <w:tcBorders>
              <w:bottom w:val="nil"/>
            </w:tcBorders>
            <w:vAlign w:val="top"/>
          </w:tcPr>
          <w:p>
            <w:pPr>
              <w:spacing w:line="471" w:lineRule="auto"/>
              <w:rPr>
                <w:rFonts w:ascii="Arial"/>
                <w:sz w:val="21"/>
              </w:rPr>
            </w:pPr>
          </w:p>
          <w:p>
            <w:pPr>
              <w:spacing w:before="68" w:line="221" w:lineRule="auto"/>
              <w:ind w:left="179"/>
              <w:rPr>
                <w:rFonts w:ascii="宋体" w:hAnsi="宋体" w:eastAsia="宋体" w:cs="宋体"/>
                <w:sz w:val="21"/>
                <w:szCs w:val="21"/>
              </w:rPr>
            </w:pPr>
            <w:r>
              <w:rPr>
                <w:rFonts w:ascii="宋体" w:hAnsi="宋体" w:eastAsia="宋体" w:cs="宋体"/>
                <w:spacing w:val="-2"/>
                <w:sz w:val="21"/>
                <w:szCs w:val="21"/>
              </w:rPr>
              <w:t>姓</w:t>
            </w:r>
            <w:r>
              <w:rPr>
                <w:rFonts w:ascii="宋体" w:hAnsi="宋体" w:eastAsia="宋体" w:cs="宋体"/>
                <w:spacing w:val="-1"/>
                <w:sz w:val="21"/>
                <w:szCs w:val="21"/>
              </w:rPr>
              <w:t>名</w:t>
            </w:r>
          </w:p>
        </w:tc>
        <w:tc>
          <w:tcPr>
            <w:tcW w:w="770" w:type="dxa"/>
            <w:vMerge w:val="restart"/>
            <w:tcBorders>
              <w:bottom w:val="nil"/>
            </w:tcBorders>
            <w:vAlign w:val="top"/>
          </w:tcPr>
          <w:p>
            <w:pPr>
              <w:spacing w:line="471" w:lineRule="auto"/>
              <w:rPr>
                <w:rFonts w:ascii="Arial"/>
                <w:sz w:val="21"/>
              </w:rPr>
            </w:pPr>
          </w:p>
          <w:p>
            <w:pPr>
              <w:spacing w:before="68" w:line="223" w:lineRule="auto"/>
              <w:ind w:left="180"/>
              <w:rPr>
                <w:rFonts w:ascii="宋体" w:hAnsi="宋体" w:eastAsia="宋体" w:cs="宋体"/>
                <w:sz w:val="21"/>
                <w:szCs w:val="21"/>
              </w:rPr>
            </w:pPr>
            <w:r>
              <w:rPr>
                <w:rFonts w:ascii="宋体" w:hAnsi="宋体" w:eastAsia="宋体" w:cs="宋体"/>
                <w:spacing w:val="-2"/>
                <w:sz w:val="21"/>
                <w:szCs w:val="21"/>
              </w:rPr>
              <w:t>职称</w:t>
            </w:r>
          </w:p>
        </w:tc>
        <w:tc>
          <w:tcPr>
            <w:tcW w:w="3543" w:type="dxa"/>
            <w:gridSpan w:val="4"/>
            <w:vAlign w:val="top"/>
          </w:tcPr>
          <w:p>
            <w:pPr>
              <w:spacing w:line="247" w:lineRule="auto"/>
              <w:rPr>
                <w:rFonts w:ascii="Arial"/>
                <w:sz w:val="21"/>
              </w:rPr>
            </w:pPr>
          </w:p>
          <w:p>
            <w:pPr>
              <w:spacing w:before="68" w:line="221" w:lineRule="auto"/>
              <w:ind w:left="830"/>
              <w:rPr>
                <w:rFonts w:ascii="宋体" w:hAnsi="宋体" w:eastAsia="宋体" w:cs="宋体"/>
                <w:sz w:val="21"/>
                <w:szCs w:val="21"/>
              </w:rPr>
            </w:pPr>
            <w:r>
              <w:rPr>
                <w:rFonts w:ascii="宋体" w:hAnsi="宋体" w:eastAsia="宋体" w:cs="宋体"/>
                <w:spacing w:val="-1"/>
                <w:sz w:val="21"/>
                <w:szCs w:val="21"/>
              </w:rPr>
              <w:t>执业或职业</w:t>
            </w:r>
            <w:r>
              <w:rPr>
                <w:rFonts w:ascii="宋体" w:hAnsi="宋体" w:eastAsia="宋体" w:cs="宋体"/>
                <w:sz w:val="21"/>
                <w:szCs w:val="21"/>
              </w:rPr>
              <w:t>资格证明</w:t>
            </w:r>
          </w:p>
        </w:tc>
        <w:tc>
          <w:tcPr>
            <w:tcW w:w="1230" w:type="dxa"/>
            <w:vAlign w:val="top"/>
          </w:tcPr>
          <w:p>
            <w:pPr>
              <w:spacing w:before="113" w:line="269" w:lineRule="auto"/>
              <w:ind w:left="202" w:right="188" w:firstLine="2"/>
              <w:rPr>
                <w:rFonts w:ascii="宋体" w:hAnsi="宋体" w:eastAsia="宋体" w:cs="宋体"/>
                <w:sz w:val="21"/>
                <w:szCs w:val="21"/>
              </w:rPr>
            </w:pPr>
            <w:r>
              <w:rPr>
                <w:rFonts w:ascii="宋体" w:hAnsi="宋体" w:eastAsia="宋体" w:cs="宋体"/>
                <w:spacing w:val="-4"/>
                <w:sz w:val="21"/>
                <w:szCs w:val="21"/>
              </w:rPr>
              <w:t>何</w:t>
            </w:r>
            <w:r>
              <w:rPr>
                <w:rFonts w:ascii="宋体" w:hAnsi="宋体" w:eastAsia="宋体" w:cs="宋体"/>
                <w:spacing w:val="-2"/>
                <w:sz w:val="21"/>
                <w:szCs w:val="21"/>
              </w:rPr>
              <w:t>时从事</w:t>
            </w:r>
            <w:r>
              <w:rPr>
                <w:rFonts w:ascii="宋体" w:hAnsi="宋体" w:eastAsia="宋体" w:cs="宋体"/>
                <w:sz w:val="21"/>
                <w:szCs w:val="21"/>
              </w:rPr>
              <w:t xml:space="preserve"> </w:t>
            </w:r>
            <w:r>
              <w:rPr>
                <w:rFonts w:ascii="宋体" w:hAnsi="宋体" w:eastAsia="宋体" w:cs="宋体"/>
                <w:spacing w:val="-2"/>
                <w:sz w:val="21"/>
                <w:szCs w:val="21"/>
              </w:rPr>
              <w:t>监理工</w:t>
            </w:r>
            <w:r>
              <w:rPr>
                <w:rFonts w:ascii="宋体" w:hAnsi="宋体" w:eastAsia="宋体" w:cs="宋体"/>
                <w:spacing w:val="-1"/>
                <w:sz w:val="21"/>
                <w:szCs w:val="21"/>
              </w:rPr>
              <w:t>作</w:t>
            </w:r>
          </w:p>
        </w:tc>
        <w:tc>
          <w:tcPr>
            <w:tcW w:w="1234" w:type="dxa"/>
            <w:vAlign w:val="top"/>
          </w:tcPr>
          <w:p>
            <w:pPr>
              <w:spacing w:before="113" w:line="360" w:lineRule="exact"/>
              <w:ind w:left="120"/>
              <w:rPr>
                <w:rFonts w:ascii="宋体" w:hAnsi="宋体" w:eastAsia="宋体" w:cs="宋体"/>
                <w:sz w:val="21"/>
                <w:szCs w:val="21"/>
              </w:rPr>
            </w:pPr>
            <w:r>
              <w:rPr>
                <w:rFonts w:ascii="宋体" w:hAnsi="宋体" w:eastAsia="宋体" w:cs="宋体"/>
                <w:spacing w:val="-3"/>
                <w:position w:val="11"/>
                <w:sz w:val="21"/>
                <w:szCs w:val="21"/>
              </w:rPr>
              <w:t>安</w:t>
            </w:r>
            <w:r>
              <w:rPr>
                <w:rFonts w:ascii="宋体" w:hAnsi="宋体" w:eastAsia="宋体" w:cs="宋体"/>
                <w:spacing w:val="-2"/>
                <w:position w:val="11"/>
                <w:sz w:val="21"/>
                <w:szCs w:val="21"/>
              </w:rPr>
              <w:t>排上岗</w:t>
            </w:r>
          </w:p>
          <w:p>
            <w:pPr>
              <w:spacing w:line="221" w:lineRule="auto"/>
              <w:ind w:left="117"/>
              <w:rPr>
                <w:rFonts w:ascii="宋体" w:hAnsi="宋体" w:eastAsia="宋体" w:cs="宋体"/>
                <w:sz w:val="21"/>
                <w:szCs w:val="21"/>
              </w:rPr>
            </w:pPr>
            <w:r>
              <w:rPr>
                <w:rFonts w:ascii="宋体" w:hAnsi="宋体" w:eastAsia="宋体" w:cs="宋体"/>
                <w:spacing w:val="-2"/>
                <w:sz w:val="21"/>
                <w:szCs w:val="21"/>
              </w:rPr>
              <w:t>起止</w:t>
            </w:r>
            <w:r>
              <w:rPr>
                <w:rFonts w:ascii="宋体" w:hAnsi="宋体" w:eastAsia="宋体" w:cs="宋体"/>
                <w:spacing w:val="-1"/>
                <w:sz w:val="21"/>
                <w:szCs w:val="21"/>
              </w:rPr>
              <w:t>时间</w:t>
            </w:r>
          </w:p>
        </w:tc>
        <w:tc>
          <w:tcPr>
            <w:tcW w:w="775" w:type="dxa"/>
            <w:vAlign w:val="top"/>
          </w:tcPr>
          <w:p>
            <w:pPr>
              <w:spacing w:line="247" w:lineRule="auto"/>
              <w:rPr>
                <w:rFonts w:ascii="Arial"/>
                <w:sz w:val="21"/>
              </w:rPr>
            </w:pPr>
          </w:p>
          <w:p>
            <w:pPr>
              <w:spacing w:before="69" w:line="222" w:lineRule="auto"/>
              <w:ind w:left="184"/>
              <w:rPr>
                <w:rFonts w:ascii="宋体" w:hAnsi="宋体" w:eastAsia="宋体" w:cs="宋体"/>
                <w:sz w:val="21"/>
                <w:szCs w:val="21"/>
              </w:rPr>
            </w:pPr>
            <w:r>
              <w:rPr>
                <w:rFonts w:ascii="宋体" w:hAnsi="宋体" w:eastAsia="宋体" w:cs="宋体"/>
                <w:spacing w:val="-3"/>
                <w:sz w:val="21"/>
                <w:szCs w:val="21"/>
              </w:rPr>
              <w:t>备</w:t>
            </w:r>
            <w:r>
              <w:rPr>
                <w:rFonts w:ascii="宋体" w:hAnsi="宋体" w:eastAsia="宋体" w:cs="宋体"/>
                <w:spacing w:val="-2"/>
                <w:sz w:val="21"/>
                <w:szCs w:val="21"/>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772" w:type="dxa"/>
            <w:vMerge w:val="continue"/>
            <w:tcBorders>
              <w:top w:val="nil"/>
            </w:tcBorders>
            <w:vAlign w:val="top"/>
          </w:tcPr>
          <w:p>
            <w:pPr>
              <w:rPr>
                <w:rFonts w:ascii="Arial"/>
                <w:sz w:val="21"/>
              </w:rPr>
            </w:pPr>
          </w:p>
        </w:tc>
        <w:tc>
          <w:tcPr>
            <w:tcW w:w="770" w:type="dxa"/>
            <w:vMerge w:val="continue"/>
            <w:tcBorders>
              <w:top w:val="nil"/>
            </w:tcBorders>
            <w:vAlign w:val="top"/>
          </w:tcPr>
          <w:p>
            <w:pPr>
              <w:rPr>
                <w:rFonts w:ascii="Arial"/>
                <w:sz w:val="21"/>
              </w:rPr>
            </w:pPr>
          </w:p>
        </w:tc>
        <w:tc>
          <w:tcPr>
            <w:tcW w:w="770" w:type="dxa"/>
            <w:vMerge w:val="continue"/>
            <w:tcBorders>
              <w:top w:val="nil"/>
            </w:tcBorders>
            <w:vAlign w:val="top"/>
          </w:tcPr>
          <w:p>
            <w:pPr>
              <w:rPr>
                <w:rFonts w:ascii="Arial"/>
                <w:sz w:val="21"/>
              </w:rPr>
            </w:pPr>
          </w:p>
        </w:tc>
        <w:tc>
          <w:tcPr>
            <w:tcW w:w="1231" w:type="dxa"/>
            <w:vAlign w:val="top"/>
          </w:tcPr>
          <w:p>
            <w:pPr>
              <w:spacing w:before="171" w:line="220" w:lineRule="auto"/>
              <w:ind w:left="199"/>
              <w:rPr>
                <w:rFonts w:ascii="宋体" w:hAnsi="宋体" w:eastAsia="宋体" w:cs="宋体"/>
                <w:sz w:val="21"/>
                <w:szCs w:val="21"/>
              </w:rPr>
            </w:pPr>
            <w:r>
              <w:rPr>
                <w:rFonts w:ascii="宋体" w:hAnsi="宋体" w:eastAsia="宋体" w:cs="宋体"/>
                <w:spacing w:val="-2"/>
                <w:sz w:val="21"/>
                <w:szCs w:val="21"/>
              </w:rPr>
              <w:t>证</w:t>
            </w:r>
            <w:r>
              <w:rPr>
                <w:rFonts w:ascii="宋体" w:hAnsi="宋体" w:eastAsia="宋体" w:cs="宋体"/>
                <w:spacing w:val="-1"/>
                <w:sz w:val="21"/>
                <w:szCs w:val="21"/>
              </w:rPr>
              <w:t>书名称</w:t>
            </w:r>
          </w:p>
        </w:tc>
        <w:tc>
          <w:tcPr>
            <w:tcW w:w="770" w:type="dxa"/>
            <w:vAlign w:val="top"/>
          </w:tcPr>
          <w:p>
            <w:pPr>
              <w:spacing w:before="172" w:line="221" w:lineRule="auto"/>
              <w:ind w:left="181"/>
              <w:rPr>
                <w:rFonts w:ascii="宋体" w:hAnsi="宋体" w:eastAsia="宋体" w:cs="宋体"/>
                <w:sz w:val="21"/>
                <w:szCs w:val="21"/>
              </w:rPr>
            </w:pPr>
            <w:r>
              <w:rPr>
                <w:rFonts w:ascii="宋体" w:hAnsi="宋体" w:eastAsia="宋体" w:cs="宋体"/>
                <w:spacing w:val="-3"/>
                <w:sz w:val="21"/>
                <w:szCs w:val="21"/>
              </w:rPr>
              <w:t>级</w:t>
            </w:r>
            <w:r>
              <w:rPr>
                <w:rFonts w:ascii="宋体" w:hAnsi="宋体" w:eastAsia="宋体" w:cs="宋体"/>
                <w:spacing w:val="-2"/>
                <w:sz w:val="21"/>
                <w:szCs w:val="21"/>
              </w:rPr>
              <w:t>别</w:t>
            </w:r>
          </w:p>
        </w:tc>
        <w:tc>
          <w:tcPr>
            <w:tcW w:w="772" w:type="dxa"/>
            <w:vAlign w:val="top"/>
          </w:tcPr>
          <w:p>
            <w:pPr>
              <w:spacing w:before="171" w:line="222" w:lineRule="auto"/>
              <w:ind w:left="178"/>
              <w:rPr>
                <w:rFonts w:ascii="宋体" w:hAnsi="宋体" w:eastAsia="宋体" w:cs="宋体"/>
                <w:sz w:val="21"/>
                <w:szCs w:val="21"/>
              </w:rPr>
            </w:pPr>
            <w:r>
              <w:rPr>
                <w:rFonts w:ascii="宋体" w:hAnsi="宋体" w:eastAsia="宋体" w:cs="宋体"/>
                <w:spacing w:val="-2"/>
                <w:sz w:val="21"/>
                <w:szCs w:val="21"/>
              </w:rPr>
              <w:t>证</w:t>
            </w:r>
            <w:r>
              <w:rPr>
                <w:rFonts w:ascii="宋体" w:hAnsi="宋体" w:eastAsia="宋体" w:cs="宋体"/>
                <w:spacing w:val="-1"/>
                <w:sz w:val="21"/>
                <w:szCs w:val="21"/>
              </w:rPr>
              <w:t>号</w:t>
            </w:r>
          </w:p>
        </w:tc>
        <w:tc>
          <w:tcPr>
            <w:tcW w:w="770" w:type="dxa"/>
            <w:vAlign w:val="top"/>
          </w:tcPr>
          <w:p>
            <w:pPr>
              <w:spacing w:before="172" w:line="221" w:lineRule="auto"/>
              <w:ind w:left="182"/>
              <w:rPr>
                <w:rFonts w:ascii="宋体" w:hAnsi="宋体" w:eastAsia="宋体" w:cs="宋体"/>
                <w:sz w:val="21"/>
                <w:szCs w:val="21"/>
              </w:rPr>
            </w:pPr>
            <w:r>
              <w:rPr>
                <w:rFonts w:ascii="宋体" w:hAnsi="宋体" w:eastAsia="宋体" w:cs="宋体"/>
                <w:spacing w:val="-2"/>
                <w:sz w:val="21"/>
                <w:szCs w:val="21"/>
              </w:rPr>
              <w:t>专业</w:t>
            </w: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6"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3"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7"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4"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6"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4"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6"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4"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6"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3"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6"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4"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6"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4"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6"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4"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6"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4"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6"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4"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6"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4"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1" w:hRule="atLeast"/>
        </w:trPr>
        <w:tc>
          <w:tcPr>
            <w:tcW w:w="772" w:type="dxa"/>
            <w:vAlign w:val="top"/>
          </w:tcPr>
          <w:p>
            <w:pPr>
              <w:rPr>
                <w:rFonts w:ascii="Arial"/>
                <w:sz w:val="21"/>
              </w:rPr>
            </w:pPr>
          </w:p>
        </w:tc>
        <w:tc>
          <w:tcPr>
            <w:tcW w:w="770" w:type="dxa"/>
            <w:vAlign w:val="top"/>
          </w:tcPr>
          <w:p>
            <w:pPr>
              <w:rPr>
                <w:rFonts w:ascii="Arial"/>
                <w:sz w:val="21"/>
              </w:rPr>
            </w:pPr>
          </w:p>
        </w:tc>
        <w:tc>
          <w:tcPr>
            <w:tcW w:w="770" w:type="dxa"/>
            <w:vAlign w:val="top"/>
          </w:tcPr>
          <w:p>
            <w:pPr>
              <w:rPr>
                <w:rFonts w:ascii="Arial"/>
                <w:sz w:val="21"/>
              </w:rPr>
            </w:pPr>
          </w:p>
        </w:tc>
        <w:tc>
          <w:tcPr>
            <w:tcW w:w="1231" w:type="dxa"/>
            <w:vAlign w:val="top"/>
          </w:tcPr>
          <w:p>
            <w:pPr>
              <w:rPr>
                <w:rFonts w:ascii="Arial"/>
                <w:sz w:val="21"/>
              </w:rPr>
            </w:pPr>
          </w:p>
        </w:tc>
        <w:tc>
          <w:tcPr>
            <w:tcW w:w="770"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1230" w:type="dxa"/>
            <w:vAlign w:val="top"/>
          </w:tcPr>
          <w:p>
            <w:pPr>
              <w:rPr>
                <w:rFonts w:ascii="Arial"/>
                <w:sz w:val="21"/>
              </w:rPr>
            </w:pPr>
          </w:p>
        </w:tc>
        <w:tc>
          <w:tcPr>
            <w:tcW w:w="1234" w:type="dxa"/>
            <w:vAlign w:val="top"/>
          </w:tcPr>
          <w:p>
            <w:pPr>
              <w:rPr>
                <w:rFonts w:ascii="Arial"/>
                <w:sz w:val="21"/>
              </w:rPr>
            </w:pPr>
          </w:p>
        </w:tc>
        <w:tc>
          <w:tcPr>
            <w:tcW w:w="775" w:type="dxa"/>
            <w:vAlign w:val="top"/>
          </w:tcPr>
          <w:p>
            <w:pPr>
              <w:rPr>
                <w:rFonts w:ascii="Arial"/>
                <w:sz w:val="21"/>
              </w:rPr>
            </w:pPr>
          </w:p>
        </w:tc>
      </w:tr>
    </w:tbl>
    <w:p>
      <w:pPr>
        <w:spacing w:before="78" w:line="219" w:lineRule="auto"/>
        <w:ind w:left="144"/>
        <w:jc w:val="center"/>
        <w:rPr>
          <w:rFonts w:hint="eastAsia" w:ascii="宋体" w:hAnsi="宋体" w:eastAsia="宋体" w:cs="宋体"/>
          <w:spacing w:val="-9"/>
          <w:sz w:val="24"/>
          <w:szCs w:val="24"/>
          <w:lang w:eastAsia="zh-CN"/>
        </w:rPr>
      </w:pPr>
    </w:p>
    <w:p>
      <w:pPr>
        <w:spacing w:before="78" w:line="219" w:lineRule="auto"/>
        <w:jc w:val="center"/>
        <w:rPr>
          <w:rFonts w:ascii="宋体" w:hAnsi="宋体" w:eastAsia="宋体" w:cs="宋体"/>
          <w:sz w:val="28"/>
          <w:szCs w:val="28"/>
        </w:rPr>
      </w:pPr>
      <w:r>
        <w:rPr>
          <w:rFonts w:hint="eastAsia" w:ascii="宋体" w:hAnsi="宋体" w:eastAsia="宋体" w:cs="宋体"/>
          <w:spacing w:val="-9"/>
          <w:sz w:val="24"/>
          <w:szCs w:val="24"/>
          <w:lang w:val="en-US" w:eastAsia="zh-CN"/>
        </w:rPr>
        <w:t>2.</w:t>
      </w:r>
      <w:r>
        <w:rPr>
          <w:rFonts w:ascii="宋体" w:hAnsi="宋体" w:eastAsia="宋体" w:cs="宋体"/>
          <w:spacing w:val="-9"/>
          <w:sz w:val="24"/>
          <w:szCs w:val="24"/>
        </w:rPr>
        <w:t>项目总监简历</w:t>
      </w:r>
      <w:r>
        <w:rPr>
          <w:rFonts w:ascii="宋体" w:hAnsi="宋体" w:eastAsia="宋体" w:cs="宋体"/>
          <w:spacing w:val="-8"/>
          <w:sz w:val="24"/>
          <w:szCs w:val="24"/>
        </w:rPr>
        <w:t>表</w:t>
      </w:r>
    </w:p>
    <w:p>
      <w:pPr>
        <w:spacing w:before="257" w:line="220" w:lineRule="auto"/>
        <w:ind w:left="548" w:firstLine="416" w:firstLineChars="200"/>
        <w:rPr>
          <w:rFonts w:ascii="宋体" w:hAnsi="宋体" w:eastAsia="宋体" w:cs="宋体"/>
          <w:sz w:val="21"/>
          <w:szCs w:val="21"/>
        </w:rPr>
      </w:pPr>
      <w:r>
        <w:rPr>
          <w:rFonts w:ascii="宋体" w:hAnsi="宋体" w:eastAsia="宋体" w:cs="宋体"/>
          <w:spacing w:val="-1"/>
          <w:sz w:val="21"/>
          <w:szCs w:val="21"/>
        </w:rPr>
        <w:t>项目总监应</w:t>
      </w:r>
      <w:r>
        <w:rPr>
          <w:rFonts w:ascii="宋体" w:hAnsi="宋体" w:eastAsia="宋体" w:cs="宋体"/>
          <w:sz w:val="21"/>
          <w:szCs w:val="21"/>
        </w:rPr>
        <w:t>附执业资格证书、身份证、养老保险复印件等</w:t>
      </w:r>
    </w:p>
    <w:p>
      <w:pPr>
        <w:spacing w:line="109" w:lineRule="auto"/>
        <w:rPr>
          <w:rFonts w:ascii="Arial"/>
          <w:sz w:val="2"/>
        </w:rPr>
      </w:pPr>
    </w:p>
    <w:tbl>
      <w:tblPr>
        <w:tblStyle w:val="171"/>
        <w:tblW w:w="8532" w:type="dxa"/>
        <w:tblInd w:w="7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4"/>
        <w:gridCol w:w="1186"/>
        <w:gridCol w:w="1071"/>
        <w:gridCol w:w="642"/>
        <w:gridCol w:w="834"/>
        <w:gridCol w:w="1215"/>
        <w:gridCol w:w="479"/>
        <w:gridCol w:w="19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7" w:hRule="atLeast"/>
        </w:trPr>
        <w:tc>
          <w:tcPr>
            <w:tcW w:w="1114" w:type="dxa"/>
            <w:tcBorders>
              <w:left w:val="single" w:color="000000" w:sz="6" w:space="0"/>
            </w:tcBorders>
            <w:vAlign w:val="top"/>
          </w:tcPr>
          <w:p>
            <w:pPr>
              <w:spacing w:before="194" w:line="221" w:lineRule="auto"/>
              <w:ind w:left="240"/>
              <w:rPr>
                <w:rFonts w:ascii="宋体" w:hAnsi="宋体" w:eastAsia="宋体" w:cs="宋体"/>
                <w:sz w:val="21"/>
                <w:szCs w:val="21"/>
              </w:rPr>
            </w:pPr>
            <w:r>
              <w:rPr>
                <w:rFonts w:ascii="宋体" w:hAnsi="宋体" w:eastAsia="宋体" w:cs="宋体"/>
                <w:spacing w:val="1"/>
                <w:sz w:val="21"/>
                <w:szCs w:val="21"/>
              </w:rPr>
              <w:t>姓  名</w:t>
            </w:r>
          </w:p>
        </w:tc>
        <w:tc>
          <w:tcPr>
            <w:tcW w:w="1186" w:type="dxa"/>
            <w:vAlign w:val="top"/>
          </w:tcPr>
          <w:p>
            <w:pPr>
              <w:rPr>
                <w:rFonts w:ascii="Arial"/>
                <w:sz w:val="21"/>
              </w:rPr>
            </w:pPr>
          </w:p>
        </w:tc>
        <w:tc>
          <w:tcPr>
            <w:tcW w:w="1071" w:type="dxa"/>
            <w:vAlign w:val="top"/>
          </w:tcPr>
          <w:p>
            <w:pPr>
              <w:spacing w:before="194" w:line="221" w:lineRule="auto"/>
              <w:ind w:left="224"/>
              <w:rPr>
                <w:rFonts w:ascii="宋体" w:hAnsi="宋体" w:eastAsia="宋体" w:cs="宋体"/>
                <w:sz w:val="21"/>
                <w:szCs w:val="21"/>
              </w:rPr>
            </w:pPr>
            <w:r>
              <w:rPr>
                <w:rFonts w:ascii="宋体" w:hAnsi="宋体" w:eastAsia="宋体" w:cs="宋体"/>
                <w:sz w:val="21"/>
                <w:szCs w:val="21"/>
              </w:rPr>
              <w:t>年  龄</w:t>
            </w:r>
          </w:p>
        </w:tc>
        <w:tc>
          <w:tcPr>
            <w:tcW w:w="1476" w:type="dxa"/>
            <w:gridSpan w:val="2"/>
            <w:vAlign w:val="top"/>
          </w:tcPr>
          <w:p>
            <w:pPr>
              <w:rPr>
                <w:rFonts w:ascii="Arial"/>
                <w:sz w:val="21"/>
              </w:rPr>
            </w:pPr>
          </w:p>
        </w:tc>
        <w:tc>
          <w:tcPr>
            <w:tcW w:w="1694" w:type="dxa"/>
            <w:gridSpan w:val="2"/>
            <w:vAlign w:val="top"/>
          </w:tcPr>
          <w:p>
            <w:pPr>
              <w:spacing w:before="195" w:line="222" w:lineRule="auto"/>
              <w:ind w:left="544"/>
              <w:rPr>
                <w:rFonts w:ascii="宋体" w:hAnsi="宋体" w:eastAsia="宋体" w:cs="宋体"/>
                <w:sz w:val="21"/>
                <w:szCs w:val="21"/>
              </w:rPr>
            </w:pPr>
            <w:r>
              <w:rPr>
                <w:rFonts w:ascii="宋体" w:hAnsi="宋体" w:eastAsia="宋体" w:cs="宋体"/>
                <w:sz w:val="21"/>
                <w:szCs w:val="21"/>
              </w:rPr>
              <w:t>学  历</w:t>
            </w:r>
          </w:p>
        </w:tc>
        <w:tc>
          <w:tcPr>
            <w:tcW w:w="1991"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14" w:type="dxa"/>
            <w:tcBorders>
              <w:left w:val="single" w:color="000000" w:sz="6" w:space="0"/>
            </w:tcBorders>
            <w:vAlign w:val="top"/>
          </w:tcPr>
          <w:p>
            <w:pPr>
              <w:spacing w:before="178" w:line="223" w:lineRule="auto"/>
              <w:ind w:left="241"/>
              <w:rPr>
                <w:rFonts w:ascii="宋体" w:hAnsi="宋体" w:eastAsia="宋体" w:cs="宋体"/>
                <w:sz w:val="21"/>
                <w:szCs w:val="21"/>
              </w:rPr>
            </w:pPr>
            <w:r>
              <w:rPr>
                <w:rFonts w:ascii="宋体" w:hAnsi="宋体" w:eastAsia="宋体" w:cs="宋体"/>
                <w:sz w:val="21"/>
                <w:szCs w:val="21"/>
              </w:rPr>
              <w:t>职  称</w:t>
            </w:r>
          </w:p>
        </w:tc>
        <w:tc>
          <w:tcPr>
            <w:tcW w:w="1186" w:type="dxa"/>
            <w:vAlign w:val="top"/>
          </w:tcPr>
          <w:p>
            <w:pPr>
              <w:rPr>
                <w:rFonts w:ascii="Arial"/>
                <w:sz w:val="21"/>
              </w:rPr>
            </w:pPr>
          </w:p>
        </w:tc>
        <w:tc>
          <w:tcPr>
            <w:tcW w:w="1071" w:type="dxa"/>
            <w:vAlign w:val="top"/>
          </w:tcPr>
          <w:p>
            <w:pPr>
              <w:spacing w:before="178" w:line="221" w:lineRule="auto"/>
              <w:ind w:left="224"/>
              <w:rPr>
                <w:rFonts w:ascii="宋体" w:hAnsi="宋体" w:eastAsia="宋体" w:cs="宋体"/>
                <w:sz w:val="21"/>
                <w:szCs w:val="21"/>
              </w:rPr>
            </w:pPr>
            <w:r>
              <w:rPr>
                <w:rFonts w:ascii="宋体" w:hAnsi="宋体" w:eastAsia="宋体" w:cs="宋体"/>
                <w:spacing w:val="1"/>
                <w:sz w:val="21"/>
                <w:szCs w:val="21"/>
              </w:rPr>
              <w:t xml:space="preserve">职  </w:t>
            </w:r>
            <w:r>
              <w:rPr>
                <w:rFonts w:ascii="宋体" w:hAnsi="宋体" w:eastAsia="宋体" w:cs="宋体"/>
                <w:sz w:val="21"/>
                <w:szCs w:val="21"/>
              </w:rPr>
              <w:t>务</w:t>
            </w:r>
          </w:p>
        </w:tc>
        <w:tc>
          <w:tcPr>
            <w:tcW w:w="1476" w:type="dxa"/>
            <w:gridSpan w:val="2"/>
            <w:vAlign w:val="top"/>
          </w:tcPr>
          <w:p>
            <w:pPr>
              <w:rPr>
                <w:rFonts w:ascii="Arial"/>
                <w:sz w:val="21"/>
              </w:rPr>
            </w:pPr>
          </w:p>
        </w:tc>
        <w:tc>
          <w:tcPr>
            <w:tcW w:w="1694" w:type="dxa"/>
            <w:gridSpan w:val="2"/>
            <w:vAlign w:val="top"/>
          </w:tcPr>
          <w:p>
            <w:pPr>
              <w:spacing w:before="179" w:line="220" w:lineRule="auto"/>
              <w:ind w:left="119"/>
              <w:rPr>
                <w:rFonts w:ascii="宋体" w:hAnsi="宋体" w:eastAsia="宋体" w:cs="宋体"/>
                <w:sz w:val="21"/>
                <w:szCs w:val="21"/>
              </w:rPr>
            </w:pPr>
            <w:r>
              <w:rPr>
                <w:rFonts w:ascii="宋体" w:hAnsi="宋体" w:eastAsia="宋体" w:cs="宋体"/>
                <w:spacing w:val="-1"/>
                <w:sz w:val="21"/>
                <w:szCs w:val="21"/>
              </w:rPr>
              <w:t>拟在本工程</w:t>
            </w:r>
            <w:r>
              <w:rPr>
                <w:rFonts w:ascii="宋体" w:hAnsi="宋体" w:eastAsia="宋体" w:cs="宋体"/>
                <w:sz w:val="21"/>
                <w:szCs w:val="21"/>
              </w:rPr>
              <w:t>任职</w:t>
            </w:r>
          </w:p>
        </w:tc>
        <w:tc>
          <w:tcPr>
            <w:tcW w:w="1991" w:type="dxa"/>
            <w:tcBorders>
              <w:right w:val="single" w:color="000000" w:sz="6" w:space="0"/>
            </w:tcBorders>
            <w:vAlign w:val="top"/>
          </w:tcPr>
          <w:p>
            <w:pPr>
              <w:spacing w:before="179" w:line="221" w:lineRule="auto"/>
              <w:ind w:left="584"/>
              <w:rPr>
                <w:rFonts w:ascii="宋体" w:hAnsi="宋体" w:eastAsia="宋体" w:cs="宋体"/>
                <w:sz w:val="21"/>
                <w:szCs w:val="21"/>
              </w:rPr>
            </w:pPr>
            <w:r>
              <w:rPr>
                <w:rFonts w:ascii="宋体" w:hAnsi="宋体" w:eastAsia="宋体" w:cs="宋体"/>
                <w:spacing w:val="-3"/>
                <w:sz w:val="21"/>
                <w:szCs w:val="21"/>
              </w:rPr>
              <w:t>项</w:t>
            </w:r>
            <w:r>
              <w:rPr>
                <w:rFonts w:ascii="宋体" w:hAnsi="宋体" w:eastAsia="宋体" w:cs="宋体"/>
                <w:spacing w:val="-2"/>
                <w:sz w:val="21"/>
                <w:szCs w:val="21"/>
              </w:rPr>
              <w:t>目总监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3371" w:type="dxa"/>
            <w:gridSpan w:val="3"/>
            <w:tcBorders>
              <w:left w:val="single" w:color="000000" w:sz="6" w:space="0"/>
            </w:tcBorders>
            <w:vAlign w:val="top"/>
          </w:tcPr>
          <w:p>
            <w:pPr>
              <w:spacing w:before="181" w:line="220" w:lineRule="auto"/>
              <w:ind w:left="110"/>
              <w:rPr>
                <w:rFonts w:ascii="宋体" w:hAnsi="宋体" w:eastAsia="宋体" w:cs="宋体"/>
                <w:sz w:val="21"/>
                <w:szCs w:val="21"/>
              </w:rPr>
            </w:pPr>
            <w:r>
              <w:rPr>
                <w:rFonts w:ascii="宋体" w:hAnsi="宋体" w:eastAsia="宋体" w:cs="宋体"/>
                <w:spacing w:val="-1"/>
                <w:sz w:val="21"/>
                <w:szCs w:val="21"/>
              </w:rPr>
              <w:t>注册监理</w:t>
            </w:r>
            <w:r>
              <w:rPr>
                <w:rFonts w:ascii="宋体" w:hAnsi="宋体" w:eastAsia="宋体" w:cs="宋体"/>
                <w:sz w:val="21"/>
                <w:szCs w:val="21"/>
              </w:rPr>
              <w:t>工程师执业资格证书编号</w:t>
            </w:r>
          </w:p>
        </w:tc>
        <w:tc>
          <w:tcPr>
            <w:tcW w:w="1476" w:type="dxa"/>
            <w:gridSpan w:val="2"/>
            <w:vAlign w:val="top"/>
          </w:tcPr>
          <w:p>
            <w:pPr>
              <w:rPr>
                <w:rFonts w:ascii="Arial"/>
                <w:sz w:val="21"/>
              </w:rPr>
            </w:pPr>
          </w:p>
        </w:tc>
        <w:tc>
          <w:tcPr>
            <w:tcW w:w="1694" w:type="dxa"/>
            <w:gridSpan w:val="2"/>
            <w:vAlign w:val="top"/>
          </w:tcPr>
          <w:p>
            <w:pPr>
              <w:spacing w:before="181" w:line="221" w:lineRule="auto"/>
              <w:ind w:left="646"/>
              <w:rPr>
                <w:rFonts w:ascii="宋体" w:hAnsi="宋体" w:eastAsia="宋体" w:cs="宋体"/>
                <w:sz w:val="21"/>
                <w:szCs w:val="21"/>
              </w:rPr>
            </w:pPr>
            <w:r>
              <w:rPr>
                <w:rFonts w:ascii="宋体" w:hAnsi="宋体" w:eastAsia="宋体" w:cs="宋体"/>
                <w:spacing w:val="-2"/>
                <w:sz w:val="21"/>
                <w:szCs w:val="21"/>
              </w:rPr>
              <w:t>专业</w:t>
            </w:r>
          </w:p>
        </w:tc>
        <w:tc>
          <w:tcPr>
            <w:tcW w:w="1991"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14" w:type="dxa"/>
            <w:tcBorders>
              <w:left w:val="single" w:color="000000" w:sz="6" w:space="0"/>
            </w:tcBorders>
            <w:vAlign w:val="top"/>
          </w:tcPr>
          <w:p>
            <w:pPr>
              <w:spacing w:before="179" w:line="221" w:lineRule="auto"/>
              <w:ind w:left="141"/>
              <w:rPr>
                <w:rFonts w:ascii="宋体" w:hAnsi="宋体" w:eastAsia="宋体" w:cs="宋体"/>
                <w:sz w:val="21"/>
                <w:szCs w:val="21"/>
              </w:rPr>
            </w:pPr>
            <w:r>
              <w:rPr>
                <w:rFonts w:ascii="宋体" w:hAnsi="宋体" w:eastAsia="宋体" w:cs="宋体"/>
                <w:spacing w:val="-3"/>
                <w:sz w:val="21"/>
                <w:szCs w:val="21"/>
              </w:rPr>
              <w:t>毕</w:t>
            </w:r>
            <w:r>
              <w:rPr>
                <w:rFonts w:ascii="宋体" w:hAnsi="宋体" w:eastAsia="宋体" w:cs="宋体"/>
                <w:spacing w:val="-2"/>
                <w:sz w:val="21"/>
                <w:szCs w:val="21"/>
              </w:rPr>
              <w:t>业学校</w:t>
            </w:r>
          </w:p>
        </w:tc>
        <w:tc>
          <w:tcPr>
            <w:tcW w:w="2899" w:type="dxa"/>
            <w:gridSpan w:val="3"/>
            <w:tcBorders>
              <w:right w:val="nil"/>
            </w:tcBorders>
            <w:vAlign w:val="top"/>
          </w:tcPr>
          <w:p>
            <w:pPr>
              <w:spacing w:before="179" w:line="221" w:lineRule="auto"/>
              <w:ind w:left="1453"/>
              <w:rPr>
                <w:rFonts w:ascii="宋体" w:hAnsi="宋体" w:eastAsia="宋体" w:cs="宋体"/>
                <w:sz w:val="21"/>
                <w:szCs w:val="21"/>
              </w:rPr>
            </w:pPr>
            <w:r>
              <w:rPr>
                <w:rFonts w:ascii="宋体" w:hAnsi="宋体" w:eastAsia="宋体" w:cs="宋体"/>
                <w:spacing w:val="-2"/>
                <w:sz w:val="21"/>
                <w:szCs w:val="21"/>
              </w:rPr>
              <w:t>年毕</w:t>
            </w:r>
            <w:r>
              <w:rPr>
                <w:rFonts w:ascii="宋体" w:hAnsi="宋体" w:eastAsia="宋体" w:cs="宋体"/>
                <w:spacing w:val="-1"/>
                <w:sz w:val="21"/>
                <w:szCs w:val="21"/>
              </w:rPr>
              <w:t>业于</w:t>
            </w:r>
          </w:p>
        </w:tc>
        <w:tc>
          <w:tcPr>
            <w:tcW w:w="2049" w:type="dxa"/>
            <w:gridSpan w:val="2"/>
            <w:tcBorders>
              <w:left w:val="nil"/>
              <w:right w:val="nil"/>
            </w:tcBorders>
            <w:vAlign w:val="top"/>
          </w:tcPr>
          <w:p>
            <w:pPr>
              <w:spacing w:before="179" w:line="221" w:lineRule="auto"/>
              <w:ind w:left="662"/>
              <w:rPr>
                <w:rFonts w:ascii="宋体" w:hAnsi="宋体" w:eastAsia="宋体" w:cs="宋体"/>
                <w:sz w:val="21"/>
                <w:szCs w:val="21"/>
              </w:rPr>
            </w:pPr>
            <w:r>
              <w:rPr>
                <w:rFonts w:ascii="宋体" w:hAnsi="宋体" w:eastAsia="宋体" w:cs="宋体"/>
                <w:spacing w:val="-4"/>
                <w:sz w:val="21"/>
                <w:szCs w:val="21"/>
              </w:rPr>
              <w:t>学</w:t>
            </w:r>
            <w:r>
              <w:rPr>
                <w:rFonts w:ascii="宋体" w:hAnsi="宋体" w:eastAsia="宋体" w:cs="宋体"/>
                <w:spacing w:val="-3"/>
                <w:sz w:val="21"/>
                <w:szCs w:val="21"/>
              </w:rPr>
              <w:t>校</w:t>
            </w:r>
          </w:p>
        </w:tc>
        <w:tc>
          <w:tcPr>
            <w:tcW w:w="2470" w:type="dxa"/>
            <w:gridSpan w:val="2"/>
            <w:tcBorders>
              <w:left w:val="nil"/>
              <w:right w:val="single" w:color="000000" w:sz="6" w:space="0"/>
            </w:tcBorders>
            <w:vAlign w:val="top"/>
          </w:tcPr>
          <w:p>
            <w:pPr>
              <w:spacing w:before="179" w:line="221" w:lineRule="auto"/>
              <w:ind w:left="605"/>
              <w:rPr>
                <w:rFonts w:ascii="宋体" w:hAnsi="宋体" w:eastAsia="宋体" w:cs="宋体"/>
                <w:sz w:val="21"/>
                <w:szCs w:val="21"/>
              </w:rPr>
            </w:pPr>
            <w:r>
              <w:rPr>
                <w:rFonts w:ascii="宋体" w:hAnsi="宋体" w:eastAsia="宋体" w:cs="宋体"/>
                <w:spacing w:val="-2"/>
                <w:sz w:val="21"/>
                <w:szCs w:val="21"/>
              </w:rPr>
              <w:t>专业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8532" w:type="dxa"/>
            <w:gridSpan w:val="8"/>
            <w:tcBorders>
              <w:left w:val="single" w:color="000000" w:sz="6" w:space="0"/>
              <w:right w:val="single" w:color="000000" w:sz="6" w:space="0"/>
            </w:tcBorders>
            <w:vAlign w:val="top"/>
          </w:tcPr>
          <w:p>
            <w:pPr>
              <w:spacing w:before="179" w:line="221" w:lineRule="auto"/>
              <w:ind w:left="3638"/>
              <w:rPr>
                <w:rFonts w:ascii="宋体" w:hAnsi="宋体" w:eastAsia="宋体" w:cs="宋体"/>
                <w:sz w:val="21"/>
                <w:szCs w:val="21"/>
              </w:rPr>
            </w:pPr>
            <w:r>
              <w:rPr>
                <w:rFonts w:ascii="宋体" w:hAnsi="宋体" w:eastAsia="宋体" w:cs="宋体"/>
                <w:spacing w:val="-2"/>
                <w:sz w:val="21"/>
                <w:szCs w:val="21"/>
              </w:rPr>
              <w:t>主</w:t>
            </w:r>
            <w:r>
              <w:rPr>
                <w:rFonts w:ascii="宋体" w:hAnsi="宋体" w:eastAsia="宋体" w:cs="宋体"/>
                <w:spacing w:val="-1"/>
                <w:sz w:val="21"/>
                <w:szCs w:val="21"/>
              </w:rPr>
              <w:t>要工作经历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14" w:type="dxa"/>
            <w:tcBorders>
              <w:left w:val="single" w:color="000000" w:sz="6" w:space="0"/>
            </w:tcBorders>
            <w:vAlign w:val="top"/>
          </w:tcPr>
          <w:p>
            <w:pPr>
              <w:spacing w:before="179" w:line="223" w:lineRule="auto"/>
              <w:ind w:left="250"/>
              <w:rPr>
                <w:rFonts w:ascii="宋体" w:hAnsi="宋体" w:eastAsia="宋体" w:cs="宋体"/>
                <w:sz w:val="21"/>
                <w:szCs w:val="21"/>
              </w:rPr>
            </w:pPr>
            <w:r>
              <w:rPr>
                <w:rFonts w:ascii="宋体" w:hAnsi="宋体" w:eastAsia="宋体" w:cs="宋体"/>
                <w:spacing w:val="2"/>
                <w:sz w:val="21"/>
                <w:szCs w:val="21"/>
              </w:rPr>
              <w:t>时  间</w:t>
            </w:r>
          </w:p>
        </w:tc>
        <w:tc>
          <w:tcPr>
            <w:tcW w:w="2899" w:type="dxa"/>
            <w:gridSpan w:val="3"/>
            <w:vAlign w:val="top"/>
          </w:tcPr>
          <w:p>
            <w:pPr>
              <w:spacing w:before="179" w:line="221" w:lineRule="auto"/>
              <w:ind w:left="402"/>
              <w:rPr>
                <w:rFonts w:ascii="宋体" w:hAnsi="宋体" w:eastAsia="宋体" w:cs="宋体"/>
                <w:sz w:val="21"/>
                <w:szCs w:val="21"/>
              </w:rPr>
            </w:pPr>
            <w:r>
              <w:rPr>
                <w:rFonts w:ascii="宋体" w:hAnsi="宋体" w:eastAsia="宋体" w:cs="宋体"/>
                <w:spacing w:val="-1"/>
                <w:sz w:val="21"/>
                <w:szCs w:val="21"/>
              </w:rPr>
              <w:t>参加过的类似项</w:t>
            </w:r>
            <w:r>
              <w:rPr>
                <w:rFonts w:ascii="宋体" w:hAnsi="宋体" w:eastAsia="宋体" w:cs="宋体"/>
                <w:sz w:val="21"/>
                <w:szCs w:val="21"/>
              </w:rPr>
              <w:t>目名称</w:t>
            </w:r>
          </w:p>
        </w:tc>
        <w:tc>
          <w:tcPr>
            <w:tcW w:w="2049" w:type="dxa"/>
            <w:gridSpan w:val="2"/>
            <w:vAlign w:val="top"/>
          </w:tcPr>
          <w:p>
            <w:pPr>
              <w:spacing w:before="179" w:line="221" w:lineRule="auto"/>
              <w:ind w:left="404"/>
              <w:rPr>
                <w:rFonts w:ascii="宋体" w:hAnsi="宋体" w:eastAsia="宋体" w:cs="宋体"/>
                <w:sz w:val="21"/>
                <w:szCs w:val="21"/>
              </w:rPr>
            </w:pPr>
            <w:r>
              <w:rPr>
                <w:rFonts w:ascii="宋体" w:hAnsi="宋体" w:eastAsia="宋体" w:cs="宋体"/>
                <w:spacing w:val="-2"/>
                <w:sz w:val="21"/>
                <w:szCs w:val="21"/>
              </w:rPr>
              <w:t>工程</w:t>
            </w:r>
            <w:r>
              <w:rPr>
                <w:rFonts w:ascii="宋体" w:hAnsi="宋体" w:eastAsia="宋体" w:cs="宋体"/>
                <w:spacing w:val="-1"/>
                <w:sz w:val="21"/>
                <w:szCs w:val="21"/>
              </w:rPr>
              <w:t>概况说明</w:t>
            </w:r>
          </w:p>
        </w:tc>
        <w:tc>
          <w:tcPr>
            <w:tcW w:w="2470" w:type="dxa"/>
            <w:gridSpan w:val="2"/>
            <w:tcBorders>
              <w:right w:val="single" w:color="000000" w:sz="6" w:space="0"/>
            </w:tcBorders>
            <w:vAlign w:val="top"/>
          </w:tcPr>
          <w:p>
            <w:pPr>
              <w:spacing w:before="179" w:line="221" w:lineRule="auto"/>
              <w:ind w:left="403"/>
              <w:rPr>
                <w:rFonts w:ascii="宋体" w:hAnsi="宋体" w:eastAsia="宋体" w:cs="宋体"/>
                <w:sz w:val="21"/>
                <w:szCs w:val="21"/>
              </w:rPr>
            </w:pPr>
            <w:r>
              <w:rPr>
                <w:rFonts w:ascii="宋体" w:hAnsi="宋体" w:eastAsia="宋体" w:cs="宋体"/>
                <w:spacing w:val="-1"/>
                <w:sz w:val="21"/>
                <w:szCs w:val="21"/>
              </w:rPr>
              <w:t>发包人及联系电话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14" w:type="dxa"/>
            <w:tcBorders>
              <w:left w:val="single" w:color="000000" w:sz="6" w:space="0"/>
            </w:tcBorders>
            <w:vAlign w:val="top"/>
          </w:tcPr>
          <w:p>
            <w:pPr>
              <w:rPr>
                <w:rFonts w:ascii="Arial"/>
                <w:sz w:val="21"/>
              </w:rPr>
            </w:pPr>
          </w:p>
        </w:tc>
        <w:tc>
          <w:tcPr>
            <w:tcW w:w="2899" w:type="dxa"/>
            <w:gridSpan w:val="3"/>
            <w:vAlign w:val="top"/>
          </w:tcPr>
          <w:p>
            <w:pPr>
              <w:rPr>
                <w:rFonts w:ascii="Arial"/>
                <w:sz w:val="21"/>
              </w:rPr>
            </w:pPr>
          </w:p>
        </w:tc>
        <w:tc>
          <w:tcPr>
            <w:tcW w:w="2049" w:type="dxa"/>
            <w:gridSpan w:val="2"/>
            <w:vAlign w:val="top"/>
          </w:tcPr>
          <w:p>
            <w:pPr>
              <w:rPr>
                <w:rFonts w:ascii="Arial"/>
                <w:sz w:val="21"/>
              </w:rPr>
            </w:pPr>
          </w:p>
        </w:tc>
        <w:tc>
          <w:tcPr>
            <w:tcW w:w="2470"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114" w:type="dxa"/>
            <w:tcBorders>
              <w:left w:val="single" w:color="000000" w:sz="6" w:space="0"/>
            </w:tcBorders>
            <w:vAlign w:val="top"/>
          </w:tcPr>
          <w:p>
            <w:pPr>
              <w:rPr>
                <w:rFonts w:ascii="Arial"/>
                <w:sz w:val="21"/>
              </w:rPr>
            </w:pPr>
          </w:p>
        </w:tc>
        <w:tc>
          <w:tcPr>
            <w:tcW w:w="2899" w:type="dxa"/>
            <w:gridSpan w:val="3"/>
            <w:vAlign w:val="top"/>
          </w:tcPr>
          <w:p>
            <w:pPr>
              <w:rPr>
                <w:rFonts w:ascii="Arial"/>
                <w:sz w:val="21"/>
              </w:rPr>
            </w:pPr>
          </w:p>
        </w:tc>
        <w:tc>
          <w:tcPr>
            <w:tcW w:w="2049" w:type="dxa"/>
            <w:gridSpan w:val="2"/>
            <w:vAlign w:val="top"/>
          </w:tcPr>
          <w:p>
            <w:pPr>
              <w:rPr>
                <w:rFonts w:ascii="Arial"/>
                <w:sz w:val="21"/>
              </w:rPr>
            </w:pPr>
          </w:p>
        </w:tc>
        <w:tc>
          <w:tcPr>
            <w:tcW w:w="2470"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14" w:type="dxa"/>
            <w:tcBorders>
              <w:left w:val="single" w:color="000000" w:sz="6" w:space="0"/>
            </w:tcBorders>
            <w:vAlign w:val="top"/>
          </w:tcPr>
          <w:p>
            <w:pPr>
              <w:rPr>
                <w:rFonts w:ascii="Arial"/>
                <w:sz w:val="21"/>
              </w:rPr>
            </w:pPr>
          </w:p>
        </w:tc>
        <w:tc>
          <w:tcPr>
            <w:tcW w:w="2899" w:type="dxa"/>
            <w:gridSpan w:val="3"/>
            <w:vAlign w:val="top"/>
          </w:tcPr>
          <w:p>
            <w:pPr>
              <w:rPr>
                <w:rFonts w:ascii="Arial"/>
                <w:sz w:val="21"/>
              </w:rPr>
            </w:pPr>
          </w:p>
        </w:tc>
        <w:tc>
          <w:tcPr>
            <w:tcW w:w="2049" w:type="dxa"/>
            <w:gridSpan w:val="2"/>
            <w:vAlign w:val="top"/>
          </w:tcPr>
          <w:p>
            <w:pPr>
              <w:rPr>
                <w:rFonts w:ascii="Arial"/>
                <w:sz w:val="21"/>
              </w:rPr>
            </w:pPr>
          </w:p>
        </w:tc>
        <w:tc>
          <w:tcPr>
            <w:tcW w:w="2470"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114" w:type="dxa"/>
            <w:tcBorders>
              <w:left w:val="single" w:color="000000" w:sz="6" w:space="0"/>
            </w:tcBorders>
            <w:vAlign w:val="top"/>
          </w:tcPr>
          <w:p>
            <w:pPr>
              <w:rPr>
                <w:rFonts w:ascii="Arial"/>
                <w:sz w:val="21"/>
              </w:rPr>
            </w:pPr>
          </w:p>
        </w:tc>
        <w:tc>
          <w:tcPr>
            <w:tcW w:w="2899" w:type="dxa"/>
            <w:gridSpan w:val="3"/>
            <w:vAlign w:val="top"/>
          </w:tcPr>
          <w:p>
            <w:pPr>
              <w:rPr>
                <w:rFonts w:ascii="Arial"/>
                <w:sz w:val="21"/>
              </w:rPr>
            </w:pPr>
          </w:p>
        </w:tc>
        <w:tc>
          <w:tcPr>
            <w:tcW w:w="2049" w:type="dxa"/>
            <w:gridSpan w:val="2"/>
            <w:vAlign w:val="top"/>
          </w:tcPr>
          <w:p>
            <w:pPr>
              <w:rPr>
                <w:rFonts w:ascii="Arial"/>
                <w:sz w:val="21"/>
              </w:rPr>
            </w:pPr>
          </w:p>
        </w:tc>
        <w:tc>
          <w:tcPr>
            <w:tcW w:w="2470"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14" w:type="dxa"/>
            <w:tcBorders>
              <w:left w:val="single" w:color="000000" w:sz="6" w:space="0"/>
            </w:tcBorders>
            <w:vAlign w:val="top"/>
          </w:tcPr>
          <w:p>
            <w:pPr>
              <w:rPr>
                <w:rFonts w:ascii="Arial"/>
                <w:sz w:val="21"/>
              </w:rPr>
            </w:pPr>
          </w:p>
        </w:tc>
        <w:tc>
          <w:tcPr>
            <w:tcW w:w="2899" w:type="dxa"/>
            <w:gridSpan w:val="3"/>
            <w:vAlign w:val="top"/>
          </w:tcPr>
          <w:p>
            <w:pPr>
              <w:rPr>
                <w:rFonts w:ascii="Arial"/>
                <w:sz w:val="21"/>
              </w:rPr>
            </w:pPr>
          </w:p>
        </w:tc>
        <w:tc>
          <w:tcPr>
            <w:tcW w:w="2049" w:type="dxa"/>
            <w:gridSpan w:val="2"/>
            <w:vAlign w:val="top"/>
          </w:tcPr>
          <w:p>
            <w:pPr>
              <w:rPr>
                <w:rFonts w:ascii="Arial"/>
                <w:sz w:val="21"/>
              </w:rPr>
            </w:pPr>
          </w:p>
        </w:tc>
        <w:tc>
          <w:tcPr>
            <w:tcW w:w="2470"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114" w:type="dxa"/>
            <w:tcBorders>
              <w:left w:val="single" w:color="000000" w:sz="6" w:space="0"/>
            </w:tcBorders>
            <w:vAlign w:val="top"/>
          </w:tcPr>
          <w:p>
            <w:pPr>
              <w:rPr>
                <w:rFonts w:ascii="Arial"/>
                <w:sz w:val="21"/>
              </w:rPr>
            </w:pPr>
          </w:p>
        </w:tc>
        <w:tc>
          <w:tcPr>
            <w:tcW w:w="2899" w:type="dxa"/>
            <w:gridSpan w:val="3"/>
            <w:vAlign w:val="top"/>
          </w:tcPr>
          <w:p>
            <w:pPr>
              <w:rPr>
                <w:rFonts w:ascii="Arial"/>
                <w:sz w:val="21"/>
              </w:rPr>
            </w:pPr>
          </w:p>
        </w:tc>
        <w:tc>
          <w:tcPr>
            <w:tcW w:w="2049" w:type="dxa"/>
            <w:gridSpan w:val="2"/>
            <w:vAlign w:val="top"/>
          </w:tcPr>
          <w:p>
            <w:pPr>
              <w:rPr>
                <w:rFonts w:ascii="Arial"/>
                <w:sz w:val="21"/>
              </w:rPr>
            </w:pPr>
          </w:p>
        </w:tc>
        <w:tc>
          <w:tcPr>
            <w:tcW w:w="2470"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14" w:type="dxa"/>
            <w:tcBorders>
              <w:left w:val="single" w:color="000000" w:sz="6" w:space="0"/>
            </w:tcBorders>
            <w:vAlign w:val="top"/>
          </w:tcPr>
          <w:p>
            <w:pPr>
              <w:rPr>
                <w:rFonts w:ascii="Arial"/>
                <w:sz w:val="21"/>
              </w:rPr>
            </w:pPr>
          </w:p>
        </w:tc>
        <w:tc>
          <w:tcPr>
            <w:tcW w:w="2899" w:type="dxa"/>
            <w:gridSpan w:val="3"/>
            <w:vAlign w:val="top"/>
          </w:tcPr>
          <w:p>
            <w:pPr>
              <w:rPr>
                <w:rFonts w:ascii="Arial"/>
                <w:sz w:val="21"/>
              </w:rPr>
            </w:pPr>
          </w:p>
        </w:tc>
        <w:tc>
          <w:tcPr>
            <w:tcW w:w="2049" w:type="dxa"/>
            <w:gridSpan w:val="2"/>
            <w:vAlign w:val="top"/>
          </w:tcPr>
          <w:p>
            <w:pPr>
              <w:rPr>
                <w:rFonts w:ascii="Arial"/>
                <w:sz w:val="21"/>
              </w:rPr>
            </w:pPr>
          </w:p>
        </w:tc>
        <w:tc>
          <w:tcPr>
            <w:tcW w:w="2470"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14" w:type="dxa"/>
            <w:tcBorders>
              <w:left w:val="single" w:color="000000" w:sz="6" w:space="0"/>
            </w:tcBorders>
            <w:vAlign w:val="top"/>
          </w:tcPr>
          <w:p>
            <w:pPr>
              <w:rPr>
                <w:rFonts w:ascii="Arial"/>
                <w:sz w:val="21"/>
              </w:rPr>
            </w:pPr>
          </w:p>
        </w:tc>
        <w:tc>
          <w:tcPr>
            <w:tcW w:w="2899" w:type="dxa"/>
            <w:gridSpan w:val="3"/>
            <w:vAlign w:val="top"/>
          </w:tcPr>
          <w:p>
            <w:pPr>
              <w:rPr>
                <w:rFonts w:ascii="Arial"/>
                <w:sz w:val="21"/>
              </w:rPr>
            </w:pPr>
          </w:p>
        </w:tc>
        <w:tc>
          <w:tcPr>
            <w:tcW w:w="2049" w:type="dxa"/>
            <w:gridSpan w:val="2"/>
            <w:vAlign w:val="top"/>
          </w:tcPr>
          <w:p>
            <w:pPr>
              <w:rPr>
                <w:rFonts w:ascii="Arial"/>
                <w:sz w:val="21"/>
              </w:rPr>
            </w:pPr>
          </w:p>
        </w:tc>
        <w:tc>
          <w:tcPr>
            <w:tcW w:w="2470"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114" w:type="dxa"/>
            <w:tcBorders>
              <w:left w:val="single" w:color="000000" w:sz="6" w:space="0"/>
            </w:tcBorders>
            <w:vAlign w:val="top"/>
          </w:tcPr>
          <w:p>
            <w:pPr>
              <w:rPr>
                <w:rFonts w:ascii="Arial"/>
                <w:sz w:val="21"/>
              </w:rPr>
            </w:pPr>
          </w:p>
        </w:tc>
        <w:tc>
          <w:tcPr>
            <w:tcW w:w="2899" w:type="dxa"/>
            <w:gridSpan w:val="3"/>
            <w:vAlign w:val="top"/>
          </w:tcPr>
          <w:p>
            <w:pPr>
              <w:rPr>
                <w:rFonts w:ascii="Arial"/>
                <w:sz w:val="21"/>
              </w:rPr>
            </w:pPr>
          </w:p>
        </w:tc>
        <w:tc>
          <w:tcPr>
            <w:tcW w:w="2049" w:type="dxa"/>
            <w:gridSpan w:val="2"/>
            <w:vAlign w:val="top"/>
          </w:tcPr>
          <w:p>
            <w:pPr>
              <w:rPr>
                <w:rFonts w:ascii="Arial"/>
                <w:sz w:val="21"/>
              </w:rPr>
            </w:pPr>
          </w:p>
        </w:tc>
        <w:tc>
          <w:tcPr>
            <w:tcW w:w="2470"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14" w:type="dxa"/>
            <w:tcBorders>
              <w:left w:val="single" w:color="000000" w:sz="6" w:space="0"/>
            </w:tcBorders>
            <w:vAlign w:val="top"/>
          </w:tcPr>
          <w:p>
            <w:pPr>
              <w:rPr>
                <w:rFonts w:ascii="Arial"/>
                <w:sz w:val="21"/>
              </w:rPr>
            </w:pPr>
          </w:p>
        </w:tc>
        <w:tc>
          <w:tcPr>
            <w:tcW w:w="2899" w:type="dxa"/>
            <w:gridSpan w:val="3"/>
            <w:vAlign w:val="top"/>
          </w:tcPr>
          <w:p>
            <w:pPr>
              <w:rPr>
                <w:rFonts w:ascii="Arial"/>
                <w:sz w:val="21"/>
              </w:rPr>
            </w:pPr>
          </w:p>
        </w:tc>
        <w:tc>
          <w:tcPr>
            <w:tcW w:w="2049" w:type="dxa"/>
            <w:gridSpan w:val="2"/>
            <w:vAlign w:val="top"/>
          </w:tcPr>
          <w:p>
            <w:pPr>
              <w:rPr>
                <w:rFonts w:ascii="Arial"/>
                <w:sz w:val="21"/>
              </w:rPr>
            </w:pPr>
          </w:p>
        </w:tc>
        <w:tc>
          <w:tcPr>
            <w:tcW w:w="2470"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114" w:type="dxa"/>
            <w:tcBorders>
              <w:left w:val="single" w:color="000000" w:sz="6" w:space="0"/>
            </w:tcBorders>
            <w:vAlign w:val="top"/>
          </w:tcPr>
          <w:p>
            <w:pPr>
              <w:rPr>
                <w:rFonts w:ascii="Arial"/>
                <w:sz w:val="21"/>
              </w:rPr>
            </w:pPr>
          </w:p>
        </w:tc>
        <w:tc>
          <w:tcPr>
            <w:tcW w:w="2899" w:type="dxa"/>
            <w:gridSpan w:val="3"/>
            <w:vAlign w:val="top"/>
          </w:tcPr>
          <w:p>
            <w:pPr>
              <w:rPr>
                <w:rFonts w:ascii="Arial"/>
                <w:sz w:val="21"/>
              </w:rPr>
            </w:pPr>
          </w:p>
        </w:tc>
        <w:tc>
          <w:tcPr>
            <w:tcW w:w="2049" w:type="dxa"/>
            <w:gridSpan w:val="2"/>
            <w:vAlign w:val="top"/>
          </w:tcPr>
          <w:p>
            <w:pPr>
              <w:rPr>
                <w:rFonts w:ascii="Arial"/>
                <w:sz w:val="21"/>
              </w:rPr>
            </w:pPr>
          </w:p>
        </w:tc>
        <w:tc>
          <w:tcPr>
            <w:tcW w:w="2470"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14" w:type="dxa"/>
            <w:tcBorders>
              <w:left w:val="single" w:color="000000" w:sz="6" w:space="0"/>
            </w:tcBorders>
            <w:vAlign w:val="top"/>
          </w:tcPr>
          <w:p>
            <w:pPr>
              <w:rPr>
                <w:rFonts w:ascii="Arial"/>
                <w:sz w:val="21"/>
              </w:rPr>
            </w:pPr>
          </w:p>
        </w:tc>
        <w:tc>
          <w:tcPr>
            <w:tcW w:w="2899" w:type="dxa"/>
            <w:gridSpan w:val="3"/>
            <w:vAlign w:val="top"/>
          </w:tcPr>
          <w:p>
            <w:pPr>
              <w:rPr>
                <w:rFonts w:ascii="Arial"/>
                <w:sz w:val="21"/>
              </w:rPr>
            </w:pPr>
          </w:p>
        </w:tc>
        <w:tc>
          <w:tcPr>
            <w:tcW w:w="2049" w:type="dxa"/>
            <w:gridSpan w:val="2"/>
            <w:vAlign w:val="top"/>
          </w:tcPr>
          <w:p>
            <w:pPr>
              <w:rPr>
                <w:rFonts w:ascii="Arial"/>
                <w:sz w:val="21"/>
              </w:rPr>
            </w:pPr>
          </w:p>
        </w:tc>
        <w:tc>
          <w:tcPr>
            <w:tcW w:w="2470"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114" w:type="dxa"/>
            <w:tcBorders>
              <w:left w:val="single" w:color="000000" w:sz="6" w:space="0"/>
            </w:tcBorders>
            <w:vAlign w:val="top"/>
          </w:tcPr>
          <w:p>
            <w:pPr>
              <w:rPr>
                <w:rFonts w:ascii="Arial"/>
                <w:sz w:val="21"/>
              </w:rPr>
            </w:pPr>
          </w:p>
        </w:tc>
        <w:tc>
          <w:tcPr>
            <w:tcW w:w="2899" w:type="dxa"/>
            <w:gridSpan w:val="3"/>
            <w:vAlign w:val="top"/>
          </w:tcPr>
          <w:p>
            <w:pPr>
              <w:rPr>
                <w:rFonts w:ascii="Arial"/>
                <w:sz w:val="21"/>
              </w:rPr>
            </w:pPr>
          </w:p>
        </w:tc>
        <w:tc>
          <w:tcPr>
            <w:tcW w:w="2049" w:type="dxa"/>
            <w:gridSpan w:val="2"/>
            <w:vAlign w:val="top"/>
          </w:tcPr>
          <w:p>
            <w:pPr>
              <w:rPr>
                <w:rFonts w:ascii="Arial"/>
                <w:sz w:val="21"/>
              </w:rPr>
            </w:pPr>
          </w:p>
        </w:tc>
        <w:tc>
          <w:tcPr>
            <w:tcW w:w="2470" w:type="dxa"/>
            <w:gridSpan w:val="2"/>
            <w:tcBorders>
              <w:right w:val="single" w:color="000000" w:sz="6" w:space="0"/>
            </w:tcBorders>
            <w:vAlign w:val="top"/>
          </w:tcPr>
          <w:p>
            <w:pPr>
              <w:rPr>
                <w:rFonts w:ascii="Arial"/>
                <w:sz w:val="21"/>
              </w:rPr>
            </w:pPr>
          </w:p>
        </w:tc>
      </w:tr>
    </w:tbl>
    <w:p>
      <w:pPr>
        <w:spacing w:before="78" w:line="219" w:lineRule="auto"/>
        <w:ind w:left="144"/>
        <w:jc w:val="center"/>
        <w:rPr>
          <w:rFonts w:hint="eastAsia" w:ascii="宋体" w:hAnsi="宋体" w:eastAsia="宋体" w:cs="宋体"/>
          <w:spacing w:val="-14"/>
          <w:sz w:val="24"/>
          <w:szCs w:val="24"/>
          <w:lang w:val="en-US" w:eastAsia="zh-CN"/>
        </w:rPr>
      </w:pPr>
    </w:p>
    <w:p>
      <w:pPr>
        <w:spacing w:before="78" w:line="219" w:lineRule="auto"/>
        <w:ind w:left="144"/>
        <w:jc w:val="center"/>
        <w:rPr>
          <w:rFonts w:hint="eastAsia" w:ascii="宋体" w:hAnsi="宋体" w:eastAsia="宋体" w:cs="宋体"/>
          <w:spacing w:val="-14"/>
          <w:sz w:val="24"/>
          <w:szCs w:val="24"/>
          <w:lang w:val="en-US" w:eastAsia="zh-CN"/>
        </w:rPr>
      </w:pPr>
    </w:p>
    <w:p>
      <w:pPr>
        <w:spacing w:before="78" w:line="219" w:lineRule="auto"/>
        <w:ind w:left="144"/>
        <w:jc w:val="center"/>
        <w:rPr>
          <w:rFonts w:hint="eastAsia" w:ascii="宋体" w:hAnsi="宋体" w:eastAsia="宋体" w:cs="宋体"/>
          <w:spacing w:val="-14"/>
          <w:sz w:val="24"/>
          <w:szCs w:val="24"/>
          <w:lang w:val="en-US" w:eastAsia="zh-CN"/>
        </w:rPr>
      </w:pPr>
    </w:p>
    <w:p>
      <w:pPr>
        <w:spacing w:before="78" w:line="219" w:lineRule="auto"/>
        <w:ind w:left="144"/>
        <w:jc w:val="center"/>
        <w:rPr>
          <w:rFonts w:hint="eastAsia" w:ascii="宋体" w:hAnsi="宋体" w:eastAsia="宋体" w:cs="宋体"/>
          <w:spacing w:val="-14"/>
          <w:sz w:val="24"/>
          <w:szCs w:val="24"/>
          <w:lang w:val="en-US" w:eastAsia="zh-CN"/>
        </w:rPr>
      </w:pPr>
    </w:p>
    <w:p>
      <w:pPr>
        <w:spacing w:before="78" w:line="219" w:lineRule="auto"/>
        <w:ind w:left="144"/>
        <w:jc w:val="center"/>
        <w:rPr>
          <w:rFonts w:hint="eastAsia" w:ascii="宋体" w:hAnsi="宋体" w:eastAsia="宋体" w:cs="宋体"/>
          <w:spacing w:val="-14"/>
          <w:sz w:val="24"/>
          <w:szCs w:val="24"/>
          <w:lang w:val="en-US" w:eastAsia="zh-CN"/>
        </w:rPr>
      </w:pPr>
    </w:p>
    <w:p>
      <w:pPr>
        <w:spacing w:before="78" w:line="219" w:lineRule="auto"/>
        <w:jc w:val="center"/>
        <w:rPr>
          <w:rFonts w:ascii="宋体" w:hAnsi="宋体" w:eastAsia="宋体" w:cs="宋体"/>
          <w:sz w:val="24"/>
          <w:szCs w:val="24"/>
        </w:rPr>
      </w:pPr>
      <w:r>
        <w:rPr>
          <w:rFonts w:hint="eastAsia" w:ascii="宋体" w:hAnsi="宋体" w:eastAsia="宋体" w:cs="宋体"/>
          <w:spacing w:val="-14"/>
          <w:sz w:val="24"/>
          <w:szCs w:val="24"/>
          <w:lang w:val="en-US" w:eastAsia="zh-CN"/>
        </w:rPr>
        <w:t>3.</w:t>
      </w:r>
      <w:r>
        <w:rPr>
          <w:rFonts w:ascii="宋体" w:hAnsi="宋体" w:eastAsia="宋体" w:cs="宋体"/>
          <w:spacing w:val="-7"/>
          <w:sz w:val="24"/>
          <w:szCs w:val="24"/>
        </w:rPr>
        <w:t>项目管理人员简历表</w:t>
      </w:r>
    </w:p>
    <w:p>
      <w:pPr>
        <w:spacing w:before="257" w:line="221" w:lineRule="auto"/>
        <w:ind w:left="548" w:firstLine="416" w:firstLineChars="200"/>
        <w:rPr>
          <w:rFonts w:ascii="宋体" w:hAnsi="宋体" w:eastAsia="宋体" w:cs="宋体"/>
          <w:sz w:val="21"/>
          <w:szCs w:val="21"/>
        </w:rPr>
      </w:pPr>
      <w:r>
        <w:rPr>
          <w:rFonts w:ascii="宋体" w:hAnsi="宋体" w:eastAsia="宋体" w:cs="宋体"/>
          <w:spacing w:val="-1"/>
          <w:sz w:val="21"/>
          <w:szCs w:val="21"/>
        </w:rPr>
        <w:t>项目管理人</w:t>
      </w:r>
      <w:r>
        <w:rPr>
          <w:rFonts w:ascii="宋体" w:hAnsi="宋体" w:eastAsia="宋体" w:cs="宋体"/>
          <w:sz w:val="21"/>
          <w:szCs w:val="21"/>
        </w:rPr>
        <w:t>员指项目各专业监理工程师和监理旁站等岗位人员。</w:t>
      </w:r>
    </w:p>
    <w:p>
      <w:pPr>
        <w:spacing w:line="126" w:lineRule="auto"/>
        <w:rPr>
          <w:rFonts w:ascii="Arial"/>
          <w:sz w:val="2"/>
        </w:rPr>
      </w:pPr>
    </w:p>
    <w:tbl>
      <w:tblPr>
        <w:tblStyle w:val="171"/>
        <w:tblW w:w="8417" w:type="dxa"/>
        <w:tblInd w:w="7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02"/>
        <w:gridCol w:w="2090"/>
        <w:gridCol w:w="2211"/>
        <w:gridCol w:w="22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8" w:hRule="atLeast"/>
        </w:trPr>
        <w:tc>
          <w:tcPr>
            <w:tcW w:w="1902" w:type="dxa"/>
            <w:tcBorders>
              <w:left w:val="single" w:color="000000" w:sz="6" w:space="0"/>
            </w:tcBorders>
            <w:vAlign w:val="top"/>
          </w:tcPr>
          <w:p>
            <w:pPr>
              <w:spacing w:before="193" w:line="221" w:lineRule="auto"/>
              <w:ind w:left="551"/>
              <w:rPr>
                <w:rFonts w:ascii="宋体" w:hAnsi="宋体" w:eastAsia="宋体" w:cs="宋体"/>
                <w:sz w:val="21"/>
                <w:szCs w:val="21"/>
              </w:rPr>
            </w:pPr>
            <w:r>
              <w:rPr>
                <w:rFonts w:ascii="宋体" w:hAnsi="宋体" w:eastAsia="宋体" w:cs="宋体"/>
                <w:spacing w:val="-7"/>
                <w:sz w:val="21"/>
                <w:szCs w:val="21"/>
              </w:rPr>
              <w:t>岗位名称</w:t>
            </w:r>
          </w:p>
        </w:tc>
        <w:tc>
          <w:tcPr>
            <w:tcW w:w="6515" w:type="dxa"/>
            <w:gridSpan w:val="3"/>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902" w:type="dxa"/>
            <w:tcBorders>
              <w:left w:val="single" w:color="000000" w:sz="6" w:space="0"/>
            </w:tcBorders>
            <w:vAlign w:val="top"/>
          </w:tcPr>
          <w:p>
            <w:pPr>
              <w:spacing w:before="177" w:line="221" w:lineRule="auto"/>
              <w:ind w:left="528"/>
              <w:rPr>
                <w:rFonts w:ascii="宋体" w:hAnsi="宋体" w:eastAsia="宋体" w:cs="宋体"/>
                <w:sz w:val="21"/>
                <w:szCs w:val="21"/>
              </w:rPr>
            </w:pPr>
            <w:r>
              <w:rPr>
                <w:rFonts w:ascii="宋体" w:hAnsi="宋体" w:eastAsia="宋体" w:cs="宋体"/>
                <w:spacing w:val="1"/>
                <w:sz w:val="21"/>
                <w:szCs w:val="21"/>
              </w:rPr>
              <w:t xml:space="preserve">姓  </w:t>
            </w:r>
            <w:r>
              <w:rPr>
                <w:rFonts w:ascii="宋体" w:hAnsi="宋体" w:eastAsia="宋体" w:cs="宋体"/>
                <w:sz w:val="21"/>
                <w:szCs w:val="21"/>
              </w:rPr>
              <w:t xml:space="preserve">  名</w:t>
            </w:r>
          </w:p>
        </w:tc>
        <w:tc>
          <w:tcPr>
            <w:tcW w:w="2090" w:type="dxa"/>
            <w:vAlign w:val="top"/>
          </w:tcPr>
          <w:p>
            <w:pPr>
              <w:rPr>
                <w:rFonts w:ascii="Arial"/>
                <w:sz w:val="21"/>
              </w:rPr>
            </w:pPr>
          </w:p>
        </w:tc>
        <w:tc>
          <w:tcPr>
            <w:tcW w:w="2211" w:type="dxa"/>
            <w:vAlign w:val="top"/>
          </w:tcPr>
          <w:p>
            <w:pPr>
              <w:spacing w:before="177" w:line="221" w:lineRule="auto"/>
              <w:ind w:left="692"/>
              <w:rPr>
                <w:rFonts w:ascii="宋体" w:hAnsi="宋体" w:eastAsia="宋体" w:cs="宋体"/>
                <w:sz w:val="21"/>
                <w:szCs w:val="21"/>
              </w:rPr>
            </w:pPr>
            <w:r>
              <w:rPr>
                <w:rFonts w:ascii="宋体" w:hAnsi="宋体" w:eastAsia="宋体" w:cs="宋体"/>
                <w:spacing w:val="-1"/>
                <w:sz w:val="21"/>
                <w:szCs w:val="21"/>
              </w:rPr>
              <w:t>年</w:t>
            </w:r>
            <w:r>
              <w:rPr>
                <w:rFonts w:ascii="宋体" w:hAnsi="宋体" w:eastAsia="宋体" w:cs="宋体"/>
                <w:sz w:val="21"/>
                <w:szCs w:val="21"/>
              </w:rPr>
              <w:t xml:space="preserve">    龄</w:t>
            </w:r>
          </w:p>
        </w:tc>
        <w:tc>
          <w:tcPr>
            <w:tcW w:w="2214"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902" w:type="dxa"/>
            <w:tcBorders>
              <w:left w:val="single" w:color="000000" w:sz="6" w:space="0"/>
            </w:tcBorders>
            <w:vAlign w:val="top"/>
          </w:tcPr>
          <w:p>
            <w:pPr>
              <w:spacing w:before="178" w:line="221" w:lineRule="auto"/>
              <w:ind w:left="528"/>
              <w:rPr>
                <w:rFonts w:ascii="宋体" w:hAnsi="宋体" w:eastAsia="宋体" w:cs="宋体"/>
                <w:sz w:val="21"/>
                <w:szCs w:val="21"/>
              </w:rPr>
            </w:pPr>
            <w:r>
              <w:rPr>
                <w:rFonts w:ascii="宋体" w:hAnsi="宋体" w:eastAsia="宋体" w:cs="宋体"/>
                <w:spacing w:val="1"/>
                <w:sz w:val="21"/>
                <w:szCs w:val="21"/>
              </w:rPr>
              <w:t xml:space="preserve">性  </w:t>
            </w:r>
            <w:r>
              <w:rPr>
                <w:rFonts w:ascii="宋体" w:hAnsi="宋体" w:eastAsia="宋体" w:cs="宋体"/>
                <w:sz w:val="21"/>
                <w:szCs w:val="21"/>
              </w:rPr>
              <w:t xml:space="preserve">  别</w:t>
            </w:r>
          </w:p>
        </w:tc>
        <w:tc>
          <w:tcPr>
            <w:tcW w:w="2090" w:type="dxa"/>
            <w:vAlign w:val="top"/>
          </w:tcPr>
          <w:p>
            <w:pPr>
              <w:rPr>
                <w:rFonts w:ascii="Arial"/>
                <w:sz w:val="21"/>
              </w:rPr>
            </w:pPr>
          </w:p>
        </w:tc>
        <w:tc>
          <w:tcPr>
            <w:tcW w:w="2211" w:type="dxa"/>
            <w:vAlign w:val="top"/>
          </w:tcPr>
          <w:p>
            <w:pPr>
              <w:spacing w:before="177" w:line="221" w:lineRule="auto"/>
              <w:ind w:left="695"/>
              <w:rPr>
                <w:rFonts w:ascii="宋体" w:hAnsi="宋体" w:eastAsia="宋体" w:cs="宋体"/>
                <w:sz w:val="21"/>
                <w:szCs w:val="21"/>
              </w:rPr>
            </w:pPr>
            <w:r>
              <w:rPr>
                <w:rFonts w:ascii="宋体" w:hAnsi="宋体" w:eastAsia="宋体" w:cs="宋体"/>
                <w:spacing w:val="-3"/>
                <w:sz w:val="21"/>
                <w:szCs w:val="21"/>
              </w:rPr>
              <w:t>毕</w:t>
            </w:r>
            <w:r>
              <w:rPr>
                <w:rFonts w:ascii="宋体" w:hAnsi="宋体" w:eastAsia="宋体" w:cs="宋体"/>
                <w:spacing w:val="-2"/>
                <w:sz w:val="21"/>
                <w:szCs w:val="21"/>
              </w:rPr>
              <w:t>业学校</w:t>
            </w:r>
          </w:p>
        </w:tc>
        <w:tc>
          <w:tcPr>
            <w:tcW w:w="2214"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902" w:type="dxa"/>
            <w:tcBorders>
              <w:left w:val="single" w:color="000000" w:sz="6" w:space="0"/>
            </w:tcBorders>
            <w:vAlign w:val="top"/>
          </w:tcPr>
          <w:p>
            <w:pPr>
              <w:spacing w:before="180" w:line="221" w:lineRule="auto"/>
              <w:ind w:left="426"/>
              <w:rPr>
                <w:rFonts w:ascii="宋体" w:hAnsi="宋体" w:eastAsia="宋体" w:cs="宋体"/>
                <w:sz w:val="21"/>
                <w:szCs w:val="21"/>
              </w:rPr>
            </w:pPr>
            <w:r>
              <w:rPr>
                <w:rFonts w:ascii="宋体" w:hAnsi="宋体" w:eastAsia="宋体" w:cs="宋体"/>
                <w:spacing w:val="-2"/>
                <w:sz w:val="21"/>
                <w:szCs w:val="21"/>
              </w:rPr>
              <w:t>学历和专</w:t>
            </w:r>
            <w:r>
              <w:rPr>
                <w:rFonts w:ascii="宋体" w:hAnsi="宋体" w:eastAsia="宋体" w:cs="宋体"/>
                <w:spacing w:val="-1"/>
                <w:sz w:val="21"/>
                <w:szCs w:val="21"/>
              </w:rPr>
              <w:t>业</w:t>
            </w:r>
          </w:p>
        </w:tc>
        <w:tc>
          <w:tcPr>
            <w:tcW w:w="2090" w:type="dxa"/>
            <w:vAlign w:val="top"/>
          </w:tcPr>
          <w:p>
            <w:pPr>
              <w:rPr>
                <w:rFonts w:ascii="Arial"/>
                <w:sz w:val="21"/>
              </w:rPr>
            </w:pPr>
          </w:p>
        </w:tc>
        <w:tc>
          <w:tcPr>
            <w:tcW w:w="2211" w:type="dxa"/>
            <w:vAlign w:val="top"/>
          </w:tcPr>
          <w:p>
            <w:pPr>
              <w:spacing w:before="180" w:line="221" w:lineRule="auto"/>
              <w:ind w:left="695"/>
              <w:rPr>
                <w:rFonts w:ascii="宋体" w:hAnsi="宋体" w:eastAsia="宋体" w:cs="宋体"/>
                <w:sz w:val="21"/>
                <w:szCs w:val="21"/>
              </w:rPr>
            </w:pPr>
            <w:r>
              <w:rPr>
                <w:rFonts w:ascii="宋体" w:hAnsi="宋体" w:eastAsia="宋体" w:cs="宋体"/>
                <w:spacing w:val="-3"/>
                <w:sz w:val="21"/>
                <w:szCs w:val="21"/>
              </w:rPr>
              <w:t>毕</w:t>
            </w:r>
            <w:r>
              <w:rPr>
                <w:rFonts w:ascii="宋体" w:hAnsi="宋体" w:eastAsia="宋体" w:cs="宋体"/>
                <w:spacing w:val="-2"/>
                <w:sz w:val="21"/>
                <w:szCs w:val="21"/>
              </w:rPr>
              <w:t>业时间</w:t>
            </w:r>
          </w:p>
        </w:tc>
        <w:tc>
          <w:tcPr>
            <w:tcW w:w="2214"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1902" w:type="dxa"/>
            <w:tcBorders>
              <w:left w:val="single" w:color="000000" w:sz="6" w:space="0"/>
            </w:tcBorders>
            <w:vAlign w:val="top"/>
          </w:tcPr>
          <w:p>
            <w:pPr>
              <w:spacing w:before="178" w:line="221" w:lineRule="auto"/>
              <w:ind w:left="211"/>
              <w:rPr>
                <w:rFonts w:ascii="宋体" w:hAnsi="宋体" w:eastAsia="宋体" w:cs="宋体"/>
                <w:sz w:val="21"/>
                <w:szCs w:val="21"/>
              </w:rPr>
            </w:pPr>
            <w:r>
              <w:rPr>
                <w:rFonts w:ascii="宋体" w:hAnsi="宋体" w:eastAsia="宋体" w:cs="宋体"/>
                <w:spacing w:val="-1"/>
                <w:sz w:val="21"/>
                <w:szCs w:val="21"/>
              </w:rPr>
              <w:t>拥有的执业</w:t>
            </w:r>
            <w:r>
              <w:rPr>
                <w:rFonts w:ascii="宋体" w:hAnsi="宋体" w:eastAsia="宋体" w:cs="宋体"/>
                <w:sz w:val="21"/>
                <w:szCs w:val="21"/>
              </w:rPr>
              <w:t>资格</w:t>
            </w:r>
          </w:p>
        </w:tc>
        <w:tc>
          <w:tcPr>
            <w:tcW w:w="2090" w:type="dxa"/>
            <w:vAlign w:val="top"/>
          </w:tcPr>
          <w:p>
            <w:pPr>
              <w:rPr>
                <w:rFonts w:ascii="Arial"/>
                <w:sz w:val="21"/>
              </w:rPr>
            </w:pPr>
          </w:p>
        </w:tc>
        <w:tc>
          <w:tcPr>
            <w:tcW w:w="2211" w:type="dxa"/>
            <w:vAlign w:val="top"/>
          </w:tcPr>
          <w:p>
            <w:pPr>
              <w:spacing w:before="179" w:line="221" w:lineRule="auto"/>
              <w:ind w:left="692"/>
              <w:rPr>
                <w:rFonts w:ascii="宋体" w:hAnsi="宋体" w:eastAsia="宋体" w:cs="宋体"/>
                <w:sz w:val="21"/>
                <w:szCs w:val="21"/>
              </w:rPr>
            </w:pPr>
            <w:r>
              <w:rPr>
                <w:rFonts w:ascii="宋体" w:hAnsi="宋体" w:eastAsia="宋体" w:cs="宋体"/>
                <w:spacing w:val="-2"/>
                <w:sz w:val="21"/>
                <w:szCs w:val="21"/>
              </w:rPr>
              <w:t>专业</w:t>
            </w:r>
            <w:r>
              <w:rPr>
                <w:rFonts w:ascii="宋体" w:hAnsi="宋体" w:eastAsia="宋体" w:cs="宋体"/>
                <w:spacing w:val="-1"/>
                <w:sz w:val="21"/>
                <w:szCs w:val="21"/>
              </w:rPr>
              <w:t>职称</w:t>
            </w:r>
          </w:p>
        </w:tc>
        <w:tc>
          <w:tcPr>
            <w:tcW w:w="2214"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3" w:hRule="atLeast"/>
        </w:trPr>
        <w:tc>
          <w:tcPr>
            <w:tcW w:w="1902" w:type="dxa"/>
            <w:tcBorders>
              <w:left w:val="single" w:color="000000" w:sz="6" w:space="0"/>
            </w:tcBorders>
            <w:vAlign w:val="top"/>
          </w:tcPr>
          <w:p>
            <w:pPr>
              <w:spacing w:before="181" w:line="220" w:lineRule="auto"/>
              <w:ind w:left="108"/>
              <w:rPr>
                <w:rFonts w:ascii="宋体" w:hAnsi="宋体" w:eastAsia="宋体" w:cs="宋体"/>
                <w:sz w:val="21"/>
                <w:szCs w:val="21"/>
              </w:rPr>
            </w:pPr>
            <w:r>
              <w:rPr>
                <w:rFonts w:ascii="宋体" w:hAnsi="宋体" w:eastAsia="宋体" w:cs="宋体"/>
                <w:spacing w:val="-1"/>
                <w:sz w:val="21"/>
                <w:szCs w:val="21"/>
              </w:rPr>
              <w:t>执业资格证</w:t>
            </w:r>
            <w:r>
              <w:rPr>
                <w:rFonts w:ascii="宋体" w:hAnsi="宋体" w:eastAsia="宋体" w:cs="宋体"/>
                <w:sz w:val="21"/>
                <w:szCs w:val="21"/>
              </w:rPr>
              <w:t>书编号</w:t>
            </w:r>
          </w:p>
        </w:tc>
        <w:tc>
          <w:tcPr>
            <w:tcW w:w="2090" w:type="dxa"/>
            <w:vAlign w:val="top"/>
          </w:tcPr>
          <w:p>
            <w:pPr>
              <w:rPr>
                <w:rFonts w:ascii="Arial"/>
                <w:sz w:val="21"/>
              </w:rPr>
            </w:pPr>
          </w:p>
        </w:tc>
        <w:tc>
          <w:tcPr>
            <w:tcW w:w="2211" w:type="dxa"/>
            <w:vAlign w:val="top"/>
          </w:tcPr>
          <w:p>
            <w:pPr>
              <w:spacing w:before="181" w:line="221" w:lineRule="auto"/>
              <w:ind w:left="694"/>
              <w:rPr>
                <w:rFonts w:ascii="宋体" w:hAnsi="宋体" w:eastAsia="宋体" w:cs="宋体"/>
                <w:sz w:val="21"/>
                <w:szCs w:val="21"/>
              </w:rPr>
            </w:pPr>
            <w:r>
              <w:rPr>
                <w:rFonts w:ascii="宋体" w:hAnsi="宋体" w:eastAsia="宋体" w:cs="宋体"/>
                <w:spacing w:val="-2"/>
                <w:sz w:val="21"/>
                <w:szCs w:val="21"/>
              </w:rPr>
              <w:t>工作年限</w:t>
            </w:r>
          </w:p>
        </w:tc>
        <w:tc>
          <w:tcPr>
            <w:tcW w:w="2214"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912" w:hRule="atLeast"/>
        </w:trPr>
        <w:tc>
          <w:tcPr>
            <w:tcW w:w="1902" w:type="dxa"/>
            <w:tcBorders>
              <w:left w:val="single" w:color="000000" w:sz="6" w:space="0"/>
            </w:tcBorders>
            <w:textDirection w:val="tbRlV"/>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0" w:line="210" w:lineRule="auto"/>
              <w:ind w:left="1816"/>
              <w:rPr>
                <w:rFonts w:ascii="宋体" w:hAnsi="宋体" w:eastAsia="宋体" w:cs="宋体"/>
                <w:sz w:val="21"/>
                <w:szCs w:val="21"/>
              </w:rPr>
            </w:pPr>
            <w:r>
              <w:rPr>
                <w:rFonts w:ascii="宋体" w:hAnsi="宋体" w:eastAsia="宋体" w:cs="宋体"/>
                <w:spacing w:val="-2"/>
                <w:sz w:val="21"/>
                <w:szCs w:val="21"/>
              </w:rPr>
              <w:t>主 要 工 作 业 绩</w:t>
            </w:r>
            <w:r>
              <w:rPr>
                <w:rFonts w:ascii="宋体" w:hAnsi="宋体" w:eastAsia="宋体" w:cs="宋体"/>
                <w:spacing w:val="-1"/>
                <w:sz w:val="21"/>
                <w:szCs w:val="21"/>
              </w:rPr>
              <w:t xml:space="preserve"> 及 担 任 的 主 要 工 作</w:t>
            </w:r>
          </w:p>
        </w:tc>
        <w:tc>
          <w:tcPr>
            <w:tcW w:w="6515" w:type="dxa"/>
            <w:gridSpan w:val="3"/>
            <w:tcBorders>
              <w:right w:val="single" w:color="000000" w:sz="6" w:space="0"/>
            </w:tcBorders>
            <w:vAlign w:val="top"/>
          </w:tcPr>
          <w:p>
            <w:pPr>
              <w:rPr>
                <w:rFonts w:ascii="Arial"/>
                <w:sz w:val="21"/>
              </w:rPr>
            </w:pPr>
          </w:p>
        </w:tc>
      </w:tr>
    </w:tbl>
    <w:p>
      <w:pPr>
        <w:pStyle w:val="10"/>
        <w:numPr>
          <w:ilvl w:val="0"/>
          <w:numId w:val="0"/>
        </w:numPr>
        <w:ind w:leftChars="0"/>
        <w:rPr>
          <w:rFonts w:hint="eastAsia"/>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cs="宋体"/>
          <w:sz w:val="28"/>
          <w:szCs w:val="28"/>
          <w:lang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cs="宋体"/>
          <w:sz w:val="28"/>
          <w:szCs w:val="28"/>
          <w:lang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cs="宋体"/>
          <w:sz w:val="28"/>
          <w:szCs w:val="28"/>
          <w:lang w:eastAsia="zh-CN"/>
        </w:rPr>
        <w:t>附表</w:t>
      </w:r>
      <w:r>
        <w:rPr>
          <w:rFonts w:hint="eastAsia" w:ascii="宋体" w:hAnsi="宋体" w:cs="宋体"/>
          <w:sz w:val="28"/>
          <w:szCs w:val="28"/>
          <w:lang w:val="en-US" w:eastAsia="zh-CN"/>
        </w:rPr>
        <w:t>3：</w:t>
      </w:r>
      <w:r>
        <w:rPr>
          <w:rFonts w:hint="eastAsia" w:ascii="宋体" w:hAnsi="宋体" w:eastAsia="宋体" w:cs="宋体"/>
          <w:sz w:val="28"/>
          <w:szCs w:val="28"/>
        </w:rPr>
        <w:t>同类业绩统计样表（仅供参考）</w:t>
      </w:r>
    </w:p>
    <w:tbl>
      <w:tblPr>
        <w:tblStyle w:val="2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1"/>
        <w:gridCol w:w="1973"/>
        <w:gridCol w:w="1361"/>
        <w:gridCol w:w="1973"/>
        <w:gridCol w:w="25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jc w:val="center"/>
        </w:trPr>
        <w:tc>
          <w:tcPr>
            <w:tcW w:w="1381"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序号</w:t>
            </w:r>
          </w:p>
        </w:tc>
        <w:tc>
          <w:tcPr>
            <w:tcW w:w="1973"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采购单位名称</w:t>
            </w:r>
          </w:p>
        </w:tc>
        <w:tc>
          <w:tcPr>
            <w:tcW w:w="1361"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合同名称</w:t>
            </w:r>
          </w:p>
        </w:tc>
        <w:tc>
          <w:tcPr>
            <w:tcW w:w="1973"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合同起止时间</w:t>
            </w:r>
          </w:p>
        </w:tc>
        <w:tc>
          <w:tcPr>
            <w:tcW w:w="259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合同金额（万元）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jc w:val="center"/>
        </w:trPr>
        <w:tc>
          <w:tcPr>
            <w:tcW w:w="1381"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1973"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1361"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1973"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259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jc w:val="center"/>
        </w:trPr>
        <w:tc>
          <w:tcPr>
            <w:tcW w:w="1381"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w:t>
            </w:r>
          </w:p>
        </w:tc>
        <w:tc>
          <w:tcPr>
            <w:tcW w:w="1973"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1361"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1973"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259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jc w:val="center"/>
        </w:trPr>
        <w:tc>
          <w:tcPr>
            <w:tcW w:w="9282" w:type="dxa"/>
            <w:gridSpan w:val="5"/>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数量合计（个）：</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p>
    <w:p>
      <w:pPr>
        <w:spacing w:before="175" w:line="219" w:lineRule="auto"/>
        <w:ind w:left="4025"/>
        <w:rPr>
          <w:rFonts w:hint="eastAsia"/>
        </w:rPr>
      </w:pPr>
      <w:bookmarkStart w:id="370" w:name="_TOC_250002"/>
      <w:bookmarkEnd w:id="370"/>
      <w:bookmarkStart w:id="371" w:name="_Toc4655"/>
      <w:bookmarkStart w:id="372" w:name="_Toc9895"/>
    </w:p>
    <w:bookmarkEnd w:id="371"/>
    <w:bookmarkEnd w:id="372"/>
    <w:p>
      <w:pPr>
        <w:pStyle w:val="5"/>
        <w:bidi w:val="0"/>
        <w:rPr>
          <w:rFonts w:hint="eastAsia"/>
        </w:rPr>
      </w:pPr>
      <w:bookmarkStart w:id="373" w:name="_TOC_250001"/>
      <w:bookmarkEnd w:id="373"/>
      <w:bookmarkStart w:id="374" w:name="_Toc30319"/>
      <w:bookmarkStart w:id="375" w:name="_Toc31161"/>
      <w:r>
        <w:rPr>
          <w:rFonts w:hint="eastAsia"/>
        </w:rPr>
        <w:t>三、技术服务偏差表</w:t>
      </w:r>
    </w:p>
    <w:tbl>
      <w:tblPr>
        <w:tblStyle w:val="2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7"/>
        <w:gridCol w:w="1698"/>
        <w:gridCol w:w="3132"/>
        <w:gridCol w:w="1530"/>
        <w:gridCol w:w="20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0" w:hRule="atLeast"/>
          <w:jc w:val="center"/>
        </w:trPr>
        <w:tc>
          <w:tcPr>
            <w:tcW w:w="867" w:type="dxa"/>
            <w:shd w:val="clear" w:color="auto" w:fill="D7D7D7"/>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序号</w:t>
            </w:r>
          </w:p>
        </w:tc>
        <w:tc>
          <w:tcPr>
            <w:tcW w:w="1698" w:type="dxa"/>
            <w:shd w:val="clear" w:color="auto" w:fill="D7D7D7"/>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磋商文件要求</w:t>
            </w:r>
          </w:p>
        </w:tc>
        <w:tc>
          <w:tcPr>
            <w:tcW w:w="3132" w:type="dxa"/>
            <w:shd w:val="clear" w:color="auto" w:fill="D7D7D7"/>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响应文件响应条款</w:t>
            </w:r>
          </w:p>
        </w:tc>
        <w:tc>
          <w:tcPr>
            <w:tcW w:w="1530" w:type="dxa"/>
            <w:shd w:val="clear" w:color="auto" w:fill="D7D7D7"/>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偏离程度</w:t>
            </w:r>
          </w:p>
        </w:tc>
        <w:tc>
          <w:tcPr>
            <w:tcW w:w="2066" w:type="dxa"/>
            <w:shd w:val="clear" w:color="auto" w:fill="D7D7D7"/>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偏离简述</w:t>
            </w: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或相关证明材料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86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1</w:t>
            </w:r>
          </w:p>
        </w:tc>
        <w:tc>
          <w:tcPr>
            <w:tcW w:w="169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313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153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20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86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169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313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153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20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86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169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313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153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20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86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4</w:t>
            </w:r>
          </w:p>
        </w:tc>
        <w:tc>
          <w:tcPr>
            <w:tcW w:w="169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313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153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20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86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5</w:t>
            </w:r>
          </w:p>
        </w:tc>
        <w:tc>
          <w:tcPr>
            <w:tcW w:w="169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313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153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20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86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6</w:t>
            </w:r>
          </w:p>
        </w:tc>
        <w:tc>
          <w:tcPr>
            <w:tcW w:w="169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313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153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20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86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r>
              <w:rPr>
                <w:rFonts w:hint="eastAsia" w:ascii="宋体" w:hAnsi="宋体" w:eastAsia="宋体" w:cs="宋体"/>
                <w:sz w:val="28"/>
                <w:szCs w:val="28"/>
              </w:rPr>
              <w:t>……</w:t>
            </w:r>
          </w:p>
        </w:tc>
        <w:tc>
          <w:tcPr>
            <w:tcW w:w="169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313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153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c>
          <w:tcPr>
            <w:tcW w:w="20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sz w:val="28"/>
                <w:szCs w:val="28"/>
              </w:rPr>
            </w:pP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备注：1、填写此表时以第</w:t>
      </w:r>
      <w:r>
        <w:rPr>
          <w:rFonts w:hint="eastAsia" w:ascii="宋体" w:hAnsi="宋体" w:cs="宋体"/>
          <w:sz w:val="28"/>
          <w:szCs w:val="28"/>
          <w:lang w:eastAsia="zh-CN"/>
        </w:rPr>
        <w:t>五</w:t>
      </w:r>
      <w:r>
        <w:rPr>
          <w:rFonts w:hint="eastAsia" w:ascii="宋体" w:hAnsi="宋体" w:eastAsia="宋体" w:cs="宋体"/>
          <w:sz w:val="28"/>
          <w:szCs w:val="28"/>
        </w:rPr>
        <w:t>章“</w:t>
      </w:r>
      <w:r>
        <w:rPr>
          <w:rFonts w:hint="eastAsia" w:ascii="宋体" w:hAnsi="宋体" w:cs="宋体"/>
          <w:sz w:val="28"/>
          <w:szCs w:val="28"/>
          <w:lang w:eastAsia="zh-CN"/>
        </w:rPr>
        <w:t>监理任务范围及监理大纲</w:t>
      </w:r>
      <w:r>
        <w:rPr>
          <w:rFonts w:hint="eastAsia" w:ascii="宋体" w:hAnsi="宋体" w:eastAsia="宋体" w:cs="宋体"/>
          <w:sz w:val="28"/>
          <w:szCs w:val="28"/>
        </w:rPr>
        <w:t>”各条款为基本响应要求，满足磋商文件要求的，“偏离程度”注明“0”，无需填写“偏离简述”项。超出、不满足磋商文件要求的，列出“+”、“-”偏差，并在“偏离简述”项做出详细说明；如果“偏离程度”项未填写，将视为该项指标未响应。</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2、“响应文件响应条款”必须与响应文件中提供的证明材料的实质性响应情况相一致。若在评审环节发现该项与响应文件证明材料的实质性响应情况不一致，按无效响应处理。</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u w:val="single"/>
        </w:rPr>
        <w:t>供应商名称</w:t>
      </w:r>
      <w:r>
        <w:rPr>
          <w:rFonts w:hint="eastAsia" w:ascii="宋体" w:hAnsi="宋体" w:eastAsia="宋体" w:cs="宋体"/>
          <w:sz w:val="28"/>
          <w:szCs w:val="28"/>
        </w:rPr>
        <w:t>（盖章）</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年</w:t>
      </w:r>
      <w:r>
        <w:rPr>
          <w:rFonts w:hint="eastAsia" w:ascii="宋体" w:hAnsi="宋体" w:eastAsia="宋体" w:cs="宋体"/>
          <w:sz w:val="28"/>
          <w:szCs w:val="28"/>
        </w:rPr>
        <w:tab/>
      </w:r>
      <w:r>
        <w:rPr>
          <w:rFonts w:hint="eastAsia" w:ascii="宋体" w:hAnsi="宋体" w:eastAsia="宋体" w:cs="宋体"/>
          <w:sz w:val="28"/>
          <w:szCs w:val="28"/>
        </w:rPr>
        <w:t>月</w:t>
      </w:r>
      <w:r>
        <w:rPr>
          <w:rFonts w:hint="eastAsia" w:ascii="宋体" w:hAnsi="宋体" w:eastAsia="宋体" w:cs="宋体"/>
          <w:sz w:val="28"/>
          <w:szCs w:val="28"/>
        </w:rPr>
        <w:tab/>
      </w:r>
      <w:r>
        <w:rPr>
          <w:rFonts w:hint="eastAsia" w:ascii="宋体" w:hAnsi="宋体" w:eastAsia="宋体" w:cs="宋体"/>
          <w:sz w:val="28"/>
          <w:szCs w:val="28"/>
        </w:rPr>
        <w:t>日</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sectPr>
          <w:pgSz w:w="11910" w:h="16840"/>
          <w:pgMar w:top="1440" w:right="1440" w:bottom="1440" w:left="1440" w:header="720" w:footer="720" w:gutter="0"/>
          <w:pgBorders>
            <w:top w:val="none" w:sz="0" w:space="0"/>
            <w:left w:val="none" w:sz="0" w:space="0"/>
            <w:bottom w:val="none" w:sz="0" w:space="0"/>
            <w:right w:val="none" w:sz="0" w:space="0"/>
          </w:pgBorders>
          <w:pgNumType w:fmt="decimal"/>
          <w:cols w:space="425" w:num="1"/>
          <w:rtlGutter w:val="0"/>
          <w:docGrid w:linePitch="0" w:charSpace="0"/>
        </w:sectPr>
      </w:pPr>
    </w:p>
    <w:p>
      <w:pPr>
        <w:pStyle w:val="5"/>
        <w:bidi w:val="0"/>
        <w:rPr>
          <w:rFonts w:hint="eastAsia"/>
        </w:rPr>
      </w:pPr>
      <w:r>
        <w:rPr>
          <w:rFonts w:hint="eastAsia"/>
        </w:rPr>
        <w:t>四、合同条款响应</w:t>
      </w:r>
      <w:bookmarkEnd w:id="374"/>
      <w:bookmarkEnd w:id="375"/>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完全理解并接受磋商文件中“合同基本条款”要求。</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u w:val="single"/>
        </w:rPr>
        <w:t>供应商名称</w:t>
      </w:r>
      <w:r>
        <w:rPr>
          <w:rFonts w:hint="eastAsia" w:ascii="宋体" w:hAnsi="宋体" w:eastAsia="宋体" w:cs="宋体"/>
          <w:sz w:val="28"/>
          <w:szCs w:val="28"/>
        </w:rPr>
        <w:t>（盖章）</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年</w:t>
      </w:r>
      <w:r>
        <w:rPr>
          <w:rFonts w:hint="eastAsia" w:ascii="宋体" w:hAnsi="宋体" w:eastAsia="宋体" w:cs="宋体"/>
          <w:sz w:val="28"/>
          <w:szCs w:val="28"/>
        </w:rPr>
        <w:tab/>
      </w:r>
      <w:r>
        <w:rPr>
          <w:rFonts w:hint="eastAsia" w:ascii="宋体" w:hAnsi="宋体" w:eastAsia="宋体" w:cs="宋体"/>
          <w:sz w:val="28"/>
          <w:szCs w:val="28"/>
        </w:rPr>
        <w:t>月</w:t>
      </w:r>
      <w:r>
        <w:rPr>
          <w:rFonts w:hint="eastAsia" w:ascii="宋体" w:hAnsi="宋体" w:eastAsia="宋体" w:cs="宋体"/>
          <w:sz w:val="28"/>
          <w:szCs w:val="28"/>
        </w:rPr>
        <w:tab/>
      </w:r>
      <w:r>
        <w:rPr>
          <w:rFonts w:hint="eastAsia" w:ascii="宋体" w:hAnsi="宋体" w:eastAsia="宋体" w:cs="宋体"/>
          <w:sz w:val="28"/>
          <w:szCs w:val="28"/>
        </w:rPr>
        <w:t>日</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sz w:val="28"/>
          <w:szCs w:val="28"/>
        </w:rPr>
      </w:pPr>
    </w:p>
    <w:p>
      <w:pPr>
        <w:pStyle w:val="5"/>
        <w:numPr>
          <w:ilvl w:val="0"/>
          <w:numId w:val="0"/>
        </w:numPr>
        <w:bidi w:val="0"/>
        <w:ind w:right="0" w:rightChars="0"/>
        <w:rPr>
          <w:rFonts w:hint="eastAsia"/>
        </w:rPr>
      </w:pPr>
      <w:bookmarkStart w:id="376" w:name="_TOC_250000"/>
      <w:bookmarkEnd w:id="376"/>
      <w:bookmarkStart w:id="377" w:name="_Toc9305"/>
      <w:bookmarkStart w:id="378" w:name="_Toc8964"/>
      <w:r>
        <w:rPr>
          <w:rFonts w:hint="eastAsia"/>
          <w:lang w:eastAsia="zh-CN"/>
        </w:rPr>
        <w:t>五、</w:t>
      </w:r>
      <w:r>
        <w:rPr>
          <w:rFonts w:hint="eastAsia"/>
        </w:rPr>
        <w:t>供应商认为有利于成交的其他情况说明</w:t>
      </w:r>
      <w:bookmarkEnd w:id="377"/>
      <w:bookmarkEnd w:id="378"/>
    </w:p>
    <w:p>
      <w:pPr>
        <w:shd w:val="clear"/>
        <w:spacing w:line="360" w:lineRule="auto"/>
        <w:rPr>
          <w:color w:val="auto"/>
          <w:highlight w:val="none"/>
        </w:rPr>
      </w:pPr>
    </w:p>
    <w:p>
      <w:pPr>
        <w:pStyle w:val="8"/>
        <w:rPr>
          <w:color w:val="auto"/>
          <w:highlight w:val="none"/>
        </w:rPr>
      </w:pPr>
    </w:p>
    <w:p>
      <w:pPr>
        <w:rPr>
          <w:color w:val="auto"/>
          <w:highlight w:val="none"/>
        </w:rPr>
      </w:pPr>
    </w:p>
    <w:p>
      <w:pPr>
        <w:pStyle w:val="25"/>
        <w:rPr>
          <w:color w:val="auto"/>
          <w:highlight w:val="none"/>
        </w:rPr>
      </w:pPr>
    </w:p>
    <w:p>
      <w:pPr>
        <w:pStyle w:val="25"/>
        <w:rPr>
          <w:color w:val="auto"/>
          <w:highlight w:val="none"/>
        </w:rPr>
      </w:pPr>
    </w:p>
    <w:p>
      <w:pPr>
        <w:pStyle w:val="25"/>
        <w:rPr>
          <w:color w:val="auto"/>
          <w:highlight w:val="none"/>
        </w:rPr>
      </w:pPr>
    </w:p>
    <w:p>
      <w:pPr>
        <w:pStyle w:val="8"/>
        <w:rPr>
          <w:color w:val="auto"/>
          <w:highlight w:val="none"/>
        </w:rPr>
      </w:pPr>
    </w:p>
    <w:p>
      <w:pPr>
        <w:pStyle w:val="8"/>
        <w:rPr>
          <w:color w:val="auto"/>
          <w:highlight w:val="none"/>
        </w:rPr>
      </w:pPr>
    </w:p>
    <w:p>
      <w:pPr>
        <w:bidi w:val="0"/>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outlineLvl w:val="0"/>
        <w:rPr>
          <w:rFonts w:hint="eastAsia"/>
          <w:color w:val="auto"/>
          <w:highlight w:val="none"/>
          <w:lang w:eastAsia="zh-CN"/>
        </w:rPr>
      </w:pPr>
      <w:bookmarkStart w:id="379" w:name="_Toc4500"/>
      <w:bookmarkStart w:id="380" w:name="_Toc16365"/>
      <w:r>
        <w:rPr>
          <w:rFonts w:hint="eastAsia"/>
          <w:color w:val="auto"/>
          <w:highlight w:val="none"/>
          <w:lang w:eastAsia="zh-CN"/>
        </w:rPr>
        <w:t>附件五</w:t>
      </w:r>
      <w:bookmarkEnd w:id="379"/>
      <w:bookmarkEnd w:id="380"/>
    </w:p>
    <w:p>
      <w:pPr>
        <w:rPr>
          <w:color w:val="auto"/>
          <w:highlight w:val="none"/>
        </w:rPr>
      </w:pPr>
      <w:r>
        <w:rPr>
          <w:color w:val="auto"/>
          <w:highlight w:val="none"/>
        </w:rPr>
        <w:drawing>
          <wp:inline distT="0" distB="0" distL="114300" distR="114300">
            <wp:extent cx="5667375" cy="7573010"/>
            <wp:effectExtent l="0" t="0" r="9525" b="8890"/>
            <wp:docPr id="3" name="图片 3" descr="关于公共资源交易信用承诺网上公示的通知(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关于公共资源交易信用承诺网上公示的通知(2)_00"/>
                    <pic:cNvPicPr>
                      <a:picLocks noChangeAspect="1"/>
                    </pic:cNvPicPr>
                  </pic:nvPicPr>
                  <pic:blipFill>
                    <a:blip r:embed="rId18"/>
                    <a:stretch>
                      <a:fillRect/>
                    </a:stretch>
                  </pic:blipFill>
                  <pic:spPr>
                    <a:xfrm>
                      <a:off x="0" y="0"/>
                      <a:ext cx="5667375" cy="7573010"/>
                    </a:xfrm>
                    <a:prstGeom prst="rect">
                      <a:avLst/>
                    </a:prstGeom>
                  </pic:spPr>
                </pic:pic>
              </a:graphicData>
            </a:graphic>
          </wp:inline>
        </w:drawing>
      </w:r>
      <w:r>
        <w:rPr>
          <w:color w:val="auto"/>
          <w:highlight w:val="none"/>
        </w:rPr>
        <w:drawing>
          <wp:inline distT="0" distB="0" distL="114300" distR="114300">
            <wp:extent cx="5753735" cy="8127365"/>
            <wp:effectExtent l="0" t="0" r="18415" b="6985"/>
            <wp:docPr id="1" name="图片 1" descr="关于公共资源交易信用承诺网上公示的通知(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关于公共资源交易信用承诺网上公示的通知(2)_01"/>
                    <pic:cNvPicPr>
                      <a:picLocks noChangeAspect="1"/>
                    </pic:cNvPicPr>
                  </pic:nvPicPr>
                  <pic:blipFill>
                    <a:blip r:embed="rId19"/>
                    <a:stretch>
                      <a:fillRect/>
                    </a:stretch>
                  </pic:blipFill>
                  <pic:spPr>
                    <a:xfrm>
                      <a:off x="0" y="0"/>
                      <a:ext cx="5753735" cy="8127365"/>
                    </a:xfrm>
                    <a:prstGeom prst="rect">
                      <a:avLst/>
                    </a:prstGeom>
                  </pic:spPr>
                </pic:pic>
              </a:graphicData>
            </a:graphic>
          </wp:inline>
        </w:drawing>
      </w:r>
    </w:p>
    <w:p>
      <w:pPr>
        <w:rPr>
          <w:color w:val="auto"/>
          <w:highlight w:val="none"/>
        </w:rPr>
      </w:pPr>
    </w:p>
    <w:p>
      <w:pPr>
        <w:rPr>
          <w:color w:val="auto"/>
          <w:highlight w:val="none"/>
        </w:rPr>
      </w:pPr>
    </w:p>
    <w:p>
      <w:pPr>
        <w:rPr>
          <w:color w:val="auto"/>
          <w:highlight w:val="none"/>
        </w:rPr>
      </w:pPr>
    </w:p>
    <w:p>
      <w:pPr>
        <w:rPr>
          <w:color w:val="auto"/>
          <w:highlight w:val="none"/>
        </w:rPr>
      </w:pPr>
    </w:p>
    <w:p>
      <w:pPr>
        <w:pStyle w:val="25"/>
        <w:rPr>
          <w:color w:val="auto"/>
          <w:highlight w:val="none"/>
        </w:rPr>
      </w:pPr>
    </w:p>
    <w:p>
      <w:pPr>
        <w:rPr>
          <w:color w:val="auto"/>
          <w:highlight w:val="none"/>
        </w:rPr>
      </w:pPr>
    </w:p>
    <w:p>
      <w:pPr>
        <w:rPr>
          <w:rFonts w:hint="eastAsia" w:eastAsia="宋体"/>
          <w:color w:val="auto"/>
          <w:highlight w:val="none"/>
          <w:lang w:eastAsia="zh-CN"/>
        </w:rPr>
      </w:pPr>
    </w:p>
    <w:p>
      <w:pP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266690" cy="2962910"/>
            <wp:effectExtent l="0" t="0" r="10160" b="8890"/>
            <wp:docPr id="19" name="图片 19" descr="19号附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9号附件_01"/>
                    <pic:cNvPicPr>
                      <a:picLocks noChangeAspect="1"/>
                    </pic:cNvPicPr>
                  </pic:nvPicPr>
                  <pic:blipFill>
                    <a:blip r:embed="rId20"/>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8" name="图片 18" descr="19号附件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9号附件_02"/>
                    <pic:cNvPicPr>
                      <a:picLocks noChangeAspect="1"/>
                    </pic:cNvPicPr>
                  </pic:nvPicPr>
                  <pic:blipFill>
                    <a:blip r:embed="rId21"/>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7" name="图片 17" descr="19号附件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9号附件_03"/>
                    <pic:cNvPicPr>
                      <a:picLocks noChangeAspect="1"/>
                    </pic:cNvPicPr>
                  </pic:nvPicPr>
                  <pic:blipFill>
                    <a:blip r:embed="rId22"/>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6" name="图片 16" descr="19号附件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9号附件_04"/>
                    <pic:cNvPicPr>
                      <a:picLocks noChangeAspect="1"/>
                    </pic:cNvPicPr>
                  </pic:nvPicPr>
                  <pic:blipFill>
                    <a:blip r:embed="rId23"/>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5" name="图片 15" descr="19号附件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9号附件_05"/>
                    <pic:cNvPicPr>
                      <a:picLocks noChangeAspect="1"/>
                    </pic:cNvPicPr>
                  </pic:nvPicPr>
                  <pic:blipFill>
                    <a:blip r:embed="rId24"/>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4" name="图片 14" descr="19号附件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9号附件_06"/>
                    <pic:cNvPicPr>
                      <a:picLocks noChangeAspect="1"/>
                    </pic:cNvPicPr>
                  </pic:nvPicPr>
                  <pic:blipFill>
                    <a:blip r:embed="rId25"/>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3" name="图片 13" descr="19号附件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9号附件_07"/>
                    <pic:cNvPicPr>
                      <a:picLocks noChangeAspect="1"/>
                    </pic:cNvPicPr>
                  </pic:nvPicPr>
                  <pic:blipFill>
                    <a:blip r:embed="rId26"/>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2" name="图片 12" descr="19号附件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9号附件_08"/>
                    <pic:cNvPicPr>
                      <a:picLocks noChangeAspect="1"/>
                    </pic:cNvPicPr>
                  </pic:nvPicPr>
                  <pic:blipFill>
                    <a:blip r:embed="rId27"/>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1" name="图片 11" descr="19号附件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9号附件_09"/>
                    <pic:cNvPicPr>
                      <a:picLocks noChangeAspect="1"/>
                    </pic:cNvPicPr>
                  </pic:nvPicPr>
                  <pic:blipFill>
                    <a:blip r:embed="rId28"/>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0" name="图片 10" descr="19号附件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9号附件_10"/>
                    <pic:cNvPicPr>
                      <a:picLocks noChangeAspect="1"/>
                    </pic:cNvPicPr>
                  </pic:nvPicPr>
                  <pic:blipFill>
                    <a:blip r:embed="rId29"/>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9" name="图片 9" descr="19号附件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9号附件_11"/>
                    <pic:cNvPicPr>
                      <a:picLocks noChangeAspect="1"/>
                    </pic:cNvPicPr>
                  </pic:nvPicPr>
                  <pic:blipFill>
                    <a:blip r:embed="rId30"/>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8" name="图片 8" descr="19号附件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9号附件_12"/>
                    <pic:cNvPicPr>
                      <a:picLocks noChangeAspect="1"/>
                    </pic:cNvPicPr>
                  </pic:nvPicPr>
                  <pic:blipFill>
                    <a:blip r:embed="rId31"/>
                    <a:stretch>
                      <a:fillRect/>
                    </a:stretch>
                  </pic:blipFill>
                  <pic:spPr>
                    <a:xfrm>
                      <a:off x="0" y="0"/>
                      <a:ext cx="5266690" cy="2962910"/>
                    </a:xfrm>
                    <a:prstGeom prst="rect">
                      <a:avLst/>
                    </a:prstGeom>
                  </pic:spPr>
                </pic:pic>
              </a:graphicData>
            </a:graphic>
          </wp:inline>
        </w:drawing>
      </w:r>
    </w:p>
    <w:p>
      <w:pPr>
        <w:rPr>
          <w:rFonts w:ascii="宋体" w:hAnsi="宋体" w:cs="宋体"/>
          <w:color w:val="auto"/>
          <w:sz w:val="24"/>
          <w:szCs w:val="24"/>
          <w:highlight w:val="none"/>
        </w:rPr>
      </w:pPr>
    </w:p>
    <w:p>
      <w:pPr>
        <w:bidi w:val="0"/>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ind w:left="0" w:leftChars="0" w:firstLine="0" w:firstLineChars="0"/>
        <w:jc w:val="both"/>
        <w:rPr>
          <w:color w:val="auto"/>
          <w:highlight w:val="none"/>
        </w:rPr>
      </w:pPr>
    </w:p>
    <w:p>
      <w:pPr>
        <w:autoSpaceDE w:val="0"/>
        <w:autoSpaceDN w:val="0"/>
        <w:adjustRightInd w:val="0"/>
        <w:spacing w:line="360" w:lineRule="auto"/>
        <w:rPr>
          <w:rFonts w:ascii="宋体" w:hAnsi="宋体" w:cs="宋体"/>
          <w:b/>
          <w:color w:val="auto"/>
          <w:sz w:val="24"/>
          <w:highlight w:val="none"/>
        </w:rPr>
      </w:pPr>
    </w:p>
    <w:p>
      <w:pPr>
        <w:bidi w:val="0"/>
        <w:rPr>
          <w:color w:val="auto"/>
          <w:highlight w:val="none"/>
        </w:rPr>
      </w:pPr>
    </w:p>
    <w:p>
      <w:pPr>
        <w:pStyle w:val="25"/>
        <w:rPr>
          <w:color w:val="auto"/>
          <w:highlight w:val="none"/>
        </w:rPr>
      </w:pPr>
    </w:p>
    <w:p>
      <w:pPr>
        <w:pStyle w:val="8"/>
        <w:rPr>
          <w:color w:val="auto"/>
          <w:highlight w:val="none"/>
        </w:rPr>
      </w:pPr>
    </w:p>
    <w:p>
      <w:pPr>
        <w:pStyle w:val="8"/>
        <w:rPr>
          <w:color w:val="auto"/>
          <w:highlight w:val="none"/>
        </w:rPr>
      </w:pPr>
    </w:p>
    <w:p>
      <w:pPr>
        <w:rPr>
          <w:color w:val="auto"/>
          <w:highlight w:val="none"/>
        </w:rPr>
      </w:pPr>
    </w:p>
    <w:p>
      <w:pPr>
        <w:pStyle w:val="8"/>
        <w:ind w:left="0" w:leftChars="0" w:firstLine="0" w:firstLineChars="0"/>
        <w:jc w:val="both"/>
        <w:rPr>
          <w:color w:val="auto"/>
          <w:highlight w:val="none"/>
        </w:rPr>
      </w:pPr>
    </w:p>
    <w:sectPr>
      <w:headerReference r:id="rId13" w:type="first"/>
      <w:footerReference r:id="rId15" w:type="first"/>
      <w:headerReference r:id="rId12" w:type="default"/>
      <w:footerReference r:id="rId14" w:type="default"/>
      <w:pgSz w:w="11905" w:h="16838"/>
      <w:pgMar w:top="1440" w:right="1134" w:bottom="1440" w:left="1701" w:header="1134" w:footer="1134" w:gutter="0"/>
      <w:pgBorders>
        <w:top w:val="none" w:sz="0" w:space="0"/>
        <w:left w:val="none" w:sz="0" w:space="0"/>
        <w:bottom w:val="none" w:sz="0" w:space="0"/>
        <w:right w:val="none" w:sz="0" w:space="0"/>
      </w:pgBorders>
      <w:pgNumType w:fmt="decimal"/>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453FB05-85A3-4351-A306-4FFDB075DF50}"/>
  </w:font>
  <w:font w:name="Arial">
    <w:panose1 w:val="020B0604020202020204"/>
    <w:charset w:val="01"/>
    <w:family w:val="swiss"/>
    <w:pitch w:val="default"/>
    <w:sig w:usb0="E0002AFF" w:usb1="C0007843" w:usb2="00000009" w:usb3="00000000" w:csb0="400001FF" w:csb1="FFFF0000"/>
    <w:embedRegular r:id="rId2" w:fontKey="{FF5ECD31-0765-45D2-BDB4-BA05E18ACA5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5D186E38-BE4F-4265-997A-E628643A8B8B}"/>
  </w:font>
  <w:font w:name="仿宋_GB2312">
    <w:panose1 w:val="02010609030101010101"/>
    <w:charset w:val="86"/>
    <w:family w:val="modern"/>
    <w:pitch w:val="default"/>
    <w:sig w:usb0="00000001" w:usb1="080E0000" w:usb2="00000000" w:usb3="00000000" w:csb0="00040000" w:csb1="00000000"/>
    <w:embedRegular r:id="rId4" w:fontKey="{0C63454E-1713-4216-88CB-DD3086178857}"/>
  </w:font>
  <w:font w:name="Garamond">
    <w:altName w:val="PMingLiU-ExtB"/>
    <w:panose1 w:val="02020404030301010803"/>
    <w:charset w:val="00"/>
    <w:family w:val="roman"/>
    <w:pitch w:val="default"/>
    <w:sig w:usb0="00000000" w:usb1="00000000" w:usb2="00000000" w:usb3="00000000" w:csb0="0000009F" w:csb1="DFD70000"/>
  </w:font>
  <w:font w:name="Calibri Light">
    <w:panose1 w:val="020F0302020204030204"/>
    <w:charset w:val="00"/>
    <w:family w:val="swiss"/>
    <w:pitch w:val="default"/>
    <w:sig w:usb0="A00002EF" w:usb1="4000207B" w:usb2="00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Consolas">
    <w:panose1 w:val="020B0609020204030204"/>
    <w:charset w:val="00"/>
    <w:family w:val="modern"/>
    <w:pitch w:val="default"/>
    <w:sig w:usb0="E10002FF" w:usb1="4000FCFF" w:usb2="00000009" w:usb3="00000000" w:csb0="6000019F" w:csb1="DFD70000"/>
  </w:font>
  <w:font w:name="新宋体">
    <w:panose1 w:val="02010609030101010101"/>
    <w:charset w:val="86"/>
    <w:family w:val="auto"/>
    <w:pitch w:val="default"/>
    <w:sig w:usb0="00000003" w:usb1="288F0000" w:usb2="00000006" w:usb3="00000000" w:csb0="00040001" w:csb1="00000000"/>
    <w:embedRegular r:id="rId5" w:fontKey="{C5C2DF3F-0C6D-42F6-9928-FE5EB923740E}"/>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auto"/>
    <w:pitch w:val="default"/>
    <w:sig w:usb0="800002BF" w:usb1="38CF7CFA" w:usb2="00000016" w:usb3="00000000" w:csb0="00040001" w:csb1="00000000"/>
    <w:embedRegular r:id="rId6" w:fontKey="{E3ACDB91-D8A4-4362-9EBA-1FA5DAC9871A}"/>
  </w:font>
  <w:font w:name="华文仿宋">
    <w:altName w:val="仿宋"/>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font>
  <w:font w:name="SourceHanSansCN-Regular">
    <w:altName w:val="Segoe Print"/>
    <w:panose1 w:val="00000000000000000000"/>
    <w:charset w:val="00"/>
    <w:family w:val="auto"/>
    <w:pitch w:val="default"/>
    <w:sig w:usb0="00000000" w:usb1="00000000" w:usb2="00000000" w:usb3="00000000" w:csb0="00000000" w:csb1="00000000"/>
  </w:font>
  <w:font w:name="MingLiU">
    <w:panose1 w:val="02020509000000000000"/>
    <w:charset w:val="88"/>
    <w:family w:val="modern"/>
    <w:pitch w:val="default"/>
    <w:sig w:usb0="A00002FF" w:usb1="28CFFCFA" w:usb2="00000016" w:usb3="00000000" w:csb0="00100001" w:csb1="00000000"/>
  </w:font>
  <w:font w:name="微软雅黑">
    <w:panose1 w:val="020B0503020204020204"/>
    <w:charset w:val="86"/>
    <w:family w:val="auto"/>
    <w:pitch w:val="default"/>
    <w:sig w:usb0="80000287" w:usb1="280F3C52" w:usb2="00000016" w:usb3="00000000" w:csb0="0004001F" w:csb1="00000000"/>
    <w:embedRegular r:id="rId7" w:fontKey="{67EEE796-AFFA-4494-8071-163F14C530FE}"/>
  </w:font>
  <w:font w:name="Tahoma">
    <w:panose1 w:val="020B0604030504040204"/>
    <w:charset w:val="00"/>
    <w:family w:val="swiss"/>
    <w:pitch w:val="default"/>
    <w:sig w:usb0="E1002EFF" w:usb1="C000605B" w:usb2="00000029" w:usb3="00000000" w:csb0="200101FF" w:csb1="20280000"/>
    <w:embedRegular r:id="rId8" w:fontKey="{73FE58C6-D764-4A61-81A7-C65E45B91F77}"/>
  </w:font>
  <w:font w:name="MS PGothic">
    <w:panose1 w:val="020B0600070205080204"/>
    <w:charset w:val="80"/>
    <w:family w:val="auto"/>
    <w:pitch w:val="default"/>
    <w:sig w:usb0="E00002FF" w:usb1="6AC7FDFB" w:usb2="00000012" w:usb3="00000000" w:csb0="4002009F" w:csb1="DFD7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760"/>
      <w:rPr>
        <w:sz w:val="20"/>
      </w:rPr>
    </w:pPr>
    <w:r>
      <w:rPr>
        <w:rFonts w:hint="eastAsia"/>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760"/>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9" w:after="5" w:line="220" w:lineRule="auto"/>
      <w:ind w:left="399"/>
      <w:rPr>
        <w:rFonts w:ascii="宋体" w:hAnsi="宋体" w:eastAsia="宋体" w:cs="宋体"/>
        <w:sz w:val="18"/>
        <w:szCs w:val="18"/>
      </w:rPr>
    </w:pPr>
    <w:r>
      <mc:AlternateContent>
        <mc:Choice Requires="wps">
          <w:drawing>
            <wp:anchor distT="0" distB="0" distL="114300" distR="114300" simplePos="0" relativeHeight="251662336" behindDoc="0" locked="0" layoutInCell="1" allowOverlap="1">
              <wp:simplePos x="0" y="0"/>
              <wp:positionH relativeFrom="column">
                <wp:posOffset>3100705</wp:posOffset>
              </wp:positionH>
              <wp:positionV relativeFrom="paragraph">
                <wp:posOffset>79375</wp:posOffset>
              </wp:positionV>
              <wp:extent cx="138430" cy="12763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38430" cy="127635"/>
                      </a:xfrm>
                      <a:prstGeom prst="rect">
                        <a:avLst/>
                      </a:prstGeom>
                      <a:noFill/>
                      <a:ln>
                        <a:noFill/>
                      </a:ln>
                    </wps:spPr>
                    <wps:txbx>
                      <w:txbxContent>
                        <w:p>
                          <w:pPr>
                            <w:spacing w:before="20" w:line="186"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w:t>
                          </w:r>
                        </w:p>
                      </w:txbxContent>
                    </wps:txbx>
                    <wps:bodyPr lIns="0" tIns="0" rIns="0" bIns="0" upright="1"/>
                  </wps:wsp>
                </a:graphicData>
              </a:graphic>
            </wp:anchor>
          </w:drawing>
        </mc:Choice>
        <mc:Fallback>
          <w:pict>
            <v:shape id="_x0000_s1026" o:spid="_x0000_s1026" o:spt="202" type="#_x0000_t202" style="position:absolute;left:0pt;margin-left:244.15pt;margin-top:6.25pt;height:10.05pt;width:10.9pt;z-index:251662336;mso-width-relative:page;mso-height-relative:page;" filled="f" stroked="f" coordsize="21600,21600" o:gfxdata="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VX48S2AAAAAkBAAAPAAAAAAAAAAEAIAAAACIAAABkcnMvZG93bnJldi54bWxQSwEC&#10;FAAUAAAACACHTuJAPQwS0bsBAABzAwAADgAAAAAAAAABACAAAAAnAQAAZHJzL2Uyb0RvYy54bWxQ&#10;SwUGAAAAAAYABgBZAQAAVAUAAAAA&#10;">
              <v:fill on="f" focussize="0,0"/>
              <v:stroke on="f"/>
              <v:imagedata o:title=""/>
              <o:lock v:ext="edit" aspectratio="f"/>
              <v:textbox inset="0mm,0mm,0mm,0mm">
                <w:txbxContent>
                  <w:p>
                    <w:pPr>
                      <w:spacing w:before="20" w:line="186"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9" w:after="5" w:line="220" w:lineRule="auto"/>
      <w:ind w:left="399"/>
      <w:rPr>
        <w:rFonts w:ascii="宋体" w:hAnsi="宋体" w:eastAsia="宋体" w:cs="宋体"/>
        <w:sz w:val="18"/>
        <w:szCs w:val="18"/>
      </w:rPr>
    </w:pPr>
    <w:r>
      <mc:AlternateContent>
        <mc:Choice Requires="wps">
          <w:drawing>
            <wp:anchor distT="0" distB="0" distL="114300" distR="114300" simplePos="0" relativeHeight="251664384" behindDoc="0" locked="0" layoutInCell="1" allowOverlap="1">
              <wp:simplePos x="0" y="0"/>
              <wp:positionH relativeFrom="column">
                <wp:posOffset>3103245</wp:posOffset>
              </wp:positionH>
              <wp:positionV relativeFrom="paragraph">
                <wp:posOffset>79375</wp:posOffset>
              </wp:positionV>
              <wp:extent cx="135890" cy="12763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35890" cy="127635"/>
                      </a:xfrm>
                      <a:prstGeom prst="rect">
                        <a:avLst/>
                      </a:prstGeom>
                      <a:noFill/>
                      <a:ln>
                        <a:noFill/>
                      </a:ln>
                    </wps:spPr>
                    <wps:txbx>
                      <w:txbxContent>
                        <w:p>
                          <w:pPr>
                            <w:spacing w:before="20" w:line="186"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w:t>
                          </w:r>
                        </w:p>
                      </w:txbxContent>
                    </wps:txbx>
                    <wps:bodyPr lIns="0" tIns="0" rIns="0" bIns="0" upright="1"/>
                  </wps:wsp>
                </a:graphicData>
              </a:graphic>
            </wp:anchor>
          </w:drawing>
        </mc:Choice>
        <mc:Fallback>
          <w:pict>
            <v:shape id="_x0000_s1026" o:spid="_x0000_s1026" o:spt="202" type="#_x0000_t202" style="position:absolute;left:0pt;margin-left:244.35pt;margin-top:6.25pt;height:10.05pt;width:10.7pt;z-index:251664384;mso-width-relative:page;mso-height-relative:page;" filled="f" stroked="f" coordsize="21600,21600" o:gfxdata="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dvi+62AAAAAkBAAAPAAAAAAAAAAEAIAAAACIAAABkcnMvZG93bnJldi54bWxQSwEC&#10;FAAUAAAACACHTuJAyFkMErsBAABzAwAADgAAAAAAAAABACAAAAAnAQAAZHJzL2Uyb0RvYy54bWxQ&#10;SwUGAAAAAAYABgBZAQAAVAUAAAAA&#10;">
              <v:fill on="f" focussize="0,0"/>
              <v:stroke on="f"/>
              <v:imagedata o:title=""/>
              <o:lock v:ext="edit" aspectratio="f"/>
              <v:textbox inset="0mm,0mm,0mm,0mm">
                <w:txbxContent>
                  <w:p>
                    <w:pPr>
                      <w:spacing w:before="20" w:line="186"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9" w:after="5" w:line="220" w:lineRule="auto"/>
      <w:ind w:left="399"/>
      <w:rPr>
        <w:rFonts w:ascii="宋体" w:hAnsi="宋体" w:eastAsia="宋体" w:cs="宋体"/>
        <w:sz w:val="18"/>
        <w:szCs w:val="18"/>
      </w:rPr>
    </w:pPr>
    <w:r>
      <mc:AlternateContent>
        <mc:Choice Requires="wps">
          <w:drawing>
            <wp:anchor distT="0" distB="0" distL="114300" distR="114300" simplePos="0" relativeHeight="251665408" behindDoc="0" locked="0" layoutInCell="1" allowOverlap="1">
              <wp:simplePos x="0" y="0"/>
              <wp:positionH relativeFrom="column">
                <wp:posOffset>3103245</wp:posOffset>
              </wp:positionH>
              <wp:positionV relativeFrom="paragraph">
                <wp:posOffset>79375</wp:posOffset>
              </wp:positionV>
              <wp:extent cx="135890" cy="12763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35890" cy="127635"/>
                      </a:xfrm>
                      <a:prstGeom prst="rect">
                        <a:avLst/>
                      </a:prstGeom>
                      <a:noFill/>
                      <a:ln>
                        <a:noFill/>
                      </a:ln>
                    </wps:spPr>
                    <wps:txbx>
                      <w:txbxContent>
                        <w:p>
                          <w:pPr>
                            <w:spacing w:before="20" w:line="186"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37</w:t>
                          </w:r>
                        </w:p>
                      </w:txbxContent>
                    </wps:txbx>
                    <wps:bodyPr lIns="0" tIns="0" rIns="0" bIns="0" upright="1"/>
                  </wps:wsp>
                </a:graphicData>
              </a:graphic>
            </wp:anchor>
          </w:drawing>
        </mc:Choice>
        <mc:Fallback>
          <w:pict>
            <v:shape id="_x0000_s1026" o:spid="_x0000_s1026" o:spt="202" type="#_x0000_t202" style="position:absolute;left:0pt;margin-left:244.35pt;margin-top:6.25pt;height:10.05pt;width:10.7pt;z-index:251665408;mso-width-relative:page;mso-height-relative:page;" filled="f" stroked="f" coordsize="21600,21600" o:gfxdata="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dvi+62AAAAAkBAAAPAAAAAAAAAAEAIAAAACIAAABkcnMvZG93bnJldi54bWxQSwEC&#10;FAAUAAAACACHTuJAoRDIKLsBAABzAwAADgAAAAAAAAABACAAAAAnAQAAZHJzL2Uyb0RvYy54bWxQ&#10;SwUGAAAAAAYABgBZAQAAVAUAAAAA&#10;">
              <v:fill on="f" focussize="0,0"/>
              <v:stroke on="f"/>
              <v:imagedata o:title=""/>
              <o:lock v:ext="edit" aspectratio="f"/>
              <v:textbox inset="0mm,0mm,0mm,0mm">
                <w:txbxContent>
                  <w:p>
                    <w:pPr>
                      <w:spacing w:before="20" w:line="186"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37</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ascii="宋体" w:hAnsi="宋体"/>
        <w:b/>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Style w:val="30"/>
        <w:rFonts w:ascii="宋体" w:hAnsi="宋体"/>
        <w:b/>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13</w:t>
                    </w:r>
                    <w:r>
                      <w:fldChar w:fldCharType="end"/>
                    </w:r>
                  </w:p>
                </w:txbxContent>
              </v:textbox>
            </v:shape>
          </w:pict>
        </mc:Fallback>
      </mc:AlternateContent>
    </w:r>
    <w:r>
      <w:rPr>
        <w:rFonts w:hint="eastAsia" w:ascii="宋体" w:hAnsi="宋体"/>
        <w:b/>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119"/>
      <w:rPr>
        <w:rFonts w:ascii="宋体" w:hAnsi="宋体" w:eastAsia="宋体" w:cs="宋体"/>
        <w:sz w:val="18"/>
        <w:szCs w:val="18"/>
      </w:rPr>
    </w:pPr>
    <w:r>
      <mc:AlternateContent>
        <mc:Choice Requires="wps">
          <w:drawing>
            <wp:anchor distT="0" distB="0" distL="114300" distR="114300" simplePos="0" relativeHeight="251663360" behindDoc="0" locked="0" layoutInCell="1" allowOverlap="1">
              <wp:simplePos x="0" y="0"/>
              <wp:positionH relativeFrom="column">
                <wp:posOffset>5414645</wp:posOffset>
              </wp:positionH>
              <wp:positionV relativeFrom="paragraph">
                <wp:posOffset>-12065</wp:posOffset>
              </wp:positionV>
              <wp:extent cx="706755" cy="161925"/>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706755" cy="161925"/>
                      </a:xfrm>
                      <a:prstGeom prst="rect">
                        <a:avLst/>
                      </a:prstGeom>
                      <a:noFill/>
                      <a:ln>
                        <a:noFill/>
                      </a:ln>
                    </wps:spPr>
                    <wps:txbx>
                      <w:txbxContent>
                        <w:p>
                          <w:pPr>
                            <w:spacing w:before="19" w:line="220" w:lineRule="auto"/>
                            <w:ind w:left="20"/>
                            <w:rPr>
                              <w:rFonts w:ascii="宋体" w:hAnsi="宋体" w:eastAsia="宋体" w:cs="宋体"/>
                              <w:sz w:val="18"/>
                              <w:szCs w:val="18"/>
                            </w:rPr>
                          </w:pPr>
                        </w:p>
                      </w:txbxContent>
                    </wps:txbx>
                    <wps:bodyPr lIns="0" tIns="0" rIns="0" bIns="0" upright="1"/>
                  </wps:wsp>
                </a:graphicData>
              </a:graphic>
            </wp:anchor>
          </w:drawing>
        </mc:Choice>
        <mc:Fallback>
          <w:pict>
            <v:shape id="_x0000_s1026" o:spid="_x0000_s1026" o:spt="202" type="#_x0000_t202" style="position:absolute;left:0pt;margin-left:426.35pt;margin-top:-0.95pt;height:12.75pt;width:55.65pt;z-index:251663360;mso-width-relative:page;mso-height-relative:page;" filled="f" stroked="f" coordsize="21600,21600" o:gfxdata="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AInEjZAAAACQEAAA8AAAAAAAAAAQAgAAAAIgAAAGRycy9kb3ducmV2LnhtbFBL&#10;AQIUABQAAAAIAIdO4kAONQL9vAEAAHMDAAAOAAAAAAAAAAEAIAAAACgBAABkcnMvZTJvRG9jLnht&#10;bFBLBQYAAAAABgAGAFkBAABWBQAAAAA=&#10;">
              <v:fill on="f" focussize="0,0"/>
              <v:stroke on="f"/>
              <v:imagedata o:title=""/>
              <o:lock v:ext="edit" aspectratio="f"/>
              <v:textbox inset="0mm,0mm,0mm,0mm">
                <w:txbxContent>
                  <w:p>
                    <w:pPr>
                      <w:spacing w:before="19" w:line="220" w:lineRule="auto"/>
                      <w:ind w:left="20"/>
                      <w:rPr>
                        <w:rFonts w:ascii="宋体" w:hAnsi="宋体" w:eastAsia="宋体" w:cs="宋体"/>
                        <w:sz w:val="18"/>
                        <w:szCs w:val="18"/>
                      </w:rPr>
                    </w:pP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119"/>
      <w:rPr>
        <w:rFonts w:ascii="宋体" w:hAnsi="宋体" w:eastAsia="宋体" w:cs="宋体"/>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bidi w:val="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47317C"/>
    <w:multiLevelType w:val="singleLevel"/>
    <w:tmpl w:val="8447317C"/>
    <w:lvl w:ilvl="0" w:tentative="0">
      <w:start w:val="3"/>
      <w:numFmt w:val="chineseCounting"/>
      <w:suff w:val="space"/>
      <w:lvlText w:val="第%1部分"/>
      <w:lvlJc w:val="left"/>
      <w:rPr>
        <w:rFonts w:hint="eastAsia"/>
      </w:rPr>
    </w:lvl>
  </w:abstractNum>
  <w:abstractNum w:abstractNumId="1">
    <w:nsid w:val="B82A0AF4"/>
    <w:multiLevelType w:val="singleLevel"/>
    <w:tmpl w:val="B82A0AF4"/>
    <w:lvl w:ilvl="0" w:tentative="0">
      <w:start w:val="8"/>
      <w:numFmt w:val="decimal"/>
      <w:suff w:val="nothing"/>
      <w:lvlText w:val="%1、"/>
      <w:lvlJc w:val="left"/>
    </w:lvl>
  </w:abstractNum>
  <w:abstractNum w:abstractNumId="2">
    <w:nsid w:val="CF092B84"/>
    <w:multiLevelType w:val="singleLevel"/>
    <w:tmpl w:val="CF092B84"/>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32"/>
        <w:szCs w:val="32"/>
        <w:u w:val="none"/>
        <w:shd w:val="clear" w:color="auto" w:fill="auto"/>
        <w:lang w:val="en-US" w:eastAsia="en-US" w:bidi="en-US"/>
      </w:rPr>
    </w:lvl>
  </w:abstractNum>
  <w:abstractNum w:abstractNumId="3">
    <w:nsid w:val="D5107288"/>
    <w:multiLevelType w:val="singleLevel"/>
    <w:tmpl w:val="D5107288"/>
    <w:lvl w:ilvl="0" w:tentative="0">
      <w:start w:val="1"/>
      <w:numFmt w:val="decimal"/>
      <w:lvlText w:val="(%1)"/>
      <w:lvlJc w:val="left"/>
      <w:pPr>
        <w:tabs>
          <w:tab w:val="left" w:pos="312"/>
        </w:tabs>
      </w:pPr>
    </w:lvl>
  </w:abstractNum>
  <w:abstractNum w:abstractNumId="4">
    <w:nsid w:val="E6F1FC9D"/>
    <w:multiLevelType w:val="singleLevel"/>
    <w:tmpl w:val="E6F1FC9D"/>
    <w:lvl w:ilvl="0" w:tentative="0">
      <w:start w:val="2"/>
      <w:numFmt w:val="decimal"/>
      <w:suff w:val="nothing"/>
      <w:lvlText w:val="%1．"/>
      <w:lvlJc w:val="left"/>
    </w:lvl>
  </w:abstractNum>
  <w:abstractNum w:abstractNumId="5">
    <w:nsid w:val="F40ADD92"/>
    <w:multiLevelType w:val="singleLevel"/>
    <w:tmpl w:val="F40ADD92"/>
    <w:lvl w:ilvl="0" w:tentative="0">
      <w:start w:val="9"/>
      <w:numFmt w:val="chineseCounting"/>
      <w:suff w:val="nothing"/>
      <w:lvlText w:val="%1、"/>
      <w:lvlJc w:val="left"/>
      <w:rPr>
        <w:rFonts w:hint="eastAsia"/>
      </w:rPr>
    </w:lvl>
  </w:abstractNum>
  <w:abstractNum w:abstractNumId="6">
    <w:nsid w:val="2872C219"/>
    <w:multiLevelType w:val="singleLevel"/>
    <w:tmpl w:val="2872C219"/>
    <w:lvl w:ilvl="0" w:tentative="0">
      <w:start w:val="5"/>
      <w:numFmt w:val="chineseCounting"/>
      <w:suff w:val="space"/>
      <w:lvlText w:val="第%1章"/>
      <w:lvlJc w:val="left"/>
      <w:rPr>
        <w:rFonts w:hint="eastAsia"/>
      </w:rPr>
    </w:lvl>
  </w:abstractNum>
  <w:abstractNum w:abstractNumId="7">
    <w:nsid w:val="3B3E5D55"/>
    <w:multiLevelType w:val="singleLevel"/>
    <w:tmpl w:val="3B3E5D55"/>
    <w:lvl w:ilvl="0" w:tentative="0">
      <w:start w:val="2"/>
      <w:numFmt w:val="chineseCounting"/>
      <w:suff w:val="nothing"/>
      <w:lvlText w:val="%1、"/>
      <w:lvlJc w:val="left"/>
      <w:rPr>
        <w:rFonts w:hint="eastAsia"/>
      </w:rPr>
    </w:lvl>
  </w:abstractNum>
  <w:abstractNum w:abstractNumId="8">
    <w:nsid w:val="698C1ACE"/>
    <w:multiLevelType w:val="singleLevel"/>
    <w:tmpl w:val="698C1ACE"/>
    <w:lvl w:ilvl="0" w:tentative="0">
      <w:start w:val="1"/>
      <w:numFmt w:val="decimal"/>
      <w:lvlText w:val="(%1)"/>
      <w:lvlJc w:val="left"/>
      <w:pPr>
        <w:tabs>
          <w:tab w:val="left" w:pos="312"/>
        </w:tabs>
      </w:pPr>
    </w:lvl>
  </w:abstractNum>
  <w:abstractNum w:abstractNumId="9">
    <w:nsid w:val="724B0212"/>
    <w:multiLevelType w:val="multilevel"/>
    <w:tmpl w:val="724B0212"/>
    <w:lvl w:ilvl="0" w:tentative="0">
      <w:start w:val="1"/>
      <w:numFmt w:val="decimal"/>
      <w:pStyle w:val="98"/>
      <w:suff w:val="nothing"/>
      <w:lvlText w:val="%1."/>
      <w:lvlJc w:val="left"/>
      <w:pPr>
        <w:ind w:left="0" w:firstLine="0"/>
      </w:pPr>
      <w:rPr>
        <w:rFonts w:hint="eastAsia"/>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1"/>
  </w:num>
  <w:num w:numId="3">
    <w:abstractNumId w:val="6"/>
  </w:num>
  <w:num w:numId="4">
    <w:abstractNumId w:val="8"/>
  </w:num>
  <w:num w:numId="5">
    <w:abstractNumId w:val="3"/>
  </w:num>
  <w:num w:numId="6">
    <w:abstractNumId w:val="5"/>
  </w:num>
  <w:num w:numId="7">
    <w:abstractNumId w:val="0"/>
  </w:num>
  <w:num w:numId="8">
    <w:abstractNumId w:val="7"/>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EyZTUxNzJhYWQwY2FjZWYyYWMzYjYwNjEwNjdkNTAifQ=="/>
    <w:docVar w:name="KSO_WPS_MARK_KEY" w:val="9ab5ffb4-1bc7-4cc2-92e9-5b9671a0b41f"/>
  </w:docVars>
  <w:rsids>
    <w:rsidRoot w:val="00172A27"/>
    <w:rsid w:val="000814FC"/>
    <w:rsid w:val="00163D65"/>
    <w:rsid w:val="001A408A"/>
    <w:rsid w:val="002269F9"/>
    <w:rsid w:val="002729DD"/>
    <w:rsid w:val="00274BDD"/>
    <w:rsid w:val="002B3596"/>
    <w:rsid w:val="002F7DD2"/>
    <w:rsid w:val="00301D60"/>
    <w:rsid w:val="00301E70"/>
    <w:rsid w:val="0030386A"/>
    <w:rsid w:val="00366C7C"/>
    <w:rsid w:val="00383CBD"/>
    <w:rsid w:val="004763F0"/>
    <w:rsid w:val="00476578"/>
    <w:rsid w:val="004E1F3A"/>
    <w:rsid w:val="00577718"/>
    <w:rsid w:val="00593490"/>
    <w:rsid w:val="005A0FB6"/>
    <w:rsid w:val="005C0CB7"/>
    <w:rsid w:val="005D1E75"/>
    <w:rsid w:val="005E6FED"/>
    <w:rsid w:val="006758E0"/>
    <w:rsid w:val="0067594F"/>
    <w:rsid w:val="006F4D01"/>
    <w:rsid w:val="0076174B"/>
    <w:rsid w:val="00774531"/>
    <w:rsid w:val="007B7C41"/>
    <w:rsid w:val="008D1CDE"/>
    <w:rsid w:val="009113D8"/>
    <w:rsid w:val="00911AD9"/>
    <w:rsid w:val="00922DD2"/>
    <w:rsid w:val="00A1762B"/>
    <w:rsid w:val="00A24B21"/>
    <w:rsid w:val="00A36735"/>
    <w:rsid w:val="00A37A9F"/>
    <w:rsid w:val="00BB6407"/>
    <w:rsid w:val="00BE03DA"/>
    <w:rsid w:val="00C01C58"/>
    <w:rsid w:val="00C2485D"/>
    <w:rsid w:val="00C37605"/>
    <w:rsid w:val="00C603FA"/>
    <w:rsid w:val="00D4477F"/>
    <w:rsid w:val="00D7103E"/>
    <w:rsid w:val="00D77720"/>
    <w:rsid w:val="00E05830"/>
    <w:rsid w:val="00E22921"/>
    <w:rsid w:val="00E86676"/>
    <w:rsid w:val="00EF5BA2"/>
    <w:rsid w:val="00F3673D"/>
    <w:rsid w:val="00F93027"/>
    <w:rsid w:val="00FC0BA8"/>
    <w:rsid w:val="00FD44BF"/>
    <w:rsid w:val="00FE78E0"/>
    <w:rsid w:val="010C3C88"/>
    <w:rsid w:val="010E5303"/>
    <w:rsid w:val="0110648F"/>
    <w:rsid w:val="011352BE"/>
    <w:rsid w:val="01204AB9"/>
    <w:rsid w:val="01244C73"/>
    <w:rsid w:val="013350C3"/>
    <w:rsid w:val="01341544"/>
    <w:rsid w:val="01385160"/>
    <w:rsid w:val="01391423"/>
    <w:rsid w:val="013B3C3E"/>
    <w:rsid w:val="013E2686"/>
    <w:rsid w:val="014469DB"/>
    <w:rsid w:val="014B4F11"/>
    <w:rsid w:val="01505F15"/>
    <w:rsid w:val="01536D2A"/>
    <w:rsid w:val="01541EA9"/>
    <w:rsid w:val="01567CE3"/>
    <w:rsid w:val="016519C1"/>
    <w:rsid w:val="01812F41"/>
    <w:rsid w:val="018C1643"/>
    <w:rsid w:val="019B6F83"/>
    <w:rsid w:val="01A50524"/>
    <w:rsid w:val="01A511C6"/>
    <w:rsid w:val="01B80899"/>
    <w:rsid w:val="01BA74E4"/>
    <w:rsid w:val="01BB3CD7"/>
    <w:rsid w:val="01C012ED"/>
    <w:rsid w:val="01C0309B"/>
    <w:rsid w:val="01C901A1"/>
    <w:rsid w:val="01CA67CF"/>
    <w:rsid w:val="01EF572E"/>
    <w:rsid w:val="01F62F61"/>
    <w:rsid w:val="01FB0577"/>
    <w:rsid w:val="01FB2226"/>
    <w:rsid w:val="01FE5971"/>
    <w:rsid w:val="020138B9"/>
    <w:rsid w:val="020B7342"/>
    <w:rsid w:val="02172DEF"/>
    <w:rsid w:val="021816D9"/>
    <w:rsid w:val="02182ED7"/>
    <w:rsid w:val="022B2C0A"/>
    <w:rsid w:val="022E076F"/>
    <w:rsid w:val="02300F80"/>
    <w:rsid w:val="023973AC"/>
    <w:rsid w:val="02432B89"/>
    <w:rsid w:val="02493090"/>
    <w:rsid w:val="024E06A7"/>
    <w:rsid w:val="0251240E"/>
    <w:rsid w:val="02533F93"/>
    <w:rsid w:val="02647ECA"/>
    <w:rsid w:val="026A7FD7"/>
    <w:rsid w:val="026F1714"/>
    <w:rsid w:val="02737970"/>
    <w:rsid w:val="02740886"/>
    <w:rsid w:val="027F2F56"/>
    <w:rsid w:val="028E103A"/>
    <w:rsid w:val="029146C1"/>
    <w:rsid w:val="02A329D6"/>
    <w:rsid w:val="02A46519"/>
    <w:rsid w:val="02AB10A3"/>
    <w:rsid w:val="02B11EDA"/>
    <w:rsid w:val="02B15FAE"/>
    <w:rsid w:val="02B7449E"/>
    <w:rsid w:val="02BC1AB4"/>
    <w:rsid w:val="02BD6397"/>
    <w:rsid w:val="02C1268B"/>
    <w:rsid w:val="02DB3C85"/>
    <w:rsid w:val="02DF2D53"/>
    <w:rsid w:val="02E5725D"/>
    <w:rsid w:val="02E57681"/>
    <w:rsid w:val="02F92294"/>
    <w:rsid w:val="02FC1732"/>
    <w:rsid w:val="0300089E"/>
    <w:rsid w:val="030A6CC4"/>
    <w:rsid w:val="03146304"/>
    <w:rsid w:val="0317318F"/>
    <w:rsid w:val="03174F3D"/>
    <w:rsid w:val="0321400D"/>
    <w:rsid w:val="0321767B"/>
    <w:rsid w:val="032801FA"/>
    <w:rsid w:val="032C0E4B"/>
    <w:rsid w:val="033265A6"/>
    <w:rsid w:val="034026E5"/>
    <w:rsid w:val="035241C7"/>
    <w:rsid w:val="03656829"/>
    <w:rsid w:val="0366612B"/>
    <w:rsid w:val="0375606D"/>
    <w:rsid w:val="037B44D8"/>
    <w:rsid w:val="038616D4"/>
    <w:rsid w:val="038A468E"/>
    <w:rsid w:val="038B4AFA"/>
    <w:rsid w:val="03932DE8"/>
    <w:rsid w:val="03A8356F"/>
    <w:rsid w:val="03AC7D7B"/>
    <w:rsid w:val="03C350C4"/>
    <w:rsid w:val="03D244AC"/>
    <w:rsid w:val="03D245C3"/>
    <w:rsid w:val="03EB56E7"/>
    <w:rsid w:val="03EE3951"/>
    <w:rsid w:val="04014AFF"/>
    <w:rsid w:val="04025BED"/>
    <w:rsid w:val="040533DA"/>
    <w:rsid w:val="041100C3"/>
    <w:rsid w:val="04115E30"/>
    <w:rsid w:val="041317A6"/>
    <w:rsid w:val="041D6BC9"/>
    <w:rsid w:val="041F679F"/>
    <w:rsid w:val="04213385"/>
    <w:rsid w:val="0421588D"/>
    <w:rsid w:val="04233225"/>
    <w:rsid w:val="04483997"/>
    <w:rsid w:val="045D12A6"/>
    <w:rsid w:val="045D72C7"/>
    <w:rsid w:val="046940F6"/>
    <w:rsid w:val="04700BDD"/>
    <w:rsid w:val="04707B3A"/>
    <w:rsid w:val="047D5491"/>
    <w:rsid w:val="04820ADC"/>
    <w:rsid w:val="0485659F"/>
    <w:rsid w:val="048819C4"/>
    <w:rsid w:val="04954F03"/>
    <w:rsid w:val="04A9250C"/>
    <w:rsid w:val="04B2316F"/>
    <w:rsid w:val="04BA3FA6"/>
    <w:rsid w:val="04BA64C7"/>
    <w:rsid w:val="04E0496C"/>
    <w:rsid w:val="04F25C61"/>
    <w:rsid w:val="05041C7F"/>
    <w:rsid w:val="05121E5F"/>
    <w:rsid w:val="051536FE"/>
    <w:rsid w:val="051F47F0"/>
    <w:rsid w:val="052851DF"/>
    <w:rsid w:val="052A53FB"/>
    <w:rsid w:val="052A5A34"/>
    <w:rsid w:val="052B49B1"/>
    <w:rsid w:val="053C2210"/>
    <w:rsid w:val="053F077B"/>
    <w:rsid w:val="05404D37"/>
    <w:rsid w:val="05507798"/>
    <w:rsid w:val="055406CA"/>
    <w:rsid w:val="055900D9"/>
    <w:rsid w:val="055B1BFB"/>
    <w:rsid w:val="056035AE"/>
    <w:rsid w:val="05707F63"/>
    <w:rsid w:val="05736F63"/>
    <w:rsid w:val="05741F1F"/>
    <w:rsid w:val="057866FB"/>
    <w:rsid w:val="057C5931"/>
    <w:rsid w:val="057E12A3"/>
    <w:rsid w:val="05811161"/>
    <w:rsid w:val="059016D1"/>
    <w:rsid w:val="059447F4"/>
    <w:rsid w:val="059C5BB5"/>
    <w:rsid w:val="05A131E3"/>
    <w:rsid w:val="05AB5E10"/>
    <w:rsid w:val="05B274F9"/>
    <w:rsid w:val="05BF623B"/>
    <w:rsid w:val="05C84C14"/>
    <w:rsid w:val="05D24766"/>
    <w:rsid w:val="05D47115"/>
    <w:rsid w:val="05E479E5"/>
    <w:rsid w:val="05F15F19"/>
    <w:rsid w:val="05F9301F"/>
    <w:rsid w:val="05F94DCD"/>
    <w:rsid w:val="060519C4"/>
    <w:rsid w:val="06054DF2"/>
    <w:rsid w:val="061E463C"/>
    <w:rsid w:val="06220EE9"/>
    <w:rsid w:val="062D1457"/>
    <w:rsid w:val="062F1FE3"/>
    <w:rsid w:val="0643011C"/>
    <w:rsid w:val="06534E82"/>
    <w:rsid w:val="066A0661"/>
    <w:rsid w:val="067135D1"/>
    <w:rsid w:val="067526A6"/>
    <w:rsid w:val="067B1C86"/>
    <w:rsid w:val="067D3154"/>
    <w:rsid w:val="06881726"/>
    <w:rsid w:val="06941792"/>
    <w:rsid w:val="069858D8"/>
    <w:rsid w:val="06B84C89"/>
    <w:rsid w:val="06CF7D55"/>
    <w:rsid w:val="06DA69AD"/>
    <w:rsid w:val="06E16AEE"/>
    <w:rsid w:val="06E415DA"/>
    <w:rsid w:val="06E8731C"/>
    <w:rsid w:val="06F04422"/>
    <w:rsid w:val="06F2301F"/>
    <w:rsid w:val="06F4641F"/>
    <w:rsid w:val="070B505A"/>
    <w:rsid w:val="070E52C7"/>
    <w:rsid w:val="072662AA"/>
    <w:rsid w:val="07382FE8"/>
    <w:rsid w:val="073C1416"/>
    <w:rsid w:val="073D5600"/>
    <w:rsid w:val="074B5E56"/>
    <w:rsid w:val="0759168E"/>
    <w:rsid w:val="075F6EB2"/>
    <w:rsid w:val="0775091E"/>
    <w:rsid w:val="078C4FC6"/>
    <w:rsid w:val="078D04D6"/>
    <w:rsid w:val="07944DAE"/>
    <w:rsid w:val="079E5931"/>
    <w:rsid w:val="07A31495"/>
    <w:rsid w:val="07AB012E"/>
    <w:rsid w:val="07AD7CAE"/>
    <w:rsid w:val="07AF7E3A"/>
    <w:rsid w:val="07B126C5"/>
    <w:rsid w:val="07B269DF"/>
    <w:rsid w:val="07B47A1C"/>
    <w:rsid w:val="07C531B9"/>
    <w:rsid w:val="07C9269B"/>
    <w:rsid w:val="07CB582A"/>
    <w:rsid w:val="07CE4CD5"/>
    <w:rsid w:val="07D30528"/>
    <w:rsid w:val="07E66374"/>
    <w:rsid w:val="07EA652B"/>
    <w:rsid w:val="07F10452"/>
    <w:rsid w:val="0800177F"/>
    <w:rsid w:val="08133233"/>
    <w:rsid w:val="081547F4"/>
    <w:rsid w:val="084B781B"/>
    <w:rsid w:val="084E7652"/>
    <w:rsid w:val="084F33CB"/>
    <w:rsid w:val="08536E7C"/>
    <w:rsid w:val="085E4BA3"/>
    <w:rsid w:val="0874112F"/>
    <w:rsid w:val="088120C2"/>
    <w:rsid w:val="088306A3"/>
    <w:rsid w:val="08841657"/>
    <w:rsid w:val="088A4403"/>
    <w:rsid w:val="089434A9"/>
    <w:rsid w:val="08955281"/>
    <w:rsid w:val="08982A6C"/>
    <w:rsid w:val="08994010"/>
    <w:rsid w:val="08A528F7"/>
    <w:rsid w:val="08A81198"/>
    <w:rsid w:val="08B13B59"/>
    <w:rsid w:val="08B66FA6"/>
    <w:rsid w:val="08B93E90"/>
    <w:rsid w:val="08BB280E"/>
    <w:rsid w:val="08C23B9D"/>
    <w:rsid w:val="08C77D21"/>
    <w:rsid w:val="08CE2541"/>
    <w:rsid w:val="08D613F6"/>
    <w:rsid w:val="08D823CD"/>
    <w:rsid w:val="08F5190E"/>
    <w:rsid w:val="0907636A"/>
    <w:rsid w:val="0914790E"/>
    <w:rsid w:val="091A5787"/>
    <w:rsid w:val="09213027"/>
    <w:rsid w:val="093F51ED"/>
    <w:rsid w:val="09414AC1"/>
    <w:rsid w:val="09442803"/>
    <w:rsid w:val="09454ED0"/>
    <w:rsid w:val="0954013C"/>
    <w:rsid w:val="09776735"/>
    <w:rsid w:val="097C02CB"/>
    <w:rsid w:val="098D268D"/>
    <w:rsid w:val="09923932"/>
    <w:rsid w:val="099C5BE4"/>
    <w:rsid w:val="099E21CF"/>
    <w:rsid w:val="09A84B40"/>
    <w:rsid w:val="09B03F22"/>
    <w:rsid w:val="09B31999"/>
    <w:rsid w:val="09B6060A"/>
    <w:rsid w:val="09B61513"/>
    <w:rsid w:val="09BB0A8F"/>
    <w:rsid w:val="09BD796D"/>
    <w:rsid w:val="09BF1E8A"/>
    <w:rsid w:val="09D52BE3"/>
    <w:rsid w:val="09DF42DA"/>
    <w:rsid w:val="09E813E1"/>
    <w:rsid w:val="09EA6F07"/>
    <w:rsid w:val="09F14739"/>
    <w:rsid w:val="09F20F0B"/>
    <w:rsid w:val="09FA5AFC"/>
    <w:rsid w:val="0A011553"/>
    <w:rsid w:val="0A03231E"/>
    <w:rsid w:val="0A157CFC"/>
    <w:rsid w:val="0A2148F3"/>
    <w:rsid w:val="0A252E0C"/>
    <w:rsid w:val="0A284BE4"/>
    <w:rsid w:val="0A2C0451"/>
    <w:rsid w:val="0A2C1C9B"/>
    <w:rsid w:val="0A2D71EC"/>
    <w:rsid w:val="0A2E2CCE"/>
    <w:rsid w:val="0A411CC2"/>
    <w:rsid w:val="0A5C3FED"/>
    <w:rsid w:val="0A6C1CE7"/>
    <w:rsid w:val="0A6D18E6"/>
    <w:rsid w:val="0A7A1265"/>
    <w:rsid w:val="0A864510"/>
    <w:rsid w:val="0A9211D9"/>
    <w:rsid w:val="0AAF0151"/>
    <w:rsid w:val="0AAF1EFF"/>
    <w:rsid w:val="0ABB08A3"/>
    <w:rsid w:val="0ABD286D"/>
    <w:rsid w:val="0AC1523C"/>
    <w:rsid w:val="0AC77248"/>
    <w:rsid w:val="0AD304E7"/>
    <w:rsid w:val="0AD96F7B"/>
    <w:rsid w:val="0AE307D2"/>
    <w:rsid w:val="0AE56260"/>
    <w:rsid w:val="0AE7534D"/>
    <w:rsid w:val="0AEB4275"/>
    <w:rsid w:val="0AF27D18"/>
    <w:rsid w:val="0AF87AF6"/>
    <w:rsid w:val="0AFF4C34"/>
    <w:rsid w:val="0B057D70"/>
    <w:rsid w:val="0B0E0423"/>
    <w:rsid w:val="0B0E4F20"/>
    <w:rsid w:val="0B1A1A6E"/>
    <w:rsid w:val="0B1D3AD1"/>
    <w:rsid w:val="0B282530"/>
    <w:rsid w:val="0B335D30"/>
    <w:rsid w:val="0B3D4634"/>
    <w:rsid w:val="0B404627"/>
    <w:rsid w:val="0B4A2C98"/>
    <w:rsid w:val="0B4A2E96"/>
    <w:rsid w:val="0B4B5018"/>
    <w:rsid w:val="0B5B47C1"/>
    <w:rsid w:val="0B6079DE"/>
    <w:rsid w:val="0B615072"/>
    <w:rsid w:val="0B6452DB"/>
    <w:rsid w:val="0B64718D"/>
    <w:rsid w:val="0B7530F1"/>
    <w:rsid w:val="0B802457"/>
    <w:rsid w:val="0B8136EA"/>
    <w:rsid w:val="0B8530C0"/>
    <w:rsid w:val="0B916712"/>
    <w:rsid w:val="0B926B0D"/>
    <w:rsid w:val="0BAA21C9"/>
    <w:rsid w:val="0BB0189B"/>
    <w:rsid w:val="0BB023D2"/>
    <w:rsid w:val="0BB0519C"/>
    <w:rsid w:val="0BBC689F"/>
    <w:rsid w:val="0BC85A32"/>
    <w:rsid w:val="0BD10FD4"/>
    <w:rsid w:val="0BDD28DA"/>
    <w:rsid w:val="0BDD356E"/>
    <w:rsid w:val="0BEB4F00"/>
    <w:rsid w:val="0BFA4F8B"/>
    <w:rsid w:val="0C0637AE"/>
    <w:rsid w:val="0C0A1AE2"/>
    <w:rsid w:val="0C0B092B"/>
    <w:rsid w:val="0C134B25"/>
    <w:rsid w:val="0C1464BD"/>
    <w:rsid w:val="0C19682A"/>
    <w:rsid w:val="0C5C2119"/>
    <w:rsid w:val="0C5E0B8C"/>
    <w:rsid w:val="0C640C8F"/>
    <w:rsid w:val="0C664056"/>
    <w:rsid w:val="0C6854C6"/>
    <w:rsid w:val="0C7236C8"/>
    <w:rsid w:val="0C761AE4"/>
    <w:rsid w:val="0C7B478E"/>
    <w:rsid w:val="0C831AD1"/>
    <w:rsid w:val="0C8474DC"/>
    <w:rsid w:val="0C8B665C"/>
    <w:rsid w:val="0C8E389C"/>
    <w:rsid w:val="0C937688"/>
    <w:rsid w:val="0C9413AC"/>
    <w:rsid w:val="0CA13DE0"/>
    <w:rsid w:val="0CA37841"/>
    <w:rsid w:val="0CAD042E"/>
    <w:rsid w:val="0CB151A7"/>
    <w:rsid w:val="0CB46D59"/>
    <w:rsid w:val="0CB944F3"/>
    <w:rsid w:val="0CBF6651"/>
    <w:rsid w:val="0CC15BD3"/>
    <w:rsid w:val="0CC779D3"/>
    <w:rsid w:val="0CD05AE9"/>
    <w:rsid w:val="0CE340E1"/>
    <w:rsid w:val="0CEE7129"/>
    <w:rsid w:val="0CF144A2"/>
    <w:rsid w:val="0D024281"/>
    <w:rsid w:val="0D0A4729"/>
    <w:rsid w:val="0D1715CA"/>
    <w:rsid w:val="0D25324A"/>
    <w:rsid w:val="0D3037CB"/>
    <w:rsid w:val="0D38267F"/>
    <w:rsid w:val="0D3B0FD3"/>
    <w:rsid w:val="0D441595"/>
    <w:rsid w:val="0D56275E"/>
    <w:rsid w:val="0D601453"/>
    <w:rsid w:val="0D735465"/>
    <w:rsid w:val="0D802921"/>
    <w:rsid w:val="0D813E3B"/>
    <w:rsid w:val="0D892EDB"/>
    <w:rsid w:val="0DA2581C"/>
    <w:rsid w:val="0DA5766E"/>
    <w:rsid w:val="0DB05DDA"/>
    <w:rsid w:val="0DB24F70"/>
    <w:rsid w:val="0DB27C34"/>
    <w:rsid w:val="0DB3568C"/>
    <w:rsid w:val="0DB72EC2"/>
    <w:rsid w:val="0DC33BD4"/>
    <w:rsid w:val="0DE66214"/>
    <w:rsid w:val="0DEE43F5"/>
    <w:rsid w:val="0DF26CD2"/>
    <w:rsid w:val="0DFC153A"/>
    <w:rsid w:val="0E09021D"/>
    <w:rsid w:val="0E0A7BF0"/>
    <w:rsid w:val="0E250E55"/>
    <w:rsid w:val="0E261047"/>
    <w:rsid w:val="0E285EA9"/>
    <w:rsid w:val="0E28678F"/>
    <w:rsid w:val="0E314DF7"/>
    <w:rsid w:val="0E3F2245"/>
    <w:rsid w:val="0E435835"/>
    <w:rsid w:val="0E4358AC"/>
    <w:rsid w:val="0E4F28EB"/>
    <w:rsid w:val="0E530AE0"/>
    <w:rsid w:val="0E53203D"/>
    <w:rsid w:val="0E56100F"/>
    <w:rsid w:val="0E6036A6"/>
    <w:rsid w:val="0E7B19F4"/>
    <w:rsid w:val="0E7B6CC7"/>
    <w:rsid w:val="0E842348"/>
    <w:rsid w:val="0E8536A2"/>
    <w:rsid w:val="0E8F4521"/>
    <w:rsid w:val="0E930825"/>
    <w:rsid w:val="0E9A071E"/>
    <w:rsid w:val="0EA11C00"/>
    <w:rsid w:val="0EA27ACA"/>
    <w:rsid w:val="0EC92DAC"/>
    <w:rsid w:val="0ECF47FF"/>
    <w:rsid w:val="0ED92C64"/>
    <w:rsid w:val="0EE0306A"/>
    <w:rsid w:val="0EE50253"/>
    <w:rsid w:val="0EEF3211"/>
    <w:rsid w:val="0EF93F79"/>
    <w:rsid w:val="0EFA3F03"/>
    <w:rsid w:val="0EFB63B0"/>
    <w:rsid w:val="0F0E707E"/>
    <w:rsid w:val="0F144A26"/>
    <w:rsid w:val="0F154025"/>
    <w:rsid w:val="0F2E5695"/>
    <w:rsid w:val="0F3126FC"/>
    <w:rsid w:val="0F320DF8"/>
    <w:rsid w:val="0F36508C"/>
    <w:rsid w:val="0F3A0931"/>
    <w:rsid w:val="0F422294"/>
    <w:rsid w:val="0F490B74"/>
    <w:rsid w:val="0F521CF9"/>
    <w:rsid w:val="0F533C3C"/>
    <w:rsid w:val="0F5D461F"/>
    <w:rsid w:val="0F610D41"/>
    <w:rsid w:val="0F755788"/>
    <w:rsid w:val="0F7E204A"/>
    <w:rsid w:val="0F8120BC"/>
    <w:rsid w:val="0F8E182F"/>
    <w:rsid w:val="0F8F7EEC"/>
    <w:rsid w:val="0F9135A8"/>
    <w:rsid w:val="0FA4224E"/>
    <w:rsid w:val="0FA451BD"/>
    <w:rsid w:val="0FA6751B"/>
    <w:rsid w:val="0FA92EA2"/>
    <w:rsid w:val="0FB30185"/>
    <w:rsid w:val="0FB35535"/>
    <w:rsid w:val="0FC96D9E"/>
    <w:rsid w:val="0FE21A87"/>
    <w:rsid w:val="0FFF7484"/>
    <w:rsid w:val="10036F74"/>
    <w:rsid w:val="10086013"/>
    <w:rsid w:val="10125409"/>
    <w:rsid w:val="10137137"/>
    <w:rsid w:val="103D0CFD"/>
    <w:rsid w:val="10623011"/>
    <w:rsid w:val="10651349"/>
    <w:rsid w:val="10697DC2"/>
    <w:rsid w:val="106A2B50"/>
    <w:rsid w:val="10702130"/>
    <w:rsid w:val="10722149"/>
    <w:rsid w:val="107E126F"/>
    <w:rsid w:val="108005C5"/>
    <w:rsid w:val="1096176D"/>
    <w:rsid w:val="109D5F30"/>
    <w:rsid w:val="109E0747"/>
    <w:rsid w:val="10BC72A5"/>
    <w:rsid w:val="10CA27EF"/>
    <w:rsid w:val="10CA76BE"/>
    <w:rsid w:val="10CC565C"/>
    <w:rsid w:val="10D12BCF"/>
    <w:rsid w:val="10DC182C"/>
    <w:rsid w:val="10DC3844"/>
    <w:rsid w:val="10DE52EC"/>
    <w:rsid w:val="10E50428"/>
    <w:rsid w:val="10F56F9A"/>
    <w:rsid w:val="10F817BB"/>
    <w:rsid w:val="10F91DBE"/>
    <w:rsid w:val="11001559"/>
    <w:rsid w:val="11026B65"/>
    <w:rsid w:val="1115559D"/>
    <w:rsid w:val="111E5295"/>
    <w:rsid w:val="1122342A"/>
    <w:rsid w:val="1124059A"/>
    <w:rsid w:val="115003BB"/>
    <w:rsid w:val="115A1790"/>
    <w:rsid w:val="115D4462"/>
    <w:rsid w:val="11654C5D"/>
    <w:rsid w:val="116A6B7F"/>
    <w:rsid w:val="117D6D9B"/>
    <w:rsid w:val="117F087D"/>
    <w:rsid w:val="11853829"/>
    <w:rsid w:val="1186795B"/>
    <w:rsid w:val="11867E5D"/>
    <w:rsid w:val="11914273"/>
    <w:rsid w:val="11971BFD"/>
    <w:rsid w:val="119E4995"/>
    <w:rsid w:val="11B31D73"/>
    <w:rsid w:val="11BD71AA"/>
    <w:rsid w:val="11BF511D"/>
    <w:rsid w:val="11C11BA0"/>
    <w:rsid w:val="11C664AC"/>
    <w:rsid w:val="11C92BC7"/>
    <w:rsid w:val="11D36486"/>
    <w:rsid w:val="11DC7A7D"/>
    <w:rsid w:val="11E42AF1"/>
    <w:rsid w:val="11ED1C8A"/>
    <w:rsid w:val="12080872"/>
    <w:rsid w:val="12140A0E"/>
    <w:rsid w:val="123B7561"/>
    <w:rsid w:val="123D061E"/>
    <w:rsid w:val="123F5E21"/>
    <w:rsid w:val="12490E8B"/>
    <w:rsid w:val="124E024F"/>
    <w:rsid w:val="12500C0A"/>
    <w:rsid w:val="12505D75"/>
    <w:rsid w:val="1255649B"/>
    <w:rsid w:val="125E4936"/>
    <w:rsid w:val="125F245C"/>
    <w:rsid w:val="12687563"/>
    <w:rsid w:val="126E7044"/>
    <w:rsid w:val="12707D43"/>
    <w:rsid w:val="12842974"/>
    <w:rsid w:val="129B5A47"/>
    <w:rsid w:val="129C545E"/>
    <w:rsid w:val="129D69FC"/>
    <w:rsid w:val="12A65AFE"/>
    <w:rsid w:val="12A762DD"/>
    <w:rsid w:val="12C72549"/>
    <w:rsid w:val="12CE5F59"/>
    <w:rsid w:val="12D22C2E"/>
    <w:rsid w:val="12DC06A9"/>
    <w:rsid w:val="12FB4942"/>
    <w:rsid w:val="130059ED"/>
    <w:rsid w:val="13022C26"/>
    <w:rsid w:val="1303728B"/>
    <w:rsid w:val="130627D3"/>
    <w:rsid w:val="13081D2B"/>
    <w:rsid w:val="131172AD"/>
    <w:rsid w:val="131F2C60"/>
    <w:rsid w:val="13287709"/>
    <w:rsid w:val="132A0AB1"/>
    <w:rsid w:val="132B59C4"/>
    <w:rsid w:val="132C50AF"/>
    <w:rsid w:val="13323A5E"/>
    <w:rsid w:val="13456A27"/>
    <w:rsid w:val="134578A4"/>
    <w:rsid w:val="134E3561"/>
    <w:rsid w:val="136B12BD"/>
    <w:rsid w:val="136D6841"/>
    <w:rsid w:val="137018D5"/>
    <w:rsid w:val="13721E7F"/>
    <w:rsid w:val="1372481A"/>
    <w:rsid w:val="137F7571"/>
    <w:rsid w:val="13826F49"/>
    <w:rsid w:val="13873BB1"/>
    <w:rsid w:val="138D09EE"/>
    <w:rsid w:val="13917D30"/>
    <w:rsid w:val="13A10F7E"/>
    <w:rsid w:val="13C277FC"/>
    <w:rsid w:val="13D56333"/>
    <w:rsid w:val="13D84E59"/>
    <w:rsid w:val="13DF4450"/>
    <w:rsid w:val="13E6357E"/>
    <w:rsid w:val="13EA5D12"/>
    <w:rsid w:val="13F37300"/>
    <w:rsid w:val="140B289C"/>
    <w:rsid w:val="140D291C"/>
    <w:rsid w:val="140E5EE8"/>
    <w:rsid w:val="140E7D77"/>
    <w:rsid w:val="141F6347"/>
    <w:rsid w:val="142B4CEC"/>
    <w:rsid w:val="143F5854"/>
    <w:rsid w:val="144A7A0B"/>
    <w:rsid w:val="144D7903"/>
    <w:rsid w:val="14515DD5"/>
    <w:rsid w:val="145911BE"/>
    <w:rsid w:val="14681F47"/>
    <w:rsid w:val="146B35F0"/>
    <w:rsid w:val="14771CDF"/>
    <w:rsid w:val="1478581C"/>
    <w:rsid w:val="147E6A1C"/>
    <w:rsid w:val="148361ED"/>
    <w:rsid w:val="14846919"/>
    <w:rsid w:val="14847BCB"/>
    <w:rsid w:val="14863661"/>
    <w:rsid w:val="148A274D"/>
    <w:rsid w:val="149208C7"/>
    <w:rsid w:val="149E726C"/>
    <w:rsid w:val="14A4212E"/>
    <w:rsid w:val="14AF57E7"/>
    <w:rsid w:val="14B20F69"/>
    <w:rsid w:val="14B80B62"/>
    <w:rsid w:val="14BD0B6D"/>
    <w:rsid w:val="14C015FA"/>
    <w:rsid w:val="14CA0061"/>
    <w:rsid w:val="14CE0982"/>
    <w:rsid w:val="14D33207"/>
    <w:rsid w:val="14E146E7"/>
    <w:rsid w:val="14EF5D19"/>
    <w:rsid w:val="14EF747D"/>
    <w:rsid w:val="14F055ED"/>
    <w:rsid w:val="14F450DE"/>
    <w:rsid w:val="14FE7D0A"/>
    <w:rsid w:val="150712B5"/>
    <w:rsid w:val="150A046A"/>
    <w:rsid w:val="15115C90"/>
    <w:rsid w:val="15176D6C"/>
    <w:rsid w:val="151C1999"/>
    <w:rsid w:val="15231FB0"/>
    <w:rsid w:val="1535166C"/>
    <w:rsid w:val="15353F92"/>
    <w:rsid w:val="153839D0"/>
    <w:rsid w:val="1541273A"/>
    <w:rsid w:val="154A11A2"/>
    <w:rsid w:val="154E694A"/>
    <w:rsid w:val="15580D15"/>
    <w:rsid w:val="15616BC2"/>
    <w:rsid w:val="15673B02"/>
    <w:rsid w:val="1568138F"/>
    <w:rsid w:val="156C184C"/>
    <w:rsid w:val="156F6E5A"/>
    <w:rsid w:val="15701810"/>
    <w:rsid w:val="15701F34"/>
    <w:rsid w:val="15707694"/>
    <w:rsid w:val="157C38F2"/>
    <w:rsid w:val="157F52EF"/>
    <w:rsid w:val="157F6CD1"/>
    <w:rsid w:val="158C0F94"/>
    <w:rsid w:val="15935FE5"/>
    <w:rsid w:val="159F69CE"/>
    <w:rsid w:val="15A22D8C"/>
    <w:rsid w:val="15A93C8C"/>
    <w:rsid w:val="15B8386B"/>
    <w:rsid w:val="15BE458A"/>
    <w:rsid w:val="15C617EC"/>
    <w:rsid w:val="15CC6547"/>
    <w:rsid w:val="15D3530E"/>
    <w:rsid w:val="15E213DA"/>
    <w:rsid w:val="15E433A4"/>
    <w:rsid w:val="15E74C42"/>
    <w:rsid w:val="15F96458"/>
    <w:rsid w:val="160038F0"/>
    <w:rsid w:val="16003919"/>
    <w:rsid w:val="160B0483"/>
    <w:rsid w:val="161C64EF"/>
    <w:rsid w:val="161E004C"/>
    <w:rsid w:val="16313445"/>
    <w:rsid w:val="163B0D72"/>
    <w:rsid w:val="163D2632"/>
    <w:rsid w:val="164E7F90"/>
    <w:rsid w:val="16586AA2"/>
    <w:rsid w:val="166B76D2"/>
    <w:rsid w:val="16753FFC"/>
    <w:rsid w:val="167831F0"/>
    <w:rsid w:val="167A107B"/>
    <w:rsid w:val="167C35DD"/>
    <w:rsid w:val="168B7CC4"/>
    <w:rsid w:val="16921052"/>
    <w:rsid w:val="16AF4D5F"/>
    <w:rsid w:val="16B408F9"/>
    <w:rsid w:val="16B82313"/>
    <w:rsid w:val="16BA2357"/>
    <w:rsid w:val="16C2531F"/>
    <w:rsid w:val="16D22113"/>
    <w:rsid w:val="16D276A1"/>
    <w:rsid w:val="16D4377A"/>
    <w:rsid w:val="16D7043E"/>
    <w:rsid w:val="16DD1801"/>
    <w:rsid w:val="16E839D3"/>
    <w:rsid w:val="16EA49EA"/>
    <w:rsid w:val="16EB0762"/>
    <w:rsid w:val="16F13FCB"/>
    <w:rsid w:val="16F75866"/>
    <w:rsid w:val="16FC64EB"/>
    <w:rsid w:val="17040B80"/>
    <w:rsid w:val="17071754"/>
    <w:rsid w:val="170F6255"/>
    <w:rsid w:val="171C025A"/>
    <w:rsid w:val="172E0F37"/>
    <w:rsid w:val="172E628C"/>
    <w:rsid w:val="17326391"/>
    <w:rsid w:val="1733053A"/>
    <w:rsid w:val="1737155F"/>
    <w:rsid w:val="17372163"/>
    <w:rsid w:val="173F02E7"/>
    <w:rsid w:val="174468F1"/>
    <w:rsid w:val="17514A69"/>
    <w:rsid w:val="175201D2"/>
    <w:rsid w:val="17556FCB"/>
    <w:rsid w:val="176944CF"/>
    <w:rsid w:val="17793FC0"/>
    <w:rsid w:val="177B7D38"/>
    <w:rsid w:val="17800EAB"/>
    <w:rsid w:val="1791130A"/>
    <w:rsid w:val="17946583"/>
    <w:rsid w:val="17976A44"/>
    <w:rsid w:val="17A821AF"/>
    <w:rsid w:val="17B42F96"/>
    <w:rsid w:val="17C57205"/>
    <w:rsid w:val="17CC016D"/>
    <w:rsid w:val="17D90767"/>
    <w:rsid w:val="17E82C54"/>
    <w:rsid w:val="17F81876"/>
    <w:rsid w:val="17F827B4"/>
    <w:rsid w:val="17FF0B2F"/>
    <w:rsid w:val="18191F1C"/>
    <w:rsid w:val="181B76D5"/>
    <w:rsid w:val="1820394D"/>
    <w:rsid w:val="182B179A"/>
    <w:rsid w:val="1835340B"/>
    <w:rsid w:val="1838227C"/>
    <w:rsid w:val="183C2597"/>
    <w:rsid w:val="18440C4B"/>
    <w:rsid w:val="18477C1A"/>
    <w:rsid w:val="18526B88"/>
    <w:rsid w:val="18552FA6"/>
    <w:rsid w:val="185D743E"/>
    <w:rsid w:val="1862729A"/>
    <w:rsid w:val="186B356A"/>
    <w:rsid w:val="187D363C"/>
    <w:rsid w:val="188E5849"/>
    <w:rsid w:val="18A6784E"/>
    <w:rsid w:val="18AD588E"/>
    <w:rsid w:val="18AF579C"/>
    <w:rsid w:val="18B3139C"/>
    <w:rsid w:val="18B74DA0"/>
    <w:rsid w:val="18BC23B6"/>
    <w:rsid w:val="18BD7604"/>
    <w:rsid w:val="18D30F86"/>
    <w:rsid w:val="18D744DF"/>
    <w:rsid w:val="18D90B53"/>
    <w:rsid w:val="18D95880"/>
    <w:rsid w:val="18D9630E"/>
    <w:rsid w:val="18E02863"/>
    <w:rsid w:val="18E13BCB"/>
    <w:rsid w:val="18E77BBD"/>
    <w:rsid w:val="18EE7A36"/>
    <w:rsid w:val="18EE7B53"/>
    <w:rsid w:val="190D676E"/>
    <w:rsid w:val="190F380D"/>
    <w:rsid w:val="19112F3C"/>
    <w:rsid w:val="19182810"/>
    <w:rsid w:val="1921046B"/>
    <w:rsid w:val="192949E1"/>
    <w:rsid w:val="19371A3D"/>
    <w:rsid w:val="19387192"/>
    <w:rsid w:val="193A152D"/>
    <w:rsid w:val="195A5FA2"/>
    <w:rsid w:val="195C1BDD"/>
    <w:rsid w:val="1962509A"/>
    <w:rsid w:val="197F44B5"/>
    <w:rsid w:val="19856C4C"/>
    <w:rsid w:val="19921369"/>
    <w:rsid w:val="199A1972"/>
    <w:rsid w:val="199B1FCC"/>
    <w:rsid w:val="199F24BC"/>
    <w:rsid w:val="199F6F69"/>
    <w:rsid w:val="19A9566F"/>
    <w:rsid w:val="19B10DE3"/>
    <w:rsid w:val="19B47531"/>
    <w:rsid w:val="19B96EE3"/>
    <w:rsid w:val="19BC49F6"/>
    <w:rsid w:val="19C5760C"/>
    <w:rsid w:val="19CB7AC9"/>
    <w:rsid w:val="19CD5F76"/>
    <w:rsid w:val="19CE23A1"/>
    <w:rsid w:val="19CF5E5E"/>
    <w:rsid w:val="19DC433A"/>
    <w:rsid w:val="19E15603"/>
    <w:rsid w:val="19FC4817"/>
    <w:rsid w:val="1A0658E0"/>
    <w:rsid w:val="1A1A2B42"/>
    <w:rsid w:val="1A1B135F"/>
    <w:rsid w:val="1A29211E"/>
    <w:rsid w:val="1A2A3B73"/>
    <w:rsid w:val="1A384B08"/>
    <w:rsid w:val="1A390B21"/>
    <w:rsid w:val="1A4466D2"/>
    <w:rsid w:val="1A4A30C1"/>
    <w:rsid w:val="1A604F71"/>
    <w:rsid w:val="1A644AB4"/>
    <w:rsid w:val="1A666A95"/>
    <w:rsid w:val="1A6C7985"/>
    <w:rsid w:val="1A6E5932"/>
    <w:rsid w:val="1A7B3BAB"/>
    <w:rsid w:val="1A800D42"/>
    <w:rsid w:val="1A802FC8"/>
    <w:rsid w:val="1A860413"/>
    <w:rsid w:val="1A9557B8"/>
    <w:rsid w:val="1A974049"/>
    <w:rsid w:val="1A9A3F41"/>
    <w:rsid w:val="1AA90718"/>
    <w:rsid w:val="1AAB26E2"/>
    <w:rsid w:val="1AB31362"/>
    <w:rsid w:val="1AB71087"/>
    <w:rsid w:val="1ABD0FA6"/>
    <w:rsid w:val="1AC01821"/>
    <w:rsid w:val="1AC34D4E"/>
    <w:rsid w:val="1AC92B69"/>
    <w:rsid w:val="1ADC6D40"/>
    <w:rsid w:val="1ADD6614"/>
    <w:rsid w:val="1ADF5198"/>
    <w:rsid w:val="1AE23C2A"/>
    <w:rsid w:val="1AE9320B"/>
    <w:rsid w:val="1AFA5418"/>
    <w:rsid w:val="1B0C0A1D"/>
    <w:rsid w:val="1B143EF3"/>
    <w:rsid w:val="1B1B68D3"/>
    <w:rsid w:val="1B1E0B58"/>
    <w:rsid w:val="1B352F88"/>
    <w:rsid w:val="1B35725B"/>
    <w:rsid w:val="1B4072CF"/>
    <w:rsid w:val="1B446AA9"/>
    <w:rsid w:val="1B46645D"/>
    <w:rsid w:val="1B4B2CC6"/>
    <w:rsid w:val="1B602FAA"/>
    <w:rsid w:val="1B684C06"/>
    <w:rsid w:val="1B7264C7"/>
    <w:rsid w:val="1B8D3B96"/>
    <w:rsid w:val="1B8D4E19"/>
    <w:rsid w:val="1B900751"/>
    <w:rsid w:val="1B970EB9"/>
    <w:rsid w:val="1B9D734C"/>
    <w:rsid w:val="1BA22624"/>
    <w:rsid w:val="1BB13D28"/>
    <w:rsid w:val="1BB455C7"/>
    <w:rsid w:val="1BB45CAA"/>
    <w:rsid w:val="1BF34341"/>
    <w:rsid w:val="1BF4417E"/>
    <w:rsid w:val="1BF63EC8"/>
    <w:rsid w:val="1BFD463E"/>
    <w:rsid w:val="1C073948"/>
    <w:rsid w:val="1C0C29D2"/>
    <w:rsid w:val="1C126997"/>
    <w:rsid w:val="1C344B74"/>
    <w:rsid w:val="1C3645D6"/>
    <w:rsid w:val="1C3D55BC"/>
    <w:rsid w:val="1C402B44"/>
    <w:rsid w:val="1C4F52EF"/>
    <w:rsid w:val="1C567C91"/>
    <w:rsid w:val="1C582AC6"/>
    <w:rsid w:val="1C7106F0"/>
    <w:rsid w:val="1C7D5A2E"/>
    <w:rsid w:val="1C8367BC"/>
    <w:rsid w:val="1C8843DE"/>
    <w:rsid w:val="1C9166B0"/>
    <w:rsid w:val="1C9A5FAA"/>
    <w:rsid w:val="1C9B22ED"/>
    <w:rsid w:val="1CB533A4"/>
    <w:rsid w:val="1CB6536F"/>
    <w:rsid w:val="1CC01D49"/>
    <w:rsid w:val="1CC91F80"/>
    <w:rsid w:val="1CDB1762"/>
    <w:rsid w:val="1CDD79BB"/>
    <w:rsid w:val="1CEA2A31"/>
    <w:rsid w:val="1CEC0015"/>
    <w:rsid w:val="1CF66402"/>
    <w:rsid w:val="1CFB6CBA"/>
    <w:rsid w:val="1CFC39E2"/>
    <w:rsid w:val="1D0F3866"/>
    <w:rsid w:val="1D196479"/>
    <w:rsid w:val="1D1E53EE"/>
    <w:rsid w:val="1D3E50D4"/>
    <w:rsid w:val="1D3F7112"/>
    <w:rsid w:val="1D456AFB"/>
    <w:rsid w:val="1D491FE2"/>
    <w:rsid w:val="1D4A7C0F"/>
    <w:rsid w:val="1D523031"/>
    <w:rsid w:val="1D5302F2"/>
    <w:rsid w:val="1D617919"/>
    <w:rsid w:val="1D682B0D"/>
    <w:rsid w:val="1D6D3C7F"/>
    <w:rsid w:val="1D7D5D0C"/>
    <w:rsid w:val="1D9F423D"/>
    <w:rsid w:val="1DA90CC5"/>
    <w:rsid w:val="1DC3473C"/>
    <w:rsid w:val="1DC76469"/>
    <w:rsid w:val="1DC8750C"/>
    <w:rsid w:val="1DD8017D"/>
    <w:rsid w:val="1DE653C4"/>
    <w:rsid w:val="1DE86925"/>
    <w:rsid w:val="1DEE3479"/>
    <w:rsid w:val="1E0314DD"/>
    <w:rsid w:val="1E036392"/>
    <w:rsid w:val="1E10659D"/>
    <w:rsid w:val="1E183E07"/>
    <w:rsid w:val="1E1C37B6"/>
    <w:rsid w:val="1E235220"/>
    <w:rsid w:val="1E2F0BDF"/>
    <w:rsid w:val="1E331CB3"/>
    <w:rsid w:val="1E33615A"/>
    <w:rsid w:val="1E3E3534"/>
    <w:rsid w:val="1E4348AF"/>
    <w:rsid w:val="1E503619"/>
    <w:rsid w:val="1E554FAC"/>
    <w:rsid w:val="1E5F6569"/>
    <w:rsid w:val="1E607D47"/>
    <w:rsid w:val="1E6D7CAF"/>
    <w:rsid w:val="1E796654"/>
    <w:rsid w:val="1E847B3B"/>
    <w:rsid w:val="1E875689"/>
    <w:rsid w:val="1E8757F5"/>
    <w:rsid w:val="1E8C282B"/>
    <w:rsid w:val="1E9047A9"/>
    <w:rsid w:val="1E935967"/>
    <w:rsid w:val="1E962B34"/>
    <w:rsid w:val="1EA469C5"/>
    <w:rsid w:val="1EA66792"/>
    <w:rsid w:val="1EAA70F6"/>
    <w:rsid w:val="1EAE7EFA"/>
    <w:rsid w:val="1EB211CB"/>
    <w:rsid w:val="1EB41B2B"/>
    <w:rsid w:val="1ECA6EAF"/>
    <w:rsid w:val="1ECB2861"/>
    <w:rsid w:val="1ED313C8"/>
    <w:rsid w:val="1EE5696B"/>
    <w:rsid w:val="1EED151B"/>
    <w:rsid w:val="1EED179E"/>
    <w:rsid w:val="1F0128F5"/>
    <w:rsid w:val="1F137B68"/>
    <w:rsid w:val="1F2B32FE"/>
    <w:rsid w:val="1F386D5B"/>
    <w:rsid w:val="1F3A4968"/>
    <w:rsid w:val="1F3E5755"/>
    <w:rsid w:val="1F4629DA"/>
    <w:rsid w:val="1F4A28E7"/>
    <w:rsid w:val="1F4D1FBA"/>
    <w:rsid w:val="1F61687B"/>
    <w:rsid w:val="1F6933E9"/>
    <w:rsid w:val="1F7211BD"/>
    <w:rsid w:val="1F7532BF"/>
    <w:rsid w:val="1F7C289F"/>
    <w:rsid w:val="1F841754"/>
    <w:rsid w:val="1F876F00"/>
    <w:rsid w:val="1F8A4EEE"/>
    <w:rsid w:val="1F947BE9"/>
    <w:rsid w:val="1F9C6A9E"/>
    <w:rsid w:val="1FA81127"/>
    <w:rsid w:val="1FAF7E7E"/>
    <w:rsid w:val="1FB262C1"/>
    <w:rsid w:val="1FB63828"/>
    <w:rsid w:val="1FB729F2"/>
    <w:rsid w:val="1FB75686"/>
    <w:rsid w:val="1FB94DC1"/>
    <w:rsid w:val="1FC214D4"/>
    <w:rsid w:val="1FC473C9"/>
    <w:rsid w:val="1FDB5818"/>
    <w:rsid w:val="1FE10954"/>
    <w:rsid w:val="1FE34EF0"/>
    <w:rsid w:val="1FF91AA8"/>
    <w:rsid w:val="1FFF1088"/>
    <w:rsid w:val="2007450E"/>
    <w:rsid w:val="200D1749"/>
    <w:rsid w:val="201131DA"/>
    <w:rsid w:val="203171E6"/>
    <w:rsid w:val="2039253E"/>
    <w:rsid w:val="20495C97"/>
    <w:rsid w:val="205E0B32"/>
    <w:rsid w:val="20685AA7"/>
    <w:rsid w:val="20713A86"/>
    <w:rsid w:val="207637BA"/>
    <w:rsid w:val="207924F8"/>
    <w:rsid w:val="20901778"/>
    <w:rsid w:val="20912778"/>
    <w:rsid w:val="20927ACC"/>
    <w:rsid w:val="209748D1"/>
    <w:rsid w:val="2099122F"/>
    <w:rsid w:val="209F2972"/>
    <w:rsid w:val="20A774A8"/>
    <w:rsid w:val="20B00A53"/>
    <w:rsid w:val="20BD3A98"/>
    <w:rsid w:val="20C02F8A"/>
    <w:rsid w:val="20C16E58"/>
    <w:rsid w:val="20C95670"/>
    <w:rsid w:val="20D15459"/>
    <w:rsid w:val="20DE1F0A"/>
    <w:rsid w:val="20E13753"/>
    <w:rsid w:val="20FB77F4"/>
    <w:rsid w:val="20FD5A0E"/>
    <w:rsid w:val="20FF5D39"/>
    <w:rsid w:val="211508B6"/>
    <w:rsid w:val="211A5ECC"/>
    <w:rsid w:val="211D3C0E"/>
    <w:rsid w:val="21336A03"/>
    <w:rsid w:val="21415B4F"/>
    <w:rsid w:val="21541757"/>
    <w:rsid w:val="21570D5D"/>
    <w:rsid w:val="21621621"/>
    <w:rsid w:val="218035CC"/>
    <w:rsid w:val="21964ED3"/>
    <w:rsid w:val="21982A7C"/>
    <w:rsid w:val="219C4B33"/>
    <w:rsid w:val="21A03603"/>
    <w:rsid w:val="21AF58F3"/>
    <w:rsid w:val="21B43D89"/>
    <w:rsid w:val="21C710CD"/>
    <w:rsid w:val="21C747EF"/>
    <w:rsid w:val="21D11108"/>
    <w:rsid w:val="21D8003C"/>
    <w:rsid w:val="21D84806"/>
    <w:rsid w:val="21E116E9"/>
    <w:rsid w:val="21E309B4"/>
    <w:rsid w:val="21E571DC"/>
    <w:rsid w:val="21EC5D52"/>
    <w:rsid w:val="2201290B"/>
    <w:rsid w:val="22034F3A"/>
    <w:rsid w:val="220E425E"/>
    <w:rsid w:val="22224508"/>
    <w:rsid w:val="2231742D"/>
    <w:rsid w:val="223212F1"/>
    <w:rsid w:val="2241435E"/>
    <w:rsid w:val="224545EA"/>
    <w:rsid w:val="225F2286"/>
    <w:rsid w:val="226F30E0"/>
    <w:rsid w:val="22766417"/>
    <w:rsid w:val="227C6712"/>
    <w:rsid w:val="227E4414"/>
    <w:rsid w:val="227F7D42"/>
    <w:rsid w:val="229439C9"/>
    <w:rsid w:val="229E2B2D"/>
    <w:rsid w:val="22B422BA"/>
    <w:rsid w:val="22B71839"/>
    <w:rsid w:val="22BC1102"/>
    <w:rsid w:val="22C25006"/>
    <w:rsid w:val="22E305B1"/>
    <w:rsid w:val="22F13C86"/>
    <w:rsid w:val="22FD4E56"/>
    <w:rsid w:val="22FE241C"/>
    <w:rsid w:val="230B235C"/>
    <w:rsid w:val="23144B49"/>
    <w:rsid w:val="23164DB9"/>
    <w:rsid w:val="2318468D"/>
    <w:rsid w:val="23186B89"/>
    <w:rsid w:val="2332402C"/>
    <w:rsid w:val="23337719"/>
    <w:rsid w:val="233B6047"/>
    <w:rsid w:val="233C38C1"/>
    <w:rsid w:val="23494431"/>
    <w:rsid w:val="235259AF"/>
    <w:rsid w:val="235F406A"/>
    <w:rsid w:val="2366364A"/>
    <w:rsid w:val="236C0707"/>
    <w:rsid w:val="237B1EB1"/>
    <w:rsid w:val="23862C71"/>
    <w:rsid w:val="238C41D0"/>
    <w:rsid w:val="238F1173"/>
    <w:rsid w:val="23931140"/>
    <w:rsid w:val="239A7798"/>
    <w:rsid w:val="239B1142"/>
    <w:rsid w:val="23A6758B"/>
    <w:rsid w:val="23AB7D49"/>
    <w:rsid w:val="23BB5FE3"/>
    <w:rsid w:val="23C30A9D"/>
    <w:rsid w:val="23C5360D"/>
    <w:rsid w:val="23CE2F9E"/>
    <w:rsid w:val="23CE5E40"/>
    <w:rsid w:val="23CF6A7C"/>
    <w:rsid w:val="23D83E1C"/>
    <w:rsid w:val="23E025DF"/>
    <w:rsid w:val="23EA04A6"/>
    <w:rsid w:val="23ED2053"/>
    <w:rsid w:val="23F27F4A"/>
    <w:rsid w:val="23F421BD"/>
    <w:rsid w:val="24047512"/>
    <w:rsid w:val="24150BCD"/>
    <w:rsid w:val="24377E09"/>
    <w:rsid w:val="243F3E9B"/>
    <w:rsid w:val="2442123D"/>
    <w:rsid w:val="24457F81"/>
    <w:rsid w:val="244B0A92"/>
    <w:rsid w:val="244E3B32"/>
    <w:rsid w:val="24566697"/>
    <w:rsid w:val="24617941"/>
    <w:rsid w:val="247F73AD"/>
    <w:rsid w:val="24A33858"/>
    <w:rsid w:val="24AC5F0F"/>
    <w:rsid w:val="24BD373E"/>
    <w:rsid w:val="24C148B0"/>
    <w:rsid w:val="24CA19B7"/>
    <w:rsid w:val="24CF6B94"/>
    <w:rsid w:val="24D8154E"/>
    <w:rsid w:val="24EC4023"/>
    <w:rsid w:val="24F40E1A"/>
    <w:rsid w:val="24F5112A"/>
    <w:rsid w:val="24FB6014"/>
    <w:rsid w:val="25041375"/>
    <w:rsid w:val="250D5433"/>
    <w:rsid w:val="251470D6"/>
    <w:rsid w:val="251A64DF"/>
    <w:rsid w:val="252A7AF1"/>
    <w:rsid w:val="25350875"/>
    <w:rsid w:val="254B1372"/>
    <w:rsid w:val="25517C71"/>
    <w:rsid w:val="255547D2"/>
    <w:rsid w:val="257F2DC4"/>
    <w:rsid w:val="257F4191"/>
    <w:rsid w:val="25853B30"/>
    <w:rsid w:val="25860EE8"/>
    <w:rsid w:val="258E11FE"/>
    <w:rsid w:val="259D32AD"/>
    <w:rsid w:val="25A16480"/>
    <w:rsid w:val="25AC226E"/>
    <w:rsid w:val="25B336F9"/>
    <w:rsid w:val="25B62DF5"/>
    <w:rsid w:val="25DA7C0E"/>
    <w:rsid w:val="25EC4470"/>
    <w:rsid w:val="25FA14B4"/>
    <w:rsid w:val="260518F7"/>
    <w:rsid w:val="260A59DD"/>
    <w:rsid w:val="260C2082"/>
    <w:rsid w:val="260E63F2"/>
    <w:rsid w:val="2610794F"/>
    <w:rsid w:val="261E114A"/>
    <w:rsid w:val="26390EC7"/>
    <w:rsid w:val="26467763"/>
    <w:rsid w:val="26477E20"/>
    <w:rsid w:val="264F1204"/>
    <w:rsid w:val="26582EFC"/>
    <w:rsid w:val="266D1DEE"/>
    <w:rsid w:val="266D2F42"/>
    <w:rsid w:val="266E03A6"/>
    <w:rsid w:val="266F193B"/>
    <w:rsid w:val="26755F57"/>
    <w:rsid w:val="267C4F14"/>
    <w:rsid w:val="267C6213"/>
    <w:rsid w:val="268636A4"/>
    <w:rsid w:val="269229A8"/>
    <w:rsid w:val="26B42DB8"/>
    <w:rsid w:val="26B77DD9"/>
    <w:rsid w:val="26B96187"/>
    <w:rsid w:val="26BA7A34"/>
    <w:rsid w:val="26BB62B0"/>
    <w:rsid w:val="26BC05BD"/>
    <w:rsid w:val="26C1503C"/>
    <w:rsid w:val="26DA6DE1"/>
    <w:rsid w:val="26E51E12"/>
    <w:rsid w:val="26FB4DF4"/>
    <w:rsid w:val="270C29E1"/>
    <w:rsid w:val="27147861"/>
    <w:rsid w:val="271F02AB"/>
    <w:rsid w:val="27200235"/>
    <w:rsid w:val="272A2C59"/>
    <w:rsid w:val="272F1FA5"/>
    <w:rsid w:val="27442972"/>
    <w:rsid w:val="274A5031"/>
    <w:rsid w:val="274F0899"/>
    <w:rsid w:val="27733C52"/>
    <w:rsid w:val="27800A53"/>
    <w:rsid w:val="279B05C2"/>
    <w:rsid w:val="279B15D8"/>
    <w:rsid w:val="27A96837"/>
    <w:rsid w:val="27AA169C"/>
    <w:rsid w:val="27AA5E9D"/>
    <w:rsid w:val="27AE2BF0"/>
    <w:rsid w:val="27AE75EA"/>
    <w:rsid w:val="27C54602"/>
    <w:rsid w:val="27CF1027"/>
    <w:rsid w:val="27E4312A"/>
    <w:rsid w:val="27E9481E"/>
    <w:rsid w:val="27F20943"/>
    <w:rsid w:val="27FE6547"/>
    <w:rsid w:val="28251EAB"/>
    <w:rsid w:val="282F764F"/>
    <w:rsid w:val="283755B5"/>
    <w:rsid w:val="283830DC"/>
    <w:rsid w:val="283D6944"/>
    <w:rsid w:val="28445F24"/>
    <w:rsid w:val="284877C3"/>
    <w:rsid w:val="285A12A4"/>
    <w:rsid w:val="28681C13"/>
    <w:rsid w:val="286B269F"/>
    <w:rsid w:val="286B34B1"/>
    <w:rsid w:val="286C01AD"/>
    <w:rsid w:val="286F11F3"/>
    <w:rsid w:val="288325A9"/>
    <w:rsid w:val="2886653D"/>
    <w:rsid w:val="288822B5"/>
    <w:rsid w:val="288C4B8F"/>
    <w:rsid w:val="2890116A"/>
    <w:rsid w:val="28926C90"/>
    <w:rsid w:val="28AB7434"/>
    <w:rsid w:val="28B05368"/>
    <w:rsid w:val="28B243A5"/>
    <w:rsid w:val="28C777F9"/>
    <w:rsid w:val="28D009FB"/>
    <w:rsid w:val="28D838CA"/>
    <w:rsid w:val="28DB6FB0"/>
    <w:rsid w:val="28E959B0"/>
    <w:rsid w:val="28F04F64"/>
    <w:rsid w:val="28F2365F"/>
    <w:rsid w:val="28F5682A"/>
    <w:rsid w:val="2907142C"/>
    <w:rsid w:val="291665E3"/>
    <w:rsid w:val="291B2B8F"/>
    <w:rsid w:val="2924450B"/>
    <w:rsid w:val="29341AF5"/>
    <w:rsid w:val="293D35A3"/>
    <w:rsid w:val="29413ED7"/>
    <w:rsid w:val="2942429D"/>
    <w:rsid w:val="295108F9"/>
    <w:rsid w:val="295403E9"/>
    <w:rsid w:val="29543666"/>
    <w:rsid w:val="29622B06"/>
    <w:rsid w:val="29693E94"/>
    <w:rsid w:val="296B6DBA"/>
    <w:rsid w:val="297373B5"/>
    <w:rsid w:val="297D0F37"/>
    <w:rsid w:val="298A2D20"/>
    <w:rsid w:val="298C2CFC"/>
    <w:rsid w:val="298E4810"/>
    <w:rsid w:val="299F78B6"/>
    <w:rsid w:val="29A97E6C"/>
    <w:rsid w:val="29AC5B2F"/>
    <w:rsid w:val="29B23F97"/>
    <w:rsid w:val="29D1474B"/>
    <w:rsid w:val="29D6656C"/>
    <w:rsid w:val="29DE64E6"/>
    <w:rsid w:val="29E4342A"/>
    <w:rsid w:val="29EA0465"/>
    <w:rsid w:val="29EF7011"/>
    <w:rsid w:val="29FB2613"/>
    <w:rsid w:val="2A087B86"/>
    <w:rsid w:val="2A092F82"/>
    <w:rsid w:val="2A1262DA"/>
    <w:rsid w:val="2A3A74D6"/>
    <w:rsid w:val="2A3C1381"/>
    <w:rsid w:val="2A4D2AFF"/>
    <w:rsid w:val="2A726D79"/>
    <w:rsid w:val="2A761F53"/>
    <w:rsid w:val="2A7E571E"/>
    <w:rsid w:val="2AA33A6E"/>
    <w:rsid w:val="2AAB228B"/>
    <w:rsid w:val="2AB206FA"/>
    <w:rsid w:val="2ABE0808"/>
    <w:rsid w:val="2AC7188E"/>
    <w:rsid w:val="2AD970A0"/>
    <w:rsid w:val="2ADC0696"/>
    <w:rsid w:val="2ADE5193"/>
    <w:rsid w:val="2ADE7F6A"/>
    <w:rsid w:val="2AE01F34"/>
    <w:rsid w:val="2AE74C63"/>
    <w:rsid w:val="2AEC104A"/>
    <w:rsid w:val="2AF03E8C"/>
    <w:rsid w:val="2AFB6D6E"/>
    <w:rsid w:val="2B001A02"/>
    <w:rsid w:val="2B0100FD"/>
    <w:rsid w:val="2B0B636E"/>
    <w:rsid w:val="2B0D49FF"/>
    <w:rsid w:val="2B1306C4"/>
    <w:rsid w:val="2B1962F0"/>
    <w:rsid w:val="2B1B1323"/>
    <w:rsid w:val="2B262923"/>
    <w:rsid w:val="2B2D11B4"/>
    <w:rsid w:val="2B3E30FF"/>
    <w:rsid w:val="2B471FB3"/>
    <w:rsid w:val="2B4A5600"/>
    <w:rsid w:val="2B5244B4"/>
    <w:rsid w:val="2B5F7F28"/>
    <w:rsid w:val="2B607EF6"/>
    <w:rsid w:val="2B6778CA"/>
    <w:rsid w:val="2B830652"/>
    <w:rsid w:val="2B88437A"/>
    <w:rsid w:val="2BA969CB"/>
    <w:rsid w:val="2BAB6775"/>
    <w:rsid w:val="2BBF7820"/>
    <w:rsid w:val="2BC5112A"/>
    <w:rsid w:val="2BCD0C65"/>
    <w:rsid w:val="2BEA7A47"/>
    <w:rsid w:val="2BF01068"/>
    <w:rsid w:val="2BF1494E"/>
    <w:rsid w:val="2BF415B0"/>
    <w:rsid w:val="2BFC1A4E"/>
    <w:rsid w:val="2BFF0C9D"/>
    <w:rsid w:val="2C02731B"/>
    <w:rsid w:val="2C1D0C5C"/>
    <w:rsid w:val="2C1F0C09"/>
    <w:rsid w:val="2C332955"/>
    <w:rsid w:val="2C356FB3"/>
    <w:rsid w:val="2C471DF4"/>
    <w:rsid w:val="2C4749F9"/>
    <w:rsid w:val="2C521F9B"/>
    <w:rsid w:val="2C5728E0"/>
    <w:rsid w:val="2C5A1872"/>
    <w:rsid w:val="2C5F332D"/>
    <w:rsid w:val="2C6C7DE2"/>
    <w:rsid w:val="2C7648CD"/>
    <w:rsid w:val="2C770676"/>
    <w:rsid w:val="2C7A5B1E"/>
    <w:rsid w:val="2C7B4C50"/>
    <w:rsid w:val="2C7C18CE"/>
    <w:rsid w:val="2C7C79C4"/>
    <w:rsid w:val="2C8A1D9D"/>
    <w:rsid w:val="2CAD5E46"/>
    <w:rsid w:val="2CAE0E97"/>
    <w:rsid w:val="2CAE7E10"/>
    <w:rsid w:val="2CB2162D"/>
    <w:rsid w:val="2CB6144C"/>
    <w:rsid w:val="2CC01A89"/>
    <w:rsid w:val="2CC066C3"/>
    <w:rsid w:val="2CC752EA"/>
    <w:rsid w:val="2CD5677E"/>
    <w:rsid w:val="2CDA6E57"/>
    <w:rsid w:val="2CE27A44"/>
    <w:rsid w:val="2CE83F46"/>
    <w:rsid w:val="2CEE645F"/>
    <w:rsid w:val="2CF03080"/>
    <w:rsid w:val="2CF27CFD"/>
    <w:rsid w:val="2CFC6DCE"/>
    <w:rsid w:val="2D0F49B3"/>
    <w:rsid w:val="2D115183"/>
    <w:rsid w:val="2D1759B5"/>
    <w:rsid w:val="2D214A86"/>
    <w:rsid w:val="2D2230C0"/>
    <w:rsid w:val="2D2559A9"/>
    <w:rsid w:val="2D37466B"/>
    <w:rsid w:val="2D3F381C"/>
    <w:rsid w:val="2D4E2EA2"/>
    <w:rsid w:val="2D5370E6"/>
    <w:rsid w:val="2D580762"/>
    <w:rsid w:val="2D822971"/>
    <w:rsid w:val="2D8D57F6"/>
    <w:rsid w:val="2D937732"/>
    <w:rsid w:val="2D960FD0"/>
    <w:rsid w:val="2DA336ED"/>
    <w:rsid w:val="2DB572EF"/>
    <w:rsid w:val="2DB63420"/>
    <w:rsid w:val="2DBD6F4C"/>
    <w:rsid w:val="2DCC49F2"/>
    <w:rsid w:val="2DD006DE"/>
    <w:rsid w:val="2DD8615B"/>
    <w:rsid w:val="2DE6137F"/>
    <w:rsid w:val="2DE73DBF"/>
    <w:rsid w:val="2DEA131C"/>
    <w:rsid w:val="2DEC1DED"/>
    <w:rsid w:val="2DF20EE8"/>
    <w:rsid w:val="2DF9330D"/>
    <w:rsid w:val="2E063F3D"/>
    <w:rsid w:val="2E07312B"/>
    <w:rsid w:val="2E1168A9"/>
    <w:rsid w:val="2E126364"/>
    <w:rsid w:val="2E1F34C8"/>
    <w:rsid w:val="2E2226D4"/>
    <w:rsid w:val="2E33681F"/>
    <w:rsid w:val="2E3F51C4"/>
    <w:rsid w:val="2E402CEA"/>
    <w:rsid w:val="2E416920"/>
    <w:rsid w:val="2E424CB4"/>
    <w:rsid w:val="2E441B11"/>
    <w:rsid w:val="2E517468"/>
    <w:rsid w:val="2E622D4C"/>
    <w:rsid w:val="2E6F6158"/>
    <w:rsid w:val="2E7D7354"/>
    <w:rsid w:val="2E7E760F"/>
    <w:rsid w:val="2E845647"/>
    <w:rsid w:val="2E9133AB"/>
    <w:rsid w:val="2EA10776"/>
    <w:rsid w:val="2EAE2AA9"/>
    <w:rsid w:val="2EAF34B6"/>
    <w:rsid w:val="2EB97CA5"/>
    <w:rsid w:val="2EBA6E9A"/>
    <w:rsid w:val="2EC75726"/>
    <w:rsid w:val="2EC8535E"/>
    <w:rsid w:val="2ECB6A58"/>
    <w:rsid w:val="2ED31DB0"/>
    <w:rsid w:val="2EDB5BF6"/>
    <w:rsid w:val="2EDC1660"/>
    <w:rsid w:val="2EDD79ED"/>
    <w:rsid w:val="2EF37741"/>
    <w:rsid w:val="2EF45B2D"/>
    <w:rsid w:val="2EFE6D3C"/>
    <w:rsid w:val="2EFF50B3"/>
    <w:rsid w:val="2F247464"/>
    <w:rsid w:val="2F267098"/>
    <w:rsid w:val="2F2F5238"/>
    <w:rsid w:val="2F3318AF"/>
    <w:rsid w:val="2F376D3D"/>
    <w:rsid w:val="2F445E7D"/>
    <w:rsid w:val="2F57478F"/>
    <w:rsid w:val="2F5A1938"/>
    <w:rsid w:val="2F63420B"/>
    <w:rsid w:val="2F6738CD"/>
    <w:rsid w:val="2F68699C"/>
    <w:rsid w:val="2F6D7B0F"/>
    <w:rsid w:val="2F753B70"/>
    <w:rsid w:val="2F783AC3"/>
    <w:rsid w:val="2F8C34AF"/>
    <w:rsid w:val="2F8D3D2C"/>
    <w:rsid w:val="2F8F7440"/>
    <w:rsid w:val="2F923A19"/>
    <w:rsid w:val="2F971030"/>
    <w:rsid w:val="2F992124"/>
    <w:rsid w:val="2F9E3CE1"/>
    <w:rsid w:val="2FA55027"/>
    <w:rsid w:val="2FA8543A"/>
    <w:rsid w:val="2FE302B8"/>
    <w:rsid w:val="2FEE6EA1"/>
    <w:rsid w:val="300C053C"/>
    <w:rsid w:val="30115226"/>
    <w:rsid w:val="30121F9C"/>
    <w:rsid w:val="30181AB0"/>
    <w:rsid w:val="301963FD"/>
    <w:rsid w:val="301A16BC"/>
    <w:rsid w:val="301C2A4B"/>
    <w:rsid w:val="302C0A75"/>
    <w:rsid w:val="303161D5"/>
    <w:rsid w:val="30316D8E"/>
    <w:rsid w:val="30336FAA"/>
    <w:rsid w:val="30342905"/>
    <w:rsid w:val="303625F7"/>
    <w:rsid w:val="30366934"/>
    <w:rsid w:val="30376948"/>
    <w:rsid w:val="303F340C"/>
    <w:rsid w:val="30585A3C"/>
    <w:rsid w:val="30645A6F"/>
    <w:rsid w:val="3067414B"/>
    <w:rsid w:val="30704943"/>
    <w:rsid w:val="308405B2"/>
    <w:rsid w:val="308E1F09"/>
    <w:rsid w:val="3090408B"/>
    <w:rsid w:val="309537C1"/>
    <w:rsid w:val="30954308"/>
    <w:rsid w:val="30A80409"/>
    <w:rsid w:val="30B45EB2"/>
    <w:rsid w:val="30BF18EF"/>
    <w:rsid w:val="30C24259"/>
    <w:rsid w:val="30C90449"/>
    <w:rsid w:val="30E67B79"/>
    <w:rsid w:val="30F3057A"/>
    <w:rsid w:val="30FF0C3A"/>
    <w:rsid w:val="3105708B"/>
    <w:rsid w:val="3123378A"/>
    <w:rsid w:val="312D57A8"/>
    <w:rsid w:val="312F38CC"/>
    <w:rsid w:val="31312966"/>
    <w:rsid w:val="314D12F9"/>
    <w:rsid w:val="314E74DA"/>
    <w:rsid w:val="31532E05"/>
    <w:rsid w:val="31537FFF"/>
    <w:rsid w:val="31561DFE"/>
    <w:rsid w:val="31576325"/>
    <w:rsid w:val="31600AD0"/>
    <w:rsid w:val="3161026C"/>
    <w:rsid w:val="317038E6"/>
    <w:rsid w:val="31756B25"/>
    <w:rsid w:val="317653A0"/>
    <w:rsid w:val="317F1D7B"/>
    <w:rsid w:val="31B05254"/>
    <w:rsid w:val="31B61C41"/>
    <w:rsid w:val="31E06603"/>
    <w:rsid w:val="31E37C3D"/>
    <w:rsid w:val="31EA1C7D"/>
    <w:rsid w:val="31EB46D1"/>
    <w:rsid w:val="31F04BFC"/>
    <w:rsid w:val="31F64D46"/>
    <w:rsid w:val="31F766FF"/>
    <w:rsid w:val="31F91898"/>
    <w:rsid w:val="31F91D4C"/>
    <w:rsid w:val="31FA0F1E"/>
    <w:rsid w:val="32002E34"/>
    <w:rsid w:val="3211363E"/>
    <w:rsid w:val="321714BB"/>
    <w:rsid w:val="32193F7E"/>
    <w:rsid w:val="322B01D4"/>
    <w:rsid w:val="322B50E9"/>
    <w:rsid w:val="32361A8B"/>
    <w:rsid w:val="32373508"/>
    <w:rsid w:val="323C35AF"/>
    <w:rsid w:val="323D7C6C"/>
    <w:rsid w:val="324428B6"/>
    <w:rsid w:val="32445173"/>
    <w:rsid w:val="3244724D"/>
    <w:rsid w:val="3249484C"/>
    <w:rsid w:val="32501ED2"/>
    <w:rsid w:val="32534DDF"/>
    <w:rsid w:val="3264576C"/>
    <w:rsid w:val="32650F71"/>
    <w:rsid w:val="32773FD5"/>
    <w:rsid w:val="327F284A"/>
    <w:rsid w:val="3290431A"/>
    <w:rsid w:val="329F0927"/>
    <w:rsid w:val="32A221C5"/>
    <w:rsid w:val="32A515F4"/>
    <w:rsid w:val="32A556C9"/>
    <w:rsid w:val="32AC094E"/>
    <w:rsid w:val="32B02833"/>
    <w:rsid w:val="32B9443A"/>
    <w:rsid w:val="32BD3E71"/>
    <w:rsid w:val="32C263C3"/>
    <w:rsid w:val="32CB171C"/>
    <w:rsid w:val="32E067E3"/>
    <w:rsid w:val="32E41F97"/>
    <w:rsid w:val="32E471FC"/>
    <w:rsid w:val="3302633C"/>
    <w:rsid w:val="330E62FB"/>
    <w:rsid w:val="331B6868"/>
    <w:rsid w:val="33227924"/>
    <w:rsid w:val="332E1C2D"/>
    <w:rsid w:val="333077D1"/>
    <w:rsid w:val="33323549"/>
    <w:rsid w:val="333378C0"/>
    <w:rsid w:val="334C3A43"/>
    <w:rsid w:val="33543CE0"/>
    <w:rsid w:val="335B2E00"/>
    <w:rsid w:val="33662286"/>
    <w:rsid w:val="33833DA5"/>
    <w:rsid w:val="33896EE1"/>
    <w:rsid w:val="338B1F27"/>
    <w:rsid w:val="33963554"/>
    <w:rsid w:val="339B3BE0"/>
    <w:rsid w:val="33A80A26"/>
    <w:rsid w:val="33BC6C33"/>
    <w:rsid w:val="33C323F3"/>
    <w:rsid w:val="33D12D62"/>
    <w:rsid w:val="33DC2C6C"/>
    <w:rsid w:val="33E52951"/>
    <w:rsid w:val="33E714C8"/>
    <w:rsid w:val="33FB1B8D"/>
    <w:rsid w:val="340547BA"/>
    <w:rsid w:val="3407106E"/>
    <w:rsid w:val="34084F87"/>
    <w:rsid w:val="340A7C4C"/>
    <w:rsid w:val="340B6531"/>
    <w:rsid w:val="340B72BD"/>
    <w:rsid w:val="340D18C0"/>
    <w:rsid w:val="341964B7"/>
    <w:rsid w:val="341D291F"/>
    <w:rsid w:val="341E7389"/>
    <w:rsid w:val="34237F5D"/>
    <w:rsid w:val="34267CDF"/>
    <w:rsid w:val="342866FA"/>
    <w:rsid w:val="34327C0D"/>
    <w:rsid w:val="34384B8F"/>
    <w:rsid w:val="34594B05"/>
    <w:rsid w:val="345B389E"/>
    <w:rsid w:val="345B5A33"/>
    <w:rsid w:val="345D63A4"/>
    <w:rsid w:val="345F06BD"/>
    <w:rsid w:val="34603435"/>
    <w:rsid w:val="34607F62"/>
    <w:rsid w:val="347A4212"/>
    <w:rsid w:val="3480666E"/>
    <w:rsid w:val="34A57D4B"/>
    <w:rsid w:val="34A915E9"/>
    <w:rsid w:val="34C3499A"/>
    <w:rsid w:val="34C93489"/>
    <w:rsid w:val="34DC509A"/>
    <w:rsid w:val="34DC7A9D"/>
    <w:rsid w:val="34DF14AF"/>
    <w:rsid w:val="34F767F8"/>
    <w:rsid w:val="34FD2D07"/>
    <w:rsid w:val="34FD494F"/>
    <w:rsid w:val="34FF25C3"/>
    <w:rsid w:val="351006CF"/>
    <w:rsid w:val="351153E0"/>
    <w:rsid w:val="35213875"/>
    <w:rsid w:val="35373E21"/>
    <w:rsid w:val="35391B04"/>
    <w:rsid w:val="354632DC"/>
    <w:rsid w:val="354B444E"/>
    <w:rsid w:val="35584DBD"/>
    <w:rsid w:val="356B1A9D"/>
    <w:rsid w:val="357240D1"/>
    <w:rsid w:val="357838DE"/>
    <w:rsid w:val="359F0C3E"/>
    <w:rsid w:val="35A71D1B"/>
    <w:rsid w:val="35B04EDA"/>
    <w:rsid w:val="35CB1A9C"/>
    <w:rsid w:val="35D71C30"/>
    <w:rsid w:val="35E86141"/>
    <w:rsid w:val="35ED38B1"/>
    <w:rsid w:val="35FE7713"/>
    <w:rsid w:val="3600792F"/>
    <w:rsid w:val="360D3643"/>
    <w:rsid w:val="361071EF"/>
    <w:rsid w:val="361B5EA3"/>
    <w:rsid w:val="36201D7F"/>
    <w:rsid w:val="362E2490"/>
    <w:rsid w:val="363311CB"/>
    <w:rsid w:val="36333885"/>
    <w:rsid w:val="36405F7D"/>
    <w:rsid w:val="36421CF5"/>
    <w:rsid w:val="36470926"/>
    <w:rsid w:val="364D41F6"/>
    <w:rsid w:val="366F5A36"/>
    <w:rsid w:val="367921AD"/>
    <w:rsid w:val="368C1819"/>
    <w:rsid w:val="36B81FB7"/>
    <w:rsid w:val="36BF3346"/>
    <w:rsid w:val="36C546D4"/>
    <w:rsid w:val="36D203FE"/>
    <w:rsid w:val="36D73F27"/>
    <w:rsid w:val="36D93CDC"/>
    <w:rsid w:val="36DE4EB1"/>
    <w:rsid w:val="36FB4019"/>
    <w:rsid w:val="37054AD1"/>
    <w:rsid w:val="372330F6"/>
    <w:rsid w:val="372C6501"/>
    <w:rsid w:val="37303E23"/>
    <w:rsid w:val="37384EA6"/>
    <w:rsid w:val="374B4BD9"/>
    <w:rsid w:val="374B5F4E"/>
    <w:rsid w:val="37536A2A"/>
    <w:rsid w:val="375E0959"/>
    <w:rsid w:val="37603D09"/>
    <w:rsid w:val="376849F7"/>
    <w:rsid w:val="376E7E98"/>
    <w:rsid w:val="376F66AF"/>
    <w:rsid w:val="37754D91"/>
    <w:rsid w:val="37815546"/>
    <w:rsid w:val="37883B21"/>
    <w:rsid w:val="378C7899"/>
    <w:rsid w:val="378F098D"/>
    <w:rsid w:val="3790083E"/>
    <w:rsid w:val="379963AB"/>
    <w:rsid w:val="37A11E3C"/>
    <w:rsid w:val="37A367C3"/>
    <w:rsid w:val="37AE5168"/>
    <w:rsid w:val="37B4265B"/>
    <w:rsid w:val="37B8370B"/>
    <w:rsid w:val="37C33EC0"/>
    <w:rsid w:val="37DA2D99"/>
    <w:rsid w:val="37E04999"/>
    <w:rsid w:val="37E26909"/>
    <w:rsid w:val="37EB016A"/>
    <w:rsid w:val="37FA03AE"/>
    <w:rsid w:val="37FD74CE"/>
    <w:rsid w:val="38093B69"/>
    <w:rsid w:val="380A4235"/>
    <w:rsid w:val="3821223F"/>
    <w:rsid w:val="3837515E"/>
    <w:rsid w:val="38393973"/>
    <w:rsid w:val="383D74F6"/>
    <w:rsid w:val="38507FCD"/>
    <w:rsid w:val="385D64E3"/>
    <w:rsid w:val="386A081F"/>
    <w:rsid w:val="386A72E1"/>
    <w:rsid w:val="386C4BA5"/>
    <w:rsid w:val="38702721"/>
    <w:rsid w:val="38786812"/>
    <w:rsid w:val="387C27FF"/>
    <w:rsid w:val="3885236D"/>
    <w:rsid w:val="38855EC9"/>
    <w:rsid w:val="3895056B"/>
    <w:rsid w:val="38961E84"/>
    <w:rsid w:val="38997BC6"/>
    <w:rsid w:val="389B68D7"/>
    <w:rsid w:val="389C7F90"/>
    <w:rsid w:val="389F4307"/>
    <w:rsid w:val="38AB14F2"/>
    <w:rsid w:val="38AD29E6"/>
    <w:rsid w:val="38B74293"/>
    <w:rsid w:val="38BB7767"/>
    <w:rsid w:val="38BF10A7"/>
    <w:rsid w:val="38C51842"/>
    <w:rsid w:val="38D752A9"/>
    <w:rsid w:val="38D9415D"/>
    <w:rsid w:val="38DF0DD2"/>
    <w:rsid w:val="38E250CA"/>
    <w:rsid w:val="390664C1"/>
    <w:rsid w:val="39090CB8"/>
    <w:rsid w:val="39107A69"/>
    <w:rsid w:val="39143AA3"/>
    <w:rsid w:val="391C4E04"/>
    <w:rsid w:val="391E1E7A"/>
    <w:rsid w:val="39202096"/>
    <w:rsid w:val="392E030F"/>
    <w:rsid w:val="3956276E"/>
    <w:rsid w:val="397B72CC"/>
    <w:rsid w:val="39854B09"/>
    <w:rsid w:val="399000E4"/>
    <w:rsid w:val="39996E94"/>
    <w:rsid w:val="399C2968"/>
    <w:rsid w:val="399F5886"/>
    <w:rsid w:val="39B12CEE"/>
    <w:rsid w:val="39C941BA"/>
    <w:rsid w:val="39D521A4"/>
    <w:rsid w:val="39D82117"/>
    <w:rsid w:val="39E14BE7"/>
    <w:rsid w:val="39EF3F42"/>
    <w:rsid w:val="39FC040D"/>
    <w:rsid w:val="3A105C66"/>
    <w:rsid w:val="3A1828CC"/>
    <w:rsid w:val="3A233BEC"/>
    <w:rsid w:val="3A23599A"/>
    <w:rsid w:val="3A2D4A6A"/>
    <w:rsid w:val="3A2E7092"/>
    <w:rsid w:val="3A3F3A6E"/>
    <w:rsid w:val="3A3F7DD8"/>
    <w:rsid w:val="3A437A94"/>
    <w:rsid w:val="3A485400"/>
    <w:rsid w:val="3A494AD8"/>
    <w:rsid w:val="3A497135"/>
    <w:rsid w:val="3A50028E"/>
    <w:rsid w:val="3A59715B"/>
    <w:rsid w:val="3A5A32C3"/>
    <w:rsid w:val="3A60099C"/>
    <w:rsid w:val="3A704957"/>
    <w:rsid w:val="3A744447"/>
    <w:rsid w:val="3A7F4866"/>
    <w:rsid w:val="3AB3727C"/>
    <w:rsid w:val="3AC32CD9"/>
    <w:rsid w:val="3AC37809"/>
    <w:rsid w:val="3AC60F79"/>
    <w:rsid w:val="3ACD3B57"/>
    <w:rsid w:val="3ADE734A"/>
    <w:rsid w:val="3AE60D36"/>
    <w:rsid w:val="3B143452"/>
    <w:rsid w:val="3B167490"/>
    <w:rsid w:val="3B1A4929"/>
    <w:rsid w:val="3B1A5974"/>
    <w:rsid w:val="3B200AB9"/>
    <w:rsid w:val="3B2D6C62"/>
    <w:rsid w:val="3B38138F"/>
    <w:rsid w:val="3B3C0013"/>
    <w:rsid w:val="3B4C0F20"/>
    <w:rsid w:val="3B55306D"/>
    <w:rsid w:val="3B654FB6"/>
    <w:rsid w:val="3B835113"/>
    <w:rsid w:val="3B8C3A12"/>
    <w:rsid w:val="3B9D352A"/>
    <w:rsid w:val="3B9E00AB"/>
    <w:rsid w:val="3BA05111"/>
    <w:rsid w:val="3BAB3455"/>
    <w:rsid w:val="3BBA7B79"/>
    <w:rsid w:val="3BBD1E1E"/>
    <w:rsid w:val="3BC3474D"/>
    <w:rsid w:val="3BC74A4B"/>
    <w:rsid w:val="3BCB35A7"/>
    <w:rsid w:val="3BD46390"/>
    <w:rsid w:val="3BDD5902"/>
    <w:rsid w:val="3BED2703"/>
    <w:rsid w:val="3BF03CCA"/>
    <w:rsid w:val="3BF11E74"/>
    <w:rsid w:val="3BF27D19"/>
    <w:rsid w:val="3C0C273F"/>
    <w:rsid w:val="3C10220A"/>
    <w:rsid w:val="3C1842F9"/>
    <w:rsid w:val="3C1E28BD"/>
    <w:rsid w:val="3C3470D5"/>
    <w:rsid w:val="3C383DE4"/>
    <w:rsid w:val="3C4E103D"/>
    <w:rsid w:val="3C5858BE"/>
    <w:rsid w:val="3C756255"/>
    <w:rsid w:val="3C7F3470"/>
    <w:rsid w:val="3C8666B4"/>
    <w:rsid w:val="3C885F88"/>
    <w:rsid w:val="3C8919F5"/>
    <w:rsid w:val="3CB45BE4"/>
    <w:rsid w:val="3CBB635D"/>
    <w:rsid w:val="3CC02EEE"/>
    <w:rsid w:val="3CEB7A0B"/>
    <w:rsid w:val="3CF61EAC"/>
    <w:rsid w:val="3CFE33D2"/>
    <w:rsid w:val="3D116330"/>
    <w:rsid w:val="3D170EC3"/>
    <w:rsid w:val="3D2776B0"/>
    <w:rsid w:val="3D29789F"/>
    <w:rsid w:val="3D2A3E0E"/>
    <w:rsid w:val="3D2A66B8"/>
    <w:rsid w:val="3D3D698A"/>
    <w:rsid w:val="3D4421B9"/>
    <w:rsid w:val="3D451639"/>
    <w:rsid w:val="3D487D74"/>
    <w:rsid w:val="3D4F1164"/>
    <w:rsid w:val="3D5C4BC3"/>
    <w:rsid w:val="3D5F13DF"/>
    <w:rsid w:val="3D6014CF"/>
    <w:rsid w:val="3D637F4C"/>
    <w:rsid w:val="3D711112"/>
    <w:rsid w:val="3D7F382F"/>
    <w:rsid w:val="3D9B3B25"/>
    <w:rsid w:val="3DA9265A"/>
    <w:rsid w:val="3DAC3EF8"/>
    <w:rsid w:val="3DB929DB"/>
    <w:rsid w:val="3DBC3294"/>
    <w:rsid w:val="3DC23CCE"/>
    <w:rsid w:val="3DC34D79"/>
    <w:rsid w:val="3DCE3E6E"/>
    <w:rsid w:val="3DED1CBB"/>
    <w:rsid w:val="3DED2444"/>
    <w:rsid w:val="3DF44CC0"/>
    <w:rsid w:val="3DF567F9"/>
    <w:rsid w:val="3DF60447"/>
    <w:rsid w:val="3E0B50C2"/>
    <w:rsid w:val="3E1014FA"/>
    <w:rsid w:val="3E1C50F0"/>
    <w:rsid w:val="3E206467"/>
    <w:rsid w:val="3E2148E6"/>
    <w:rsid w:val="3E290EF2"/>
    <w:rsid w:val="3E2E064A"/>
    <w:rsid w:val="3E335E41"/>
    <w:rsid w:val="3E406396"/>
    <w:rsid w:val="3E4C71CA"/>
    <w:rsid w:val="3E751B05"/>
    <w:rsid w:val="3E932C1B"/>
    <w:rsid w:val="3E945A00"/>
    <w:rsid w:val="3E946E66"/>
    <w:rsid w:val="3E986EC0"/>
    <w:rsid w:val="3EA370A9"/>
    <w:rsid w:val="3EA50F16"/>
    <w:rsid w:val="3EB412B6"/>
    <w:rsid w:val="3EC7548D"/>
    <w:rsid w:val="3EC96887"/>
    <w:rsid w:val="3EDF5AF6"/>
    <w:rsid w:val="3EED5314"/>
    <w:rsid w:val="3EF61E81"/>
    <w:rsid w:val="3EFB0C93"/>
    <w:rsid w:val="3EFE7DE5"/>
    <w:rsid w:val="3F0264C5"/>
    <w:rsid w:val="3F061F0C"/>
    <w:rsid w:val="3F125BD1"/>
    <w:rsid w:val="3F205546"/>
    <w:rsid w:val="3F2301EA"/>
    <w:rsid w:val="3F232B89"/>
    <w:rsid w:val="3F3543E3"/>
    <w:rsid w:val="3F5F1AF2"/>
    <w:rsid w:val="3F656A54"/>
    <w:rsid w:val="3F66192B"/>
    <w:rsid w:val="3F856ED8"/>
    <w:rsid w:val="3F8D1C9F"/>
    <w:rsid w:val="3F8F2341"/>
    <w:rsid w:val="3F950EED"/>
    <w:rsid w:val="3FBF43B6"/>
    <w:rsid w:val="3FC277EF"/>
    <w:rsid w:val="3FC43B82"/>
    <w:rsid w:val="3FC60149"/>
    <w:rsid w:val="3FD5519B"/>
    <w:rsid w:val="3FD85D9F"/>
    <w:rsid w:val="3FF027C2"/>
    <w:rsid w:val="3FF10C57"/>
    <w:rsid w:val="3FFF47B3"/>
    <w:rsid w:val="40035C2A"/>
    <w:rsid w:val="40093884"/>
    <w:rsid w:val="4013025E"/>
    <w:rsid w:val="40181D19"/>
    <w:rsid w:val="401A01A4"/>
    <w:rsid w:val="40273D0A"/>
    <w:rsid w:val="403C3AF9"/>
    <w:rsid w:val="404167C7"/>
    <w:rsid w:val="405745EF"/>
    <w:rsid w:val="405976BA"/>
    <w:rsid w:val="405F3DE1"/>
    <w:rsid w:val="40644756"/>
    <w:rsid w:val="406B1E48"/>
    <w:rsid w:val="406C4CA9"/>
    <w:rsid w:val="40805D21"/>
    <w:rsid w:val="40953369"/>
    <w:rsid w:val="40A4534E"/>
    <w:rsid w:val="40A81707"/>
    <w:rsid w:val="40B20930"/>
    <w:rsid w:val="40B67A3A"/>
    <w:rsid w:val="40BC7ABE"/>
    <w:rsid w:val="40C212DB"/>
    <w:rsid w:val="40C229C9"/>
    <w:rsid w:val="40D74B6A"/>
    <w:rsid w:val="40DA6B03"/>
    <w:rsid w:val="40DF0CE8"/>
    <w:rsid w:val="40E439A9"/>
    <w:rsid w:val="40E6155D"/>
    <w:rsid w:val="40E816EB"/>
    <w:rsid w:val="4102013F"/>
    <w:rsid w:val="41063FD6"/>
    <w:rsid w:val="411F2102"/>
    <w:rsid w:val="41210759"/>
    <w:rsid w:val="41241AE4"/>
    <w:rsid w:val="41277E2B"/>
    <w:rsid w:val="412A3C09"/>
    <w:rsid w:val="412D51B9"/>
    <w:rsid w:val="413466DE"/>
    <w:rsid w:val="41364CBE"/>
    <w:rsid w:val="41422682"/>
    <w:rsid w:val="41434B73"/>
    <w:rsid w:val="414502D4"/>
    <w:rsid w:val="41460A5C"/>
    <w:rsid w:val="414E3D19"/>
    <w:rsid w:val="415A1A62"/>
    <w:rsid w:val="415B08F7"/>
    <w:rsid w:val="41685545"/>
    <w:rsid w:val="416D1BF0"/>
    <w:rsid w:val="41741A44"/>
    <w:rsid w:val="41807B75"/>
    <w:rsid w:val="41886A2A"/>
    <w:rsid w:val="419158DF"/>
    <w:rsid w:val="4194717D"/>
    <w:rsid w:val="419A7604"/>
    <w:rsid w:val="41A575DC"/>
    <w:rsid w:val="41B617E9"/>
    <w:rsid w:val="41B62372"/>
    <w:rsid w:val="41B7012D"/>
    <w:rsid w:val="41BB2E32"/>
    <w:rsid w:val="41BD7202"/>
    <w:rsid w:val="41C319F6"/>
    <w:rsid w:val="41C37A62"/>
    <w:rsid w:val="41CC79EB"/>
    <w:rsid w:val="41D67795"/>
    <w:rsid w:val="41EE2EB6"/>
    <w:rsid w:val="41F45E6E"/>
    <w:rsid w:val="41F76518"/>
    <w:rsid w:val="41F97532"/>
    <w:rsid w:val="41FC6D58"/>
    <w:rsid w:val="42180893"/>
    <w:rsid w:val="421933B2"/>
    <w:rsid w:val="42250C79"/>
    <w:rsid w:val="422E75D1"/>
    <w:rsid w:val="423320EE"/>
    <w:rsid w:val="42333E44"/>
    <w:rsid w:val="42390CF6"/>
    <w:rsid w:val="423E5D9C"/>
    <w:rsid w:val="42463630"/>
    <w:rsid w:val="424C7D1C"/>
    <w:rsid w:val="4251506E"/>
    <w:rsid w:val="425955A6"/>
    <w:rsid w:val="426275EC"/>
    <w:rsid w:val="426C32B4"/>
    <w:rsid w:val="42703746"/>
    <w:rsid w:val="427E5534"/>
    <w:rsid w:val="42824DEF"/>
    <w:rsid w:val="42977B06"/>
    <w:rsid w:val="42A16813"/>
    <w:rsid w:val="42B21FB1"/>
    <w:rsid w:val="42B512D9"/>
    <w:rsid w:val="42BA3ABF"/>
    <w:rsid w:val="42BD2703"/>
    <w:rsid w:val="42D251E4"/>
    <w:rsid w:val="42E83C24"/>
    <w:rsid w:val="42EF51C5"/>
    <w:rsid w:val="42F00D2B"/>
    <w:rsid w:val="42FD34E2"/>
    <w:rsid w:val="42FD6C9C"/>
    <w:rsid w:val="42FD73CE"/>
    <w:rsid w:val="430402F0"/>
    <w:rsid w:val="4318627C"/>
    <w:rsid w:val="432731D8"/>
    <w:rsid w:val="432A5FEB"/>
    <w:rsid w:val="432D09BF"/>
    <w:rsid w:val="43330522"/>
    <w:rsid w:val="43366ABF"/>
    <w:rsid w:val="43385A82"/>
    <w:rsid w:val="43412304"/>
    <w:rsid w:val="43471E55"/>
    <w:rsid w:val="434907D4"/>
    <w:rsid w:val="43657023"/>
    <w:rsid w:val="43735791"/>
    <w:rsid w:val="437B1086"/>
    <w:rsid w:val="437E00E5"/>
    <w:rsid w:val="438356FB"/>
    <w:rsid w:val="4398365B"/>
    <w:rsid w:val="439A5916"/>
    <w:rsid w:val="439D5A8C"/>
    <w:rsid w:val="43AD09C3"/>
    <w:rsid w:val="43AE7E34"/>
    <w:rsid w:val="43B106BE"/>
    <w:rsid w:val="43B12472"/>
    <w:rsid w:val="43B21B3C"/>
    <w:rsid w:val="43B3334C"/>
    <w:rsid w:val="43B33ACE"/>
    <w:rsid w:val="43BA7F34"/>
    <w:rsid w:val="43CC70A2"/>
    <w:rsid w:val="43D04CC8"/>
    <w:rsid w:val="43D146B8"/>
    <w:rsid w:val="43D85A47"/>
    <w:rsid w:val="43DC3C4E"/>
    <w:rsid w:val="43E4263E"/>
    <w:rsid w:val="43E819D5"/>
    <w:rsid w:val="43E87B77"/>
    <w:rsid w:val="43F105A7"/>
    <w:rsid w:val="43FE3154"/>
    <w:rsid w:val="440525B4"/>
    <w:rsid w:val="44066235"/>
    <w:rsid w:val="44087D4D"/>
    <w:rsid w:val="440C577F"/>
    <w:rsid w:val="440E23CF"/>
    <w:rsid w:val="440E76BA"/>
    <w:rsid w:val="442002DC"/>
    <w:rsid w:val="44202F4A"/>
    <w:rsid w:val="44225EF9"/>
    <w:rsid w:val="44245B36"/>
    <w:rsid w:val="442742D8"/>
    <w:rsid w:val="442A7757"/>
    <w:rsid w:val="443164E4"/>
    <w:rsid w:val="443D7C40"/>
    <w:rsid w:val="444822E4"/>
    <w:rsid w:val="444E2612"/>
    <w:rsid w:val="444F6924"/>
    <w:rsid w:val="44513346"/>
    <w:rsid w:val="44534C12"/>
    <w:rsid w:val="445A5783"/>
    <w:rsid w:val="445D419E"/>
    <w:rsid w:val="445F3A72"/>
    <w:rsid w:val="4464604B"/>
    <w:rsid w:val="44660A5A"/>
    <w:rsid w:val="446F51F7"/>
    <w:rsid w:val="44736F3C"/>
    <w:rsid w:val="447A13EF"/>
    <w:rsid w:val="448F5F58"/>
    <w:rsid w:val="44937BC0"/>
    <w:rsid w:val="44A55E4C"/>
    <w:rsid w:val="44AD6AE3"/>
    <w:rsid w:val="44B443D2"/>
    <w:rsid w:val="44C45FCB"/>
    <w:rsid w:val="44C71904"/>
    <w:rsid w:val="44DD1A61"/>
    <w:rsid w:val="44DD4684"/>
    <w:rsid w:val="44DE34EF"/>
    <w:rsid w:val="44E1763D"/>
    <w:rsid w:val="44E236FB"/>
    <w:rsid w:val="44E5119D"/>
    <w:rsid w:val="44F01295"/>
    <w:rsid w:val="44F06DC0"/>
    <w:rsid w:val="44F22B38"/>
    <w:rsid w:val="450C2A2B"/>
    <w:rsid w:val="45216F7A"/>
    <w:rsid w:val="45253F61"/>
    <w:rsid w:val="45280308"/>
    <w:rsid w:val="452E086B"/>
    <w:rsid w:val="45352A25"/>
    <w:rsid w:val="45360D38"/>
    <w:rsid w:val="45395842"/>
    <w:rsid w:val="45467DAC"/>
    <w:rsid w:val="45476B74"/>
    <w:rsid w:val="454D5596"/>
    <w:rsid w:val="454D7D6F"/>
    <w:rsid w:val="45533D78"/>
    <w:rsid w:val="45551C97"/>
    <w:rsid w:val="45561319"/>
    <w:rsid w:val="45596CE6"/>
    <w:rsid w:val="455F7834"/>
    <w:rsid w:val="456357E4"/>
    <w:rsid w:val="45702958"/>
    <w:rsid w:val="45703206"/>
    <w:rsid w:val="45735066"/>
    <w:rsid w:val="45837C34"/>
    <w:rsid w:val="4584578C"/>
    <w:rsid w:val="459534C4"/>
    <w:rsid w:val="45992FB4"/>
    <w:rsid w:val="459A0CB0"/>
    <w:rsid w:val="459C0F8B"/>
    <w:rsid w:val="45A85FD4"/>
    <w:rsid w:val="45B60099"/>
    <w:rsid w:val="45C06792"/>
    <w:rsid w:val="45C15E80"/>
    <w:rsid w:val="45C379DD"/>
    <w:rsid w:val="45CC3978"/>
    <w:rsid w:val="45D60126"/>
    <w:rsid w:val="45D81DE2"/>
    <w:rsid w:val="45DB3F25"/>
    <w:rsid w:val="45E3308C"/>
    <w:rsid w:val="45F91D99"/>
    <w:rsid w:val="46046606"/>
    <w:rsid w:val="460D34BF"/>
    <w:rsid w:val="460E2621"/>
    <w:rsid w:val="46130FB8"/>
    <w:rsid w:val="46135C13"/>
    <w:rsid w:val="46135E5F"/>
    <w:rsid w:val="46192347"/>
    <w:rsid w:val="46245F19"/>
    <w:rsid w:val="46302710"/>
    <w:rsid w:val="464C44CA"/>
    <w:rsid w:val="46517B64"/>
    <w:rsid w:val="4657770F"/>
    <w:rsid w:val="465901DB"/>
    <w:rsid w:val="465E7829"/>
    <w:rsid w:val="46674C86"/>
    <w:rsid w:val="46726A4B"/>
    <w:rsid w:val="46764354"/>
    <w:rsid w:val="468123C6"/>
    <w:rsid w:val="46873616"/>
    <w:rsid w:val="469A6FE4"/>
    <w:rsid w:val="469D4D26"/>
    <w:rsid w:val="46A11BA1"/>
    <w:rsid w:val="46A12ED8"/>
    <w:rsid w:val="46A249D3"/>
    <w:rsid w:val="46AF1D51"/>
    <w:rsid w:val="46B65D3B"/>
    <w:rsid w:val="46B9747D"/>
    <w:rsid w:val="46BB5E6A"/>
    <w:rsid w:val="46C01741"/>
    <w:rsid w:val="46C63F5F"/>
    <w:rsid w:val="46CB726B"/>
    <w:rsid w:val="46E15834"/>
    <w:rsid w:val="46E26BDC"/>
    <w:rsid w:val="47013FD4"/>
    <w:rsid w:val="470E1B08"/>
    <w:rsid w:val="47370CD6"/>
    <w:rsid w:val="47406A81"/>
    <w:rsid w:val="47412E3C"/>
    <w:rsid w:val="474C098E"/>
    <w:rsid w:val="475149C0"/>
    <w:rsid w:val="47525649"/>
    <w:rsid w:val="475278BE"/>
    <w:rsid w:val="47533399"/>
    <w:rsid w:val="475F55E7"/>
    <w:rsid w:val="476A5CE9"/>
    <w:rsid w:val="477535AD"/>
    <w:rsid w:val="478C66EE"/>
    <w:rsid w:val="47941C85"/>
    <w:rsid w:val="479510FE"/>
    <w:rsid w:val="479B1FFF"/>
    <w:rsid w:val="47A324A9"/>
    <w:rsid w:val="47A83982"/>
    <w:rsid w:val="47AA6C4F"/>
    <w:rsid w:val="47B217E8"/>
    <w:rsid w:val="47B71E17"/>
    <w:rsid w:val="47C416D0"/>
    <w:rsid w:val="47CF6706"/>
    <w:rsid w:val="47E80BFD"/>
    <w:rsid w:val="48004C1C"/>
    <w:rsid w:val="4804026A"/>
    <w:rsid w:val="480C2163"/>
    <w:rsid w:val="480C4E2A"/>
    <w:rsid w:val="48362D3C"/>
    <w:rsid w:val="483816B9"/>
    <w:rsid w:val="483945E9"/>
    <w:rsid w:val="48491E66"/>
    <w:rsid w:val="48550919"/>
    <w:rsid w:val="485E20B5"/>
    <w:rsid w:val="48602247"/>
    <w:rsid w:val="48701808"/>
    <w:rsid w:val="4873436A"/>
    <w:rsid w:val="4887759F"/>
    <w:rsid w:val="488B742C"/>
    <w:rsid w:val="489A151D"/>
    <w:rsid w:val="48A57EC2"/>
    <w:rsid w:val="48A65581"/>
    <w:rsid w:val="48A71E8C"/>
    <w:rsid w:val="48AD4952"/>
    <w:rsid w:val="48CC2C63"/>
    <w:rsid w:val="48D367DD"/>
    <w:rsid w:val="48D6451F"/>
    <w:rsid w:val="48E924A4"/>
    <w:rsid w:val="48EC34E7"/>
    <w:rsid w:val="48F40AE1"/>
    <w:rsid w:val="49010BCF"/>
    <w:rsid w:val="490C36D0"/>
    <w:rsid w:val="490F582F"/>
    <w:rsid w:val="49186D5A"/>
    <w:rsid w:val="49282FCC"/>
    <w:rsid w:val="492B6619"/>
    <w:rsid w:val="492F13FF"/>
    <w:rsid w:val="493A7B16"/>
    <w:rsid w:val="493C6198"/>
    <w:rsid w:val="493F41AA"/>
    <w:rsid w:val="49424F51"/>
    <w:rsid w:val="49497F6D"/>
    <w:rsid w:val="49553696"/>
    <w:rsid w:val="4957740E"/>
    <w:rsid w:val="496855CB"/>
    <w:rsid w:val="496B1CD2"/>
    <w:rsid w:val="496E717B"/>
    <w:rsid w:val="4975138C"/>
    <w:rsid w:val="497B63B6"/>
    <w:rsid w:val="49862E84"/>
    <w:rsid w:val="498B0D8F"/>
    <w:rsid w:val="499B0F1A"/>
    <w:rsid w:val="49A81A17"/>
    <w:rsid w:val="49AC4287"/>
    <w:rsid w:val="49AF2F92"/>
    <w:rsid w:val="49C56A6D"/>
    <w:rsid w:val="49CC619C"/>
    <w:rsid w:val="49D7167B"/>
    <w:rsid w:val="49E07403"/>
    <w:rsid w:val="49EB72A5"/>
    <w:rsid w:val="49F74C7F"/>
    <w:rsid w:val="4A0219A2"/>
    <w:rsid w:val="4A067726"/>
    <w:rsid w:val="4A115B30"/>
    <w:rsid w:val="4A1C622A"/>
    <w:rsid w:val="4A253068"/>
    <w:rsid w:val="4A431740"/>
    <w:rsid w:val="4A463AC2"/>
    <w:rsid w:val="4A487750"/>
    <w:rsid w:val="4A49144C"/>
    <w:rsid w:val="4A534079"/>
    <w:rsid w:val="4A58168F"/>
    <w:rsid w:val="4A5B3310"/>
    <w:rsid w:val="4A6A0682"/>
    <w:rsid w:val="4A724F6E"/>
    <w:rsid w:val="4A7B35D0"/>
    <w:rsid w:val="4A7F0F35"/>
    <w:rsid w:val="4A852826"/>
    <w:rsid w:val="4AA14C1E"/>
    <w:rsid w:val="4AC22FAD"/>
    <w:rsid w:val="4AC46D25"/>
    <w:rsid w:val="4ACC294F"/>
    <w:rsid w:val="4AD056CA"/>
    <w:rsid w:val="4AD41439"/>
    <w:rsid w:val="4AE562EB"/>
    <w:rsid w:val="4AE65851"/>
    <w:rsid w:val="4AF00290"/>
    <w:rsid w:val="4AFF5FAF"/>
    <w:rsid w:val="4B010970"/>
    <w:rsid w:val="4B036FB5"/>
    <w:rsid w:val="4B0976E4"/>
    <w:rsid w:val="4B097E8B"/>
    <w:rsid w:val="4B176D02"/>
    <w:rsid w:val="4B1D400B"/>
    <w:rsid w:val="4B1F75EE"/>
    <w:rsid w:val="4B3317A2"/>
    <w:rsid w:val="4B3B68BB"/>
    <w:rsid w:val="4B616322"/>
    <w:rsid w:val="4B641F4A"/>
    <w:rsid w:val="4B734BAC"/>
    <w:rsid w:val="4B8828BE"/>
    <w:rsid w:val="4B9A59A0"/>
    <w:rsid w:val="4B9E364E"/>
    <w:rsid w:val="4B9F32EE"/>
    <w:rsid w:val="4BA70D24"/>
    <w:rsid w:val="4BC15012"/>
    <w:rsid w:val="4BC46988"/>
    <w:rsid w:val="4BCE6F8C"/>
    <w:rsid w:val="4BD905AE"/>
    <w:rsid w:val="4BF05806"/>
    <w:rsid w:val="4BF247B7"/>
    <w:rsid w:val="4C053358"/>
    <w:rsid w:val="4C096F54"/>
    <w:rsid w:val="4C0E78A0"/>
    <w:rsid w:val="4C107C73"/>
    <w:rsid w:val="4C135CC2"/>
    <w:rsid w:val="4C15507D"/>
    <w:rsid w:val="4C1E6689"/>
    <w:rsid w:val="4C231829"/>
    <w:rsid w:val="4C2C2DD4"/>
    <w:rsid w:val="4C2D3232"/>
    <w:rsid w:val="4C2E4861"/>
    <w:rsid w:val="4C39104D"/>
    <w:rsid w:val="4C544350"/>
    <w:rsid w:val="4C5B29F4"/>
    <w:rsid w:val="4C6664C4"/>
    <w:rsid w:val="4C7107E7"/>
    <w:rsid w:val="4C737B9D"/>
    <w:rsid w:val="4C754236"/>
    <w:rsid w:val="4C793B3F"/>
    <w:rsid w:val="4C7B1665"/>
    <w:rsid w:val="4CAF2148"/>
    <w:rsid w:val="4CC57508"/>
    <w:rsid w:val="4CC843CB"/>
    <w:rsid w:val="4CD45705"/>
    <w:rsid w:val="4CDB0356"/>
    <w:rsid w:val="4CE23D45"/>
    <w:rsid w:val="4CE4545C"/>
    <w:rsid w:val="4CEA67EB"/>
    <w:rsid w:val="4CEC2EDA"/>
    <w:rsid w:val="4D083543"/>
    <w:rsid w:val="4D0E2E36"/>
    <w:rsid w:val="4D0E72DC"/>
    <w:rsid w:val="4D143A35"/>
    <w:rsid w:val="4D2659AC"/>
    <w:rsid w:val="4D292630"/>
    <w:rsid w:val="4D302450"/>
    <w:rsid w:val="4D474333"/>
    <w:rsid w:val="4D483F5D"/>
    <w:rsid w:val="4D551EB6"/>
    <w:rsid w:val="4D573E80"/>
    <w:rsid w:val="4D73368C"/>
    <w:rsid w:val="4D7A0FC1"/>
    <w:rsid w:val="4D7F1DE2"/>
    <w:rsid w:val="4D830A05"/>
    <w:rsid w:val="4D8409ED"/>
    <w:rsid w:val="4D8C08F1"/>
    <w:rsid w:val="4D8F5E9D"/>
    <w:rsid w:val="4D950505"/>
    <w:rsid w:val="4D9F48BE"/>
    <w:rsid w:val="4DAC23C5"/>
    <w:rsid w:val="4DB82445"/>
    <w:rsid w:val="4DB87EDF"/>
    <w:rsid w:val="4DBC5E04"/>
    <w:rsid w:val="4DBD2C9B"/>
    <w:rsid w:val="4DBD4F32"/>
    <w:rsid w:val="4DC81785"/>
    <w:rsid w:val="4DC82688"/>
    <w:rsid w:val="4DD50225"/>
    <w:rsid w:val="4DE4323A"/>
    <w:rsid w:val="4DE61FAA"/>
    <w:rsid w:val="4DEC1C08"/>
    <w:rsid w:val="4DF0767C"/>
    <w:rsid w:val="4DFB2056"/>
    <w:rsid w:val="4E0A2082"/>
    <w:rsid w:val="4E157256"/>
    <w:rsid w:val="4E184097"/>
    <w:rsid w:val="4E197388"/>
    <w:rsid w:val="4E2206DF"/>
    <w:rsid w:val="4E3441C2"/>
    <w:rsid w:val="4E3C3FFA"/>
    <w:rsid w:val="4E5201C2"/>
    <w:rsid w:val="4E54216E"/>
    <w:rsid w:val="4E5D32FE"/>
    <w:rsid w:val="4E651C80"/>
    <w:rsid w:val="4E6B219C"/>
    <w:rsid w:val="4E71597E"/>
    <w:rsid w:val="4E7A0615"/>
    <w:rsid w:val="4E7B5D91"/>
    <w:rsid w:val="4E854A1D"/>
    <w:rsid w:val="4E983CD2"/>
    <w:rsid w:val="4E9C6FC6"/>
    <w:rsid w:val="4EA03605"/>
    <w:rsid w:val="4EA70929"/>
    <w:rsid w:val="4EB16CE4"/>
    <w:rsid w:val="4EB87810"/>
    <w:rsid w:val="4EBB3F9B"/>
    <w:rsid w:val="4EC33327"/>
    <w:rsid w:val="4EC76DE4"/>
    <w:rsid w:val="4EC92B5C"/>
    <w:rsid w:val="4EED5884"/>
    <w:rsid w:val="4EFA0F67"/>
    <w:rsid w:val="4EFE0558"/>
    <w:rsid w:val="4F003513"/>
    <w:rsid w:val="4F1E55EE"/>
    <w:rsid w:val="4F1E5BD6"/>
    <w:rsid w:val="4F22401A"/>
    <w:rsid w:val="4F2A7373"/>
    <w:rsid w:val="4F363E35"/>
    <w:rsid w:val="4F416B96"/>
    <w:rsid w:val="4F4A642F"/>
    <w:rsid w:val="4F4F4258"/>
    <w:rsid w:val="4F507127"/>
    <w:rsid w:val="4F5360DD"/>
    <w:rsid w:val="4F537ED5"/>
    <w:rsid w:val="4F590F8F"/>
    <w:rsid w:val="4F5F7E33"/>
    <w:rsid w:val="4F672375"/>
    <w:rsid w:val="4F69142C"/>
    <w:rsid w:val="4F6B3C13"/>
    <w:rsid w:val="4F6D1C5E"/>
    <w:rsid w:val="4F732AC8"/>
    <w:rsid w:val="4F786330"/>
    <w:rsid w:val="4F7D1842"/>
    <w:rsid w:val="4F8E16AF"/>
    <w:rsid w:val="4F903CA9"/>
    <w:rsid w:val="4FA24959"/>
    <w:rsid w:val="4FAA3E24"/>
    <w:rsid w:val="4FAE1D52"/>
    <w:rsid w:val="4FBA1974"/>
    <w:rsid w:val="4FBC436E"/>
    <w:rsid w:val="4FBC446F"/>
    <w:rsid w:val="4FBE795C"/>
    <w:rsid w:val="4FD814BB"/>
    <w:rsid w:val="4FF63140"/>
    <w:rsid w:val="4FF91A34"/>
    <w:rsid w:val="50165683"/>
    <w:rsid w:val="50175B49"/>
    <w:rsid w:val="50197E89"/>
    <w:rsid w:val="50222E67"/>
    <w:rsid w:val="503A35E5"/>
    <w:rsid w:val="50450DD2"/>
    <w:rsid w:val="504F35F9"/>
    <w:rsid w:val="505D05D6"/>
    <w:rsid w:val="506B7C43"/>
    <w:rsid w:val="50746AF7"/>
    <w:rsid w:val="5076183F"/>
    <w:rsid w:val="50850D04"/>
    <w:rsid w:val="508F6981"/>
    <w:rsid w:val="50960089"/>
    <w:rsid w:val="5096417A"/>
    <w:rsid w:val="50AF73BF"/>
    <w:rsid w:val="50C51101"/>
    <w:rsid w:val="50C57EFC"/>
    <w:rsid w:val="50CC43C0"/>
    <w:rsid w:val="50E84DEF"/>
    <w:rsid w:val="50EE1310"/>
    <w:rsid w:val="50F27390"/>
    <w:rsid w:val="50FD6E91"/>
    <w:rsid w:val="5103413D"/>
    <w:rsid w:val="510A4476"/>
    <w:rsid w:val="51147C74"/>
    <w:rsid w:val="5115739F"/>
    <w:rsid w:val="51181B78"/>
    <w:rsid w:val="51184597"/>
    <w:rsid w:val="51275860"/>
    <w:rsid w:val="513777FC"/>
    <w:rsid w:val="51454E60"/>
    <w:rsid w:val="514E7348"/>
    <w:rsid w:val="5153074C"/>
    <w:rsid w:val="515C37CB"/>
    <w:rsid w:val="51684EF0"/>
    <w:rsid w:val="51713358"/>
    <w:rsid w:val="517146C3"/>
    <w:rsid w:val="51764728"/>
    <w:rsid w:val="518641C1"/>
    <w:rsid w:val="518B5BE8"/>
    <w:rsid w:val="518E5456"/>
    <w:rsid w:val="519147F7"/>
    <w:rsid w:val="51931383"/>
    <w:rsid w:val="51AC287F"/>
    <w:rsid w:val="51C9038A"/>
    <w:rsid w:val="51CF300B"/>
    <w:rsid w:val="51D95D46"/>
    <w:rsid w:val="52036385"/>
    <w:rsid w:val="5209326F"/>
    <w:rsid w:val="52104716"/>
    <w:rsid w:val="52126D35"/>
    <w:rsid w:val="52151B74"/>
    <w:rsid w:val="522F55F9"/>
    <w:rsid w:val="52347B49"/>
    <w:rsid w:val="523D2F69"/>
    <w:rsid w:val="525070F0"/>
    <w:rsid w:val="5253098E"/>
    <w:rsid w:val="526069A5"/>
    <w:rsid w:val="52612A1C"/>
    <w:rsid w:val="5264494A"/>
    <w:rsid w:val="5267152E"/>
    <w:rsid w:val="526D2AD8"/>
    <w:rsid w:val="5271222B"/>
    <w:rsid w:val="52772240"/>
    <w:rsid w:val="5278036F"/>
    <w:rsid w:val="528D20F2"/>
    <w:rsid w:val="52936A4F"/>
    <w:rsid w:val="52995DCF"/>
    <w:rsid w:val="52AC1880"/>
    <w:rsid w:val="52AE3D04"/>
    <w:rsid w:val="52B92EE7"/>
    <w:rsid w:val="52C12807"/>
    <w:rsid w:val="52CF3B4C"/>
    <w:rsid w:val="52E474CD"/>
    <w:rsid w:val="52F61813"/>
    <w:rsid w:val="52F6365C"/>
    <w:rsid w:val="52F64684"/>
    <w:rsid w:val="530538E5"/>
    <w:rsid w:val="532A16EF"/>
    <w:rsid w:val="533306FA"/>
    <w:rsid w:val="53392C1F"/>
    <w:rsid w:val="535B4311"/>
    <w:rsid w:val="53733096"/>
    <w:rsid w:val="53764529"/>
    <w:rsid w:val="539D193A"/>
    <w:rsid w:val="53AC65A8"/>
    <w:rsid w:val="53B073F0"/>
    <w:rsid w:val="53BD2563"/>
    <w:rsid w:val="53C05EC1"/>
    <w:rsid w:val="53C43780"/>
    <w:rsid w:val="53D77AC9"/>
    <w:rsid w:val="53D8739D"/>
    <w:rsid w:val="53DB1D84"/>
    <w:rsid w:val="53E105D8"/>
    <w:rsid w:val="53E2021C"/>
    <w:rsid w:val="53F92B26"/>
    <w:rsid w:val="53FB31B8"/>
    <w:rsid w:val="54037F1F"/>
    <w:rsid w:val="54120BB1"/>
    <w:rsid w:val="541C0062"/>
    <w:rsid w:val="54215874"/>
    <w:rsid w:val="54252840"/>
    <w:rsid w:val="5425631E"/>
    <w:rsid w:val="5429409D"/>
    <w:rsid w:val="543B55F1"/>
    <w:rsid w:val="543E2344"/>
    <w:rsid w:val="543E7436"/>
    <w:rsid w:val="54482775"/>
    <w:rsid w:val="545A4256"/>
    <w:rsid w:val="546E0F1E"/>
    <w:rsid w:val="54700F99"/>
    <w:rsid w:val="54880DC3"/>
    <w:rsid w:val="549928C9"/>
    <w:rsid w:val="54A75AF4"/>
    <w:rsid w:val="54BB2D6C"/>
    <w:rsid w:val="54DE09E3"/>
    <w:rsid w:val="54E81314"/>
    <w:rsid w:val="54F226E1"/>
    <w:rsid w:val="54F35AF2"/>
    <w:rsid w:val="54FB0815"/>
    <w:rsid w:val="550E2415"/>
    <w:rsid w:val="551F1C27"/>
    <w:rsid w:val="552719D8"/>
    <w:rsid w:val="552C5BF2"/>
    <w:rsid w:val="552D196B"/>
    <w:rsid w:val="553E227F"/>
    <w:rsid w:val="554C5F67"/>
    <w:rsid w:val="55602E38"/>
    <w:rsid w:val="556A0985"/>
    <w:rsid w:val="55747300"/>
    <w:rsid w:val="5575088F"/>
    <w:rsid w:val="55756A34"/>
    <w:rsid w:val="557650C0"/>
    <w:rsid w:val="55907B38"/>
    <w:rsid w:val="55A439DB"/>
    <w:rsid w:val="55AA648C"/>
    <w:rsid w:val="55B702B1"/>
    <w:rsid w:val="55B76F90"/>
    <w:rsid w:val="55BB03A1"/>
    <w:rsid w:val="55DB652E"/>
    <w:rsid w:val="55EB160A"/>
    <w:rsid w:val="55F54C6E"/>
    <w:rsid w:val="55F81F79"/>
    <w:rsid w:val="55FA7668"/>
    <w:rsid w:val="560B1CAC"/>
    <w:rsid w:val="56106357"/>
    <w:rsid w:val="56134310"/>
    <w:rsid w:val="562A1F30"/>
    <w:rsid w:val="56304878"/>
    <w:rsid w:val="56352885"/>
    <w:rsid w:val="564910FE"/>
    <w:rsid w:val="564B02FA"/>
    <w:rsid w:val="565A678F"/>
    <w:rsid w:val="566632BF"/>
    <w:rsid w:val="56664848"/>
    <w:rsid w:val="566F6EB9"/>
    <w:rsid w:val="56702B9F"/>
    <w:rsid w:val="56712CC7"/>
    <w:rsid w:val="567322B3"/>
    <w:rsid w:val="56763CFB"/>
    <w:rsid w:val="568F0ADE"/>
    <w:rsid w:val="569021B1"/>
    <w:rsid w:val="56AD0C4E"/>
    <w:rsid w:val="56B0015D"/>
    <w:rsid w:val="56B22127"/>
    <w:rsid w:val="56B345D6"/>
    <w:rsid w:val="56C8065B"/>
    <w:rsid w:val="56CD0D0F"/>
    <w:rsid w:val="56E513C4"/>
    <w:rsid w:val="56ED13B1"/>
    <w:rsid w:val="56ED6D29"/>
    <w:rsid w:val="570A3D11"/>
    <w:rsid w:val="570D3802"/>
    <w:rsid w:val="571542E8"/>
    <w:rsid w:val="571B7CCD"/>
    <w:rsid w:val="571E5796"/>
    <w:rsid w:val="572428B3"/>
    <w:rsid w:val="57244677"/>
    <w:rsid w:val="572B3C88"/>
    <w:rsid w:val="574710DA"/>
    <w:rsid w:val="574A2360"/>
    <w:rsid w:val="575D6AB9"/>
    <w:rsid w:val="575F5238"/>
    <w:rsid w:val="576A5CB9"/>
    <w:rsid w:val="576D42A0"/>
    <w:rsid w:val="5777497E"/>
    <w:rsid w:val="57787C57"/>
    <w:rsid w:val="57833AC4"/>
    <w:rsid w:val="57856D3E"/>
    <w:rsid w:val="578A30A4"/>
    <w:rsid w:val="5790004E"/>
    <w:rsid w:val="57951B52"/>
    <w:rsid w:val="579E4741"/>
    <w:rsid w:val="57A557E8"/>
    <w:rsid w:val="57AA473A"/>
    <w:rsid w:val="57B6119C"/>
    <w:rsid w:val="57BD2949"/>
    <w:rsid w:val="57CA34A1"/>
    <w:rsid w:val="57CE10A0"/>
    <w:rsid w:val="57CF7ADF"/>
    <w:rsid w:val="57E722A5"/>
    <w:rsid w:val="57EA2864"/>
    <w:rsid w:val="57EB62FC"/>
    <w:rsid w:val="58024AF8"/>
    <w:rsid w:val="58100546"/>
    <w:rsid w:val="58141314"/>
    <w:rsid w:val="581445F7"/>
    <w:rsid w:val="58164938"/>
    <w:rsid w:val="58235280"/>
    <w:rsid w:val="582C7CB7"/>
    <w:rsid w:val="5836101A"/>
    <w:rsid w:val="583A7788"/>
    <w:rsid w:val="583C580F"/>
    <w:rsid w:val="584229C1"/>
    <w:rsid w:val="58551DD2"/>
    <w:rsid w:val="58690F0C"/>
    <w:rsid w:val="587C56A4"/>
    <w:rsid w:val="58814E3A"/>
    <w:rsid w:val="5889510A"/>
    <w:rsid w:val="58913FBE"/>
    <w:rsid w:val="58A341CE"/>
    <w:rsid w:val="58A94319"/>
    <w:rsid w:val="58AC4254"/>
    <w:rsid w:val="58B10661"/>
    <w:rsid w:val="58B712E0"/>
    <w:rsid w:val="58BD785A"/>
    <w:rsid w:val="58CD3249"/>
    <w:rsid w:val="58F61F8A"/>
    <w:rsid w:val="58FA1B64"/>
    <w:rsid w:val="590E0710"/>
    <w:rsid w:val="59181D42"/>
    <w:rsid w:val="591C5F7E"/>
    <w:rsid w:val="592B7F6F"/>
    <w:rsid w:val="592F0C47"/>
    <w:rsid w:val="5936079E"/>
    <w:rsid w:val="59363CD9"/>
    <w:rsid w:val="593D5060"/>
    <w:rsid w:val="59601568"/>
    <w:rsid w:val="5969180A"/>
    <w:rsid w:val="59873909"/>
    <w:rsid w:val="59975605"/>
    <w:rsid w:val="59A55F73"/>
    <w:rsid w:val="59A9183C"/>
    <w:rsid w:val="59B63CDD"/>
    <w:rsid w:val="59B71876"/>
    <w:rsid w:val="59B97053"/>
    <w:rsid w:val="59C7379E"/>
    <w:rsid w:val="59D262F4"/>
    <w:rsid w:val="59D86A81"/>
    <w:rsid w:val="59D979CB"/>
    <w:rsid w:val="59DB4AD0"/>
    <w:rsid w:val="59DF76D7"/>
    <w:rsid w:val="59E02A73"/>
    <w:rsid w:val="59E0732E"/>
    <w:rsid w:val="59EE18EE"/>
    <w:rsid w:val="59F36D13"/>
    <w:rsid w:val="5A084809"/>
    <w:rsid w:val="5A0B1D36"/>
    <w:rsid w:val="5A1A0FFC"/>
    <w:rsid w:val="5A2C06BF"/>
    <w:rsid w:val="5A303B07"/>
    <w:rsid w:val="5A3453AC"/>
    <w:rsid w:val="5A39009D"/>
    <w:rsid w:val="5A457E3E"/>
    <w:rsid w:val="5A4620CF"/>
    <w:rsid w:val="5A5410D3"/>
    <w:rsid w:val="5A6255EF"/>
    <w:rsid w:val="5A63711B"/>
    <w:rsid w:val="5A6B7496"/>
    <w:rsid w:val="5A7575EB"/>
    <w:rsid w:val="5A767910"/>
    <w:rsid w:val="5A772135"/>
    <w:rsid w:val="5A7A7C16"/>
    <w:rsid w:val="5A7C4F26"/>
    <w:rsid w:val="5A832CF2"/>
    <w:rsid w:val="5A8662A0"/>
    <w:rsid w:val="5A891143"/>
    <w:rsid w:val="5A9467BF"/>
    <w:rsid w:val="5A9A084D"/>
    <w:rsid w:val="5AA241CA"/>
    <w:rsid w:val="5AA24EF7"/>
    <w:rsid w:val="5AA9503D"/>
    <w:rsid w:val="5AB26B9A"/>
    <w:rsid w:val="5AB35FCD"/>
    <w:rsid w:val="5AB750BE"/>
    <w:rsid w:val="5AC36CC2"/>
    <w:rsid w:val="5AC510D8"/>
    <w:rsid w:val="5AD66B9F"/>
    <w:rsid w:val="5AED76EB"/>
    <w:rsid w:val="5B075410"/>
    <w:rsid w:val="5B0855D8"/>
    <w:rsid w:val="5B0E18F6"/>
    <w:rsid w:val="5B0F5D9A"/>
    <w:rsid w:val="5B140BC7"/>
    <w:rsid w:val="5B24176F"/>
    <w:rsid w:val="5B242EC8"/>
    <w:rsid w:val="5B2B06FA"/>
    <w:rsid w:val="5B2B0F5E"/>
    <w:rsid w:val="5B3E50EE"/>
    <w:rsid w:val="5B487F38"/>
    <w:rsid w:val="5B513ACF"/>
    <w:rsid w:val="5B51738B"/>
    <w:rsid w:val="5B5B5CCB"/>
    <w:rsid w:val="5B6065F6"/>
    <w:rsid w:val="5B7027AC"/>
    <w:rsid w:val="5B78498E"/>
    <w:rsid w:val="5B7B536D"/>
    <w:rsid w:val="5B7E4CCE"/>
    <w:rsid w:val="5B834695"/>
    <w:rsid w:val="5B836631"/>
    <w:rsid w:val="5B856138"/>
    <w:rsid w:val="5BA15F7C"/>
    <w:rsid w:val="5BAE3F0A"/>
    <w:rsid w:val="5BB91E87"/>
    <w:rsid w:val="5BB93C16"/>
    <w:rsid w:val="5BBB7B86"/>
    <w:rsid w:val="5BC86AAC"/>
    <w:rsid w:val="5BD213EF"/>
    <w:rsid w:val="5BDC19F5"/>
    <w:rsid w:val="5BDC6E16"/>
    <w:rsid w:val="5BE5290D"/>
    <w:rsid w:val="5C0F7DF3"/>
    <w:rsid w:val="5C157696"/>
    <w:rsid w:val="5C1E3198"/>
    <w:rsid w:val="5C207B33"/>
    <w:rsid w:val="5C214C43"/>
    <w:rsid w:val="5C243D06"/>
    <w:rsid w:val="5C2C244B"/>
    <w:rsid w:val="5C311D40"/>
    <w:rsid w:val="5C351E5B"/>
    <w:rsid w:val="5C3830CF"/>
    <w:rsid w:val="5C545819"/>
    <w:rsid w:val="5C5767DC"/>
    <w:rsid w:val="5C5938EE"/>
    <w:rsid w:val="5C5D0D87"/>
    <w:rsid w:val="5C5F173A"/>
    <w:rsid w:val="5C67190A"/>
    <w:rsid w:val="5C682686"/>
    <w:rsid w:val="5C693288"/>
    <w:rsid w:val="5C700ABB"/>
    <w:rsid w:val="5C764F9A"/>
    <w:rsid w:val="5C7B22F5"/>
    <w:rsid w:val="5C853E3A"/>
    <w:rsid w:val="5C8833E1"/>
    <w:rsid w:val="5C89392A"/>
    <w:rsid w:val="5C9A1694"/>
    <w:rsid w:val="5C9C6988"/>
    <w:rsid w:val="5CA86C63"/>
    <w:rsid w:val="5CCD62C0"/>
    <w:rsid w:val="5CD74519"/>
    <w:rsid w:val="5CD8173B"/>
    <w:rsid w:val="5CE648D9"/>
    <w:rsid w:val="5CF33A3E"/>
    <w:rsid w:val="5CF52D6E"/>
    <w:rsid w:val="5D017F66"/>
    <w:rsid w:val="5D027239"/>
    <w:rsid w:val="5D07069B"/>
    <w:rsid w:val="5D0B24BC"/>
    <w:rsid w:val="5D1436AA"/>
    <w:rsid w:val="5D164BB5"/>
    <w:rsid w:val="5D283C2E"/>
    <w:rsid w:val="5D2C3602"/>
    <w:rsid w:val="5D406B15"/>
    <w:rsid w:val="5D4E247E"/>
    <w:rsid w:val="5D504585"/>
    <w:rsid w:val="5D55776D"/>
    <w:rsid w:val="5D5952D4"/>
    <w:rsid w:val="5D62693C"/>
    <w:rsid w:val="5D653AB3"/>
    <w:rsid w:val="5D724364"/>
    <w:rsid w:val="5D861BC2"/>
    <w:rsid w:val="5D8714E2"/>
    <w:rsid w:val="5D8D1144"/>
    <w:rsid w:val="5D9B1B67"/>
    <w:rsid w:val="5DA633DF"/>
    <w:rsid w:val="5DA64068"/>
    <w:rsid w:val="5DAF73C1"/>
    <w:rsid w:val="5DC765FF"/>
    <w:rsid w:val="5DD903D2"/>
    <w:rsid w:val="5DEA39C9"/>
    <w:rsid w:val="5DEC4171"/>
    <w:rsid w:val="5DED7262"/>
    <w:rsid w:val="5DFB2606"/>
    <w:rsid w:val="5E006086"/>
    <w:rsid w:val="5E02473D"/>
    <w:rsid w:val="5E08087F"/>
    <w:rsid w:val="5E1F11DF"/>
    <w:rsid w:val="5E23390B"/>
    <w:rsid w:val="5E251431"/>
    <w:rsid w:val="5E410DF4"/>
    <w:rsid w:val="5E437855"/>
    <w:rsid w:val="5E4C36AA"/>
    <w:rsid w:val="5E5E3CED"/>
    <w:rsid w:val="5E663377"/>
    <w:rsid w:val="5E6A778C"/>
    <w:rsid w:val="5E736640"/>
    <w:rsid w:val="5E813A2D"/>
    <w:rsid w:val="5E9D190F"/>
    <w:rsid w:val="5EA42C9D"/>
    <w:rsid w:val="5EAC56AE"/>
    <w:rsid w:val="5EAF1BD8"/>
    <w:rsid w:val="5EBE7343"/>
    <w:rsid w:val="5EC606AC"/>
    <w:rsid w:val="5EC66644"/>
    <w:rsid w:val="5ECA3D86"/>
    <w:rsid w:val="5EE24701"/>
    <w:rsid w:val="5EE4112F"/>
    <w:rsid w:val="5EEC72EF"/>
    <w:rsid w:val="5EF23378"/>
    <w:rsid w:val="5EF23618"/>
    <w:rsid w:val="5EF534F9"/>
    <w:rsid w:val="5EF657E1"/>
    <w:rsid w:val="5F013C4C"/>
    <w:rsid w:val="5F0C5D20"/>
    <w:rsid w:val="5F131F40"/>
    <w:rsid w:val="5F1B56B7"/>
    <w:rsid w:val="5F1F15E1"/>
    <w:rsid w:val="5F265461"/>
    <w:rsid w:val="5F2D102F"/>
    <w:rsid w:val="5F3A7F04"/>
    <w:rsid w:val="5F3E6C4E"/>
    <w:rsid w:val="5F4C0C3F"/>
    <w:rsid w:val="5F56340E"/>
    <w:rsid w:val="5F5C5326"/>
    <w:rsid w:val="5F5C70D4"/>
    <w:rsid w:val="5F730383"/>
    <w:rsid w:val="5F7E4FCF"/>
    <w:rsid w:val="5F9079D3"/>
    <w:rsid w:val="5F987DA5"/>
    <w:rsid w:val="5F9C5723"/>
    <w:rsid w:val="5FA8421C"/>
    <w:rsid w:val="5FB07420"/>
    <w:rsid w:val="5FBE6BA1"/>
    <w:rsid w:val="5FC30D8D"/>
    <w:rsid w:val="5FC52ECB"/>
    <w:rsid w:val="5FCB4A2C"/>
    <w:rsid w:val="5FD50C35"/>
    <w:rsid w:val="5FDE017C"/>
    <w:rsid w:val="5FE4112F"/>
    <w:rsid w:val="5FE60A39"/>
    <w:rsid w:val="5FE83983"/>
    <w:rsid w:val="5FFE3FFC"/>
    <w:rsid w:val="6014221E"/>
    <w:rsid w:val="60174CA1"/>
    <w:rsid w:val="6022315E"/>
    <w:rsid w:val="60435B1B"/>
    <w:rsid w:val="60486EE9"/>
    <w:rsid w:val="605B3830"/>
    <w:rsid w:val="605D712F"/>
    <w:rsid w:val="606C0651"/>
    <w:rsid w:val="607521FC"/>
    <w:rsid w:val="60797C86"/>
    <w:rsid w:val="60814396"/>
    <w:rsid w:val="60820189"/>
    <w:rsid w:val="60823A72"/>
    <w:rsid w:val="608E4C42"/>
    <w:rsid w:val="6098536C"/>
    <w:rsid w:val="60CF3E73"/>
    <w:rsid w:val="60D332C1"/>
    <w:rsid w:val="60E107A2"/>
    <w:rsid w:val="60E26EB9"/>
    <w:rsid w:val="60E5134B"/>
    <w:rsid w:val="60F11A9E"/>
    <w:rsid w:val="60FE0D20"/>
    <w:rsid w:val="6108344D"/>
    <w:rsid w:val="610A74D7"/>
    <w:rsid w:val="610B7004"/>
    <w:rsid w:val="610E08A2"/>
    <w:rsid w:val="611156AB"/>
    <w:rsid w:val="611761FE"/>
    <w:rsid w:val="611D09DC"/>
    <w:rsid w:val="612B03D7"/>
    <w:rsid w:val="612D39AE"/>
    <w:rsid w:val="61384404"/>
    <w:rsid w:val="61393013"/>
    <w:rsid w:val="613B1DF3"/>
    <w:rsid w:val="61453B98"/>
    <w:rsid w:val="61464C6D"/>
    <w:rsid w:val="614B2E10"/>
    <w:rsid w:val="61522BD9"/>
    <w:rsid w:val="615A005F"/>
    <w:rsid w:val="61712DFD"/>
    <w:rsid w:val="6175447D"/>
    <w:rsid w:val="619078EB"/>
    <w:rsid w:val="619568CD"/>
    <w:rsid w:val="61972646"/>
    <w:rsid w:val="61AF5431"/>
    <w:rsid w:val="61B054B5"/>
    <w:rsid w:val="61B37A60"/>
    <w:rsid w:val="61C12A4A"/>
    <w:rsid w:val="61CA3822"/>
    <w:rsid w:val="61D33AAA"/>
    <w:rsid w:val="61D86673"/>
    <w:rsid w:val="61D8675C"/>
    <w:rsid w:val="61E67129"/>
    <w:rsid w:val="61F30097"/>
    <w:rsid w:val="61F62BC1"/>
    <w:rsid w:val="61FF55EA"/>
    <w:rsid w:val="620327A0"/>
    <w:rsid w:val="62063BE5"/>
    <w:rsid w:val="620E74E6"/>
    <w:rsid w:val="621920D2"/>
    <w:rsid w:val="62247810"/>
    <w:rsid w:val="6227192F"/>
    <w:rsid w:val="62373E29"/>
    <w:rsid w:val="62381D36"/>
    <w:rsid w:val="62402D30"/>
    <w:rsid w:val="62436329"/>
    <w:rsid w:val="6246704D"/>
    <w:rsid w:val="626824D5"/>
    <w:rsid w:val="629959DA"/>
    <w:rsid w:val="62B15989"/>
    <w:rsid w:val="62B51D3D"/>
    <w:rsid w:val="62BC712F"/>
    <w:rsid w:val="62C72269"/>
    <w:rsid w:val="62C76F5B"/>
    <w:rsid w:val="62D2542C"/>
    <w:rsid w:val="62DB1DE7"/>
    <w:rsid w:val="62DB55DA"/>
    <w:rsid w:val="62DD677E"/>
    <w:rsid w:val="62E05593"/>
    <w:rsid w:val="62EC77CE"/>
    <w:rsid w:val="62EF6654"/>
    <w:rsid w:val="62F27D53"/>
    <w:rsid w:val="62F339EF"/>
    <w:rsid w:val="62F42CEE"/>
    <w:rsid w:val="6303741A"/>
    <w:rsid w:val="63063EC2"/>
    <w:rsid w:val="63075A6C"/>
    <w:rsid w:val="630C0A45"/>
    <w:rsid w:val="630F26B0"/>
    <w:rsid w:val="631B1054"/>
    <w:rsid w:val="632040B0"/>
    <w:rsid w:val="63212B0F"/>
    <w:rsid w:val="63224191"/>
    <w:rsid w:val="6324615B"/>
    <w:rsid w:val="6327473F"/>
    <w:rsid w:val="6328453E"/>
    <w:rsid w:val="63284E47"/>
    <w:rsid w:val="632F68AE"/>
    <w:rsid w:val="63414F5F"/>
    <w:rsid w:val="63442359"/>
    <w:rsid w:val="634B7B8C"/>
    <w:rsid w:val="634E4F86"/>
    <w:rsid w:val="63500CFE"/>
    <w:rsid w:val="635051A2"/>
    <w:rsid w:val="63634ACF"/>
    <w:rsid w:val="6370454A"/>
    <w:rsid w:val="637367DB"/>
    <w:rsid w:val="637716C5"/>
    <w:rsid w:val="637E2742"/>
    <w:rsid w:val="63850A1A"/>
    <w:rsid w:val="639F7736"/>
    <w:rsid w:val="63B240E4"/>
    <w:rsid w:val="63B51331"/>
    <w:rsid w:val="63C8749A"/>
    <w:rsid w:val="63EB0A27"/>
    <w:rsid w:val="63EB3499"/>
    <w:rsid w:val="63F82CE2"/>
    <w:rsid w:val="63FC71BB"/>
    <w:rsid w:val="64115A56"/>
    <w:rsid w:val="64163529"/>
    <w:rsid w:val="6417059F"/>
    <w:rsid w:val="641A130C"/>
    <w:rsid w:val="64216B3E"/>
    <w:rsid w:val="642A59F3"/>
    <w:rsid w:val="64356146"/>
    <w:rsid w:val="6438256E"/>
    <w:rsid w:val="64453DCD"/>
    <w:rsid w:val="644D21F1"/>
    <w:rsid w:val="64552344"/>
    <w:rsid w:val="64573C01"/>
    <w:rsid w:val="646C47B4"/>
    <w:rsid w:val="64813139"/>
    <w:rsid w:val="64882719"/>
    <w:rsid w:val="648F51C1"/>
    <w:rsid w:val="64C33371"/>
    <w:rsid w:val="64CA4AE0"/>
    <w:rsid w:val="64CF2CAC"/>
    <w:rsid w:val="64E21E2A"/>
    <w:rsid w:val="64E90D5C"/>
    <w:rsid w:val="64F16B42"/>
    <w:rsid w:val="64F64E1E"/>
    <w:rsid w:val="65155B50"/>
    <w:rsid w:val="6516756C"/>
    <w:rsid w:val="651C2C15"/>
    <w:rsid w:val="65207517"/>
    <w:rsid w:val="652D32B2"/>
    <w:rsid w:val="652E32C1"/>
    <w:rsid w:val="65311667"/>
    <w:rsid w:val="6532710A"/>
    <w:rsid w:val="65333AF7"/>
    <w:rsid w:val="653A1C66"/>
    <w:rsid w:val="65525D3F"/>
    <w:rsid w:val="65543B27"/>
    <w:rsid w:val="655D1190"/>
    <w:rsid w:val="655F5481"/>
    <w:rsid w:val="656B0071"/>
    <w:rsid w:val="656B62C3"/>
    <w:rsid w:val="65774AEF"/>
    <w:rsid w:val="657B402C"/>
    <w:rsid w:val="65841FF3"/>
    <w:rsid w:val="65853035"/>
    <w:rsid w:val="6595448C"/>
    <w:rsid w:val="6596271A"/>
    <w:rsid w:val="65A2780B"/>
    <w:rsid w:val="65A840EC"/>
    <w:rsid w:val="65A9003F"/>
    <w:rsid w:val="65D75DB4"/>
    <w:rsid w:val="65E120E1"/>
    <w:rsid w:val="65E762A0"/>
    <w:rsid w:val="65FB510C"/>
    <w:rsid w:val="65FD0C85"/>
    <w:rsid w:val="66091638"/>
    <w:rsid w:val="661F2121"/>
    <w:rsid w:val="66225477"/>
    <w:rsid w:val="6624460D"/>
    <w:rsid w:val="662F72F1"/>
    <w:rsid w:val="66387226"/>
    <w:rsid w:val="6655053F"/>
    <w:rsid w:val="665F2363"/>
    <w:rsid w:val="66645656"/>
    <w:rsid w:val="66753BB7"/>
    <w:rsid w:val="66A43797"/>
    <w:rsid w:val="66B62E46"/>
    <w:rsid w:val="66B842E1"/>
    <w:rsid w:val="66C702D7"/>
    <w:rsid w:val="66CD64BE"/>
    <w:rsid w:val="66CF7B5B"/>
    <w:rsid w:val="66D439F4"/>
    <w:rsid w:val="66D77332"/>
    <w:rsid w:val="66E26E7C"/>
    <w:rsid w:val="66E64DE3"/>
    <w:rsid w:val="66E76E3A"/>
    <w:rsid w:val="66F531E4"/>
    <w:rsid w:val="66F81333"/>
    <w:rsid w:val="66F955D8"/>
    <w:rsid w:val="670267B3"/>
    <w:rsid w:val="6703252B"/>
    <w:rsid w:val="670D3579"/>
    <w:rsid w:val="67160427"/>
    <w:rsid w:val="671E3A06"/>
    <w:rsid w:val="672A6B6F"/>
    <w:rsid w:val="67337BD3"/>
    <w:rsid w:val="673607F7"/>
    <w:rsid w:val="67382070"/>
    <w:rsid w:val="673A1869"/>
    <w:rsid w:val="673F6A38"/>
    <w:rsid w:val="674E0F35"/>
    <w:rsid w:val="674F751F"/>
    <w:rsid w:val="67541762"/>
    <w:rsid w:val="675F6AA9"/>
    <w:rsid w:val="6760263B"/>
    <w:rsid w:val="67685AAA"/>
    <w:rsid w:val="676A4358"/>
    <w:rsid w:val="67714454"/>
    <w:rsid w:val="67753F04"/>
    <w:rsid w:val="67850D53"/>
    <w:rsid w:val="678910AD"/>
    <w:rsid w:val="679062A8"/>
    <w:rsid w:val="67941CD9"/>
    <w:rsid w:val="67957627"/>
    <w:rsid w:val="67960D6F"/>
    <w:rsid w:val="67C30E23"/>
    <w:rsid w:val="67CA4DF7"/>
    <w:rsid w:val="67CE732F"/>
    <w:rsid w:val="67E20522"/>
    <w:rsid w:val="67EA1AD0"/>
    <w:rsid w:val="67FA6354"/>
    <w:rsid w:val="680B7847"/>
    <w:rsid w:val="68200A8B"/>
    <w:rsid w:val="6826090E"/>
    <w:rsid w:val="683E723F"/>
    <w:rsid w:val="684626D0"/>
    <w:rsid w:val="685011A3"/>
    <w:rsid w:val="68511574"/>
    <w:rsid w:val="685A43CD"/>
    <w:rsid w:val="685B3AEB"/>
    <w:rsid w:val="685D1202"/>
    <w:rsid w:val="68633E7C"/>
    <w:rsid w:val="68640422"/>
    <w:rsid w:val="68826B64"/>
    <w:rsid w:val="68920A52"/>
    <w:rsid w:val="689E42BA"/>
    <w:rsid w:val="68A71A23"/>
    <w:rsid w:val="68A90854"/>
    <w:rsid w:val="68BE36F5"/>
    <w:rsid w:val="68CB020A"/>
    <w:rsid w:val="68CD3317"/>
    <w:rsid w:val="68CF4DBB"/>
    <w:rsid w:val="68DD6EC2"/>
    <w:rsid w:val="68EE5135"/>
    <w:rsid w:val="68F346E7"/>
    <w:rsid w:val="68F40280"/>
    <w:rsid w:val="68FA4198"/>
    <w:rsid w:val="6903445C"/>
    <w:rsid w:val="69097A5D"/>
    <w:rsid w:val="691C1682"/>
    <w:rsid w:val="69274744"/>
    <w:rsid w:val="694620F5"/>
    <w:rsid w:val="694A62AD"/>
    <w:rsid w:val="695452C0"/>
    <w:rsid w:val="6965739F"/>
    <w:rsid w:val="69687CB8"/>
    <w:rsid w:val="696B1659"/>
    <w:rsid w:val="69811D98"/>
    <w:rsid w:val="69826161"/>
    <w:rsid w:val="69881DEB"/>
    <w:rsid w:val="69887F40"/>
    <w:rsid w:val="698F00A6"/>
    <w:rsid w:val="6997012A"/>
    <w:rsid w:val="69971724"/>
    <w:rsid w:val="699B547D"/>
    <w:rsid w:val="699E63D3"/>
    <w:rsid w:val="69A44530"/>
    <w:rsid w:val="69A45AFF"/>
    <w:rsid w:val="69AE4085"/>
    <w:rsid w:val="69AF5A11"/>
    <w:rsid w:val="69AF5C43"/>
    <w:rsid w:val="69B30239"/>
    <w:rsid w:val="69B47B0D"/>
    <w:rsid w:val="69B77069"/>
    <w:rsid w:val="69BA77D6"/>
    <w:rsid w:val="69D501AF"/>
    <w:rsid w:val="69D941E8"/>
    <w:rsid w:val="69E623BC"/>
    <w:rsid w:val="69EB6361"/>
    <w:rsid w:val="69ED4D72"/>
    <w:rsid w:val="69EF5A65"/>
    <w:rsid w:val="69FA7C16"/>
    <w:rsid w:val="6A041507"/>
    <w:rsid w:val="6A112DE9"/>
    <w:rsid w:val="6A195E92"/>
    <w:rsid w:val="6A292E07"/>
    <w:rsid w:val="6A472B90"/>
    <w:rsid w:val="6A537EE7"/>
    <w:rsid w:val="6A5A04F7"/>
    <w:rsid w:val="6A621A1F"/>
    <w:rsid w:val="6A660BDA"/>
    <w:rsid w:val="6A861D62"/>
    <w:rsid w:val="6A894F86"/>
    <w:rsid w:val="6A8E5706"/>
    <w:rsid w:val="6A9A7FAA"/>
    <w:rsid w:val="6A9F07BD"/>
    <w:rsid w:val="6AA656A7"/>
    <w:rsid w:val="6AAA2382"/>
    <w:rsid w:val="6AAC571A"/>
    <w:rsid w:val="6AC326FD"/>
    <w:rsid w:val="6AC50223"/>
    <w:rsid w:val="6AD761A9"/>
    <w:rsid w:val="6AE74CD8"/>
    <w:rsid w:val="6AFE54E3"/>
    <w:rsid w:val="6B001715"/>
    <w:rsid w:val="6B1127D0"/>
    <w:rsid w:val="6B13721E"/>
    <w:rsid w:val="6B1E7934"/>
    <w:rsid w:val="6B2A74D8"/>
    <w:rsid w:val="6B2C2E63"/>
    <w:rsid w:val="6B2E1C4B"/>
    <w:rsid w:val="6B3277EB"/>
    <w:rsid w:val="6B3E73CB"/>
    <w:rsid w:val="6B3F079E"/>
    <w:rsid w:val="6B455087"/>
    <w:rsid w:val="6B4A7C33"/>
    <w:rsid w:val="6B5411E0"/>
    <w:rsid w:val="6B612A97"/>
    <w:rsid w:val="6B6B19DF"/>
    <w:rsid w:val="6B714110"/>
    <w:rsid w:val="6B770A17"/>
    <w:rsid w:val="6B7C465A"/>
    <w:rsid w:val="6B814D7B"/>
    <w:rsid w:val="6B9A2520"/>
    <w:rsid w:val="6BAC486F"/>
    <w:rsid w:val="6BB007FB"/>
    <w:rsid w:val="6BC352E3"/>
    <w:rsid w:val="6BCC7E83"/>
    <w:rsid w:val="6BD73091"/>
    <w:rsid w:val="6BDA597E"/>
    <w:rsid w:val="6BE91CF0"/>
    <w:rsid w:val="6BE94A51"/>
    <w:rsid w:val="6BEC4A73"/>
    <w:rsid w:val="6BEC66B2"/>
    <w:rsid w:val="6BF9629B"/>
    <w:rsid w:val="6BFD5EDF"/>
    <w:rsid w:val="6C00528B"/>
    <w:rsid w:val="6C07661A"/>
    <w:rsid w:val="6C0862AF"/>
    <w:rsid w:val="6C103EB6"/>
    <w:rsid w:val="6C1C2410"/>
    <w:rsid w:val="6C315445"/>
    <w:rsid w:val="6C382398"/>
    <w:rsid w:val="6C3C41BD"/>
    <w:rsid w:val="6C3D29D2"/>
    <w:rsid w:val="6C460E1A"/>
    <w:rsid w:val="6C4909E0"/>
    <w:rsid w:val="6C4A61B1"/>
    <w:rsid w:val="6C501D6F"/>
    <w:rsid w:val="6C5D26DE"/>
    <w:rsid w:val="6C622382"/>
    <w:rsid w:val="6C677795"/>
    <w:rsid w:val="6C693F2B"/>
    <w:rsid w:val="6C700663"/>
    <w:rsid w:val="6C731F01"/>
    <w:rsid w:val="6C7932A2"/>
    <w:rsid w:val="6C8C7FEB"/>
    <w:rsid w:val="6C963FAA"/>
    <w:rsid w:val="6C9C301F"/>
    <w:rsid w:val="6CA200F0"/>
    <w:rsid w:val="6CA37B2A"/>
    <w:rsid w:val="6CA468B0"/>
    <w:rsid w:val="6CAD0F6F"/>
    <w:rsid w:val="6CB24DA3"/>
    <w:rsid w:val="6CB322FE"/>
    <w:rsid w:val="6CB41AEA"/>
    <w:rsid w:val="6CB955FE"/>
    <w:rsid w:val="6CC16AA3"/>
    <w:rsid w:val="6CD07C76"/>
    <w:rsid w:val="6CE6684F"/>
    <w:rsid w:val="6CF566AA"/>
    <w:rsid w:val="6CFF5B6E"/>
    <w:rsid w:val="6D0B3EE8"/>
    <w:rsid w:val="6D120E68"/>
    <w:rsid w:val="6D184208"/>
    <w:rsid w:val="6D1F53E9"/>
    <w:rsid w:val="6D204007"/>
    <w:rsid w:val="6D216ED1"/>
    <w:rsid w:val="6D3708FB"/>
    <w:rsid w:val="6D392623"/>
    <w:rsid w:val="6D3D757A"/>
    <w:rsid w:val="6D4134C6"/>
    <w:rsid w:val="6D432333"/>
    <w:rsid w:val="6D4D7E6C"/>
    <w:rsid w:val="6D54633F"/>
    <w:rsid w:val="6D5A7CFC"/>
    <w:rsid w:val="6D6D3C44"/>
    <w:rsid w:val="6D7C06AA"/>
    <w:rsid w:val="6D7C2A7E"/>
    <w:rsid w:val="6DA70D9E"/>
    <w:rsid w:val="6DAE1F47"/>
    <w:rsid w:val="6DB97DE8"/>
    <w:rsid w:val="6DBB3B60"/>
    <w:rsid w:val="6DBB6C35"/>
    <w:rsid w:val="6DCC3677"/>
    <w:rsid w:val="6DD17ACD"/>
    <w:rsid w:val="6DD62748"/>
    <w:rsid w:val="6DDE74AB"/>
    <w:rsid w:val="6DE36F8E"/>
    <w:rsid w:val="6DE54739"/>
    <w:rsid w:val="6DEE183F"/>
    <w:rsid w:val="6DF606F4"/>
    <w:rsid w:val="6DFD67BE"/>
    <w:rsid w:val="6E2176BC"/>
    <w:rsid w:val="6E272FA3"/>
    <w:rsid w:val="6E3256D6"/>
    <w:rsid w:val="6E3C5272"/>
    <w:rsid w:val="6E42512A"/>
    <w:rsid w:val="6E520FF1"/>
    <w:rsid w:val="6E5816EA"/>
    <w:rsid w:val="6E586D17"/>
    <w:rsid w:val="6E5B49FB"/>
    <w:rsid w:val="6E5D0773"/>
    <w:rsid w:val="6E5D69C5"/>
    <w:rsid w:val="6E6B78E5"/>
    <w:rsid w:val="6E7056A6"/>
    <w:rsid w:val="6E7D2BC3"/>
    <w:rsid w:val="6E954C46"/>
    <w:rsid w:val="6E9D5013"/>
    <w:rsid w:val="6EA63EC8"/>
    <w:rsid w:val="6EAF2E14"/>
    <w:rsid w:val="6EB932E3"/>
    <w:rsid w:val="6EBD1212"/>
    <w:rsid w:val="6EBD7464"/>
    <w:rsid w:val="6EBF142E"/>
    <w:rsid w:val="6EC62FC8"/>
    <w:rsid w:val="6EC75FF5"/>
    <w:rsid w:val="6ECC2CBC"/>
    <w:rsid w:val="6ED00F45"/>
    <w:rsid w:val="6ED8679F"/>
    <w:rsid w:val="6EDF546E"/>
    <w:rsid w:val="6EE333A2"/>
    <w:rsid w:val="6EEC66C3"/>
    <w:rsid w:val="6EFA5161"/>
    <w:rsid w:val="6F0109AF"/>
    <w:rsid w:val="6F02075A"/>
    <w:rsid w:val="6F083EBF"/>
    <w:rsid w:val="6F2861E7"/>
    <w:rsid w:val="6F336454"/>
    <w:rsid w:val="6F3911E0"/>
    <w:rsid w:val="6F5649E3"/>
    <w:rsid w:val="6F613C7B"/>
    <w:rsid w:val="6F6B66D1"/>
    <w:rsid w:val="6F6D3BF0"/>
    <w:rsid w:val="6F762D13"/>
    <w:rsid w:val="6F773AB6"/>
    <w:rsid w:val="6F7B1FDB"/>
    <w:rsid w:val="6F7E3319"/>
    <w:rsid w:val="6F814935"/>
    <w:rsid w:val="6F937C88"/>
    <w:rsid w:val="6F940806"/>
    <w:rsid w:val="6F993436"/>
    <w:rsid w:val="6FA0300D"/>
    <w:rsid w:val="6FA7439C"/>
    <w:rsid w:val="6FD66A2F"/>
    <w:rsid w:val="6FF132B7"/>
    <w:rsid w:val="6FF1412A"/>
    <w:rsid w:val="6FFD3FBC"/>
    <w:rsid w:val="70071274"/>
    <w:rsid w:val="700D591C"/>
    <w:rsid w:val="701A2FB7"/>
    <w:rsid w:val="70255BCD"/>
    <w:rsid w:val="703D08A3"/>
    <w:rsid w:val="703D6AAE"/>
    <w:rsid w:val="70435E05"/>
    <w:rsid w:val="70744886"/>
    <w:rsid w:val="7084648B"/>
    <w:rsid w:val="709072E9"/>
    <w:rsid w:val="70916EA8"/>
    <w:rsid w:val="70947F48"/>
    <w:rsid w:val="709A7FDA"/>
    <w:rsid w:val="70A628A5"/>
    <w:rsid w:val="70A96DEF"/>
    <w:rsid w:val="70AB3A18"/>
    <w:rsid w:val="70AC7E5F"/>
    <w:rsid w:val="70B328CC"/>
    <w:rsid w:val="70B40776"/>
    <w:rsid w:val="70CB0F61"/>
    <w:rsid w:val="70CC354D"/>
    <w:rsid w:val="70D6480D"/>
    <w:rsid w:val="70E64A94"/>
    <w:rsid w:val="70EA43C9"/>
    <w:rsid w:val="70F33611"/>
    <w:rsid w:val="70FA7E6A"/>
    <w:rsid w:val="710475CC"/>
    <w:rsid w:val="710B6BAC"/>
    <w:rsid w:val="71123A97"/>
    <w:rsid w:val="71197215"/>
    <w:rsid w:val="712C351F"/>
    <w:rsid w:val="71305C4F"/>
    <w:rsid w:val="71493FB5"/>
    <w:rsid w:val="71557E27"/>
    <w:rsid w:val="715875F4"/>
    <w:rsid w:val="716224A0"/>
    <w:rsid w:val="71686675"/>
    <w:rsid w:val="716D0006"/>
    <w:rsid w:val="717A163C"/>
    <w:rsid w:val="717D38B6"/>
    <w:rsid w:val="718948CA"/>
    <w:rsid w:val="71923BDE"/>
    <w:rsid w:val="7197233B"/>
    <w:rsid w:val="71993EC9"/>
    <w:rsid w:val="71A008BC"/>
    <w:rsid w:val="71B41CA9"/>
    <w:rsid w:val="71BD62E7"/>
    <w:rsid w:val="71BF5F26"/>
    <w:rsid w:val="71C34EE5"/>
    <w:rsid w:val="71C3774A"/>
    <w:rsid w:val="71CB2DF5"/>
    <w:rsid w:val="71DD100E"/>
    <w:rsid w:val="71EB3F01"/>
    <w:rsid w:val="71FC7F37"/>
    <w:rsid w:val="720122A5"/>
    <w:rsid w:val="72020BC4"/>
    <w:rsid w:val="72031059"/>
    <w:rsid w:val="720535FB"/>
    <w:rsid w:val="720641E8"/>
    <w:rsid w:val="7209306F"/>
    <w:rsid w:val="720A6E64"/>
    <w:rsid w:val="721154EB"/>
    <w:rsid w:val="721B08A3"/>
    <w:rsid w:val="72220C05"/>
    <w:rsid w:val="72320509"/>
    <w:rsid w:val="72330169"/>
    <w:rsid w:val="723B45AE"/>
    <w:rsid w:val="724908DA"/>
    <w:rsid w:val="724C1535"/>
    <w:rsid w:val="724C4099"/>
    <w:rsid w:val="726B335F"/>
    <w:rsid w:val="726E2F4F"/>
    <w:rsid w:val="72743969"/>
    <w:rsid w:val="72777469"/>
    <w:rsid w:val="727C377E"/>
    <w:rsid w:val="72866FFF"/>
    <w:rsid w:val="728D55B3"/>
    <w:rsid w:val="728F55E6"/>
    <w:rsid w:val="7298621E"/>
    <w:rsid w:val="729D1D36"/>
    <w:rsid w:val="72A24713"/>
    <w:rsid w:val="72A44BC2"/>
    <w:rsid w:val="72B820BC"/>
    <w:rsid w:val="72B8353D"/>
    <w:rsid w:val="72B90E34"/>
    <w:rsid w:val="72BA6194"/>
    <w:rsid w:val="72BE5D2D"/>
    <w:rsid w:val="72D072AA"/>
    <w:rsid w:val="72D13AA2"/>
    <w:rsid w:val="72D66DF2"/>
    <w:rsid w:val="72E651DB"/>
    <w:rsid w:val="72EE5E3E"/>
    <w:rsid w:val="72F773E8"/>
    <w:rsid w:val="72F90D7F"/>
    <w:rsid w:val="72FC5EB8"/>
    <w:rsid w:val="73104006"/>
    <w:rsid w:val="73137331"/>
    <w:rsid w:val="73296495"/>
    <w:rsid w:val="7333715E"/>
    <w:rsid w:val="733B0348"/>
    <w:rsid w:val="734359DE"/>
    <w:rsid w:val="73450874"/>
    <w:rsid w:val="73487D96"/>
    <w:rsid w:val="73530396"/>
    <w:rsid w:val="735D64BE"/>
    <w:rsid w:val="736363AB"/>
    <w:rsid w:val="7366558A"/>
    <w:rsid w:val="73683251"/>
    <w:rsid w:val="73691ECF"/>
    <w:rsid w:val="736F0761"/>
    <w:rsid w:val="73754FC3"/>
    <w:rsid w:val="73855156"/>
    <w:rsid w:val="738A025C"/>
    <w:rsid w:val="738C7E25"/>
    <w:rsid w:val="738D3A12"/>
    <w:rsid w:val="73BB0416"/>
    <w:rsid w:val="73CF2C9C"/>
    <w:rsid w:val="73D93569"/>
    <w:rsid w:val="73DB194D"/>
    <w:rsid w:val="73DB1DF8"/>
    <w:rsid w:val="73DD4830"/>
    <w:rsid w:val="73E24CBA"/>
    <w:rsid w:val="73E27084"/>
    <w:rsid w:val="73ED4347"/>
    <w:rsid w:val="73F94BF8"/>
    <w:rsid w:val="741C0650"/>
    <w:rsid w:val="74257F85"/>
    <w:rsid w:val="742C1D42"/>
    <w:rsid w:val="742C4E6F"/>
    <w:rsid w:val="74312486"/>
    <w:rsid w:val="74334DA5"/>
    <w:rsid w:val="74367A9C"/>
    <w:rsid w:val="74370DD0"/>
    <w:rsid w:val="743E2DF5"/>
    <w:rsid w:val="74422802"/>
    <w:rsid w:val="744B2C59"/>
    <w:rsid w:val="745634C3"/>
    <w:rsid w:val="745725CB"/>
    <w:rsid w:val="745919DD"/>
    <w:rsid w:val="745F3497"/>
    <w:rsid w:val="74616590"/>
    <w:rsid w:val="746218BD"/>
    <w:rsid w:val="7462350C"/>
    <w:rsid w:val="746C5BB4"/>
    <w:rsid w:val="747D5F07"/>
    <w:rsid w:val="748A74A6"/>
    <w:rsid w:val="74A97AB4"/>
    <w:rsid w:val="74AA2238"/>
    <w:rsid w:val="74AF0AA4"/>
    <w:rsid w:val="74B0476D"/>
    <w:rsid w:val="74C01A5C"/>
    <w:rsid w:val="74DC02EC"/>
    <w:rsid w:val="74DC161E"/>
    <w:rsid w:val="74DC4AE7"/>
    <w:rsid w:val="74DD6F92"/>
    <w:rsid w:val="74E305FF"/>
    <w:rsid w:val="74E60208"/>
    <w:rsid w:val="74E74C59"/>
    <w:rsid w:val="74EA1DCC"/>
    <w:rsid w:val="74EB03B8"/>
    <w:rsid w:val="74EC1A09"/>
    <w:rsid w:val="74F6025A"/>
    <w:rsid w:val="74F66A02"/>
    <w:rsid w:val="74F94B08"/>
    <w:rsid w:val="74FD1237"/>
    <w:rsid w:val="750162FC"/>
    <w:rsid w:val="750E0A19"/>
    <w:rsid w:val="75140341"/>
    <w:rsid w:val="75157FF9"/>
    <w:rsid w:val="751A116C"/>
    <w:rsid w:val="751D2A0A"/>
    <w:rsid w:val="7529336F"/>
    <w:rsid w:val="75297601"/>
    <w:rsid w:val="752A30FE"/>
    <w:rsid w:val="752C5ED8"/>
    <w:rsid w:val="75466405"/>
    <w:rsid w:val="75525EEC"/>
    <w:rsid w:val="75550963"/>
    <w:rsid w:val="755C1784"/>
    <w:rsid w:val="755E0092"/>
    <w:rsid w:val="75741AFD"/>
    <w:rsid w:val="75747A5D"/>
    <w:rsid w:val="757640BC"/>
    <w:rsid w:val="7589009F"/>
    <w:rsid w:val="758D5DE2"/>
    <w:rsid w:val="759727BC"/>
    <w:rsid w:val="75A26FE5"/>
    <w:rsid w:val="75BA16C1"/>
    <w:rsid w:val="75BD69D6"/>
    <w:rsid w:val="75BF7F65"/>
    <w:rsid w:val="75C43B7C"/>
    <w:rsid w:val="75D0327E"/>
    <w:rsid w:val="75D25EEA"/>
    <w:rsid w:val="75E374AA"/>
    <w:rsid w:val="75FE3376"/>
    <w:rsid w:val="76083CB8"/>
    <w:rsid w:val="76152D43"/>
    <w:rsid w:val="761958C7"/>
    <w:rsid w:val="76223DA4"/>
    <w:rsid w:val="76277A8C"/>
    <w:rsid w:val="762C2802"/>
    <w:rsid w:val="762C5571"/>
    <w:rsid w:val="76312C11"/>
    <w:rsid w:val="76440DE5"/>
    <w:rsid w:val="764F4A5D"/>
    <w:rsid w:val="765133B5"/>
    <w:rsid w:val="76556A1B"/>
    <w:rsid w:val="765772AE"/>
    <w:rsid w:val="76733A97"/>
    <w:rsid w:val="76742AFE"/>
    <w:rsid w:val="767555BD"/>
    <w:rsid w:val="76787C73"/>
    <w:rsid w:val="768409CD"/>
    <w:rsid w:val="768F3AE1"/>
    <w:rsid w:val="768F3CE7"/>
    <w:rsid w:val="76940144"/>
    <w:rsid w:val="76985484"/>
    <w:rsid w:val="76AA4771"/>
    <w:rsid w:val="76AC6B33"/>
    <w:rsid w:val="76B63116"/>
    <w:rsid w:val="76BD6CE7"/>
    <w:rsid w:val="76CF5F86"/>
    <w:rsid w:val="76DC35F5"/>
    <w:rsid w:val="76EE55E8"/>
    <w:rsid w:val="76F53C3E"/>
    <w:rsid w:val="77057BFA"/>
    <w:rsid w:val="770F7473"/>
    <w:rsid w:val="771E077E"/>
    <w:rsid w:val="77245C00"/>
    <w:rsid w:val="773A26E8"/>
    <w:rsid w:val="773F16B0"/>
    <w:rsid w:val="774B7D02"/>
    <w:rsid w:val="774E704F"/>
    <w:rsid w:val="775038B6"/>
    <w:rsid w:val="77550B81"/>
    <w:rsid w:val="77564BC9"/>
    <w:rsid w:val="7760678E"/>
    <w:rsid w:val="776641EE"/>
    <w:rsid w:val="777E4056"/>
    <w:rsid w:val="778B4487"/>
    <w:rsid w:val="77A141A5"/>
    <w:rsid w:val="77A43BCF"/>
    <w:rsid w:val="77A700E0"/>
    <w:rsid w:val="77AD62C7"/>
    <w:rsid w:val="77BD0494"/>
    <w:rsid w:val="77C02B22"/>
    <w:rsid w:val="77C16217"/>
    <w:rsid w:val="77C4184D"/>
    <w:rsid w:val="77C50110"/>
    <w:rsid w:val="77C918DC"/>
    <w:rsid w:val="77F5069A"/>
    <w:rsid w:val="78085BF3"/>
    <w:rsid w:val="78104AA8"/>
    <w:rsid w:val="78173248"/>
    <w:rsid w:val="781A7DC9"/>
    <w:rsid w:val="781B6892"/>
    <w:rsid w:val="781C3740"/>
    <w:rsid w:val="78251F22"/>
    <w:rsid w:val="782558CA"/>
    <w:rsid w:val="783666EB"/>
    <w:rsid w:val="78413B36"/>
    <w:rsid w:val="784A7B40"/>
    <w:rsid w:val="78526E6F"/>
    <w:rsid w:val="785C7CED"/>
    <w:rsid w:val="78635A04"/>
    <w:rsid w:val="786A0221"/>
    <w:rsid w:val="786F5C73"/>
    <w:rsid w:val="787C25AA"/>
    <w:rsid w:val="78802E1F"/>
    <w:rsid w:val="7881154F"/>
    <w:rsid w:val="7883171E"/>
    <w:rsid w:val="78933672"/>
    <w:rsid w:val="789456D9"/>
    <w:rsid w:val="78A04FA1"/>
    <w:rsid w:val="78A55EBF"/>
    <w:rsid w:val="78B21618"/>
    <w:rsid w:val="78B71B29"/>
    <w:rsid w:val="78C7110A"/>
    <w:rsid w:val="78C75C55"/>
    <w:rsid w:val="78DA7590"/>
    <w:rsid w:val="78DB50B6"/>
    <w:rsid w:val="78E9257C"/>
    <w:rsid w:val="78EF56AE"/>
    <w:rsid w:val="7901183A"/>
    <w:rsid w:val="79060FEB"/>
    <w:rsid w:val="79066BFD"/>
    <w:rsid w:val="790945BB"/>
    <w:rsid w:val="791245FC"/>
    <w:rsid w:val="791530E8"/>
    <w:rsid w:val="791F1447"/>
    <w:rsid w:val="79297BCF"/>
    <w:rsid w:val="79382272"/>
    <w:rsid w:val="793B08DA"/>
    <w:rsid w:val="79407FB0"/>
    <w:rsid w:val="79472081"/>
    <w:rsid w:val="794F7830"/>
    <w:rsid w:val="79507D1A"/>
    <w:rsid w:val="7983695E"/>
    <w:rsid w:val="79872766"/>
    <w:rsid w:val="798C63B0"/>
    <w:rsid w:val="799314ED"/>
    <w:rsid w:val="799462D7"/>
    <w:rsid w:val="799A2BCF"/>
    <w:rsid w:val="799F5161"/>
    <w:rsid w:val="79AA6E92"/>
    <w:rsid w:val="79C62F3C"/>
    <w:rsid w:val="79C86957"/>
    <w:rsid w:val="79D54068"/>
    <w:rsid w:val="7A006F7B"/>
    <w:rsid w:val="7A171D2E"/>
    <w:rsid w:val="7A2F56B9"/>
    <w:rsid w:val="7A373338"/>
    <w:rsid w:val="7A382ACE"/>
    <w:rsid w:val="7A3E4E57"/>
    <w:rsid w:val="7A4B1DC7"/>
    <w:rsid w:val="7A4D7E67"/>
    <w:rsid w:val="7A5D6228"/>
    <w:rsid w:val="7A61783D"/>
    <w:rsid w:val="7A7E33B3"/>
    <w:rsid w:val="7A951295"/>
    <w:rsid w:val="7A9C567A"/>
    <w:rsid w:val="7AA43818"/>
    <w:rsid w:val="7AA8610A"/>
    <w:rsid w:val="7ACA3DAA"/>
    <w:rsid w:val="7ACE1054"/>
    <w:rsid w:val="7ADD3367"/>
    <w:rsid w:val="7AE8631E"/>
    <w:rsid w:val="7AF67F85"/>
    <w:rsid w:val="7B0B1EC8"/>
    <w:rsid w:val="7B14665D"/>
    <w:rsid w:val="7B167E8D"/>
    <w:rsid w:val="7B420F6E"/>
    <w:rsid w:val="7B5A1010"/>
    <w:rsid w:val="7B5A2E4F"/>
    <w:rsid w:val="7B5F5B2A"/>
    <w:rsid w:val="7B665FEF"/>
    <w:rsid w:val="7B971B35"/>
    <w:rsid w:val="7B9B0885"/>
    <w:rsid w:val="7B9F686F"/>
    <w:rsid w:val="7BA63759"/>
    <w:rsid w:val="7BA75723"/>
    <w:rsid w:val="7BB30A2B"/>
    <w:rsid w:val="7BBA5457"/>
    <w:rsid w:val="7BCD518A"/>
    <w:rsid w:val="7BD866A0"/>
    <w:rsid w:val="7BDE7397"/>
    <w:rsid w:val="7BE20509"/>
    <w:rsid w:val="7BE424D4"/>
    <w:rsid w:val="7BE6624C"/>
    <w:rsid w:val="7BE75B20"/>
    <w:rsid w:val="7BF001E1"/>
    <w:rsid w:val="7BF71B23"/>
    <w:rsid w:val="7C016BE2"/>
    <w:rsid w:val="7C024B39"/>
    <w:rsid w:val="7C204C08"/>
    <w:rsid w:val="7C2569EB"/>
    <w:rsid w:val="7C3A399A"/>
    <w:rsid w:val="7C3E6F5F"/>
    <w:rsid w:val="7C3E7E36"/>
    <w:rsid w:val="7C414F7A"/>
    <w:rsid w:val="7C5E10FE"/>
    <w:rsid w:val="7C635AEE"/>
    <w:rsid w:val="7C6438BF"/>
    <w:rsid w:val="7C662EE9"/>
    <w:rsid w:val="7C745605"/>
    <w:rsid w:val="7C81180F"/>
    <w:rsid w:val="7C911B22"/>
    <w:rsid w:val="7C9178F5"/>
    <w:rsid w:val="7C97356A"/>
    <w:rsid w:val="7C975798"/>
    <w:rsid w:val="7CAA6089"/>
    <w:rsid w:val="7CD12A58"/>
    <w:rsid w:val="7CDE33C7"/>
    <w:rsid w:val="7CE12E60"/>
    <w:rsid w:val="7CF97FB7"/>
    <w:rsid w:val="7D0D0EC9"/>
    <w:rsid w:val="7D0D47B0"/>
    <w:rsid w:val="7D1868D9"/>
    <w:rsid w:val="7D1B0525"/>
    <w:rsid w:val="7D200A14"/>
    <w:rsid w:val="7D256900"/>
    <w:rsid w:val="7D2C6836"/>
    <w:rsid w:val="7D313D4F"/>
    <w:rsid w:val="7D380C49"/>
    <w:rsid w:val="7D4B6E54"/>
    <w:rsid w:val="7D4E5C6B"/>
    <w:rsid w:val="7D5C7B20"/>
    <w:rsid w:val="7D5D253D"/>
    <w:rsid w:val="7D6108CC"/>
    <w:rsid w:val="7D6852C5"/>
    <w:rsid w:val="7D940116"/>
    <w:rsid w:val="7D965F61"/>
    <w:rsid w:val="7DAB14FB"/>
    <w:rsid w:val="7DAC7F8A"/>
    <w:rsid w:val="7DB079CB"/>
    <w:rsid w:val="7DB409BF"/>
    <w:rsid w:val="7DBE5FFD"/>
    <w:rsid w:val="7DBF0B02"/>
    <w:rsid w:val="7DBF3679"/>
    <w:rsid w:val="7DC00864"/>
    <w:rsid w:val="7DD253DA"/>
    <w:rsid w:val="7DDF6212"/>
    <w:rsid w:val="7DF65E09"/>
    <w:rsid w:val="7DF7163D"/>
    <w:rsid w:val="7DF74740"/>
    <w:rsid w:val="7E1626EC"/>
    <w:rsid w:val="7E206AA6"/>
    <w:rsid w:val="7E277E5D"/>
    <w:rsid w:val="7E2D12F4"/>
    <w:rsid w:val="7E2D1F10"/>
    <w:rsid w:val="7E2E1C89"/>
    <w:rsid w:val="7E2F209F"/>
    <w:rsid w:val="7E2F2B06"/>
    <w:rsid w:val="7E301A00"/>
    <w:rsid w:val="7E3363F2"/>
    <w:rsid w:val="7E3430BA"/>
    <w:rsid w:val="7E3647B6"/>
    <w:rsid w:val="7E390A72"/>
    <w:rsid w:val="7E453FDF"/>
    <w:rsid w:val="7E46472C"/>
    <w:rsid w:val="7E494870"/>
    <w:rsid w:val="7E4F5492"/>
    <w:rsid w:val="7E734D64"/>
    <w:rsid w:val="7E773C5A"/>
    <w:rsid w:val="7E7B6CF6"/>
    <w:rsid w:val="7E8104AE"/>
    <w:rsid w:val="7E8C051D"/>
    <w:rsid w:val="7E8F2BCB"/>
    <w:rsid w:val="7E9B0944"/>
    <w:rsid w:val="7EA149FF"/>
    <w:rsid w:val="7EAE7F54"/>
    <w:rsid w:val="7EB40DB1"/>
    <w:rsid w:val="7EC45543"/>
    <w:rsid w:val="7ECB36F3"/>
    <w:rsid w:val="7ED35A00"/>
    <w:rsid w:val="7ED975C7"/>
    <w:rsid w:val="7EDE680C"/>
    <w:rsid w:val="7EE36B61"/>
    <w:rsid w:val="7EE917DA"/>
    <w:rsid w:val="7EEC37A0"/>
    <w:rsid w:val="7EFB200E"/>
    <w:rsid w:val="7EFD6EF0"/>
    <w:rsid w:val="7F083FDD"/>
    <w:rsid w:val="7F0B2AB8"/>
    <w:rsid w:val="7F130925"/>
    <w:rsid w:val="7F1720F2"/>
    <w:rsid w:val="7F1B620C"/>
    <w:rsid w:val="7F282C0B"/>
    <w:rsid w:val="7F2B084A"/>
    <w:rsid w:val="7F2F2DFE"/>
    <w:rsid w:val="7F3449FA"/>
    <w:rsid w:val="7F4E2109"/>
    <w:rsid w:val="7F5A53F2"/>
    <w:rsid w:val="7F71407E"/>
    <w:rsid w:val="7F7818B1"/>
    <w:rsid w:val="7F782BB0"/>
    <w:rsid w:val="7F7E49ED"/>
    <w:rsid w:val="7F947D6D"/>
    <w:rsid w:val="7FA42507"/>
    <w:rsid w:val="7FAA7EC1"/>
    <w:rsid w:val="7FAC301F"/>
    <w:rsid w:val="7FAD0A4F"/>
    <w:rsid w:val="7FAF4BA7"/>
    <w:rsid w:val="7FB06974"/>
    <w:rsid w:val="7FCA0673"/>
    <w:rsid w:val="7FD30895"/>
    <w:rsid w:val="7FD73D04"/>
    <w:rsid w:val="7FFE1FEE"/>
    <w:rsid w:val="7FFF7C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97"/>
    <w:qFormat/>
    <w:uiPriority w:val="0"/>
    <w:pPr>
      <w:widowControl w:val="0"/>
      <w:jc w:val="both"/>
    </w:pPr>
    <w:rPr>
      <w:rFonts w:ascii="Times New Roman" w:hAnsi="Times New Roman" w:eastAsia="宋体" w:cs="Times New Roman"/>
      <w:kern w:val="2"/>
      <w:sz w:val="24"/>
      <w:lang w:val="en-US" w:eastAsia="zh-CN" w:bidi="ar-SA"/>
    </w:rPr>
  </w:style>
  <w:style w:type="paragraph" w:styleId="3">
    <w:name w:val="heading 1"/>
    <w:basedOn w:val="1"/>
    <w:next w:val="1"/>
    <w:link w:val="56"/>
    <w:qFormat/>
    <w:uiPriority w:val="0"/>
    <w:pPr>
      <w:keepNext/>
      <w:keepLines/>
      <w:spacing w:before="340" w:after="330" w:line="560" w:lineRule="exact"/>
      <w:jc w:val="center"/>
      <w:outlineLvl w:val="0"/>
    </w:pPr>
    <w:rPr>
      <w:b/>
      <w:bCs/>
      <w:kern w:val="44"/>
      <w:sz w:val="36"/>
      <w:szCs w:val="44"/>
    </w:rPr>
  </w:style>
  <w:style w:type="paragraph" w:styleId="4">
    <w:name w:val="heading 2"/>
    <w:basedOn w:val="1"/>
    <w:next w:val="1"/>
    <w:link w:val="73"/>
    <w:qFormat/>
    <w:uiPriority w:val="0"/>
    <w:pPr>
      <w:keepNext/>
      <w:keepLines/>
      <w:spacing w:before="260" w:after="260" w:line="413" w:lineRule="auto"/>
      <w:outlineLvl w:val="1"/>
    </w:pPr>
    <w:rPr>
      <w:rFonts w:ascii="Arial" w:hAnsi="Arial"/>
      <w:b/>
      <w:bCs/>
      <w:sz w:val="30"/>
      <w:szCs w:val="32"/>
    </w:rPr>
  </w:style>
  <w:style w:type="paragraph" w:styleId="5">
    <w:name w:val="heading 3"/>
    <w:basedOn w:val="1"/>
    <w:next w:val="1"/>
    <w:link w:val="170"/>
    <w:unhideWhenUsed/>
    <w:qFormat/>
    <w:uiPriority w:val="0"/>
    <w:pPr>
      <w:keepNext/>
      <w:keepLines/>
      <w:spacing w:before="260" w:after="260" w:line="413" w:lineRule="auto"/>
      <w:outlineLvl w:val="2"/>
    </w:pPr>
    <w:rPr>
      <w:b/>
      <w:sz w:val="28"/>
    </w:rPr>
  </w:style>
  <w:style w:type="paragraph" w:styleId="6">
    <w:name w:val="heading 4"/>
    <w:basedOn w:val="1"/>
    <w:next w:val="1"/>
    <w:qFormat/>
    <w:uiPriority w:val="99"/>
    <w:pPr>
      <w:keepNext/>
      <w:keepLines/>
      <w:spacing w:before="280" w:after="290" w:line="376" w:lineRule="auto"/>
      <w:outlineLvl w:val="3"/>
    </w:pPr>
    <w:rPr>
      <w:rFonts w:ascii="Arial" w:hAnsi="Arial" w:eastAsia="黑体"/>
      <w:b/>
      <w:bCs/>
      <w:sz w:val="28"/>
      <w:szCs w:val="28"/>
    </w:rPr>
  </w:style>
  <w:style w:type="paragraph" w:styleId="7">
    <w:name w:val="heading 6"/>
    <w:basedOn w:val="1"/>
    <w:next w:val="1"/>
    <w:semiHidden/>
    <w:unhideWhenUsed/>
    <w:qFormat/>
    <w:uiPriority w:val="0"/>
    <w:pPr>
      <w:pBdr>
        <w:top w:val="none" w:color="auto" w:sz="0" w:space="0"/>
        <w:left w:val="none" w:color="auto" w:sz="0" w:space="0"/>
        <w:bottom w:val="none" w:color="auto" w:sz="0" w:space="0"/>
        <w:right w:val="none" w:color="auto" w:sz="0" w:space="0"/>
      </w:pBdr>
      <w:spacing w:before="0" w:beforeAutospacing="0" w:after="0" w:afterAutospacing="0" w:line="17" w:lineRule="atLeast"/>
      <w:ind w:left="0" w:right="0"/>
      <w:jc w:val="left"/>
    </w:pPr>
    <w:rPr>
      <w:rFonts w:hint="eastAsia" w:ascii="宋体" w:hAnsi="宋体" w:eastAsia="宋体" w:cs="宋体"/>
      <w:b/>
      <w:kern w:val="0"/>
      <w:sz w:val="24"/>
      <w:szCs w:val="24"/>
      <w:lang w:val="en-US" w:eastAsia="zh-CN" w:bidi="ar"/>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qFormat/>
    <w:uiPriority w:val="0"/>
    <w:pPr>
      <w:spacing w:after="120" w:line="480" w:lineRule="auto"/>
      <w:ind w:left="420" w:leftChars="200"/>
    </w:pPr>
  </w:style>
  <w:style w:type="paragraph" w:styleId="8">
    <w:name w:val="Normal Indent"/>
    <w:basedOn w:val="1"/>
    <w:next w:val="1"/>
    <w:qFormat/>
    <w:uiPriority w:val="0"/>
    <w:pPr>
      <w:ind w:firstLine="420"/>
    </w:pPr>
    <w:rPr>
      <w:sz w:val="21"/>
    </w:rPr>
  </w:style>
  <w:style w:type="paragraph" w:styleId="9">
    <w:name w:val="toa heading"/>
    <w:basedOn w:val="1"/>
    <w:next w:val="1"/>
    <w:semiHidden/>
    <w:qFormat/>
    <w:uiPriority w:val="0"/>
    <w:pPr>
      <w:spacing w:before="120"/>
    </w:pPr>
    <w:rPr>
      <w:rFonts w:ascii="Arial" w:hAnsi="Arial"/>
      <w:sz w:val="24"/>
      <w:szCs w:val="20"/>
    </w:rPr>
  </w:style>
  <w:style w:type="paragraph" w:styleId="10">
    <w:name w:val="Body Text"/>
    <w:basedOn w:val="1"/>
    <w:next w:val="1"/>
    <w:qFormat/>
    <w:uiPriority w:val="0"/>
    <w:pPr>
      <w:spacing w:after="120"/>
    </w:pPr>
    <w:rPr>
      <w:sz w:val="21"/>
      <w:szCs w:val="24"/>
    </w:rPr>
  </w:style>
  <w:style w:type="paragraph" w:styleId="11">
    <w:name w:val="Body Text Indent"/>
    <w:basedOn w:val="1"/>
    <w:next w:val="12"/>
    <w:qFormat/>
    <w:uiPriority w:val="0"/>
    <w:pPr>
      <w:spacing w:line="200" w:lineRule="exact"/>
      <w:ind w:firstLine="301"/>
    </w:pPr>
    <w:rPr>
      <w:rFonts w:ascii="宋体" w:hAnsi="Courier New"/>
      <w:spacing w:val="-4"/>
      <w:sz w:val="18"/>
    </w:rPr>
  </w:style>
  <w:style w:type="paragraph" w:customStyle="1" w:styleId="12">
    <w:name w:val="样式 正文文本缩进 + 首行缩进:  2 字符 行距: 1.5 倍行距"/>
    <w:basedOn w:val="11"/>
    <w:qFormat/>
    <w:uiPriority w:val="0"/>
    <w:pPr>
      <w:ind w:firstLine="560"/>
    </w:pPr>
    <w:rPr>
      <w:rFonts w:eastAsia="仿宋_GB2312"/>
    </w:rPr>
  </w:style>
  <w:style w:type="paragraph" w:styleId="13">
    <w:name w:val="Block Text"/>
    <w:basedOn w:val="1"/>
    <w:next w:val="1"/>
    <w:qFormat/>
    <w:uiPriority w:val="0"/>
    <w:pPr>
      <w:widowControl/>
      <w:tabs>
        <w:tab w:val="right" w:pos="8640"/>
      </w:tabs>
      <w:spacing w:after="120" w:afterLines="0"/>
      <w:ind w:left="1440" w:leftChars="700" w:right="1440"/>
      <w:jc w:val="both"/>
    </w:pPr>
    <w:rPr>
      <w:rFonts w:ascii="Garamond" w:hAnsi="Garamond" w:eastAsia="Times New Roman" w:cs="Times New Roman"/>
      <w:spacing w:val="-2"/>
      <w:kern w:val="0"/>
      <w:sz w:val="24"/>
      <w:lang w:val="en-US" w:eastAsia="zh-CN" w:bidi="ar-SA"/>
    </w:rPr>
  </w:style>
  <w:style w:type="paragraph" w:styleId="14">
    <w:name w:val="toc 3"/>
    <w:basedOn w:val="1"/>
    <w:next w:val="1"/>
    <w:qFormat/>
    <w:uiPriority w:val="0"/>
    <w:pPr>
      <w:ind w:left="840" w:leftChars="400"/>
    </w:pPr>
  </w:style>
  <w:style w:type="paragraph" w:styleId="15">
    <w:name w:val="Plain Text"/>
    <w:basedOn w:val="1"/>
    <w:unhideWhenUsed/>
    <w:qFormat/>
    <w:uiPriority w:val="0"/>
    <w:rPr>
      <w:rFonts w:ascii="宋体" w:hAnsi="Courier New" w:cstheme="minorBidi"/>
      <w:sz w:val="21"/>
    </w:rPr>
  </w:style>
  <w:style w:type="paragraph" w:styleId="16">
    <w:name w:val="footer"/>
    <w:basedOn w:val="1"/>
    <w:next w:val="1"/>
    <w:qFormat/>
    <w:uiPriority w:val="99"/>
    <w:pPr>
      <w:tabs>
        <w:tab w:val="center" w:pos="4153"/>
        <w:tab w:val="right" w:pos="8306"/>
      </w:tabs>
      <w:snapToGrid w:val="0"/>
      <w:jc w:val="left"/>
    </w:pPr>
    <w:rPr>
      <w:sz w:val="18"/>
      <w:szCs w:val="18"/>
    </w:rPr>
  </w:style>
  <w:style w:type="paragraph" w:styleId="17">
    <w:name w:val="envelope return"/>
    <w:basedOn w:val="1"/>
    <w:qFormat/>
    <w:uiPriority w:val="0"/>
    <w:pPr>
      <w:snapToGrid w:val="0"/>
    </w:pPr>
    <w:rPr>
      <w:rFonts w:ascii="Arial" w:hAnsi="Arial"/>
    </w:rPr>
  </w:style>
  <w:style w:type="paragraph" w:styleId="18">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rPr>
      <w:sz w:val="21"/>
      <w:szCs w:val="24"/>
    </w:rPr>
  </w:style>
  <w:style w:type="paragraph" w:styleId="20">
    <w:name w:val="Body Text Indent 3"/>
    <w:basedOn w:val="1"/>
    <w:qFormat/>
    <w:uiPriority w:val="0"/>
    <w:pPr>
      <w:spacing w:after="120" w:afterLines="0" w:afterAutospacing="0"/>
      <w:ind w:left="420" w:leftChars="200"/>
    </w:pPr>
    <w:rPr>
      <w:sz w:val="16"/>
    </w:rPr>
  </w:style>
  <w:style w:type="paragraph" w:styleId="21">
    <w:name w:val="toc 2"/>
    <w:basedOn w:val="1"/>
    <w:next w:val="1"/>
    <w:qFormat/>
    <w:uiPriority w:val="39"/>
    <w:pPr>
      <w:ind w:left="420" w:leftChars="200"/>
    </w:pPr>
    <w:rPr>
      <w:sz w:val="21"/>
      <w:szCs w:val="24"/>
    </w:rPr>
  </w:style>
  <w:style w:type="paragraph" w:styleId="22">
    <w:name w:val="Normal (Web)"/>
    <w:basedOn w:val="1"/>
    <w:next w:val="17"/>
    <w:qFormat/>
    <w:uiPriority w:val="99"/>
    <w:rPr>
      <w:szCs w:val="24"/>
    </w:rPr>
  </w:style>
  <w:style w:type="paragraph" w:styleId="23">
    <w:name w:val="Title"/>
    <w:basedOn w:val="1"/>
    <w:next w:val="1"/>
    <w:qFormat/>
    <w:uiPriority w:val="0"/>
    <w:pPr>
      <w:spacing w:before="240" w:after="60"/>
      <w:jc w:val="center"/>
      <w:outlineLvl w:val="0"/>
    </w:pPr>
    <w:rPr>
      <w:rFonts w:asciiTheme="majorHAnsi" w:hAnsiTheme="majorHAnsi" w:eastAsiaTheme="majorEastAsia" w:cstheme="majorBidi"/>
      <w:b/>
      <w:bCs/>
      <w:sz w:val="32"/>
      <w:szCs w:val="32"/>
    </w:rPr>
  </w:style>
  <w:style w:type="paragraph" w:styleId="24">
    <w:name w:val="Body Text First Indent"/>
    <w:basedOn w:val="10"/>
    <w:next w:val="1"/>
    <w:qFormat/>
    <w:uiPriority w:val="0"/>
    <w:pPr>
      <w:ind w:firstLine="420" w:firstLineChars="100"/>
    </w:pPr>
    <w:rPr>
      <w:rFonts w:eastAsia="仿宋_GB2312"/>
      <w:sz w:val="28"/>
    </w:rPr>
  </w:style>
  <w:style w:type="paragraph" w:styleId="25">
    <w:name w:val="Body Text First Indent 2"/>
    <w:basedOn w:val="11"/>
    <w:next w:val="1"/>
    <w:qFormat/>
    <w:uiPriority w:val="0"/>
    <w:pPr>
      <w:ind w:firstLine="420" w:firstLineChars="200"/>
    </w:pPr>
    <w:rPr>
      <w:rFonts w:ascii="仿宋_GB2312" w:eastAsia="仿宋_GB2312" w:cs="宋体"/>
      <w:szCs w:val="21"/>
    </w:rPr>
  </w:style>
  <w:style w:type="table" w:styleId="27">
    <w:name w:val="Table Grid"/>
    <w:basedOn w:val="2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9">
    <w:name w:val="Strong"/>
    <w:basedOn w:val="28"/>
    <w:qFormat/>
    <w:uiPriority w:val="0"/>
    <w:rPr>
      <w:b/>
      <w:bCs/>
      <w:sz w:val="20"/>
      <w:szCs w:val="20"/>
    </w:rPr>
  </w:style>
  <w:style w:type="character" w:styleId="30">
    <w:name w:val="page number"/>
    <w:basedOn w:val="28"/>
    <w:qFormat/>
    <w:uiPriority w:val="0"/>
  </w:style>
  <w:style w:type="character" w:styleId="31">
    <w:name w:val="FollowedHyperlink"/>
    <w:basedOn w:val="28"/>
    <w:qFormat/>
    <w:uiPriority w:val="0"/>
    <w:rPr>
      <w:color w:val="333333"/>
      <w:u w:val="none"/>
    </w:rPr>
  </w:style>
  <w:style w:type="character" w:styleId="32">
    <w:name w:val="Emphasis"/>
    <w:basedOn w:val="28"/>
    <w:qFormat/>
    <w:uiPriority w:val="0"/>
  </w:style>
  <w:style w:type="character" w:styleId="33">
    <w:name w:val="HTML Definition"/>
    <w:basedOn w:val="28"/>
    <w:qFormat/>
    <w:uiPriority w:val="0"/>
    <w:rPr>
      <w:i/>
      <w:iCs/>
    </w:rPr>
  </w:style>
  <w:style w:type="character" w:styleId="34">
    <w:name w:val="HTML Typewriter"/>
    <w:basedOn w:val="28"/>
    <w:qFormat/>
    <w:uiPriority w:val="0"/>
    <w:rPr>
      <w:rFonts w:hint="default" w:ascii="monospace" w:hAnsi="monospace" w:eastAsia="monospace" w:cs="monospace"/>
      <w:sz w:val="20"/>
    </w:rPr>
  </w:style>
  <w:style w:type="character" w:styleId="35">
    <w:name w:val="HTML Acronym"/>
    <w:basedOn w:val="28"/>
    <w:qFormat/>
    <w:uiPriority w:val="0"/>
    <w:rPr>
      <w:color w:val="FFFFFF"/>
      <w:shd w:val="clear" w:fill="048FD2"/>
    </w:rPr>
  </w:style>
  <w:style w:type="character" w:styleId="36">
    <w:name w:val="HTML Variable"/>
    <w:basedOn w:val="28"/>
    <w:qFormat/>
    <w:uiPriority w:val="0"/>
  </w:style>
  <w:style w:type="character" w:styleId="37">
    <w:name w:val="Hyperlink"/>
    <w:basedOn w:val="28"/>
    <w:qFormat/>
    <w:uiPriority w:val="0"/>
    <w:rPr>
      <w:color w:val="0563C1" w:themeColor="hyperlink"/>
      <w:u w:val="single"/>
      <w14:textFill>
        <w14:solidFill>
          <w14:schemeClr w14:val="hlink"/>
        </w14:solidFill>
      </w14:textFill>
    </w:rPr>
  </w:style>
  <w:style w:type="character" w:styleId="38">
    <w:name w:val="HTML Code"/>
    <w:basedOn w:val="28"/>
    <w:qFormat/>
    <w:uiPriority w:val="0"/>
    <w:rPr>
      <w:rFonts w:ascii="Consolas" w:hAnsi="Consolas" w:eastAsia="Consolas" w:cs="Consolas"/>
      <w:color w:val="C7254E"/>
      <w:sz w:val="21"/>
      <w:szCs w:val="21"/>
      <w:shd w:val="clear" w:color="auto" w:fill="F9F2F4"/>
    </w:rPr>
  </w:style>
  <w:style w:type="character" w:styleId="39">
    <w:name w:val="HTML Cite"/>
    <w:basedOn w:val="28"/>
    <w:qFormat/>
    <w:uiPriority w:val="0"/>
    <w:rPr>
      <w:color w:val="008000"/>
    </w:rPr>
  </w:style>
  <w:style w:type="character" w:styleId="40">
    <w:name w:val="HTML Keyboard"/>
    <w:basedOn w:val="28"/>
    <w:qFormat/>
    <w:uiPriority w:val="0"/>
    <w:rPr>
      <w:rFonts w:hint="default" w:ascii="Consolas" w:hAnsi="Consolas" w:eastAsia="Consolas" w:cs="Consolas"/>
      <w:color w:val="FFFFFF"/>
      <w:sz w:val="21"/>
      <w:szCs w:val="21"/>
      <w:bdr w:val="single" w:color="CCCCCC" w:sz="6" w:space="0"/>
      <w:shd w:val="clear" w:color="auto" w:fill="333333"/>
    </w:rPr>
  </w:style>
  <w:style w:type="character" w:styleId="41">
    <w:name w:val="HTML Sample"/>
    <w:basedOn w:val="28"/>
    <w:qFormat/>
    <w:uiPriority w:val="0"/>
    <w:rPr>
      <w:rFonts w:hint="default" w:ascii="Consolas" w:hAnsi="Consolas" w:eastAsia="Consolas" w:cs="Consolas"/>
      <w:sz w:val="21"/>
      <w:szCs w:val="21"/>
    </w:rPr>
  </w:style>
  <w:style w:type="paragraph" w:customStyle="1" w:styleId="42">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43">
    <w:name w:val="标题 2 Char"/>
    <w:link w:val="4"/>
    <w:qFormat/>
    <w:uiPriority w:val="0"/>
    <w:rPr>
      <w:rFonts w:ascii="Arial" w:hAnsi="Arial" w:eastAsia="新宋体"/>
      <w:b/>
      <w:bCs/>
      <w:sz w:val="32"/>
      <w:szCs w:val="32"/>
    </w:rPr>
  </w:style>
  <w:style w:type="character" w:customStyle="1" w:styleId="44">
    <w:name w:val="标题 1 Char"/>
    <w:basedOn w:val="28"/>
    <w:link w:val="3"/>
    <w:qFormat/>
    <w:uiPriority w:val="0"/>
    <w:rPr>
      <w:rFonts w:ascii="Times New Roman" w:hAnsi="Times New Roman" w:eastAsia="宋体"/>
      <w:b/>
      <w:bCs/>
      <w:kern w:val="44"/>
      <w:sz w:val="36"/>
      <w:szCs w:val="44"/>
    </w:rPr>
  </w:style>
  <w:style w:type="paragraph" w:customStyle="1" w:styleId="45">
    <w:name w:val="正文缩进1"/>
    <w:basedOn w:val="1"/>
    <w:qFormat/>
    <w:uiPriority w:val="0"/>
    <w:pPr>
      <w:ind w:firstLine="200" w:firstLineChars="200"/>
    </w:pPr>
  </w:style>
  <w:style w:type="paragraph" w:customStyle="1" w:styleId="46">
    <w:name w:val="首行缩进"/>
    <w:basedOn w:val="1"/>
    <w:qFormat/>
    <w:uiPriority w:val="0"/>
    <w:pPr>
      <w:spacing w:line="360" w:lineRule="auto"/>
      <w:ind w:firstLine="480" w:firstLineChars="200"/>
    </w:pPr>
    <w:rPr>
      <w:sz w:val="24"/>
      <w:szCs w:val="22"/>
      <w:lang w:val="zh-CN"/>
    </w:rPr>
  </w:style>
  <w:style w:type="paragraph" w:customStyle="1" w:styleId="47">
    <w:name w:val="表格文字"/>
    <w:basedOn w:val="1"/>
    <w:qFormat/>
    <w:uiPriority w:val="0"/>
    <w:pPr>
      <w:keepNext w:val="0"/>
      <w:keepLines w:val="0"/>
      <w:widowControl w:val="0"/>
      <w:suppressLineNumbers w:val="0"/>
      <w:spacing w:before="120" w:beforeAutospacing="0" w:after="120" w:afterAutospacing="0"/>
      <w:ind w:left="0" w:right="0"/>
      <w:jc w:val="both"/>
    </w:pPr>
    <w:rPr>
      <w:rFonts w:hint="eastAsia" w:ascii="新宋体" w:hAnsi="宋体" w:eastAsia="新宋体" w:cs="Times New Roman"/>
      <w:bCs/>
      <w:color w:val="000000"/>
      <w:kern w:val="0"/>
      <w:sz w:val="18"/>
      <w:szCs w:val="18"/>
      <w:lang w:val="en-US" w:eastAsia="zh-CN" w:bidi="ar"/>
    </w:rPr>
  </w:style>
  <w:style w:type="paragraph" w:customStyle="1" w:styleId="48">
    <w:name w:val="_Style 2"/>
    <w:basedOn w:val="1"/>
    <w:next w:val="1"/>
    <w:qFormat/>
    <w:uiPriority w:val="0"/>
    <w:pPr>
      <w:ind w:firstLine="420" w:firstLineChars="200"/>
    </w:pPr>
    <w:rPr>
      <w:rFonts w:ascii="Times New Roman" w:hAnsi="Times New Roman" w:eastAsia="宋体" w:cs="Times New Roman"/>
    </w:rPr>
  </w:style>
  <w:style w:type="paragraph" w:customStyle="1" w:styleId="49">
    <w:name w:val="Char Char1 Char"/>
    <w:basedOn w:val="1"/>
    <w:qFormat/>
    <w:uiPriority w:val="0"/>
  </w:style>
  <w:style w:type="paragraph" w:customStyle="1" w:styleId="50">
    <w:name w:val="_Style 5"/>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51">
    <w:name w:val="09正文_wh"/>
    <w:qFormat/>
    <w:uiPriority w:val="0"/>
    <w:pPr>
      <w:spacing w:line="300" w:lineRule="auto"/>
      <w:ind w:firstLine="200" w:firstLineChars="200"/>
      <w:jc w:val="both"/>
    </w:pPr>
    <w:rPr>
      <w:rFonts w:ascii="Times New Roman" w:hAnsi="Times New Roman" w:eastAsia="宋体" w:cs="Times New Roman"/>
      <w:sz w:val="28"/>
      <w:szCs w:val="22"/>
      <w:lang w:val="en-US" w:eastAsia="zh-CN" w:bidi="ar-SA"/>
    </w:rPr>
  </w:style>
  <w:style w:type="paragraph" w:customStyle="1" w:styleId="52">
    <w:name w:val="p15"/>
    <w:basedOn w:val="1"/>
    <w:qFormat/>
    <w:uiPriority w:val="99"/>
    <w:pPr>
      <w:widowControl/>
    </w:pPr>
    <w:rPr>
      <w:kern w:val="0"/>
      <w:sz w:val="21"/>
      <w:szCs w:val="21"/>
    </w:rPr>
  </w:style>
  <w:style w:type="paragraph" w:customStyle="1" w:styleId="53">
    <w:name w:val="列表段落1"/>
    <w:basedOn w:val="1"/>
    <w:unhideWhenUsed/>
    <w:qFormat/>
    <w:uiPriority w:val="99"/>
    <w:pPr>
      <w:ind w:firstLine="420" w:firstLineChars="200"/>
    </w:pPr>
  </w:style>
  <w:style w:type="paragraph" w:customStyle="1" w:styleId="54">
    <w:name w:val="p0"/>
    <w:basedOn w:val="1"/>
    <w:qFormat/>
    <w:uiPriority w:val="0"/>
    <w:rPr>
      <w:szCs w:val="21"/>
    </w:rPr>
  </w:style>
  <w:style w:type="character" w:customStyle="1" w:styleId="55">
    <w:name w:val="标题 2 Char Char"/>
    <w:qFormat/>
    <w:uiPriority w:val="0"/>
    <w:rPr>
      <w:rFonts w:hint="default" w:ascii="Arial" w:hAnsi="Arial" w:eastAsia="宋体" w:cs="Arial"/>
      <w:b/>
      <w:kern w:val="2"/>
      <w:sz w:val="30"/>
      <w:lang w:val="en-US" w:eastAsia="zh-CN" w:bidi="ar-SA"/>
    </w:rPr>
  </w:style>
  <w:style w:type="character" w:customStyle="1" w:styleId="56">
    <w:name w:val="标题 1 字符"/>
    <w:basedOn w:val="28"/>
    <w:link w:val="3"/>
    <w:qFormat/>
    <w:uiPriority w:val="0"/>
    <w:rPr>
      <w:rFonts w:ascii="Times New Roman" w:hAnsi="Times New Roman" w:eastAsia="宋体"/>
      <w:b/>
      <w:bCs/>
      <w:kern w:val="44"/>
      <w:sz w:val="36"/>
      <w:szCs w:val="44"/>
    </w:rPr>
  </w:style>
  <w:style w:type="character" w:customStyle="1" w:styleId="57">
    <w:name w:val="ca-2"/>
    <w:basedOn w:val="28"/>
    <w:qFormat/>
    <w:uiPriority w:val="0"/>
  </w:style>
  <w:style w:type="character" w:customStyle="1" w:styleId="58">
    <w:name w:val="tmpztreemove_arrow"/>
    <w:basedOn w:val="28"/>
    <w:qFormat/>
    <w:uiPriority w:val="0"/>
    <w:rPr>
      <w:shd w:val="clear" w:color="auto" w:fill="FFFFFF"/>
    </w:rPr>
  </w:style>
  <w:style w:type="paragraph" w:customStyle="1" w:styleId="59">
    <w:name w:val="title1"/>
    <w:basedOn w:val="1"/>
    <w:qFormat/>
    <w:uiPriority w:val="0"/>
    <w:pPr>
      <w:spacing w:before="150" w:line="450" w:lineRule="atLeast"/>
      <w:jc w:val="left"/>
    </w:pPr>
    <w:rPr>
      <w:b/>
      <w:kern w:val="0"/>
      <w:szCs w:val="24"/>
    </w:rPr>
  </w:style>
  <w:style w:type="character" w:customStyle="1" w:styleId="60">
    <w:name w:val="button"/>
    <w:basedOn w:val="28"/>
    <w:qFormat/>
    <w:uiPriority w:val="0"/>
  </w:style>
  <w:style w:type="character" w:customStyle="1" w:styleId="61">
    <w:name w:val="hour_am"/>
    <w:basedOn w:val="28"/>
    <w:qFormat/>
    <w:uiPriority w:val="0"/>
  </w:style>
  <w:style w:type="character" w:customStyle="1" w:styleId="62">
    <w:name w:val="hover3"/>
    <w:basedOn w:val="28"/>
    <w:qFormat/>
    <w:uiPriority w:val="0"/>
    <w:rPr>
      <w:shd w:val="clear" w:color="auto" w:fill="EEEEEE"/>
    </w:rPr>
  </w:style>
  <w:style w:type="character" w:customStyle="1" w:styleId="63">
    <w:name w:val="old"/>
    <w:basedOn w:val="28"/>
    <w:qFormat/>
    <w:uiPriority w:val="0"/>
    <w:rPr>
      <w:color w:val="999999"/>
    </w:rPr>
  </w:style>
  <w:style w:type="character" w:customStyle="1" w:styleId="64">
    <w:name w:val="glyphicon4"/>
    <w:basedOn w:val="28"/>
    <w:qFormat/>
    <w:uiPriority w:val="0"/>
  </w:style>
  <w:style w:type="character" w:customStyle="1" w:styleId="65">
    <w:name w:val="hour_pm"/>
    <w:basedOn w:val="28"/>
    <w:qFormat/>
    <w:uiPriority w:val="0"/>
  </w:style>
  <w:style w:type="character" w:customStyle="1" w:styleId="66">
    <w:name w:val="indent"/>
    <w:basedOn w:val="28"/>
    <w:qFormat/>
    <w:uiPriority w:val="0"/>
  </w:style>
  <w:style w:type="paragraph" w:customStyle="1" w:styleId="67">
    <w:name w:val="title11"/>
    <w:basedOn w:val="1"/>
    <w:qFormat/>
    <w:uiPriority w:val="0"/>
    <w:pPr>
      <w:spacing w:before="150" w:line="450" w:lineRule="atLeast"/>
      <w:jc w:val="left"/>
    </w:pPr>
    <w:rPr>
      <w:b/>
      <w:kern w:val="0"/>
      <w:szCs w:val="24"/>
    </w:rPr>
  </w:style>
  <w:style w:type="paragraph" w:customStyle="1" w:styleId="68">
    <w:name w:val="Table Paragraph"/>
    <w:basedOn w:val="1"/>
    <w:qFormat/>
    <w:uiPriority w:val="1"/>
    <w:rPr>
      <w:rFonts w:ascii="宋体" w:hAnsi="宋体" w:cs="宋体"/>
      <w:lang w:val="zh-CN" w:bidi="zh-CN"/>
    </w:rPr>
  </w:style>
  <w:style w:type="paragraph" w:customStyle="1" w:styleId="69">
    <w:name w:val="1正文"/>
    <w:basedOn w:val="22"/>
    <w:qFormat/>
    <w:uiPriority w:val="0"/>
    <w:pPr>
      <w:spacing w:line="360" w:lineRule="auto"/>
      <w:ind w:firstLine="960" w:firstLineChars="200"/>
    </w:pPr>
    <w:rPr>
      <w:kern w:val="0"/>
    </w:rPr>
  </w:style>
  <w:style w:type="paragraph" w:customStyle="1" w:styleId="70">
    <w:name w:val="样式 WG标题3 + 行距: 固定值 18 磅"/>
    <w:basedOn w:val="1"/>
    <w:qFormat/>
    <w:uiPriority w:val="0"/>
    <w:pPr>
      <w:autoSpaceDE w:val="0"/>
      <w:autoSpaceDN w:val="0"/>
      <w:adjustRightInd w:val="0"/>
      <w:spacing w:line="360" w:lineRule="exact"/>
      <w:ind w:firstLine="200" w:firstLineChars="200"/>
      <w:textAlignment w:val="baseline"/>
      <w:outlineLvl w:val="2"/>
    </w:pPr>
    <w:rPr>
      <w:rFonts w:cs="宋体"/>
      <w:b/>
      <w:bCs/>
      <w:color w:val="000000"/>
      <w:kern w:val="20"/>
    </w:rPr>
  </w:style>
  <w:style w:type="paragraph" w:customStyle="1" w:styleId="71">
    <w:name w:val="表格文字中"/>
    <w:basedOn w:val="1"/>
    <w:qFormat/>
    <w:uiPriority w:val="0"/>
    <w:pPr>
      <w:adjustRightInd w:val="0"/>
      <w:snapToGrid w:val="0"/>
      <w:ind w:left="22" w:leftChars="8"/>
      <w:jc w:val="center"/>
    </w:pPr>
    <w:rPr>
      <w:kern w:val="0"/>
      <w:szCs w:val="24"/>
    </w:rPr>
  </w:style>
  <w:style w:type="paragraph" w:customStyle="1" w:styleId="72">
    <w:name w:val="表注1"/>
    <w:basedOn w:val="1"/>
    <w:qFormat/>
    <w:uiPriority w:val="0"/>
    <w:pPr>
      <w:adjustRightInd w:val="0"/>
      <w:snapToGrid w:val="0"/>
      <w:spacing w:beforeLines="50" w:line="300" w:lineRule="auto"/>
      <w:ind w:left="350" w:hanging="350" w:hangingChars="350"/>
    </w:pPr>
    <w:rPr>
      <w:rFonts w:eastAsia="仿宋_GB2312"/>
      <w:bCs/>
      <w:color w:val="000000"/>
      <w:szCs w:val="24"/>
    </w:rPr>
  </w:style>
  <w:style w:type="character" w:customStyle="1" w:styleId="73">
    <w:name w:val="标题 2 字符"/>
    <w:link w:val="4"/>
    <w:qFormat/>
    <w:uiPriority w:val="9"/>
    <w:rPr>
      <w:rFonts w:ascii="Arial" w:hAnsi="Arial" w:eastAsia="宋体"/>
      <w:b/>
      <w:bCs/>
      <w:sz w:val="30"/>
      <w:szCs w:val="32"/>
    </w:rPr>
  </w:style>
  <w:style w:type="character" w:customStyle="1" w:styleId="74">
    <w:name w:val="标题 3 字符"/>
    <w:link w:val="5"/>
    <w:qFormat/>
    <w:uiPriority w:val="0"/>
    <w:rPr>
      <w:rFonts w:ascii="Times New Roman" w:hAnsi="Times New Roman"/>
      <w:b/>
      <w:sz w:val="28"/>
    </w:rPr>
  </w:style>
  <w:style w:type="character" w:customStyle="1" w:styleId="75">
    <w:name w:val="c-icon13"/>
    <w:basedOn w:val="28"/>
    <w:qFormat/>
    <w:uiPriority w:val="0"/>
  </w:style>
  <w:style w:type="character" w:customStyle="1" w:styleId="76">
    <w:name w:val="p41"/>
    <w:qFormat/>
    <w:uiPriority w:val="0"/>
    <w:rPr>
      <w:rFonts w:ascii="宋体" w:hAnsi="宋体" w:eastAsia="宋体" w:cs="宋体"/>
      <w:sz w:val="24"/>
      <w:szCs w:val="24"/>
    </w:rPr>
  </w:style>
  <w:style w:type="character" w:customStyle="1" w:styleId="77">
    <w:name w:val="font11"/>
    <w:basedOn w:val="28"/>
    <w:qFormat/>
    <w:uiPriority w:val="0"/>
    <w:rPr>
      <w:rFonts w:hint="default" w:ascii="仿宋_GB2312" w:eastAsia="仿宋_GB2312" w:cs="仿宋_GB2312"/>
      <w:color w:val="000000"/>
      <w:sz w:val="21"/>
      <w:szCs w:val="21"/>
      <w:u w:val="none"/>
    </w:rPr>
  </w:style>
  <w:style w:type="character" w:customStyle="1" w:styleId="78">
    <w:name w:val="font01"/>
    <w:basedOn w:val="28"/>
    <w:qFormat/>
    <w:uiPriority w:val="0"/>
    <w:rPr>
      <w:rFonts w:hint="eastAsia" w:ascii="宋体" w:hAnsi="宋体" w:eastAsia="宋体" w:cs="宋体"/>
      <w:color w:val="000000"/>
      <w:sz w:val="22"/>
      <w:szCs w:val="22"/>
      <w:u w:val="none"/>
    </w:rPr>
  </w:style>
  <w:style w:type="character" w:customStyle="1" w:styleId="79">
    <w:name w:val="proollist"/>
    <w:basedOn w:val="28"/>
    <w:qFormat/>
    <w:uiPriority w:val="0"/>
  </w:style>
  <w:style w:type="character" w:customStyle="1" w:styleId="80">
    <w:name w:val="beforeinfotext"/>
    <w:basedOn w:val="28"/>
    <w:qFormat/>
    <w:uiPriority w:val="0"/>
    <w:rPr>
      <w:color w:val="666666"/>
    </w:rPr>
  </w:style>
  <w:style w:type="paragraph" w:customStyle="1" w:styleId="81">
    <w:name w:val="title12"/>
    <w:basedOn w:val="1"/>
    <w:qFormat/>
    <w:uiPriority w:val="0"/>
    <w:pPr>
      <w:spacing w:before="150" w:beforeAutospacing="0" w:after="0" w:afterAutospacing="0"/>
      <w:ind w:left="0" w:right="0" w:firstLine="0"/>
      <w:jc w:val="left"/>
    </w:pPr>
    <w:rPr>
      <w:b/>
      <w:kern w:val="0"/>
      <w:sz w:val="22"/>
      <w:szCs w:val="22"/>
      <w:lang w:val="en-US" w:eastAsia="zh-CN" w:bidi="ar"/>
    </w:rPr>
  </w:style>
  <w:style w:type="character" w:customStyle="1" w:styleId="82">
    <w:name w:val="stclosebtn"/>
    <w:basedOn w:val="28"/>
    <w:qFormat/>
    <w:uiPriority w:val="0"/>
  </w:style>
  <w:style w:type="character" w:customStyle="1" w:styleId="83">
    <w:name w:val="number"/>
    <w:basedOn w:val="28"/>
    <w:qFormat/>
    <w:uiPriority w:val="0"/>
    <w:rPr>
      <w:color w:val="FF8833"/>
      <w:sz w:val="18"/>
      <w:szCs w:val="18"/>
    </w:rPr>
  </w:style>
  <w:style w:type="character" w:customStyle="1" w:styleId="84">
    <w:name w:val="phone"/>
    <w:basedOn w:val="28"/>
    <w:qFormat/>
    <w:uiPriority w:val="0"/>
    <w:rPr>
      <w:color w:val="FF8833"/>
      <w:sz w:val="18"/>
      <w:szCs w:val="18"/>
    </w:rPr>
  </w:style>
  <w:style w:type="character" w:customStyle="1" w:styleId="85">
    <w:name w:val="font41"/>
    <w:basedOn w:val="28"/>
    <w:qFormat/>
    <w:uiPriority w:val="0"/>
    <w:rPr>
      <w:rFonts w:hint="eastAsia" w:ascii="宋体" w:hAnsi="宋体" w:eastAsia="宋体" w:cs="宋体"/>
      <w:b/>
      <w:color w:val="000000"/>
      <w:sz w:val="20"/>
      <w:szCs w:val="20"/>
      <w:u w:val="none"/>
    </w:rPr>
  </w:style>
  <w:style w:type="character" w:customStyle="1" w:styleId="86">
    <w:name w:val="font91"/>
    <w:basedOn w:val="28"/>
    <w:qFormat/>
    <w:uiPriority w:val="0"/>
    <w:rPr>
      <w:rFonts w:hint="eastAsia" w:ascii="宋体" w:hAnsi="宋体" w:eastAsia="宋体" w:cs="宋体"/>
      <w:color w:val="000000"/>
      <w:sz w:val="20"/>
      <w:szCs w:val="20"/>
      <w:u w:val="none"/>
    </w:rPr>
  </w:style>
  <w:style w:type="paragraph" w:customStyle="1" w:styleId="87">
    <w:name w:val="Plain Text"/>
    <w:basedOn w:val="1"/>
    <w:qFormat/>
    <w:uiPriority w:val="0"/>
    <w:pPr>
      <w:spacing w:line="324" w:lineRule="auto"/>
    </w:pPr>
    <w:rPr>
      <w:rFonts w:ascii="宋体" w:hAnsi="Courier New" w:cs="Courier New"/>
      <w:szCs w:val="21"/>
    </w:rPr>
  </w:style>
  <w:style w:type="paragraph" w:customStyle="1" w:styleId="88">
    <w:name w:val="title13"/>
    <w:basedOn w:val="1"/>
    <w:qFormat/>
    <w:uiPriority w:val="0"/>
    <w:pPr>
      <w:spacing w:before="150" w:beforeAutospacing="0" w:after="0" w:afterAutospacing="0"/>
      <w:ind w:left="0" w:right="0" w:firstLine="0"/>
      <w:jc w:val="left"/>
    </w:pPr>
    <w:rPr>
      <w:b/>
      <w:kern w:val="0"/>
      <w:sz w:val="22"/>
      <w:szCs w:val="22"/>
      <w:lang w:val="en-US" w:eastAsia="zh-CN" w:bidi="ar"/>
    </w:rPr>
  </w:style>
  <w:style w:type="paragraph" w:styleId="89">
    <w:name w:val="List Paragraph"/>
    <w:basedOn w:val="1"/>
    <w:qFormat/>
    <w:uiPriority w:val="34"/>
    <w:pPr>
      <w:ind w:firstLine="420" w:firstLineChars="200"/>
    </w:pPr>
  </w:style>
  <w:style w:type="paragraph" w:customStyle="1" w:styleId="90">
    <w:name w:val=" Char Char1 Char"/>
    <w:basedOn w:val="1"/>
    <w:qFormat/>
    <w:uiPriority w:val="0"/>
    <w:rPr>
      <w:rFonts w:ascii="宋体" w:hAnsi="宋体"/>
      <w:sz w:val="24"/>
    </w:rPr>
  </w:style>
  <w:style w:type="paragraph" w:customStyle="1" w:styleId="91">
    <w:name w:val="小四正文"/>
    <w:basedOn w:val="1"/>
    <w:qFormat/>
    <w:uiPriority w:val="0"/>
    <w:pPr>
      <w:spacing w:line="360" w:lineRule="auto"/>
      <w:ind w:firstLine="200" w:firstLineChars="200"/>
    </w:pPr>
    <w:rPr>
      <w:rFonts w:ascii="宋体" w:eastAsia="仿宋"/>
      <w:sz w:val="28"/>
    </w:rPr>
  </w:style>
  <w:style w:type="paragraph" w:customStyle="1" w:styleId="92">
    <w:name w:val="正文（缩进 2 字符）"/>
    <w:qFormat/>
    <w:uiPriority w:val="0"/>
    <w:pPr>
      <w:spacing w:line="400" w:lineRule="exact"/>
      <w:ind w:firstLine="200" w:firstLineChars="200"/>
      <w:jc w:val="both"/>
    </w:pPr>
    <w:rPr>
      <w:rFonts w:ascii="Calibri Light" w:hAnsi="Calibri Light" w:eastAsia="华文仿宋" w:cs="Times New Roman"/>
      <w:kern w:val="2"/>
      <w:sz w:val="28"/>
      <w:szCs w:val="28"/>
      <w:lang w:val="en-US" w:eastAsia="zh-CN" w:bidi="ar-SA"/>
    </w:rPr>
  </w:style>
  <w:style w:type="paragraph" w:customStyle="1" w:styleId="93">
    <w:name w:val="标题 3（投标文件）"/>
    <w:qFormat/>
    <w:uiPriority w:val="0"/>
    <w:pPr>
      <w:keepNext/>
      <w:keepLines/>
      <w:spacing w:before="0" w:after="0" w:line="400" w:lineRule="atLeast"/>
      <w:jc w:val="left"/>
      <w:outlineLvl w:val="2"/>
    </w:pPr>
    <w:rPr>
      <w:rFonts w:ascii="Calibri Light" w:hAnsi="Calibri Light" w:eastAsia="华文仿宋" w:cs="Times New Roman"/>
      <w:b/>
      <w:bCs/>
      <w:kern w:val="2"/>
      <w:sz w:val="32"/>
      <w:szCs w:val="32"/>
      <w:lang w:val="en-US" w:eastAsia="zh-CN" w:bidi="ar-SA"/>
    </w:rPr>
  </w:style>
  <w:style w:type="paragraph" w:customStyle="1" w:styleId="94">
    <w:name w:val="样式1"/>
    <w:qFormat/>
    <w:uiPriority w:val="0"/>
    <w:pPr>
      <w:widowControl w:val="0"/>
      <w:jc w:val="left"/>
    </w:pPr>
    <w:rPr>
      <w:rFonts w:ascii="宋体" w:hAnsi="Courier New" w:eastAsia="仿宋_GB2312" w:cs="Courier New"/>
      <w:kern w:val="2"/>
      <w:sz w:val="32"/>
      <w:szCs w:val="21"/>
      <w:lang w:val="en-US" w:eastAsia="zh-CN" w:bidi="ar-SA"/>
    </w:rPr>
  </w:style>
  <w:style w:type="character" w:customStyle="1" w:styleId="95">
    <w:name w:val="mini-tree-nodetext3"/>
    <w:basedOn w:val="28"/>
    <w:qFormat/>
    <w:uiPriority w:val="0"/>
  </w:style>
  <w:style w:type="character" w:customStyle="1" w:styleId="96">
    <w:name w:val="mini-outputtext1"/>
    <w:basedOn w:val="28"/>
    <w:qFormat/>
    <w:uiPriority w:val="0"/>
  </w:style>
  <w:style w:type="character" w:customStyle="1" w:styleId="97">
    <w:name w:val="NormalCharacter"/>
    <w:link w:val="1"/>
    <w:qFormat/>
    <w:uiPriority w:val="0"/>
    <w:rPr>
      <w:rFonts w:ascii="Times New Roman" w:hAnsi="Times New Roman" w:eastAsia="宋体" w:cs="Times New Roman"/>
      <w:kern w:val="2"/>
      <w:sz w:val="24"/>
      <w:lang w:val="en-US" w:eastAsia="zh-CN" w:bidi="ar-SA"/>
    </w:rPr>
  </w:style>
  <w:style w:type="paragraph" w:customStyle="1" w:styleId="98">
    <w:name w:val="3级"/>
    <w:basedOn w:val="99"/>
    <w:qFormat/>
    <w:uiPriority w:val="0"/>
    <w:pPr>
      <w:numPr>
        <w:ilvl w:val="0"/>
        <w:numId w:val="1"/>
      </w:numPr>
      <w:ind w:firstLineChars="0"/>
      <w:outlineLvl w:val="2"/>
    </w:pPr>
  </w:style>
  <w:style w:type="paragraph" w:customStyle="1" w:styleId="99">
    <w:name w:val="列出段落1"/>
    <w:basedOn w:val="1"/>
    <w:qFormat/>
    <w:uiPriority w:val="0"/>
    <w:pPr>
      <w:ind w:firstLine="420" w:firstLineChars="200"/>
    </w:pPr>
    <w:rPr>
      <w:rFonts w:ascii="Calibri" w:hAnsi="Calibri"/>
      <w:szCs w:val="22"/>
    </w:rPr>
  </w:style>
  <w:style w:type="paragraph" w:customStyle="1" w:styleId="100">
    <w:name w:val="Normal Indent1"/>
    <w:basedOn w:val="1"/>
    <w:qFormat/>
    <w:uiPriority w:val="0"/>
    <w:pPr>
      <w:ind w:firstLine="200" w:firstLineChars="200"/>
    </w:pPr>
    <w:rPr>
      <w:rFonts w:eastAsia="楷体_GB2312"/>
    </w:rPr>
  </w:style>
  <w:style w:type="character" w:customStyle="1" w:styleId="101">
    <w:name w:val="before2"/>
    <w:basedOn w:val="28"/>
    <w:qFormat/>
    <w:uiPriority w:val="0"/>
    <w:rPr>
      <w:shd w:val="clear" w:fill="C20E0C"/>
    </w:rPr>
  </w:style>
  <w:style w:type="character" w:customStyle="1" w:styleId="102">
    <w:name w:val="nth-of-type(2)"/>
    <w:basedOn w:val="28"/>
    <w:qFormat/>
    <w:uiPriority w:val="0"/>
  </w:style>
  <w:style w:type="character" w:customStyle="1" w:styleId="103">
    <w:name w:val="layui-laypage-curr"/>
    <w:basedOn w:val="28"/>
    <w:qFormat/>
    <w:uiPriority w:val="0"/>
  </w:style>
  <w:style w:type="character" w:customStyle="1" w:styleId="104">
    <w:name w:val="nth-of-type(6)"/>
    <w:basedOn w:val="28"/>
    <w:qFormat/>
    <w:uiPriority w:val="0"/>
  </w:style>
  <w:style w:type="character" w:customStyle="1" w:styleId="105">
    <w:name w:val="first-child"/>
    <w:basedOn w:val="28"/>
    <w:qFormat/>
    <w:uiPriority w:val="0"/>
  </w:style>
  <w:style w:type="character" w:customStyle="1" w:styleId="106">
    <w:name w:val="first-child1"/>
    <w:basedOn w:val="28"/>
    <w:qFormat/>
    <w:uiPriority w:val="0"/>
  </w:style>
  <w:style w:type="character" w:customStyle="1" w:styleId="107">
    <w:name w:val="first-child2"/>
    <w:basedOn w:val="28"/>
    <w:qFormat/>
    <w:uiPriority w:val="0"/>
  </w:style>
  <w:style w:type="character" w:customStyle="1" w:styleId="108">
    <w:name w:val="first-child3"/>
    <w:basedOn w:val="28"/>
    <w:qFormat/>
    <w:uiPriority w:val="0"/>
  </w:style>
  <w:style w:type="character" w:customStyle="1" w:styleId="109">
    <w:name w:val="nth-of-type(1)"/>
    <w:basedOn w:val="28"/>
    <w:qFormat/>
    <w:uiPriority w:val="0"/>
  </w:style>
  <w:style w:type="character" w:customStyle="1" w:styleId="110">
    <w:name w:val="nth-of-type(1)1"/>
    <w:basedOn w:val="28"/>
    <w:qFormat/>
    <w:uiPriority w:val="0"/>
  </w:style>
  <w:style w:type="character" w:customStyle="1" w:styleId="111">
    <w:name w:val="nth-of-type(1)2"/>
    <w:basedOn w:val="28"/>
    <w:qFormat/>
    <w:uiPriority w:val="0"/>
  </w:style>
  <w:style w:type="character" w:customStyle="1" w:styleId="112">
    <w:name w:val="nth-of-type(1)3"/>
    <w:basedOn w:val="28"/>
    <w:qFormat/>
    <w:uiPriority w:val="0"/>
  </w:style>
  <w:style w:type="character" w:customStyle="1" w:styleId="113">
    <w:name w:val="nth-of-type(1)4"/>
    <w:basedOn w:val="28"/>
    <w:qFormat/>
    <w:uiPriority w:val="0"/>
  </w:style>
  <w:style w:type="character" w:customStyle="1" w:styleId="114">
    <w:name w:val="nth-of-type(1)5"/>
    <w:basedOn w:val="28"/>
    <w:qFormat/>
    <w:uiPriority w:val="0"/>
    <w:rPr>
      <w:rFonts w:ascii="SourceHanSansCN-Regular" w:hAnsi="SourceHanSansCN-Regular" w:eastAsia="SourceHanSansCN-Regular" w:cs="SourceHanSansCN-Regular"/>
      <w:color w:val="FB560A"/>
      <w:sz w:val="21"/>
      <w:szCs w:val="21"/>
    </w:rPr>
  </w:style>
  <w:style w:type="character" w:customStyle="1" w:styleId="115">
    <w:name w:val="nth-of-type(1)6"/>
    <w:basedOn w:val="28"/>
    <w:qFormat/>
    <w:uiPriority w:val="0"/>
  </w:style>
  <w:style w:type="character" w:customStyle="1" w:styleId="116">
    <w:name w:val="nth-of-type(1)7"/>
    <w:basedOn w:val="28"/>
    <w:qFormat/>
    <w:uiPriority w:val="0"/>
  </w:style>
  <w:style w:type="character" w:customStyle="1" w:styleId="117">
    <w:name w:val="nth-of-type(1)8"/>
    <w:basedOn w:val="28"/>
    <w:qFormat/>
    <w:uiPriority w:val="0"/>
  </w:style>
  <w:style w:type="character" w:customStyle="1" w:styleId="118">
    <w:name w:val="nth-of-type(1)9"/>
    <w:basedOn w:val="28"/>
    <w:qFormat/>
    <w:uiPriority w:val="0"/>
  </w:style>
  <w:style w:type="character" w:customStyle="1" w:styleId="119">
    <w:name w:val="nth-of-type(1)10"/>
    <w:basedOn w:val="28"/>
    <w:qFormat/>
    <w:uiPriority w:val="0"/>
  </w:style>
  <w:style w:type="character" w:customStyle="1" w:styleId="120">
    <w:name w:val="nth-of-type(1)11"/>
    <w:basedOn w:val="28"/>
    <w:qFormat/>
    <w:uiPriority w:val="0"/>
  </w:style>
  <w:style w:type="character" w:customStyle="1" w:styleId="121">
    <w:name w:val="nth-of-type(1)12"/>
    <w:basedOn w:val="28"/>
    <w:qFormat/>
    <w:uiPriority w:val="0"/>
  </w:style>
  <w:style w:type="character" w:customStyle="1" w:styleId="122">
    <w:name w:val="nth-of-type(1)13"/>
    <w:basedOn w:val="28"/>
    <w:qFormat/>
    <w:uiPriority w:val="0"/>
  </w:style>
  <w:style w:type="character" w:customStyle="1" w:styleId="123">
    <w:name w:val="nth-of-type(1)14"/>
    <w:basedOn w:val="28"/>
    <w:qFormat/>
    <w:uiPriority w:val="0"/>
  </w:style>
  <w:style w:type="character" w:customStyle="1" w:styleId="124">
    <w:name w:val="nth-of-type(1)15"/>
    <w:basedOn w:val="28"/>
    <w:qFormat/>
    <w:uiPriority w:val="0"/>
    <w:rPr>
      <w:color w:val="0082DF"/>
    </w:rPr>
  </w:style>
  <w:style w:type="character" w:customStyle="1" w:styleId="125">
    <w:name w:val="nth-of-type(1)16"/>
    <w:basedOn w:val="28"/>
    <w:qFormat/>
    <w:uiPriority w:val="0"/>
  </w:style>
  <w:style w:type="character" w:customStyle="1" w:styleId="126">
    <w:name w:val="nth-of-type(1)17"/>
    <w:basedOn w:val="28"/>
    <w:qFormat/>
    <w:uiPriority w:val="0"/>
  </w:style>
  <w:style w:type="character" w:customStyle="1" w:styleId="127">
    <w:name w:val="nth-of-type(1)18"/>
    <w:basedOn w:val="28"/>
    <w:qFormat/>
    <w:uiPriority w:val="0"/>
    <w:rPr>
      <w:sz w:val="21"/>
      <w:szCs w:val="21"/>
    </w:rPr>
  </w:style>
  <w:style w:type="character" w:customStyle="1" w:styleId="128">
    <w:name w:val="nth-of-type(3)"/>
    <w:basedOn w:val="28"/>
    <w:qFormat/>
    <w:uiPriority w:val="0"/>
  </w:style>
  <w:style w:type="character" w:customStyle="1" w:styleId="129">
    <w:name w:val="nth-of-type(3)1"/>
    <w:basedOn w:val="28"/>
    <w:qFormat/>
    <w:uiPriority w:val="0"/>
  </w:style>
  <w:style w:type="character" w:customStyle="1" w:styleId="130">
    <w:name w:val="nth-of-type(3)2"/>
    <w:basedOn w:val="28"/>
    <w:qFormat/>
    <w:uiPriority w:val="0"/>
  </w:style>
  <w:style w:type="character" w:customStyle="1" w:styleId="131">
    <w:name w:val="nth-of-type(3)3"/>
    <w:basedOn w:val="28"/>
    <w:qFormat/>
    <w:uiPriority w:val="0"/>
  </w:style>
  <w:style w:type="character" w:customStyle="1" w:styleId="132">
    <w:name w:val="nth-of-type(3)4"/>
    <w:basedOn w:val="28"/>
    <w:qFormat/>
    <w:uiPriority w:val="0"/>
  </w:style>
  <w:style w:type="character" w:customStyle="1" w:styleId="133">
    <w:name w:val="nth-of-type(3)5"/>
    <w:basedOn w:val="28"/>
    <w:qFormat/>
    <w:uiPriority w:val="0"/>
  </w:style>
  <w:style w:type="character" w:customStyle="1" w:styleId="134">
    <w:name w:val="nth-of-type(3)6"/>
    <w:basedOn w:val="28"/>
    <w:qFormat/>
    <w:uiPriority w:val="0"/>
  </w:style>
  <w:style w:type="character" w:customStyle="1" w:styleId="135">
    <w:name w:val="nth-of-type(3)7"/>
    <w:basedOn w:val="28"/>
    <w:qFormat/>
    <w:uiPriority w:val="0"/>
    <w:rPr>
      <w:sz w:val="21"/>
      <w:szCs w:val="21"/>
    </w:rPr>
  </w:style>
  <w:style w:type="character" w:customStyle="1" w:styleId="136">
    <w:name w:val="nth-of-type(4)"/>
    <w:basedOn w:val="28"/>
    <w:qFormat/>
    <w:uiPriority w:val="0"/>
  </w:style>
  <w:style w:type="character" w:customStyle="1" w:styleId="137">
    <w:name w:val="nth-of-type(4)1"/>
    <w:basedOn w:val="28"/>
    <w:qFormat/>
    <w:uiPriority w:val="0"/>
  </w:style>
  <w:style w:type="character" w:customStyle="1" w:styleId="138">
    <w:name w:val="nth-of-type(4)2"/>
    <w:basedOn w:val="28"/>
    <w:qFormat/>
    <w:uiPriority w:val="0"/>
  </w:style>
  <w:style w:type="character" w:customStyle="1" w:styleId="139">
    <w:name w:val="nth-of-type(4)3"/>
    <w:basedOn w:val="28"/>
    <w:qFormat/>
    <w:uiPriority w:val="0"/>
  </w:style>
  <w:style w:type="character" w:customStyle="1" w:styleId="140">
    <w:name w:val="nth-of-type(4)4"/>
    <w:basedOn w:val="28"/>
    <w:qFormat/>
    <w:uiPriority w:val="0"/>
  </w:style>
  <w:style w:type="character" w:customStyle="1" w:styleId="141">
    <w:name w:val="nth-of-type(4)5"/>
    <w:basedOn w:val="28"/>
    <w:qFormat/>
    <w:uiPriority w:val="0"/>
  </w:style>
  <w:style w:type="character" w:customStyle="1" w:styleId="142">
    <w:name w:val="nth-of-type(4)6"/>
    <w:basedOn w:val="28"/>
    <w:qFormat/>
    <w:uiPriority w:val="0"/>
  </w:style>
  <w:style w:type="character" w:customStyle="1" w:styleId="143">
    <w:name w:val="nth-of-type(4)7"/>
    <w:basedOn w:val="28"/>
    <w:qFormat/>
    <w:uiPriority w:val="0"/>
  </w:style>
  <w:style w:type="character" w:customStyle="1" w:styleId="144">
    <w:name w:val="nth-of-type(4)8"/>
    <w:basedOn w:val="28"/>
    <w:qFormat/>
    <w:uiPriority w:val="0"/>
    <w:rPr>
      <w:sz w:val="21"/>
      <w:szCs w:val="21"/>
    </w:rPr>
  </w:style>
  <w:style w:type="character" w:customStyle="1" w:styleId="145">
    <w:name w:val="nth-of-type(5)"/>
    <w:basedOn w:val="28"/>
    <w:qFormat/>
    <w:uiPriority w:val="0"/>
  </w:style>
  <w:style w:type="character" w:customStyle="1" w:styleId="146">
    <w:name w:val="nth-of-type(5)1"/>
    <w:basedOn w:val="28"/>
    <w:qFormat/>
    <w:uiPriority w:val="0"/>
  </w:style>
  <w:style w:type="character" w:customStyle="1" w:styleId="147">
    <w:name w:val="nth-of-type(5)2"/>
    <w:basedOn w:val="28"/>
    <w:qFormat/>
    <w:uiPriority w:val="0"/>
  </w:style>
  <w:style w:type="character" w:customStyle="1" w:styleId="148">
    <w:name w:val="nth-of-type(5)3"/>
    <w:basedOn w:val="28"/>
    <w:qFormat/>
    <w:uiPriority w:val="0"/>
  </w:style>
  <w:style w:type="character" w:customStyle="1" w:styleId="149">
    <w:name w:val="nth-of-type(5)4"/>
    <w:basedOn w:val="28"/>
    <w:qFormat/>
    <w:uiPriority w:val="0"/>
  </w:style>
  <w:style w:type="character" w:customStyle="1" w:styleId="150">
    <w:name w:val="nth-of-type(5)5"/>
    <w:basedOn w:val="28"/>
    <w:qFormat/>
    <w:uiPriority w:val="0"/>
  </w:style>
  <w:style w:type="character" w:customStyle="1" w:styleId="151">
    <w:name w:val="nth-of-type(5)6"/>
    <w:basedOn w:val="28"/>
    <w:qFormat/>
    <w:uiPriority w:val="0"/>
    <w:rPr>
      <w:sz w:val="21"/>
      <w:szCs w:val="21"/>
    </w:rPr>
  </w:style>
  <w:style w:type="character" w:customStyle="1" w:styleId="152">
    <w:name w:val="nth-of-type(9)"/>
    <w:basedOn w:val="28"/>
    <w:qFormat/>
    <w:uiPriority w:val="0"/>
  </w:style>
  <w:style w:type="character" w:customStyle="1" w:styleId="153">
    <w:name w:val="hover25"/>
    <w:basedOn w:val="28"/>
    <w:qFormat/>
    <w:uiPriority w:val="0"/>
    <w:rPr>
      <w:color w:val="167AE0"/>
    </w:rPr>
  </w:style>
  <w:style w:type="character" w:customStyle="1" w:styleId="154">
    <w:name w:val="nth-child(3)"/>
    <w:basedOn w:val="28"/>
    <w:qFormat/>
    <w:uiPriority w:val="0"/>
  </w:style>
  <w:style w:type="character" w:customStyle="1" w:styleId="155">
    <w:name w:val="last-child1"/>
    <w:basedOn w:val="28"/>
    <w:qFormat/>
    <w:uiPriority w:val="0"/>
  </w:style>
  <w:style w:type="character" w:customStyle="1" w:styleId="156">
    <w:name w:val="last-child2"/>
    <w:basedOn w:val="28"/>
    <w:qFormat/>
    <w:uiPriority w:val="0"/>
    <w:rPr>
      <w:color w:val="FFFFFF"/>
    </w:rPr>
  </w:style>
  <w:style w:type="character" w:customStyle="1" w:styleId="157">
    <w:name w:val="last-child3"/>
    <w:basedOn w:val="28"/>
    <w:qFormat/>
    <w:uiPriority w:val="0"/>
  </w:style>
  <w:style w:type="character" w:customStyle="1" w:styleId="158">
    <w:name w:val="nth-child(1)"/>
    <w:basedOn w:val="28"/>
    <w:qFormat/>
    <w:uiPriority w:val="0"/>
  </w:style>
  <w:style w:type="character" w:customStyle="1" w:styleId="159">
    <w:name w:val="nth-child(2)"/>
    <w:basedOn w:val="28"/>
    <w:qFormat/>
    <w:uiPriority w:val="0"/>
  </w:style>
  <w:style w:type="character" w:customStyle="1" w:styleId="160">
    <w:name w:val="titleshow"/>
    <w:basedOn w:val="28"/>
    <w:qFormat/>
    <w:uiPriority w:val="0"/>
    <w:rPr>
      <w:color w:val="3E464C"/>
    </w:rPr>
  </w:style>
  <w:style w:type="character" w:customStyle="1" w:styleId="161">
    <w:name w:val="nth-of-type(7)"/>
    <w:basedOn w:val="28"/>
    <w:qFormat/>
    <w:uiPriority w:val="0"/>
  </w:style>
  <w:style w:type="character" w:customStyle="1" w:styleId="162">
    <w:name w:val="nth-of-type(7)1"/>
    <w:basedOn w:val="28"/>
    <w:qFormat/>
    <w:uiPriority w:val="0"/>
  </w:style>
  <w:style w:type="character" w:customStyle="1" w:styleId="163">
    <w:name w:val="nth-of-type(7)2"/>
    <w:basedOn w:val="28"/>
    <w:qFormat/>
    <w:uiPriority w:val="0"/>
  </w:style>
  <w:style w:type="character" w:customStyle="1" w:styleId="164">
    <w:name w:val="nth-of-type(8)"/>
    <w:basedOn w:val="28"/>
    <w:qFormat/>
    <w:uiPriority w:val="0"/>
  </w:style>
  <w:style w:type="character" w:customStyle="1" w:styleId="165">
    <w:name w:val="nth-of-type(10)"/>
    <w:basedOn w:val="28"/>
    <w:qFormat/>
    <w:uiPriority w:val="0"/>
  </w:style>
  <w:style w:type="character" w:customStyle="1" w:styleId="166">
    <w:name w:val="lineshow"/>
    <w:basedOn w:val="28"/>
    <w:qFormat/>
    <w:uiPriority w:val="0"/>
  </w:style>
  <w:style w:type="character" w:customStyle="1" w:styleId="167">
    <w:name w:val="lineshow1"/>
    <w:basedOn w:val="28"/>
    <w:qFormat/>
    <w:uiPriority w:val="0"/>
  </w:style>
  <w:style w:type="character" w:customStyle="1" w:styleId="168">
    <w:name w:val="layui-this4"/>
    <w:basedOn w:val="28"/>
    <w:qFormat/>
    <w:uiPriority w:val="0"/>
    <w:rPr>
      <w:bdr w:val="single" w:color="EEEEEE" w:sz="6" w:space="0"/>
      <w:shd w:val="clear" w:fill="FFFFFF"/>
    </w:rPr>
  </w:style>
  <w:style w:type="paragraph" w:customStyle="1" w:styleId="169">
    <w:name w:val="Body text|1"/>
    <w:basedOn w:val="1"/>
    <w:qFormat/>
    <w:uiPriority w:val="0"/>
    <w:pPr>
      <w:spacing w:line="314" w:lineRule="auto"/>
      <w:ind w:firstLine="400"/>
    </w:pPr>
    <w:rPr>
      <w:rFonts w:ascii="MingLiU" w:hAnsi="MingLiU" w:eastAsia="MingLiU" w:cs="MingLiU"/>
      <w:lang w:val="zh-TW" w:eastAsia="zh-TW" w:bidi="zh-TW"/>
    </w:rPr>
  </w:style>
  <w:style w:type="character" w:customStyle="1" w:styleId="170">
    <w:name w:val="标题 3 Char"/>
    <w:link w:val="5"/>
    <w:qFormat/>
    <w:uiPriority w:val="1"/>
    <w:rPr>
      <w:rFonts w:eastAsia="宋体"/>
      <w:b/>
      <w:bCs/>
      <w:sz w:val="30"/>
      <w:szCs w:val="32"/>
    </w:rPr>
  </w:style>
  <w:style w:type="table" w:customStyle="1" w:styleId="171">
    <w:name w:val="Table Normal"/>
    <w:semiHidden/>
    <w:unhideWhenUsed/>
    <w:qFormat/>
    <w:uiPriority w:val="0"/>
    <w:tblPr>
      <w:tblCellMar>
        <w:top w:w="0" w:type="dxa"/>
        <w:left w:w="0" w:type="dxa"/>
        <w:bottom w:w="0" w:type="dxa"/>
        <w:right w:w="0" w:type="dxa"/>
      </w:tblCellMar>
    </w:tblPr>
  </w:style>
  <w:style w:type="paragraph" w:customStyle="1" w:styleId="172">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5.jpeg"/><Relationship Id="rId30" Type="http://schemas.openxmlformats.org/officeDocument/2006/relationships/image" Target="media/image14.jpeg"/><Relationship Id="rId3" Type="http://schemas.openxmlformats.org/officeDocument/2006/relationships/header" Target="header1.xml"/><Relationship Id="rId29" Type="http://schemas.openxmlformats.org/officeDocument/2006/relationships/image" Target="media/image13.jpeg"/><Relationship Id="rId28" Type="http://schemas.openxmlformats.org/officeDocument/2006/relationships/image" Target="media/image12.jpeg"/><Relationship Id="rId27" Type="http://schemas.openxmlformats.org/officeDocument/2006/relationships/image" Target="media/image11.jpeg"/><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93</Pages>
  <Words>38898</Words>
  <Characters>41325</Characters>
  <Lines>206</Lines>
  <Paragraphs>58</Paragraphs>
  <TotalTime>0</TotalTime>
  <ScaleCrop>false</ScaleCrop>
  <LinksUpToDate>false</LinksUpToDate>
  <CharactersWithSpaces>43688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2019-04-16T17:06:00Z</dcterms:created>
  <dc:creator>吃猫的鱼</dc:creator>
  <cp:lastModifiedBy>Miss 王  </cp:lastModifiedBy>
  <cp:lastPrinted>2021-09-15T18:39:00Z</cp:lastPrinted>
  <dcterms:modified xsi:type="dcterms:W3CDTF">2023-04-25T01:31:16Z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94EF50F6D701475490C60796144F9C22</vt:lpwstr>
  </property>
</Properties>
</file>