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采购项目编号：SCZK2022-JT-0036/018</w:t>
      </w:r>
    </w:p>
    <w:p>
      <w:pPr>
        <w:tabs>
          <w:tab w:val="left" w:pos="5670"/>
        </w:tabs>
        <w:autoSpaceDE w:val="0"/>
        <w:autoSpaceDN w:val="0"/>
        <w:adjustRightInd w:val="0"/>
        <w:snapToGrid w:val="0"/>
        <w:spacing w:line="360" w:lineRule="auto"/>
        <w:jc w:val="center"/>
        <w:rPr>
          <w:rFonts w:ascii="仿宋" w:hAnsi="仿宋" w:eastAsia="仿宋" w:cs="仿宋"/>
          <w:sz w:val="30"/>
          <w:szCs w:val="30"/>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ind w:firstLine="420"/>
        <w:jc w:val="center"/>
        <w:rPr>
          <w:rFonts w:ascii="仿宋" w:hAnsi="仿宋" w:eastAsia="仿宋" w:cs="仿宋"/>
          <w:b/>
          <w:bCs/>
          <w:sz w:val="36"/>
          <w:szCs w:val="36"/>
          <w:lang w:val="zh-CN"/>
        </w:rPr>
      </w:pPr>
      <w:r>
        <w:rPr>
          <w:rFonts w:hint="eastAsia" w:ascii="仿宋" w:hAnsi="仿宋" w:eastAsia="仿宋" w:cs="仿宋"/>
          <w:b/>
          <w:bCs/>
          <w:sz w:val="44"/>
          <w:szCs w:val="44"/>
        </w:rPr>
        <w:t>神木市医院双活中心维保采购项目</w:t>
      </w:r>
    </w:p>
    <w:p>
      <w:pPr>
        <w:tabs>
          <w:tab w:val="left" w:pos="5670"/>
        </w:tabs>
        <w:autoSpaceDE w:val="0"/>
        <w:autoSpaceDN w:val="0"/>
        <w:adjustRightInd w:val="0"/>
        <w:snapToGrid w:val="0"/>
        <w:spacing w:line="360" w:lineRule="auto"/>
        <w:ind w:firstLine="420"/>
        <w:jc w:val="center"/>
        <w:rPr>
          <w:rFonts w:ascii="仿宋" w:hAnsi="仿宋" w:eastAsia="仿宋" w:cs="仿宋"/>
          <w:b/>
          <w:bCs/>
          <w:sz w:val="52"/>
          <w:szCs w:val="52"/>
          <w:lang w:val="zh-CN"/>
        </w:rPr>
      </w:pPr>
      <w:r>
        <w:rPr>
          <w:rFonts w:hint="eastAsia" w:ascii="仿宋" w:hAnsi="仿宋" w:eastAsia="仿宋" w:cs="仿宋"/>
          <w:b/>
          <w:bCs/>
          <w:sz w:val="52"/>
          <w:szCs w:val="52"/>
          <w:lang w:val="zh-CN"/>
        </w:rPr>
        <w:t>竞争性谈判文件</w:t>
      </w: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ascii="仿宋" w:hAnsi="仿宋" w:eastAsia="仿宋" w:cs="仿宋"/>
          <w:b/>
          <w:bCs/>
          <w:sz w:val="30"/>
          <w:szCs w:val="30"/>
          <w:lang w:val="zh-CN"/>
        </w:rPr>
      </w:pPr>
      <w:r>
        <w:rPr>
          <w:rFonts w:hint="eastAsia" w:ascii="仿宋" w:hAnsi="仿宋" w:eastAsia="仿宋" w:cs="仿宋"/>
          <w:b/>
          <w:bCs/>
          <w:sz w:val="30"/>
          <w:szCs w:val="30"/>
          <w:lang w:val="zh-CN"/>
        </w:rPr>
        <w:t>二〇二二年十月</w:t>
      </w:r>
    </w:p>
    <w:p>
      <w:pPr>
        <w:tabs>
          <w:tab w:val="left" w:pos="3739"/>
        </w:tabs>
        <w:jc w:val="left"/>
        <w:rPr>
          <w:rFonts w:ascii="仿宋" w:hAnsi="仿宋" w:eastAsia="仿宋" w:cs="仿宋"/>
          <w:sz w:val="32"/>
          <w:szCs w:val="32"/>
        </w:rPr>
      </w:pPr>
      <w:r>
        <w:rPr>
          <w:rFonts w:hint="eastAsia" w:ascii="仿宋" w:hAnsi="仿宋" w:eastAsia="仿宋" w:cs="仿宋"/>
          <w:sz w:val="32"/>
          <w:szCs w:val="32"/>
        </w:rPr>
        <w:tab/>
      </w:r>
    </w:p>
    <w:p>
      <w:pPr>
        <w:rPr>
          <w:rFonts w:ascii="仿宋" w:hAnsi="仿宋" w:eastAsia="仿宋" w:cs="仿宋"/>
          <w:sz w:val="32"/>
          <w:szCs w:val="32"/>
        </w:rPr>
      </w:pPr>
      <w:r>
        <w:rPr>
          <w:rFonts w:hint="eastAsia" w:ascii="仿宋" w:hAnsi="仿宋" w:eastAsia="仿宋" w:cs="仿宋"/>
          <w:sz w:val="32"/>
          <w:szCs w:val="32"/>
        </w:rPr>
        <w:br w:type="page"/>
      </w:r>
    </w:p>
    <w:p>
      <w:pPr>
        <w:pStyle w:val="2"/>
        <w:rPr>
          <w:rFonts w:ascii="仿宋" w:hAnsi="仿宋" w:eastAsia="仿宋" w:cs="仿宋"/>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ascii="仿宋" w:hAnsi="仿宋" w:eastAsia="仿宋" w:cs="仿宋"/>
          <w:b/>
          <w:sz w:val="32"/>
          <w:szCs w:val="32"/>
        </w:rPr>
      </w:pPr>
      <w:r>
        <w:rPr>
          <w:rFonts w:hint="eastAsia" w:ascii="仿宋" w:hAnsi="仿宋" w:eastAsia="仿宋" w:cs="仿宋"/>
          <w:b/>
          <w:sz w:val="32"/>
          <w:szCs w:val="32"/>
        </w:rPr>
        <w:t>目  录</w:t>
      </w:r>
    </w:p>
    <w:p>
      <w:pPr>
        <w:pStyle w:val="35"/>
        <w:tabs>
          <w:tab w:val="left" w:pos="1120"/>
          <w:tab w:val="right" w:leader="dot" w:pos="8300"/>
          <w:tab w:val="clear" w:pos="9344"/>
        </w:tabs>
        <w:rPr>
          <w:rFonts w:ascii="仿宋" w:hAnsi="仿宋" w:eastAsia="仿宋" w:cs="仿宋"/>
          <w:b w:val="0"/>
          <w:bCs w:val="0"/>
          <w:caps w:val="0"/>
          <w:szCs w:val="24"/>
        </w:rPr>
      </w:pPr>
      <w:r>
        <w:rPr>
          <w:rFonts w:hint="eastAsia" w:ascii="仿宋" w:hAnsi="仿宋" w:eastAsia="仿宋" w:cs="仿宋"/>
          <w:sz w:val="20"/>
        </w:rPr>
        <w:fldChar w:fldCharType="begin"/>
      </w:r>
      <w:r>
        <w:rPr>
          <w:rFonts w:hint="eastAsia" w:ascii="仿宋" w:hAnsi="仿宋" w:eastAsia="仿宋" w:cs="仿宋"/>
          <w:sz w:val="20"/>
        </w:rPr>
        <w:instrText xml:space="preserve"> TOC \o "1-2" \h \z \u </w:instrText>
      </w:r>
      <w:r>
        <w:rPr>
          <w:rFonts w:hint="eastAsia" w:ascii="仿宋" w:hAnsi="仿宋" w:eastAsia="仿宋" w:cs="仿宋"/>
          <w:sz w:val="20"/>
        </w:rPr>
        <w:fldChar w:fldCharType="separate"/>
      </w:r>
      <w:r>
        <w:fldChar w:fldCharType="begin"/>
      </w:r>
      <w:r>
        <w:instrText xml:space="preserve"> HYPERLINK \l "_Toc58504659" </w:instrText>
      </w:r>
      <w:r>
        <w:fldChar w:fldCharType="separate"/>
      </w:r>
      <w:r>
        <w:rPr>
          <w:rStyle w:val="59"/>
          <w:rFonts w:ascii="仿宋" w:hAnsi="仿宋" w:eastAsia="仿宋" w:cs="仿宋"/>
          <w:b w:val="0"/>
          <w:bCs w:val="0"/>
          <w:color w:val="auto"/>
          <w:kern w:val="0"/>
          <w:sz w:val="24"/>
          <w:szCs w:val="24"/>
        </w:rPr>
        <w:t>第一章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谈判公告</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_Toc58504659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"_Toc58504660" </w:instrText>
      </w:r>
      <w:r>
        <w:fldChar w:fldCharType="separate"/>
      </w:r>
      <w:r>
        <w:rPr>
          <w:rStyle w:val="59"/>
          <w:rFonts w:ascii="仿宋" w:hAnsi="仿宋" w:eastAsia="仿宋" w:cs="仿宋"/>
          <w:b w:val="0"/>
          <w:bCs w:val="0"/>
          <w:color w:val="auto"/>
          <w:kern w:val="0"/>
          <w:sz w:val="24"/>
          <w:szCs w:val="24"/>
        </w:rPr>
        <w:t>第二章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供应商须知</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_Toc58504660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"_Toc58504661" </w:instrText>
      </w:r>
      <w:r>
        <w:fldChar w:fldCharType="separate"/>
      </w:r>
      <w:r>
        <w:rPr>
          <w:rStyle w:val="59"/>
          <w:rFonts w:ascii="仿宋" w:hAnsi="仿宋" w:eastAsia="仿宋" w:cs="仿宋"/>
          <w:b w:val="0"/>
          <w:bCs w:val="0"/>
          <w:color w:val="auto"/>
          <w:kern w:val="0"/>
          <w:sz w:val="24"/>
          <w:szCs w:val="24"/>
        </w:rPr>
        <w:t>供应商须知前附表</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_Toc58504661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"_Toc58504662" </w:instrText>
      </w:r>
      <w:r>
        <w:fldChar w:fldCharType="separate"/>
      </w:r>
      <w:r>
        <w:rPr>
          <w:rStyle w:val="59"/>
          <w:rFonts w:ascii="仿宋" w:hAnsi="仿宋" w:eastAsia="仿宋" w:cs="仿宋"/>
          <w:b w:val="0"/>
          <w:bCs w:val="0"/>
          <w:color w:val="auto"/>
          <w:kern w:val="0"/>
          <w:sz w:val="24"/>
          <w:szCs w:val="24"/>
        </w:rPr>
        <w:t>一、总则</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_Toc58504662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"_Toc58504663" </w:instrText>
      </w:r>
      <w:r>
        <w:fldChar w:fldCharType="separate"/>
      </w:r>
      <w:r>
        <w:rPr>
          <w:rStyle w:val="59"/>
          <w:rFonts w:ascii="仿宋" w:hAnsi="仿宋" w:eastAsia="仿宋" w:cs="仿宋"/>
          <w:b w:val="0"/>
          <w:bCs w:val="0"/>
          <w:color w:val="auto"/>
          <w:kern w:val="0"/>
          <w:sz w:val="24"/>
          <w:szCs w:val="24"/>
        </w:rPr>
        <w:t>二、谈判文件说明</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_Toc58504663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13</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"_Toc58504664" </w:instrText>
      </w:r>
      <w:r>
        <w:fldChar w:fldCharType="separate"/>
      </w:r>
      <w:r>
        <w:rPr>
          <w:rStyle w:val="59"/>
          <w:rFonts w:ascii="仿宋" w:hAnsi="仿宋" w:eastAsia="仿宋" w:cs="仿宋"/>
          <w:b w:val="0"/>
          <w:bCs w:val="0"/>
          <w:color w:val="auto"/>
          <w:kern w:val="0"/>
          <w:sz w:val="24"/>
          <w:szCs w:val="24"/>
        </w:rPr>
        <w:t>三、响应文件的编写</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_Toc58504664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14</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"_Toc58504665" </w:instrText>
      </w:r>
      <w:r>
        <w:fldChar w:fldCharType="separate"/>
      </w:r>
      <w:r>
        <w:rPr>
          <w:rStyle w:val="59"/>
          <w:rFonts w:ascii="仿宋" w:hAnsi="仿宋" w:eastAsia="仿宋" w:cs="仿宋"/>
          <w:b w:val="0"/>
          <w:bCs w:val="0"/>
          <w:color w:val="auto"/>
          <w:kern w:val="0"/>
          <w:sz w:val="24"/>
          <w:szCs w:val="24"/>
        </w:rPr>
        <w:t>四、响应文件的密封和递交</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_Toc58504665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"_Toc58504666" </w:instrText>
      </w:r>
      <w:r>
        <w:fldChar w:fldCharType="separate"/>
      </w:r>
      <w:r>
        <w:rPr>
          <w:rStyle w:val="59"/>
          <w:rFonts w:ascii="仿宋" w:hAnsi="仿宋" w:eastAsia="仿宋" w:cs="仿宋"/>
          <w:b w:val="0"/>
          <w:bCs w:val="0"/>
          <w:color w:val="auto"/>
          <w:kern w:val="0"/>
          <w:sz w:val="24"/>
          <w:szCs w:val="24"/>
        </w:rPr>
        <w:t>五、评审与谈判</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_Toc58504666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19</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"_Toc58504667" </w:instrText>
      </w:r>
      <w:r>
        <w:fldChar w:fldCharType="separate"/>
      </w:r>
      <w:r>
        <w:rPr>
          <w:rStyle w:val="59"/>
          <w:rFonts w:ascii="仿宋" w:hAnsi="仿宋" w:eastAsia="仿宋" w:cs="仿宋"/>
          <w:b w:val="0"/>
          <w:bCs w:val="0"/>
          <w:color w:val="auto"/>
          <w:kern w:val="0"/>
          <w:sz w:val="24"/>
          <w:szCs w:val="24"/>
        </w:rPr>
        <w:t>六、确定成交单位、授予合同</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_Toc58504667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24</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"_Toc58504668" </w:instrText>
      </w:r>
      <w:r>
        <w:fldChar w:fldCharType="separate"/>
      </w:r>
      <w:r>
        <w:rPr>
          <w:rStyle w:val="59"/>
          <w:rFonts w:ascii="仿宋" w:hAnsi="仿宋" w:eastAsia="仿宋" w:cs="仿宋"/>
          <w:b w:val="0"/>
          <w:bCs w:val="0"/>
          <w:color w:val="auto"/>
          <w:kern w:val="0"/>
          <w:sz w:val="24"/>
          <w:szCs w:val="24"/>
        </w:rPr>
        <w:t>第三章</w:t>
      </w:r>
      <w:r>
        <w:rPr>
          <w:rFonts w:hint="eastAsia" w:ascii="仿宋" w:hAnsi="仿宋" w:eastAsia="仿宋" w:cs="仿宋"/>
          <w:b w:val="0"/>
          <w:bCs w:val="0"/>
          <w:caps w:val="0"/>
          <w:szCs w:val="24"/>
        </w:rPr>
        <w:tab/>
      </w:r>
      <w:r>
        <w:rPr>
          <w:rFonts w:hint="eastAsia" w:ascii="仿宋" w:hAnsi="仿宋" w:eastAsia="仿宋" w:cs="仿宋"/>
          <w:b w:val="0"/>
          <w:bCs w:val="0"/>
          <w:caps w:val="0"/>
          <w:szCs w:val="24"/>
        </w:rPr>
        <w:t>拟签订的合同文本</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_Toc58504668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31</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"_Toc58504669" </w:instrText>
      </w:r>
      <w:r>
        <w:fldChar w:fldCharType="separate"/>
      </w:r>
      <w:r>
        <w:rPr>
          <w:rStyle w:val="59"/>
          <w:rFonts w:ascii="仿宋" w:hAnsi="仿宋" w:eastAsia="仿宋" w:cs="仿宋"/>
          <w:b w:val="0"/>
          <w:bCs w:val="0"/>
          <w:color w:val="auto"/>
          <w:kern w:val="0"/>
          <w:sz w:val="24"/>
          <w:szCs w:val="24"/>
        </w:rPr>
        <w:t>第四章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采购内容及要求</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35</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szCs w:val="24"/>
        </w:rPr>
      </w:pPr>
      <w:r>
        <w:fldChar w:fldCharType="begin"/>
      </w:r>
      <w:r>
        <w:instrText xml:space="preserve"> HYPERLINK \l "_Toc58504670" </w:instrText>
      </w:r>
      <w:r>
        <w:fldChar w:fldCharType="separate"/>
      </w:r>
      <w:r>
        <w:rPr>
          <w:rStyle w:val="59"/>
          <w:rFonts w:ascii="仿宋" w:hAnsi="仿宋" w:eastAsia="仿宋" w:cs="仿宋"/>
          <w:b w:val="0"/>
          <w:bCs w:val="0"/>
          <w:color w:val="auto"/>
          <w:kern w:val="0"/>
          <w:sz w:val="24"/>
          <w:szCs w:val="24"/>
        </w:rPr>
        <w:t>第五章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谈判响应文件格式</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_Toc58504670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42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rPr>
          <w:rFonts w:ascii="仿宋" w:hAnsi="仿宋" w:eastAsia="仿宋" w:cs="仿宋"/>
        </w:rPr>
      </w:pPr>
      <w:r>
        <w:rPr>
          <w:rFonts w:hint="eastAsia" w:ascii="仿宋" w:hAnsi="仿宋" w:eastAsia="仿宋" w:cs="仿宋"/>
        </w:rPr>
        <w:br w:type="page"/>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r>
        <w:rPr>
          <w:rFonts w:hint="eastAsia" w:ascii="仿宋" w:hAnsi="仿宋" w:eastAsia="仿宋" w:cs="仿宋"/>
          <w:szCs w:val="20"/>
        </w:rPr>
        <w:fldChar w:fldCharType="end"/>
      </w:r>
      <w:bookmarkStart w:id="0" w:name="_Toc415499894"/>
      <w:bookmarkStart w:id="1" w:name="_Toc58504445"/>
      <w:bookmarkStart w:id="2" w:name="_Toc21755"/>
      <w:bookmarkStart w:id="3" w:name="_Toc58504659"/>
      <w:bookmarkStart w:id="4" w:name="_Toc492955413"/>
      <w:bookmarkStart w:id="5" w:name="_Toc53722839"/>
      <w:bookmarkStart w:id="6" w:name="_Toc500747187"/>
      <w:bookmarkStart w:id="7" w:name="_Toc177995472"/>
      <w:bookmarkStart w:id="8" w:name="_Toc499711882"/>
      <w:bookmarkStart w:id="9" w:name="_Toc499711041"/>
      <w:bookmarkStart w:id="10" w:name="_Toc500747060"/>
      <w:bookmarkStart w:id="11" w:name="_Toc177189234"/>
      <w:bookmarkStart w:id="12" w:name="_Toc503063420"/>
      <w:bookmarkStart w:id="13" w:name="_Toc176882541"/>
      <w:bookmarkStart w:id="14" w:name="_Toc500746964"/>
      <w:bookmarkStart w:id="15" w:name="_Toc70687138"/>
      <w:bookmarkStart w:id="16" w:name="_Toc496324577"/>
      <w:bookmarkStart w:id="17" w:name="_Toc177817333"/>
      <w:bookmarkStart w:id="18" w:name="_Toc385992325"/>
      <w:bookmarkStart w:id="19" w:name="_Toc385992324"/>
      <w:r>
        <w:rPr>
          <w:rFonts w:hint="eastAsia" w:ascii="仿宋" w:hAnsi="仿宋" w:eastAsia="仿宋" w:cs="仿宋"/>
          <w:b/>
          <w:kern w:val="0"/>
          <w:sz w:val="32"/>
          <w:szCs w:val="32"/>
        </w:rPr>
        <w:t>第一章  谈判公告</w:t>
      </w:r>
      <w:bookmarkEnd w:id="0"/>
      <w:bookmarkEnd w:id="1"/>
      <w:bookmarkEnd w:id="2"/>
      <w:bookmarkEnd w:id="3"/>
    </w:p>
    <w:p>
      <w:pPr>
        <w:pStyle w:val="9"/>
        <w:keepNext w:val="0"/>
        <w:keepLines w:val="0"/>
        <w:widowControl/>
        <w:wordWrap w:val="0"/>
        <w:spacing w:before="120" w:after="120" w:line="360" w:lineRule="auto"/>
        <w:ind w:left="0" w:firstLine="0"/>
        <w:jc w:val="left"/>
        <w:rPr>
          <w:rFonts w:ascii="仿宋" w:hAnsi="仿宋" w:eastAsia="仿宋" w:cs="仿宋"/>
          <w:b w:val="0"/>
          <w:bCs w:val="0"/>
          <w:szCs w:val="24"/>
        </w:rPr>
      </w:pPr>
      <w:r>
        <w:rPr>
          <w:rStyle w:val="53"/>
          <w:rFonts w:hint="eastAsia" w:ascii="仿宋" w:hAnsi="仿宋" w:eastAsia="仿宋" w:cs="仿宋"/>
          <w:szCs w:val="24"/>
          <w:shd w:val="clear" w:color="auto" w:fill="FFFFFF"/>
        </w:rPr>
        <w:t>项目概况</w:t>
      </w:r>
    </w:p>
    <w:p>
      <w:pPr>
        <w:pStyle w:val="44"/>
        <w:wordWrap w:val="0"/>
        <w:spacing w:before="120" w:beforeAutospacing="0" w:after="120" w:afterAutospacing="0" w:line="360" w:lineRule="auto"/>
        <w:ind w:firstLine="384"/>
        <w:jc w:val="both"/>
        <w:rPr>
          <w:rFonts w:ascii="仿宋" w:hAnsi="仿宋" w:eastAsia="仿宋" w:cs="仿宋"/>
        </w:rPr>
      </w:pPr>
      <w:r>
        <w:rPr>
          <w:rFonts w:hint="eastAsia" w:ascii="仿宋" w:hAnsi="仿宋" w:eastAsia="仿宋" w:cs="仿宋"/>
          <w:shd w:val="clear" w:color="auto" w:fill="FFFFFF"/>
        </w:rPr>
        <w:t>双活中心维保采购项目的潜在供应商应在全国公共资源交易中心平台（陕西省）（http://www.sxggzyjy.cn/）获取采购文件，并于 2022年10月19日 09时30分 （北京时间）前提交响应文件。</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一、项目基本情况</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项目编号：SCZK2022-JT-0036-018</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项目名称：双活中心维保采购项目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采购方式：竞争性谈判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预算金额：1674000.00元</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采购需求：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合同包1(神木市医院双活中心维保采购项目):</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合同包预算金额：1674000.00元</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合同包最高限价：1674000.00元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3"/>
        <w:gridCol w:w="1814"/>
        <w:gridCol w:w="1814"/>
        <w:gridCol w:w="903"/>
        <w:gridCol w:w="1427"/>
        <w:gridCol w:w="1413"/>
        <w:gridCol w:w="14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品目号</w:t>
            </w:r>
          </w:p>
        </w:tc>
        <w:tc>
          <w:tcPr>
            <w:tcW w:w="36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品目名称</w:t>
            </w:r>
          </w:p>
        </w:tc>
        <w:tc>
          <w:tcPr>
            <w:tcW w:w="36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采购标的</w:t>
            </w:r>
          </w:p>
        </w:tc>
        <w:tc>
          <w:tcPr>
            <w:tcW w:w="12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数量（单位）</w:t>
            </w:r>
          </w:p>
        </w:tc>
        <w:tc>
          <w:tcPr>
            <w:tcW w:w="24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品目预算(元)</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1-1</w:t>
            </w:r>
          </w:p>
        </w:tc>
        <w:tc>
          <w:tcPr>
            <w:tcW w:w="18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软件运维服务</w:t>
            </w:r>
          </w:p>
        </w:tc>
        <w:tc>
          <w:tcPr>
            <w:tcW w:w="18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其他技术服务</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1(项)</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详见采购文件</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spacing w:line="360" w:lineRule="auto"/>
              <w:jc w:val="right"/>
              <w:rPr>
                <w:rFonts w:ascii="仿宋" w:hAnsi="仿宋" w:eastAsia="仿宋" w:cs="仿宋"/>
                <w:sz w:val="24"/>
              </w:rPr>
            </w:pPr>
            <w:r>
              <w:rPr>
                <w:rFonts w:hint="eastAsia" w:ascii="仿宋" w:hAnsi="仿宋" w:eastAsia="仿宋" w:cs="仿宋"/>
                <w:kern w:val="0"/>
                <w:sz w:val="24"/>
                <w:lang w:bidi="ar"/>
              </w:rPr>
              <w:t>1674000.00</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spacing w:line="360" w:lineRule="auto"/>
              <w:jc w:val="right"/>
              <w:rPr>
                <w:rFonts w:ascii="仿宋" w:hAnsi="仿宋" w:eastAsia="仿宋" w:cs="仿宋"/>
                <w:sz w:val="24"/>
              </w:rPr>
            </w:pPr>
            <w:r>
              <w:rPr>
                <w:rFonts w:hint="eastAsia" w:ascii="仿宋" w:hAnsi="仿宋" w:eastAsia="仿宋" w:cs="仿宋"/>
                <w:kern w:val="0"/>
                <w:sz w:val="24"/>
                <w:lang w:bidi="ar"/>
              </w:rPr>
              <w:t>1674000.00</w:t>
            </w:r>
          </w:p>
        </w:tc>
      </w:tr>
    </w:tbl>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本合同包不接受联合体投标</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合同履行期限：2022-10-30 00:00:00 至 2023-10-30  00:00:00（具体服务起止日期可随合同签订时间相应顺延）</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二、申请人的资格要求：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1.满足《中华人民共和国政府采购法》第二十二条规定;</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2.落实政府采购政策需满足的资格要求：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合同包1(神木市医院双活中心维保采购项目)落实政府采购政策需满足的资格要求如下:本项目为非专门面向中小企业的项目。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3.本项目的特定资格要求：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合同包1(神木市医院双活中心维保采购项目)特定资格要求如下:</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3.1具有独立承担民事责任的能力（提供有效的营业执照或自然人的身份证明）；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3.3具有履行合同所必需的设备和专业技术能力（提供书面申明）；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3.4有依法缴纳税收和社会保障资金的良好记录；</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投标供应商应提供近六个月中任何一个月缴纳增值税和企业所得税的凭证（银行出具的缴税凭证或税务机关出具的证明的复印件，并加盖本单位公章），依法免税的供应商，应提供相应文件证明其依法免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3.5参加政府采购活动前三年内，在经营活动中没有重大违法记录（提供书面申明）；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3.6投标供应商在“信用中国”网站（www.creditchina.gov.cn）和中国政府采购网（www.ccgp.gov.cn）上未被列入失信被执行人、重大税收违法失信主体、政府采购严重违法失信行为记录名单（提供网站截图）；</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3.7供应商不得存在下列情形之一：</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（1）单位负责人为同一人或者存在直接控股、管理关系的不同供应商，不得参加本次采购活动；</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（2）为本项目提供整体设计、规范编制或者项目管理、监理、检测等服务的供应商，不得再参加本项目的采购活动；</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三、获取采购文件</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 2022年10月11日 至 2022年10月13日 ，每天上午 00:00:00 至 12:00:00 ，下午 12:00:00 至 23:59:00 （北京时间,法定节假日除外）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地点：全国公共资源交易中心平台（陕西省）（http://www.sxggzyjy.cn/）</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方式：在线获取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售价： 免费获取</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四、响应文件提交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截止时间： 2022年10月19日 09时30分00秒 （北京时间）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地点：榆林市公共资源交易中心10楼8开标室</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五、开启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 2022年10月19日 09时30分00秒 （北京时间）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地点：榆林市公共资源交易中心10楼8开标室</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六、公告期限</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自本公告发布之日起3个工作日。</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七、其他补充事宜</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1.5 《榆林市财政局关于进一步加大政府采购支持中小企业力度的通知》（榆政财采发{2022}10号）。</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2、招标文件获取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投标人使用CA锁对报价文件进行制作、签封、加密、递交、解密等相关招投标事宜，投标人开标现场需携带CA锁。电子投标文件制作软件技术支持热线：400-998-0000CA锁购买：榆林市市民大厦四楼窗口,电话：0912-3515031。</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rPr>
        <w:t>5、</w:t>
      </w:r>
      <w:r>
        <w:rPr>
          <w:rFonts w:hint="eastAsia" w:ascii="仿宋" w:hAnsi="仿宋" w:eastAsia="仿宋" w:cs="仿宋"/>
          <w:shd w:val="clear" w:color="auto" w:fill="FFFFFF"/>
        </w:rPr>
        <w:t>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CA锁购买：榆林市市民大厦四楼窗口,联系电话：0912-3515031。</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八、凡对本次采购提出询问，请按以下方式联系。</w:t>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1.采购人信息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名称：神木市医院</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地址：陕西省榆林市神木市光明路中段</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联系方式：0912-8322033</w:t>
      </w:r>
      <w:r>
        <w:rPr>
          <w:rFonts w:hint="eastAsia" w:ascii="仿宋" w:hAnsi="仿宋" w:eastAsia="仿宋" w:cs="仿宋"/>
          <w:shd w:val="clear" w:color="auto" w:fill="FFFFFF"/>
        </w:rPr>
        <w:tab/>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2.采购代理机构信息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名称：陕西省采购招标有限责任公司</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地址：西安市高新二路2号山西证券大厦21楼</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联系方式：0912-3683703</w:t>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3.项目联系方式</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项目联系人：田同林</w:t>
      </w:r>
    </w:p>
    <w:p>
      <w:pPr>
        <w:widowControl/>
        <w:snapToGrid w:val="0"/>
        <w:spacing w:line="500" w:lineRule="exact"/>
        <w:ind w:firstLine="480" w:firstLineChars="200"/>
        <w:jc w:val="left"/>
        <w:outlineLvl w:val="1"/>
        <w:rPr>
          <w:rFonts w:hint="eastAsia" w:ascii="仿宋" w:hAnsi="仿宋" w:eastAsia="仿宋" w:cs="仿宋"/>
          <w:kern w:val="0"/>
          <w:sz w:val="24"/>
          <w:lang w:eastAsia="zh-CN"/>
        </w:rPr>
      </w:pPr>
      <w:r>
        <w:rPr>
          <w:rFonts w:hint="eastAsia" w:ascii="仿宋" w:hAnsi="仿宋" w:eastAsia="仿宋" w:cs="仿宋"/>
          <w:sz w:val="24"/>
          <w:shd w:val="clear" w:color="auto" w:fill="FFFFFF"/>
        </w:rPr>
        <w:t>电话：</w:t>
      </w:r>
      <w:r>
        <w:rPr>
          <w:rFonts w:hint="eastAsia" w:ascii="仿宋" w:hAnsi="仿宋" w:eastAsia="仿宋" w:cs="仿宋"/>
          <w:sz w:val="24"/>
          <w:shd w:val="clear" w:color="auto" w:fill="FFFFFF"/>
          <w:lang w:val="en-US" w:eastAsia="zh-CN"/>
        </w:rPr>
        <w:tab/>
      </w:r>
      <w:bookmarkStart w:id="521" w:name="_GoBack"/>
      <w:bookmarkEnd w:id="521"/>
    </w:p>
    <w:p>
      <w:pPr>
        <w:pStyle w:val="2"/>
        <w:rPr>
          <w:rFonts w:ascii="仿宋" w:hAnsi="仿宋" w:eastAsia="仿宋" w:cs="仿宋"/>
        </w:rPr>
      </w:pPr>
      <w:r>
        <w:rPr>
          <w:rFonts w:hint="eastAsia" w:ascii="仿宋" w:hAnsi="仿宋" w:eastAsia="仿宋" w:cs="仿宋"/>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20" w:name="_Toc256342142"/>
      <w:bookmarkStart w:id="21" w:name="_Toc230099796"/>
      <w:bookmarkStart w:id="22" w:name="_Toc249525158"/>
      <w:bookmarkStart w:id="23" w:name="_Toc230013631"/>
      <w:bookmarkStart w:id="24" w:name="_Toc249515389"/>
      <w:bookmarkStart w:id="25" w:name="_Toc58504446"/>
      <w:bookmarkStart w:id="26" w:name="_Toc21126"/>
      <w:bookmarkStart w:id="27" w:name="_Toc232176271"/>
      <w:bookmarkStart w:id="28" w:name="_Toc232395211"/>
      <w:bookmarkStart w:id="29" w:name="_Toc58504660"/>
      <w:bookmarkStart w:id="30" w:name="_Toc184043011"/>
      <w:bookmarkStart w:id="31" w:name="_Toc415499895"/>
      <w:bookmarkStart w:id="32" w:name="_Toc230583540"/>
      <w:bookmarkStart w:id="33" w:name="_Toc249515277"/>
      <w:bookmarkStart w:id="34" w:name="_Toc249525159"/>
      <w:bookmarkStart w:id="35" w:name="_Toc500747061"/>
      <w:bookmarkStart w:id="36" w:name="_Toc249515390"/>
      <w:bookmarkStart w:id="37" w:name="_Toc177817334"/>
      <w:bookmarkStart w:id="38" w:name="_Toc503063421"/>
      <w:bookmarkStart w:id="39" w:name="_Toc232395212"/>
      <w:bookmarkStart w:id="40" w:name="_Toc492955414"/>
      <w:bookmarkStart w:id="41" w:name="_Toc230099797"/>
      <w:bookmarkStart w:id="42" w:name="_Toc499711883"/>
      <w:bookmarkStart w:id="43" w:name="_Toc230013632"/>
      <w:bookmarkStart w:id="44" w:name="_Toc499711042"/>
      <w:bookmarkStart w:id="45" w:name="_Toc232176272"/>
      <w:bookmarkStart w:id="46" w:name="_Toc496324578"/>
      <w:bookmarkStart w:id="47" w:name="_Toc70687139"/>
      <w:bookmarkStart w:id="48" w:name="_Toc256342143"/>
      <w:bookmarkStart w:id="49" w:name="_Toc230583541"/>
      <w:bookmarkStart w:id="50" w:name="_Toc500747188"/>
      <w:bookmarkStart w:id="51" w:name="_Toc184043012"/>
      <w:bookmarkStart w:id="52" w:name="_Toc177189235"/>
      <w:bookmarkStart w:id="53" w:name="_Toc177995473"/>
      <w:bookmarkStart w:id="54" w:name="_Toc53722840"/>
      <w:bookmarkStart w:id="55" w:name="_Toc249515278"/>
      <w:bookmarkStart w:id="56" w:name="_Toc176882542"/>
      <w:bookmarkStart w:id="57" w:name="_Toc500746965"/>
      <w:r>
        <w:rPr>
          <w:rFonts w:hint="eastAsia" w:ascii="仿宋" w:hAnsi="仿宋" w:eastAsia="仿宋" w:cs="仿宋"/>
          <w:b/>
          <w:kern w:val="0"/>
          <w:sz w:val="32"/>
          <w:szCs w:val="32"/>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58" w:name="_Toc58504661"/>
      <w:r>
        <w:rPr>
          <w:rFonts w:hint="eastAsia" w:ascii="仿宋" w:hAnsi="仿宋" w:eastAsia="仿宋" w:cs="仿宋"/>
          <w:b/>
          <w:kern w:val="0"/>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ascii="仿宋" w:hAnsi="仿宋" w:eastAsia="仿宋" w:cs="仿宋"/>
                <w:b/>
                <w:sz w:val="24"/>
                <w:szCs w:val="24"/>
              </w:rPr>
            </w:pPr>
            <w:bookmarkStart w:id="59" w:name="_Hlt14560610"/>
            <w:bookmarkEnd w:id="59"/>
            <w:bookmarkStart w:id="60" w:name="_Toc389620165"/>
            <w:bookmarkStart w:id="61" w:name="_Toc500747190"/>
            <w:bookmarkStart w:id="62" w:name="_Toc503063423"/>
            <w:bookmarkStart w:id="63" w:name="_Toc499711044"/>
            <w:bookmarkStart w:id="64" w:name="_Toc499711885"/>
            <w:bookmarkStart w:id="65" w:name="_Toc385992326"/>
            <w:bookmarkStart w:id="66" w:name="_Toc492955416"/>
            <w:bookmarkStart w:id="67" w:name="_Toc500746967"/>
            <w:bookmarkStart w:id="68" w:name="_Toc500747063"/>
            <w:bookmarkStart w:id="69" w:name="_Toc496324580"/>
            <w:r>
              <w:rPr>
                <w:rFonts w:hint="eastAsia" w:ascii="仿宋" w:hAnsi="仿宋" w:eastAsia="仿宋" w:cs="仿宋"/>
                <w:b/>
                <w:sz w:val="24"/>
                <w:szCs w:val="24"/>
              </w:rPr>
              <w:t>条款号</w:t>
            </w:r>
          </w:p>
        </w:tc>
        <w:tc>
          <w:tcPr>
            <w:tcW w:w="7650" w:type="dxa"/>
            <w:vAlign w:val="center"/>
          </w:tcPr>
          <w:p>
            <w:pPr>
              <w:pStyle w:val="28"/>
              <w:adjustRightInd w:val="0"/>
              <w:snapToGrid w:val="0"/>
              <w:spacing w:line="240" w:lineRule="auto"/>
              <w:jc w:val="center"/>
              <w:rPr>
                <w:rFonts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项目名称：神木市医院双活中心维保采购项目</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项目编号：SCZK2022-JT-0036/018</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资金来源：财政资金</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预算金额：1674000.00元</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采购方式：竞争性谈判</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采购内容：详见本谈判文件第四章</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采购人：神木市医院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邀请供应商的方式：发布谈判公告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5"/>
              <w:spacing w:line="360" w:lineRule="auto"/>
              <w:rPr>
                <w:rFonts w:ascii="仿宋" w:hAnsi="仿宋" w:eastAsia="仿宋" w:cs="仿宋"/>
                <w:color w:val="auto"/>
              </w:rPr>
            </w:pPr>
            <w:r>
              <w:rPr>
                <w:rFonts w:hint="eastAsia" w:ascii="仿宋" w:hAnsi="仿宋" w:eastAsia="仿宋" w:cs="仿宋"/>
                <w:color w:val="auto"/>
                <w:kern w:val="2"/>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5"/>
              <w:spacing w:line="360" w:lineRule="auto"/>
              <w:rPr>
                <w:rFonts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5"/>
              <w:spacing w:line="360" w:lineRule="auto"/>
              <w:rPr>
                <w:rFonts w:ascii="仿宋" w:hAnsi="仿宋" w:eastAsia="仿宋" w:cs="仿宋"/>
                <w:color w:val="auto"/>
                <w:kern w:val="2"/>
              </w:rPr>
            </w:pPr>
            <w:r>
              <w:rPr>
                <w:rFonts w:hint="eastAsia" w:ascii="仿宋" w:hAnsi="仿宋" w:eastAsia="仿宋" w:cs="仿宋"/>
                <w:color w:val="auto"/>
                <w:kern w:val="2"/>
              </w:rPr>
              <w:t>是否允许联合体谈判：</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5"/>
              <w:spacing w:line="360" w:lineRule="auto"/>
              <w:rPr>
                <w:rFonts w:ascii="仿宋" w:hAnsi="仿宋" w:eastAsia="仿宋" w:cs="仿宋"/>
                <w:color w:val="auto"/>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pacing w:line="312" w:lineRule="auto"/>
              <w:rPr>
                <w:rFonts w:ascii="仿宋" w:hAnsi="仿宋" w:eastAsia="仿宋" w:cs="仿宋"/>
                <w:sz w:val="24"/>
              </w:rPr>
            </w:pPr>
            <w:r>
              <w:rPr>
                <w:rFonts w:hint="eastAsia" w:ascii="仿宋" w:hAnsi="仿宋" w:eastAsia="仿宋" w:cs="仿宋"/>
                <w:sz w:val="24"/>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（1）报价货币：人民币；</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p>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14.1</w:t>
            </w:r>
          </w:p>
          <w:p>
            <w:pPr>
              <w:pStyle w:val="28"/>
              <w:adjustRightInd w:val="0"/>
              <w:snapToGrid w:val="0"/>
              <w:spacing w:line="240" w:lineRule="auto"/>
              <w:rPr>
                <w:rFonts w:ascii="仿宋" w:hAnsi="仿宋" w:eastAsia="仿宋" w:cs="仿宋"/>
                <w:sz w:val="24"/>
                <w:szCs w:val="24"/>
              </w:rPr>
            </w:pPr>
          </w:p>
        </w:tc>
        <w:tc>
          <w:tcPr>
            <w:tcW w:w="7650" w:type="dxa"/>
            <w:vAlign w:val="center"/>
          </w:tcPr>
          <w:p>
            <w:pPr>
              <w:pStyle w:val="28"/>
              <w:adjustRightInd w:val="0"/>
              <w:snapToGrid w:val="0"/>
              <w:rPr>
                <w:rFonts w:ascii="仿宋" w:hAnsi="仿宋" w:eastAsia="仿宋" w:cs="仿宋"/>
                <w:sz w:val="24"/>
                <w:szCs w:val="24"/>
              </w:rPr>
            </w:pPr>
            <w:r>
              <w:rPr>
                <w:rFonts w:hint="eastAsia" w:ascii="仿宋" w:hAnsi="仿宋" w:eastAsia="仿宋" w:cs="仿宋"/>
                <w:sz w:val="24"/>
                <w:szCs w:val="24"/>
              </w:rPr>
              <w:t>本项目须提供谈判保证金人民币贰万元整（人民币¥</w:t>
            </w:r>
            <w:r>
              <w:rPr>
                <w:rFonts w:ascii="仿宋" w:hAnsi="仿宋" w:eastAsia="仿宋" w:cs="仿宋"/>
                <w:sz w:val="24"/>
                <w:szCs w:val="24"/>
              </w:rPr>
              <w:t>2</w:t>
            </w:r>
            <w:r>
              <w:rPr>
                <w:rFonts w:hint="eastAsia" w:ascii="仿宋" w:hAnsi="仿宋" w:eastAsia="仿宋" w:cs="仿宋"/>
                <w:sz w:val="24"/>
                <w:szCs w:val="24"/>
              </w:rPr>
              <w:t>0000.00元）。（有分包的，按包号缴纳保证金）</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保证金可自主选择采用电汇、银行转账、支票、汇票、本票、金融机构或担保机构出具的保函等非现金形式。</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保证金户名：陕西省采购招标有限责任公司</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开户银行：中国银行西安南郊支行营业部 </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账    号：</w:t>
            </w:r>
            <w:r>
              <w:rPr>
                <w:rFonts w:hint="eastAsia" w:ascii="仿宋" w:hAnsi="仿宋" w:eastAsia="仿宋" w:cs="仿宋"/>
                <w:color w:val="0000FF"/>
                <w:sz w:val="24"/>
                <w:szCs w:val="24"/>
              </w:rPr>
              <w:t>102062457122</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联系人：侯娜  电话：029-85256853</w:t>
            </w:r>
          </w:p>
          <w:p>
            <w:pPr>
              <w:pStyle w:val="28"/>
              <w:adjustRightInd w:val="0"/>
              <w:snapToGrid w:val="0"/>
              <w:spacing w:line="240" w:lineRule="auto"/>
              <w:rPr>
                <w:rFonts w:ascii="仿宋" w:hAnsi="仿宋" w:eastAsia="仿宋" w:cs="仿宋"/>
                <w:b/>
                <w:bCs/>
              </w:rPr>
            </w:pPr>
            <w:r>
              <w:rPr>
                <w:rFonts w:hint="eastAsia" w:ascii="仿宋" w:hAnsi="仿宋" w:eastAsia="仿宋" w:cs="仿宋"/>
                <w:b/>
                <w:bCs/>
              </w:rPr>
              <w:t>备注：</w:t>
            </w:r>
          </w:p>
          <w:p>
            <w:pPr>
              <w:pStyle w:val="28"/>
              <w:adjustRightInd w:val="0"/>
              <w:snapToGrid w:val="0"/>
              <w:spacing w:line="240" w:lineRule="auto"/>
              <w:ind w:firstLine="422" w:firstLineChars="200"/>
              <w:rPr>
                <w:rFonts w:ascii="仿宋" w:hAnsi="仿宋" w:eastAsia="仿宋" w:cs="仿宋"/>
                <w:b/>
                <w:bCs/>
              </w:rPr>
            </w:pPr>
            <w:r>
              <w:rPr>
                <w:rFonts w:hint="eastAsia" w:ascii="仿宋" w:hAnsi="仿宋" w:eastAsia="仿宋" w:cs="仿宋"/>
                <w:b/>
                <w:bCs/>
              </w:rPr>
              <w:t>1、在汇款时务必注明所响应项目的项目编号，否则，因款项用途不明导致谈判无效等后果由供应商自行承担；</w:t>
            </w:r>
          </w:p>
          <w:p>
            <w:pPr>
              <w:pStyle w:val="28"/>
              <w:adjustRightInd w:val="0"/>
              <w:snapToGrid w:val="0"/>
              <w:spacing w:line="240" w:lineRule="auto"/>
              <w:ind w:firstLine="422" w:firstLineChars="200"/>
              <w:rPr>
                <w:rFonts w:ascii="仿宋" w:hAnsi="仿宋" w:eastAsia="仿宋" w:cs="仿宋"/>
                <w:b/>
                <w:bCs/>
              </w:rPr>
            </w:pPr>
            <w:r>
              <w:rPr>
                <w:rFonts w:hint="eastAsia" w:ascii="仿宋" w:hAnsi="仿宋" w:eastAsia="仿宋" w:cs="仿宋"/>
                <w:b/>
                <w:bCs/>
              </w:rPr>
              <w:t>2、请各供应商在响应文件递交截止时间前，按文件的要求向采购代理机构递交谈判保证金；</w:t>
            </w:r>
          </w:p>
          <w:p>
            <w:pPr>
              <w:pStyle w:val="28"/>
              <w:adjustRightInd w:val="0"/>
              <w:snapToGrid w:val="0"/>
              <w:spacing w:line="240" w:lineRule="auto"/>
              <w:ind w:firstLine="422" w:firstLineChars="200"/>
              <w:rPr>
                <w:rFonts w:ascii="仿宋" w:hAnsi="仿宋" w:eastAsia="仿宋" w:cs="仿宋"/>
                <w:sz w:val="24"/>
              </w:rPr>
            </w:pPr>
            <w:r>
              <w:rPr>
                <w:rFonts w:hint="eastAsia" w:ascii="仿宋" w:hAnsi="仿宋" w:eastAsia="仿宋" w:cs="仿宋"/>
                <w:b/>
                <w:bCs/>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谈判有效期：自响应文件递交之日起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1.为积极响应国家疫情防控要求及榆林市公共资源交易中心的相关政策，本项目采用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电子投标文件需在投标截止时间之前在陕西省公共资源交易中心平台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p>
            <w:pPr>
              <w:spacing w:line="360" w:lineRule="auto"/>
              <w:rPr>
                <w:rFonts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为便于采购人归档和向监管部门备案，供应商需按以下要求递交纸质版投标文件：</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递交方式：纸质版谈判文件须在谈判截止时间前寄出，以电报、传真、电子邮件形式递交的投标文件将不予接受。</w:t>
            </w:r>
          </w:p>
          <w:p>
            <w:pPr>
              <w:spacing w:line="360" w:lineRule="auto"/>
              <w:ind w:firstLine="480" w:firstLineChars="200"/>
              <w:rPr>
                <w:rFonts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val="zh-CN"/>
              </w:rPr>
              <w:t>供应商在</w:t>
            </w:r>
            <w:r>
              <w:rPr>
                <w:rFonts w:hint="eastAsia" w:ascii="仿宋" w:hAnsi="仿宋" w:eastAsia="仿宋" w:cs="仿宋"/>
                <w:sz w:val="24"/>
              </w:rPr>
              <w:t>谈判截止时间前须将快递</w:t>
            </w:r>
            <w:r>
              <w:rPr>
                <w:rFonts w:hint="eastAsia" w:ascii="仿宋" w:hAnsi="仿宋" w:eastAsia="仿宋" w:cs="仿宋"/>
                <w:sz w:val="24"/>
                <w:lang w:val="zh-CN"/>
              </w:rPr>
              <w:t>单号及供应商信息发送至以下邮箱：</w:t>
            </w:r>
            <w:r>
              <w:fldChar w:fldCharType="begin"/>
            </w:r>
            <w:r>
              <w:instrText xml:space="preserve"> HYPERLINK "mailto:1769910843@qq.com，该快递单号将作为投标人的投标依据。" </w:instrText>
            </w:r>
            <w:r>
              <w:fldChar w:fldCharType="separate"/>
            </w:r>
            <w:r>
              <w:rPr>
                <w:rFonts w:hint="eastAsia" w:ascii="仿宋" w:hAnsi="仿宋" w:eastAsia="仿宋" w:cs="仿宋"/>
                <w:sz w:val="24"/>
              </w:rPr>
              <w:t>2430945594@qq.com，该快递单号将作为</w:t>
            </w:r>
            <w:r>
              <w:rPr>
                <w:rFonts w:hint="eastAsia" w:ascii="仿宋" w:hAnsi="仿宋" w:eastAsia="仿宋" w:cs="仿宋"/>
                <w:sz w:val="24"/>
                <w:lang w:val="zh-CN"/>
              </w:rPr>
              <w:t>供应商</w:t>
            </w:r>
            <w:r>
              <w:rPr>
                <w:rFonts w:hint="eastAsia" w:ascii="仿宋" w:hAnsi="仿宋" w:eastAsia="仿宋" w:cs="仿宋"/>
                <w:sz w:val="24"/>
              </w:rPr>
              <w:t>成功投标的依据。</w:t>
            </w:r>
            <w:r>
              <w:rPr>
                <w:rFonts w:hint="eastAsia" w:ascii="仿宋" w:hAnsi="仿宋" w:eastAsia="仿宋" w:cs="仿宋"/>
                <w:sz w:val="24"/>
              </w:rPr>
              <w:fldChar w:fldCharType="end"/>
            </w:r>
          </w:p>
          <w:p>
            <w:pPr>
              <w:spacing w:line="360" w:lineRule="auto"/>
              <w:ind w:firstLine="480" w:firstLineChars="200"/>
              <w:rPr>
                <w:rFonts w:ascii="仿宋" w:hAnsi="仿宋" w:eastAsia="仿宋" w:cs="仿宋"/>
                <w:sz w:val="24"/>
              </w:rPr>
            </w:pPr>
            <w:r>
              <w:rPr>
                <w:rFonts w:hint="eastAsia" w:ascii="仿宋" w:hAnsi="仿宋" w:eastAsia="仿宋" w:cs="仿宋"/>
                <w:sz w:val="24"/>
              </w:rPr>
              <w:t>邮寄地址：榆林市金沙路泰和时代A座901，联系人：尚智   联系电话：17349251183。</w:t>
            </w:r>
          </w:p>
          <w:p>
            <w:pPr>
              <w:pStyle w:val="28"/>
              <w:adjustRightInd w:val="0"/>
              <w:snapToGrid w:val="0"/>
              <w:spacing w:line="240" w:lineRule="auto"/>
              <w:ind w:firstLine="480" w:firstLineChars="200"/>
              <w:rPr>
                <w:rFonts w:ascii="仿宋" w:hAnsi="仿宋" w:eastAsia="仿宋" w:cs="仿宋"/>
                <w:sz w:val="24"/>
                <w:szCs w:val="24"/>
              </w:rPr>
            </w:pPr>
            <w:r>
              <w:rPr>
                <w:rFonts w:hint="eastAsia" w:ascii="仿宋" w:hAnsi="仿宋" w:eastAsia="仿宋" w:cs="仿宋"/>
                <w:sz w:val="24"/>
                <w:lang w:val="zh-CN"/>
              </w:rPr>
              <w:t>供应商</w:t>
            </w:r>
            <w:r>
              <w:rPr>
                <w:rFonts w:hint="eastAsia" w:ascii="仿宋" w:hAnsi="仿宋" w:eastAsia="仿宋" w:cs="仿宋"/>
                <w:sz w:val="24"/>
              </w:rPr>
              <w:t>未按要求递交</w:t>
            </w:r>
            <w:r>
              <w:rPr>
                <w:rFonts w:hint="eastAsia" w:ascii="仿宋" w:hAnsi="仿宋" w:eastAsia="仿宋" w:cs="仿宋"/>
                <w:sz w:val="24"/>
                <w:lang w:val="zh-CN"/>
              </w:rPr>
              <w:t>谈判</w:t>
            </w:r>
            <w:r>
              <w:rPr>
                <w:rFonts w:hint="eastAsia" w:ascii="仿宋" w:hAnsi="仿宋" w:eastAsia="仿宋" w:cs="仿宋"/>
                <w:sz w:val="24"/>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28"/>
              <w:adjustRightInd w:val="0"/>
              <w:snapToGrid w:val="0"/>
              <w:rPr>
                <w:rFonts w:ascii="仿宋" w:hAnsi="仿宋" w:eastAsia="仿宋" w:cs="仿宋"/>
                <w:sz w:val="24"/>
                <w:szCs w:val="24"/>
              </w:rPr>
            </w:pPr>
            <w:r>
              <w:rPr>
                <w:rFonts w:hint="eastAsia" w:ascii="仿宋" w:hAnsi="仿宋" w:eastAsia="仿宋" w:cs="仿宋"/>
                <w:sz w:val="24"/>
                <w:szCs w:val="24"/>
              </w:rPr>
              <w:t>密封袋（箱）上须标注：</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    （l）采购编号</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    （2）项目名称</w:t>
            </w:r>
          </w:p>
          <w:p>
            <w:pPr>
              <w:pStyle w:val="28"/>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（3）供应商的名称、地址、联系人、电话和传真。</w:t>
            </w:r>
          </w:p>
          <w:p>
            <w:pPr>
              <w:pStyle w:val="28"/>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28"/>
              <w:adjustRightInd w:val="0"/>
              <w:snapToGrid w:val="0"/>
              <w:ind w:firstLine="120" w:firstLineChars="50"/>
              <w:rPr>
                <w:rFonts w:ascii="仿宋" w:hAnsi="仿宋" w:eastAsia="仿宋" w:cs="仿宋"/>
                <w:sz w:val="24"/>
                <w:szCs w:val="24"/>
              </w:rPr>
            </w:pPr>
            <w:r>
              <w:rPr>
                <w:rFonts w:hint="eastAsia" w:ascii="仿宋" w:hAnsi="仿宋" w:eastAsia="仿宋" w:cs="仿宋"/>
                <w:sz w:val="24"/>
                <w:szCs w:val="24"/>
              </w:rPr>
              <w:t>■ 本项目不要求提交样品。</w:t>
            </w:r>
          </w:p>
          <w:p>
            <w:pPr>
              <w:pStyle w:val="28"/>
              <w:adjustRightInd w:val="0"/>
              <w:snapToGrid w:val="0"/>
              <w:ind w:firstLine="120" w:firstLineChars="50"/>
              <w:rPr>
                <w:rFonts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18.1</w:t>
            </w:r>
          </w:p>
        </w:tc>
        <w:tc>
          <w:tcPr>
            <w:tcW w:w="7650" w:type="dxa"/>
            <w:vAlign w:val="center"/>
          </w:tcPr>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响应文件递交截止时间：2022年10月19日09:30（北京时间）。</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响应文件递交地点：榆林市公共资源交易中心10楼8开标室。</w:t>
            </w:r>
          </w:p>
          <w:p>
            <w:pPr>
              <w:tabs>
                <w:tab w:val="left" w:pos="588"/>
              </w:tabs>
              <w:spacing w:line="360" w:lineRule="auto"/>
              <w:rPr>
                <w:rFonts w:ascii="仿宋" w:hAnsi="仿宋" w:eastAsia="仿宋" w:cs="仿宋"/>
                <w:sz w:val="24"/>
              </w:rPr>
            </w:pPr>
            <w:r>
              <w:rPr>
                <w:rFonts w:hint="eastAsia" w:ascii="仿宋" w:hAnsi="仿宋" w:eastAsia="仿宋" w:cs="仿宋"/>
                <w:kern w:val="24"/>
                <w:sz w:val="24"/>
                <w:szCs w:val="21"/>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pacing w:line="360" w:lineRule="exact"/>
              <w:rPr>
                <w:rFonts w:ascii="仿宋" w:hAnsi="仿宋" w:eastAsia="仿宋" w:cs="仿宋"/>
                <w:sz w:val="24"/>
              </w:rPr>
            </w:pPr>
            <w:r>
              <w:rPr>
                <w:rFonts w:hint="eastAsia" w:ascii="仿宋" w:hAnsi="仿宋" w:eastAsia="仿宋" w:cs="仿宋"/>
                <w:sz w:val="24"/>
              </w:rPr>
              <w:t>谈判小组由</w:t>
            </w:r>
            <w:r>
              <w:rPr>
                <w:rFonts w:hint="eastAsia" w:ascii="仿宋" w:hAnsi="仿宋" w:eastAsia="仿宋" w:cs="仿宋"/>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2 </w:t>
            </w:r>
            <w:r>
              <w:rPr>
                <w:rFonts w:hint="eastAsia" w:ascii="仿宋" w:hAnsi="仿宋" w:eastAsia="仿宋" w:cs="仿宋"/>
                <w:sz w:val="24"/>
              </w:rPr>
              <w:t>人，采购人代表</w:t>
            </w:r>
            <w:r>
              <w:rPr>
                <w:rFonts w:hint="eastAsia" w:ascii="仿宋" w:hAnsi="仿宋" w:eastAsia="仿宋" w:cs="仿宋"/>
                <w:sz w:val="24"/>
                <w:u w:val="single"/>
              </w:rPr>
              <w:t xml:space="preserve"> 1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28.1</w:t>
            </w:r>
          </w:p>
        </w:tc>
        <w:tc>
          <w:tcPr>
            <w:tcW w:w="7650" w:type="dxa"/>
            <w:vAlign w:val="center"/>
          </w:tcPr>
          <w:p>
            <w:pPr>
              <w:jc w:val="left"/>
              <w:rPr>
                <w:rFonts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sz w:val="24"/>
                <w:u w:val="single"/>
              </w:rPr>
              <w:t>/</w:t>
            </w:r>
          </w:p>
          <w:p>
            <w:pPr>
              <w:pStyle w:val="2"/>
              <w:rPr>
                <w:rFonts w:ascii="仿宋" w:hAnsi="仿宋" w:eastAsia="仿宋" w:cs="仿宋"/>
              </w:rPr>
            </w:pPr>
          </w:p>
          <w:p>
            <w:pPr>
              <w:jc w:val="left"/>
              <w:rPr>
                <w:rFonts w:ascii="仿宋" w:hAnsi="仿宋" w:eastAsia="仿宋" w:cs="仿宋"/>
              </w:rPr>
            </w:pP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32</w:t>
            </w:r>
          </w:p>
        </w:tc>
        <w:tc>
          <w:tcPr>
            <w:tcW w:w="7650" w:type="dxa"/>
            <w:vAlign w:val="center"/>
          </w:tcPr>
          <w:p>
            <w:pPr>
              <w:jc w:val="left"/>
              <w:rPr>
                <w:rFonts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ascii="仿宋" w:hAnsi="仿宋" w:eastAsia="仿宋" w:cs="仿宋"/>
                <w:sz w:val="24"/>
              </w:rPr>
            </w:pPr>
            <w:r>
              <w:rPr>
                <w:rFonts w:hint="eastAsia" w:ascii="仿宋" w:hAnsi="仿宋" w:eastAsia="仿宋" w:cs="仿宋"/>
                <w:sz w:val="24"/>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33.1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本项目是否为不见面开标：</w:t>
            </w:r>
          </w:p>
          <w:p>
            <w:pPr>
              <w:spacing w:line="360" w:lineRule="auto"/>
              <w:ind w:firstLine="480" w:firstLineChars="200"/>
              <w:rPr>
                <w:rFonts w:ascii="仿宋" w:hAnsi="仿宋" w:eastAsia="仿宋" w:cs="仿宋"/>
                <w:sz w:val="24"/>
              </w:rPr>
            </w:pPr>
            <w:r>
              <w:rPr>
                <w:rFonts w:hint="eastAsia" w:ascii="仿宋" w:hAnsi="仿宋" w:eastAsia="仿宋" w:cs="仿宋"/>
                <w:sz w:val="24"/>
              </w:rPr>
              <w:t>☑是</w:t>
            </w:r>
          </w:p>
          <w:p>
            <w:pPr>
              <w:spacing w:line="360" w:lineRule="auto"/>
              <w:ind w:firstLine="480" w:firstLineChars="200"/>
              <w:rPr>
                <w:rFonts w:ascii="仿宋" w:hAnsi="仿宋" w:eastAsia="仿宋" w:cs="仿宋"/>
                <w:sz w:val="24"/>
              </w:rPr>
            </w:pPr>
            <w:r>
              <w:rPr>
                <w:rFonts w:hint="eastAsia" w:ascii="仿宋" w:hAnsi="仿宋" w:eastAsia="仿宋" w:cs="仿宋"/>
                <w:sz w:val="24"/>
              </w:rPr>
              <w:t>□否</w:t>
            </w:r>
          </w:p>
          <w:p>
            <w:pPr>
              <w:spacing w:line="360" w:lineRule="auto"/>
              <w:ind w:firstLine="480" w:firstLineChars="200"/>
              <w:rPr>
                <w:rFonts w:ascii="仿宋" w:hAnsi="仿宋" w:eastAsia="仿宋" w:cs="仿宋"/>
                <w:sz w:val="24"/>
              </w:rPr>
            </w:pPr>
            <w:r>
              <w:rPr>
                <w:rFonts w:hint="eastAsia" w:ascii="仿宋" w:hAnsi="仿宋" w:eastAsia="仿宋" w:cs="仿宋"/>
                <w:sz w:val="24"/>
              </w:rPr>
              <w:t>若为不见面开标，须严格按照以下要求及内容进行执行，因供应商自身原因导致在开标现场无法顺利进行的，后果自负。</w:t>
            </w:r>
          </w:p>
          <w:p>
            <w:pPr>
              <w:spacing w:line="360" w:lineRule="auto"/>
              <w:rPr>
                <w:rFonts w:ascii="仿宋" w:hAnsi="仿宋" w:eastAsia="仿宋" w:cs="仿宋"/>
                <w:b/>
                <w:sz w:val="24"/>
              </w:rPr>
            </w:pPr>
            <w:r>
              <w:rPr>
                <w:rFonts w:hint="eastAsia" w:ascii="仿宋" w:hAnsi="仿宋" w:eastAsia="仿宋" w:cs="仿宋"/>
                <w:b/>
                <w:sz w:val="24"/>
              </w:rPr>
              <w:t>采用不见面开标的方式进行；</w:t>
            </w:r>
          </w:p>
          <w:p>
            <w:pPr>
              <w:numPr>
                <w:ilvl w:val="0"/>
                <w:numId w:val="5"/>
              </w:numPr>
              <w:spacing w:line="360" w:lineRule="auto"/>
              <w:rPr>
                <w:rFonts w:ascii="仿宋" w:hAnsi="仿宋" w:eastAsia="仿宋" w:cs="仿宋"/>
                <w:sz w:val="24"/>
              </w:rPr>
            </w:pPr>
            <w:r>
              <w:rPr>
                <w:rFonts w:hint="eastAsia" w:ascii="仿宋" w:hAnsi="仿宋" w:eastAsia="仿宋" w:cs="仿宋"/>
                <w:sz w:val="24"/>
              </w:rPr>
              <w:t>供应商应于提交响应文件截止时间前任意时段登录交易平台〖首页〉电子交易平台〉企业端〗在线提交响应文件，逾期提交系统将拒绝接收。</w:t>
            </w:r>
          </w:p>
          <w:p>
            <w:pPr>
              <w:numPr>
                <w:ilvl w:val="0"/>
                <w:numId w:val="5"/>
              </w:numPr>
              <w:spacing w:line="360" w:lineRule="auto"/>
              <w:rPr>
                <w:rFonts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ascii="仿宋" w:hAnsi="仿宋" w:eastAsia="仿宋" w:cs="仿宋"/>
                <w:sz w:val="24"/>
              </w:rPr>
            </w:pPr>
            <w:r>
              <w:rPr>
                <w:rFonts w:hint="eastAsia" w:ascii="仿宋" w:hAnsi="仿宋" w:eastAsia="仿宋" w:cs="仿宋"/>
                <w:sz w:val="24"/>
              </w:rPr>
              <w:t>纸质版响应文件将在开标过程中同步开启，供应商可通过不见面开标系统确认响应文件密封情况。</w:t>
            </w:r>
          </w:p>
          <w:p>
            <w:pPr>
              <w:numPr>
                <w:ilvl w:val="0"/>
                <w:numId w:val="5"/>
              </w:numPr>
              <w:spacing w:line="360" w:lineRule="auto"/>
              <w:rPr>
                <w:rFonts w:ascii="仿宋" w:hAnsi="仿宋" w:eastAsia="仿宋" w:cs="仿宋"/>
                <w:b/>
                <w:sz w:val="24"/>
              </w:rPr>
            </w:pPr>
            <w:r>
              <w:rPr>
                <w:rFonts w:hint="eastAsia" w:ascii="仿宋" w:hAnsi="仿宋" w:eastAsia="仿宋" w:cs="仿宋"/>
                <w:b/>
                <w:sz w:val="24"/>
              </w:rPr>
              <w:t>不见面开标流程</w:t>
            </w:r>
          </w:p>
          <w:p>
            <w:pPr>
              <w:spacing w:line="360" w:lineRule="auto"/>
              <w:rPr>
                <w:rFonts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ascii="仿宋" w:hAnsi="仿宋" w:eastAsia="仿宋" w:cs="仿宋"/>
                <w:sz w:val="24"/>
              </w:rPr>
            </w:pPr>
            <w:r>
              <w:rPr>
                <w:rFonts w:hint="eastAsia" w:ascii="仿宋" w:hAnsi="仿宋" w:eastAsia="仿宋" w:cs="仿宋"/>
                <w:sz w:val="24"/>
              </w:rPr>
              <w:t>4.2 IE浏览器输入网址：</w:t>
            </w:r>
          </w:p>
          <w:p>
            <w:pPr>
              <w:spacing w:line="360" w:lineRule="auto"/>
              <w:rPr>
                <w:rFonts w:ascii="仿宋" w:hAnsi="仿宋" w:eastAsia="仿宋" w:cs="仿宋"/>
                <w:sz w:val="24"/>
              </w:rPr>
            </w:pPr>
            <w:r>
              <w:fldChar w:fldCharType="begin"/>
            </w:r>
            <w:r>
              <w:instrText xml:space="preserve"> HYPERLINK "http://219.145.120.168:8082/BidOpeningHall/bidhall/default/login），" </w:instrText>
            </w:r>
            <w:r>
              <w:fldChar w:fldCharType="separate"/>
            </w:r>
            <w:r>
              <w:rPr>
                <w:rFonts w:hint="eastAsia" w:ascii="仿宋" w:hAnsi="仿宋" w:eastAsia="仿宋" w:cs="仿宋"/>
              </w:rPr>
              <w:t>http://111.20.184.126:8081/BidOpeningHallCS/bidhall/default/login；</w:t>
            </w:r>
            <w:r>
              <w:rPr>
                <w:rFonts w:hint="eastAsia" w:ascii="仿宋" w:hAnsi="仿宋" w:eastAsia="仿宋" w:cs="仿宋"/>
              </w:rPr>
              <w:fldChar w:fldCharType="end"/>
            </w:r>
          </w:p>
          <w:p>
            <w:pPr>
              <w:spacing w:line="360" w:lineRule="auto"/>
              <w:rPr>
                <w:rFonts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ascii="仿宋" w:hAnsi="仿宋" w:eastAsia="仿宋" w:cs="仿宋"/>
                <w:sz w:val="24"/>
              </w:rPr>
            </w:pPr>
            <w:r>
              <w:rPr>
                <w:rFonts w:hint="eastAsia" w:ascii="仿宋" w:hAnsi="仿宋" w:eastAsia="仿宋" w:cs="仿宋"/>
                <w:sz w:val="24"/>
              </w:rPr>
              <w:t>4.7开标过程中，供应商在收到工作人员“开始解密”指令后，请及时使用CA对电子响应文件进行解密。解密时所用CA应与加密响应文件时所用CA相同；注：解密时间为30分钟，在解密时间内供应商全部解密完成后，可提前进入开标下一阶段。</w:t>
            </w:r>
          </w:p>
          <w:p>
            <w:pPr>
              <w:spacing w:line="360" w:lineRule="auto"/>
              <w:rPr>
                <w:rFonts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ascii="仿宋" w:hAnsi="仿宋" w:eastAsia="仿宋" w:cs="仿宋"/>
                <w:sz w:val="24"/>
              </w:rPr>
            </w:pPr>
            <w:r>
              <w:rPr>
                <w:rFonts w:hint="eastAsia" w:ascii="仿宋" w:hAnsi="仿宋" w:eastAsia="仿宋" w:cs="仿宋"/>
                <w:sz w:val="24"/>
              </w:rPr>
              <w:t>（1）技术支持热线：400-998-0000/400-928-0095</w:t>
            </w:r>
          </w:p>
          <w:p>
            <w:pPr>
              <w:jc w:val="left"/>
              <w:rPr>
                <w:rFonts w:ascii="仿宋" w:hAnsi="仿宋" w:eastAsia="仿宋" w:cs="仿宋"/>
                <w:sz w:val="24"/>
              </w:rPr>
            </w:pPr>
            <w:r>
              <w:rPr>
                <w:rFonts w:hint="eastAsia" w:ascii="仿宋" w:hAnsi="仿宋" w:eastAsia="仿宋" w:cs="仿宋"/>
                <w:sz w:val="24"/>
              </w:rPr>
              <w:t>（2）榆林不见面开标系统操作手册下载方式：登录【全国公共资源交易平台（陕西省·榆林市）】网站首页选择【服务指南】-【下载专区】-点击【</w:t>
            </w:r>
            <w:r>
              <w:fldChar w:fldCharType="begin"/>
            </w:r>
            <w: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ascii="仿宋" w:hAnsi="仿宋" w:eastAsia="仿宋" w:cs="仿宋"/>
        </w:rPr>
      </w:pPr>
      <w:r>
        <w:rPr>
          <w:rFonts w:hint="eastAsia" w:ascii="仿宋" w:hAnsi="仿宋" w:eastAsia="仿宋" w:cs="仿宋"/>
        </w:rPr>
        <w:br w:type="page"/>
      </w:r>
      <w:bookmarkStart w:id="70" w:name="_Toc230013633"/>
      <w:bookmarkStart w:id="71" w:name="_Toc232395213"/>
      <w:bookmarkStart w:id="72" w:name="_Toc232176273"/>
      <w:bookmarkStart w:id="73" w:name="_Toc176882543"/>
      <w:bookmarkStart w:id="74" w:name="_Toc249515391"/>
      <w:bookmarkStart w:id="75" w:name="_Toc230099798"/>
      <w:bookmarkStart w:id="76" w:name="_Toc249525160"/>
      <w:bookmarkStart w:id="77" w:name="_Toc53722841"/>
      <w:bookmarkStart w:id="78" w:name="_Toc184043013"/>
      <w:bookmarkStart w:id="79" w:name="_Toc177995474"/>
      <w:bookmarkStart w:id="80" w:name="_Toc256342144"/>
      <w:bookmarkStart w:id="81" w:name="_Toc230583542"/>
      <w:bookmarkStart w:id="82" w:name="_Toc177189236"/>
      <w:bookmarkStart w:id="83" w:name="_Toc177817335"/>
      <w:bookmarkStart w:id="84" w:name="_Toc249515279"/>
      <w:bookmarkStart w:id="85" w:name="_Toc70687140"/>
      <w:bookmarkStart w:id="86" w:name="_Toc58504662"/>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（二）供应商须知</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ascii="仿宋" w:hAnsi="仿宋" w:eastAsia="仿宋" w:cs="仿宋"/>
          <w:b/>
          <w:sz w:val="24"/>
          <w:szCs w:val="21"/>
        </w:rPr>
      </w:pPr>
      <w:bookmarkStart w:id="87" w:name="_Hlt14560612"/>
      <w:bookmarkEnd w:id="87"/>
      <w:bookmarkStart w:id="88" w:name="_Toc249515392"/>
      <w:bookmarkStart w:id="89" w:name="_Toc249515280"/>
      <w:bookmarkStart w:id="90" w:name="_Toc249525161"/>
      <w:bookmarkStart w:id="91" w:name="_Toc25504"/>
      <w:bookmarkStart w:id="92" w:name="_Toc184043014"/>
      <w:r>
        <w:rPr>
          <w:rFonts w:hint="eastAsia" w:ascii="仿宋" w:hAnsi="仿宋" w:eastAsia="仿宋" w:cs="仿宋"/>
          <w:b/>
          <w:sz w:val="24"/>
          <w:szCs w:val="21"/>
        </w:rPr>
        <w:t>1.     项目说明</w:t>
      </w:r>
      <w:bookmarkEnd w:id="88"/>
      <w:bookmarkEnd w:id="89"/>
      <w:bookmarkEnd w:id="90"/>
      <w:bookmarkEnd w:id="91"/>
      <w:bookmarkEnd w:id="92"/>
    </w:p>
    <w:p>
      <w:pPr>
        <w:pStyle w:val="63"/>
        <w:widowControl w:val="0"/>
        <w:numPr>
          <w:ilvl w:val="1"/>
          <w:numId w:val="6"/>
        </w:numPr>
        <w:tabs>
          <w:tab w:val="left" w:pos="588"/>
        </w:tabs>
        <w:spacing w:before="0" w:beforeAutospacing="0" w:after="0" w:afterAutospacing="0"/>
        <w:textAlignment w:val="auto"/>
        <w:rPr>
          <w:rFonts w:ascii="仿宋" w:hAnsi="仿宋" w:eastAsia="仿宋" w:cs="仿宋"/>
          <w:kern w:val="24"/>
          <w:szCs w:val="21"/>
        </w:rPr>
      </w:pPr>
      <w:r>
        <w:rPr>
          <w:rFonts w:hint="eastAsia" w:ascii="仿宋" w:hAnsi="仿宋" w:eastAsia="仿宋" w:cs="仿宋"/>
          <w:kern w:val="24"/>
          <w:szCs w:val="21"/>
        </w:rPr>
        <w:t xml:space="preserve">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5"/>
        <w:rPr>
          <w:rFonts w:ascii="仿宋" w:hAnsi="仿宋" w:eastAsia="仿宋" w:cs="仿宋"/>
          <w:b/>
          <w:sz w:val="24"/>
          <w:szCs w:val="21"/>
        </w:rPr>
      </w:pPr>
      <w:bookmarkStart w:id="93" w:name="_Toc70687142"/>
      <w:bookmarkStart w:id="94" w:name="_Toc184043015"/>
      <w:bookmarkStart w:id="95" w:name="_Toc249515393"/>
      <w:bookmarkStart w:id="96" w:name="_Toc249525162"/>
      <w:bookmarkStart w:id="97" w:name="_Toc249515281"/>
      <w:bookmarkStart w:id="98" w:name="_Toc31509"/>
      <w:r>
        <w:rPr>
          <w:rFonts w:hint="eastAsia" w:ascii="仿宋" w:hAnsi="仿宋" w:eastAsia="仿宋" w:cs="仿宋"/>
          <w:b/>
          <w:sz w:val="24"/>
          <w:szCs w:val="21"/>
        </w:rPr>
        <w:t>2.     定义</w:t>
      </w:r>
      <w:bookmarkEnd w:id="93"/>
      <w:bookmarkEnd w:id="94"/>
      <w:bookmarkEnd w:id="95"/>
      <w:bookmarkEnd w:id="96"/>
      <w:bookmarkEnd w:id="97"/>
      <w:bookmarkEnd w:id="98"/>
    </w:p>
    <w:p>
      <w:pPr>
        <w:tabs>
          <w:tab w:val="left" w:pos="588"/>
        </w:tabs>
        <w:spacing w:line="360" w:lineRule="auto"/>
        <w:rPr>
          <w:rFonts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
        <w:rPr>
          <w:rFonts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2.3    供应商：指响应谈判文件要求、参加竞争性谈判采购的法人、其他组织或者自然人。本次政府采购项目邀请供应商方式</w:t>
      </w:r>
      <w:r>
        <w:rPr>
          <w:rFonts w:hint="eastAsia" w:ascii="仿宋" w:hAnsi="仿宋" w:eastAsia="仿宋" w:cs="仿宋"/>
          <w:b/>
          <w:bCs/>
          <w:kern w:val="24"/>
          <w:sz w:val="24"/>
          <w:szCs w:val="21"/>
        </w:rPr>
        <w:t>见供应商须知前附表</w:t>
      </w:r>
      <w:r>
        <w:rPr>
          <w:rFonts w:hint="eastAsia" w:ascii="仿宋" w:hAnsi="仿宋" w:eastAsia="仿宋" w:cs="仿宋"/>
          <w:kern w:val="24"/>
          <w:sz w:val="24"/>
          <w:szCs w:val="21"/>
        </w:rPr>
        <w:t>。</w:t>
      </w:r>
    </w:p>
    <w:p>
      <w:pPr>
        <w:pStyle w:val="2"/>
        <w:tabs>
          <w:tab w:val="left" w:pos="360"/>
        </w:tabs>
        <w:ind w:left="840" w:hanging="840" w:hangingChars="350"/>
        <w:rPr>
          <w:rFonts w:ascii="仿宋" w:hAnsi="仿宋" w:eastAsia="仿宋" w:cs="仿宋"/>
          <w:sz w:val="24"/>
        </w:rPr>
      </w:pPr>
      <w:r>
        <w:rPr>
          <w:rFonts w:hint="eastAsia" w:ascii="仿宋" w:hAnsi="仿宋" w:eastAsia="仿宋" w:cs="仿宋"/>
          <w:sz w:val="24"/>
        </w:rPr>
        <w:t>2.4    谈判小组：指依据《中华人民共和国政府采购法》和财政部《政府采购非招标采购方式管理办法》有关规定组建，依法依规履行其职责和义务的机构。</w:t>
      </w:r>
    </w:p>
    <w:p>
      <w:pPr>
        <w:pStyle w:val="5"/>
        <w:rPr>
          <w:rFonts w:ascii="仿宋" w:hAnsi="仿宋" w:eastAsia="仿宋" w:cs="仿宋"/>
          <w:b/>
          <w:sz w:val="24"/>
          <w:szCs w:val="21"/>
        </w:rPr>
      </w:pPr>
      <w:bookmarkStart w:id="99" w:name="_Toc70687143"/>
      <w:bookmarkStart w:id="100" w:name="_Toc23705"/>
      <w:bookmarkStart w:id="101" w:name="_Toc249515282"/>
      <w:bookmarkStart w:id="102" w:name="_Toc385992329"/>
      <w:bookmarkStart w:id="103" w:name="_Toc249515394"/>
      <w:bookmarkStart w:id="104" w:name="_Toc249525163"/>
      <w:bookmarkStart w:id="105" w:name="_Toc389620168"/>
      <w:bookmarkStart w:id="106" w:name="_Toc184043016"/>
      <w:r>
        <w:rPr>
          <w:rFonts w:hint="eastAsia" w:ascii="仿宋" w:hAnsi="仿宋" w:eastAsia="仿宋" w:cs="仿宋"/>
          <w:b/>
          <w:sz w:val="24"/>
          <w:szCs w:val="21"/>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3.2.1  供应商应当未被列入失信被执行人、</w:t>
      </w:r>
      <w:r>
        <w:rPr>
          <w:rFonts w:hint="eastAsia" w:ascii="仿宋" w:hAnsi="仿宋" w:eastAsia="仿宋" w:cs="仿宋"/>
          <w:sz w:val="24"/>
        </w:rPr>
        <w:t>税收违法黑名单</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3.2.2  信用信息查询的时间：响应文件递交截止时间之后至谈判</w:t>
      </w:r>
      <w:r>
        <w:rPr>
          <w:rFonts w:hint="eastAsia" w:ascii="仿宋" w:hAnsi="仿宋" w:eastAsia="仿宋" w:cs="仿宋"/>
          <w:sz w:val="24"/>
        </w:rPr>
        <w:t>资格性检查结束</w:t>
      </w:r>
      <w:r>
        <w:rPr>
          <w:rFonts w:hint="eastAsia" w:ascii="仿宋" w:hAnsi="仿宋" w:eastAsia="仿宋" w:cs="仿宋"/>
          <w:kern w:val="24"/>
          <w:sz w:val="24"/>
          <w:szCs w:val="21"/>
        </w:rPr>
        <w:t xml:space="preserve">。 </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3.2.3  查询渠道：“信用中国”网站（www.creditchina.gov.cn）和中国政府采购网（www.ccgp.gov.cn）。</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供应商必须向采购人或采购代理机构获取谈判文件，未向采购人或采购代理机构获取谈判文件的潜在供应商均无资格参加本次采购。</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
        <w:ind w:left="838" w:leftChars="399"/>
        <w:rPr>
          <w:rFonts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
        <w:rPr>
          <w:rFonts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
        <w:rPr>
          <w:rFonts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
        <w:rPr>
          <w:rFonts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3.6.4  联合体各方应签订共同谈判响应协议，明确约定联合体各方承担的工作和相应的责任，并将共同响应协议作为响应文件的内容提交。</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以联合体形式参加政府采购活动的，联合体各方不得再单独参加或者与其他供应商另外组成联合体参加本项目同一合同项下的谈判，否则相关响应文件将被认定为无效。</w:t>
      </w:r>
    </w:p>
    <w:p>
      <w:pPr>
        <w:pStyle w:val="2"/>
        <w:rPr>
          <w:rFonts w:ascii="仿宋" w:hAnsi="仿宋" w:eastAsia="仿宋" w:cs="仿宋"/>
          <w:kern w:val="24"/>
          <w:sz w:val="24"/>
          <w:szCs w:val="21"/>
        </w:rPr>
      </w:pPr>
      <w:r>
        <w:rPr>
          <w:rFonts w:hint="eastAsia" w:ascii="仿宋" w:hAnsi="仿宋" w:eastAsia="仿宋" w:cs="仿宋"/>
          <w:kern w:val="24"/>
          <w:sz w:val="24"/>
          <w:szCs w:val="21"/>
        </w:rPr>
        <w:t>3.6.7  对联合体谈判的其他资格要求见须知前附表。</w:t>
      </w:r>
    </w:p>
    <w:p>
      <w:pPr>
        <w:pStyle w:val="2"/>
        <w:ind w:left="840" w:hanging="840" w:hangingChars="350"/>
        <w:rPr>
          <w:rFonts w:ascii="仿宋" w:hAnsi="仿宋" w:eastAsia="仿宋" w:cs="仿宋"/>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pPr>
        <w:pStyle w:val="5"/>
        <w:rPr>
          <w:rFonts w:ascii="仿宋" w:hAnsi="仿宋" w:eastAsia="仿宋" w:cs="仿宋"/>
          <w:b/>
          <w:sz w:val="24"/>
          <w:szCs w:val="21"/>
        </w:rPr>
      </w:pPr>
      <w:bookmarkStart w:id="107" w:name="_Toc249515395"/>
      <w:bookmarkStart w:id="108" w:name="_Toc249515283"/>
      <w:bookmarkStart w:id="109" w:name="_Toc70687144"/>
      <w:bookmarkStart w:id="110" w:name="_Toc389620169"/>
      <w:bookmarkStart w:id="111" w:name="_Toc249525164"/>
      <w:bookmarkStart w:id="112" w:name="_Toc184043017"/>
      <w:bookmarkStart w:id="113" w:name="_Toc26580"/>
      <w:bookmarkStart w:id="114" w:name="_Toc385992330"/>
      <w:r>
        <w:rPr>
          <w:rFonts w:hint="eastAsia" w:ascii="仿宋" w:hAnsi="仿宋" w:eastAsia="仿宋" w:cs="仿宋"/>
          <w:b/>
          <w:sz w:val="24"/>
          <w:szCs w:val="21"/>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115" w:name="_Toc389620170"/>
      <w:bookmarkStart w:id="116" w:name="_Toc500747191"/>
      <w:bookmarkStart w:id="117" w:name="_Toc492955417"/>
      <w:bookmarkStart w:id="118" w:name="_Toc230099799"/>
      <w:bookmarkStart w:id="119" w:name="_Toc496324581"/>
      <w:bookmarkStart w:id="120" w:name="_Toc177995475"/>
      <w:bookmarkStart w:id="121" w:name="_Toc499711045"/>
      <w:bookmarkStart w:id="122" w:name="_Toc249525165"/>
      <w:bookmarkStart w:id="123" w:name="_Toc385992331"/>
      <w:bookmarkStart w:id="124" w:name="_Toc499711886"/>
      <w:bookmarkStart w:id="125" w:name="_Toc500747064"/>
      <w:bookmarkStart w:id="126" w:name="_Toc232395214"/>
      <w:bookmarkStart w:id="127" w:name="_Toc249515284"/>
      <w:bookmarkStart w:id="128" w:name="_Toc184043018"/>
      <w:bookmarkStart w:id="129" w:name="_Toc70687145"/>
      <w:bookmarkStart w:id="130" w:name="_Toc53722842"/>
      <w:bookmarkStart w:id="131" w:name="_Toc177189237"/>
      <w:bookmarkStart w:id="132" w:name="_Toc232176274"/>
      <w:bookmarkStart w:id="133" w:name="_Toc177817336"/>
      <w:bookmarkStart w:id="134" w:name="_Toc256342145"/>
      <w:bookmarkStart w:id="135" w:name="_Toc503063424"/>
      <w:bookmarkStart w:id="136" w:name="_Toc230013634"/>
      <w:bookmarkStart w:id="137" w:name="_Toc500746968"/>
      <w:bookmarkStart w:id="138" w:name="_Toc249515396"/>
      <w:bookmarkStart w:id="139" w:name="_Toc230583543"/>
      <w:bookmarkStart w:id="140" w:name="_Toc176882544"/>
      <w:bookmarkStart w:id="141" w:name="_Toc58504663"/>
      <w:r>
        <w:rPr>
          <w:rFonts w:hint="eastAsia" w:ascii="仿宋" w:hAnsi="仿宋" w:eastAsia="仿宋" w:cs="仿宋"/>
          <w:b/>
          <w:kern w:val="0"/>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kern w:val="0"/>
          <w:sz w:val="28"/>
          <w:szCs w:val="28"/>
        </w:rPr>
        <w:t>谈判文件说明</w:t>
      </w:r>
      <w:bookmarkEnd w:id="141"/>
    </w:p>
    <w:p>
      <w:pPr>
        <w:pStyle w:val="5"/>
        <w:rPr>
          <w:rFonts w:ascii="仿宋" w:hAnsi="仿宋" w:eastAsia="仿宋" w:cs="仿宋"/>
          <w:b/>
          <w:sz w:val="24"/>
          <w:szCs w:val="21"/>
        </w:rPr>
      </w:pPr>
      <w:bookmarkStart w:id="142" w:name="_Toc128"/>
      <w:bookmarkStart w:id="143" w:name="_Toc385992332"/>
      <w:bookmarkStart w:id="144" w:name="_Toc184043019"/>
      <w:bookmarkStart w:id="145" w:name="_Toc249515285"/>
      <w:bookmarkStart w:id="146" w:name="_Toc249525166"/>
      <w:bookmarkStart w:id="147" w:name="_Toc70687146"/>
      <w:bookmarkStart w:id="148" w:name="_Toc249515397"/>
      <w:bookmarkStart w:id="149" w:name="_Toc389620171"/>
      <w:r>
        <w:rPr>
          <w:rFonts w:hint="eastAsia" w:ascii="仿宋" w:hAnsi="仿宋" w:eastAsia="仿宋" w:cs="仿宋"/>
          <w:b/>
          <w:sz w:val="24"/>
          <w:szCs w:val="21"/>
        </w:rPr>
        <w:t>5.     通知</w:t>
      </w:r>
      <w:bookmarkEnd w:id="142"/>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ascii="仿宋" w:hAnsi="仿宋" w:eastAsia="仿宋" w:cs="仿宋"/>
          <w:b/>
          <w:sz w:val="24"/>
          <w:szCs w:val="21"/>
        </w:rPr>
      </w:pPr>
      <w:bookmarkStart w:id="150" w:name="_Toc27223"/>
      <w:r>
        <w:rPr>
          <w:rFonts w:hint="eastAsia" w:ascii="仿宋" w:hAnsi="仿宋" w:eastAsia="仿宋" w:cs="仿宋"/>
          <w:b/>
          <w:sz w:val="24"/>
          <w:szCs w:val="21"/>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6.1    谈判文件用以阐明供应商所需提供的服务以及其它类似的义务、采购响应程序和合同条款。谈判文件包括如下五章内容：</w:t>
      </w:r>
    </w:p>
    <w:p>
      <w:pPr>
        <w:pStyle w:val="2"/>
        <w:ind w:left="838" w:leftChars="399"/>
        <w:rPr>
          <w:rFonts w:ascii="仿宋" w:hAnsi="仿宋" w:eastAsia="仿宋" w:cs="仿宋"/>
          <w:sz w:val="24"/>
        </w:rPr>
      </w:pPr>
      <w:r>
        <w:rPr>
          <w:rFonts w:hint="eastAsia" w:ascii="仿宋" w:hAnsi="仿宋" w:eastAsia="仿宋" w:cs="仿宋"/>
          <w:sz w:val="24"/>
        </w:rPr>
        <w:t>第一章 谈判公告</w:t>
      </w:r>
    </w:p>
    <w:p>
      <w:pPr>
        <w:pStyle w:val="2"/>
        <w:ind w:left="838" w:leftChars="399"/>
        <w:rPr>
          <w:rFonts w:ascii="仿宋" w:hAnsi="仿宋" w:eastAsia="仿宋" w:cs="仿宋"/>
          <w:sz w:val="24"/>
        </w:rPr>
      </w:pPr>
      <w:r>
        <w:rPr>
          <w:rFonts w:hint="eastAsia" w:ascii="仿宋" w:hAnsi="仿宋" w:eastAsia="仿宋" w:cs="仿宋"/>
          <w:sz w:val="24"/>
        </w:rPr>
        <w:t>第二章 供应商须知</w:t>
      </w:r>
    </w:p>
    <w:p>
      <w:pPr>
        <w:pStyle w:val="2"/>
        <w:ind w:left="838" w:leftChars="399"/>
        <w:rPr>
          <w:rFonts w:ascii="仿宋" w:hAnsi="仿宋" w:eastAsia="仿宋" w:cs="仿宋"/>
          <w:sz w:val="24"/>
        </w:rPr>
      </w:pPr>
      <w:r>
        <w:rPr>
          <w:rFonts w:hint="eastAsia" w:ascii="仿宋" w:hAnsi="仿宋" w:eastAsia="仿宋" w:cs="仿宋"/>
          <w:sz w:val="24"/>
        </w:rPr>
        <w:t>第三章 合同草案条款</w:t>
      </w:r>
    </w:p>
    <w:p>
      <w:pPr>
        <w:pStyle w:val="2"/>
        <w:ind w:left="838" w:leftChars="399"/>
        <w:rPr>
          <w:rFonts w:ascii="仿宋" w:hAnsi="仿宋" w:eastAsia="仿宋" w:cs="仿宋"/>
          <w:sz w:val="24"/>
        </w:rPr>
      </w:pPr>
      <w:r>
        <w:rPr>
          <w:rFonts w:hint="eastAsia" w:ascii="仿宋" w:hAnsi="仿宋" w:eastAsia="仿宋" w:cs="仿宋"/>
          <w:sz w:val="24"/>
        </w:rPr>
        <w:t>第四章 采购内容及要求</w:t>
      </w:r>
    </w:p>
    <w:p>
      <w:pPr>
        <w:pStyle w:val="2"/>
        <w:ind w:left="838" w:leftChars="399"/>
        <w:rPr>
          <w:rFonts w:ascii="仿宋" w:hAnsi="仿宋" w:eastAsia="仿宋" w:cs="仿宋"/>
          <w:sz w:val="24"/>
        </w:rPr>
      </w:pPr>
      <w:r>
        <w:rPr>
          <w:rFonts w:hint="eastAsia" w:ascii="仿宋" w:hAnsi="仿宋" w:eastAsia="仿宋" w:cs="仿宋"/>
          <w:sz w:val="24"/>
        </w:rPr>
        <w:t>第五章 谈判响应文件格式</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ascii="仿宋" w:hAnsi="仿宋" w:eastAsia="仿宋" w:cs="仿宋"/>
          <w:b/>
          <w:sz w:val="24"/>
          <w:szCs w:val="21"/>
        </w:rPr>
      </w:pPr>
      <w:bookmarkStart w:id="151" w:name="_Toc249525167"/>
      <w:bookmarkStart w:id="152" w:name="_Toc385992333"/>
      <w:bookmarkStart w:id="153" w:name="_Toc249515398"/>
      <w:bookmarkStart w:id="154" w:name="_Toc249515286"/>
      <w:bookmarkStart w:id="155" w:name="_Toc389620172"/>
      <w:bookmarkStart w:id="156" w:name="_Toc184043020"/>
      <w:bookmarkStart w:id="157" w:name="_Toc70687147"/>
      <w:bookmarkStart w:id="158" w:name="_Toc10350"/>
      <w:r>
        <w:rPr>
          <w:rFonts w:hint="eastAsia" w:ascii="仿宋" w:hAnsi="仿宋" w:eastAsia="仿宋" w:cs="仿宋"/>
          <w:b/>
          <w:sz w:val="24"/>
          <w:szCs w:val="21"/>
        </w:rPr>
        <w:t>7.     谈判文件的澄清</w:t>
      </w:r>
      <w:bookmarkEnd w:id="151"/>
      <w:bookmarkEnd w:id="152"/>
      <w:bookmarkEnd w:id="153"/>
      <w:bookmarkEnd w:id="154"/>
      <w:bookmarkEnd w:id="155"/>
      <w:bookmarkEnd w:id="156"/>
      <w:bookmarkEnd w:id="157"/>
      <w:r>
        <w:rPr>
          <w:rFonts w:hint="eastAsia" w:ascii="仿宋" w:hAnsi="仿宋" w:eastAsia="仿宋" w:cs="仿宋"/>
          <w:b/>
          <w:sz w:val="24"/>
          <w:szCs w:val="21"/>
        </w:rPr>
        <w:t>和修改</w:t>
      </w:r>
      <w:bookmarkEnd w:id="158"/>
    </w:p>
    <w:p>
      <w:pPr>
        <w:tabs>
          <w:tab w:val="left" w:pos="588"/>
        </w:tabs>
        <w:spacing w:line="360" w:lineRule="auto"/>
        <w:ind w:left="840" w:hanging="840" w:hangingChars="350"/>
        <w:rPr>
          <w:rFonts w:ascii="仿宋" w:hAnsi="仿宋" w:eastAsia="仿宋" w:cs="仿宋"/>
          <w:sz w:val="24"/>
        </w:rPr>
      </w:pPr>
      <w:bookmarkStart w:id="159" w:name="_Toc385992334"/>
      <w:bookmarkStart w:id="160" w:name="_Toc389620173"/>
      <w:bookmarkStart w:id="161" w:name="_Toc70687148"/>
      <w:r>
        <w:rPr>
          <w:rFonts w:hint="eastAsia" w:ascii="仿宋" w:hAnsi="仿宋" w:eastAsia="仿宋" w:cs="仿宋"/>
          <w:sz w:val="24"/>
        </w:rPr>
        <w:t xml:space="preserve">7.1   </w:t>
      </w:r>
      <w:bookmarkEnd w:id="159"/>
      <w:bookmarkEnd w:id="160"/>
      <w:bookmarkEnd w:id="161"/>
      <w:bookmarkStart w:id="162" w:name="_Hlt497729436"/>
      <w:bookmarkEnd w:id="162"/>
      <w:bookmarkStart w:id="163" w:name="_Hlt491765710"/>
      <w:bookmarkEnd w:id="163"/>
      <w:bookmarkStart w:id="164" w:name="_Toc499711046"/>
      <w:bookmarkStart w:id="165" w:name="_Toc499711887"/>
      <w:bookmarkStart w:id="166" w:name="_Toc500747192"/>
      <w:bookmarkStart w:id="167" w:name="_Toc385992335"/>
      <w:bookmarkStart w:id="168" w:name="_Toc500747065"/>
      <w:bookmarkStart w:id="169" w:name="_Toc492955418"/>
      <w:bookmarkStart w:id="170" w:name="_Toc500746969"/>
      <w:bookmarkStart w:id="171" w:name="_Toc389620174"/>
      <w:bookmarkStart w:id="172" w:name="_Toc496324582"/>
      <w:bookmarkStart w:id="173" w:name="_Toc53722843"/>
      <w:bookmarkStart w:id="174" w:name="_Toc503063425"/>
      <w:bookmarkStart w:id="175" w:name="_Toc70687149"/>
      <w:r>
        <w:rPr>
          <w:rFonts w:hint="eastAsia" w:ascii="仿宋" w:hAnsi="仿宋" w:eastAsia="仿宋" w:cs="仿宋"/>
          <w:sz w:val="24"/>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7.2    谈判文件的修改将以书面形式通知所有获取谈判文件的供应商，并对其具有约束力。供应商在收到上述通知后，应立即向采购人回函确认。</w:t>
      </w:r>
    </w:p>
    <w:p>
      <w:pPr>
        <w:tabs>
          <w:tab w:val="left" w:pos="588"/>
        </w:tabs>
        <w:spacing w:line="360" w:lineRule="auto"/>
        <w:ind w:left="840" w:hanging="840" w:hangingChars="350"/>
        <w:rPr>
          <w:rFonts w:ascii="仿宋" w:hAnsi="仿宋" w:eastAsia="仿宋" w:cs="仿宋"/>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澄清或修改的内容可能影响响应文件编制的，采购人或采购代理机构可适当延长首次响应文件递交截止时间，并以书面形式通知所有获取谈判文件的供应商。</w:t>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28"/>
          <w:szCs w:val="28"/>
        </w:rPr>
      </w:pPr>
      <w:bookmarkStart w:id="176" w:name="_Toc177189238"/>
      <w:bookmarkStart w:id="177" w:name="_Toc177817337"/>
      <w:bookmarkStart w:id="178" w:name="_Toc176882545"/>
      <w:bookmarkStart w:id="179" w:name="_Toc230583544"/>
      <w:bookmarkStart w:id="180" w:name="_Toc230013635"/>
      <w:bookmarkStart w:id="181" w:name="_Toc184043022"/>
      <w:bookmarkStart w:id="182" w:name="_Toc249515288"/>
      <w:bookmarkStart w:id="183" w:name="_Toc249515400"/>
      <w:bookmarkStart w:id="184" w:name="_Toc232395215"/>
      <w:bookmarkStart w:id="185" w:name="_Toc232176275"/>
      <w:bookmarkStart w:id="186" w:name="_Toc249525169"/>
      <w:bookmarkStart w:id="187" w:name="_Toc256342146"/>
      <w:bookmarkStart w:id="188" w:name="_Toc177995476"/>
      <w:bookmarkStart w:id="189" w:name="_Toc230099800"/>
      <w:bookmarkStart w:id="190" w:name="_Toc58504664"/>
      <w:r>
        <w:rPr>
          <w:rFonts w:hint="eastAsia" w:ascii="仿宋" w:hAnsi="仿宋" w:eastAsia="仿宋" w:cs="仿宋"/>
          <w:b/>
          <w:kern w:val="0"/>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ascii="仿宋" w:hAnsi="仿宋" w:eastAsia="仿宋" w:cs="仿宋"/>
          <w:b/>
          <w:sz w:val="24"/>
          <w:szCs w:val="21"/>
        </w:rPr>
      </w:pPr>
      <w:bookmarkStart w:id="191" w:name="_Toc30150"/>
      <w:bookmarkStart w:id="192" w:name="_Toc249525170"/>
      <w:bookmarkStart w:id="193" w:name="_Toc249515401"/>
      <w:bookmarkStart w:id="194" w:name="_Toc249515289"/>
      <w:bookmarkStart w:id="195" w:name="_Toc70687150"/>
      <w:bookmarkStart w:id="196" w:name="_Toc184043023"/>
      <w:bookmarkStart w:id="197" w:name="_Toc385992337"/>
      <w:bookmarkStart w:id="198" w:name="_Toc389620176"/>
      <w:r>
        <w:rPr>
          <w:rFonts w:hint="eastAsia" w:ascii="仿宋" w:hAnsi="仿宋" w:eastAsia="仿宋" w:cs="仿宋"/>
          <w:b/>
          <w:sz w:val="24"/>
          <w:szCs w:val="21"/>
        </w:rPr>
        <w:t>8.     响应文件语言</w:t>
      </w:r>
      <w:bookmarkEnd w:id="191"/>
      <w:bookmarkEnd w:id="192"/>
      <w:bookmarkEnd w:id="193"/>
      <w:bookmarkEnd w:id="194"/>
      <w:bookmarkEnd w:id="195"/>
      <w:bookmarkEnd w:id="196"/>
    </w:p>
    <w:p>
      <w:pPr>
        <w:tabs>
          <w:tab w:val="left" w:pos="588"/>
        </w:tabs>
        <w:spacing w:line="360" w:lineRule="auto"/>
        <w:rPr>
          <w:rFonts w:ascii="仿宋" w:hAnsi="仿宋" w:eastAsia="仿宋" w:cs="仿宋"/>
          <w:sz w:val="24"/>
        </w:rPr>
      </w:pPr>
      <w:r>
        <w:rPr>
          <w:rFonts w:hint="eastAsia" w:ascii="仿宋" w:hAnsi="仿宋" w:eastAsia="仿宋" w:cs="仿宋"/>
          <w:sz w:val="24"/>
        </w:rPr>
        <w:t>8.1    响应文件及与响应相关的所有文件均应以中文书写。</w:t>
      </w:r>
    </w:p>
    <w:p>
      <w:pPr>
        <w:pStyle w:val="5"/>
        <w:tabs>
          <w:tab w:val="left" w:pos="360"/>
        </w:tabs>
        <w:rPr>
          <w:rFonts w:ascii="仿宋" w:hAnsi="仿宋" w:eastAsia="仿宋" w:cs="仿宋"/>
          <w:b/>
          <w:sz w:val="24"/>
          <w:szCs w:val="21"/>
        </w:rPr>
      </w:pPr>
      <w:bookmarkStart w:id="199" w:name="_Toc249515290"/>
      <w:bookmarkStart w:id="200" w:name="_Toc249525171"/>
      <w:bookmarkStart w:id="201" w:name="_Toc249515402"/>
      <w:bookmarkStart w:id="202" w:name="_Toc18327"/>
      <w:bookmarkStart w:id="203" w:name="_Toc70687151"/>
      <w:bookmarkStart w:id="204" w:name="_Toc184043024"/>
      <w:r>
        <w:rPr>
          <w:rFonts w:hint="eastAsia" w:ascii="仿宋" w:hAnsi="仿宋" w:eastAsia="仿宋" w:cs="仿宋"/>
          <w:b/>
          <w:sz w:val="24"/>
          <w:szCs w:val="21"/>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9.1    除在谈判文件的技术规格中另有规定外，计量单位应使用中华人民共和国法定计量单位。</w:t>
      </w:r>
    </w:p>
    <w:p>
      <w:pPr>
        <w:pStyle w:val="5"/>
        <w:tabs>
          <w:tab w:val="left" w:pos="360"/>
        </w:tabs>
        <w:rPr>
          <w:rFonts w:ascii="仿宋" w:hAnsi="仿宋" w:eastAsia="仿宋" w:cs="仿宋"/>
          <w:b/>
          <w:sz w:val="24"/>
          <w:szCs w:val="21"/>
        </w:rPr>
      </w:pPr>
      <w:bookmarkStart w:id="205" w:name="_Toc385992338"/>
      <w:bookmarkStart w:id="206" w:name="_Toc249515403"/>
      <w:bookmarkStart w:id="207" w:name="_Toc70687152"/>
      <w:bookmarkStart w:id="208" w:name="_Toc249515291"/>
      <w:bookmarkStart w:id="209" w:name="_Toc184043025"/>
      <w:bookmarkStart w:id="210" w:name="_Toc389620177"/>
      <w:bookmarkStart w:id="211" w:name="_Toc29318"/>
      <w:bookmarkStart w:id="212" w:name="_Toc249525172"/>
      <w:r>
        <w:rPr>
          <w:rFonts w:hint="eastAsia" w:ascii="仿宋" w:hAnsi="仿宋" w:eastAsia="仿宋" w:cs="仿宋"/>
          <w:b/>
          <w:sz w:val="24"/>
          <w:szCs w:val="21"/>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由《谈判响应文件》</w:t>
      </w:r>
      <w:r>
        <w:rPr>
          <w:rFonts w:hint="eastAsia" w:ascii="仿宋" w:hAnsi="仿宋" w:eastAsia="仿宋" w:cs="仿宋"/>
          <w:sz w:val="24"/>
        </w:rPr>
        <w:t>组成。供应商应完整地按照谈判文件提供的响应文件格式及要求编写响应文件。响应文件中资格审查和符合性审查涉及的事项不满足要求的，其响应文件将被认定为无效。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10.2    供应商编写的响应文件由以下七部分组成，应包括但不限于以下内容：</w:t>
      </w:r>
    </w:p>
    <w:p>
      <w:pPr>
        <w:pStyle w:val="2"/>
        <w:ind w:left="838" w:leftChars="399"/>
        <w:rPr>
          <w:rFonts w:ascii="仿宋" w:hAnsi="仿宋" w:eastAsia="仿宋" w:cs="仿宋"/>
          <w:sz w:val="24"/>
        </w:rPr>
      </w:pPr>
      <w:r>
        <w:rPr>
          <w:rFonts w:hint="eastAsia" w:ascii="仿宋" w:hAnsi="仿宋" w:eastAsia="仿宋" w:cs="仿宋"/>
          <w:sz w:val="24"/>
        </w:rPr>
        <w:t>第一部分  谈判响应函</w:t>
      </w:r>
    </w:p>
    <w:p>
      <w:pPr>
        <w:pStyle w:val="2"/>
        <w:ind w:left="838" w:leftChars="399"/>
        <w:rPr>
          <w:rFonts w:ascii="仿宋" w:hAnsi="仿宋" w:eastAsia="仿宋" w:cs="仿宋"/>
          <w:sz w:val="24"/>
        </w:rPr>
      </w:pPr>
      <w:r>
        <w:rPr>
          <w:rFonts w:hint="eastAsia" w:ascii="仿宋" w:hAnsi="仿宋" w:eastAsia="仿宋" w:cs="仿宋"/>
          <w:sz w:val="24"/>
        </w:rPr>
        <w:t xml:space="preserve">第二部分  谈判响应报价表 </w:t>
      </w:r>
    </w:p>
    <w:p>
      <w:pPr>
        <w:pStyle w:val="2"/>
        <w:ind w:left="838" w:leftChars="399"/>
        <w:rPr>
          <w:rFonts w:ascii="仿宋" w:hAnsi="仿宋" w:eastAsia="仿宋" w:cs="仿宋"/>
          <w:sz w:val="24"/>
        </w:rPr>
      </w:pPr>
      <w:r>
        <w:rPr>
          <w:rFonts w:hint="eastAsia" w:ascii="仿宋" w:hAnsi="仿宋" w:eastAsia="仿宋" w:cs="仿宋"/>
          <w:sz w:val="24"/>
        </w:rPr>
        <w:t>第三部分  偏离表</w:t>
      </w:r>
    </w:p>
    <w:p>
      <w:pPr>
        <w:pStyle w:val="2"/>
        <w:ind w:left="838" w:leftChars="399"/>
        <w:rPr>
          <w:rFonts w:ascii="仿宋" w:hAnsi="仿宋" w:eastAsia="仿宋" w:cs="仿宋"/>
          <w:sz w:val="24"/>
        </w:rPr>
      </w:pPr>
      <w:r>
        <w:rPr>
          <w:rFonts w:hint="eastAsia" w:ascii="仿宋" w:hAnsi="仿宋" w:eastAsia="仿宋" w:cs="仿宋"/>
          <w:sz w:val="24"/>
        </w:rPr>
        <w:t>第四部分  响应方案说明</w:t>
      </w:r>
    </w:p>
    <w:p>
      <w:pPr>
        <w:pStyle w:val="2"/>
        <w:ind w:left="838" w:leftChars="399"/>
        <w:rPr>
          <w:rFonts w:ascii="仿宋" w:hAnsi="仿宋" w:eastAsia="仿宋" w:cs="仿宋"/>
          <w:sz w:val="24"/>
        </w:rPr>
      </w:pPr>
      <w:r>
        <w:rPr>
          <w:rFonts w:hint="eastAsia" w:ascii="仿宋" w:hAnsi="仿宋" w:eastAsia="仿宋" w:cs="仿宋"/>
          <w:sz w:val="24"/>
        </w:rPr>
        <w:t>第五部分  授权委托书及法定代表人证明</w:t>
      </w:r>
    </w:p>
    <w:p>
      <w:pPr>
        <w:pStyle w:val="2"/>
        <w:ind w:left="838" w:leftChars="399"/>
        <w:rPr>
          <w:rFonts w:ascii="仿宋" w:hAnsi="仿宋" w:eastAsia="仿宋" w:cs="仿宋"/>
          <w:sz w:val="24"/>
        </w:rPr>
      </w:pPr>
      <w:r>
        <w:rPr>
          <w:rFonts w:hint="eastAsia" w:ascii="仿宋" w:hAnsi="仿宋" w:eastAsia="仿宋" w:cs="仿宋"/>
          <w:sz w:val="24"/>
        </w:rPr>
        <w:t>第六部分  资格证明文件</w:t>
      </w:r>
    </w:p>
    <w:p>
      <w:pPr>
        <w:pStyle w:val="2"/>
        <w:ind w:left="838" w:leftChars="399"/>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10.3   供应商提供的以上材料必须真实有效，任何一项的虚假将导致其响应被拒绝。</w:t>
      </w:r>
    </w:p>
    <w:p>
      <w:pPr>
        <w:pStyle w:val="5"/>
        <w:tabs>
          <w:tab w:val="left" w:pos="360"/>
        </w:tabs>
        <w:rPr>
          <w:rFonts w:ascii="仿宋" w:hAnsi="仿宋" w:eastAsia="仿宋" w:cs="仿宋"/>
          <w:b/>
          <w:sz w:val="24"/>
          <w:szCs w:val="21"/>
        </w:rPr>
      </w:pPr>
      <w:bookmarkStart w:id="213" w:name="_Toc249525173"/>
      <w:bookmarkStart w:id="214" w:name="_Toc389620178"/>
      <w:bookmarkStart w:id="215" w:name="_Toc385992339"/>
      <w:bookmarkStart w:id="216" w:name="_Toc70687153"/>
      <w:bookmarkStart w:id="217" w:name="_Toc249515404"/>
      <w:bookmarkStart w:id="218" w:name="_Toc184043026"/>
      <w:bookmarkStart w:id="219" w:name="_Toc249515292"/>
      <w:bookmarkStart w:id="220" w:name="_Toc26312"/>
      <w:r>
        <w:rPr>
          <w:rFonts w:hint="eastAsia" w:ascii="仿宋" w:hAnsi="仿宋" w:eastAsia="仿宋" w:cs="仿宋"/>
          <w:b/>
          <w:sz w:val="24"/>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11.1   对于谈判文件第五章中已经提供了格式的响应文件内容，供应商必须按提供的响应文件格式进行填写和编制，没有提供格式的可自行设计。</w:t>
      </w:r>
    </w:p>
    <w:p>
      <w:pPr>
        <w:pStyle w:val="5"/>
        <w:tabs>
          <w:tab w:val="left" w:pos="360"/>
        </w:tabs>
        <w:rPr>
          <w:rFonts w:ascii="仿宋" w:hAnsi="仿宋" w:eastAsia="仿宋" w:cs="仿宋"/>
          <w:b/>
          <w:sz w:val="24"/>
          <w:szCs w:val="21"/>
        </w:rPr>
      </w:pPr>
      <w:bookmarkStart w:id="221" w:name="_Toc26688"/>
      <w:r>
        <w:rPr>
          <w:rFonts w:hint="eastAsia" w:ascii="仿宋" w:hAnsi="仿宋" w:eastAsia="仿宋" w:cs="仿宋"/>
          <w:b/>
          <w:sz w:val="24"/>
          <w:szCs w:val="21"/>
        </w:rPr>
        <w:t>12.    响应报价</w:t>
      </w:r>
      <w:bookmarkEnd w:id="221"/>
    </w:p>
    <w:p>
      <w:pPr>
        <w:tabs>
          <w:tab w:val="left" w:pos="540"/>
          <w:tab w:val="left" w:pos="720"/>
        </w:tabs>
        <w:spacing w:line="360" w:lineRule="auto"/>
        <w:ind w:left="840" w:hanging="840" w:hangingChars="350"/>
        <w:rPr>
          <w:rFonts w:ascii="仿宋" w:hAnsi="仿宋" w:eastAsia="仿宋" w:cs="仿宋"/>
        </w:rPr>
      </w:pPr>
      <w:r>
        <w:rPr>
          <w:rFonts w:hint="eastAsia" w:ascii="仿宋" w:hAnsi="仿宋" w:eastAsia="仿宋" w:cs="仿宋"/>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产品 （或服务）   </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谈判文件第五章提供的格式填写“响应分项报价表”，只是为了方便采购人对响应文件进行比较，并不限制采购人以其它方式签订合同的权力。</w:t>
      </w:r>
    </w:p>
    <w:p>
      <w:pPr>
        <w:pStyle w:val="5"/>
        <w:tabs>
          <w:tab w:val="left" w:pos="360"/>
        </w:tabs>
        <w:rPr>
          <w:rFonts w:ascii="仿宋" w:hAnsi="仿宋" w:eastAsia="仿宋" w:cs="仿宋"/>
          <w:b/>
          <w:sz w:val="24"/>
          <w:szCs w:val="21"/>
        </w:rPr>
      </w:pPr>
      <w:bookmarkStart w:id="222" w:name="_Toc389620180"/>
      <w:bookmarkStart w:id="223" w:name="_Toc20687"/>
      <w:bookmarkStart w:id="224" w:name="_Toc184043028"/>
      <w:bookmarkStart w:id="225" w:name="_Toc70687155"/>
      <w:bookmarkStart w:id="226" w:name="_Toc249525175"/>
      <w:bookmarkStart w:id="227" w:name="_Toc249515294"/>
      <w:bookmarkStart w:id="228" w:name="_Toc385992341"/>
      <w:bookmarkStart w:id="229" w:name="_Toc249515406"/>
      <w:r>
        <w:rPr>
          <w:rFonts w:hint="eastAsia" w:ascii="仿宋" w:hAnsi="仿宋" w:eastAsia="仿宋" w:cs="仿宋"/>
          <w:b/>
          <w:sz w:val="24"/>
          <w:szCs w:val="21"/>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5"/>
        <w:tabs>
          <w:tab w:val="left" w:pos="360"/>
        </w:tabs>
        <w:rPr>
          <w:rFonts w:ascii="仿宋" w:hAnsi="仿宋" w:eastAsia="仿宋" w:cs="仿宋"/>
          <w:b/>
          <w:kern w:val="24"/>
          <w:sz w:val="24"/>
          <w:szCs w:val="21"/>
        </w:rPr>
      </w:pPr>
      <w:bookmarkStart w:id="232" w:name="止观"/>
      <w:bookmarkEnd w:id="232"/>
      <w:r>
        <w:rPr>
          <w:rFonts w:hint="eastAsia" w:ascii="仿宋" w:hAnsi="仿宋" w:eastAsia="仿宋" w:cs="仿宋"/>
          <w:b/>
          <w:sz w:val="24"/>
          <w:szCs w:val="21"/>
        </w:rPr>
        <w:t>14.    谈判保证金</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sz w:val="24"/>
          <w:szCs w:val="21"/>
        </w:rPr>
        <w:t>14.1   本项目须在谈判前向采购代理机构提供</w:t>
      </w:r>
      <w:r>
        <w:rPr>
          <w:rFonts w:hint="eastAsia" w:ascii="仿宋" w:hAnsi="仿宋" w:eastAsia="仿宋" w:cs="仿宋"/>
          <w:b/>
          <w:sz w:val="24"/>
          <w:szCs w:val="21"/>
        </w:rPr>
        <w:t>供应商须知前附表</w:t>
      </w:r>
      <w:r>
        <w:rPr>
          <w:rFonts w:hint="eastAsia" w:ascii="仿宋" w:hAnsi="仿宋" w:eastAsia="仿宋" w:cs="仿宋"/>
          <w:sz w:val="24"/>
          <w:szCs w:val="21"/>
        </w:rPr>
        <w:t>规定金额的保证金，并作为其响应文件的一部分。</w:t>
      </w:r>
    </w:p>
    <w:p>
      <w:pPr>
        <w:tabs>
          <w:tab w:val="left" w:pos="360"/>
          <w:tab w:val="left" w:pos="502"/>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电汇；</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银行转账；</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支票、汇票、本票、金融机构或担保机构出具的保函等非现金形式。</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14.5   未成交供应商的保证金, 采购代理机构将在成交通知书发出后5个工作日内退还。</w:t>
      </w:r>
    </w:p>
    <w:p>
      <w:pPr>
        <w:tabs>
          <w:tab w:val="left" w:pos="360"/>
          <w:tab w:val="left" w:pos="502"/>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14.6   成交供应商的保证金在按本须知第26条规定签订合同后5个工作日退还。</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供应商在提交响应文件截止时间后撤回响应文件的；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供应商在响应文件中提供虚假材料的；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 xml:space="preserve">除因不可抗力外，成交供应商在规定期限内未能根据本须知第26条规定签订合同； </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供应商与采购人、其他供应商或者采购代理机构恶意串通的；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成交供应商未按本须知第29条规定缴纳服务费。</w:t>
      </w:r>
    </w:p>
    <w:p>
      <w:pPr>
        <w:pStyle w:val="5"/>
        <w:numPr>
          <w:ilvl w:val="0"/>
          <w:numId w:val="9"/>
        </w:numPr>
        <w:tabs>
          <w:tab w:val="left" w:pos="360"/>
        </w:tabs>
        <w:rPr>
          <w:rFonts w:ascii="仿宋" w:hAnsi="仿宋" w:eastAsia="仿宋" w:cs="仿宋"/>
          <w:b/>
          <w:sz w:val="24"/>
          <w:szCs w:val="21"/>
        </w:rPr>
      </w:pPr>
      <w:bookmarkStart w:id="233" w:name="_Toc249525177"/>
      <w:bookmarkStart w:id="234" w:name="_Toc7949"/>
      <w:bookmarkStart w:id="235" w:name="_Toc249515296"/>
      <w:bookmarkStart w:id="236" w:name="_Toc249515408"/>
      <w:r>
        <w:rPr>
          <w:rFonts w:hint="eastAsia" w:ascii="仿宋" w:hAnsi="仿宋" w:eastAsia="仿宋" w:cs="仿宋"/>
          <w:b/>
          <w:sz w:val="24"/>
          <w:szCs w:val="21"/>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15.1   谈判有效期见</w:t>
      </w:r>
      <w:r>
        <w:rPr>
          <w:rFonts w:hint="eastAsia" w:ascii="仿宋" w:hAnsi="仿宋" w:eastAsia="仿宋" w:cs="仿宋"/>
          <w:b/>
          <w:sz w:val="24"/>
        </w:rPr>
        <w:t>本须知前附表</w:t>
      </w:r>
      <w:r>
        <w:rPr>
          <w:rFonts w:hint="eastAsia" w:ascii="仿宋" w:hAnsi="仿宋" w:eastAsia="仿宋" w:cs="仿宋"/>
          <w:sz w:val="24"/>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ascii="仿宋" w:hAnsi="仿宋" w:eastAsia="仿宋" w:cs="仿宋"/>
          <w:b/>
          <w:sz w:val="24"/>
          <w:szCs w:val="21"/>
        </w:rPr>
      </w:pPr>
      <w:bookmarkStart w:id="237" w:name="_Toc249515409"/>
      <w:bookmarkStart w:id="238" w:name="_Toc389620185"/>
      <w:bookmarkStart w:id="239" w:name="_Toc184043033"/>
      <w:bookmarkStart w:id="240" w:name="_Toc249525178"/>
      <w:bookmarkStart w:id="241" w:name="_Toc70687160"/>
      <w:bookmarkStart w:id="242" w:name="_Toc385992346"/>
      <w:bookmarkStart w:id="243" w:name="_Toc249515297"/>
      <w:bookmarkStart w:id="244" w:name="_Toc16612"/>
      <w:r>
        <w:rPr>
          <w:rFonts w:hint="eastAsia" w:ascii="仿宋" w:hAnsi="仿宋" w:eastAsia="仿宋" w:cs="仿宋"/>
          <w:b/>
          <w:sz w:val="24"/>
          <w:szCs w:val="21"/>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245" w:name="_Hlt491765640"/>
      <w:bookmarkEnd w:id="245"/>
      <w:bookmarkStart w:id="246" w:name="_Toc385992347"/>
      <w:bookmarkStart w:id="247" w:name="_Toc230099801"/>
      <w:bookmarkStart w:id="248" w:name="_Toc70687161"/>
      <w:bookmarkStart w:id="249" w:name="_Toc177817338"/>
      <w:bookmarkStart w:id="250" w:name="_Toc503063426"/>
      <w:bookmarkStart w:id="251" w:name="_Toc389620186"/>
      <w:bookmarkStart w:id="252" w:name="_Toc249515298"/>
      <w:bookmarkStart w:id="253" w:name="_Toc230013636"/>
      <w:bookmarkStart w:id="254" w:name="_Toc176882546"/>
      <w:bookmarkStart w:id="255" w:name="_Toc256342147"/>
      <w:bookmarkStart w:id="256" w:name="_Toc58504665"/>
      <w:bookmarkStart w:id="257" w:name="_Toc499711888"/>
      <w:bookmarkStart w:id="258" w:name="_Toc500747066"/>
      <w:bookmarkStart w:id="259" w:name="_Toc496324583"/>
      <w:bookmarkStart w:id="260" w:name="_Toc249525179"/>
      <w:bookmarkStart w:id="261" w:name="_Toc249515410"/>
      <w:bookmarkStart w:id="262" w:name="_Toc500746970"/>
      <w:bookmarkStart w:id="263" w:name="_Toc492955419"/>
      <w:bookmarkStart w:id="264" w:name="_Toc53722844"/>
      <w:bookmarkStart w:id="265" w:name="_Toc177189239"/>
      <w:bookmarkStart w:id="266" w:name="_Toc177995477"/>
      <w:bookmarkStart w:id="267" w:name="_Toc499711047"/>
      <w:bookmarkStart w:id="268" w:name="_Toc230583545"/>
      <w:bookmarkStart w:id="269" w:name="_Toc232395216"/>
      <w:bookmarkStart w:id="270" w:name="_Toc184043034"/>
      <w:bookmarkStart w:id="271" w:name="_Toc500747193"/>
      <w:bookmarkStart w:id="272" w:name="_Toc232176276"/>
      <w:r>
        <w:rPr>
          <w:rFonts w:hint="eastAsia" w:ascii="仿宋" w:hAnsi="仿宋" w:eastAsia="仿宋" w:cs="仿宋"/>
          <w:b/>
          <w:kern w:val="0"/>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ascii="仿宋" w:hAnsi="仿宋" w:eastAsia="仿宋" w:cs="仿宋"/>
          <w:b/>
          <w:sz w:val="24"/>
          <w:szCs w:val="21"/>
        </w:rPr>
      </w:pPr>
      <w:bookmarkStart w:id="273" w:name="_Toc70687162"/>
      <w:bookmarkStart w:id="274" w:name="_Toc249525180"/>
      <w:bookmarkStart w:id="275" w:name="_Toc389620187"/>
      <w:bookmarkStart w:id="276" w:name="_Toc249515411"/>
      <w:bookmarkStart w:id="277" w:name="_Toc4042"/>
      <w:bookmarkStart w:id="278" w:name="_Toc249515299"/>
      <w:bookmarkStart w:id="279" w:name="_Toc184043035"/>
      <w:bookmarkStart w:id="280" w:name="_Toc385992348"/>
      <w:r>
        <w:rPr>
          <w:rFonts w:hint="eastAsia" w:ascii="仿宋" w:hAnsi="仿宋" w:eastAsia="仿宋" w:cs="仿宋"/>
          <w:b/>
          <w:sz w:val="24"/>
          <w:szCs w:val="21"/>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ascii="仿宋" w:hAnsi="仿宋" w:eastAsia="仿宋" w:cs="仿宋"/>
          <w:sz w:val="24"/>
        </w:rPr>
      </w:pPr>
      <w:bookmarkStart w:id="281" w:name="_Toc389620188"/>
      <w:bookmarkStart w:id="282" w:name="_Toc385992349"/>
      <w:bookmarkStart w:id="283" w:name="_Toc184043036"/>
      <w:bookmarkStart w:id="284" w:name="_Toc70687163"/>
      <w:r>
        <w:rPr>
          <w:rFonts w:hint="eastAsia" w:ascii="仿宋" w:hAnsi="仿宋" w:eastAsia="仿宋" w:cs="仿宋"/>
          <w:kern w:val="0"/>
          <w:sz w:val="24"/>
          <w:szCs w:val="21"/>
        </w:rPr>
        <w:t>17.1   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pPr>
        <w:pStyle w:val="2"/>
        <w:ind w:left="840" w:hanging="840" w:hangingChars="350"/>
        <w:rPr>
          <w:rFonts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1"/>
    <w:bookmarkEnd w:id="282"/>
    <w:p>
      <w:pPr>
        <w:pStyle w:val="5"/>
        <w:tabs>
          <w:tab w:val="left" w:pos="360"/>
        </w:tabs>
        <w:rPr>
          <w:rFonts w:ascii="仿宋" w:hAnsi="仿宋" w:eastAsia="仿宋" w:cs="仿宋"/>
          <w:b/>
          <w:sz w:val="24"/>
          <w:szCs w:val="21"/>
        </w:rPr>
      </w:pPr>
      <w:bookmarkStart w:id="285" w:name="_Toc31171"/>
      <w:bookmarkStart w:id="286" w:name="_Toc249515412"/>
      <w:bookmarkStart w:id="287" w:name="_Toc249525181"/>
      <w:bookmarkStart w:id="288" w:name="_Toc249515300"/>
      <w:r>
        <w:rPr>
          <w:rFonts w:hint="eastAsia" w:ascii="仿宋" w:hAnsi="仿宋" w:eastAsia="仿宋" w:cs="仿宋"/>
          <w:b/>
          <w:sz w:val="24"/>
          <w:szCs w:val="21"/>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ascii="仿宋" w:hAnsi="仿宋" w:eastAsia="仿宋" w:cs="仿宋"/>
          <w:sz w:val="24"/>
        </w:rPr>
      </w:pPr>
      <w:bookmarkStart w:id="289" w:name="_Toc184043037"/>
      <w:bookmarkStart w:id="290" w:name="_Toc70687164"/>
      <w:bookmarkStart w:id="291" w:name="_Toc389620189"/>
      <w:bookmarkStart w:id="292" w:name="_Toc385992350"/>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ascii="仿宋" w:hAnsi="仿宋" w:eastAsia="仿宋" w:cs="仿宋"/>
          <w:sz w:val="24"/>
        </w:rPr>
      </w:pPr>
      <w:r>
        <w:rPr>
          <w:rFonts w:hint="eastAsia" w:ascii="仿宋" w:hAnsi="仿宋" w:eastAsia="仿宋" w:cs="仿宋"/>
          <w:sz w:val="24"/>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ascii="仿宋" w:hAnsi="仿宋" w:eastAsia="仿宋" w:cs="仿宋"/>
          <w:b/>
          <w:sz w:val="24"/>
          <w:szCs w:val="21"/>
        </w:rPr>
      </w:pPr>
      <w:bookmarkStart w:id="293" w:name="_Toc249525182"/>
      <w:bookmarkStart w:id="294" w:name="_Toc7175"/>
      <w:bookmarkStart w:id="295" w:name="_Toc249515413"/>
      <w:bookmarkStart w:id="296" w:name="_Toc249515301"/>
      <w:r>
        <w:rPr>
          <w:rFonts w:hint="eastAsia" w:ascii="仿宋" w:hAnsi="仿宋" w:eastAsia="仿宋" w:cs="仿宋"/>
          <w:b/>
          <w:sz w:val="24"/>
          <w:szCs w:val="21"/>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5"/>
        <w:tabs>
          <w:tab w:val="left" w:pos="360"/>
        </w:tabs>
        <w:rPr>
          <w:rFonts w:ascii="仿宋" w:hAnsi="仿宋" w:eastAsia="仿宋" w:cs="仿宋"/>
          <w:b/>
          <w:sz w:val="24"/>
          <w:szCs w:val="21"/>
        </w:rPr>
      </w:pPr>
      <w:bookmarkStart w:id="297" w:name="_Toc70687165"/>
      <w:bookmarkStart w:id="298" w:name="_Toc249525183"/>
      <w:bookmarkStart w:id="299" w:name="_Toc389620190"/>
      <w:bookmarkStart w:id="300" w:name="_Toc385992351"/>
      <w:bookmarkStart w:id="301" w:name="_Toc249515414"/>
      <w:bookmarkStart w:id="302" w:name="_Toc249515302"/>
      <w:bookmarkStart w:id="303" w:name="_Toc10272"/>
      <w:bookmarkStart w:id="304" w:name="_Toc184043038"/>
      <w:r>
        <w:rPr>
          <w:rFonts w:hint="eastAsia" w:ascii="仿宋" w:hAnsi="仿宋" w:eastAsia="仿宋" w:cs="仿宋"/>
          <w:b/>
          <w:sz w:val="24"/>
          <w:szCs w:val="21"/>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sz w:val="24"/>
          <w:szCs w:val="21"/>
        </w:rPr>
        <w:t>回</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305" w:name="_Hlt491765712"/>
      <w:bookmarkEnd w:id="305"/>
      <w:bookmarkStart w:id="306" w:name="_Hlt497729441"/>
      <w:bookmarkEnd w:id="306"/>
      <w:bookmarkStart w:id="307" w:name="_Toc232176277"/>
      <w:bookmarkStart w:id="308" w:name="_Toc214357452"/>
      <w:bookmarkStart w:id="309" w:name="_Toc232395217"/>
      <w:bookmarkStart w:id="310" w:name="_Toc256342148"/>
      <w:bookmarkStart w:id="311" w:name="_Toc249525184"/>
      <w:bookmarkStart w:id="312" w:name="_Toc249515303"/>
      <w:bookmarkStart w:id="313" w:name="_Toc249515415"/>
      <w:bookmarkStart w:id="314" w:name="_Toc58504666"/>
      <w:bookmarkStart w:id="315" w:name="_Toc496324584"/>
      <w:bookmarkStart w:id="316" w:name="_Toc53722845"/>
      <w:bookmarkStart w:id="317" w:name="_Toc70687166"/>
      <w:bookmarkStart w:id="318" w:name="_Toc177189240"/>
      <w:bookmarkStart w:id="319" w:name="_Toc500747194"/>
      <w:bookmarkStart w:id="320" w:name="_Toc177995478"/>
      <w:bookmarkStart w:id="321" w:name="_Toc492955420"/>
      <w:bookmarkStart w:id="322" w:name="_Toc499711889"/>
      <w:bookmarkStart w:id="323" w:name="_Toc176882547"/>
      <w:bookmarkStart w:id="324" w:name="_Toc385992352"/>
      <w:bookmarkStart w:id="325" w:name="_Toc499711048"/>
      <w:bookmarkStart w:id="326" w:name="_Toc389620191"/>
      <w:bookmarkStart w:id="327" w:name="_Toc503063427"/>
      <w:bookmarkStart w:id="328" w:name="_Toc500746971"/>
      <w:bookmarkStart w:id="329" w:name="_Toc184043039"/>
      <w:bookmarkStart w:id="330" w:name="_Toc500747067"/>
      <w:bookmarkStart w:id="331" w:name="_Toc177817339"/>
      <w:r>
        <w:rPr>
          <w:rFonts w:hint="eastAsia" w:ascii="仿宋" w:hAnsi="仿宋" w:eastAsia="仿宋" w:cs="仿宋"/>
          <w:b/>
          <w:kern w:val="0"/>
          <w:sz w:val="28"/>
          <w:szCs w:val="28"/>
        </w:rPr>
        <w:t>五、</w:t>
      </w:r>
      <w:bookmarkEnd w:id="307"/>
      <w:bookmarkEnd w:id="308"/>
      <w:bookmarkEnd w:id="309"/>
      <w:r>
        <w:rPr>
          <w:rFonts w:hint="eastAsia" w:ascii="仿宋" w:hAnsi="仿宋" w:eastAsia="仿宋" w:cs="仿宋"/>
          <w:b/>
          <w:kern w:val="0"/>
          <w:sz w:val="28"/>
          <w:szCs w:val="28"/>
        </w:rPr>
        <w:t>评审与</w:t>
      </w:r>
      <w:bookmarkEnd w:id="310"/>
      <w:bookmarkEnd w:id="311"/>
      <w:bookmarkEnd w:id="312"/>
      <w:bookmarkEnd w:id="313"/>
      <w:r>
        <w:rPr>
          <w:rFonts w:hint="eastAsia" w:ascii="仿宋" w:hAnsi="仿宋" w:eastAsia="仿宋" w:cs="仿宋"/>
          <w:b/>
          <w:kern w:val="0"/>
          <w:sz w:val="28"/>
          <w:szCs w:val="28"/>
        </w:rPr>
        <w:t>谈判</w:t>
      </w:r>
      <w:bookmarkEnd w:id="314"/>
    </w:p>
    <w:p>
      <w:pPr>
        <w:pStyle w:val="5"/>
        <w:tabs>
          <w:tab w:val="left" w:pos="360"/>
        </w:tabs>
        <w:rPr>
          <w:rFonts w:ascii="仿宋" w:hAnsi="仿宋" w:eastAsia="仿宋" w:cs="仿宋"/>
          <w:b/>
          <w:sz w:val="24"/>
          <w:szCs w:val="21"/>
        </w:rPr>
      </w:pPr>
      <w:r>
        <w:rPr>
          <w:rFonts w:hint="eastAsia" w:ascii="仿宋" w:hAnsi="仿宋" w:eastAsia="仿宋" w:cs="仿宋"/>
          <w:b/>
          <w:sz w:val="24"/>
          <w:szCs w:val="21"/>
        </w:rPr>
        <w:t>21.    谈判小组</w:t>
      </w:r>
    </w:p>
    <w:p>
      <w:pPr>
        <w:pStyle w:val="28"/>
        <w:adjustRightInd w:val="0"/>
        <w:snapToGrid w:val="0"/>
        <w:ind w:left="840" w:hanging="840" w:hangingChars="350"/>
        <w:rPr>
          <w:rFonts w:ascii="仿宋" w:hAnsi="仿宋" w:eastAsia="仿宋" w:cs="仿宋"/>
          <w:sz w:val="24"/>
          <w:szCs w:val="24"/>
        </w:rPr>
      </w:pPr>
      <w:r>
        <w:rPr>
          <w:rFonts w:hint="eastAsia" w:ascii="仿宋" w:hAnsi="仿宋" w:eastAsia="仿宋" w:cs="仿宋"/>
          <w:sz w:val="24"/>
          <w:szCs w:val="24"/>
        </w:rPr>
        <w:t>21.1   在谈判开始前组建谈判小组，谈判小组由采购人代表及有关专家组成。专家从政府采购评审专家库相关专业中随机抽取。谈判小组组成见</w:t>
      </w:r>
      <w:r>
        <w:rPr>
          <w:rFonts w:hint="eastAsia" w:ascii="仿宋" w:hAnsi="仿宋" w:eastAsia="仿宋" w:cs="仿宋"/>
          <w:b/>
          <w:sz w:val="24"/>
        </w:rPr>
        <w:t>供应商须知前附表。</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21.2   谈判小组职责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（2）确定符合要求的供应商参加谈判；</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（3）审查供应商的响应文件并做出评价；</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（4）要求供应商解释或者澄清其响应文件；</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（5）编写评审报告；</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（6）告知采购人、采购代理机构在评审过程中发现的供应商的违法违规行为。</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21.3   谈判小组义务</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（1）遵纪守法、客观、公正、廉洁地履行职责；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（2）根据谈判文件的规定独立进行评审，对个人的评审意见承担法律责任；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（3）参与评审报告的起草；</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8"/>
        <w:adjustRightInd w:val="0"/>
        <w:snapToGrid w:val="0"/>
        <w:rPr>
          <w:rFonts w:ascii="仿宋" w:hAnsi="仿宋" w:eastAsia="仿宋" w:cs="仿宋"/>
          <w:sz w:val="24"/>
          <w:szCs w:val="24"/>
        </w:rPr>
      </w:pPr>
      <w:bookmarkStart w:id="332" w:name="_Toc83547667"/>
      <w:r>
        <w:rPr>
          <w:rFonts w:hint="eastAsia" w:ascii="仿宋" w:hAnsi="仿宋" w:eastAsia="仿宋" w:cs="仿宋"/>
          <w:sz w:val="24"/>
          <w:szCs w:val="24"/>
        </w:rPr>
        <w:t>21.4   谈判小组成员有下列情形之一的，应当回避：</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（1）参加采购活动前3年内与供应商存在劳动关系；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（2）参加采购活动前3年内担任供应商的董事、监事；</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（3）参加采购活动前3年内是供应商的控股股东或者实际控制人；</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（4）与供应商的法定代表人或者负责人有夫妻、直系血亲、三代以内旁系血亲或者近姻亲关系；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（5）与供应商有其他可能影响政府采购活动公平、公正进行的关系。</w:t>
      </w:r>
    </w:p>
    <w:p>
      <w:pPr>
        <w:pStyle w:val="5"/>
        <w:tabs>
          <w:tab w:val="left" w:pos="360"/>
        </w:tabs>
        <w:rPr>
          <w:rFonts w:ascii="仿宋" w:hAnsi="仿宋" w:eastAsia="仿宋" w:cs="仿宋"/>
          <w:b/>
          <w:sz w:val="24"/>
          <w:szCs w:val="21"/>
        </w:rPr>
      </w:pPr>
      <w:bookmarkStart w:id="333" w:name="_Toc20608"/>
      <w:bookmarkStart w:id="334" w:name="_Toc249525187"/>
      <w:bookmarkStart w:id="335" w:name="_Toc249515418"/>
      <w:bookmarkStart w:id="336" w:name="_Toc249515306"/>
      <w:r>
        <w:rPr>
          <w:rFonts w:hint="eastAsia" w:ascii="仿宋" w:hAnsi="仿宋" w:eastAsia="仿宋" w:cs="仿宋"/>
          <w:b/>
          <w:sz w:val="24"/>
          <w:szCs w:val="21"/>
        </w:rPr>
        <w:t>22.    谈判程序</w:t>
      </w:r>
    </w:p>
    <w:p>
      <w:pPr>
        <w:pStyle w:val="5"/>
        <w:tabs>
          <w:tab w:val="left" w:pos="360"/>
        </w:tabs>
        <w:rPr>
          <w:rFonts w:ascii="仿宋" w:hAnsi="仿宋" w:eastAsia="仿宋" w:cs="仿宋"/>
          <w:b/>
          <w:sz w:val="24"/>
          <w:szCs w:val="21"/>
        </w:rPr>
      </w:pPr>
      <w:bookmarkStart w:id="337" w:name="_Toc58504507"/>
      <w:r>
        <w:rPr>
          <w:rFonts w:hint="eastAsia" w:ascii="仿宋" w:hAnsi="仿宋" w:eastAsia="仿宋" w:cs="仿宋"/>
          <w:b/>
          <w:sz w:val="24"/>
          <w:szCs w:val="21"/>
        </w:rPr>
        <w:t>22.1   谈判会议</w:t>
      </w:r>
      <w:bookmarkEnd w:id="337"/>
    </w:p>
    <w:p>
      <w:pPr>
        <w:pStyle w:val="2"/>
        <w:ind w:left="840" w:leftChars="400"/>
        <w:rPr>
          <w:rFonts w:ascii="仿宋" w:hAnsi="仿宋" w:eastAsia="仿宋" w:cs="仿宋"/>
          <w:sz w:val="24"/>
        </w:rPr>
      </w:pPr>
      <w:bookmarkStart w:id="338" w:name="_Toc58504508"/>
      <w:r>
        <w:rPr>
          <w:rFonts w:hint="eastAsia" w:ascii="仿宋" w:hAnsi="仿宋" w:eastAsia="仿宋" w:cs="仿宋"/>
          <w:sz w:val="24"/>
        </w:rPr>
        <w:t>（1）在谈判文件规定的时间和地点，由采购代理机构组织谈判工作，供应商须委派代表参加，签名以证明其出席。</w:t>
      </w:r>
      <w:bookmarkEnd w:id="338"/>
    </w:p>
    <w:p>
      <w:pPr>
        <w:pStyle w:val="2"/>
        <w:ind w:left="840" w:leftChars="400"/>
        <w:rPr>
          <w:rFonts w:ascii="仿宋" w:hAnsi="仿宋" w:eastAsia="仿宋" w:cs="仿宋"/>
          <w:sz w:val="24"/>
        </w:rPr>
      </w:pPr>
      <w:bookmarkStart w:id="339" w:name="_Toc58504509"/>
      <w:r>
        <w:rPr>
          <w:rFonts w:hint="eastAsia" w:ascii="仿宋" w:hAnsi="仿宋" w:eastAsia="仿宋" w:cs="仿宋"/>
          <w:sz w:val="24"/>
        </w:rPr>
        <w:t>（2）各供应商或其推荐的代表与采购监督人共同检查响应文件的密封情况，经检查无误后，签字确认。</w:t>
      </w:r>
      <w:bookmarkEnd w:id="339"/>
    </w:p>
    <w:p>
      <w:pPr>
        <w:pStyle w:val="2"/>
        <w:ind w:left="840" w:leftChars="400"/>
        <w:rPr>
          <w:rFonts w:ascii="仿宋" w:hAnsi="仿宋" w:eastAsia="仿宋" w:cs="仿宋"/>
          <w:sz w:val="24"/>
        </w:rPr>
      </w:pPr>
      <w:bookmarkStart w:id="340" w:name="_Toc58504510"/>
      <w:r>
        <w:rPr>
          <w:rFonts w:hint="eastAsia" w:ascii="仿宋" w:hAnsi="仿宋" w:eastAsia="仿宋" w:cs="仿宋"/>
          <w:sz w:val="24"/>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ascii="仿宋" w:hAnsi="仿宋" w:eastAsia="仿宋" w:cs="仿宋"/>
          <w:b/>
          <w:sz w:val="24"/>
          <w:szCs w:val="21"/>
        </w:rPr>
      </w:pPr>
      <w:bookmarkStart w:id="341" w:name="_Toc58504511"/>
      <w:r>
        <w:rPr>
          <w:rFonts w:hint="eastAsia" w:ascii="仿宋" w:hAnsi="仿宋" w:eastAsia="仿宋" w:cs="仿宋"/>
          <w:b/>
          <w:sz w:val="24"/>
          <w:szCs w:val="21"/>
        </w:rPr>
        <w:t>22.2   响应文件</w:t>
      </w:r>
      <w:bookmarkEnd w:id="332"/>
      <w:bookmarkEnd w:id="333"/>
      <w:bookmarkEnd w:id="334"/>
      <w:bookmarkEnd w:id="335"/>
      <w:bookmarkEnd w:id="336"/>
      <w:r>
        <w:rPr>
          <w:rFonts w:hint="eastAsia" w:ascii="仿宋" w:hAnsi="仿宋" w:eastAsia="仿宋" w:cs="仿宋"/>
          <w:b/>
          <w:sz w:val="24"/>
          <w:szCs w:val="21"/>
        </w:rPr>
        <w:t>评审</w:t>
      </w:r>
      <w:bookmarkEnd w:id="341"/>
    </w:p>
    <w:p>
      <w:pPr>
        <w:tabs>
          <w:tab w:val="left" w:pos="360"/>
          <w:tab w:val="left" w:pos="588"/>
        </w:tabs>
        <w:spacing w:line="360" w:lineRule="auto"/>
        <w:ind w:left="843" w:hanging="843" w:hangingChars="350"/>
        <w:rPr>
          <w:rFonts w:ascii="仿宋" w:hAnsi="仿宋" w:eastAsia="仿宋" w:cs="仿宋"/>
          <w:sz w:val="24"/>
        </w:rPr>
      </w:pPr>
      <w:bookmarkStart w:id="342" w:name="_Toc83547671"/>
      <w:r>
        <w:rPr>
          <w:rFonts w:hint="eastAsia" w:ascii="仿宋" w:hAnsi="仿宋" w:eastAsia="仿宋" w:cs="仿宋"/>
          <w:b/>
          <w:sz w:val="24"/>
        </w:rPr>
        <w:t>22.2.1 响应文件的资格性审查</w:t>
      </w:r>
      <w:r>
        <w:rPr>
          <w:rFonts w:hint="eastAsia" w:ascii="仿宋" w:hAnsi="仿宋" w:eastAsia="仿宋" w:cs="仿宋"/>
          <w:sz w:val="24"/>
        </w:rPr>
        <w:t>。依据《政府采购法》第二十三条和谈判文件的规定，</w:t>
      </w:r>
      <w:r>
        <w:rPr>
          <w:rFonts w:hint="eastAsia" w:ascii="仿宋" w:hAnsi="仿宋" w:eastAsia="仿宋" w:cs="仿宋"/>
          <w:b/>
          <w:sz w:val="24"/>
        </w:rPr>
        <w:t>采购人或采购代理机构</w:t>
      </w:r>
      <w:r>
        <w:rPr>
          <w:rFonts w:hint="eastAsia" w:ascii="仿宋" w:hAnsi="仿宋" w:eastAsia="仿宋" w:cs="仿宋"/>
          <w:sz w:val="24"/>
        </w:rPr>
        <w:t>负责对响应文件中的资格证明文件、信用查询记录等进行审查，以确认供应商具备相应资格。资格性审查出现下列情况者（但不限于），按无效文件处理：</w:t>
      </w:r>
    </w:p>
    <w:p>
      <w:pPr>
        <w:pStyle w:val="2"/>
        <w:ind w:left="840" w:leftChars="400"/>
        <w:rPr>
          <w:rFonts w:ascii="仿宋" w:hAnsi="仿宋" w:eastAsia="仿宋" w:cs="仿宋"/>
          <w:sz w:val="24"/>
        </w:rPr>
      </w:pPr>
      <w:r>
        <w:rPr>
          <w:rFonts w:hint="eastAsia" w:ascii="仿宋" w:hAnsi="仿宋" w:eastAsia="仿宋" w:cs="仿宋"/>
          <w:sz w:val="24"/>
        </w:rPr>
        <w:t>（1）供应商资格不符合《中华人民共和国政府采购法》第二十二条的规定和特定资格条件要求的。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（2）供应商没有经过正常渠道购买或免费领取谈判文件或供应商的名称与获取谈判文件单位的名称不符。</w:t>
      </w:r>
    </w:p>
    <w:p>
      <w:pPr>
        <w:pStyle w:val="2"/>
        <w:ind w:left="840" w:leftChars="400"/>
        <w:rPr>
          <w:rFonts w:ascii="仿宋" w:hAnsi="仿宋" w:eastAsia="仿宋" w:cs="仿宋"/>
          <w:sz w:val="24"/>
          <w:szCs w:val="32"/>
        </w:rPr>
      </w:pPr>
      <w:r>
        <w:rPr>
          <w:rFonts w:hint="eastAsia" w:ascii="仿宋" w:hAnsi="仿宋" w:eastAsia="仿宋" w:cs="仿宋"/>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（4）保证金未提交或未提交至指定账户、或提交保证金不符合谈判文件要求的。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（5）信用查询中列入失信被执行人、重大税收违法失信主体、政府采购严重违法失信行为记录名单及其他不符合《中华人民共和国政府采购法》第二十二条规定条件的供应商，拒绝参与政府采购活动。</w:t>
      </w:r>
    </w:p>
    <w:p>
      <w:pPr>
        <w:pStyle w:val="2"/>
        <w:ind w:left="840" w:leftChars="400"/>
        <w:rPr>
          <w:rFonts w:ascii="仿宋" w:hAnsi="仿宋" w:eastAsia="仿宋" w:cs="仿宋"/>
          <w:sz w:val="24"/>
          <w:szCs w:val="32"/>
        </w:rPr>
      </w:pPr>
      <w:r>
        <w:rPr>
          <w:rFonts w:hint="eastAsia" w:ascii="仿宋" w:hAnsi="仿宋" w:eastAsia="仿宋" w:cs="仿宋"/>
          <w:sz w:val="24"/>
          <w:szCs w:val="32"/>
        </w:rPr>
        <w:t>（6）采购人或采购代理机构通过“信用中国”网站(www.creditchina.gov.cn)、中国政府采购网(www.ccgp.gov.cn) 等查询相关主体信用记录，并将查询网页打印、存档备查。</w:t>
      </w:r>
    </w:p>
    <w:p>
      <w:pPr>
        <w:pStyle w:val="2"/>
        <w:ind w:left="840" w:leftChars="400"/>
        <w:rPr>
          <w:rFonts w:ascii="仿宋" w:hAnsi="仿宋" w:eastAsia="仿宋" w:cs="仿宋"/>
          <w:sz w:val="24"/>
          <w:szCs w:val="32"/>
        </w:rPr>
      </w:pPr>
      <w:r>
        <w:rPr>
          <w:rFonts w:hint="eastAsia" w:ascii="仿宋" w:hAnsi="仿宋" w:eastAsia="仿宋" w:cs="仿宋"/>
          <w:sz w:val="24"/>
          <w:szCs w:val="32"/>
        </w:rPr>
        <w:t>（7）查询时间为谈判文件发售期至评审截止时间前，此段时间段外，网站信息发生的任何变更均不作为资格审查依据。</w:t>
      </w:r>
    </w:p>
    <w:p>
      <w:pPr>
        <w:pStyle w:val="2"/>
        <w:ind w:left="840" w:leftChars="400"/>
        <w:rPr>
          <w:rFonts w:ascii="仿宋" w:hAnsi="仿宋" w:eastAsia="仿宋" w:cs="仿宋"/>
          <w:sz w:val="24"/>
          <w:szCs w:val="32"/>
        </w:rPr>
      </w:pPr>
      <w:r>
        <w:rPr>
          <w:rFonts w:hint="eastAsia" w:ascii="仿宋" w:hAnsi="仿宋" w:eastAsia="仿宋" w:cs="仿宋"/>
          <w:sz w:val="24"/>
          <w:szCs w:val="32"/>
        </w:rPr>
        <w:t>供应商不良信用记录以采购人或采购代理机构查询结果为准。供应商自行提供的与网站信息不一致的其他证明材料亦不作为资格审查依据。</w:t>
      </w:r>
    </w:p>
    <w:p>
      <w:pPr>
        <w:pStyle w:val="2"/>
        <w:ind w:left="840" w:leftChars="400"/>
        <w:rPr>
          <w:rFonts w:ascii="仿宋" w:hAnsi="仿宋" w:eastAsia="仿宋" w:cs="仿宋"/>
          <w:sz w:val="24"/>
          <w:szCs w:val="32"/>
        </w:rPr>
      </w:pPr>
      <w:r>
        <w:rPr>
          <w:rFonts w:hint="eastAsia" w:ascii="仿宋" w:hAnsi="仿宋" w:eastAsia="仿宋" w:cs="仿宋"/>
          <w:sz w:val="24"/>
          <w:szCs w:val="32"/>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
        <w:ind w:left="843" w:hanging="843" w:hangingChars="350"/>
        <w:rPr>
          <w:rFonts w:ascii="仿宋" w:hAnsi="仿宋" w:eastAsia="仿宋" w:cs="仿宋"/>
          <w:sz w:val="24"/>
        </w:rPr>
      </w:pPr>
      <w:r>
        <w:rPr>
          <w:rFonts w:hint="eastAsia" w:ascii="仿宋" w:hAnsi="仿宋" w:eastAsia="仿宋" w:cs="仿宋"/>
          <w:b/>
          <w:sz w:val="24"/>
        </w:rPr>
        <w:t>22.2.2 谈判响应文件有效性、完整性和响应程度审查：谈判小组</w:t>
      </w:r>
      <w:r>
        <w:rPr>
          <w:rFonts w:hint="eastAsia" w:ascii="仿宋" w:hAnsi="仿宋" w:eastAsia="仿宋" w:cs="仿宋"/>
          <w:sz w:val="24"/>
        </w:rPr>
        <w:t>依据谈判文件的规定，对响应文件的有效性、完整性和响应性进行审查，以确定是否满足谈判文件要求，出现下列情况者（但不限于），按无效文件处理。</w:t>
      </w:r>
    </w:p>
    <w:p>
      <w:pPr>
        <w:pStyle w:val="2"/>
        <w:ind w:left="840" w:leftChars="400"/>
        <w:rPr>
          <w:rFonts w:ascii="仿宋" w:hAnsi="仿宋" w:eastAsia="仿宋" w:cs="仿宋"/>
          <w:sz w:val="24"/>
        </w:rPr>
      </w:pPr>
      <w:r>
        <w:rPr>
          <w:rFonts w:hint="eastAsia" w:ascii="仿宋" w:hAnsi="仿宋" w:eastAsia="仿宋" w:cs="仿宋"/>
          <w:sz w:val="24"/>
        </w:rPr>
        <w:t>（1）供应商未按谈判文件要求加盖单位公章；</w:t>
      </w:r>
    </w:p>
    <w:p>
      <w:pPr>
        <w:pStyle w:val="2"/>
        <w:ind w:left="840" w:leftChars="400"/>
        <w:rPr>
          <w:rFonts w:ascii="仿宋" w:hAnsi="仿宋" w:eastAsia="仿宋" w:cs="仿宋"/>
          <w:sz w:val="24"/>
        </w:rPr>
      </w:pPr>
      <w:r>
        <w:rPr>
          <w:rFonts w:hint="eastAsia" w:ascii="仿宋" w:hAnsi="仿宋" w:eastAsia="仿宋" w:cs="仿宋"/>
          <w:sz w:val="24"/>
        </w:rPr>
        <w:t>（2）谈判响应文件未按谈判文件要求法定代表人或其授权代表签字；</w:t>
      </w:r>
    </w:p>
    <w:p>
      <w:pPr>
        <w:pStyle w:val="2"/>
        <w:ind w:left="840" w:leftChars="400"/>
        <w:rPr>
          <w:rFonts w:ascii="仿宋" w:hAnsi="仿宋" w:eastAsia="仿宋" w:cs="仿宋"/>
          <w:sz w:val="24"/>
        </w:rPr>
      </w:pPr>
      <w:r>
        <w:rPr>
          <w:rFonts w:hint="eastAsia" w:ascii="仿宋" w:hAnsi="仿宋" w:eastAsia="仿宋" w:cs="仿宋"/>
          <w:sz w:val="24"/>
        </w:rPr>
        <w:t>（3）无有效期或有效期达不到谈判文件的要求；</w:t>
      </w:r>
    </w:p>
    <w:p>
      <w:pPr>
        <w:pStyle w:val="2"/>
        <w:ind w:left="840" w:leftChars="400"/>
        <w:rPr>
          <w:rFonts w:ascii="仿宋" w:hAnsi="仿宋" w:eastAsia="仿宋" w:cs="仿宋"/>
          <w:sz w:val="24"/>
        </w:rPr>
      </w:pPr>
      <w:r>
        <w:rPr>
          <w:rFonts w:hint="eastAsia" w:ascii="仿宋" w:hAnsi="仿宋" w:eastAsia="仿宋" w:cs="仿宋"/>
          <w:sz w:val="24"/>
        </w:rPr>
        <w:t>（4）供应商首次谈判报价出现选择性报价；</w:t>
      </w:r>
    </w:p>
    <w:p>
      <w:pPr>
        <w:pStyle w:val="2"/>
        <w:ind w:left="840" w:leftChars="400"/>
        <w:rPr>
          <w:rFonts w:ascii="仿宋" w:hAnsi="仿宋" w:eastAsia="仿宋" w:cs="仿宋"/>
          <w:sz w:val="24"/>
        </w:rPr>
      </w:pPr>
      <w:r>
        <w:rPr>
          <w:rFonts w:hint="eastAsia" w:ascii="仿宋" w:hAnsi="仿宋" w:eastAsia="仿宋" w:cs="仿宋"/>
          <w:sz w:val="24"/>
        </w:rPr>
        <w:t>（5）首次谈判报价超出采购预算；</w:t>
      </w:r>
    </w:p>
    <w:p>
      <w:pPr>
        <w:pStyle w:val="2"/>
        <w:ind w:left="840" w:leftChars="400"/>
        <w:rPr>
          <w:rFonts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
        <w:ind w:left="840" w:leftChars="400"/>
        <w:rPr>
          <w:rFonts w:ascii="仿宋" w:hAnsi="仿宋" w:eastAsia="仿宋" w:cs="仿宋"/>
          <w:sz w:val="24"/>
        </w:rPr>
      </w:pPr>
      <w:r>
        <w:rPr>
          <w:rFonts w:hint="eastAsia" w:ascii="仿宋" w:hAnsi="仿宋" w:eastAsia="仿宋" w:cs="仿宋"/>
          <w:sz w:val="24"/>
        </w:rPr>
        <w:t>（7）谈判内容出现漏项或数量与要求不符，出现重大负偏差；</w:t>
      </w:r>
    </w:p>
    <w:p>
      <w:pPr>
        <w:pStyle w:val="2"/>
        <w:ind w:left="840" w:leftChars="400"/>
        <w:rPr>
          <w:rFonts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pPr>
        <w:pStyle w:val="2"/>
        <w:ind w:left="840" w:leftChars="400"/>
        <w:rPr>
          <w:rFonts w:ascii="仿宋" w:hAnsi="仿宋" w:eastAsia="仿宋" w:cs="仿宋"/>
          <w:sz w:val="24"/>
        </w:rPr>
      </w:pPr>
      <w:r>
        <w:rPr>
          <w:rFonts w:hint="eastAsia" w:ascii="仿宋" w:hAnsi="仿宋" w:eastAsia="仿宋" w:cs="仿宋"/>
          <w:sz w:val="24"/>
        </w:rPr>
        <w:t>（9）响应报价与市场价偏离较大，低于成本，形成不正当竞争；</w:t>
      </w:r>
    </w:p>
    <w:p>
      <w:pPr>
        <w:pStyle w:val="2"/>
        <w:ind w:left="840" w:leftChars="400"/>
        <w:rPr>
          <w:rFonts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2"/>
        <w:ind w:left="840" w:leftChars="400"/>
        <w:rPr>
          <w:rFonts w:ascii="仿宋" w:hAnsi="仿宋" w:eastAsia="仿宋" w:cs="仿宋"/>
          <w:sz w:val="24"/>
        </w:rPr>
      </w:pPr>
      <w:r>
        <w:rPr>
          <w:rFonts w:hint="eastAsia" w:ascii="仿宋" w:hAnsi="仿宋" w:eastAsia="仿宋" w:cs="仿宋"/>
          <w:sz w:val="24"/>
        </w:rPr>
        <w:t>（11）未按文件要求缴纳谈判保证金。</w:t>
      </w:r>
    </w:p>
    <w:p>
      <w:pPr>
        <w:pStyle w:val="5"/>
        <w:tabs>
          <w:tab w:val="left" w:pos="360"/>
        </w:tabs>
        <w:rPr>
          <w:rFonts w:ascii="仿宋" w:hAnsi="仿宋" w:eastAsia="仿宋" w:cs="仿宋"/>
          <w:b/>
          <w:sz w:val="24"/>
          <w:szCs w:val="21"/>
        </w:rPr>
      </w:pPr>
      <w:bookmarkStart w:id="343" w:name="_Toc58504512"/>
      <w:r>
        <w:rPr>
          <w:rFonts w:hint="eastAsia" w:ascii="仿宋" w:hAnsi="仿宋" w:eastAsia="仿宋" w:cs="仿宋"/>
          <w:b/>
          <w:sz w:val="24"/>
          <w:szCs w:val="21"/>
        </w:rPr>
        <w:t>23.    谈判</w:t>
      </w:r>
      <w:bookmarkEnd w:id="343"/>
    </w:p>
    <w:p>
      <w:pPr>
        <w:pStyle w:val="2"/>
        <w:ind w:left="840" w:hanging="840" w:hangingChars="350"/>
        <w:rPr>
          <w:rFonts w:ascii="仿宋" w:hAnsi="仿宋" w:eastAsia="仿宋" w:cs="仿宋"/>
          <w:sz w:val="24"/>
        </w:rPr>
      </w:pPr>
      <w:bookmarkStart w:id="344" w:name="_Toc58504513"/>
      <w:r>
        <w:rPr>
          <w:rFonts w:hint="eastAsia" w:ascii="仿宋" w:hAnsi="仿宋" w:eastAsia="仿宋" w:cs="仿宋"/>
          <w:sz w:val="24"/>
        </w:rPr>
        <w:t>23.3.1 谈判小组集中与各供应商分别进行谈判，并给所有参加谈判供应商平等的谈判机会。</w:t>
      </w:r>
      <w:bookmarkEnd w:id="344"/>
    </w:p>
    <w:p>
      <w:pPr>
        <w:pStyle w:val="2"/>
        <w:ind w:left="840" w:hanging="840" w:hangingChars="350"/>
        <w:rPr>
          <w:rFonts w:ascii="仿宋" w:hAnsi="仿宋" w:eastAsia="仿宋" w:cs="仿宋"/>
          <w:sz w:val="24"/>
        </w:rPr>
      </w:pPr>
      <w:r>
        <w:rPr>
          <w:rFonts w:hint="eastAsia" w:ascii="仿宋" w:hAnsi="仿宋" w:eastAsia="仿宋" w:cs="仿宋"/>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ascii="仿宋" w:hAnsi="仿宋" w:eastAsia="仿宋" w:cs="仿宋"/>
          <w:sz w:val="24"/>
        </w:rPr>
      </w:pPr>
      <w:r>
        <w:rPr>
          <w:rFonts w:hint="eastAsia" w:ascii="仿宋" w:hAnsi="仿宋" w:eastAsia="仿宋" w:cs="仿宋"/>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
        <w:rPr>
          <w:rFonts w:ascii="仿宋" w:hAnsi="仿宋" w:eastAsia="仿宋" w:cs="仿宋"/>
          <w:sz w:val="24"/>
        </w:rPr>
      </w:pPr>
      <w:r>
        <w:rPr>
          <w:rFonts w:hint="eastAsia" w:ascii="仿宋" w:hAnsi="仿宋" w:eastAsia="仿宋" w:cs="仿宋"/>
          <w:sz w:val="24"/>
        </w:rPr>
        <w:t>23.3.4 如出现下述情形之一的，视为供应商主动退出谈判，其响应将被拒绝：</w:t>
      </w:r>
    </w:p>
    <w:p>
      <w:pPr>
        <w:pStyle w:val="2"/>
        <w:ind w:left="840" w:leftChars="400"/>
        <w:rPr>
          <w:rFonts w:ascii="仿宋" w:hAnsi="仿宋" w:eastAsia="仿宋" w:cs="仿宋"/>
          <w:sz w:val="24"/>
        </w:rPr>
      </w:pPr>
      <w:r>
        <w:rPr>
          <w:rFonts w:hint="eastAsia" w:ascii="仿宋" w:hAnsi="仿宋" w:eastAsia="仿宋" w:cs="仿宋"/>
          <w:sz w:val="24"/>
        </w:rPr>
        <w:t>（1）供应商未按要求确认谈判小组确定的本项目最终技术需求的；</w:t>
      </w:r>
    </w:p>
    <w:p>
      <w:pPr>
        <w:pStyle w:val="2"/>
        <w:ind w:left="840" w:leftChars="400"/>
        <w:rPr>
          <w:rFonts w:ascii="仿宋" w:hAnsi="仿宋" w:eastAsia="仿宋" w:cs="仿宋"/>
          <w:sz w:val="24"/>
        </w:rPr>
      </w:pPr>
      <w:r>
        <w:rPr>
          <w:rFonts w:hint="eastAsia" w:ascii="仿宋" w:hAnsi="仿宋" w:eastAsia="仿宋" w:cs="仿宋"/>
          <w:sz w:val="24"/>
        </w:rPr>
        <w:t>（2）最后报价未实质性响应谈判小组确定的本项目最终技术需求的，或附有采购人无法接受的条件的。</w:t>
      </w:r>
    </w:p>
    <w:p>
      <w:pPr>
        <w:pStyle w:val="2"/>
        <w:rPr>
          <w:rFonts w:ascii="仿宋" w:hAnsi="仿宋" w:eastAsia="仿宋" w:cs="仿宋"/>
          <w:b/>
          <w:sz w:val="24"/>
          <w:szCs w:val="21"/>
        </w:rPr>
      </w:pPr>
      <w:r>
        <w:rPr>
          <w:rFonts w:hint="eastAsia" w:ascii="仿宋" w:hAnsi="仿宋" w:eastAsia="仿宋" w:cs="仿宋"/>
          <w:b/>
          <w:sz w:val="24"/>
          <w:szCs w:val="21"/>
        </w:rPr>
        <w:t>23.4   最后报价</w:t>
      </w:r>
    </w:p>
    <w:p>
      <w:pPr>
        <w:pStyle w:val="2"/>
        <w:ind w:left="840" w:hanging="840" w:hangingChars="350"/>
        <w:rPr>
          <w:rFonts w:ascii="仿宋" w:hAnsi="仿宋" w:eastAsia="仿宋" w:cs="仿宋"/>
          <w:sz w:val="24"/>
        </w:rPr>
      </w:pPr>
      <w:r>
        <w:rPr>
          <w:rFonts w:hint="eastAsia" w:ascii="仿宋" w:hAnsi="仿宋" w:eastAsia="仿宋" w:cs="仿宋"/>
          <w:sz w:val="24"/>
        </w:rPr>
        <w:t>23.4.1 谈判结束后，有效响应供应商不少于3家。谈判小组要求供应商在规定时间内提交最后报价，最后报价是供应商响应文件的有效组成部分。</w:t>
      </w:r>
    </w:p>
    <w:p>
      <w:pPr>
        <w:pStyle w:val="2"/>
        <w:ind w:left="840" w:hanging="840" w:hangingChars="350"/>
        <w:rPr>
          <w:rFonts w:ascii="仿宋" w:hAnsi="仿宋" w:eastAsia="仿宋" w:cs="仿宋"/>
          <w:sz w:val="24"/>
        </w:rPr>
      </w:pPr>
      <w:r>
        <w:rPr>
          <w:rFonts w:hint="eastAsia" w:ascii="仿宋" w:hAnsi="仿宋" w:eastAsia="仿宋" w:cs="仿宋"/>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ascii="仿宋" w:hAnsi="仿宋" w:eastAsia="仿宋" w:cs="仿宋"/>
          <w:b/>
          <w:bCs/>
          <w:sz w:val="24"/>
          <w:szCs w:val="21"/>
        </w:rPr>
      </w:pPr>
      <w:bookmarkStart w:id="345" w:name="_Toc13753"/>
      <w:bookmarkStart w:id="346" w:name="_Toc249515422"/>
      <w:bookmarkStart w:id="347" w:name="_Toc150774751"/>
      <w:bookmarkStart w:id="348" w:name="_Toc520356170"/>
      <w:bookmarkStart w:id="349" w:name="_Toc151190173"/>
      <w:bookmarkStart w:id="350" w:name="_Toc150509297"/>
      <w:bookmarkStart w:id="351" w:name="_Toc151193934"/>
      <w:bookmarkStart w:id="352" w:name="_Toc195842911"/>
      <w:bookmarkStart w:id="353" w:name="_Toc151193788"/>
      <w:bookmarkStart w:id="354" w:name="_Toc164229241"/>
      <w:bookmarkStart w:id="355" w:name="_Toc150774646"/>
      <w:bookmarkStart w:id="356" w:name="_Toc151193716"/>
      <w:bookmarkStart w:id="357" w:name="_Toc249525191"/>
      <w:bookmarkStart w:id="358" w:name="_Toc164351640"/>
      <w:bookmarkStart w:id="359" w:name="_Toc164608815"/>
      <w:bookmarkStart w:id="360" w:name="_Toc164229387"/>
      <w:bookmarkStart w:id="361" w:name="_Ref467307010"/>
      <w:bookmarkStart w:id="362" w:name="_Toc127151546"/>
      <w:bookmarkStart w:id="363" w:name="_Toc164608660"/>
      <w:bookmarkStart w:id="364" w:name="_Toc151193644"/>
      <w:bookmarkStart w:id="365" w:name="_Toc127161460"/>
      <w:bookmarkStart w:id="366" w:name="_Toc150480784"/>
      <w:bookmarkStart w:id="367" w:name="_Toc127151747"/>
      <w:bookmarkStart w:id="368" w:name="_Toc142311048"/>
      <w:bookmarkStart w:id="369" w:name="_Toc149720839"/>
      <w:bookmarkStart w:id="370" w:name="_Toc151193860"/>
      <w:bookmarkStart w:id="371" w:name="_Toc249515310"/>
      <w:r>
        <w:rPr>
          <w:rFonts w:hint="eastAsia" w:ascii="仿宋" w:hAnsi="仿宋" w:eastAsia="仿宋" w:cs="仿宋"/>
          <w:b/>
          <w:bCs/>
          <w:sz w:val="24"/>
          <w:szCs w:val="21"/>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sz w:val="24"/>
          <w:szCs w:val="21"/>
        </w:rPr>
        <w:t>落实政府采购政策</w:t>
      </w:r>
    </w:p>
    <w:bookmarkEnd w:id="342"/>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24.1   谈判小组按照谈判文件规定的评审方法和标准，对审查合格的文件进行商务和技术评审，比较和评价。</w:t>
      </w:r>
    </w:p>
    <w:p>
      <w:pPr>
        <w:pStyle w:val="67"/>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24.3   本项目对小微型企业、监狱企业、残疾人福利性单位产品的价格给予</w:t>
      </w:r>
      <w:r>
        <w:rPr>
          <w:rFonts w:hint="eastAsia" w:ascii="仿宋" w:hAnsi="仿宋" w:eastAsia="仿宋" w:cs="仿宋"/>
          <w:u w:val="single"/>
        </w:rPr>
        <w:t xml:space="preserve">（货物服务10%（通用）、15%（渭南）、20%（榆林）（工程3%） </w:t>
      </w:r>
      <w:r>
        <w:rPr>
          <w:rFonts w:hint="eastAsia" w:ascii="仿宋" w:hAnsi="仿宋" w:eastAsia="仿宋" w:cs="仿宋"/>
          <w:sz w:val="24"/>
        </w:rPr>
        <w:t>的扣除，用扣除后的价格参与评审。</w:t>
      </w:r>
    </w:p>
    <w:p>
      <w:pPr>
        <w:pStyle w:val="2"/>
        <w:ind w:left="840" w:leftChars="400"/>
        <w:rPr>
          <w:rFonts w:ascii="仿宋" w:hAnsi="仿宋" w:eastAsia="仿宋" w:cs="仿宋"/>
          <w:sz w:val="24"/>
        </w:rPr>
      </w:pPr>
      <w:r>
        <w:rPr>
          <w:rFonts w:hint="eastAsia" w:ascii="仿宋" w:hAnsi="仿宋" w:eastAsia="仿宋" w:cs="仿宋"/>
          <w:sz w:val="24"/>
        </w:rPr>
        <w:t>（1）根据《关于进一步加大政府采购支持中小企业力度的通知》（财库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2017〕141号）文件规定，并提供《残疾人福利性单位声明函》。</w:t>
      </w:r>
    </w:p>
    <w:p>
      <w:pPr>
        <w:pStyle w:val="2"/>
        <w:ind w:left="840" w:leftChars="400"/>
        <w:rPr>
          <w:rFonts w:ascii="仿宋" w:hAnsi="仿宋" w:eastAsia="仿宋" w:cs="仿宋"/>
          <w:sz w:val="24"/>
        </w:rPr>
      </w:pPr>
      <w:r>
        <w:rPr>
          <w:rFonts w:hint="eastAsia" w:ascii="仿宋" w:hAnsi="仿宋" w:eastAsia="仿宋" w:cs="仿宋"/>
          <w:sz w:val="24"/>
        </w:rPr>
        <w:t>（2）对于同时属于小微企业、监狱企业或残疾人福利性单位的，不重复进行价格扣除。</w:t>
      </w:r>
    </w:p>
    <w:p>
      <w:pPr>
        <w:pStyle w:val="2"/>
        <w:ind w:left="840" w:leftChars="400"/>
        <w:rPr>
          <w:rFonts w:ascii="仿宋" w:hAnsi="仿宋" w:eastAsia="仿宋" w:cs="仿宋"/>
          <w:sz w:val="24"/>
        </w:rPr>
      </w:pPr>
      <w:r>
        <w:rPr>
          <w:rFonts w:hint="eastAsia" w:ascii="仿宋" w:hAnsi="仿宋" w:eastAsia="仿宋" w:cs="仿宋"/>
          <w:sz w:val="24"/>
        </w:rPr>
        <w:t>（3）如允许与小微企业组成联合体或向其分包的，且合同额占总金额30%以上的，给予</w:t>
      </w:r>
      <w:r>
        <w:rPr>
          <w:rFonts w:hint="eastAsia" w:ascii="仿宋" w:hAnsi="仿宋" w:eastAsia="仿宋" w:cs="仿宋"/>
          <w:sz w:val="24"/>
          <w:u w:val="single"/>
        </w:rPr>
        <w:t>4%（工程为1%）</w:t>
      </w:r>
      <w:r>
        <w:rPr>
          <w:rFonts w:hint="eastAsia" w:ascii="仿宋" w:hAnsi="仿宋" w:eastAsia="仿宋" w:cs="仿宋"/>
          <w:sz w:val="24"/>
        </w:rPr>
        <w:t>的扣除。联合体各方均为小型、微型企业和监狱企业的，联合体视同为小型、微型企业和监狱企业。</w:t>
      </w:r>
    </w:p>
    <w:p>
      <w:pPr>
        <w:pStyle w:val="2"/>
        <w:tabs>
          <w:tab w:val="left" w:pos="840"/>
        </w:tabs>
        <w:ind w:left="840" w:leftChars="400"/>
        <w:rPr>
          <w:rFonts w:ascii="仿宋" w:hAnsi="仿宋" w:eastAsia="仿宋" w:cs="仿宋"/>
          <w:sz w:val="24"/>
        </w:rPr>
      </w:pPr>
      <w:r>
        <w:rPr>
          <w:rFonts w:hint="eastAsia" w:ascii="仿宋" w:hAnsi="仿宋" w:eastAsia="仿宋" w:cs="仿宋"/>
          <w:sz w:val="24"/>
        </w:rPr>
        <w:t>（4）为缓解中小企业融资困难，陕西省财政厅出台了《陕西省中小企业政府采购信用融资办法》（陕财办采﹝2018﹞23号），成交供应商如有融资需求，可登录“陕西省政府采购网-陕西省政府采购信用融资平台”了解详情。</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sz w:val="24"/>
        </w:rPr>
        <w:t>百分比×5%</w:t>
      </w:r>
      <w:r>
        <w:rPr>
          <w:rFonts w:hint="eastAsia" w:ascii="仿宋" w:hAnsi="仿宋" w:eastAsia="仿宋" w:cs="仿宋"/>
          <w:sz w:val="24"/>
        </w:rPr>
        <w:t>，用扣除后的价格参与评审。</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（3）供应商在响应文件中对所响应产品为节能、环境标志品目清单中的产品，在谈判报价时必须对此类产品单独分项报价，未提供节能、环境标志产品计分明细表不予扣除。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（4）若节能、环境标志清单内的产品仅是构成响应产品的部件、组件或零件的，则该产品不享受鼓励优惠政策。</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（5）同一包内的节能、环境标志产品部分计分只对属于清单内的非强制类产品进行计分，强制类产品不给予扣除。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（6）节能、环境标志产品不重复扣除；同时列入国家级清单和省级清单的产品不重复扣除。</w:t>
      </w:r>
    </w:p>
    <w:p>
      <w:pPr>
        <w:tabs>
          <w:tab w:val="left" w:pos="588"/>
        </w:tabs>
        <w:spacing w:line="360" w:lineRule="auto"/>
        <w:rPr>
          <w:rFonts w:ascii="仿宋" w:hAnsi="仿宋" w:eastAsia="仿宋" w:cs="仿宋"/>
          <w:sz w:val="24"/>
        </w:rPr>
      </w:pPr>
      <w:r>
        <w:rPr>
          <w:rFonts w:hint="eastAsia" w:ascii="仿宋" w:hAnsi="仿宋" w:eastAsia="仿宋" w:cs="仿宋"/>
          <w:sz w:val="24"/>
        </w:rPr>
        <w:t>24.5   响应文件出现下列情况之一者，谈判小组在评审过程中按以下原则修正：</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（6）正本与副本不一致的，以正本为准；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372" w:name="_Hlt497729446"/>
      <w:bookmarkEnd w:id="372"/>
      <w:bookmarkStart w:id="373" w:name="_Hlt491765714"/>
      <w:bookmarkEnd w:id="373"/>
      <w:bookmarkStart w:id="374" w:name="_Toc249515423"/>
      <w:bookmarkStart w:id="375" w:name="_Toc58504667"/>
      <w:bookmarkStart w:id="376" w:name="_Toc249515311"/>
      <w:bookmarkStart w:id="377" w:name="_Toc232176278"/>
      <w:bookmarkStart w:id="378" w:name="_Toc256342149"/>
      <w:bookmarkStart w:id="379" w:name="_Toc232395218"/>
      <w:bookmarkStart w:id="380" w:name="_Toc249525192"/>
      <w:bookmarkStart w:id="381" w:name="_Toc500746972"/>
      <w:bookmarkStart w:id="382" w:name="_Toc177817340"/>
      <w:bookmarkStart w:id="383" w:name="_Toc176882548"/>
      <w:bookmarkStart w:id="384" w:name="_Toc496324585"/>
      <w:bookmarkStart w:id="385" w:name="_Toc500747195"/>
      <w:bookmarkStart w:id="386" w:name="_Toc184043047"/>
      <w:bookmarkStart w:id="387" w:name="_Toc492955421"/>
      <w:bookmarkStart w:id="388" w:name="_Toc385992360"/>
      <w:bookmarkStart w:id="389" w:name="_Toc70687174"/>
      <w:bookmarkStart w:id="390" w:name="_Toc500747068"/>
      <w:bookmarkStart w:id="391" w:name="_Toc499711049"/>
      <w:bookmarkStart w:id="392" w:name="_Toc53722846"/>
      <w:bookmarkStart w:id="393" w:name="_Toc503063428"/>
      <w:bookmarkStart w:id="394" w:name="_Toc177995479"/>
      <w:bookmarkStart w:id="395" w:name="_Toc389620199"/>
      <w:bookmarkStart w:id="396" w:name="_Toc499711890"/>
      <w:bookmarkStart w:id="397" w:name="_Toc177189241"/>
      <w:r>
        <w:rPr>
          <w:rFonts w:hint="eastAsia" w:ascii="仿宋" w:hAnsi="仿宋" w:eastAsia="仿宋" w:cs="仿宋"/>
          <w:b/>
          <w:kern w:val="0"/>
          <w:sz w:val="28"/>
          <w:szCs w:val="28"/>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ascii="仿宋" w:hAnsi="仿宋" w:eastAsia="仿宋" w:cs="仿宋"/>
          <w:b/>
          <w:bCs/>
          <w:sz w:val="24"/>
          <w:szCs w:val="21"/>
        </w:rPr>
      </w:pPr>
      <w:bookmarkStart w:id="398" w:name="_Toc249515312"/>
      <w:bookmarkStart w:id="399" w:name="_Toc27151"/>
      <w:bookmarkStart w:id="400" w:name="_Toc70687175"/>
      <w:bookmarkStart w:id="401" w:name="_Toc249525193"/>
      <w:bookmarkStart w:id="402" w:name="_Toc389620200"/>
      <w:bookmarkStart w:id="403" w:name="_Toc184043048"/>
      <w:bookmarkStart w:id="404" w:name="_Toc385992361"/>
      <w:bookmarkStart w:id="405" w:name="_Toc249515424"/>
      <w:r>
        <w:rPr>
          <w:rFonts w:hint="eastAsia" w:ascii="仿宋" w:hAnsi="仿宋" w:eastAsia="仿宋" w:cs="仿宋"/>
          <w:b/>
          <w:bCs/>
          <w:sz w:val="24"/>
          <w:szCs w:val="21"/>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sz w:val="24"/>
          <w:szCs w:val="21"/>
        </w:rPr>
        <w:t>单位</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406" w:name="_Toc389620203"/>
      <w:bookmarkStart w:id="407" w:name="_Toc385992364"/>
    </w:p>
    <w:bookmarkEnd w:id="406"/>
    <w:bookmarkEnd w:id="407"/>
    <w:p>
      <w:pPr>
        <w:pStyle w:val="5"/>
        <w:tabs>
          <w:tab w:val="left" w:pos="360"/>
        </w:tabs>
        <w:rPr>
          <w:rFonts w:ascii="仿宋" w:hAnsi="仿宋" w:eastAsia="仿宋" w:cs="仿宋"/>
          <w:b/>
          <w:bCs/>
          <w:sz w:val="24"/>
          <w:szCs w:val="21"/>
        </w:rPr>
      </w:pPr>
      <w:bookmarkStart w:id="408" w:name="_Toc385992365"/>
      <w:bookmarkStart w:id="409" w:name="_Toc389620204"/>
      <w:r>
        <w:rPr>
          <w:rFonts w:hint="eastAsia" w:ascii="仿宋" w:hAnsi="仿宋" w:eastAsia="仿宋" w:cs="仿宋"/>
          <w:b/>
          <w:bCs/>
          <w:sz w:val="24"/>
          <w:szCs w:val="21"/>
        </w:rPr>
        <w:t>26.    合同</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ascii="仿宋" w:hAnsi="仿宋" w:eastAsia="仿宋" w:cs="仿宋"/>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27.    询问与质疑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67"/>
        <w:numPr>
          <w:ilvl w:val="0"/>
          <w:numId w:val="10"/>
        </w:numPr>
        <w:tabs>
          <w:tab w:val="left" w:pos="588"/>
        </w:tabs>
        <w:spacing w:line="360" w:lineRule="auto"/>
        <w:ind w:left="846" w:hanging="6" w:firstLineChars="0"/>
        <w:jc w:val="left"/>
        <w:rPr>
          <w:rFonts w:ascii="仿宋" w:hAnsi="仿宋" w:eastAsia="仿宋" w:cs="仿宋"/>
          <w:sz w:val="24"/>
        </w:rPr>
      </w:pPr>
      <w:r>
        <w:rPr>
          <w:rFonts w:hint="eastAsia" w:ascii="仿宋" w:hAnsi="仿宋" w:eastAsia="仿宋" w:cs="仿宋"/>
          <w:sz w:val="24"/>
        </w:rPr>
        <w:t>供应商的姓名或者名称、地址、邮编、联系人及联系电话；</w:t>
      </w:r>
    </w:p>
    <w:p>
      <w:pPr>
        <w:pStyle w:val="67"/>
        <w:numPr>
          <w:ilvl w:val="0"/>
          <w:numId w:val="10"/>
        </w:numPr>
        <w:tabs>
          <w:tab w:val="left" w:pos="588"/>
        </w:tabs>
        <w:spacing w:line="360" w:lineRule="auto"/>
        <w:ind w:left="846" w:hanging="6" w:firstLineChars="0"/>
        <w:rPr>
          <w:rFonts w:ascii="仿宋" w:hAnsi="仿宋" w:eastAsia="仿宋" w:cs="仿宋"/>
          <w:sz w:val="24"/>
          <w:szCs w:val="24"/>
        </w:rPr>
      </w:pPr>
      <w:r>
        <w:rPr>
          <w:rFonts w:hint="eastAsia" w:ascii="仿宋" w:hAnsi="仿宋" w:eastAsia="仿宋" w:cs="仿宋"/>
          <w:sz w:val="24"/>
          <w:szCs w:val="24"/>
        </w:rPr>
        <w:t>质疑项目的名称、编号；</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具体、明确的质疑事项和与质疑事项相关的请求；</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事实依据；</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必要的法律依据；</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提出质疑的日期。</w:t>
      </w:r>
    </w:p>
    <w:p>
      <w:pPr>
        <w:pStyle w:val="67"/>
        <w:tabs>
          <w:tab w:val="left" w:pos="840"/>
        </w:tabs>
        <w:spacing w:line="360" w:lineRule="auto"/>
        <w:ind w:left="838" w:leftChars="399" w:firstLine="0" w:firstLineChars="0"/>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27.5   符合要求的质疑，采购代理机构将予以受理并答复。联系电话：029-85235014，联系人：李萍、王亚宁</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8"/>
    <w:bookmarkEnd w:id="409"/>
    <w:p>
      <w:pPr>
        <w:pStyle w:val="5"/>
        <w:tabs>
          <w:tab w:val="left" w:pos="360"/>
        </w:tabs>
        <w:rPr>
          <w:rFonts w:ascii="仿宋" w:hAnsi="仿宋" w:eastAsia="仿宋" w:cs="仿宋"/>
          <w:b/>
          <w:bCs/>
          <w:sz w:val="24"/>
          <w:szCs w:val="21"/>
        </w:rPr>
      </w:pPr>
      <w:bookmarkStart w:id="410" w:name="_Toc25547"/>
      <w:r>
        <w:rPr>
          <w:rFonts w:hint="eastAsia" w:ascii="仿宋" w:hAnsi="仿宋" w:eastAsia="仿宋" w:cs="仿宋"/>
          <w:b/>
          <w:bCs/>
          <w:sz w:val="24"/>
          <w:szCs w:val="21"/>
        </w:rPr>
        <w:t>28.    履约保证金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开户银行：</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账号：</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联系人：               联系电话：</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28.5   履约保证金退还的方式、时间、条件：</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28.6   履约保证金不予退还的情况：</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28.7   逾期退还履约保证金的违约责任：</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29.    成交服务费</w:t>
      </w:r>
      <w:bookmarkEnd w:id="410"/>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29.1   成交供应商在领取成交通知书前，须向采购代理机构支付代理服务费，代理服务费由采购人与采购代理机构约定：</w:t>
      </w:r>
    </w:p>
    <w:p>
      <w:pPr>
        <w:snapToGrid w:val="0"/>
        <w:spacing w:line="360" w:lineRule="auto"/>
        <w:ind w:left="840" w:leftChars="400"/>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参照原国家计委计价格〔2002〕1980号文和国家发改委发改办价格〔2003〕857号文的计算方法（按标段）收取。</w:t>
      </w:r>
    </w:p>
    <w:p>
      <w:pPr>
        <w:snapToGrid w:val="0"/>
        <w:spacing w:line="360" w:lineRule="auto"/>
        <w:ind w:left="840" w:leftChars="400"/>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由采购人与采购代理机构约定，按</w:t>
      </w:r>
      <w:r>
        <w:rPr>
          <w:rFonts w:hint="eastAsia" w:ascii="仿宋" w:hAnsi="仿宋" w:eastAsia="仿宋" w:cs="仿宋"/>
          <w:sz w:val="24"/>
          <w:u w:val="single"/>
        </w:rPr>
        <w:t xml:space="preserve">    </w:t>
      </w:r>
      <w:r>
        <w:rPr>
          <w:rFonts w:hint="eastAsia" w:ascii="仿宋" w:hAnsi="仿宋" w:eastAsia="仿宋" w:cs="仿宋"/>
          <w:sz w:val="24"/>
        </w:rPr>
        <w:t>元收取。</w:t>
      </w:r>
    </w:p>
    <w:p>
      <w:pPr>
        <w:snapToGrid w:val="0"/>
        <w:spacing w:line="360" w:lineRule="auto"/>
        <w:rPr>
          <w:rFonts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账    号：78560188000095264</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联系人：张婕   联系电话：029-85263975</w:t>
      </w:r>
    </w:p>
    <w:p>
      <w:pPr>
        <w:pStyle w:val="5"/>
        <w:numPr>
          <w:ilvl w:val="0"/>
          <w:numId w:val="11"/>
        </w:numPr>
        <w:tabs>
          <w:tab w:val="left" w:pos="360"/>
        </w:tabs>
        <w:rPr>
          <w:rFonts w:ascii="仿宋" w:hAnsi="仿宋" w:eastAsia="仿宋" w:cs="仿宋"/>
          <w:b/>
          <w:bCs/>
          <w:sz w:val="24"/>
          <w:szCs w:val="21"/>
        </w:rPr>
      </w:pPr>
      <w:bookmarkStart w:id="411" w:name="_Toc1585"/>
      <w:r>
        <w:rPr>
          <w:rFonts w:hint="eastAsia" w:ascii="仿宋" w:hAnsi="仿宋" w:eastAsia="仿宋" w:cs="仿宋"/>
          <w:b/>
          <w:bCs/>
          <w:sz w:val="24"/>
          <w:szCs w:val="21"/>
        </w:rPr>
        <w:t xml:space="preserve">   采购人追加采购数量的权力</w:t>
      </w:r>
      <w:bookmarkEnd w:id="411"/>
    </w:p>
    <w:p>
      <w:pPr>
        <w:tabs>
          <w:tab w:val="left" w:pos="588"/>
        </w:tabs>
        <w:spacing w:line="360" w:lineRule="auto"/>
        <w:ind w:left="840" w:leftChars="400"/>
        <w:rPr>
          <w:rFonts w:ascii="仿宋" w:hAnsi="仿宋" w:eastAsia="仿宋" w:cs="仿宋"/>
          <w:sz w:val="24"/>
        </w:rPr>
      </w:pPr>
      <w:bookmarkStart w:id="412" w:name="_Toc389620205"/>
      <w:bookmarkStart w:id="413"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2"/>
        <w:numPr>
          <w:ilvl w:val="0"/>
          <w:numId w:val="11"/>
        </w:numPr>
        <w:tabs>
          <w:tab w:val="left" w:pos="360"/>
        </w:tabs>
        <w:rPr>
          <w:rFonts w:ascii="仿宋" w:hAnsi="仿宋" w:eastAsia="仿宋" w:cs="仿宋"/>
          <w:b/>
          <w:bCs/>
          <w:sz w:val="24"/>
          <w:szCs w:val="21"/>
        </w:rPr>
      </w:pPr>
      <w:r>
        <w:rPr>
          <w:rFonts w:hint="eastAsia" w:ascii="仿宋" w:hAnsi="仿宋" w:eastAsia="仿宋" w:cs="仿宋"/>
          <w:b/>
          <w:bCs/>
          <w:sz w:val="24"/>
          <w:szCs w:val="21"/>
        </w:rPr>
        <w:t xml:space="preserve">   其他情况</w:t>
      </w:r>
    </w:p>
    <w:p>
      <w:pPr>
        <w:pStyle w:val="2"/>
        <w:ind w:left="840" w:hanging="840" w:hangingChars="350"/>
        <w:rPr>
          <w:rFonts w:ascii="仿宋" w:hAnsi="仿宋" w:eastAsia="仿宋" w:cs="仿宋"/>
          <w:sz w:val="24"/>
        </w:rPr>
      </w:pPr>
      <w:r>
        <w:rPr>
          <w:rFonts w:hint="eastAsia" w:ascii="仿宋" w:hAnsi="仿宋" w:eastAsia="仿宋" w:cs="仿宋"/>
          <w:sz w:val="24"/>
        </w:rPr>
        <w:t>31.1   谈判截止时间结束后，递交响应文件或者经评审的实质性响应谈判文件的供应商不足三家，采购代理机构应当终止竞争性谈判活动，发布项目终止公告并说明原因，重新开展采购活动。</w:t>
      </w:r>
    </w:p>
    <w:p>
      <w:pPr>
        <w:pStyle w:val="2"/>
        <w:ind w:left="840" w:hanging="840" w:hangingChars="350"/>
        <w:rPr>
          <w:rFonts w:ascii="仿宋" w:hAnsi="仿宋" w:eastAsia="仿宋" w:cs="仿宋"/>
          <w:sz w:val="24"/>
        </w:rPr>
      </w:pPr>
      <w:r>
        <w:rPr>
          <w:rFonts w:hint="eastAsia" w:ascii="仿宋" w:hAnsi="仿宋" w:eastAsia="仿宋" w:cs="仿宋"/>
          <w:sz w:val="24"/>
        </w:rPr>
        <w:t xml:space="preserve">31.2   连续两次进行竞争性谈判活动，因符合谈判要求供应商不足3家，经请示政府采购管理部门同意后，可继续进行竞争性谈判活动。 </w:t>
      </w:r>
    </w:p>
    <w:p>
      <w:pPr>
        <w:pStyle w:val="2"/>
        <w:ind w:left="840" w:hanging="840" w:hangingChars="350"/>
        <w:rPr>
          <w:rFonts w:ascii="仿宋" w:hAnsi="仿宋" w:eastAsia="仿宋" w:cs="仿宋"/>
          <w:sz w:val="24"/>
        </w:rPr>
      </w:pPr>
      <w:r>
        <w:rPr>
          <w:rFonts w:hint="eastAsia" w:ascii="仿宋" w:hAnsi="仿宋" w:eastAsia="仿宋" w:cs="仿宋"/>
          <w:sz w:val="24"/>
        </w:rPr>
        <w:t>31.3   政府采购信用担保</w:t>
      </w:r>
    </w:p>
    <w:p>
      <w:pPr>
        <w:pStyle w:val="2"/>
        <w:rPr>
          <w:rFonts w:ascii="仿宋" w:hAnsi="仿宋" w:eastAsia="仿宋" w:cs="仿宋"/>
          <w:sz w:val="24"/>
        </w:rPr>
      </w:pPr>
      <w:r>
        <w:rPr>
          <w:rFonts w:hint="eastAsia" w:ascii="仿宋" w:hAnsi="仿宋" w:eastAsia="仿宋" w:cs="仿宋"/>
          <w:sz w:val="24"/>
        </w:rPr>
        <w:t>31.3.1 供应商递交的履约担保函应符合本谈判文件的规定。</w:t>
      </w:r>
    </w:p>
    <w:p>
      <w:pPr>
        <w:spacing w:line="360" w:lineRule="auto"/>
        <w:ind w:left="850" w:hanging="849" w:hangingChars="354"/>
        <w:rPr>
          <w:rFonts w:ascii="仿宋" w:hAnsi="仿宋" w:eastAsia="仿宋" w:cs="仿宋"/>
          <w:sz w:val="24"/>
        </w:rPr>
      </w:pPr>
      <w:r>
        <w:rPr>
          <w:rFonts w:hint="eastAsia" w:ascii="仿宋" w:hAnsi="仿宋" w:eastAsia="仿宋" w:cs="仿宋"/>
          <w:sz w:val="24"/>
        </w:rPr>
        <w:t>31.3.2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
        <w:tabs>
          <w:tab w:val="left" w:pos="567"/>
        </w:tabs>
        <w:ind w:left="840" w:leftChars="400"/>
        <w:rPr>
          <w:rFonts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tabs>
          <w:tab w:val="left" w:pos="567"/>
        </w:tabs>
        <w:ind w:left="840" w:leftChars="400"/>
        <w:rPr>
          <w:rFonts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tabs>
          <w:tab w:val="left" w:pos="567"/>
        </w:tabs>
        <w:ind w:left="840" w:leftChars="400"/>
        <w:rPr>
          <w:rFonts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tabs>
          <w:tab w:val="left" w:pos="567"/>
        </w:tabs>
        <w:ind w:left="840" w:leftChars="400"/>
        <w:rPr>
          <w:rFonts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tabs>
          <w:tab w:val="left" w:pos="567"/>
        </w:tabs>
        <w:ind w:left="840" w:leftChars="400"/>
        <w:rPr>
          <w:rFonts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tabs>
          <w:tab w:val="left" w:pos="567"/>
        </w:tabs>
        <w:ind w:left="840" w:leftChars="400"/>
        <w:rPr>
          <w:rFonts w:ascii="仿宋" w:hAnsi="仿宋" w:eastAsia="仿宋" w:cs="仿宋"/>
          <w:sz w:val="24"/>
        </w:rPr>
      </w:pPr>
      <w:r>
        <w:rPr>
          <w:rFonts w:hint="eastAsia" w:ascii="仿宋" w:hAnsi="仿宋" w:eastAsia="仿宋" w:cs="仿宋"/>
          <w:sz w:val="24"/>
        </w:rPr>
        <w:t>业务流程简图如下：</w:t>
      </w:r>
    </w:p>
    <w:p>
      <w:pPr>
        <w:pStyle w:val="2"/>
        <w:tabs>
          <w:tab w:val="left" w:pos="567"/>
        </w:tabs>
        <w:ind w:left="840" w:leftChars="400"/>
        <w:rPr>
          <w:rFonts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
        <w:ind w:left="735" w:hanging="735" w:hangingChars="350"/>
        <w:rPr>
          <w:rFonts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
        <w:tabs>
          <w:tab w:val="left" w:pos="567"/>
        </w:tabs>
        <w:rPr>
          <w:rFonts w:ascii="仿宋" w:hAnsi="仿宋" w:eastAsia="仿宋" w:cs="仿宋"/>
          <w:sz w:val="24"/>
          <w:szCs w:val="32"/>
        </w:rPr>
      </w:pPr>
      <w:r>
        <w:rPr>
          <w:rFonts w:hint="eastAsia" w:ascii="仿宋" w:hAnsi="仿宋" w:eastAsia="仿宋" w:cs="仿宋"/>
          <w:sz w:val="24"/>
          <w:szCs w:val="32"/>
        </w:rPr>
        <w:t>省级政府采购项目贷款银行信息：</w:t>
      </w:r>
    </w:p>
    <w:p>
      <w:pPr>
        <w:rPr>
          <w:rFonts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ascii="仿宋" w:hAnsi="仿宋" w:eastAsia="仿宋" w:cs="仿宋"/>
          <w:b/>
          <w:szCs w:val="21"/>
        </w:rPr>
      </w:pPr>
      <w:r>
        <w:rPr>
          <w:rFonts w:hint="eastAsia" w:ascii="仿宋" w:hAnsi="仿宋" w:eastAsia="仿宋" w:cs="仿宋"/>
          <w:b/>
          <w:szCs w:val="21"/>
        </w:rPr>
        <w:t>三、工商银行（政采贷）</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ascii="仿宋" w:hAnsi="仿宋" w:eastAsia="仿宋" w:cs="仿宋"/>
          <w:b/>
          <w:szCs w:val="21"/>
        </w:rPr>
      </w:pPr>
      <w:r>
        <w:rPr>
          <w:rFonts w:hint="eastAsia" w:ascii="仿宋" w:hAnsi="仿宋" w:eastAsia="仿宋" w:cs="仿宋"/>
          <w:b/>
          <w:szCs w:val="21"/>
        </w:rPr>
        <w:t>四、中信银行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ascii="仿宋" w:hAnsi="仿宋" w:eastAsia="仿宋" w:cs="仿宋"/>
          <w:b/>
          <w:szCs w:val="21"/>
        </w:rPr>
      </w:pPr>
      <w:r>
        <w:rPr>
          <w:rFonts w:hint="eastAsia" w:ascii="仿宋" w:hAnsi="仿宋" w:eastAsia="仿宋" w:cs="仿宋"/>
          <w:b/>
          <w:szCs w:val="21"/>
        </w:rPr>
        <w:t>六、浦发银行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ascii="仿宋" w:hAnsi="仿宋" w:eastAsia="仿宋" w:cs="仿宋"/>
          <w:szCs w:val="21"/>
        </w:rPr>
      </w:pPr>
    </w:p>
    <w:p>
      <w:pPr>
        <w:rPr>
          <w:rFonts w:ascii="仿宋" w:hAnsi="仿宋" w:eastAsia="仿宋" w:cs="仿宋"/>
          <w:b/>
          <w:szCs w:val="21"/>
        </w:rPr>
      </w:pPr>
      <w:r>
        <w:rPr>
          <w:rFonts w:hint="eastAsia" w:ascii="仿宋" w:hAnsi="仿宋" w:eastAsia="仿宋" w:cs="仿宋"/>
          <w:b/>
          <w:szCs w:val="21"/>
        </w:rPr>
        <w:t>七、兴业银行（政采贷）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ascii="仿宋" w:hAnsi="仿宋" w:eastAsia="仿宋" w:cs="仿宋"/>
          <w:szCs w:val="21"/>
        </w:rPr>
      </w:pPr>
      <w:r>
        <w:rPr>
          <w:rFonts w:hint="eastAsia" w:ascii="仿宋" w:hAnsi="仿宋" w:eastAsia="仿宋" w:cs="仿宋"/>
          <w:szCs w:val="21"/>
        </w:rPr>
        <w:t>民生银行西安分行  联系人：陈经理 联系电话：61815275 /18821669199</w:t>
      </w:r>
    </w:p>
    <w:p>
      <w:pPr>
        <w:ind w:left="2310" w:leftChars="200" w:hanging="1890" w:hangingChars="900"/>
        <w:rPr>
          <w:rFonts w:ascii="仿宋" w:hAnsi="仿宋" w:eastAsia="仿宋" w:cs="仿宋"/>
          <w:szCs w:val="21"/>
        </w:rPr>
      </w:pPr>
      <w:r>
        <w:rPr>
          <w:rFonts w:hint="eastAsia" w:ascii="仿宋" w:hAnsi="仿宋" w:eastAsia="仿宋" w:cs="仿宋"/>
          <w:szCs w:val="21"/>
        </w:rPr>
        <w:t xml:space="preserve">联系人：王经理 联系电话：61815280 /18591953690 </w:t>
      </w:r>
    </w:p>
    <w:p>
      <w:pPr>
        <w:rPr>
          <w:rFonts w:ascii="仿宋" w:hAnsi="仿宋" w:eastAsia="仿宋" w:cs="仿宋"/>
          <w:b/>
          <w:szCs w:val="21"/>
        </w:rPr>
      </w:pPr>
      <w:r>
        <w:rPr>
          <w:rFonts w:hint="eastAsia" w:ascii="仿宋" w:hAnsi="仿宋" w:eastAsia="仿宋" w:cs="仿宋"/>
          <w:b/>
          <w:szCs w:val="21"/>
        </w:rPr>
        <w:t>九、浙商银行 （政采贷）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ascii="仿宋" w:hAnsi="仿宋" w:eastAsia="仿宋" w:cs="仿宋"/>
          <w:szCs w:val="21"/>
        </w:rPr>
      </w:pPr>
      <w:r>
        <w:rPr>
          <w:rFonts w:hint="eastAsia" w:ascii="仿宋" w:hAnsi="仿宋" w:eastAsia="仿宋" w:cs="仿宋"/>
          <w:szCs w:val="21"/>
        </w:rPr>
        <w:t>招商银行西安分行   联系人：任瑾；85438988</w:t>
      </w:r>
    </w:p>
    <w:p>
      <w:pPr>
        <w:rPr>
          <w:rFonts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ascii="仿宋" w:hAnsi="仿宋" w:eastAsia="仿宋" w:cs="仿宋"/>
          <w:szCs w:val="21"/>
        </w:rPr>
      </w:pPr>
      <w:r>
        <w:rPr>
          <w:rFonts w:hint="eastAsia" w:ascii="仿宋" w:hAnsi="仿宋" w:eastAsia="仿宋" w:cs="仿宋"/>
          <w:szCs w:val="21"/>
        </w:rPr>
        <w:t xml:space="preserve">联系人：陈瑶 13629266833 </w:t>
      </w:r>
    </w:p>
    <w:p>
      <w:pPr>
        <w:rPr>
          <w:rFonts w:ascii="仿宋" w:hAnsi="仿宋" w:eastAsia="仿宋" w:cs="仿宋"/>
          <w:b/>
          <w:szCs w:val="21"/>
        </w:rPr>
      </w:pPr>
      <w:r>
        <w:rPr>
          <w:rFonts w:hint="eastAsia" w:ascii="仿宋" w:hAnsi="仿宋" w:eastAsia="仿宋" w:cs="仿宋"/>
          <w:b/>
          <w:szCs w:val="21"/>
        </w:rPr>
        <w:t>十二、网商银行（合同贷）</w:t>
      </w:r>
    </w:p>
    <w:p>
      <w:pPr>
        <w:rPr>
          <w:rFonts w:ascii="仿宋" w:hAnsi="仿宋" w:eastAsia="仿宋" w:cs="仿宋"/>
          <w:b/>
          <w:szCs w:val="21"/>
        </w:rPr>
      </w:pPr>
      <w:r>
        <w:rPr>
          <w:rFonts w:hint="eastAsia" w:ascii="仿宋" w:hAnsi="仿宋" w:eastAsia="仿宋" w:cs="仿宋"/>
          <w:b/>
          <w:szCs w:val="21"/>
        </w:rPr>
        <w:t>十三、中国邮政储蓄银行陕西省分行（政采贷）</w:t>
      </w:r>
    </w:p>
    <w:p>
      <w:pPr>
        <w:pStyle w:val="2"/>
        <w:rPr>
          <w:rFonts w:ascii="仿宋" w:hAnsi="仿宋" w:eastAsia="仿宋" w:cs="仿宋"/>
        </w:rPr>
      </w:pPr>
    </w:p>
    <w:p>
      <w:pPr>
        <w:pStyle w:val="2"/>
        <w:tabs>
          <w:tab w:val="left" w:pos="567"/>
        </w:tabs>
        <w:rPr>
          <w:rFonts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kern w:val="0"/>
                <w:szCs w:val="21"/>
                <w:lang w:bidi="ar"/>
              </w:rPr>
            </w:pPr>
            <w:r>
              <w:rPr>
                <w:rFonts w:hint="eastAsia" w:ascii="仿宋" w:hAnsi="仿宋" w:eastAsia="仿宋" w:cs="仿宋"/>
                <w:kern w:val="0"/>
                <w:szCs w:val="21"/>
                <w:lang w:bidi="ar"/>
              </w:rPr>
              <w:t>13892535580</w:t>
            </w:r>
          </w:p>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13892383911</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18191815559</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18191356300</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13028431555</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18091365182</w:t>
            </w:r>
          </w:p>
        </w:tc>
      </w:tr>
    </w:tbl>
    <w:p>
      <w:pPr>
        <w:pStyle w:val="2"/>
        <w:tabs>
          <w:tab w:val="left" w:pos="567"/>
        </w:tabs>
        <w:rPr>
          <w:rFonts w:ascii="仿宋" w:hAnsi="仿宋" w:eastAsia="仿宋" w:cs="仿宋"/>
          <w:szCs w:val="21"/>
        </w:rPr>
      </w:pPr>
    </w:p>
    <w:p>
      <w:pPr>
        <w:pStyle w:val="2"/>
        <w:tabs>
          <w:tab w:val="left" w:pos="567"/>
        </w:tabs>
        <w:rPr>
          <w:rFonts w:ascii="仿宋" w:hAnsi="仿宋" w:eastAsia="仿宋" w:cs="仿宋"/>
          <w:szCs w:val="21"/>
        </w:rPr>
      </w:pPr>
      <w:r>
        <w:rPr>
          <w:rFonts w:hint="eastAsia" w:ascii="仿宋" w:hAnsi="仿宋" w:eastAsia="仿宋" w:cs="仿宋"/>
          <w:szCs w:val="21"/>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spacing w:line="360" w:lineRule="auto"/>
        <w:ind w:left="843" w:hanging="843" w:hangingChars="350"/>
        <w:rPr>
          <w:rFonts w:ascii="仿宋" w:hAnsi="仿宋" w:eastAsia="仿宋" w:cs="仿宋"/>
          <w:b/>
          <w:bCs/>
          <w:sz w:val="24"/>
          <w:szCs w:val="21"/>
        </w:rPr>
      </w:pPr>
    </w:p>
    <w:p>
      <w:pPr>
        <w:spacing w:line="360" w:lineRule="auto"/>
        <w:ind w:left="843" w:hanging="843" w:hangingChars="350"/>
        <w:rPr>
          <w:rFonts w:ascii="仿宋" w:hAnsi="仿宋" w:eastAsia="仿宋" w:cs="仿宋"/>
          <w:b/>
          <w:bCs/>
          <w:sz w:val="24"/>
          <w:szCs w:val="21"/>
        </w:rPr>
      </w:pPr>
      <w:r>
        <w:rPr>
          <w:rFonts w:hint="eastAsia" w:ascii="仿宋" w:hAnsi="仿宋" w:eastAsia="仿宋" w:cs="仿宋"/>
          <w:b/>
          <w:bCs/>
          <w:sz w:val="24"/>
          <w:szCs w:val="21"/>
        </w:rPr>
        <w:t>32   信用承诺：详见投标须知前附表</w:t>
      </w:r>
    </w:p>
    <w:p>
      <w:pPr>
        <w:spacing w:line="360" w:lineRule="auto"/>
        <w:ind w:left="843" w:hanging="843" w:hangingChars="350"/>
        <w:rPr>
          <w:rFonts w:ascii="仿宋" w:hAnsi="仿宋" w:eastAsia="仿宋" w:cs="仿宋"/>
          <w:b/>
          <w:bCs/>
          <w:sz w:val="24"/>
        </w:rPr>
      </w:pPr>
      <w:r>
        <w:rPr>
          <w:rFonts w:hint="eastAsia" w:ascii="仿宋" w:hAnsi="仿宋" w:eastAsia="仿宋" w:cs="仿宋"/>
          <w:b/>
          <w:bCs/>
          <w:sz w:val="24"/>
          <w:szCs w:val="21"/>
        </w:rPr>
        <w:t>33</w:t>
      </w:r>
      <w:r>
        <w:rPr>
          <w:rFonts w:hint="eastAsia" w:ascii="仿宋" w:hAnsi="仿宋" w:eastAsia="仿宋" w:cs="仿宋"/>
          <w:sz w:val="24"/>
        </w:rPr>
        <w:t xml:space="preserve">   </w:t>
      </w:r>
      <w:r>
        <w:rPr>
          <w:rFonts w:hint="eastAsia" w:ascii="仿宋" w:hAnsi="仿宋" w:eastAsia="仿宋" w:cs="仿宋"/>
          <w:b/>
          <w:bCs/>
          <w:sz w:val="24"/>
          <w:szCs w:val="21"/>
        </w:rPr>
        <w:t>不见面开标注意事项及流程</w:t>
      </w:r>
      <w:r>
        <w:rPr>
          <w:rFonts w:hint="eastAsia" w:ascii="仿宋" w:hAnsi="仿宋" w:eastAsia="仿宋" w:cs="仿宋"/>
          <w:b/>
          <w:bCs/>
          <w:sz w:val="24"/>
        </w:rPr>
        <w:t>。</w:t>
      </w:r>
    </w:p>
    <w:p>
      <w:pPr>
        <w:pStyle w:val="2"/>
        <w:ind w:left="840" w:hanging="840" w:hangingChars="350"/>
        <w:rPr>
          <w:rFonts w:ascii="仿宋" w:hAnsi="仿宋" w:eastAsia="仿宋" w:cs="仿宋"/>
          <w:sz w:val="24"/>
        </w:rPr>
      </w:pPr>
      <w:r>
        <w:rPr>
          <w:rFonts w:hint="eastAsia" w:ascii="仿宋" w:hAnsi="仿宋" w:eastAsia="仿宋" w:cs="仿宋"/>
          <w:sz w:val="24"/>
        </w:rPr>
        <w:t>33.1 不见面开标注意事项及流程见“供应商须知前附表”</w:t>
      </w:r>
    </w:p>
    <w:bookmarkEnd w:id="412"/>
    <w:bookmarkEnd w:id="413"/>
    <w:p>
      <w:pPr>
        <w:pStyle w:val="2"/>
        <w:numPr>
          <w:ilvl w:val="0"/>
          <w:numId w:val="11"/>
        </w:numPr>
        <w:tabs>
          <w:tab w:val="left" w:pos="360"/>
        </w:tabs>
        <w:rPr>
          <w:rFonts w:ascii="仿宋" w:hAnsi="仿宋" w:eastAsia="仿宋" w:cs="仿宋"/>
          <w:sz w:val="24"/>
        </w:rPr>
      </w:pPr>
      <w:bookmarkStart w:id="414" w:name="_Toc230013637"/>
      <w:bookmarkStart w:id="415" w:name="_Toc230099802"/>
      <w:bookmarkStart w:id="416" w:name="_Toc184025279"/>
      <w:bookmarkStart w:id="417" w:name="_Toc184114070"/>
      <w:r>
        <w:rPr>
          <w:rFonts w:hint="eastAsia" w:ascii="仿宋" w:hAnsi="仿宋" w:eastAsia="仿宋" w:cs="仿宋"/>
          <w:sz w:val="24"/>
        </w:rPr>
        <w:br w:type="page"/>
      </w:r>
    </w:p>
    <w:bookmarkEnd w:id="414"/>
    <w:bookmarkEnd w:id="415"/>
    <w:bookmarkEnd w:id="416"/>
    <w:bookmarkEnd w:id="417"/>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418" w:name="_Toc17469"/>
      <w:bookmarkStart w:id="419" w:name="_Toc58504668"/>
      <w:bookmarkStart w:id="420" w:name="_Toc58504447"/>
      <w:r>
        <w:rPr>
          <w:rFonts w:hint="eastAsia" w:ascii="仿宋" w:hAnsi="仿宋" w:eastAsia="仿宋" w:cs="仿宋"/>
          <w:b/>
          <w:kern w:val="0"/>
          <w:sz w:val="32"/>
          <w:szCs w:val="32"/>
        </w:rPr>
        <w:t xml:space="preserve">第三章  </w:t>
      </w:r>
      <w:bookmarkEnd w:id="19"/>
      <w:bookmarkEnd w:id="418"/>
      <w:bookmarkEnd w:id="419"/>
      <w:bookmarkEnd w:id="420"/>
      <w:bookmarkStart w:id="421" w:name="_Toc177995483"/>
      <w:bookmarkStart w:id="422" w:name="_Toc249515369"/>
      <w:bookmarkStart w:id="423" w:name="_Toc230013638"/>
      <w:bookmarkStart w:id="424" w:name="_Toc503063458"/>
      <w:bookmarkStart w:id="425" w:name="_Toc70687202"/>
      <w:bookmarkStart w:id="426" w:name="_Toc232176282"/>
      <w:bookmarkStart w:id="427" w:name="_Toc492955459"/>
      <w:bookmarkStart w:id="428" w:name="_Toc232395222"/>
      <w:bookmarkStart w:id="429" w:name="_Toc496324623"/>
      <w:bookmarkStart w:id="430" w:name="_Toc500747106"/>
      <w:bookmarkStart w:id="431" w:name="_Toc177189245"/>
      <w:bookmarkStart w:id="432" w:name="_Toc500747010"/>
      <w:bookmarkStart w:id="433" w:name="_Toc177817344"/>
      <w:bookmarkStart w:id="434" w:name="_Toc500747233"/>
      <w:bookmarkStart w:id="435" w:name="_Toc499711928"/>
      <w:bookmarkStart w:id="436" w:name="_Toc249525250"/>
      <w:bookmarkStart w:id="437" w:name="_Toc230583552"/>
      <w:bookmarkStart w:id="438" w:name="_Toc176882552"/>
      <w:bookmarkStart w:id="439" w:name="_Toc249515482"/>
      <w:bookmarkStart w:id="440" w:name="_Toc184043058"/>
      <w:bookmarkStart w:id="441" w:name="_Toc53722865"/>
      <w:bookmarkStart w:id="442" w:name="_Toc230099803"/>
      <w:bookmarkStart w:id="443" w:name="_Toc499711087"/>
      <w:bookmarkStart w:id="444" w:name="_Toc415499897"/>
      <w:bookmarkStart w:id="445" w:name="_Toc256342152"/>
      <w:bookmarkStart w:id="446" w:name="_Toc28450"/>
      <w:r>
        <w:rPr>
          <w:rFonts w:hint="eastAsia" w:ascii="仿宋" w:hAnsi="仿宋" w:eastAsia="仿宋" w:cs="仿宋"/>
          <w:b/>
          <w:kern w:val="0"/>
          <w:sz w:val="32"/>
          <w:szCs w:val="32"/>
        </w:rPr>
        <w:t>拟签订的合同文本</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djustRightInd w:val="0"/>
        <w:snapToGrid w:val="0"/>
        <w:spacing w:line="360" w:lineRule="auto"/>
        <w:ind w:firstLine="506" w:firstLineChars="210"/>
        <w:rPr>
          <w:rFonts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ascii="仿宋" w:hAnsi="仿宋" w:eastAsia="仿宋" w:cs="仿宋"/>
          <w:color w:val="000000"/>
          <w:sz w:val="24"/>
        </w:rPr>
      </w:pPr>
      <w:r>
        <w:rPr>
          <w:rFonts w:hint="eastAsia" w:ascii="仿宋" w:hAnsi="仿宋" w:eastAsia="仿宋" w:cs="仿宋"/>
          <w:color w:val="000000"/>
          <w:sz w:val="24"/>
        </w:rPr>
        <w:t>1、付款比例：按季度支付。</w:t>
      </w:r>
    </w:p>
    <w:p>
      <w:pPr>
        <w:autoSpaceDE w:val="0"/>
        <w:autoSpaceDN w:val="0"/>
        <w:adjustRightInd w:val="0"/>
        <w:snapToGrid w:val="0"/>
        <w:spacing w:line="360" w:lineRule="auto"/>
        <w:ind w:firstLine="645"/>
        <w:rPr>
          <w:rFonts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Cs/>
          <w:sz w:val="24"/>
          <w:lang w:val="zh-CN"/>
        </w:rPr>
        <w:t>1、服务地点：神木市医院</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Cs/>
          <w:sz w:val="24"/>
          <w:lang w:val="zh-CN"/>
        </w:rPr>
        <w:t>2、服务期：一年。</w:t>
      </w:r>
    </w:p>
    <w:p>
      <w:pPr>
        <w:adjustRightInd w:val="0"/>
        <w:snapToGrid w:val="0"/>
        <w:spacing w:line="360" w:lineRule="auto"/>
        <w:ind w:firstLine="646"/>
        <w:rPr>
          <w:rFonts w:ascii="仿宋" w:hAnsi="仿宋" w:eastAsia="仿宋" w:cs="仿宋"/>
          <w:b/>
          <w:sz w:val="24"/>
        </w:rPr>
      </w:pPr>
      <w:r>
        <w:rPr>
          <w:rFonts w:hint="eastAsia" w:ascii="仿宋" w:hAnsi="仿宋" w:eastAsia="仿宋" w:cs="仿宋"/>
          <w:b/>
          <w:sz w:val="24"/>
        </w:rPr>
        <w:t>五、运输</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2、所有货物在运输、搬运、安装的过程中，造成甲方损失的，由乙方为甲方修复或更新。</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六、质量保证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5、系统的质保期为验收合格后</w:t>
      </w:r>
      <w:r>
        <w:rPr>
          <w:rFonts w:hint="eastAsia" w:ascii="仿宋" w:hAnsi="仿宋" w:eastAsia="仿宋" w:cs="仿宋"/>
          <w:sz w:val="24"/>
          <w:u w:val="single"/>
        </w:rPr>
        <w:t>12</w:t>
      </w:r>
      <w:r>
        <w:rPr>
          <w:rFonts w:hint="eastAsia" w:ascii="仿宋" w:hAnsi="仿宋" w:eastAsia="仿宋" w:cs="仿宋"/>
          <w:sz w:val="24"/>
        </w:rPr>
        <w:t>个月，终身维护保养，质保期后，只收取成本费用。</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七、技术服务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1、对技术服务的要求：</w:t>
      </w:r>
    </w:p>
    <w:p>
      <w:pPr>
        <w:snapToGrid w:val="0"/>
        <w:spacing w:line="360" w:lineRule="auto"/>
        <w:ind w:left="645"/>
        <w:rPr>
          <w:rFonts w:ascii="仿宋" w:hAnsi="仿宋" w:eastAsia="仿宋" w:cs="仿宋"/>
          <w:sz w:val="24"/>
        </w:rPr>
      </w:pPr>
      <w:r>
        <w:rPr>
          <w:rFonts w:hint="eastAsia" w:ascii="仿宋" w:hAnsi="仿宋" w:eastAsia="仿宋" w:cs="仿宋"/>
          <w:sz w:val="24"/>
        </w:rPr>
        <w:t>2、技术资料：</w:t>
      </w:r>
    </w:p>
    <w:p>
      <w:pPr>
        <w:snapToGrid w:val="0"/>
        <w:spacing w:line="360" w:lineRule="auto"/>
        <w:ind w:left="645"/>
        <w:rPr>
          <w:rFonts w:ascii="仿宋" w:hAnsi="仿宋" w:eastAsia="仿宋" w:cs="仿宋"/>
          <w:sz w:val="24"/>
        </w:rPr>
      </w:pPr>
      <w:r>
        <w:rPr>
          <w:rFonts w:hint="eastAsia" w:ascii="仿宋" w:hAnsi="仿宋" w:eastAsia="仿宋" w:cs="仿宋"/>
          <w:sz w:val="24"/>
        </w:rPr>
        <w:t>2-1、产品合格证及检验报告；</w:t>
      </w:r>
    </w:p>
    <w:p>
      <w:pPr>
        <w:snapToGrid w:val="0"/>
        <w:spacing w:line="360" w:lineRule="auto"/>
        <w:ind w:left="645"/>
        <w:rPr>
          <w:rFonts w:ascii="仿宋" w:hAnsi="仿宋" w:eastAsia="仿宋" w:cs="仿宋"/>
          <w:sz w:val="24"/>
        </w:rPr>
      </w:pPr>
      <w:r>
        <w:rPr>
          <w:rFonts w:hint="eastAsia" w:ascii="仿宋" w:hAnsi="仿宋" w:eastAsia="仿宋" w:cs="仿宋"/>
          <w:sz w:val="24"/>
        </w:rPr>
        <w:t>2-2、产品使用说明书（中文）；</w:t>
      </w:r>
    </w:p>
    <w:p>
      <w:pPr>
        <w:snapToGrid w:val="0"/>
        <w:spacing w:line="360" w:lineRule="auto"/>
        <w:ind w:left="645"/>
        <w:rPr>
          <w:rFonts w:ascii="仿宋" w:hAnsi="仿宋" w:eastAsia="仿宋" w:cs="仿宋"/>
          <w:sz w:val="24"/>
        </w:rPr>
      </w:pPr>
      <w:r>
        <w:rPr>
          <w:rFonts w:hint="eastAsia" w:ascii="仿宋" w:hAnsi="仿宋" w:eastAsia="仿宋" w:cs="仿宋"/>
          <w:sz w:val="24"/>
        </w:rPr>
        <w:t>2-3、中国商品检验局出具的商检合格证明；</w:t>
      </w:r>
    </w:p>
    <w:p>
      <w:pPr>
        <w:snapToGrid w:val="0"/>
        <w:spacing w:line="360" w:lineRule="auto"/>
        <w:ind w:left="645"/>
        <w:rPr>
          <w:rFonts w:ascii="仿宋" w:hAnsi="仿宋" w:eastAsia="仿宋" w:cs="仿宋"/>
          <w:sz w:val="24"/>
        </w:rPr>
      </w:pPr>
      <w:r>
        <w:rPr>
          <w:rFonts w:hint="eastAsia" w:ascii="仿宋" w:hAnsi="仿宋" w:eastAsia="仿宋" w:cs="仿宋"/>
          <w:sz w:val="24"/>
        </w:rPr>
        <w:t>2-4、其它资料。</w:t>
      </w:r>
    </w:p>
    <w:p>
      <w:pPr>
        <w:snapToGrid w:val="0"/>
        <w:spacing w:line="360" w:lineRule="auto"/>
        <w:ind w:left="645"/>
        <w:rPr>
          <w:rFonts w:ascii="仿宋" w:hAnsi="仿宋" w:eastAsia="仿宋" w:cs="仿宋"/>
          <w:sz w:val="24"/>
        </w:rPr>
      </w:pPr>
      <w:r>
        <w:rPr>
          <w:rFonts w:hint="eastAsia" w:ascii="仿宋" w:hAnsi="仿宋" w:eastAsia="仿宋" w:cs="仿宋"/>
          <w:sz w:val="24"/>
        </w:rPr>
        <w:t>3、技术培训：</w:t>
      </w:r>
    </w:p>
    <w:p>
      <w:pPr>
        <w:snapToGrid w:val="0"/>
        <w:spacing w:line="360" w:lineRule="auto"/>
        <w:ind w:left="645"/>
        <w:rPr>
          <w:rFonts w:ascii="仿宋" w:hAnsi="仿宋" w:eastAsia="仿宋" w:cs="仿宋"/>
          <w:sz w:val="24"/>
        </w:rPr>
      </w:pPr>
      <w:r>
        <w:rPr>
          <w:rFonts w:hint="eastAsia" w:ascii="仿宋" w:hAnsi="仿宋" w:eastAsia="仿宋" w:cs="仿宋"/>
          <w:sz w:val="24"/>
        </w:rPr>
        <w:t>3-1、培训内容：</w:t>
      </w:r>
    </w:p>
    <w:p>
      <w:pPr>
        <w:snapToGrid w:val="0"/>
        <w:spacing w:line="360" w:lineRule="auto"/>
        <w:ind w:left="645"/>
        <w:rPr>
          <w:rFonts w:ascii="仿宋" w:hAnsi="仿宋" w:eastAsia="仿宋" w:cs="仿宋"/>
          <w:sz w:val="24"/>
        </w:rPr>
      </w:pPr>
      <w:r>
        <w:rPr>
          <w:rFonts w:hint="eastAsia" w:ascii="仿宋" w:hAnsi="仿宋" w:eastAsia="仿宋" w:cs="仿宋"/>
          <w:sz w:val="24"/>
        </w:rPr>
        <w:t>3-2、培训地点：</w:t>
      </w:r>
    </w:p>
    <w:p>
      <w:pPr>
        <w:snapToGrid w:val="0"/>
        <w:spacing w:line="360" w:lineRule="auto"/>
        <w:ind w:left="645"/>
        <w:rPr>
          <w:rFonts w:ascii="仿宋" w:hAnsi="仿宋" w:eastAsia="仿宋" w:cs="仿宋"/>
          <w:sz w:val="24"/>
        </w:rPr>
      </w:pPr>
      <w:r>
        <w:rPr>
          <w:rFonts w:hint="eastAsia" w:ascii="仿宋" w:hAnsi="仿宋" w:eastAsia="仿宋" w:cs="仿宋"/>
          <w:sz w:val="24"/>
        </w:rPr>
        <w:t>3-3、培训时间：</w:t>
      </w:r>
    </w:p>
    <w:p>
      <w:pPr>
        <w:snapToGrid w:val="0"/>
        <w:spacing w:line="360" w:lineRule="auto"/>
        <w:ind w:left="645"/>
        <w:rPr>
          <w:rFonts w:ascii="仿宋" w:hAnsi="仿宋" w:eastAsia="仿宋" w:cs="仿宋"/>
          <w:sz w:val="24"/>
        </w:rPr>
      </w:pPr>
      <w:r>
        <w:rPr>
          <w:rFonts w:hint="eastAsia" w:ascii="仿宋" w:hAnsi="仿宋" w:eastAsia="仿宋" w:cs="仿宋"/>
          <w:sz w:val="24"/>
        </w:rPr>
        <w:t>3-4、培训人数：</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snapToGrid w:val="0"/>
        <w:spacing w:line="360" w:lineRule="auto"/>
        <w:ind w:left="645"/>
        <w:rPr>
          <w:rFonts w:ascii="仿宋" w:hAnsi="仿宋" w:eastAsia="仿宋" w:cs="仿宋"/>
          <w:sz w:val="24"/>
        </w:rPr>
      </w:pPr>
      <w:r>
        <w:rPr>
          <w:rFonts w:hint="eastAsia" w:ascii="仿宋" w:hAnsi="仿宋" w:eastAsia="仿宋" w:cs="仿宋"/>
          <w:sz w:val="24"/>
        </w:rPr>
        <w:t>4、售后服务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u w:val="single"/>
        </w:rPr>
        <w:t xml:space="preserve">   </w:t>
      </w:r>
      <w:r>
        <w:rPr>
          <w:rFonts w:hint="eastAsia" w:ascii="仿宋" w:hAnsi="仿宋" w:eastAsia="仿宋" w:cs="仿宋"/>
          <w:sz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ascii="仿宋" w:hAnsi="仿宋" w:eastAsia="仿宋" w:cs="仿宋"/>
          <w:sz w:val="24"/>
        </w:rPr>
      </w:pPr>
      <w:r>
        <w:rPr>
          <w:rFonts w:hint="eastAsia" w:ascii="仿宋" w:hAnsi="仿宋" w:eastAsia="仿宋" w:cs="仿宋"/>
          <w:sz w:val="24"/>
        </w:rPr>
        <w:t>5、伴随服务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5-1、乙方应随同每套货物提供相应的中文的技术文件。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5-1-1、完整的操作使用手册和维护、修理技术文件，图纸、保修卡等。</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5-1-2、制造厂的检验、测试报告、设备检验合格证书，计量合格等级证书，质量保证书等文件须随设备装箱提供。</w:t>
      </w:r>
    </w:p>
    <w:p>
      <w:pPr>
        <w:snapToGrid w:val="0"/>
        <w:spacing w:line="360" w:lineRule="auto"/>
        <w:ind w:left="645"/>
        <w:rPr>
          <w:rFonts w:ascii="仿宋" w:hAnsi="仿宋" w:eastAsia="仿宋" w:cs="仿宋"/>
          <w:sz w:val="24"/>
        </w:rPr>
      </w:pPr>
      <w:r>
        <w:rPr>
          <w:rFonts w:hint="eastAsia" w:ascii="仿宋" w:hAnsi="仿宋" w:eastAsia="仿宋" w:cs="仿宋"/>
          <w:sz w:val="24"/>
        </w:rPr>
        <w:t>5-1-3、必须的其它技术资料。</w:t>
      </w:r>
    </w:p>
    <w:p>
      <w:pPr>
        <w:snapToGrid w:val="0"/>
        <w:spacing w:line="360" w:lineRule="auto"/>
        <w:ind w:left="645"/>
        <w:rPr>
          <w:rFonts w:ascii="仿宋" w:hAnsi="仿宋" w:eastAsia="仿宋" w:cs="仿宋"/>
          <w:sz w:val="24"/>
        </w:rPr>
      </w:pPr>
      <w:r>
        <w:rPr>
          <w:rFonts w:hint="eastAsia" w:ascii="仿宋" w:hAnsi="仿宋" w:eastAsia="仿宋" w:cs="仿宋"/>
          <w:sz w:val="24"/>
        </w:rPr>
        <w:t>5-2、伴随服务的费用已含在合同价中，不单独进行支付。</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八、验收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5-1、合同文本、合同附件、询价文件、响应文件。</w:t>
      </w:r>
    </w:p>
    <w:p>
      <w:pPr>
        <w:snapToGrid w:val="0"/>
        <w:spacing w:line="360" w:lineRule="auto"/>
        <w:ind w:right="893" w:firstLine="480" w:firstLineChars="200"/>
        <w:rPr>
          <w:rFonts w:ascii="仿宋" w:hAnsi="仿宋" w:eastAsia="仿宋" w:cs="仿宋"/>
          <w:sz w:val="24"/>
        </w:rPr>
      </w:pPr>
      <w:r>
        <w:rPr>
          <w:rFonts w:hint="eastAsia" w:ascii="仿宋" w:hAnsi="仿宋" w:eastAsia="仿宋" w:cs="仿宋"/>
          <w:sz w:val="24"/>
        </w:rPr>
        <w:t>5-2、国内相应的标准、规范。</w:t>
      </w:r>
    </w:p>
    <w:p>
      <w:pPr>
        <w:adjustRightInd w:val="0"/>
        <w:snapToGrid w:val="0"/>
        <w:spacing w:line="360" w:lineRule="auto"/>
        <w:ind w:left="645"/>
        <w:rPr>
          <w:rFonts w:ascii="仿宋" w:hAnsi="仿宋" w:eastAsia="仿宋" w:cs="仿宋"/>
          <w:b/>
          <w:sz w:val="24"/>
        </w:rPr>
      </w:pPr>
      <w:r>
        <w:rPr>
          <w:rFonts w:hint="eastAsia" w:ascii="仿宋" w:hAnsi="仿宋" w:eastAsia="仿宋" w:cs="仿宋"/>
          <w:b/>
          <w:sz w:val="24"/>
        </w:rPr>
        <w:t>九、违约责任</w:t>
      </w:r>
    </w:p>
    <w:p>
      <w:pPr>
        <w:numPr>
          <w:ilvl w:val="0"/>
          <w:numId w:val="12"/>
        </w:numPr>
        <w:adjustRightInd w:val="0"/>
        <w:snapToGrid w:val="0"/>
        <w:spacing w:line="360" w:lineRule="auto"/>
        <w:rPr>
          <w:rFonts w:ascii="仿宋" w:hAnsi="仿宋" w:eastAsia="仿宋" w:cs="仿宋"/>
          <w:sz w:val="24"/>
        </w:rPr>
      </w:pPr>
      <w:r>
        <w:rPr>
          <w:rFonts w:hint="eastAsia" w:ascii="仿宋" w:hAnsi="仿宋" w:eastAsia="仿宋" w:cs="仿宋"/>
          <w:sz w:val="24"/>
        </w:rPr>
        <w:t>按《民法典》中的相关条款执行。</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十、合同组成</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4、供货设备技术规格及参数表</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5、询价文件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6、响应文件</w:t>
      </w:r>
    </w:p>
    <w:p>
      <w:pPr>
        <w:widowControl/>
        <w:autoSpaceDE w:val="0"/>
        <w:autoSpaceDN w:val="0"/>
        <w:snapToGrid w:val="0"/>
        <w:spacing w:line="360" w:lineRule="auto"/>
        <w:ind w:right="893" w:firstLine="472" w:firstLineChars="196"/>
        <w:textAlignment w:val="bottom"/>
        <w:rPr>
          <w:rFonts w:ascii="仿宋" w:hAnsi="仿宋" w:eastAsia="仿宋" w:cs="仿宋"/>
          <w:b/>
          <w:kern w:val="0"/>
          <w:sz w:val="24"/>
        </w:rPr>
      </w:pPr>
      <w:r>
        <w:rPr>
          <w:rFonts w:hint="eastAsia" w:ascii="仿宋" w:hAnsi="仿宋" w:eastAsia="仿宋" w:cs="仿宋"/>
          <w:b/>
          <w:kern w:val="0"/>
          <w:sz w:val="24"/>
        </w:rPr>
        <w:t>十一、合同生效及其它</w:t>
      </w:r>
    </w:p>
    <w:p>
      <w:pPr>
        <w:widowControl/>
        <w:autoSpaceDE w:val="0"/>
        <w:autoSpaceDN w:val="0"/>
        <w:snapToGrid w:val="0"/>
        <w:spacing w:line="360" w:lineRule="auto"/>
        <w:ind w:right="-110" w:firstLine="480" w:firstLineChars="200"/>
        <w:textAlignment w:val="bottom"/>
        <w:rPr>
          <w:rFonts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4、生效时间：    年  月  日</w:t>
      </w:r>
    </w:p>
    <w:tbl>
      <w:tblPr>
        <w:tblStyle w:val="50"/>
        <w:tblW w:w="0" w:type="auto"/>
        <w:jc w:val="center"/>
        <w:tblLayout w:type="fixed"/>
        <w:tblCellMar>
          <w:top w:w="0" w:type="dxa"/>
          <w:left w:w="108" w:type="dxa"/>
          <w:bottom w:w="0" w:type="dxa"/>
          <w:right w:w="108" w:type="dxa"/>
        </w:tblCellMar>
      </w:tblPr>
      <w:tblGrid>
        <w:gridCol w:w="4643"/>
        <w:gridCol w:w="4643"/>
      </w:tblGrid>
      <w:tr>
        <w:trPr>
          <w:jc w:val="center"/>
        </w:trPr>
        <w:tc>
          <w:tcPr>
            <w:tcW w:w="4643" w:type="dxa"/>
          </w:tcPr>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账号：</w:t>
            </w:r>
          </w:p>
        </w:tc>
        <w:tc>
          <w:tcPr>
            <w:tcW w:w="4643" w:type="dxa"/>
          </w:tcPr>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账号：</w:t>
            </w:r>
          </w:p>
        </w:tc>
      </w:tr>
    </w:tbl>
    <w:p>
      <w:pPr>
        <w:autoSpaceDE w:val="0"/>
        <w:autoSpaceDN w:val="0"/>
        <w:adjustRightInd w:val="0"/>
        <w:spacing w:line="360" w:lineRule="auto"/>
        <w:jc w:val="left"/>
        <w:rPr>
          <w:rFonts w:ascii="仿宋" w:hAnsi="仿宋" w:eastAsia="仿宋" w:cs="仿宋"/>
          <w:b/>
          <w:bCs/>
          <w:sz w:val="32"/>
          <w:szCs w:val="32"/>
        </w:rPr>
      </w:pPr>
    </w:p>
    <w:p>
      <w:pPr>
        <w:autoSpaceDE w:val="0"/>
        <w:autoSpaceDN w:val="0"/>
        <w:adjustRightInd w:val="0"/>
        <w:jc w:val="left"/>
        <w:rPr>
          <w:rFonts w:ascii="仿宋" w:hAnsi="仿宋" w:eastAsia="仿宋" w:cs="仿宋"/>
          <w:b/>
          <w:bCs/>
          <w:sz w:val="32"/>
          <w:szCs w:val="32"/>
        </w:rPr>
      </w:pPr>
    </w:p>
    <w:p>
      <w:pPr>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sz w:val="24"/>
        </w:rPr>
      </w:pPr>
      <w:r>
        <w:rPr>
          <w:rFonts w:hint="eastAsia" w:ascii="仿宋" w:hAnsi="仿宋" w:eastAsia="仿宋" w:cs="仿宋"/>
          <w:sz w:val="24"/>
        </w:rPr>
        <w:t>合同附件</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ascii="仿宋" w:hAnsi="仿宋" w:eastAsia="仿宋" w:cs="仿宋"/>
                <w:b/>
                <w:bCs/>
                <w:kern w:val="0"/>
                <w:sz w:val="24"/>
              </w:rPr>
            </w:pPr>
            <w:r>
              <w:rPr>
                <w:rFonts w:hint="eastAsia" w:ascii="仿宋" w:hAnsi="仿宋" w:eastAsia="仿宋" w:cs="仿宋"/>
                <w:b/>
                <w:bCs/>
                <w:kern w:val="0"/>
                <w:sz w:val="24"/>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使用单位验收意见：（盖章）</w:t>
            </w:r>
          </w:p>
          <w:p>
            <w:pPr>
              <w:rPr>
                <w:rFonts w:ascii="仿宋" w:hAnsi="仿宋" w:eastAsia="仿宋" w:cs="仿宋"/>
                <w:sz w:val="24"/>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pPr>
              <w:widowControl/>
              <w:jc w:val="center"/>
              <w:rPr>
                <w:rFonts w:ascii="仿宋" w:hAnsi="仿宋" w:eastAsia="仿宋" w:cs="仿宋"/>
                <w:b/>
                <w:bCs/>
                <w:kern w:val="0"/>
                <w:sz w:val="24"/>
              </w:rPr>
            </w:pPr>
          </w:p>
        </w:tc>
        <w:tc>
          <w:tcPr>
            <w:tcW w:w="1481" w:type="pct"/>
            <w:tcBorders>
              <w:top w:val="nil"/>
              <w:left w:val="single" w:color="auto" w:sz="4"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ascii="仿宋" w:hAnsi="仿宋" w:eastAsia="仿宋" w:cs="仿宋"/>
                <w:b/>
                <w:bCs/>
                <w:kern w:val="0"/>
                <w:sz w:val="22"/>
                <w:szCs w:val="22"/>
              </w:rPr>
            </w:pPr>
            <w:r>
              <w:rPr>
                <w:rFonts w:hint="eastAsia" w:ascii="仿宋" w:hAnsi="仿宋" w:eastAsia="仿宋" w:cs="仿宋"/>
                <w:b/>
                <w:bCs/>
                <w:kern w:val="0"/>
                <w:sz w:val="22"/>
                <w:szCs w:val="22"/>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pPr>
        <w:pStyle w:val="2"/>
        <w:rPr>
          <w:rFonts w:ascii="仿宋" w:hAnsi="仿宋" w:eastAsia="仿宋" w:cs="仿宋"/>
        </w:rPr>
      </w:pPr>
      <w:r>
        <w:rPr>
          <w:rFonts w:hint="eastAsia" w:ascii="仿宋" w:hAnsi="仿宋" w:eastAsia="仿宋" w:cs="仿宋"/>
        </w:rPr>
        <w:br w:type="page"/>
      </w:r>
    </w:p>
    <w:p>
      <w:pPr>
        <w:pStyle w:val="67"/>
        <w:numPr>
          <w:ilvl w:val="0"/>
          <w:numId w:val="13"/>
        </w:numPr>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447" w:name="_Toc58504669"/>
      <w:bookmarkStart w:id="448" w:name="_Toc58504448"/>
      <w:r>
        <w:rPr>
          <w:rFonts w:hint="eastAsia" w:ascii="仿宋" w:hAnsi="仿宋" w:eastAsia="仿宋" w:cs="仿宋"/>
          <w:b/>
          <w:kern w:val="0"/>
          <w:sz w:val="32"/>
          <w:szCs w:val="32"/>
        </w:rPr>
        <w:t xml:space="preserve"> 采购内容及要求</w:t>
      </w:r>
      <w:bookmarkEnd w:id="447"/>
      <w:bookmarkEnd w:id="448"/>
    </w:p>
    <w:tbl>
      <w:tblPr>
        <w:tblStyle w:val="50"/>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603"/>
        <w:gridCol w:w="848"/>
        <w:gridCol w:w="1324"/>
        <w:gridCol w:w="2196"/>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名称</w:t>
            </w:r>
          </w:p>
        </w:tc>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数量</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单位</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品牌</w:t>
            </w:r>
          </w:p>
        </w:tc>
        <w:tc>
          <w:tcPr>
            <w:tcW w:w="21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型号</w:t>
            </w:r>
          </w:p>
        </w:tc>
        <w:tc>
          <w:tcPr>
            <w:tcW w:w="28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双活互联矩阵</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 xml:space="preserve">NetApp </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FibreBridge 7500</w:t>
            </w:r>
          </w:p>
        </w:tc>
        <w:tc>
          <w:tcPr>
            <w:tcW w:w="2867" w:type="dxa"/>
            <w:vMerge w:val="restart"/>
            <w:tcBorders>
              <w:top w:val="single" w:color="auto" w:sz="4" w:space="0"/>
              <w:left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提供设备维保及技术支持服务；包含硬件、操作系统等运维；系统故障检测及故障排除；操作系统性能分析；操作系统重部署及调试；包括日常配件更换、专业知识培训。</w:t>
            </w:r>
          </w:p>
          <w:p>
            <w:pPr>
              <w:widowControl/>
              <w:rPr>
                <w:rFonts w:ascii="仿宋" w:hAnsi="仿宋" w:eastAsia="仿宋" w:cs="仿宋"/>
                <w:kern w:val="0"/>
                <w:sz w:val="24"/>
              </w:rPr>
            </w:pPr>
            <w:r>
              <w:rPr>
                <w:rFonts w:hint="eastAsia" w:ascii="仿宋" w:hAnsi="仿宋" w:eastAsia="仿宋" w:cs="仿宋"/>
                <w:kern w:val="0"/>
                <w:sz w:val="24"/>
              </w:rPr>
              <w:t>主机健康检查，CPU、内存、磁盘使用情况等</w:t>
            </w:r>
          </w:p>
          <w:p>
            <w:pPr>
              <w:widowControl/>
              <w:rPr>
                <w:rFonts w:ascii="仿宋" w:hAnsi="仿宋" w:eastAsia="仿宋" w:cs="仿宋"/>
                <w:kern w:val="0"/>
                <w:sz w:val="24"/>
              </w:rPr>
            </w:pPr>
            <w:r>
              <w:rPr>
                <w:rFonts w:hint="eastAsia" w:ascii="仿宋" w:hAnsi="仿宋" w:eastAsia="仿宋" w:cs="仿宋"/>
                <w:kern w:val="0"/>
                <w:sz w:val="24"/>
              </w:rPr>
              <w:t>软件服务的运行状态</w:t>
            </w:r>
          </w:p>
          <w:p>
            <w:pPr>
              <w:widowControl/>
              <w:rPr>
                <w:rFonts w:ascii="仿宋" w:hAnsi="仿宋" w:eastAsia="仿宋" w:cs="仿宋"/>
                <w:kern w:val="0"/>
                <w:sz w:val="24"/>
              </w:rPr>
            </w:pPr>
            <w:r>
              <w:rPr>
                <w:rFonts w:hint="eastAsia" w:ascii="仿宋" w:hAnsi="仿宋" w:eastAsia="仿宋" w:cs="仿宋"/>
                <w:kern w:val="0"/>
                <w:sz w:val="24"/>
              </w:rPr>
              <w:t>日志检查</w:t>
            </w:r>
          </w:p>
          <w:p>
            <w:pPr>
              <w:widowControl/>
              <w:rPr>
                <w:rFonts w:ascii="仿宋" w:hAnsi="仿宋" w:eastAsia="仿宋" w:cs="仿宋"/>
                <w:kern w:val="0"/>
                <w:sz w:val="24"/>
              </w:rPr>
            </w:pPr>
            <w:r>
              <w:rPr>
                <w:rFonts w:hint="eastAsia" w:ascii="仿宋" w:hAnsi="仿宋" w:eastAsia="仿宋" w:cs="仿宋"/>
                <w:kern w:val="0"/>
                <w:sz w:val="24"/>
              </w:rPr>
              <w:t>软件数据库健康状态检查</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光纤交换机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博科</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BR6505</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核心存储管理</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 xml:space="preserve">NetApp </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FAS8200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光纤交换机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博科</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BR310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光纤交换机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3</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博科</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Brocade 300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存储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 xml:space="preserve">NetApp </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E2824</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存储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 xml:space="preserve">NetApp </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E5412</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存储盘柜</w:t>
            </w:r>
          </w:p>
        </w:tc>
        <w:tc>
          <w:tcPr>
            <w:tcW w:w="603"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 xml:space="preserve">NetApp </w:t>
            </w:r>
          </w:p>
        </w:tc>
        <w:tc>
          <w:tcPr>
            <w:tcW w:w="2196"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212C</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603"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848"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24"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196"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提供设备维保及技术支持服务；包含硬件、操作系统等运维；系统故障检测及故障排除；操作系统性能分析；操作系统重部署及调试；包括日常配件更换、专业知识培训。</w:t>
            </w:r>
          </w:p>
          <w:p>
            <w:pPr>
              <w:widowControl/>
              <w:rPr>
                <w:rFonts w:ascii="仿宋" w:hAnsi="仿宋" w:eastAsia="仿宋" w:cs="仿宋"/>
                <w:kern w:val="0"/>
                <w:sz w:val="24"/>
              </w:rPr>
            </w:pPr>
            <w:r>
              <w:rPr>
                <w:rFonts w:hint="eastAsia" w:ascii="仿宋" w:hAnsi="仿宋" w:eastAsia="仿宋" w:cs="仿宋"/>
                <w:kern w:val="0"/>
                <w:sz w:val="24"/>
              </w:rPr>
              <w:t>主机的物理状态检查，具体包括电源、风扇状态、LED状态灯检查等。</w:t>
            </w:r>
          </w:p>
          <w:p>
            <w:pPr>
              <w:widowControl/>
              <w:rPr>
                <w:rFonts w:ascii="仿宋" w:hAnsi="仿宋" w:eastAsia="仿宋" w:cs="仿宋"/>
                <w:kern w:val="0"/>
                <w:sz w:val="24"/>
              </w:rPr>
            </w:pPr>
            <w:r>
              <w:rPr>
                <w:rFonts w:hint="eastAsia" w:ascii="仿宋" w:hAnsi="仿宋" w:eastAsia="仿宋" w:cs="仿宋"/>
                <w:kern w:val="0"/>
                <w:sz w:val="24"/>
              </w:rPr>
              <w:t>适配卡状态（包括HBA卡、网卡等）：检查是否处于正常状态。</w:t>
            </w:r>
          </w:p>
          <w:p>
            <w:pPr>
              <w:widowControl/>
              <w:rPr>
                <w:rFonts w:ascii="仿宋" w:hAnsi="仿宋" w:eastAsia="仿宋" w:cs="仿宋"/>
                <w:kern w:val="0"/>
                <w:sz w:val="24"/>
              </w:rPr>
            </w:pPr>
            <w:r>
              <w:rPr>
                <w:rFonts w:hint="eastAsia" w:ascii="仿宋" w:hAnsi="仿宋" w:eastAsia="仿宋" w:cs="仿宋"/>
                <w:kern w:val="0"/>
                <w:sz w:val="24"/>
              </w:rPr>
              <w:t>内存状态：检查是否处于正常状态以及内存容量是否与机器原始配置相同。</w:t>
            </w:r>
          </w:p>
          <w:p>
            <w:pPr>
              <w:widowControl/>
              <w:rPr>
                <w:rFonts w:ascii="仿宋" w:hAnsi="仿宋" w:eastAsia="仿宋" w:cs="仿宋"/>
                <w:kern w:val="0"/>
                <w:sz w:val="24"/>
              </w:rPr>
            </w:pPr>
            <w:r>
              <w:rPr>
                <w:rFonts w:hint="eastAsia" w:ascii="仿宋" w:hAnsi="仿宋" w:eastAsia="仿宋" w:cs="仿宋"/>
                <w:kern w:val="0"/>
                <w:sz w:val="24"/>
              </w:rPr>
              <w:t>CPU状态：检查是否处于正常状态。</w:t>
            </w:r>
          </w:p>
          <w:p>
            <w:pPr>
              <w:widowControl/>
              <w:rPr>
                <w:rFonts w:ascii="仿宋" w:hAnsi="仿宋" w:eastAsia="仿宋" w:cs="仿宋"/>
                <w:kern w:val="0"/>
                <w:sz w:val="24"/>
              </w:rPr>
            </w:pPr>
            <w:r>
              <w:rPr>
                <w:rFonts w:hint="eastAsia" w:ascii="仿宋" w:hAnsi="仿宋" w:eastAsia="仿宋" w:cs="仿宋"/>
                <w:kern w:val="0"/>
                <w:sz w:val="24"/>
              </w:rPr>
              <w:t>检查系统内存使用和cpu使用的性能情况。</w:t>
            </w:r>
          </w:p>
          <w:p>
            <w:pPr>
              <w:widowControl/>
              <w:rPr>
                <w:rFonts w:ascii="仿宋" w:hAnsi="仿宋" w:eastAsia="仿宋" w:cs="仿宋"/>
                <w:kern w:val="0"/>
                <w:sz w:val="24"/>
              </w:rPr>
            </w:pPr>
            <w:r>
              <w:rPr>
                <w:rFonts w:hint="eastAsia" w:ascii="仿宋" w:hAnsi="仿宋" w:eastAsia="仿宋" w:cs="仿宋"/>
                <w:kern w:val="0"/>
                <w:sz w:val="24"/>
              </w:rPr>
              <w:t>硬盘状态：检查是否处于正常状态。</w:t>
            </w:r>
          </w:p>
          <w:p>
            <w:pPr>
              <w:widowControl/>
              <w:rPr>
                <w:rFonts w:ascii="仿宋" w:hAnsi="仿宋" w:eastAsia="仿宋" w:cs="仿宋"/>
                <w:kern w:val="0"/>
                <w:sz w:val="24"/>
              </w:rPr>
            </w:pPr>
            <w:r>
              <w:rPr>
                <w:rFonts w:hint="eastAsia" w:ascii="仿宋" w:hAnsi="仿宋" w:eastAsia="仿宋" w:cs="仿宋"/>
                <w:kern w:val="0"/>
                <w:sz w:val="24"/>
              </w:rPr>
              <w:t>检查如发现有隐患的部件将及时更换</w:t>
            </w:r>
          </w:p>
          <w:p>
            <w:pPr>
              <w:widowControl/>
              <w:rPr>
                <w:rFonts w:ascii="仿宋" w:hAnsi="仿宋" w:eastAsia="仿宋" w:cs="仿宋"/>
                <w:kern w:val="0"/>
                <w:sz w:val="24"/>
              </w:rPr>
            </w:pPr>
            <w:r>
              <w:rPr>
                <w:rFonts w:hint="eastAsia" w:ascii="仿宋" w:hAnsi="仿宋" w:eastAsia="仿宋" w:cs="仿宋"/>
                <w:kern w:val="0"/>
                <w:sz w:val="24"/>
              </w:rPr>
              <w:t>磁盘空间使用情况检查，要求已经使用空间在80%以下，并且至少有10GB以上的剩余空间。</w:t>
            </w:r>
          </w:p>
          <w:p>
            <w:pPr>
              <w:widowControl/>
              <w:rPr>
                <w:rFonts w:ascii="仿宋" w:hAnsi="仿宋" w:eastAsia="仿宋" w:cs="仿宋"/>
                <w:kern w:val="0"/>
                <w:sz w:val="24"/>
              </w:rPr>
            </w:pPr>
            <w:r>
              <w:rPr>
                <w:rFonts w:hint="eastAsia" w:ascii="仿宋" w:hAnsi="仿宋" w:eastAsia="仿宋" w:cs="仿宋"/>
                <w:kern w:val="0"/>
                <w:sz w:val="24"/>
              </w:rPr>
              <w:t>检查磁盘I/O的性能情况。</w:t>
            </w:r>
          </w:p>
          <w:p>
            <w:pPr>
              <w:widowControl/>
              <w:rPr>
                <w:rFonts w:ascii="仿宋" w:hAnsi="仿宋" w:eastAsia="仿宋" w:cs="仿宋"/>
                <w:kern w:val="0"/>
                <w:sz w:val="24"/>
              </w:rPr>
            </w:pPr>
            <w:r>
              <w:rPr>
                <w:rFonts w:hint="eastAsia" w:ascii="仿宋" w:hAnsi="仿宋" w:eastAsia="仿宋" w:cs="仿宋"/>
                <w:kern w:val="0"/>
                <w:sz w:val="24"/>
              </w:rPr>
              <w:t>光盘驱动器：装入一张光盘，检查光盘的内容是否正确。</w:t>
            </w:r>
          </w:p>
          <w:p>
            <w:pPr>
              <w:widowControl/>
              <w:rPr>
                <w:rFonts w:ascii="仿宋" w:hAnsi="仿宋" w:eastAsia="仿宋" w:cs="仿宋"/>
                <w:kern w:val="0"/>
                <w:sz w:val="24"/>
              </w:rPr>
            </w:pPr>
            <w:r>
              <w:rPr>
                <w:rFonts w:hint="eastAsia" w:ascii="仿宋" w:hAnsi="仿宋" w:eastAsia="仿宋" w:cs="仿宋"/>
                <w:kern w:val="0"/>
                <w:sz w:val="24"/>
              </w:rPr>
              <w:t>系统错误日志分析。</w:t>
            </w:r>
          </w:p>
          <w:p>
            <w:pPr>
              <w:widowControl/>
              <w:rPr>
                <w:rFonts w:ascii="仿宋" w:hAnsi="仿宋" w:eastAsia="仿宋" w:cs="仿宋"/>
                <w:kern w:val="0"/>
                <w:sz w:val="24"/>
              </w:rPr>
            </w:pPr>
            <w:r>
              <w:rPr>
                <w:rFonts w:hint="eastAsia" w:ascii="仿宋" w:hAnsi="仿宋" w:eastAsia="仿宋" w:cs="仿宋"/>
                <w:kern w:val="0"/>
                <w:sz w:val="24"/>
              </w:rPr>
              <w:t>操作系统补丁更新。</w:t>
            </w:r>
          </w:p>
          <w:p>
            <w:pPr>
              <w:widowControl/>
              <w:rPr>
                <w:rFonts w:ascii="仿宋" w:hAnsi="仿宋" w:eastAsia="仿宋" w:cs="仿宋"/>
                <w:kern w:val="0"/>
                <w:sz w:val="24"/>
              </w:rPr>
            </w:pPr>
            <w:r>
              <w:rPr>
                <w:rFonts w:hint="eastAsia" w:ascii="仿宋" w:hAnsi="仿宋" w:eastAsia="仿宋" w:cs="仿宋"/>
                <w:kern w:val="0"/>
                <w:sz w:val="24"/>
              </w:rPr>
              <w:t>操作系统防火墙是不是正常开启状态。</w:t>
            </w:r>
          </w:p>
          <w:p>
            <w:pPr>
              <w:widowControl/>
              <w:rPr>
                <w:rFonts w:ascii="仿宋" w:hAnsi="仿宋" w:eastAsia="仿宋" w:cs="仿宋"/>
                <w:kern w:val="0"/>
                <w:sz w:val="24"/>
              </w:rPr>
            </w:pPr>
            <w:r>
              <w:rPr>
                <w:rFonts w:hint="eastAsia" w:ascii="仿宋" w:hAnsi="仿宋" w:eastAsia="仿宋" w:cs="仿宋"/>
                <w:kern w:val="0"/>
                <w:sz w:val="24"/>
              </w:rPr>
              <w:t>远程登录是否正常。</w:t>
            </w:r>
          </w:p>
          <w:p>
            <w:pPr>
              <w:widowControl/>
              <w:rPr>
                <w:rFonts w:ascii="仿宋" w:hAnsi="仿宋" w:eastAsia="仿宋" w:cs="仿宋"/>
                <w:kern w:val="0"/>
                <w:sz w:val="24"/>
              </w:rPr>
            </w:pPr>
            <w:r>
              <w:rPr>
                <w:rFonts w:hint="eastAsia" w:ascii="仿宋" w:hAnsi="仿宋" w:eastAsia="仿宋" w:cs="仿宋"/>
                <w:kern w:val="0"/>
                <w:sz w:val="24"/>
              </w:rPr>
              <w:t>对设备进行清洁等例行工作。</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电子病历服务器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浪潮</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NF5270M4</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OA服务器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3</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浪潮</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NF8480M5</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3</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虚拟化服务器185</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虚拟化服务器183</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X3850 X6</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HIS RAC</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3</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联想</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SR860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动环系统服务器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安之源</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DESK-A-510</w:t>
            </w: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核心交换机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S7506E-V</w:t>
            </w:r>
          </w:p>
        </w:tc>
        <w:tc>
          <w:tcPr>
            <w:tcW w:w="2867"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 xml:space="preserve">设备硬件日常维护；设备故障检测及故障排除、处理；网络系统重部署及调试； </w:t>
            </w:r>
          </w:p>
          <w:p>
            <w:pPr>
              <w:widowControl/>
              <w:rPr>
                <w:rFonts w:ascii="仿宋" w:hAnsi="仿宋" w:eastAsia="仿宋" w:cs="仿宋"/>
                <w:kern w:val="0"/>
                <w:sz w:val="24"/>
              </w:rPr>
            </w:pPr>
            <w:r>
              <w:rPr>
                <w:rFonts w:hint="eastAsia" w:ascii="仿宋" w:hAnsi="仿宋" w:eastAsia="仿宋" w:cs="仿宋"/>
                <w:kern w:val="0"/>
                <w:sz w:val="24"/>
              </w:rPr>
              <w:t>物理状态检查，具体包括电源、风扇状态、LED状态灯检查等。查看链路聚合组的情况</w:t>
            </w:r>
          </w:p>
          <w:p>
            <w:pPr>
              <w:widowControl/>
              <w:rPr>
                <w:rFonts w:ascii="仿宋" w:hAnsi="仿宋" w:eastAsia="仿宋" w:cs="仿宋"/>
                <w:kern w:val="0"/>
                <w:sz w:val="24"/>
              </w:rPr>
            </w:pPr>
            <w:r>
              <w:rPr>
                <w:rFonts w:hint="eastAsia" w:ascii="仿宋" w:hAnsi="仿宋" w:eastAsia="仿宋" w:cs="仿宋"/>
                <w:kern w:val="0"/>
                <w:sz w:val="24"/>
              </w:rPr>
              <w:t>对设备进行清洁等例行工作。</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核心交换机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S5500V2</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核心交换机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3</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S5800 series</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华为</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S1700-24GR</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MSR 30-11F</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S5130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汇聚交换机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S5560 series</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云接入网关</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MSR3610</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汇聚交换机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S7506E-S</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外网交换机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S5120 series</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交换机</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H3C</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S5500 series</w:t>
            </w: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数字签名验证服务器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数字认证</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DSVS 500</w:t>
            </w:r>
          </w:p>
        </w:tc>
        <w:tc>
          <w:tcPr>
            <w:tcW w:w="2867"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提供设备维保及技术支持服务；包含硬件、操作系统等运维；系统故障检测及故障排除；操作系统性能分析；操作系统重部署及调试；包括日常配件更换、专业知识培训。</w:t>
            </w:r>
          </w:p>
          <w:p>
            <w:pPr>
              <w:widowControl/>
              <w:rPr>
                <w:rFonts w:ascii="仿宋" w:hAnsi="仿宋" w:eastAsia="仿宋" w:cs="仿宋"/>
                <w:kern w:val="0"/>
                <w:sz w:val="24"/>
              </w:rPr>
            </w:pPr>
            <w:r>
              <w:rPr>
                <w:rFonts w:hint="eastAsia" w:ascii="仿宋" w:hAnsi="仿宋" w:eastAsia="仿宋" w:cs="仿宋"/>
                <w:kern w:val="0"/>
                <w:sz w:val="24"/>
              </w:rPr>
              <w:t>主机的物理状态检查，具体包括电源、风扇状态、LED状态灯检查等。</w:t>
            </w:r>
          </w:p>
          <w:p>
            <w:pPr>
              <w:widowControl/>
              <w:rPr>
                <w:rFonts w:ascii="仿宋" w:hAnsi="仿宋" w:eastAsia="仿宋" w:cs="仿宋"/>
                <w:kern w:val="0"/>
                <w:sz w:val="24"/>
              </w:rPr>
            </w:pPr>
            <w:r>
              <w:rPr>
                <w:rFonts w:hint="eastAsia" w:ascii="仿宋" w:hAnsi="仿宋" w:eastAsia="仿宋" w:cs="仿宋"/>
                <w:kern w:val="0"/>
                <w:sz w:val="24"/>
              </w:rPr>
              <w:t>适配卡状态（包括HBA卡、网卡等）：检查是否处于正常状态。</w:t>
            </w:r>
          </w:p>
          <w:p>
            <w:pPr>
              <w:widowControl/>
              <w:rPr>
                <w:rFonts w:ascii="仿宋" w:hAnsi="仿宋" w:eastAsia="仿宋" w:cs="仿宋"/>
                <w:kern w:val="0"/>
                <w:sz w:val="24"/>
              </w:rPr>
            </w:pPr>
            <w:r>
              <w:rPr>
                <w:rFonts w:hint="eastAsia" w:ascii="仿宋" w:hAnsi="仿宋" w:eastAsia="仿宋" w:cs="仿宋"/>
                <w:kern w:val="0"/>
                <w:sz w:val="24"/>
              </w:rPr>
              <w:t>内存状态：检查是否处于正常状态以及内存容量是否与机器原始配置相同。</w:t>
            </w:r>
          </w:p>
          <w:p>
            <w:pPr>
              <w:widowControl/>
              <w:rPr>
                <w:rFonts w:ascii="仿宋" w:hAnsi="仿宋" w:eastAsia="仿宋" w:cs="仿宋"/>
                <w:kern w:val="0"/>
                <w:sz w:val="24"/>
              </w:rPr>
            </w:pPr>
            <w:r>
              <w:rPr>
                <w:rFonts w:hint="eastAsia" w:ascii="仿宋" w:hAnsi="仿宋" w:eastAsia="仿宋" w:cs="仿宋"/>
                <w:kern w:val="0"/>
                <w:sz w:val="24"/>
              </w:rPr>
              <w:t>CPU状态：检查是否处于正常状态。</w:t>
            </w:r>
          </w:p>
          <w:p>
            <w:pPr>
              <w:widowControl/>
              <w:rPr>
                <w:rFonts w:ascii="仿宋" w:hAnsi="仿宋" w:eastAsia="仿宋" w:cs="仿宋"/>
                <w:kern w:val="0"/>
                <w:sz w:val="24"/>
              </w:rPr>
            </w:pPr>
            <w:r>
              <w:rPr>
                <w:rFonts w:hint="eastAsia" w:ascii="仿宋" w:hAnsi="仿宋" w:eastAsia="仿宋" w:cs="仿宋"/>
                <w:kern w:val="0"/>
                <w:sz w:val="24"/>
              </w:rPr>
              <w:t>检查系统内存使用和cpu使用的性能情况。</w:t>
            </w:r>
          </w:p>
          <w:p>
            <w:pPr>
              <w:widowControl/>
              <w:rPr>
                <w:rFonts w:ascii="仿宋" w:hAnsi="仿宋" w:eastAsia="仿宋" w:cs="仿宋"/>
                <w:kern w:val="0"/>
                <w:sz w:val="24"/>
              </w:rPr>
            </w:pPr>
            <w:r>
              <w:rPr>
                <w:rFonts w:hint="eastAsia" w:ascii="仿宋" w:hAnsi="仿宋" w:eastAsia="仿宋" w:cs="仿宋"/>
                <w:kern w:val="0"/>
                <w:sz w:val="24"/>
              </w:rPr>
              <w:t>硬盘状态：检查是否处于正常状态。</w:t>
            </w:r>
          </w:p>
          <w:p>
            <w:pPr>
              <w:widowControl/>
              <w:rPr>
                <w:rFonts w:ascii="仿宋" w:hAnsi="仿宋" w:eastAsia="仿宋" w:cs="仿宋"/>
                <w:kern w:val="0"/>
                <w:sz w:val="24"/>
              </w:rPr>
            </w:pPr>
            <w:r>
              <w:rPr>
                <w:rFonts w:hint="eastAsia" w:ascii="仿宋" w:hAnsi="仿宋" w:eastAsia="仿宋" w:cs="仿宋"/>
                <w:kern w:val="0"/>
                <w:sz w:val="24"/>
              </w:rPr>
              <w:t>检查如发现有隐患的部件将及时更换</w:t>
            </w:r>
          </w:p>
          <w:p>
            <w:pPr>
              <w:widowControl/>
              <w:rPr>
                <w:rFonts w:ascii="仿宋" w:hAnsi="仿宋" w:eastAsia="仿宋" w:cs="仿宋"/>
                <w:kern w:val="0"/>
                <w:sz w:val="24"/>
              </w:rPr>
            </w:pPr>
            <w:r>
              <w:rPr>
                <w:rFonts w:hint="eastAsia" w:ascii="仿宋" w:hAnsi="仿宋" w:eastAsia="仿宋" w:cs="仿宋"/>
                <w:kern w:val="0"/>
                <w:sz w:val="24"/>
              </w:rPr>
              <w:t>磁盘空间使用情况检查，要求已经使用空间在80%以下，并且至少有10GB以上的剩余空间。</w:t>
            </w:r>
          </w:p>
          <w:p>
            <w:pPr>
              <w:widowControl/>
              <w:rPr>
                <w:rFonts w:ascii="仿宋" w:hAnsi="仿宋" w:eastAsia="仿宋" w:cs="仿宋"/>
                <w:kern w:val="0"/>
                <w:sz w:val="24"/>
              </w:rPr>
            </w:pPr>
            <w:r>
              <w:rPr>
                <w:rFonts w:hint="eastAsia" w:ascii="仿宋" w:hAnsi="仿宋" w:eastAsia="仿宋" w:cs="仿宋"/>
                <w:kern w:val="0"/>
                <w:sz w:val="24"/>
              </w:rPr>
              <w:t>检查磁盘I/O的性能情况。</w:t>
            </w:r>
          </w:p>
          <w:p>
            <w:pPr>
              <w:widowControl/>
              <w:rPr>
                <w:rFonts w:ascii="仿宋" w:hAnsi="仿宋" w:eastAsia="仿宋" w:cs="仿宋"/>
                <w:kern w:val="0"/>
                <w:sz w:val="24"/>
              </w:rPr>
            </w:pPr>
            <w:r>
              <w:rPr>
                <w:rFonts w:hint="eastAsia" w:ascii="仿宋" w:hAnsi="仿宋" w:eastAsia="仿宋" w:cs="仿宋"/>
                <w:kern w:val="0"/>
                <w:sz w:val="24"/>
              </w:rPr>
              <w:t>光盘驱动器：装入一张光盘，检查光盘的内容是否正确。</w:t>
            </w:r>
          </w:p>
          <w:p>
            <w:pPr>
              <w:widowControl/>
              <w:rPr>
                <w:rFonts w:ascii="仿宋" w:hAnsi="仿宋" w:eastAsia="仿宋" w:cs="仿宋"/>
                <w:kern w:val="0"/>
                <w:sz w:val="24"/>
              </w:rPr>
            </w:pPr>
            <w:r>
              <w:rPr>
                <w:rFonts w:hint="eastAsia" w:ascii="仿宋" w:hAnsi="仿宋" w:eastAsia="仿宋" w:cs="仿宋"/>
                <w:kern w:val="0"/>
                <w:sz w:val="24"/>
              </w:rPr>
              <w:t>系统错误日志分析。</w:t>
            </w:r>
          </w:p>
          <w:p>
            <w:pPr>
              <w:widowControl/>
              <w:rPr>
                <w:rFonts w:ascii="仿宋" w:hAnsi="仿宋" w:eastAsia="仿宋" w:cs="仿宋"/>
                <w:kern w:val="0"/>
                <w:sz w:val="24"/>
              </w:rPr>
            </w:pPr>
            <w:r>
              <w:rPr>
                <w:rFonts w:hint="eastAsia" w:ascii="仿宋" w:hAnsi="仿宋" w:eastAsia="仿宋" w:cs="仿宋"/>
                <w:kern w:val="0"/>
                <w:sz w:val="24"/>
              </w:rPr>
              <w:t>操作系统补丁更新。</w:t>
            </w:r>
          </w:p>
          <w:p>
            <w:pPr>
              <w:widowControl/>
              <w:rPr>
                <w:rFonts w:ascii="仿宋" w:hAnsi="仿宋" w:eastAsia="仿宋" w:cs="仿宋"/>
                <w:kern w:val="0"/>
                <w:sz w:val="24"/>
              </w:rPr>
            </w:pPr>
            <w:r>
              <w:rPr>
                <w:rFonts w:hint="eastAsia" w:ascii="仿宋" w:hAnsi="仿宋" w:eastAsia="仿宋" w:cs="仿宋"/>
                <w:kern w:val="0"/>
                <w:sz w:val="24"/>
              </w:rPr>
              <w:t>操作系统防火墙是不是正常开启状态。</w:t>
            </w:r>
          </w:p>
          <w:p>
            <w:pPr>
              <w:widowControl/>
              <w:rPr>
                <w:rFonts w:ascii="仿宋" w:hAnsi="仿宋" w:eastAsia="仿宋" w:cs="仿宋"/>
                <w:kern w:val="0"/>
                <w:sz w:val="24"/>
              </w:rPr>
            </w:pPr>
            <w:r>
              <w:rPr>
                <w:rFonts w:hint="eastAsia" w:ascii="仿宋" w:hAnsi="仿宋" w:eastAsia="仿宋" w:cs="仿宋"/>
                <w:kern w:val="0"/>
                <w:sz w:val="24"/>
              </w:rPr>
              <w:t>远程登录是否正常。</w:t>
            </w:r>
          </w:p>
          <w:p>
            <w:pPr>
              <w:widowControl/>
              <w:rPr>
                <w:rFonts w:ascii="仿宋" w:hAnsi="仿宋" w:eastAsia="仿宋" w:cs="仿宋"/>
                <w:kern w:val="0"/>
                <w:sz w:val="24"/>
              </w:rPr>
            </w:pPr>
            <w:r>
              <w:rPr>
                <w:rFonts w:hint="eastAsia" w:ascii="仿宋" w:hAnsi="仿宋" w:eastAsia="仿宋" w:cs="仿宋"/>
                <w:kern w:val="0"/>
                <w:sz w:val="24"/>
              </w:rPr>
              <w:t>对设备进行清洁等例行工作。</w:t>
            </w:r>
          </w:p>
          <w:p>
            <w:pPr>
              <w:widowControl/>
              <w:rPr>
                <w:rFonts w:ascii="仿宋" w:hAnsi="仿宋" w:eastAsia="仿宋" w:cs="仿宋"/>
                <w:kern w:val="0"/>
                <w:sz w:val="24"/>
              </w:rPr>
            </w:pPr>
            <w:r>
              <w:rPr>
                <w:rFonts w:hint="eastAsia" w:ascii="仿宋" w:hAnsi="仿宋" w:eastAsia="仿宋" w:cs="仿宋"/>
                <w:kern w:val="0"/>
                <w:sz w:val="24"/>
              </w:rPr>
              <w:t>提供数字认证制造商的服务函。</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时间戳服务器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数字认证</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TSS500-8GC</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手写信息数字签名服务器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数字认证</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SRT1402-AnySign 3050-H</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证书管理服务器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数字认证</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CSS500-H</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协同签名服务器</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数字认证</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COSS2000</w:t>
            </w: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UPS机头</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日常故障排查、处理，根据实际情况进行电池核对性容量测试；进行电池组充放电维护及调整充电电流，确保电池组正常工作；检查输出波形、谐波含量、零地电压；查清各参数是否配置正确；定期进行UPS功能测试，如UPS同市电的切换试验。</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电池</w:t>
            </w:r>
          </w:p>
        </w:tc>
        <w:tc>
          <w:tcPr>
            <w:tcW w:w="603"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w:t>
            </w:r>
          </w:p>
        </w:tc>
        <w:tc>
          <w:tcPr>
            <w:tcW w:w="1324"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p>
        </w:tc>
        <w:tc>
          <w:tcPr>
            <w:tcW w:w="2196" w:type="dxa"/>
            <w:vMerge w:val="restart"/>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603"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848"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24"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1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电池</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配电柜</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精密空调</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KHJA-P30AD</w:t>
            </w:r>
          </w:p>
        </w:tc>
        <w:tc>
          <w:tcPr>
            <w:tcW w:w="2867"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提供设备维保及技术支持服务；包含硬件运维；系统故障检测及故障排除；日常配件更换。</w:t>
            </w:r>
          </w:p>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提供设备维保及技术支持服务；包含硬件运维；系统故障检测及故障排除；日常配件更换。</w:t>
            </w:r>
          </w:p>
          <w:p>
            <w:pPr>
              <w:widowControl/>
              <w:rPr>
                <w:rFonts w:ascii="仿宋" w:hAnsi="仿宋" w:eastAsia="仿宋" w:cs="仿宋"/>
                <w:kern w:val="0"/>
                <w:sz w:val="24"/>
              </w:rPr>
            </w:pPr>
            <w:r>
              <w:rPr>
                <w:rFonts w:hint="eastAsia" w:ascii="仿宋" w:hAnsi="仿宋" w:eastAsia="仿宋" w:cs="仿宋"/>
                <w:kern w:val="0"/>
                <w:sz w:val="24"/>
              </w:rPr>
              <w:t>日常故障排查、处理，检查空调运行是否正常，换风设备运转是否正常。观察制冷剂液面，看是否缺少制冷剂。检查空调压缩机高、低压保护开关、干燥过滤器及其他附件。 </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精密空调</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KHJA-P30AD</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精密空调</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KHJA-P30AD</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精密空调</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桂城科技</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Libert.PEX2</w:t>
            </w:r>
          </w:p>
        </w:tc>
        <w:tc>
          <w:tcPr>
            <w:tcW w:w="2867" w:type="dxa"/>
            <w:vMerge w:val="continue"/>
            <w:tcBorders>
              <w:left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新风系统</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天方</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RH-08D</w:t>
            </w:r>
          </w:p>
        </w:tc>
        <w:tc>
          <w:tcPr>
            <w:tcW w:w="2867"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配电柜</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个</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HS2000</w:t>
            </w:r>
          </w:p>
        </w:tc>
        <w:tc>
          <w:tcPr>
            <w:tcW w:w="2867"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日常故障排查、处理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UPS</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科华</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MR33120</w:t>
            </w:r>
          </w:p>
        </w:tc>
        <w:tc>
          <w:tcPr>
            <w:tcW w:w="2867"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提供设备维保及技术支持服务；包含硬件运维；系统故障检测及故障排除；日常配件更换。</w:t>
            </w:r>
          </w:p>
          <w:p>
            <w:pPr>
              <w:widowControl/>
              <w:rPr>
                <w:rFonts w:ascii="仿宋" w:hAnsi="仿宋" w:eastAsia="仿宋" w:cs="仿宋"/>
                <w:kern w:val="0"/>
                <w:sz w:val="24"/>
              </w:rPr>
            </w:pPr>
            <w:r>
              <w:rPr>
                <w:rFonts w:hint="eastAsia" w:ascii="仿宋" w:hAnsi="仿宋" w:eastAsia="仿宋" w:cs="仿宋"/>
                <w:kern w:val="0"/>
                <w:sz w:val="24"/>
              </w:rPr>
              <w:t>日常故障排查、处理，根据实际情况进行电池核对性容量测试；进行电池组充放电维护及调整充电电流，确保电池组正常工作；检查输出波形、谐波含量、零地电压；查清各参数是否配置正确；定期进行UPS功能测试，如UPS同市电的切换试验。</w:t>
            </w:r>
          </w:p>
          <w:p>
            <w:pPr>
              <w:widowControl/>
              <w:rPr>
                <w:rFonts w:ascii="仿宋" w:hAnsi="仿宋" w:eastAsia="仿宋" w:cs="仿宋"/>
                <w:kern w:val="0"/>
                <w:sz w:val="24"/>
              </w:rPr>
            </w:pPr>
            <w:r>
              <w:rPr>
                <w:rFonts w:hint="eastAsia" w:ascii="仿宋" w:hAnsi="仿宋" w:eastAsia="仿宋" w:cs="仿宋"/>
                <w:kern w:val="0"/>
                <w:sz w:val="24"/>
              </w:rPr>
              <w:t>提供UPS制造商的服务函。</w:t>
            </w:r>
          </w:p>
          <w:p>
            <w:pPr>
              <w:widowControl/>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柜式灭火</w:t>
            </w:r>
          </w:p>
        </w:tc>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4</w:t>
            </w:r>
          </w:p>
        </w:tc>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个</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新竹</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GQQ120/2.5</w:t>
            </w:r>
          </w:p>
        </w:tc>
        <w:tc>
          <w:tcPr>
            <w:tcW w:w="2867"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日常故障排查、处理，检查灭火剂压力、手动报警按钮、火灾警报装置外观及试验报警功能；检查火灾警报控制器的自检、消音、复位功能及主备用电源切换功能。</w:t>
            </w:r>
          </w:p>
        </w:tc>
      </w:tr>
    </w:tbl>
    <w:p>
      <w:pPr>
        <w:rPr>
          <w:rFonts w:ascii="宋体" w:hAnsi="宋体" w:cs="宋体"/>
          <w:szCs w:val="21"/>
        </w:rPr>
      </w:pPr>
    </w:p>
    <w:p>
      <w:pPr>
        <w:ind w:firstLine="560" w:firstLineChars="200"/>
        <w:rPr>
          <w:color w:val="0000FF"/>
        </w:rPr>
      </w:pPr>
      <w:r>
        <w:rPr>
          <w:rFonts w:hint="eastAsia" w:ascii="仿宋" w:hAnsi="仿宋" w:eastAsia="仿宋" w:cs="仿宋"/>
          <w:color w:val="0000FF"/>
          <w:sz w:val="28"/>
          <w:szCs w:val="32"/>
        </w:rPr>
        <w:t>注：供应商需提供数字认证、UPS制造厂商维保服务函，未提供按无效文件处理。</w:t>
      </w:r>
    </w:p>
    <w:p>
      <w:pPr>
        <w:rPr>
          <w:rFonts w:ascii="宋体" w:hAnsi="宋体" w:cs="宋体"/>
          <w:szCs w:val="21"/>
        </w:rPr>
      </w:pP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449" w:name="_Toc385992401"/>
      <w:bookmarkStart w:id="450" w:name="_Toc31008"/>
      <w:bookmarkStart w:id="451" w:name="_Toc415499899"/>
      <w:bookmarkStart w:id="452" w:name="_Toc389620241"/>
      <w:r>
        <w:rPr>
          <w:rFonts w:hint="eastAsia" w:ascii="仿宋" w:hAnsi="仿宋" w:eastAsia="仿宋" w:cs="仿宋"/>
          <w:b/>
          <w:kern w:val="0"/>
          <w:sz w:val="32"/>
          <w:szCs w:val="32"/>
        </w:rPr>
        <w:t xml:space="preserve">第五章  </w:t>
      </w:r>
      <w:bookmarkStart w:id="453" w:name="_Toc58504670"/>
      <w:bookmarkStart w:id="454" w:name="_Toc58504449"/>
      <w:r>
        <w:rPr>
          <w:rFonts w:hint="eastAsia" w:ascii="仿宋" w:hAnsi="仿宋" w:eastAsia="仿宋" w:cs="仿宋"/>
          <w:b/>
          <w:kern w:val="0"/>
          <w:sz w:val="32"/>
          <w:szCs w:val="32"/>
        </w:rPr>
        <w:t>谈判响应文件格式</w:t>
      </w:r>
      <w:bookmarkEnd w:id="449"/>
      <w:bookmarkEnd w:id="450"/>
      <w:bookmarkEnd w:id="451"/>
      <w:bookmarkEnd w:id="452"/>
      <w:bookmarkEnd w:id="453"/>
      <w:bookmarkEnd w:id="454"/>
    </w:p>
    <w:p>
      <w:pPr>
        <w:pStyle w:val="2"/>
        <w:rPr>
          <w:rFonts w:ascii="仿宋" w:hAnsi="仿宋" w:eastAsia="仿宋" w:cs="仿宋"/>
          <w:b/>
          <w:kern w:val="0"/>
          <w:sz w:val="30"/>
          <w:szCs w:val="30"/>
        </w:rPr>
      </w:pPr>
      <w:r>
        <w:rPr>
          <w:rFonts w:hint="eastAsia" w:ascii="仿宋" w:hAnsi="仿宋" w:eastAsia="仿宋" w:cs="仿宋"/>
        </w:rPr>
        <w:br w:type="page"/>
      </w:r>
    </w:p>
    <w:p>
      <w:pPr>
        <w:rPr>
          <w:rFonts w:ascii="仿宋" w:hAnsi="仿宋" w:eastAsia="仿宋" w:cs="仿宋"/>
        </w:rPr>
      </w:pPr>
    </w:p>
    <w:p>
      <w:pPr>
        <w:autoSpaceDE w:val="0"/>
        <w:autoSpaceDN w:val="0"/>
        <w:adjustRightInd w:val="0"/>
        <w:snapToGrid w:val="0"/>
        <w:spacing w:line="360" w:lineRule="auto"/>
        <w:jc w:val="right"/>
        <w:outlineLvl w:val="0"/>
        <w:rPr>
          <w:rFonts w:ascii="仿宋" w:hAnsi="仿宋" w:eastAsia="仿宋" w:cs="仿宋"/>
          <w:b/>
          <w:bCs/>
          <w:sz w:val="32"/>
          <w:szCs w:val="32"/>
          <w:lang w:val="zh-CN"/>
        </w:rPr>
      </w:pPr>
      <w:r>
        <w:rPr>
          <w:rFonts w:hint="eastAsia" w:ascii="仿宋" w:hAnsi="仿宋" w:eastAsia="仿宋" w:cs="仿宋"/>
          <w:b/>
          <w:bCs/>
          <w:sz w:val="32"/>
          <w:szCs w:val="32"/>
          <w:lang w:val="zh-CN"/>
        </w:rPr>
        <w:t>正本/副本</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采购项目编号：SCZK2022-JT-0036/018</w:t>
      </w: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autoSpaceDE w:val="0"/>
        <w:autoSpaceDN w:val="0"/>
        <w:adjustRightInd w:val="0"/>
        <w:snapToGrid w:val="0"/>
        <w:spacing w:line="360" w:lineRule="auto"/>
        <w:jc w:val="center"/>
        <w:outlineLvl w:val="1"/>
        <w:rPr>
          <w:rFonts w:ascii="仿宋" w:hAnsi="仿宋" w:eastAsia="仿宋" w:cs="仿宋"/>
          <w:b/>
          <w:bCs/>
          <w:sz w:val="44"/>
          <w:szCs w:val="44"/>
        </w:rPr>
      </w:pPr>
      <w:r>
        <w:rPr>
          <w:rFonts w:hint="eastAsia" w:ascii="仿宋" w:hAnsi="仿宋" w:eastAsia="仿宋" w:cs="仿宋"/>
          <w:b/>
          <w:bCs/>
          <w:sz w:val="44"/>
          <w:szCs w:val="44"/>
        </w:rPr>
        <w:t>神木市医院双活中心维保采购项目</w:t>
      </w:r>
    </w:p>
    <w:p>
      <w:pPr>
        <w:tabs>
          <w:tab w:val="left" w:pos="5670"/>
        </w:tabs>
        <w:autoSpaceDE w:val="0"/>
        <w:autoSpaceDN w:val="0"/>
        <w:adjustRightInd w:val="0"/>
        <w:snapToGrid w:val="0"/>
        <w:spacing w:line="360" w:lineRule="auto"/>
        <w:jc w:val="center"/>
        <w:rPr>
          <w:rFonts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outlineLvl w:val="1"/>
        <w:rPr>
          <w:rFonts w:ascii="仿宋" w:hAnsi="仿宋" w:eastAsia="仿宋" w:cs="仿宋"/>
          <w:b/>
          <w:bCs/>
          <w:sz w:val="52"/>
          <w:szCs w:val="52"/>
          <w:lang w:val="zh-CN"/>
        </w:rPr>
      </w:pPr>
      <w:r>
        <w:rPr>
          <w:rFonts w:hint="eastAsia" w:ascii="仿宋" w:hAnsi="仿宋" w:eastAsia="仿宋" w:cs="仿宋"/>
          <w:b/>
          <w:bCs/>
          <w:sz w:val="52"/>
          <w:szCs w:val="52"/>
          <w:lang w:val="zh-CN"/>
        </w:rPr>
        <w:t>谈判响应文件</w:t>
      </w:r>
    </w:p>
    <w:p>
      <w:pPr>
        <w:autoSpaceDE w:val="0"/>
        <w:autoSpaceDN w:val="0"/>
        <w:adjustRightInd w:val="0"/>
        <w:snapToGrid w:val="0"/>
        <w:spacing w:line="360" w:lineRule="auto"/>
        <w:rPr>
          <w:rFonts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ascii="仿宋" w:hAnsi="仿宋" w:eastAsia="仿宋" w:cs="仿宋"/>
          <w:b/>
          <w:bCs/>
          <w:sz w:val="32"/>
          <w:szCs w:val="32"/>
          <w:lang w:val="zh-CN"/>
        </w:rPr>
      </w:pPr>
    </w:p>
    <w:p>
      <w:pPr>
        <w:autoSpaceDE w:val="0"/>
        <w:autoSpaceDN w:val="0"/>
        <w:adjustRightInd w:val="0"/>
        <w:snapToGrid w:val="0"/>
        <w:spacing w:line="360" w:lineRule="auto"/>
        <w:outlineLvl w:val="0"/>
        <w:rPr>
          <w:rFonts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ascii="仿宋" w:hAnsi="仿宋" w:eastAsia="仿宋" w:cs="仿宋"/>
          <w:sz w:val="30"/>
          <w:szCs w:val="30"/>
        </w:rPr>
      </w:pPr>
    </w:p>
    <w:p>
      <w:pPr>
        <w:autoSpaceDE w:val="0"/>
        <w:autoSpaceDN w:val="0"/>
        <w:adjustRightInd w:val="0"/>
        <w:snapToGrid w:val="0"/>
        <w:spacing w:line="360" w:lineRule="auto"/>
        <w:outlineLvl w:val="0"/>
        <w:rPr>
          <w:rFonts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ascii="仿宋" w:hAnsi="仿宋" w:eastAsia="仿宋" w:cs="仿宋"/>
          <w:b/>
          <w:bCs/>
          <w:sz w:val="32"/>
          <w:szCs w:val="32"/>
        </w:rPr>
      </w:pPr>
    </w:p>
    <w:p>
      <w:pPr>
        <w:autoSpaceDE w:val="0"/>
        <w:autoSpaceDN w:val="0"/>
        <w:adjustRightInd w:val="0"/>
        <w:snapToGrid w:val="0"/>
        <w:spacing w:line="360" w:lineRule="auto"/>
        <w:ind w:firstLine="964" w:firstLineChars="300"/>
        <w:outlineLvl w:val="0"/>
        <w:rPr>
          <w:rFonts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spacing w:after="120"/>
        <w:rPr>
          <w:rFonts w:ascii="仿宋" w:hAnsi="仿宋" w:eastAsia="仿宋" w:cs="仿宋"/>
        </w:rPr>
      </w:pPr>
      <w:r>
        <w:rPr>
          <w:rFonts w:hint="eastAsia" w:ascii="仿宋" w:hAnsi="仿宋" w:eastAsia="仿宋" w:cs="仿宋"/>
        </w:rPr>
        <w:br w:type="page"/>
      </w:r>
    </w:p>
    <w:p>
      <w:pPr>
        <w:widowControl/>
        <w:jc w:val="left"/>
        <w:rPr>
          <w:rFonts w:ascii="仿宋" w:hAnsi="仿宋" w:eastAsia="仿宋" w:cs="仿宋"/>
          <w:b/>
          <w:bCs/>
          <w:sz w:val="32"/>
          <w:szCs w:val="32"/>
        </w:rPr>
      </w:pPr>
    </w:p>
    <w:p>
      <w:pPr>
        <w:pStyle w:val="4"/>
        <w:jc w:val="center"/>
        <w:rPr>
          <w:rFonts w:ascii="仿宋" w:hAnsi="仿宋" w:eastAsia="仿宋" w:cs="仿宋"/>
          <w:b/>
          <w:bCs/>
        </w:rPr>
      </w:pPr>
      <w:r>
        <w:rPr>
          <w:rFonts w:hint="eastAsia" w:ascii="仿宋" w:hAnsi="仿宋" w:eastAsia="仿宋" w:cs="仿宋"/>
          <w:b/>
          <w:bCs/>
        </w:rPr>
        <w:t>目  录</w:t>
      </w:r>
    </w:p>
    <w:p>
      <w:pPr>
        <w:pStyle w:val="2"/>
        <w:rPr>
          <w:rFonts w:ascii="仿宋" w:hAnsi="仿宋" w:eastAsia="仿宋" w:cs="仿宋"/>
        </w:rPr>
      </w:pPr>
    </w:p>
    <w:p>
      <w:pPr>
        <w:pStyle w:val="2"/>
        <w:ind w:firstLine="480" w:firstLineChars="200"/>
        <w:rPr>
          <w:rFonts w:ascii="仿宋" w:hAnsi="仿宋" w:eastAsia="仿宋" w:cs="仿宋"/>
          <w:sz w:val="24"/>
        </w:rPr>
      </w:pPr>
      <w:r>
        <w:rPr>
          <w:rFonts w:hint="eastAsia" w:ascii="仿宋" w:hAnsi="仿宋" w:eastAsia="仿宋" w:cs="仿宋"/>
          <w:sz w:val="24"/>
        </w:rPr>
        <w:t>第一部分  谈判响应函</w:t>
      </w:r>
    </w:p>
    <w:p>
      <w:pPr>
        <w:pStyle w:val="2"/>
        <w:ind w:firstLine="480" w:firstLineChars="200"/>
        <w:rPr>
          <w:rFonts w:ascii="仿宋" w:hAnsi="仿宋" w:eastAsia="仿宋" w:cs="仿宋"/>
          <w:sz w:val="24"/>
        </w:rPr>
      </w:pPr>
      <w:r>
        <w:rPr>
          <w:rFonts w:hint="eastAsia" w:ascii="仿宋" w:hAnsi="仿宋" w:eastAsia="仿宋" w:cs="仿宋"/>
          <w:sz w:val="24"/>
        </w:rPr>
        <w:t xml:space="preserve">第二部分  谈判响应报价表 </w:t>
      </w:r>
    </w:p>
    <w:p>
      <w:pPr>
        <w:pStyle w:val="2"/>
        <w:ind w:firstLine="480" w:firstLineChars="200"/>
        <w:rPr>
          <w:rFonts w:ascii="仿宋" w:hAnsi="仿宋" w:eastAsia="仿宋" w:cs="仿宋"/>
          <w:sz w:val="24"/>
        </w:rPr>
      </w:pPr>
      <w:r>
        <w:rPr>
          <w:rFonts w:hint="eastAsia" w:ascii="仿宋" w:hAnsi="仿宋" w:eastAsia="仿宋" w:cs="仿宋"/>
          <w:sz w:val="24"/>
        </w:rPr>
        <w:t>第三部分  偏离表</w:t>
      </w:r>
    </w:p>
    <w:p>
      <w:pPr>
        <w:pStyle w:val="2"/>
        <w:ind w:firstLine="480" w:firstLineChars="200"/>
        <w:rPr>
          <w:rFonts w:ascii="仿宋" w:hAnsi="仿宋" w:eastAsia="仿宋" w:cs="仿宋"/>
          <w:sz w:val="24"/>
        </w:rPr>
      </w:pPr>
      <w:r>
        <w:rPr>
          <w:rFonts w:hint="eastAsia" w:ascii="仿宋" w:hAnsi="仿宋" w:eastAsia="仿宋" w:cs="仿宋"/>
          <w:sz w:val="24"/>
        </w:rPr>
        <w:t>第四部分  响应方案说明</w:t>
      </w:r>
    </w:p>
    <w:p>
      <w:pPr>
        <w:pStyle w:val="2"/>
        <w:ind w:firstLine="480" w:firstLineChars="200"/>
        <w:rPr>
          <w:rFonts w:ascii="仿宋" w:hAnsi="仿宋" w:eastAsia="仿宋" w:cs="仿宋"/>
          <w:sz w:val="24"/>
        </w:rPr>
      </w:pPr>
      <w:r>
        <w:rPr>
          <w:rFonts w:hint="eastAsia" w:ascii="仿宋" w:hAnsi="仿宋" w:eastAsia="仿宋" w:cs="仿宋"/>
          <w:sz w:val="24"/>
        </w:rPr>
        <w:t>第五部分  身份证明文件</w:t>
      </w:r>
    </w:p>
    <w:p>
      <w:pPr>
        <w:pStyle w:val="2"/>
        <w:ind w:firstLine="480" w:firstLineChars="200"/>
        <w:rPr>
          <w:rFonts w:ascii="仿宋" w:hAnsi="仿宋" w:eastAsia="仿宋" w:cs="仿宋"/>
          <w:sz w:val="24"/>
        </w:rPr>
      </w:pPr>
      <w:r>
        <w:rPr>
          <w:rFonts w:hint="eastAsia" w:ascii="仿宋" w:hAnsi="仿宋" w:eastAsia="仿宋" w:cs="仿宋"/>
          <w:sz w:val="24"/>
        </w:rPr>
        <w:t>第六部分  资格证明文件</w:t>
      </w:r>
    </w:p>
    <w:p>
      <w:pPr>
        <w:pStyle w:val="2"/>
        <w:ind w:firstLine="480" w:firstLineChars="200"/>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ascii="仿宋" w:hAnsi="仿宋" w:eastAsia="仿宋" w:cs="仿宋"/>
        </w:rPr>
      </w:pPr>
      <w:r>
        <w:rPr>
          <w:rFonts w:hint="eastAsia" w:ascii="仿宋" w:hAnsi="仿宋" w:eastAsia="仿宋" w:cs="仿宋"/>
        </w:rPr>
        <w:br w:type="page"/>
      </w:r>
    </w:p>
    <w:p>
      <w:pPr>
        <w:pStyle w:val="4"/>
        <w:jc w:val="center"/>
        <w:rPr>
          <w:rFonts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谈判响应函</w:t>
      </w:r>
    </w:p>
    <w:p>
      <w:pPr>
        <w:autoSpaceDE w:val="0"/>
        <w:autoSpaceDN w:val="0"/>
        <w:adjustRightInd w:val="0"/>
        <w:snapToGrid w:val="0"/>
        <w:spacing w:line="312" w:lineRule="auto"/>
        <w:rPr>
          <w:rFonts w:ascii="仿宋" w:hAnsi="仿宋" w:eastAsia="仿宋" w:cs="仿宋"/>
          <w:b/>
          <w:bCs/>
          <w:sz w:val="24"/>
          <w:lang w:val="zh-CN"/>
        </w:rPr>
      </w:pPr>
    </w:p>
    <w:p>
      <w:pPr>
        <w:autoSpaceDE w:val="0"/>
        <w:autoSpaceDN w:val="0"/>
        <w:adjustRightInd w:val="0"/>
        <w:snapToGrid w:val="0"/>
        <w:spacing w:line="312" w:lineRule="auto"/>
        <w:rPr>
          <w:rFonts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 xml:space="preserve">   （项目名称    ）</w:t>
      </w:r>
      <w:r>
        <w:rPr>
          <w:rFonts w:hint="eastAsia" w:ascii="仿宋" w:hAnsi="仿宋" w:eastAsia="仿宋" w:cs="仿宋"/>
          <w:sz w:val="24"/>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、按竞争性谈判文件的规定，我公司的首次谈判响应报价为人民币（大写）：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元），并对其后的谈判报价负法律责任。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五、如果我方在谈判有效期内撤回响应文件，则响应保证金将被贵方不予退还。</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七、我方的响应文件有效期为自谈判之日起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（2）我方承诺按照谈判文件规定向你方递交履约保证金。作为履行合同的担保。</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
        <w:rPr>
          <w:rFonts w:ascii="仿宋" w:hAnsi="仿宋" w:eastAsia="仿宋" w:cs="仿宋"/>
        </w:rPr>
      </w:pPr>
    </w:p>
    <w:p>
      <w:pPr>
        <w:autoSpaceDE w:val="0"/>
        <w:autoSpaceDN w:val="0"/>
        <w:adjustRightInd w:val="0"/>
        <w:snapToGrid w:val="0"/>
        <w:spacing w:line="312" w:lineRule="auto"/>
        <w:rPr>
          <w:rFonts w:ascii="仿宋" w:hAnsi="仿宋" w:eastAsia="仿宋" w:cs="仿宋"/>
          <w:sz w:val="24"/>
          <w:lang w:val="zh-CN"/>
        </w:rPr>
      </w:pPr>
      <w:r>
        <w:rPr>
          <w:rFonts w:hint="eastAsia" w:ascii="仿宋" w:hAnsi="仿宋" w:eastAsia="仿宋" w:cs="仿宋"/>
          <w:sz w:val="24"/>
          <w:lang w:val="zh-CN"/>
        </w:rPr>
        <w:t>供应商全称（公章）：</w:t>
      </w:r>
    </w:p>
    <w:p>
      <w:pPr>
        <w:pStyle w:val="2"/>
        <w:rPr>
          <w:rFonts w:ascii="仿宋" w:hAnsi="仿宋" w:eastAsia="仿宋" w:cs="仿宋"/>
          <w:lang w:val="zh-CN"/>
        </w:rPr>
      </w:pP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法定代表人或授权代表（签字）：</w:t>
      </w:r>
      <w:r>
        <w:rPr>
          <w:rFonts w:hint="eastAsia" w:ascii="仿宋" w:hAnsi="仿宋" w:eastAsia="仿宋" w:cs="仿宋"/>
          <w:sz w:val="24"/>
        </w:rPr>
        <w:t>______________________________</w:t>
      </w:r>
    </w:p>
    <w:p>
      <w:pPr>
        <w:pStyle w:val="2"/>
        <w:rPr>
          <w:rFonts w:ascii="仿宋" w:hAnsi="仿宋" w:eastAsia="仿宋" w:cs="仿宋"/>
        </w:rPr>
      </w:pPr>
      <w:r>
        <w:rPr>
          <w:rFonts w:hint="eastAsia" w:ascii="仿宋" w:hAnsi="仿宋" w:eastAsia="仿宋" w:cs="仿宋"/>
          <w:sz w:val="24"/>
        </w:rPr>
        <w:t xml:space="preserve">                 _____</w:t>
      </w:r>
      <w:r>
        <w:rPr>
          <w:rFonts w:hint="eastAsia" w:ascii="仿宋" w:hAnsi="仿宋" w:eastAsia="仿宋" w:cs="仿宋"/>
          <w:sz w:val="24"/>
          <w:lang w:val="zh-CN"/>
        </w:rPr>
        <w:t>年</w:t>
      </w:r>
      <w:r>
        <w:rPr>
          <w:rFonts w:hint="eastAsia" w:ascii="仿宋" w:hAnsi="仿宋" w:eastAsia="仿宋" w:cs="仿宋"/>
          <w:sz w:val="24"/>
        </w:rPr>
        <w:t>_____</w:t>
      </w:r>
      <w:r>
        <w:rPr>
          <w:rFonts w:hint="eastAsia" w:ascii="仿宋" w:hAnsi="仿宋" w:eastAsia="仿宋" w:cs="仿宋"/>
          <w:sz w:val="24"/>
          <w:lang w:val="zh-CN"/>
        </w:rPr>
        <w:t>月</w:t>
      </w:r>
      <w:r>
        <w:rPr>
          <w:rFonts w:hint="eastAsia" w:ascii="仿宋" w:hAnsi="仿宋" w:eastAsia="仿宋" w:cs="仿宋"/>
          <w:sz w:val="24"/>
        </w:rPr>
        <w:t>_____</w:t>
      </w:r>
      <w:r>
        <w:rPr>
          <w:rFonts w:hint="eastAsia" w:ascii="仿宋" w:hAnsi="仿宋" w:eastAsia="仿宋" w:cs="仿宋"/>
          <w:sz w:val="24"/>
          <w:lang w:val="zh-CN"/>
        </w:rPr>
        <w:t>日</w:t>
      </w:r>
    </w:p>
    <w:p>
      <w:pPr>
        <w:pStyle w:val="4"/>
        <w:jc w:val="center"/>
        <w:rPr>
          <w:rFonts w:ascii="仿宋" w:hAnsi="仿宋" w:eastAsia="仿宋" w:cs="仿宋"/>
          <w:b/>
          <w:bCs/>
        </w:rPr>
      </w:pPr>
      <w:bookmarkStart w:id="455" w:name="_Hlt520356241"/>
      <w:bookmarkEnd w:id="455"/>
      <w:r>
        <w:rPr>
          <w:rFonts w:hint="eastAsia" w:ascii="仿宋" w:hAnsi="仿宋" w:eastAsia="仿宋" w:cs="仿宋"/>
          <w:sz w:val="24"/>
        </w:rPr>
        <w:br w:type="page"/>
      </w:r>
      <w:bookmarkStart w:id="456" w:name="_Toc232176284"/>
      <w:bookmarkStart w:id="457" w:name="_Toc230583554"/>
      <w:bookmarkStart w:id="458" w:name="_Toc230013640"/>
      <w:bookmarkStart w:id="459" w:name="_Toc8496"/>
      <w:bookmarkStart w:id="460" w:name="_Toc415499901"/>
      <w:bookmarkStart w:id="461" w:name="_Toc256342154"/>
      <w:bookmarkStart w:id="462" w:name="_Toc249515371"/>
      <w:bookmarkStart w:id="463" w:name="_Toc230099805"/>
      <w:bookmarkStart w:id="464" w:name="_Toc232395224"/>
      <w:bookmarkStart w:id="465" w:name="_Toc249525252"/>
      <w:r>
        <w:rPr>
          <w:rFonts w:hint="eastAsia" w:ascii="仿宋" w:hAnsi="仿宋" w:eastAsia="仿宋" w:cs="仿宋"/>
          <w:b/>
          <w:bCs/>
          <w:lang w:val="zh-CN"/>
        </w:rPr>
        <w:t>第二部分</w:t>
      </w:r>
      <w:r>
        <w:rPr>
          <w:rFonts w:hint="eastAsia" w:ascii="仿宋" w:hAnsi="仿宋" w:eastAsia="仿宋" w:cs="仿宋"/>
          <w:b/>
          <w:bCs/>
        </w:rPr>
        <w:t xml:space="preserve">  谈判响应报价表 </w:t>
      </w:r>
    </w:p>
    <w:p>
      <w:pPr>
        <w:pStyle w:val="2"/>
        <w:rPr>
          <w:rFonts w:ascii="仿宋" w:hAnsi="仿宋" w:eastAsia="仿宋" w:cs="仿宋"/>
        </w:rPr>
      </w:pPr>
    </w:p>
    <w:p>
      <w:pPr>
        <w:autoSpaceDE w:val="0"/>
        <w:autoSpaceDN w:val="0"/>
        <w:adjustRightInd w:val="0"/>
        <w:snapToGrid w:val="0"/>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pPr>
              <w:ind w:left="189" w:leftChars="90" w:firstLine="1"/>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ind w:left="189" w:leftChars="90" w:firstLine="1"/>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响应总价</w:t>
            </w:r>
          </w:p>
        </w:tc>
        <w:tc>
          <w:tcPr>
            <w:tcW w:w="6981" w:type="dxa"/>
            <w:vAlign w:val="center"/>
          </w:tcPr>
          <w:p>
            <w:pPr>
              <w:ind w:left="189" w:leftChars="90" w:firstLine="1"/>
              <w:rPr>
                <w:rFonts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服务期</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服务地点</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ascii="仿宋" w:hAnsi="仿宋" w:eastAsia="仿宋" w:cs="仿宋"/>
                <w:b/>
                <w:sz w:val="24"/>
              </w:rPr>
            </w:pPr>
            <w:r>
              <w:rPr>
                <w:rFonts w:hint="eastAsia" w:ascii="仿宋" w:hAnsi="仿宋" w:eastAsia="仿宋" w:cs="仿宋"/>
                <w:b/>
                <w:sz w:val="24"/>
              </w:rPr>
              <w:t>备注</w:t>
            </w:r>
          </w:p>
        </w:tc>
        <w:tc>
          <w:tcPr>
            <w:tcW w:w="6981" w:type="dxa"/>
            <w:vAlign w:val="center"/>
          </w:tcPr>
          <w:p>
            <w:pPr>
              <w:rPr>
                <w:rFonts w:ascii="仿宋" w:hAnsi="仿宋" w:eastAsia="仿宋" w:cs="仿宋"/>
                <w:sz w:val="24"/>
              </w:rPr>
            </w:pPr>
          </w:p>
        </w:tc>
      </w:tr>
    </w:tbl>
    <w:p>
      <w:pPr>
        <w:autoSpaceDE w:val="0"/>
        <w:autoSpaceDN w:val="0"/>
        <w:adjustRightInd w:val="0"/>
        <w:snapToGrid w:val="0"/>
        <w:spacing w:line="360" w:lineRule="auto"/>
        <w:jc w:val="right"/>
        <w:rPr>
          <w:rFonts w:ascii="仿宋" w:hAnsi="仿宋" w:eastAsia="仿宋" w:cs="仿宋"/>
          <w:sz w:val="24"/>
        </w:rPr>
      </w:pPr>
    </w:p>
    <w:p>
      <w:pPr>
        <w:autoSpaceDE w:val="0"/>
        <w:autoSpaceDN w:val="0"/>
        <w:adjustRightInd w:val="0"/>
        <w:snapToGrid w:val="0"/>
        <w:spacing w:line="360" w:lineRule="auto"/>
        <w:rPr>
          <w:rFonts w:ascii="仿宋" w:hAnsi="仿宋" w:eastAsia="仿宋" w:cs="仿宋"/>
          <w:b/>
          <w:bCs/>
          <w:sz w:val="24"/>
        </w:rPr>
      </w:pPr>
    </w:p>
    <w:p>
      <w:pPr>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b/>
          <w:bCs/>
          <w:sz w:val="24"/>
        </w:rPr>
        <w:t xml:space="preserve">                                                 </w:t>
      </w:r>
    </w:p>
    <w:p>
      <w:pPr>
        <w:autoSpaceDE w:val="0"/>
        <w:autoSpaceDN w:val="0"/>
        <w:adjustRightInd w:val="0"/>
        <w:snapToGrid w:val="0"/>
        <w:spacing w:line="360" w:lineRule="auto"/>
        <w:ind w:firstLine="1080" w:firstLineChars="450"/>
        <w:rPr>
          <w:rFonts w:ascii="仿宋" w:hAnsi="仿宋" w:eastAsia="仿宋" w:cs="仿宋"/>
          <w:sz w:val="24"/>
          <w:lang w:val="zh-CN"/>
        </w:rPr>
      </w:pPr>
      <w:r>
        <w:rPr>
          <w:rFonts w:hint="eastAsia" w:ascii="仿宋" w:hAnsi="仿宋" w:eastAsia="仿宋" w:cs="仿宋"/>
          <w:sz w:val="24"/>
          <w:lang w:val="zh-CN"/>
        </w:rPr>
        <w:t>供应商</w:t>
      </w:r>
      <w:r>
        <w:rPr>
          <w:rFonts w:hint="eastAsia" w:ascii="仿宋" w:hAnsi="仿宋" w:eastAsia="仿宋" w:cs="仿宋"/>
          <w:sz w:val="24"/>
        </w:rPr>
        <w:t xml:space="preserve">                        </w:t>
      </w:r>
      <w:r>
        <w:rPr>
          <w:rFonts w:hint="eastAsia" w:ascii="仿宋" w:hAnsi="仿宋" w:eastAsia="仿宋" w:cs="仿宋"/>
          <w:sz w:val="24"/>
          <w:lang w:val="zh-CN"/>
        </w:rPr>
        <w:t>法定代表人</w:t>
      </w:r>
      <w:r>
        <w:rPr>
          <w:rFonts w:hint="eastAsia" w:ascii="仿宋" w:hAnsi="仿宋" w:eastAsia="仿宋" w:cs="仿宋"/>
          <w:sz w:val="24"/>
        </w:rPr>
        <w:t>或</w:t>
      </w:r>
      <w:r>
        <w:rPr>
          <w:rFonts w:hint="eastAsia" w:ascii="仿宋" w:hAnsi="仿宋" w:eastAsia="仿宋" w:cs="仿宋"/>
          <w:sz w:val="24"/>
          <w:lang w:val="zh-CN"/>
        </w:rPr>
        <w:t>授权代表</w:t>
      </w:r>
    </w:p>
    <w:p>
      <w:pPr>
        <w:autoSpaceDE w:val="0"/>
        <w:autoSpaceDN w:val="0"/>
        <w:adjustRightInd w:val="0"/>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（公章）：                            （签字）：</w:t>
      </w: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ind w:firstLine="240" w:firstLineChars="1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2"/>
        <w:rPr>
          <w:rFonts w:ascii="仿宋" w:hAnsi="仿宋" w:eastAsia="仿宋" w:cs="仿宋"/>
          <w:lang w:val="zh-CN"/>
        </w:rPr>
      </w:pPr>
      <w:r>
        <w:rPr>
          <w:rFonts w:hint="eastAsia" w:ascii="仿宋" w:hAnsi="仿宋" w:eastAsia="仿宋" w:cs="仿宋"/>
          <w:lang w:val="zh-CN"/>
        </w:rPr>
        <w:br w:type="page"/>
      </w:r>
    </w:p>
    <w:p>
      <w:pPr>
        <w:autoSpaceDE w:val="0"/>
        <w:autoSpaceDN w:val="0"/>
        <w:adjustRightInd w:val="0"/>
        <w:snapToGrid w:val="0"/>
        <w:spacing w:line="360" w:lineRule="auto"/>
        <w:ind w:firstLine="240" w:firstLineChars="100"/>
        <w:rPr>
          <w:rFonts w:ascii="仿宋" w:hAnsi="仿宋" w:eastAsia="仿宋" w:cs="仿宋"/>
          <w:sz w:val="24"/>
          <w:lang w:val="zh-CN"/>
        </w:rPr>
      </w:pPr>
    </w:p>
    <w:p>
      <w:pPr>
        <w:keepNext/>
        <w:keepLines/>
        <w:autoSpaceDE w:val="0"/>
        <w:autoSpaceDN w:val="0"/>
        <w:adjustRightInd w:val="0"/>
        <w:spacing w:line="360" w:lineRule="auto"/>
        <w:jc w:val="center"/>
        <w:outlineLvl w:val="2"/>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（首次）分项报价表</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142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名  称</w:t>
            </w:r>
          </w:p>
        </w:tc>
        <w:tc>
          <w:tcPr>
            <w:tcW w:w="1188"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型号</w:t>
            </w:r>
          </w:p>
        </w:tc>
        <w:tc>
          <w:tcPr>
            <w:tcW w:w="1560"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制造</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厂家</w:t>
            </w:r>
          </w:p>
        </w:tc>
        <w:tc>
          <w:tcPr>
            <w:tcW w:w="992"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127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单价（元）</w:t>
            </w:r>
          </w:p>
        </w:tc>
        <w:tc>
          <w:tcPr>
            <w:tcW w:w="1134"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小计（元）</w:t>
            </w:r>
          </w:p>
        </w:tc>
        <w:tc>
          <w:tcPr>
            <w:tcW w:w="70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bl>
    <w:p>
      <w:pPr>
        <w:autoSpaceDE w:val="0"/>
        <w:autoSpaceDN w:val="0"/>
        <w:adjustRightInd w:val="0"/>
        <w:snapToGrid w:val="0"/>
        <w:spacing w:before="120" w:line="360" w:lineRule="auto"/>
        <w:ind w:left="-206" w:leftChars="-98"/>
        <w:jc w:val="left"/>
        <w:rPr>
          <w:rFonts w:ascii="仿宋" w:hAnsi="仿宋" w:eastAsia="仿宋" w:cs="仿宋"/>
          <w:kern w:val="0"/>
          <w:sz w:val="24"/>
          <w:szCs w:val="28"/>
        </w:rPr>
      </w:pPr>
    </w:p>
    <w:p>
      <w:pPr>
        <w:adjustRightInd w:val="0"/>
        <w:snapToGrid w:val="0"/>
        <w:spacing w:line="360" w:lineRule="auto"/>
        <w:ind w:firstLine="120" w:firstLineChars="50"/>
        <w:rPr>
          <w:rFonts w:ascii="仿宋" w:hAnsi="仿宋" w:eastAsia="仿宋" w:cs="仿宋"/>
          <w:sz w:val="24"/>
        </w:rPr>
      </w:pPr>
      <w:r>
        <w:rPr>
          <w:rFonts w:hint="eastAsia" w:ascii="仿宋" w:hAnsi="仿宋" w:eastAsia="仿宋" w:cs="仿宋"/>
          <w:sz w:val="24"/>
        </w:rPr>
        <w:t>投标人                         法定代表人或授权代表</w:t>
      </w:r>
    </w:p>
    <w:p>
      <w:pPr>
        <w:adjustRightInd w:val="0"/>
        <w:snapToGrid w:val="0"/>
        <w:spacing w:line="360" w:lineRule="auto"/>
        <w:ind w:left="-525" w:leftChars="-250" w:firstLine="720" w:firstLineChars="300"/>
        <w:rPr>
          <w:rFonts w:ascii="仿宋" w:hAnsi="仿宋" w:eastAsia="仿宋" w:cs="仿宋"/>
          <w:sz w:val="24"/>
        </w:rPr>
      </w:pPr>
      <w:r>
        <w:rPr>
          <w:rFonts w:hint="eastAsia" w:ascii="仿宋" w:hAnsi="仿宋" w:eastAsia="仿宋" w:cs="仿宋"/>
          <w:sz w:val="24"/>
        </w:rPr>
        <w:t>（公章）：                          （签字）：</w:t>
      </w:r>
    </w:p>
    <w:p>
      <w:pPr>
        <w:adjustRightInd w:val="0"/>
        <w:snapToGrid w:val="0"/>
        <w:spacing w:line="360" w:lineRule="auto"/>
        <w:jc w:val="center"/>
        <w:rPr>
          <w:rFonts w:ascii="仿宋" w:hAnsi="仿宋" w:eastAsia="仿宋" w:cs="仿宋"/>
          <w:b/>
          <w:sz w:val="42"/>
        </w:rPr>
      </w:pPr>
    </w:p>
    <w:p>
      <w:pPr>
        <w:rPr>
          <w:rFonts w:ascii="仿宋" w:hAnsi="仿宋" w:eastAsia="仿宋" w:cs="仿宋"/>
          <w:b/>
          <w:sz w:val="32"/>
          <w:szCs w:val="32"/>
        </w:rPr>
      </w:pPr>
      <w:r>
        <w:rPr>
          <w:rFonts w:hint="eastAsia" w:ascii="仿宋" w:hAnsi="仿宋" w:eastAsia="仿宋" w:cs="仿宋"/>
          <w:b/>
          <w:sz w:val="32"/>
          <w:szCs w:val="32"/>
        </w:rPr>
        <w:br w:type="page"/>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6"/>
    <w:bookmarkEnd w:id="457"/>
    <w:bookmarkEnd w:id="458"/>
    <w:bookmarkEnd w:id="459"/>
    <w:bookmarkEnd w:id="460"/>
    <w:bookmarkEnd w:id="461"/>
    <w:bookmarkEnd w:id="462"/>
    <w:bookmarkEnd w:id="463"/>
    <w:bookmarkEnd w:id="464"/>
    <w:bookmarkEnd w:id="465"/>
    <w:p>
      <w:pPr>
        <w:pStyle w:val="4"/>
        <w:jc w:val="center"/>
        <w:rPr>
          <w:rFonts w:ascii="仿宋" w:hAnsi="仿宋" w:eastAsia="仿宋" w:cs="仿宋"/>
        </w:rPr>
      </w:pPr>
      <w:bookmarkStart w:id="466" w:name="_Toc500747234"/>
      <w:bookmarkStart w:id="467" w:name="_Toc184043059"/>
      <w:bookmarkStart w:id="468" w:name="_Toc500747011"/>
      <w:bookmarkStart w:id="469" w:name="_Toc53722866"/>
      <w:bookmarkStart w:id="470" w:name="_Toc230099806"/>
      <w:bookmarkStart w:id="471" w:name="_Toc499711929"/>
      <w:bookmarkStart w:id="472" w:name="_Toc500747107"/>
      <w:bookmarkStart w:id="473" w:name="_Toc249525253"/>
      <w:bookmarkStart w:id="474" w:name="_Toc256342155"/>
      <w:bookmarkStart w:id="475" w:name="_Toc415499902"/>
      <w:bookmarkStart w:id="476" w:name="_Toc503063459"/>
      <w:bookmarkStart w:id="477" w:name="_Toc389620242"/>
      <w:bookmarkStart w:id="478" w:name="_Toc230013641"/>
      <w:bookmarkStart w:id="479" w:name="_Toc177189246"/>
      <w:bookmarkStart w:id="480" w:name="_Toc232395225"/>
      <w:bookmarkStart w:id="481" w:name="_Toc492955460"/>
      <w:bookmarkStart w:id="482" w:name="_Toc70687203"/>
      <w:bookmarkStart w:id="483" w:name="_Toc225933091"/>
      <w:bookmarkStart w:id="484" w:name="_Toc496324624"/>
      <w:bookmarkStart w:id="485" w:name="_Toc230583555"/>
      <w:bookmarkStart w:id="486" w:name="_Toc176882553"/>
      <w:bookmarkStart w:id="487" w:name="_Toc499711088"/>
      <w:bookmarkStart w:id="488" w:name="_Toc385992402"/>
      <w:bookmarkStart w:id="489" w:name="_Toc232176285"/>
      <w:bookmarkStart w:id="490" w:name="_Toc249515372"/>
      <w:bookmarkStart w:id="491" w:name="_Toc83547687"/>
      <w:bookmarkStart w:id="492" w:name="_Toc177995484"/>
      <w:bookmarkStart w:id="493" w:name="_Toc177817345"/>
      <w:r>
        <w:rPr>
          <w:rFonts w:hint="eastAsia" w:ascii="仿宋" w:hAnsi="仿宋" w:eastAsia="仿宋" w:cs="仿宋"/>
          <w:b/>
          <w:bCs/>
        </w:rPr>
        <w:t>第三部分  偏离表</w:t>
      </w:r>
    </w:p>
    <w:p>
      <w:pPr>
        <w:pStyle w:val="5"/>
        <w:jc w:val="center"/>
        <w:rPr>
          <w:rFonts w:ascii="仿宋" w:hAnsi="仿宋" w:eastAsia="仿宋" w:cs="仿宋"/>
          <w:b/>
          <w:bCs/>
          <w:sz w:val="28"/>
          <w:szCs w:val="28"/>
        </w:rPr>
      </w:pPr>
      <w:r>
        <w:rPr>
          <w:rFonts w:hint="eastAsia" w:ascii="仿宋" w:hAnsi="仿宋" w:eastAsia="仿宋" w:cs="仿宋"/>
          <w:b/>
          <w:bCs/>
          <w:sz w:val="28"/>
          <w:szCs w:val="28"/>
        </w:rPr>
        <w:t>一、商务、合同条款偏离表</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8"/>
        <w:ind w:right="560"/>
        <w:rPr>
          <w:rFonts w:ascii="仿宋" w:hAnsi="仿宋" w:eastAsia="仿宋" w:cs="仿宋"/>
          <w:sz w:val="24"/>
          <w:szCs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83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谈判文件商务、合同条款</w:t>
            </w:r>
          </w:p>
        </w:tc>
        <w:tc>
          <w:tcPr>
            <w:tcW w:w="1701"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完全响应</w:t>
            </w:r>
          </w:p>
        </w:tc>
        <w:tc>
          <w:tcPr>
            <w:tcW w:w="1417"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有偏离</w:t>
            </w:r>
          </w:p>
        </w:tc>
        <w:tc>
          <w:tcPr>
            <w:tcW w:w="219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ascii="仿宋" w:hAnsi="仿宋" w:eastAsia="仿宋" w:cs="仿宋"/>
                <w:sz w:val="24"/>
                <w:szCs w:val="24"/>
              </w:rPr>
            </w:pPr>
          </w:p>
        </w:tc>
        <w:tc>
          <w:tcPr>
            <w:tcW w:w="2835" w:type="dxa"/>
          </w:tcPr>
          <w:p>
            <w:pPr>
              <w:pStyle w:val="28"/>
              <w:jc w:val="center"/>
              <w:rPr>
                <w:rFonts w:ascii="仿宋" w:hAnsi="仿宋" w:eastAsia="仿宋" w:cs="仿宋"/>
                <w:sz w:val="24"/>
                <w:szCs w:val="24"/>
              </w:rPr>
            </w:pPr>
            <w:r>
              <w:rPr>
                <w:rFonts w:hint="eastAsia" w:ascii="仿宋" w:hAnsi="仿宋" w:eastAsia="仿宋" w:cs="仿宋"/>
                <w:sz w:val="24"/>
                <w:szCs w:val="24"/>
              </w:rPr>
              <w:t>(服务地点)</w:t>
            </w:r>
          </w:p>
        </w:tc>
        <w:tc>
          <w:tcPr>
            <w:tcW w:w="1701" w:type="dxa"/>
          </w:tcPr>
          <w:p>
            <w:pPr>
              <w:pStyle w:val="28"/>
              <w:jc w:val="center"/>
              <w:rPr>
                <w:rFonts w:ascii="仿宋" w:hAnsi="仿宋" w:eastAsia="仿宋" w:cs="仿宋"/>
                <w:sz w:val="24"/>
                <w:szCs w:val="24"/>
              </w:rPr>
            </w:pPr>
          </w:p>
        </w:tc>
        <w:tc>
          <w:tcPr>
            <w:tcW w:w="1417" w:type="dxa"/>
          </w:tcPr>
          <w:p>
            <w:pPr>
              <w:pStyle w:val="28"/>
              <w:jc w:val="center"/>
              <w:rPr>
                <w:rFonts w:ascii="仿宋" w:hAnsi="仿宋" w:eastAsia="仿宋" w:cs="仿宋"/>
                <w:sz w:val="24"/>
                <w:szCs w:val="24"/>
              </w:rPr>
            </w:pPr>
          </w:p>
        </w:tc>
        <w:tc>
          <w:tcPr>
            <w:tcW w:w="2195" w:type="dxa"/>
          </w:tcPr>
          <w:p>
            <w:pPr>
              <w:pStyle w:val="28"/>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w:t>
            </w:r>
            <w:r>
              <w:rPr>
                <w:rFonts w:hint="eastAsia" w:ascii="仿宋" w:hAnsi="仿宋" w:eastAsia="仿宋" w:cs="仿宋"/>
                <w:sz w:val="24"/>
              </w:rPr>
              <w:t>服务</w:t>
            </w:r>
            <w:r>
              <w:rPr>
                <w:rFonts w:hint="eastAsia" w:ascii="仿宋" w:hAnsi="仿宋" w:eastAsia="仿宋" w:cs="仿宋"/>
                <w:bCs/>
                <w:sz w:val="24"/>
              </w:rPr>
              <w:t>期)</w:t>
            </w:r>
          </w:p>
        </w:tc>
        <w:tc>
          <w:tcPr>
            <w:tcW w:w="1701" w:type="dxa"/>
          </w:tcPr>
          <w:p>
            <w:pPr>
              <w:pStyle w:val="28"/>
              <w:ind w:left="1080" w:leftChars="257" w:hanging="540"/>
              <w:jc w:val="center"/>
              <w:rPr>
                <w:rFonts w:ascii="仿宋" w:hAnsi="仿宋" w:eastAsia="仿宋" w:cs="仿宋"/>
                <w:sz w:val="24"/>
                <w:szCs w:val="24"/>
              </w:rPr>
            </w:pPr>
          </w:p>
        </w:tc>
        <w:tc>
          <w:tcPr>
            <w:tcW w:w="1417" w:type="dxa"/>
          </w:tcPr>
          <w:p>
            <w:pPr>
              <w:pStyle w:val="28"/>
              <w:ind w:left="1080" w:leftChars="257" w:hanging="540"/>
              <w:jc w:val="center"/>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(付款方式)</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质保金</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(质保期)</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sz w:val="24"/>
              </w:rPr>
              <w:t>….</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bl>
    <w:p>
      <w:pPr>
        <w:pStyle w:val="28"/>
        <w:ind w:left="1080" w:leftChars="257" w:hanging="540"/>
        <w:rPr>
          <w:rFonts w:ascii="仿宋" w:hAnsi="仿宋" w:eastAsia="仿宋" w:cs="仿宋"/>
          <w:sz w:val="24"/>
          <w:szCs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320" w:firstLineChars="18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after="120" w:afterLines="50"/>
        <w:ind w:left="910" w:leftChars="203" w:hanging="484" w:hangingChars="202"/>
        <w:rPr>
          <w:rFonts w:ascii="仿宋" w:hAnsi="仿宋" w:eastAsia="仿宋" w:cs="仿宋"/>
        </w:rPr>
      </w:pPr>
      <w:r>
        <w:rPr>
          <w:rFonts w:hint="eastAsia" w:ascii="仿宋" w:hAnsi="仿宋" w:eastAsia="仿宋" w:cs="仿宋"/>
          <w:sz w:val="24"/>
        </w:rPr>
        <w:t>注：</w:t>
      </w:r>
      <w:r>
        <w:rPr>
          <w:rFonts w:hint="eastAsia" w:ascii="仿宋" w:hAnsi="仿宋" w:eastAsia="仿宋" w:cs="仿宋"/>
        </w:rPr>
        <w:tab/>
      </w:r>
      <w:r>
        <w:rPr>
          <w:rFonts w:hint="eastAsia" w:ascii="仿宋" w:hAnsi="仿宋" w:eastAsia="仿宋" w:cs="仿宋"/>
        </w:rPr>
        <w:t>1、对完全响应的，在下表相应列中标注“○”。对有偏离的条目在本表相应列中标注“正偏离”或“负偏离”，并在“偏离简述”栏中加以说明。</w:t>
      </w:r>
    </w:p>
    <w:p>
      <w:pPr>
        <w:snapToGrid w:val="0"/>
        <w:spacing w:after="120" w:afterLines="50"/>
        <w:ind w:left="842" w:leftChars="401"/>
        <w:rPr>
          <w:rFonts w:ascii="仿宋" w:hAnsi="仿宋" w:eastAsia="仿宋" w:cs="仿宋"/>
        </w:rPr>
      </w:pPr>
      <w:r>
        <w:rPr>
          <w:rFonts w:hint="eastAsia" w:ascii="仿宋" w:hAnsi="仿宋" w:eastAsia="仿宋" w:cs="仿宋"/>
        </w:rPr>
        <w:t>2、正偏离是指应答的条件高于谈判文件要求，负偏离是指应答的条件低于谈判文件要求，正偏离项目不作扣分处理。</w:t>
      </w:r>
    </w:p>
    <w:p>
      <w:pPr>
        <w:snapToGrid w:val="0"/>
        <w:spacing w:after="120" w:afterLines="50"/>
        <w:ind w:left="842" w:leftChars="401"/>
        <w:rPr>
          <w:rFonts w:ascii="仿宋" w:hAnsi="仿宋" w:eastAsia="仿宋" w:cs="仿宋"/>
        </w:rPr>
      </w:pPr>
      <w:r>
        <w:rPr>
          <w:rFonts w:hint="eastAsia" w:ascii="仿宋" w:hAnsi="仿宋" w:eastAsia="仿宋" w:cs="仿宋"/>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ascii="仿宋" w:hAnsi="仿宋" w:eastAsia="仿宋" w:cs="仿宋"/>
          <w:b/>
          <w:bCs/>
          <w:sz w:val="28"/>
          <w:szCs w:val="28"/>
        </w:rPr>
      </w:pPr>
      <w:bookmarkStart w:id="494" w:name="_Toc416103825"/>
      <w:bookmarkStart w:id="495" w:name="_Toc7005136"/>
      <w:bookmarkStart w:id="496" w:name="_Toc414445775"/>
      <w:bookmarkStart w:id="497" w:name="_Toc410631184"/>
      <w:r>
        <w:rPr>
          <w:rFonts w:hint="eastAsia" w:ascii="仿宋" w:hAnsi="仿宋" w:eastAsia="仿宋" w:cs="仿宋"/>
          <w:b/>
          <w:bCs/>
          <w:sz w:val="28"/>
          <w:szCs w:val="28"/>
        </w:rPr>
        <w:t>二、技术偏离表</w:t>
      </w:r>
      <w:bookmarkEnd w:id="494"/>
      <w:bookmarkEnd w:id="495"/>
      <w:bookmarkEnd w:id="496"/>
      <w:bookmarkEnd w:id="497"/>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ascii="仿宋" w:hAnsi="仿宋" w:eastAsia="仿宋" w:cs="仿宋"/>
                <w:b/>
                <w:bCs/>
                <w:sz w:val="24"/>
              </w:rPr>
            </w:pPr>
            <w:r>
              <w:rPr>
                <w:rFonts w:hint="eastAsia" w:ascii="仿宋" w:hAnsi="仿宋" w:eastAsia="仿宋" w:cs="仿宋"/>
                <w:b/>
                <w:bCs/>
                <w:sz w:val="24"/>
              </w:rPr>
              <w:t>谈判文件条目号</w:t>
            </w:r>
          </w:p>
        </w:tc>
        <w:tc>
          <w:tcPr>
            <w:tcW w:w="1932" w:type="dxa"/>
          </w:tcPr>
          <w:p>
            <w:pPr>
              <w:spacing w:line="400" w:lineRule="exact"/>
              <w:jc w:val="center"/>
              <w:rPr>
                <w:rFonts w:ascii="仿宋" w:hAnsi="仿宋" w:eastAsia="仿宋" w:cs="仿宋"/>
                <w:b/>
                <w:bCs/>
                <w:sz w:val="24"/>
              </w:rPr>
            </w:pPr>
            <w:r>
              <w:rPr>
                <w:rFonts w:hint="eastAsia" w:ascii="仿宋" w:hAnsi="仿宋" w:eastAsia="仿宋" w:cs="仿宋"/>
                <w:b/>
                <w:bCs/>
                <w:sz w:val="24"/>
              </w:rPr>
              <w:t>技术条款要求</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完全响应</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有偏离</w:t>
            </w:r>
          </w:p>
        </w:tc>
        <w:tc>
          <w:tcPr>
            <w:tcW w:w="2394" w:type="dxa"/>
          </w:tcPr>
          <w:p>
            <w:pPr>
              <w:spacing w:line="400" w:lineRule="exact"/>
              <w:jc w:val="center"/>
              <w:rPr>
                <w:rFonts w:ascii="仿宋" w:hAnsi="仿宋" w:eastAsia="仿宋" w:cs="仿宋"/>
                <w:b/>
                <w:bCs/>
                <w:sz w:val="24"/>
              </w:rPr>
            </w:pPr>
            <w:r>
              <w:rPr>
                <w:rFonts w:hint="eastAsia" w:ascii="仿宋" w:hAnsi="仿宋" w:eastAsia="仿宋" w:cs="仿宋"/>
                <w:b/>
                <w:bCs/>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bl>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uto"/>
        <w:rPr>
          <w:rFonts w:ascii="仿宋" w:hAnsi="仿宋" w:eastAsia="仿宋" w:cs="仿宋"/>
        </w:rPr>
      </w:pPr>
    </w:p>
    <w:p>
      <w:pPr>
        <w:snapToGrid w:val="0"/>
        <w:spacing w:after="120" w:afterLines="50"/>
        <w:ind w:left="850" w:hanging="850" w:hangingChars="405"/>
        <w:rPr>
          <w:rFonts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br w:type="page"/>
      </w:r>
    </w:p>
    <w:p>
      <w:pPr>
        <w:pStyle w:val="4"/>
        <w:jc w:val="center"/>
        <w:rPr>
          <w:rFonts w:ascii="仿宋" w:hAnsi="仿宋" w:eastAsia="仿宋" w:cs="仿宋"/>
          <w:b/>
          <w:bCs/>
          <w:lang w:val="zh-CN"/>
        </w:rPr>
      </w:pPr>
      <w:r>
        <w:rPr>
          <w:rFonts w:hint="eastAsia" w:ascii="仿宋" w:hAnsi="仿宋" w:eastAsia="仿宋" w:cs="仿宋"/>
          <w:b/>
          <w:bCs/>
          <w:lang w:val="zh-CN"/>
        </w:rPr>
        <w:t>第四部分</w:t>
      </w:r>
      <w:r>
        <w:rPr>
          <w:rFonts w:hint="eastAsia" w:ascii="仿宋" w:hAnsi="仿宋" w:eastAsia="仿宋" w:cs="仿宋"/>
          <w:b/>
          <w:bCs/>
        </w:rPr>
        <w:t xml:space="preserve">  </w:t>
      </w:r>
      <w:r>
        <w:rPr>
          <w:rFonts w:hint="eastAsia" w:ascii="仿宋" w:hAnsi="仿宋" w:eastAsia="仿宋" w:cs="仿宋"/>
          <w:b/>
          <w:bCs/>
          <w:lang w:val="zh-CN"/>
        </w:rPr>
        <w:t>响应方案说明</w:t>
      </w:r>
    </w:p>
    <w:p>
      <w:pPr>
        <w:pStyle w:val="2"/>
        <w:rPr>
          <w:rFonts w:ascii="仿宋" w:hAnsi="仿宋" w:eastAsia="仿宋" w:cs="仿宋"/>
          <w:lang w:val="zh-CN"/>
        </w:rPr>
      </w:pPr>
    </w:p>
    <w:p>
      <w:pPr>
        <w:autoSpaceDE w:val="0"/>
        <w:autoSpaceDN w:val="0"/>
        <w:adjustRightInd w:val="0"/>
        <w:spacing w:line="360" w:lineRule="auto"/>
        <w:jc w:val="center"/>
        <w:rPr>
          <w:rFonts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pPr>
        <w:pStyle w:val="2"/>
        <w:rPr>
          <w:rFonts w:ascii="仿宋" w:hAnsi="仿宋" w:eastAsia="仿宋" w:cs="仿宋"/>
          <w:lang w:val="zh-CN"/>
        </w:rPr>
      </w:pPr>
      <w:r>
        <w:rPr>
          <w:rFonts w:hint="eastAsia" w:ascii="仿宋" w:hAnsi="仿宋" w:eastAsia="仿宋" w:cs="仿宋"/>
          <w:lang w:val="zh-CN"/>
        </w:rPr>
        <w:br w:type="page"/>
      </w:r>
    </w:p>
    <w:p>
      <w:pPr>
        <w:numPr>
          <w:ilvl w:val="0"/>
          <w:numId w:val="14"/>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身份证明文件</w:t>
      </w:r>
    </w:p>
    <w:p>
      <w:pPr>
        <w:tabs>
          <w:tab w:val="left" w:pos="588"/>
        </w:tabs>
        <w:spacing w:line="360" w:lineRule="auto"/>
        <w:jc w:val="center"/>
        <w:outlineLvl w:val="2"/>
        <w:rPr>
          <w:rFonts w:ascii="仿宋" w:hAnsi="仿宋" w:eastAsia="仿宋" w:cs="仿宋"/>
          <w:b/>
          <w:bCs/>
          <w:sz w:val="28"/>
          <w:szCs w:val="36"/>
          <w:lang w:val="zh-CN"/>
        </w:rPr>
      </w:pPr>
    </w:p>
    <w:p>
      <w:pPr>
        <w:tabs>
          <w:tab w:val="left" w:pos="588"/>
        </w:tabs>
        <w:spacing w:line="360" w:lineRule="auto"/>
        <w:jc w:val="center"/>
        <w:outlineLvl w:val="2"/>
        <w:rPr>
          <w:rFonts w:ascii="仿宋" w:hAnsi="仿宋" w:eastAsia="仿宋" w:cs="仿宋"/>
          <w:b/>
          <w:bCs/>
          <w:sz w:val="28"/>
          <w:szCs w:val="36"/>
        </w:rPr>
      </w:pPr>
      <w:r>
        <w:rPr>
          <w:rFonts w:hint="eastAsia" w:ascii="仿宋" w:hAnsi="仿宋" w:eastAsia="仿宋" w:cs="仿宋"/>
          <w:b/>
          <w:bCs/>
          <w:sz w:val="28"/>
          <w:szCs w:val="36"/>
          <w:lang w:val="zh-CN"/>
        </w:rPr>
        <w:t>1、法定代表人（或单位负责人）授权书</w:t>
      </w:r>
    </w:p>
    <w:p>
      <w:pPr>
        <w:autoSpaceDE w:val="0"/>
        <w:autoSpaceDN w:val="0"/>
        <w:adjustRightInd w:val="0"/>
        <w:spacing w:line="348" w:lineRule="auto"/>
        <w:ind w:firstLine="400"/>
        <w:rPr>
          <w:rFonts w:ascii="仿宋" w:hAnsi="仿宋" w:eastAsia="仿宋" w:cs="仿宋"/>
          <w:b/>
          <w:bCs/>
          <w:sz w:val="20"/>
        </w:rPr>
      </w:pPr>
    </w:p>
    <w:p>
      <w:pPr>
        <w:autoSpaceDE w:val="0"/>
        <w:autoSpaceDN w:val="0"/>
        <w:adjustRightInd w:val="0"/>
        <w:spacing w:line="348" w:lineRule="auto"/>
        <w:rPr>
          <w:rFonts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的谈判及合同的执行和完成，以本公司的名义处理一切与之有关的事宜。</w:t>
      </w:r>
    </w:p>
    <w:p>
      <w:pPr>
        <w:snapToGrid w:val="0"/>
        <w:spacing w:line="360" w:lineRule="auto"/>
        <w:ind w:firstLine="480" w:firstLineChars="200"/>
        <w:rPr>
          <w:rFonts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提示：此日期不应晚于谈判响应函签署日期</w:t>
      </w:r>
      <w:r>
        <w:rPr>
          <w:rFonts w:hint="eastAsia" w:ascii="仿宋" w:hAnsi="仿宋" w:eastAsia="仿宋" w:cs="仿宋"/>
          <w:sz w:val="24"/>
          <w:lang w:val="zh-CN"/>
        </w:rPr>
        <w:t>）</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rPr>
          <w:rFonts w:ascii="仿宋" w:hAnsi="仿宋" w:eastAsia="仿宋" w:cs="仿宋"/>
          <w:sz w:val="24"/>
          <w:u w:val="single"/>
        </w:rPr>
      </w:pPr>
      <w:r>
        <w:rPr>
          <w:rFonts w:hint="eastAsia" w:ascii="仿宋" w:hAnsi="仿宋" w:eastAsia="仿宋" w:cs="仿宋"/>
          <w:sz w:val="24"/>
          <w:lang w:val="zh-CN"/>
        </w:rPr>
        <w:t>附：</w:t>
      </w:r>
      <w:r>
        <w:rPr>
          <w:rFonts w:hint="eastAsia" w:ascii="仿宋" w:hAnsi="仿宋" w:eastAsia="仿宋" w:cs="仿宋"/>
          <w:sz w:val="24"/>
        </w:rPr>
        <w:t xml:space="preserve"> </w:t>
      </w:r>
      <w:r>
        <w:rPr>
          <w:rFonts w:hint="eastAsia" w:ascii="仿宋" w:hAnsi="仿宋" w:eastAsia="仿宋" w:cs="仿宋"/>
          <w:sz w:val="24"/>
          <w:lang w:val="zh-CN"/>
        </w:rPr>
        <w:t>被授权人姓名：</w:t>
      </w:r>
      <w:r>
        <w:rPr>
          <w:rFonts w:hint="eastAsia" w:ascii="仿宋" w:hAnsi="仿宋" w:eastAsia="仿宋" w:cs="仿宋"/>
          <w:sz w:val="24"/>
          <w:u w:val="single"/>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lang w:val="zh-CN"/>
        </w:rPr>
        <w:t>年龄：</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通讯地址：</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邮政编码：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lang w:val="zh-CN"/>
        </w:rPr>
        <w:t>传真：</w:t>
      </w:r>
      <w:r>
        <w:rPr>
          <w:rFonts w:hint="eastAsia" w:ascii="仿宋" w:hAnsi="仿宋" w:eastAsia="仿宋" w:cs="仿宋"/>
          <w:sz w:val="24"/>
          <w:u w:val="single"/>
        </w:rPr>
        <w:t xml:space="preserve">           </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ind w:firstLine="480" w:firstLineChars="200"/>
        <w:rPr>
          <w:rFonts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ascii="仿宋" w:hAnsi="仿宋" w:eastAsia="仿宋" w:cs="仿宋"/>
          <w:sz w:val="24"/>
        </w:rPr>
      </w:pP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供应商                         法定代表人</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（公章）：                       （签字）：</w:t>
      </w:r>
    </w:p>
    <w:p>
      <w:pPr>
        <w:spacing w:after="120"/>
        <w:rPr>
          <w:rFonts w:ascii="仿宋" w:hAnsi="仿宋" w:eastAsia="仿宋" w:cs="仿宋"/>
        </w:rPr>
      </w:pPr>
      <w:r>
        <w:rPr>
          <w:rFonts w:hint="eastAsia" w:ascii="仿宋" w:hAnsi="仿宋" w:eastAsia="仿宋" w:cs="仿宋"/>
        </w:rPr>
        <w:br w:type="page"/>
      </w:r>
    </w:p>
    <w:p>
      <w:pPr>
        <w:tabs>
          <w:tab w:val="left" w:pos="588"/>
        </w:tabs>
        <w:spacing w:line="360" w:lineRule="auto"/>
        <w:jc w:val="center"/>
        <w:outlineLvl w:val="2"/>
        <w:rPr>
          <w:rFonts w:ascii="仿宋" w:hAnsi="仿宋" w:eastAsia="仿宋" w:cs="仿宋"/>
          <w:b/>
          <w:bCs/>
          <w:sz w:val="28"/>
          <w:szCs w:val="36"/>
          <w:lang w:val="zh-CN"/>
        </w:rPr>
      </w:pPr>
      <w:r>
        <w:rPr>
          <w:rFonts w:hint="eastAsia" w:ascii="仿宋" w:hAnsi="仿宋" w:eastAsia="仿宋" w:cs="仿宋"/>
          <w:b/>
          <w:bCs/>
          <w:sz w:val="28"/>
          <w:szCs w:val="36"/>
          <w:lang w:val="zh-CN"/>
        </w:rPr>
        <w:t>2、法定代表人（或单位负责人）身份证明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（投标人名称）的法定代表人。</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ind w:left="5399" w:leftChars="2571"/>
        <w:jc w:val="left"/>
        <w:rPr>
          <w:rFonts w:ascii="仿宋" w:hAnsi="仿宋" w:eastAsia="仿宋" w:cs="仿宋"/>
          <w:kern w:val="0"/>
          <w:sz w:val="24"/>
        </w:rPr>
      </w:pPr>
      <w:r>
        <w:rPr>
          <w:rFonts w:hint="eastAsia" w:ascii="仿宋" w:hAnsi="仿宋" w:eastAsia="仿宋" w:cs="仿宋"/>
          <w:kern w:val="0"/>
          <w:sz w:val="24"/>
        </w:rPr>
        <w:t xml:space="preserve">投标人（公章）：           </w:t>
      </w:r>
    </w:p>
    <w:p>
      <w:pPr>
        <w:autoSpaceDE w:val="0"/>
        <w:autoSpaceDN w:val="0"/>
        <w:adjustRightInd w:val="0"/>
        <w:spacing w:line="360" w:lineRule="auto"/>
        <w:ind w:left="5399" w:leftChars="2571"/>
        <w:jc w:val="left"/>
        <w:rPr>
          <w:rFonts w:ascii="仿宋" w:hAnsi="仿宋" w:eastAsia="仿宋" w:cs="仿宋"/>
          <w:kern w:val="0"/>
          <w:sz w:val="24"/>
        </w:rPr>
      </w:pPr>
    </w:p>
    <w:p>
      <w:pPr>
        <w:autoSpaceDE w:val="0"/>
        <w:autoSpaceDN w:val="0"/>
        <w:adjustRightInd w:val="0"/>
        <w:spacing w:line="360" w:lineRule="auto"/>
        <w:ind w:left="6659" w:leftChars="3171"/>
        <w:jc w:val="left"/>
        <w:rPr>
          <w:rFonts w:ascii="仿宋" w:hAnsi="仿宋" w:eastAsia="仿宋" w:cs="仿宋"/>
          <w:kern w:val="0"/>
          <w:sz w:val="24"/>
        </w:rPr>
      </w:pPr>
      <w:r>
        <w:rPr>
          <w:rFonts w:hint="eastAsia" w:ascii="仿宋" w:hAnsi="仿宋" w:eastAsia="仿宋" w:cs="仿宋"/>
          <w:kern w:val="0"/>
          <w:sz w:val="24"/>
        </w:rPr>
        <w:t>年  月  日</w:t>
      </w:r>
    </w:p>
    <w:p>
      <w:pPr>
        <w:rPr>
          <w:rFonts w:ascii="仿宋" w:hAnsi="仿宋" w:eastAsia="仿宋" w:cs="仿宋"/>
        </w:rPr>
      </w:pPr>
      <w:r>
        <w:rPr>
          <w:rFonts w:hint="eastAsia" w:ascii="仿宋" w:hAnsi="仿宋" w:eastAsia="仿宋" w:cs="仿宋"/>
        </w:rPr>
        <w:br w:type="page"/>
      </w:r>
    </w:p>
    <w:p>
      <w:pPr>
        <w:jc w:val="center"/>
        <w:rPr>
          <w:rFonts w:ascii="仿宋" w:hAnsi="仿宋" w:eastAsia="仿宋" w:cs="仿宋"/>
          <w:b/>
          <w:sz w:val="28"/>
          <w:szCs w:val="28"/>
        </w:rPr>
      </w:pPr>
      <w:r>
        <w:rPr>
          <w:rFonts w:hint="eastAsia" w:ascii="仿宋" w:hAnsi="仿宋" w:eastAsia="仿宋" w:cs="仿宋"/>
          <w:b/>
          <w:sz w:val="28"/>
          <w:szCs w:val="28"/>
        </w:rPr>
        <w:t>3、授权代表本单位证明</w:t>
      </w:r>
    </w:p>
    <w:p>
      <w:pPr>
        <w:spacing w:after="120"/>
        <w:rPr>
          <w:rFonts w:ascii="仿宋" w:hAnsi="仿宋" w:eastAsia="仿宋" w:cs="仿宋"/>
        </w:rPr>
      </w:pPr>
    </w:p>
    <w:p>
      <w:pPr>
        <w:jc w:val="center"/>
        <w:rPr>
          <w:rFonts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养老保险缴纳证明或劳动合同复印件</w:t>
      </w:r>
      <w:r>
        <w:rPr>
          <w:rFonts w:hint="eastAsia" w:ascii="仿宋" w:hAnsi="仿宋" w:eastAsia="仿宋" w:cs="仿宋"/>
          <w:sz w:val="28"/>
          <w:szCs w:val="28"/>
          <w:lang w:val="zh-CN"/>
        </w:rPr>
        <w:t>）</w:t>
      </w: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pStyle w:val="27"/>
        <w:jc w:val="center"/>
        <w:outlineLvl w:val="1"/>
        <w:rPr>
          <w:rFonts w:ascii="仿宋" w:hAnsi="仿宋" w:eastAsia="仿宋" w:cs="仿宋"/>
          <w:lang w:val="zh-CN"/>
        </w:rPr>
      </w:pPr>
      <w:r>
        <w:rPr>
          <w:rFonts w:hint="eastAsia" w:ascii="仿宋" w:hAnsi="仿宋" w:eastAsia="仿宋" w:cs="仿宋"/>
          <w:b/>
          <w:bCs/>
          <w:sz w:val="28"/>
          <w:szCs w:val="28"/>
          <w:lang w:val="zh-CN"/>
        </w:rPr>
        <w:t>4、保证金支付凭证或担保函（复印件）</w:t>
      </w:r>
    </w:p>
    <w:p>
      <w:pPr>
        <w:jc w:val="center"/>
        <w:rPr>
          <w:rFonts w:ascii="仿宋" w:hAnsi="仿宋" w:eastAsia="仿宋" w:cs="仿宋"/>
          <w:b/>
          <w:bCs/>
          <w:lang w:val="zh-CN"/>
        </w:rPr>
      </w:pPr>
      <w:r>
        <w:rPr>
          <w:rFonts w:hint="eastAsia" w:ascii="仿宋" w:hAnsi="仿宋" w:eastAsia="仿宋" w:cs="仿宋"/>
          <w:b/>
          <w:bCs/>
          <w:lang w:val="zh-CN"/>
        </w:rPr>
        <w:br w:type="page"/>
      </w:r>
    </w:p>
    <w:p>
      <w:pPr>
        <w:numPr>
          <w:ilvl w:val="0"/>
          <w:numId w:val="14"/>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资格证明文件</w:t>
      </w:r>
    </w:p>
    <w:p>
      <w:pPr>
        <w:numPr>
          <w:ilvl w:val="1"/>
          <w:numId w:val="15"/>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5"/>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提供供应商近一年经审计的财务报表或谈判截止时间前任意三个月公司的财务报表（包括资产负债表、现金流量表、利润表），或本年度基本开户银行出具的资信证明（格式要求见附件6-2）；</w:t>
      </w:r>
    </w:p>
    <w:p>
      <w:pPr>
        <w:pStyle w:val="2"/>
        <w:rPr>
          <w:rFonts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
        <w:ind w:firstLine="480" w:firstLineChars="200"/>
        <w:rPr>
          <w:rFonts w:ascii="仿宋" w:hAnsi="仿宋" w:eastAsia="仿宋" w:cs="仿宋"/>
          <w:sz w:val="24"/>
        </w:rPr>
      </w:pPr>
      <w:r>
        <w:rPr>
          <w:rFonts w:hint="eastAsia" w:ascii="仿宋" w:hAnsi="仿宋" w:eastAsia="仿宋" w:cs="仿宋"/>
          <w:sz w:val="24"/>
        </w:rPr>
        <w:t>7、证明供应商符合特定资格条件的证明材料；</w:t>
      </w:r>
    </w:p>
    <w:p>
      <w:pPr>
        <w:pStyle w:val="2"/>
        <w:ind w:firstLine="480" w:firstLineChars="200"/>
        <w:rPr>
          <w:rFonts w:ascii="仿宋" w:hAnsi="仿宋" w:eastAsia="仿宋" w:cs="仿宋"/>
        </w:rPr>
      </w:pPr>
      <w:r>
        <w:rPr>
          <w:rFonts w:hint="eastAsia" w:ascii="仿宋" w:hAnsi="仿宋" w:eastAsia="仿宋" w:cs="仿宋"/>
          <w:kern w:val="0"/>
          <w:sz w:val="24"/>
        </w:rPr>
        <w:t>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rPr>
          <w:rFonts w:ascii="仿宋" w:hAnsi="仿宋" w:eastAsia="仿宋" w:cs="仿宋"/>
          <w:kern w:val="0"/>
          <w:sz w:val="24"/>
        </w:rPr>
      </w:pPr>
    </w:p>
    <w:p>
      <w:pPr>
        <w:pStyle w:val="2"/>
        <w:rPr>
          <w:rFonts w:ascii="仿宋" w:hAnsi="仿宋" w:eastAsia="仿宋" w:cs="仿宋"/>
          <w:sz w:val="24"/>
        </w:rPr>
      </w:pPr>
      <w:r>
        <w:rPr>
          <w:rFonts w:hint="eastAsia" w:ascii="仿宋" w:hAnsi="仿宋" w:eastAsia="仿宋" w:cs="仿宋"/>
        </w:rPr>
        <w:br w:type="page"/>
      </w:r>
    </w:p>
    <w:p>
      <w:pPr>
        <w:jc w:val="left"/>
        <w:outlineLvl w:val="2"/>
        <w:rPr>
          <w:rFonts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ascii="仿宋" w:hAnsi="仿宋" w:eastAsia="仿宋" w:cs="仿宋"/>
          <w:sz w:val="24"/>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ascii="仿宋" w:hAnsi="仿宋" w:eastAsia="仿宋" w:cs="仿宋"/>
          <w:b/>
          <w:sz w:val="28"/>
        </w:rPr>
      </w:pPr>
    </w:p>
    <w:p>
      <w:pPr>
        <w:adjustRightInd w:val="0"/>
        <w:spacing w:line="360" w:lineRule="atLeast"/>
        <w:jc w:val="left"/>
        <w:textAlignment w:val="baseline"/>
        <w:rPr>
          <w:rFonts w:ascii="仿宋" w:hAnsi="仿宋" w:eastAsia="仿宋" w:cs="仿宋"/>
          <w:b/>
          <w:sz w:val="28"/>
        </w:rPr>
      </w:pPr>
      <w:r>
        <w:rPr>
          <w:rFonts w:hint="eastAsia" w:ascii="仿宋" w:hAnsi="仿宋" w:eastAsia="仿宋" w:cs="仿宋"/>
          <w:b/>
          <w:sz w:val="28"/>
        </w:rPr>
        <w:t xml:space="preserve"> </w:t>
      </w:r>
    </w:p>
    <w:p>
      <w:pPr>
        <w:jc w:val="left"/>
        <w:outlineLvl w:val="2"/>
        <w:rPr>
          <w:rFonts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提供供应商近一年经审计的财务报表或谈判截止时间前任意三个月公司的财务报表（包括资产负债表、现金流量表、利润表）复印件或扫描件、所有复印件或扫描件需加盖单位公章。</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ascii="仿宋" w:hAnsi="仿宋" w:eastAsia="仿宋" w:cs="仿宋"/>
          <w:b/>
          <w:spacing w:val="20"/>
          <w:sz w:val="24"/>
        </w:rPr>
      </w:pPr>
    </w:p>
    <w:p>
      <w:pPr>
        <w:jc w:val="left"/>
        <w:outlineLvl w:val="2"/>
        <w:rPr>
          <w:rFonts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ascii="仿宋" w:hAnsi="仿宋" w:eastAsia="仿宋" w:cs="仿宋"/>
          <w:b/>
          <w:spacing w:val="20"/>
          <w:sz w:val="24"/>
        </w:rPr>
      </w:pPr>
    </w:p>
    <w:p>
      <w:pPr>
        <w:tabs>
          <w:tab w:val="left" w:pos="5580"/>
        </w:tabs>
        <w:spacing w:before="120" w:line="360" w:lineRule="auto"/>
        <w:ind w:firstLine="480" w:firstLineChars="200"/>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tabs>
          <w:tab w:val="left" w:pos="993"/>
          <w:tab w:val="left" w:pos="1030"/>
          <w:tab w:val="left" w:pos="8364"/>
        </w:tabs>
        <w:snapToGrid w:val="0"/>
        <w:spacing w:after="120" w:afterLines="50"/>
        <w:ind w:right="-57" w:rightChars="-27"/>
        <w:jc w:val="left"/>
        <w:rPr>
          <w:rFonts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right="-57" w:rightChars="-27" w:firstLine="480" w:firstLineChars="200"/>
        <w:jc w:val="left"/>
        <w:rPr>
          <w:rFonts w:ascii="仿宋" w:hAnsi="仿宋" w:eastAsia="仿宋" w:cs="仿宋"/>
          <w:sz w:val="24"/>
        </w:rPr>
      </w:pPr>
      <w:r>
        <w:rPr>
          <w:rFonts w:hint="eastAsia" w:ascii="仿宋" w:hAnsi="仿宋" w:eastAsia="仿宋" w:cs="仿宋"/>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说明：</w:t>
      </w:r>
    </w:p>
    <w:p>
      <w:pPr>
        <w:numPr>
          <w:ilvl w:val="0"/>
          <w:numId w:val="16"/>
        </w:num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6"/>
        </w:num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jc w:val="left"/>
        <w:outlineLvl w:val="2"/>
        <w:rPr>
          <w:rFonts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ascii="仿宋" w:hAnsi="仿宋" w:eastAsia="仿宋" w:cs="仿宋"/>
          <w:kern w:val="0"/>
          <w:sz w:val="24"/>
        </w:rPr>
      </w:pPr>
    </w:p>
    <w:p>
      <w:pPr>
        <w:ind w:firstLine="480"/>
        <w:rPr>
          <w:rFonts w:ascii="仿宋" w:hAnsi="仿宋" w:eastAsia="仿宋" w:cs="仿宋"/>
          <w:kern w:val="0"/>
          <w:sz w:val="24"/>
        </w:rPr>
      </w:pPr>
    </w:p>
    <w:p>
      <w:pPr>
        <w:rPr>
          <w:rFonts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ascii="仿宋" w:hAnsi="仿宋" w:eastAsia="仿宋" w:cs="仿宋"/>
          <w:kern w:val="0"/>
          <w:sz w:val="24"/>
        </w:rPr>
      </w:pPr>
    </w:p>
    <w:p>
      <w:pPr>
        <w:ind w:firstLine="480"/>
        <w:rPr>
          <w:rFonts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ascii="仿宋" w:hAnsi="仿宋" w:eastAsia="仿宋" w:cs="仿宋"/>
          <w:b/>
          <w:sz w:val="24"/>
        </w:rPr>
      </w:pPr>
    </w:p>
    <w:p>
      <w:pPr>
        <w:ind w:firstLine="480"/>
        <w:rPr>
          <w:rFonts w:ascii="仿宋" w:hAnsi="仿宋" w:eastAsia="仿宋" w:cs="仿宋"/>
          <w:b/>
          <w:sz w:val="24"/>
        </w:rPr>
      </w:pPr>
    </w:p>
    <w:p>
      <w:pPr>
        <w:ind w:firstLine="480"/>
        <w:rPr>
          <w:rFonts w:ascii="仿宋" w:hAnsi="仿宋" w:eastAsia="仿宋" w:cs="仿宋"/>
          <w:b/>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ascii="仿宋" w:hAnsi="仿宋" w:eastAsia="仿宋" w:cs="仿宋"/>
          <w:sz w:val="24"/>
        </w:rPr>
      </w:pPr>
    </w:p>
    <w:p>
      <w:pPr>
        <w:widowControl/>
        <w:jc w:val="left"/>
        <w:rPr>
          <w:rFonts w:ascii="仿宋" w:hAnsi="仿宋" w:eastAsia="仿宋" w:cs="仿宋"/>
          <w:b/>
          <w:sz w:val="24"/>
        </w:rPr>
      </w:pPr>
    </w:p>
    <w:p>
      <w:pPr>
        <w:pStyle w:val="67"/>
        <w:numPr>
          <w:ilvl w:val="1"/>
          <w:numId w:val="17"/>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ascii="仿宋" w:hAnsi="仿宋" w:eastAsia="仿宋" w:cs="仿宋"/>
          <w:sz w:val="24"/>
        </w:rPr>
      </w:pPr>
    </w:p>
    <w:p>
      <w:pPr>
        <w:jc w:val="center"/>
        <w:rPr>
          <w:rFonts w:ascii="仿宋" w:hAnsi="仿宋" w:eastAsia="仿宋" w:cs="仿宋"/>
          <w:b/>
          <w:sz w:val="24"/>
        </w:rPr>
      </w:pPr>
      <w:r>
        <w:rPr>
          <w:rFonts w:hint="eastAsia" w:ascii="仿宋" w:hAnsi="仿宋" w:eastAsia="仿宋" w:cs="仿宋"/>
          <w:b/>
          <w:sz w:val="24"/>
        </w:rPr>
        <w:t>声明函</w:t>
      </w:r>
    </w:p>
    <w:p>
      <w:pPr>
        <w:jc w:val="center"/>
        <w:rPr>
          <w:rFonts w:ascii="仿宋" w:hAnsi="仿宋" w:eastAsia="仿宋" w:cs="仿宋"/>
          <w:sz w:val="24"/>
        </w:rPr>
      </w:pPr>
    </w:p>
    <w:p>
      <w:pPr>
        <w:tabs>
          <w:tab w:val="left" w:pos="5580"/>
        </w:tabs>
        <w:spacing w:before="120" w:line="360" w:lineRule="auto"/>
        <w:rPr>
          <w:rFonts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ascii="仿宋" w:hAnsi="仿宋" w:eastAsia="仿宋" w:cs="仿宋"/>
          <w:sz w:val="24"/>
        </w:rPr>
      </w:pPr>
    </w:p>
    <w:p>
      <w:pPr>
        <w:tabs>
          <w:tab w:val="left" w:pos="5580"/>
        </w:tabs>
        <w:spacing w:before="120" w:line="360" w:lineRule="auto"/>
        <w:ind w:firstLine="480" w:firstLineChars="200"/>
        <w:rPr>
          <w:rFonts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ascii="仿宋" w:hAnsi="仿宋" w:eastAsia="仿宋" w:cs="仿宋"/>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p>
    <w:p>
      <w:pPr>
        <w:pStyle w:val="2"/>
        <w:rPr>
          <w:rFonts w:ascii="仿宋" w:hAnsi="仿宋" w:eastAsia="仿宋" w:cs="仿宋"/>
        </w:rPr>
      </w:pPr>
    </w:p>
    <w:p>
      <w:pPr>
        <w:spacing w:line="360" w:lineRule="auto"/>
        <w:rPr>
          <w:rFonts w:ascii="仿宋" w:hAnsi="仿宋" w:eastAsia="仿宋" w:cs="仿宋"/>
          <w:sz w:val="24"/>
          <w:szCs w:val="21"/>
          <w:u w:val="single"/>
        </w:rPr>
      </w:pPr>
    </w:p>
    <w:p>
      <w:pPr>
        <w:pStyle w:val="67"/>
        <w:numPr>
          <w:ilvl w:val="1"/>
          <w:numId w:val="18"/>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ascii="仿宋" w:hAnsi="仿宋" w:eastAsia="仿宋" w:cs="仿宋"/>
          <w:szCs w:val="21"/>
        </w:rPr>
      </w:pPr>
    </w:p>
    <w:p>
      <w:pPr>
        <w:rPr>
          <w:rFonts w:ascii="仿宋" w:hAnsi="仿宋" w:eastAsia="仿宋" w:cs="仿宋"/>
          <w:sz w:val="24"/>
        </w:rPr>
      </w:pPr>
      <w:r>
        <w:rPr>
          <w:rFonts w:hint="eastAsia" w:ascii="仿宋" w:hAnsi="仿宋" w:eastAsia="仿宋" w:cs="仿宋"/>
          <w:sz w:val="24"/>
        </w:rPr>
        <w:t>致：陕西省采购招标有限责任公司</w:t>
      </w:r>
    </w:p>
    <w:p>
      <w:pPr>
        <w:pStyle w:val="2"/>
        <w:rPr>
          <w:rFonts w:ascii="仿宋" w:hAnsi="仿宋" w:eastAsia="仿宋" w:cs="仿宋"/>
        </w:rPr>
      </w:pPr>
    </w:p>
    <w:p>
      <w:pPr>
        <w:ind w:firstLine="426"/>
        <w:rPr>
          <w:rFonts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我方的控股股东如下：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我方直接控股的企业如下：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pStyle w:val="67"/>
        <w:numPr>
          <w:ilvl w:val="1"/>
          <w:numId w:val="18"/>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szCs w:val="21"/>
        </w:rPr>
        <w:t>致：陕西省采购招标有限责任公司</w:t>
      </w:r>
    </w:p>
    <w:p>
      <w:pPr>
        <w:ind w:firstLine="426"/>
        <w:rPr>
          <w:rFonts w:ascii="仿宋" w:hAnsi="仿宋" w:eastAsia="仿宋" w:cs="仿宋"/>
          <w:sz w:val="24"/>
        </w:rPr>
      </w:pPr>
      <w:r>
        <w:rPr>
          <w:rFonts w:hint="eastAsia" w:ascii="仿宋" w:hAnsi="仿宋" w:eastAsia="仿宋" w:cs="仿宋"/>
          <w:sz w:val="24"/>
        </w:rPr>
        <w:t xml:space="preserve">我方 </w:t>
      </w:r>
      <w:r>
        <w:rPr>
          <w:rFonts w:hint="eastAsia" w:ascii="仿宋" w:hAnsi="仿宋" w:eastAsia="仿宋" w:cs="仿宋"/>
          <w:i/>
          <w:iCs/>
          <w:sz w:val="24"/>
        </w:rPr>
        <w:t>属于/不属于</w:t>
      </w:r>
      <w:r>
        <w:rPr>
          <w:rFonts w:hint="eastAsia" w:ascii="仿宋" w:hAnsi="仿宋" w:eastAsia="仿宋" w:cs="仿宋"/>
          <w:sz w:val="24"/>
        </w:rPr>
        <w:t xml:space="preserve"> 为本项目提供整体设计、规范编制或者项目管理、监理、检测等服务的供应商。</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p>
    <w:p>
      <w:pPr>
        <w:rPr>
          <w:rFonts w:ascii="仿宋" w:hAnsi="仿宋" w:eastAsia="仿宋" w:cs="仿宋"/>
          <w:b/>
          <w:sz w:val="24"/>
        </w:rPr>
      </w:pPr>
      <w:r>
        <w:rPr>
          <w:rFonts w:hint="eastAsia" w:ascii="仿宋" w:hAnsi="仿宋" w:eastAsia="仿宋" w:cs="仿宋"/>
          <w:b/>
          <w:sz w:val="24"/>
        </w:rPr>
        <w:t>6-9证明供应商符合特定资格条件的证明材料：</w:t>
      </w:r>
    </w:p>
    <w:p>
      <w:pPr>
        <w:spacing w:line="360" w:lineRule="auto"/>
        <w:ind w:firstLine="480" w:firstLineChars="200"/>
        <w:rPr>
          <w:rFonts w:ascii="仿宋" w:hAnsi="仿宋" w:eastAsia="仿宋" w:cs="仿宋"/>
          <w:b/>
          <w:bCs/>
        </w:rPr>
      </w:pPr>
      <w:r>
        <w:rPr>
          <w:rFonts w:hint="eastAsia" w:ascii="仿宋" w:hAnsi="仿宋" w:eastAsia="仿宋" w:cs="仿宋"/>
          <w:kern w:val="0"/>
          <w:sz w:val="24"/>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rPr>
        <w:br w:type="page"/>
      </w:r>
    </w:p>
    <w:p>
      <w:pPr>
        <w:pStyle w:val="4"/>
        <w:jc w:val="center"/>
        <w:rPr>
          <w:rFonts w:ascii="仿宋" w:hAnsi="仿宋" w:eastAsia="仿宋" w:cs="仿宋"/>
          <w:b/>
          <w:bCs/>
        </w:rPr>
      </w:pPr>
      <w:r>
        <w:rPr>
          <w:rFonts w:hint="eastAsia" w:ascii="仿宋" w:hAnsi="仿宋" w:eastAsia="仿宋" w:cs="仿宋"/>
          <w:b/>
          <w:bCs/>
          <w:lang w:val="zh-CN"/>
        </w:rPr>
        <w:t>第七部分</w:t>
      </w:r>
      <w:r>
        <w:rPr>
          <w:rFonts w:hint="eastAsia" w:ascii="仿宋" w:hAnsi="仿宋" w:eastAsia="仿宋" w:cs="仿宋"/>
          <w:b/>
          <w:bCs/>
        </w:rPr>
        <w:t xml:space="preserve">   小微企业、监狱企业、残疾人福利单位声明函或证明</w:t>
      </w:r>
    </w:p>
    <w:p>
      <w:pPr>
        <w:widowControl/>
        <w:jc w:val="left"/>
        <w:rPr>
          <w:rFonts w:ascii="仿宋" w:hAnsi="仿宋" w:eastAsia="仿宋" w:cs="仿宋"/>
          <w:b/>
          <w:bCs/>
          <w:sz w:val="44"/>
          <w:szCs w:val="44"/>
        </w:rPr>
      </w:pPr>
    </w:p>
    <w:p>
      <w:pPr>
        <w:pStyle w:val="67"/>
        <w:numPr>
          <w:ilvl w:val="0"/>
          <w:numId w:val="19"/>
        </w:numPr>
        <w:spacing w:line="360" w:lineRule="auto"/>
        <w:ind w:firstLineChars="0"/>
        <w:jc w:val="center"/>
        <w:outlineLvl w:val="1"/>
        <w:rPr>
          <w:rFonts w:ascii="仿宋" w:hAnsi="仿宋" w:eastAsia="仿宋" w:cs="仿宋"/>
          <w:b/>
          <w:sz w:val="28"/>
          <w:szCs w:val="28"/>
        </w:rPr>
      </w:pPr>
      <w:bookmarkStart w:id="498" w:name="_Toc7005132"/>
      <w:r>
        <w:rPr>
          <w:rFonts w:hint="eastAsia" w:ascii="仿宋" w:hAnsi="仿宋" w:eastAsia="仿宋" w:cs="仿宋"/>
          <w:b/>
          <w:sz w:val="28"/>
          <w:szCs w:val="28"/>
        </w:rPr>
        <w:t>中小企业声明函</w:t>
      </w:r>
      <w:bookmarkEnd w:id="498"/>
      <w:r>
        <w:rPr>
          <w:rFonts w:hint="eastAsia" w:ascii="仿宋" w:hAnsi="仿宋" w:eastAsia="仿宋" w:cs="仿宋"/>
          <w:b/>
          <w:sz w:val="28"/>
          <w:szCs w:val="28"/>
        </w:rPr>
        <w:t>（货物）</w:t>
      </w:r>
    </w:p>
    <w:p>
      <w:pPr>
        <w:jc w:val="center"/>
        <w:rPr>
          <w:rFonts w:ascii="仿宋" w:hAnsi="仿宋" w:eastAsia="仿宋" w:cs="仿宋"/>
          <w:szCs w:val="21"/>
        </w:rPr>
      </w:pPr>
      <w:r>
        <w:rPr>
          <w:rFonts w:hint="eastAsia" w:ascii="仿宋" w:hAnsi="仿宋" w:eastAsia="仿宋" w:cs="仿宋"/>
          <w:szCs w:val="21"/>
        </w:rPr>
        <w:t>（注：符合中小企业划型标准的企业请提供本函，不符合的不提供本函）</w:t>
      </w:r>
    </w:p>
    <w:p>
      <w:pPr>
        <w:snapToGrid w:val="0"/>
        <w:spacing w:before="120" w:beforeLines="50"/>
        <w:ind w:firstLine="480" w:firstLineChars="200"/>
        <w:rPr>
          <w:rFonts w:ascii="仿宋" w:hAnsi="仿宋" w:eastAsia="仿宋" w:cs="仿宋"/>
          <w:sz w:val="24"/>
        </w:rPr>
      </w:pPr>
    </w:p>
    <w:p>
      <w:pPr>
        <w:spacing w:line="560" w:lineRule="exact"/>
        <w:ind w:firstLine="480" w:firstLineChars="200"/>
        <w:rPr>
          <w:rFonts w:ascii="仿宋" w:hAnsi="仿宋" w:eastAsia="仿宋" w:cs="仿宋"/>
          <w:kern w:val="0"/>
          <w:sz w:val="24"/>
        </w:rPr>
      </w:pPr>
      <w:bookmarkStart w:id="499" w:name="_Toc7005133"/>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活动，提供的货物全部由符合政策要求的中小企业制造。相关企业(含联合体中的中小企业、签订分包意向协议的中小企业)的具体情况如下：</w:t>
      </w:r>
    </w:p>
    <w:p>
      <w:pPr>
        <w:pStyle w:val="67"/>
        <w:numPr>
          <w:ilvl w:val="0"/>
          <w:numId w:val="20"/>
        </w:numPr>
        <w:spacing w:line="56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(采购文件中明的所属行业)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pStyle w:val="67"/>
        <w:numPr>
          <w:ilvl w:val="0"/>
          <w:numId w:val="20"/>
        </w:numPr>
        <w:spacing w:line="56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(采购文件中明的所属行业)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ind w:firstLine="3480" w:firstLineChars="1450"/>
        <w:rPr>
          <w:rFonts w:ascii="仿宋" w:hAnsi="仿宋" w:eastAsia="仿宋" w:cs="仿宋"/>
          <w:kern w:val="0"/>
          <w:sz w:val="24"/>
        </w:rPr>
      </w:pPr>
      <w:r>
        <w:rPr>
          <w:rFonts w:hint="eastAsia" w:ascii="仿宋" w:hAnsi="仿宋" w:eastAsia="仿宋" w:cs="仿宋"/>
          <w:kern w:val="0"/>
          <w:sz w:val="24"/>
        </w:rPr>
        <w:t>企业名称(盖章)：</w:t>
      </w:r>
    </w:p>
    <w:p>
      <w:pPr>
        <w:spacing w:line="560" w:lineRule="exact"/>
        <w:ind w:firstLine="3480" w:firstLineChars="1450"/>
        <w:rPr>
          <w:rFonts w:ascii="仿宋" w:hAnsi="仿宋" w:eastAsia="仿宋" w:cs="仿宋"/>
          <w:kern w:val="0"/>
          <w:sz w:val="24"/>
        </w:rPr>
      </w:pPr>
      <w:r>
        <w:rPr>
          <w:rFonts w:hint="eastAsia" w:ascii="仿宋" w:hAnsi="仿宋" w:eastAsia="仿宋" w:cs="仿宋"/>
          <w:kern w:val="0"/>
          <w:sz w:val="24"/>
        </w:rPr>
        <w:t>日期：</w:t>
      </w:r>
    </w:p>
    <w:p>
      <w:pPr>
        <w:pStyle w:val="2"/>
        <w:ind w:firstLine="480"/>
        <w:rPr>
          <w:rFonts w:ascii="仿宋" w:hAnsi="仿宋" w:eastAsia="仿宋" w:cs="仿宋"/>
        </w:rPr>
      </w:pPr>
    </w:p>
    <w:p>
      <w:pPr>
        <w:ind w:left="450" w:hanging="450" w:hangingChars="150"/>
        <w:rPr>
          <w:rFonts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pPr>
        <w:ind w:left="315" w:leftChars="150" w:firstLine="270" w:firstLineChars="150"/>
        <w:rPr>
          <w:rFonts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pPr>
        <w:pStyle w:val="2"/>
        <w:rPr>
          <w:rFonts w:ascii="仿宋" w:hAnsi="仿宋" w:eastAsia="仿宋" w:cs="仿宋"/>
        </w:rPr>
      </w:pPr>
      <w:r>
        <w:rPr>
          <w:rFonts w:hint="eastAsia" w:ascii="仿宋" w:hAnsi="仿宋" w:eastAsia="仿宋" w:cs="仿宋"/>
        </w:rPr>
        <w:br w:type="page"/>
      </w:r>
    </w:p>
    <w:p>
      <w:pPr>
        <w:ind w:firstLine="2560" w:firstLineChars="850"/>
        <w:rPr>
          <w:rFonts w:ascii="仿宋" w:hAnsi="仿宋" w:eastAsia="仿宋" w:cs="仿宋"/>
          <w:b/>
          <w:kern w:val="0"/>
          <w:sz w:val="30"/>
          <w:szCs w:val="30"/>
        </w:rPr>
      </w:pPr>
    </w:p>
    <w:p>
      <w:pPr>
        <w:jc w:val="center"/>
        <w:outlineLvl w:val="1"/>
        <w:rPr>
          <w:rFonts w:ascii="仿宋" w:hAnsi="仿宋" w:eastAsia="仿宋" w:cs="仿宋"/>
          <w:b/>
          <w:kern w:val="0"/>
          <w:sz w:val="28"/>
          <w:szCs w:val="28"/>
        </w:rPr>
      </w:pPr>
      <w:r>
        <w:rPr>
          <w:rFonts w:hint="eastAsia" w:ascii="仿宋" w:hAnsi="仿宋" w:eastAsia="仿宋" w:cs="仿宋"/>
          <w:b/>
          <w:kern w:val="0"/>
          <w:sz w:val="28"/>
          <w:szCs w:val="28"/>
        </w:rPr>
        <w:t>中小企业声明函(工程、服务)</w:t>
      </w:r>
    </w:p>
    <w:p>
      <w:pPr>
        <w:rPr>
          <w:rFonts w:ascii="仿宋" w:hAnsi="仿宋" w:eastAsia="仿宋" w:cs="仿宋"/>
          <w:kern w:val="0"/>
          <w:sz w:val="30"/>
          <w:szCs w:val="30"/>
        </w:rPr>
      </w:pP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u w:val="single"/>
        </w:rPr>
        <w:t xml:space="preserve">1.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(中型企必、小型企业、微型企业) </w:t>
      </w: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(中型企必、小型企业、微型企业) </w:t>
      </w: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ascii="仿宋" w:hAnsi="仿宋" w:eastAsia="仿宋" w:cs="仿宋"/>
          <w:kern w:val="0"/>
          <w:sz w:val="24"/>
        </w:rPr>
      </w:pPr>
      <w:r>
        <w:rPr>
          <w:rFonts w:hint="eastAsia" w:ascii="仿宋" w:hAnsi="仿宋" w:eastAsia="仿宋" w:cs="仿宋"/>
          <w:kern w:val="0"/>
          <w:sz w:val="24"/>
        </w:rPr>
        <w:t xml:space="preserve">                                  企业名称(盖章):</w:t>
      </w:r>
    </w:p>
    <w:p>
      <w:pPr>
        <w:spacing w:line="560" w:lineRule="exact"/>
        <w:ind w:firstLine="4320" w:firstLineChars="1800"/>
        <w:rPr>
          <w:rFonts w:ascii="仿宋" w:hAnsi="仿宋" w:eastAsia="仿宋" w:cs="仿宋"/>
          <w:kern w:val="0"/>
          <w:sz w:val="24"/>
        </w:rPr>
      </w:pPr>
      <w:r>
        <w:rPr>
          <w:rFonts w:hint="eastAsia" w:ascii="仿宋" w:hAnsi="仿宋" w:eastAsia="仿宋" w:cs="仿宋"/>
          <w:kern w:val="0"/>
          <w:sz w:val="24"/>
        </w:rPr>
        <w:t>日期：</w:t>
      </w:r>
    </w:p>
    <w:p>
      <w:pPr>
        <w:spacing w:line="560" w:lineRule="exact"/>
        <w:ind w:firstLine="5400" w:firstLineChars="1800"/>
        <w:rPr>
          <w:rFonts w:ascii="仿宋" w:hAnsi="仿宋" w:eastAsia="仿宋" w:cs="仿宋"/>
          <w:kern w:val="0"/>
          <w:sz w:val="30"/>
          <w:szCs w:val="30"/>
        </w:rPr>
      </w:pPr>
    </w:p>
    <w:p>
      <w:pPr>
        <w:rPr>
          <w:rFonts w:ascii="仿宋" w:hAnsi="仿宋" w:eastAsia="仿宋" w:cs="仿宋"/>
          <w:kern w:val="0"/>
          <w:sz w:val="30"/>
          <w:szCs w:val="30"/>
          <w:u w:val="single"/>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p>
    <w:p>
      <w:pPr>
        <w:ind w:firstLine="105" w:firstLineChars="50"/>
        <w:rPr>
          <w:rFonts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ind w:left="315" w:leftChars="150" w:firstLine="270" w:firstLineChars="150"/>
        <w:rPr>
          <w:rFonts w:ascii="仿宋" w:hAnsi="仿宋" w:eastAsia="仿宋" w:cs="仿宋"/>
          <w:kern w:val="0"/>
          <w:sz w:val="18"/>
          <w:szCs w:val="18"/>
        </w:rPr>
      </w:pPr>
    </w:p>
    <w:p>
      <w:pPr>
        <w:rPr>
          <w:rFonts w:ascii="仿宋" w:hAnsi="仿宋" w:eastAsia="仿宋" w:cs="仿宋"/>
          <w:sz w:val="24"/>
        </w:rPr>
      </w:pPr>
    </w:p>
    <w:p>
      <w:pPr>
        <w:widowControl/>
        <w:jc w:val="left"/>
        <w:rPr>
          <w:rFonts w:ascii="仿宋" w:hAnsi="仿宋" w:eastAsia="仿宋" w:cs="仿宋"/>
          <w:sz w:val="24"/>
        </w:rPr>
      </w:pPr>
    </w:p>
    <w:p>
      <w:pPr>
        <w:ind w:firstLine="3200" w:firstLineChars="1000"/>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rPr>
          <w:rFonts w:ascii="仿宋" w:hAnsi="仿宋" w:eastAsia="仿宋" w:cs="仿宋"/>
          <w:b/>
          <w:sz w:val="28"/>
          <w:szCs w:val="28"/>
        </w:rPr>
      </w:pPr>
      <w:r>
        <w:rPr>
          <w:rFonts w:hint="eastAsia" w:ascii="仿宋" w:hAnsi="仿宋" w:eastAsia="仿宋" w:cs="仿宋"/>
          <w:b/>
          <w:sz w:val="28"/>
          <w:szCs w:val="28"/>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二、监狱企业</w:t>
      </w:r>
      <w:bookmarkEnd w:id="499"/>
      <w:r>
        <w:rPr>
          <w:rFonts w:hint="eastAsia" w:ascii="仿宋" w:hAnsi="仿宋" w:eastAsia="仿宋" w:cs="仿宋"/>
          <w:b/>
          <w:sz w:val="28"/>
          <w:szCs w:val="28"/>
        </w:rPr>
        <w:t>声明函</w:t>
      </w:r>
    </w:p>
    <w:p>
      <w:pPr>
        <w:spacing w:line="360" w:lineRule="auto"/>
        <w:rPr>
          <w:rFonts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单位名称（公章）：</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xml:space="preserve"> 　法定代表人或授权代表（签字）: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widowControl/>
        <w:spacing w:before="100" w:beforeAutospacing="1" w:after="100" w:afterAutospacing="1" w:line="360" w:lineRule="auto"/>
        <w:ind w:firstLine="240" w:firstLineChars="100"/>
        <w:jc w:val="left"/>
        <w:rPr>
          <w:rFonts w:ascii="仿宋" w:hAnsi="仿宋" w:eastAsia="仿宋" w:cs="仿宋"/>
          <w:kern w:val="0"/>
          <w:sz w:val="24"/>
          <w:u w:val="single"/>
        </w:rPr>
      </w:pPr>
      <w:r>
        <w:rPr>
          <w:rFonts w:hint="eastAsia" w:ascii="仿宋" w:hAnsi="仿宋" w:eastAsia="仿宋" w:cs="仿宋"/>
          <w:kern w:val="0"/>
          <w:sz w:val="24"/>
        </w:rPr>
        <w:t>日　期：</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u w:val="single"/>
        </w:rPr>
      </w:pPr>
    </w:p>
    <w:p>
      <w:pPr>
        <w:widowControl/>
        <w:spacing w:before="100" w:beforeAutospacing="1" w:after="100" w:afterAutospacing="1" w:line="360" w:lineRule="auto"/>
        <w:jc w:val="left"/>
        <w:rPr>
          <w:rFonts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bookmarkStart w:id="500" w:name="_Toc7005134"/>
      <w:r>
        <w:rPr>
          <w:rFonts w:hint="eastAsia" w:ascii="仿宋" w:hAnsi="仿宋" w:eastAsia="仿宋" w:cs="仿宋"/>
          <w:sz w:val="32"/>
          <w:szCs w:val="32"/>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三、残疾人福利性单位声明函</w:t>
      </w:r>
      <w:bookmarkEnd w:id="500"/>
    </w:p>
    <w:p>
      <w:pPr>
        <w:pStyle w:val="2"/>
        <w:rPr>
          <w:rFonts w:ascii="仿宋" w:hAnsi="仿宋" w:eastAsia="仿宋" w:cs="仿宋"/>
        </w:rPr>
      </w:pPr>
    </w:p>
    <w:p>
      <w:pPr>
        <w:jc w:val="center"/>
        <w:rPr>
          <w:rFonts w:ascii="仿宋" w:hAnsi="仿宋" w:eastAsia="仿宋" w:cs="仿宋"/>
          <w:sz w:val="24"/>
        </w:rPr>
      </w:pPr>
      <w:r>
        <w:rPr>
          <w:rFonts w:hint="eastAsia" w:ascii="仿宋" w:hAnsi="仿宋" w:eastAsia="仿宋" w:cs="仿宋"/>
          <w:szCs w:val="21"/>
        </w:rPr>
        <w:t>（注：符合条件的残疾人福利性单位请提供本函，不符合的不提供本函）</w:t>
      </w:r>
    </w:p>
    <w:p>
      <w:pPr>
        <w:rPr>
          <w:rFonts w:ascii="仿宋" w:hAnsi="仿宋" w:eastAsia="仿宋" w:cs="仿宋"/>
          <w:sz w:val="24"/>
        </w:rPr>
      </w:pP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单位名称（公章）：</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日  期：</w:t>
      </w:r>
    </w:p>
    <w:p>
      <w:pPr>
        <w:rPr>
          <w:rFonts w:ascii="仿宋" w:hAnsi="仿宋" w:eastAsia="仿宋" w:cs="仿宋"/>
          <w:sz w:val="24"/>
        </w:rPr>
      </w:pPr>
    </w:p>
    <w:p>
      <w:pPr>
        <w:snapToGrid w:val="0"/>
        <w:spacing w:before="120" w:beforeLines="50"/>
        <w:jc w:val="center"/>
        <w:rPr>
          <w:rFonts w:ascii="仿宋" w:hAnsi="仿宋" w:eastAsia="仿宋" w:cs="仿宋"/>
          <w:b/>
          <w:sz w:val="24"/>
          <w:szCs w:val="21"/>
        </w:rPr>
      </w:pPr>
    </w:p>
    <w:p>
      <w:pPr>
        <w:widowControl/>
        <w:jc w:val="left"/>
        <w:rPr>
          <w:rFonts w:ascii="仿宋" w:hAnsi="仿宋" w:eastAsia="仿宋" w:cs="仿宋"/>
          <w:sz w:val="24"/>
        </w:rPr>
      </w:pPr>
      <w:r>
        <w:rPr>
          <w:rFonts w:hint="eastAsia" w:ascii="仿宋" w:hAnsi="仿宋" w:eastAsia="仿宋" w:cs="仿宋"/>
          <w:sz w:val="24"/>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四、响应承诺书</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ascii="仿宋" w:hAnsi="仿宋" w:eastAsia="仿宋" w:cs="仿宋"/>
          <w:sz w:val="24"/>
        </w:rPr>
      </w:pPr>
      <w:r>
        <w:rPr>
          <w:rFonts w:hint="eastAsia" w:ascii="仿宋" w:hAnsi="仿宋" w:eastAsia="仿宋" w:cs="仿宋"/>
          <w:sz w:val="24"/>
        </w:rPr>
        <w:t>（1） 在本次谈判中我公司无与其他供应商相互串通，或与采购人串通的行为；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（2） 在本次谈判中我公司无向采购人或谈判小组成员行贿的手段谋取成交的行为；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（3） 在本次谈判中我公司无出借或借用资质行为、在响应文件中所附资料（业绩、项目负责人资料等）无弄虚作假；</w:t>
      </w:r>
    </w:p>
    <w:p>
      <w:pPr>
        <w:spacing w:line="360" w:lineRule="auto"/>
        <w:ind w:firstLine="480" w:firstLineChars="200"/>
        <w:rPr>
          <w:rFonts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ascii="仿宋" w:hAnsi="仿宋" w:eastAsia="仿宋" w:cs="仿宋"/>
          <w:sz w:val="24"/>
        </w:rPr>
      </w:pPr>
      <w:r>
        <w:rPr>
          <w:rFonts w:hint="eastAsia" w:ascii="仿宋" w:hAnsi="仿宋" w:eastAsia="仿宋" w:cs="仿宋"/>
          <w:sz w:val="24"/>
        </w:rPr>
        <w:t>上述承诺内容如有不实，我公司愿意承担由此造成的一切法律责任，并承诺以谈判保证金赔偿给采购人造成的损失。</w:t>
      </w:r>
    </w:p>
    <w:p>
      <w:pPr>
        <w:spacing w:line="360" w:lineRule="auto"/>
        <w:ind w:firstLine="480" w:firstLineChars="200"/>
        <w:rPr>
          <w:rFonts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ascii="仿宋" w:hAnsi="仿宋" w:eastAsia="仿宋" w:cs="仿宋"/>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r>
        <w:rPr>
          <w:rFonts w:hint="eastAsia" w:ascii="仿宋" w:hAnsi="仿宋" w:eastAsia="仿宋" w:cs="仿宋"/>
        </w:rPr>
        <w:br w:type="page"/>
      </w:r>
    </w:p>
    <w:p>
      <w:pPr>
        <w:pStyle w:val="27"/>
        <w:jc w:val="center"/>
        <w:outlineLvl w:val="1"/>
        <w:rPr>
          <w:rFonts w:ascii="仿宋" w:hAnsi="仿宋" w:eastAsia="仿宋" w:cs="仿宋"/>
          <w:b/>
          <w:bCs/>
          <w:iCs w:val="0"/>
          <w:sz w:val="28"/>
          <w:szCs w:val="28"/>
          <w:lang w:val="zh-CN"/>
        </w:rPr>
      </w:pPr>
      <w:r>
        <w:rPr>
          <w:rFonts w:hint="eastAsia" w:ascii="仿宋" w:hAnsi="仿宋" w:eastAsia="仿宋" w:cs="仿宋"/>
          <w:b/>
          <w:iCs w:val="0"/>
          <w:sz w:val="28"/>
          <w:szCs w:val="28"/>
        </w:rPr>
        <w:t>五、</w:t>
      </w:r>
      <w:r>
        <w:rPr>
          <w:rFonts w:hint="eastAsia" w:ascii="仿宋" w:hAnsi="仿宋" w:eastAsia="仿宋" w:cs="仿宋"/>
          <w:b/>
          <w:bCs/>
          <w:iCs w:val="0"/>
          <w:sz w:val="28"/>
          <w:szCs w:val="28"/>
          <w:lang w:val="zh-CN"/>
        </w:rPr>
        <w:t>谈判保证金支付凭证或担保函（复印件）</w:t>
      </w:r>
    </w:p>
    <w:p>
      <w:pPr>
        <w:pStyle w:val="2"/>
        <w:rPr>
          <w:rFonts w:ascii="仿宋" w:hAnsi="仿宋" w:eastAsia="仿宋" w:cs="仿宋"/>
          <w:lang w:val="zh-CN"/>
        </w:rPr>
      </w:pPr>
      <w:r>
        <w:rPr>
          <w:rFonts w:hint="eastAsia" w:ascii="仿宋" w:hAnsi="仿宋" w:eastAsia="仿宋" w:cs="仿宋"/>
          <w:lang w:val="zh-CN"/>
        </w:rPr>
        <w:br w:type="page"/>
      </w:r>
    </w:p>
    <w:p>
      <w:pPr>
        <w:pStyle w:val="44"/>
        <w:snapToGrid w:val="0"/>
        <w:spacing w:line="360" w:lineRule="auto"/>
        <w:jc w:val="both"/>
        <w:outlineLvl w:val="0"/>
        <w:rPr>
          <w:rFonts w:ascii="仿宋" w:hAnsi="仿宋" w:eastAsia="仿宋" w:cs="仿宋"/>
        </w:rPr>
      </w:pPr>
      <w:r>
        <w:rPr>
          <w:rFonts w:hint="eastAsia" w:ascii="仿宋" w:hAnsi="仿宋" w:eastAsia="仿宋" w:cs="仿宋"/>
          <w:b/>
          <w:bCs/>
          <w:sz w:val="28"/>
          <w:szCs w:val="28"/>
        </w:rPr>
        <w:t xml:space="preserve">附件1                     </w:t>
      </w:r>
      <w:r>
        <w:rPr>
          <w:rFonts w:hint="eastAsia" w:ascii="仿宋" w:hAnsi="仿宋" w:eastAsia="仿宋" w:cs="仿宋"/>
          <w:b/>
          <w:bCs/>
          <w:sz w:val="32"/>
          <w:szCs w:val="32"/>
        </w:rPr>
        <w:t>谈判担保函</w:t>
      </w:r>
      <w:r>
        <w:rPr>
          <w:rFonts w:hint="eastAsia" w:ascii="仿宋" w:hAnsi="仿宋" w:eastAsia="仿宋" w:cs="仿宋"/>
          <w:bCs/>
        </w:rPr>
        <w:t>（适用于保证金保函）</w:t>
      </w:r>
    </w:p>
    <w:p>
      <w:pPr>
        <w:snapToGrid w:val="0"/>
        <w:spacing w:line="288" w:lineRule="auto"/>
        <w:ind w:right="480"/>
        <w:jc w:val="center"/>
        <w:rPr>
          <w:rFonts w:ascii="仿宋" w:hAnsi="仿宋" w:eastAsia="仿宋" w:cs="仿宋"/>
          <w:sz w:val="24"/>
        </w:rPr>
      </w:pPr>
      <w:r>
        <w:rPr>
          <w:rFonts w:hint="eastAsia" w:ascii="仿宋" w:hAnsi="仿宋" w:eastAsia="仿宋" w:cs="仿宋"/>
          <w:sz w:val="24"/>
        </w:rPr>
        <w:t xml:space="preserve">                                             保函编号:</w:t>
      </w:r>
    </w:p>
    <w:p>
      <w:pPr>
        <w:snapToGrid w:val="0"/>
        <w:spacing w:line="288" w:lineRule="auto"/>
        <w:jc w:val="left"/>
        <w:rPr>
          <w:rFonts w:ascii="仿宋" w:hAnsi="仿宋" w:eastAsia="仿宋" w:cs="仿宋"/>
          <w:sz w:val="24"/>
          <w:u w:val="single"/>
        </w:rPr>
      </w:pPr>
    </w:p>
    <w:p>
      <w:pPr>
        <w:snapToGrid w:val="0"/>
        <w:spacing w:line="288" w:lineRule="auto"/>
        <w:jc w:val="left"/>
        <w:rPr>
          <w:rFonts w:ascii="仿宋" w:hAnsi="仿宋" w:eastAsia="仿宋" w:cs="仿宋"/>
          <w:sz w:val="24"/>
        </w:rPr>
      </w:pPr>
      <w:r>
        <w:rPr>
          <w:rFonts w:hint="eastAsia" w:ascii="仿宋" w:hAnsi="仿宋" w:eastAsia="仿宋" w:cs="仿宋"/>
          <w:sz w:val="24"/>
          <w:u w:val="single"/>
        </w:rPr>
        <w:t>陕西省采购招标有限责任公司</w:t>
      </w:r>
      <w:r>
        <w:rPr>
          <w:rFonts w:hint="eastAsia" w:ascii="仿宋" w:hAnsi="仿宋" w:eastAsia="仿宋" w:cs="仿宋"/>
          <w:sz w:val="24"/>
        </w:rPr>
        <w:t>(下称受益人)：</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    鉴于</w:t>
      </w:r>
      <w:r>
        <w:rPr>
          <w:rFonts w:hint="eastAsia" w:ascii="仿宋" w:hAnsi="仿宋" w:eastAsia="仿宋" w:cs="仿宋"/>
          <w:sz w:val="24"/>
          <w:u w:val="single"/>
        </w:rPr>
        <w:t xml:space="preserve">     </w:t>
      </w:r>
      <w:r>
        <w:rPr>
          <w:rFonts w:hint="eastAsia" w:ascii="仿宋" w:hAnsi="仿宋" w:eastAsia="仿宋" w:cs="仿宋"/>
          <w:sz w:val="24"/>
        </w:rPr>
        <w:t>(下称被保证人)将于</w:t>
      </w:r>
      <w:r>
        <w:rPr>
          <w:rFonts w:hint="eastAsia" w:ascii="仿宋" w:hAnsi="仿宋" w:eastAsia="仿宋" w:cs="仿宋"/>
          <w:sz w:val="24"/>
          <w:u w:val="single"/>
        </w:rPr>
        <w:t>    年 月 日</w:t>
      </w:r>
      <w:r>
        <w:rPr>
          <w:rFonts w:hint="eastAsia" w:ascii="仿宋" w:hAnsi="仿宋" w:eastAsia="仿宋" w:cs="仿宋"/>
          <w:sz w:val="24"/>
        </w:rPr>
        <w:t>参加贵方竞争性谈判文件编号为</w:t>
      </w:r>
      <w:r>
        <w:rPr>
          <w:rFonts w:hint="eastAsia" w:ascii="仿宋" w:hAnsi="仿宋" w:eastAsia="仿宋" w:cs="仿宋"/>
          <w:sz w:val="24"/>
          <w:u w:val="single"/>
        </w:rPr>
        <w:t> （采购项目编号）</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的竞争性谈判,我方接受被保证人的委托,在此向受益人提供不可撤销的谈判保证：</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本保证担保的担保金额为</w:t>
      </w:r>
      <w:r>
        <w:rPr>
          <w:rFonts w:hint="eastAsia" w:ascii="仿宋" w:hAnsi="仿宋" w:eastAsia="仿宋" w:cs="仿宋"/>
          <w:sz w:val="24"/>
          <w:u w:val="single"/>
        </w:rPr>
        <w:t>人民币</w:t>
      </w:r>
      <w:r>
        <w:rPr>
          <w:rFonts w:hint="eastAsia" w:ascii="仿宋" w:hAnsi="仿宋" w:eastAsia="仿宋" w:cs="仿宋"/>
          <w:sz w:val="24"/>
        </w:rPr>
        <w:t>(币种</w:t>
      </w:r>
      <w:r>
        <w:rPr>
          <w:rFonts w:hint="eastAsia" w:ascii="仿宋" w:hAnsi="仿宋" w:eastAsia="仿宋" w:cs="仿宋"/>
          <w:sz w:val="24"/>
          <w:u w:val="single"/>
        </w:rPr>
        <w:t>)     </w:t>
      </w:r>
      <w:r>
        <w:rPr>
          <w:rFonts w:hint="eastAsia" w:ascii="仿宋" w:hAnsi="仿宋" w:eastAsia="仿宋" w:cs="仿宋"/>
          <w:sz w:val="24"/>
        </w:rPr>
        <w:t>元(小写)</w:t>
      </w:r>
      <w:r>
        <w:rPr>
          <w:rFonts w:hint="eastAsia" w:ascii="仿宋" w:hAnsi="仿宋" w:eastAsia="仿宋" w:cs="仿宋"/>
          <w:sz w:val="24"/>
          <w:u w:val="single"/>
        </w:rPr>
        <w:t xml:space="preserve">     元整</w:t>
      </w:r>
      <w:r>
        <w:rPr>
          <w:rFonts w:hint="eastAsia" w:ascii="仿宋" w:hAnsi="仿宋" w:eastAsia="仿宋" w:cs="仿宋"/>
          <w:sz w:val="24"/>
        </w:rPr>
        <w:t>(大写）。</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二、本保证担保的保证期间为响应文件的有效期(或延长的有效期),延长有效期无须通知我方。</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三、在本保证担保的保证期间内,如果被保证人出现下列情形之一,受益人可以向我方提起索赔：</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1.被保证人在响应文件有效期内撤回其响应文件；</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2.被保证人在响应文件有效期内收到受益人发出的成交通知书后,不能或拒绝按竞争性谈判文件的要求签署合同；</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3.被保证人在有效期内收到受益人发出的成交通知书后,不能或拒绝按竞争性谈判文件的规定提交履约担保；</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4.被保证人成交后未按照竞争性谈判文件规定交纳代理服务费。</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四、在本保证担保的保证期间内,我方收到受益人经法定代表人或其授权委托代理人签字并加盖公章的书面索赔通知后,将不争辩、不挑剔、不可撤销地立即向受益人支付本保证担保的担保金额。</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五、受益人的索赔通知应当说明索赔理由,并必须在本保证担保的保证期间内送达我方。</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六、本保证担保项下的权利不得转让。</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七、本保证担保的保证期间届满,或我方已向受益人支付本保证担保的担保金额,我方的保证责任免除。</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八、本保证担保适用中华人民共和国法律。</w:t>
      </w:r>
    </w:p>
    <w:p>
      <w:pPr>
        <w:numPr>
          <w:ilvl w:val="0"/>
          <w:numId w:val="21"/>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九、本保证担保以中文文本为准,涂改无效。</w:t>
      </w:r>
    </w:p>
    <w:p>
      <w:pPr>
        <w:snapToGrid w:val="0"/>
        <w:spacing w:line="288" w:lineRule="auto"/>
        <w:rPr>
          <w:rFonts w:ascii="仿宋" w:hAnsi="仿宋" w:eastAsia="仿宋" w:cs="仿宋"/>
          <w:sz w:val="24"/>
        </w:rPr>
      </w:pPr>
    </w:p>
    <w:p>
      <w:pPr>
        <w:snapToGrid w:val="0"/>
        <w:spacing w:line="288" w:lineRule="auto"/>
        <w:rPr>
          <w:rFonts w:ascii="仿宋" w:hAnsi="仿宋" w:eastAsia="仿宋" w:cs="仿宋"/>
          <w:sz w:val="24"/>
          <w:u w:val="single"/>
        </w:rPr>
      </w:pPr>
      <w:r>
        <w:rPr>
          <w:rFonts w:hint="eastAsia" w:ascii="仿宋" w:hAnsi="仿宋" w:eastAsia="仿宋" w:cs="仿宋"/>
          <w:sz w:val="24"/>
        </w:rPr>
        <w:t>保证人(盖章):</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 xml:space="preserve">法定代表人或其授权委托代理人(签字或盖章）： </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单位地址:</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电话:</w:t>
      </w:r>
      <w:r>
        <w:rPr>
          <w:rFonts w:hint="eastAsia" w:ascii="仿宋" w:hAnsi="仿宋" w:eastAsia="仿宋" w:cs="仿宋"/>
          <w:sz w:val="24"/>
          <w:u w:val="single"/>
        </w:rPr>
        <w:t xml:space="preserve">     </w:t>
      </w:r>
    </w:p>
    <w:p>
      <w:pPr>
        <w:pStyle w:val="44"/>
        <w:snapToGrid w:val="0"/>
        <w:spacing w:line="288" w:lineRule="auto"/>
        <w:rPr>
          <w:rFonts w:ascii="仿宋" w:hAnsi="仿宋" w:eastAsia="仿宋" w:cs="仿宋"/>
        </w:rPr>
      </w:pPr>
      <w:r>
        <w:rPr>
          <w:rFonts w:hint="eastAsia" w:ascii="仿宋" w:hAnsi="仿宋" w:eastAsia="仿宋" w:cs="仿宋"/>
        </w:rPr>
        <w:t>日期:</w:t>
      </w:r>
      <w:r>
        <w:rPr>
          <w:rFonts w:hint="eastAsia" w:ascii="仿宋" w:hAnsi="仿宋" w:eastAsia="仿宋" w:cs="仿宋"/>
          <w:u w:val="single"/>
        </w:rPr>
        <w:t xml:space="preserve">     年    月    日</w:t>
      </w:r>
    </w:p>
    <w:p>
      <w:pPr>
        <w:pStyle w:val="44"/>
        <w:snapToGrid w:val="0"/>
        <w:spacing w:line="360" w:lineRule="auto"/>
        <w:jc w:val="both"/>
        <w:outlineLvl w:val="0"/>
        <w:rPr>
          <w:rFonts w:ascii="仿宋" w:hAnsi="仿宋" w:eastAsia="仿宋" w:cs="仿宋"/>
          <w:b/>
          <w:bCs/>
          <w:sz w:val="32"/>
          <w:szCs w:val="32"/>
        </w:rPr>
      </w:pPr>
      <w:bookmarkStart w:id="501" w:name="_Toc21748"/>
      <w:bookmarkStart w:id="502" w:name="_Toc515647799"/>
      <w:bookmarkStart w:id="503" w:name="_Toc532473491"/>
      <w:bookmarkStart w:id="504" w:name="_Toc16186"/>
      <w:r>
        <w:rPr>
          <w:rFonts w:hint="eastAsia" w:ascii="仿宋" w:hAnsi="仿宋" w:eastAsia="仿宋" w:cs="仿宋"/>
        </w:rPr>
        <w:br w:type="page"/>
      </w:r>
      <w:bookmarkEnd w:id="501"/>
      <w:bookmarkEnd w:id="502"/>
      <w:bookmarkEnd w:id="503"/>
      <w:bookmarkEnd w:id="504"/>
      <w:bookmarkStart w:id="505" w:name="_Toc20660404"/>
      <w:bookmarkStart w:id="506" w:name="_Toc515647800"/>
      <w:bookmarkStart w:id="507" w:name="_Toc532473492"/>
      <w:bookmarkStart w:id="508" w:name="_Toc6548"/>
      <w:bookmarkStart w:id="509" w:name="_Toc10951"/>
      <w:r>
        <w:rPr>
          <w:rFonts w:hint="eastAsia" w:ascii="仿宋" w:hAnsi="仿宋" w:eastAsia="仿宋" w:cs="仿宋"/>
          <w:b/>
          <w:bCs/>
          <w:sz w:val="28"/>
          <w:szCs w:val="28"/>
        </w:rPr>
        <w:t>附件2</w:t>
      </w:r>
    </w:p>
    <w:p>
      <w:pPr>
        <w:pStyle w:val="44"/>
        <w:snapToGrid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履约担保函格式</w:t>
      </w:r>
      <w:bookmarkEnd w:id="505"/>
      <w:bookmarkEnd w:id="506"/>
      <w:bookmarkEnd w:id="507"/>
      <w:bookmarkEnd w:id="508"/>
      <w:bookmarkEnd w:id="509"/>
    </w:p>
    <w:p>
      <w:pPr>
        <w:snapToGrid w:val="0"/>
        <w:spacing w:line="336" w:lineRule="auto"/>
        <w:jc w:val="center"/>
        <w:rPr>
          <w:rFonts w:ascii="仿宋" w:hAnsi="仿宋" w:eastAsia="仿宋" w:cs="仿宋"/>
          <w:sz w:val="24"/>
        </w:rPr>
      </w:pPr>
      <w:r>
        <w:rPr>
          <w:rFonts w:hint="eastAsia" w:ascii="仿宋" w:hAnsi="仿宋" w:eastAsia="仿宋" w:cs="仿宋"/>
          <w:sz w:val="24"/>
        </w:rPr>
        <w:t xml:space="preserve">                             编号：</w:t>
      </w: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（采购人名称）：</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鉴于你方与</w:t>
      </w:r>
      <w:r>
        <w:rPr>
          <w:rFonts w:hint="eastAsia" w:ascii="仿宋" w:hAnsi="仿宋" w:eastAsia="仿宋" w:cs="仿宋"/>
          <w:sz w:val="24"/>
          <w:u w:val="single"/>
        </w:rPr>
        <w:t xml:space="preserve">                    </w:t>
      </w:r>
      <w:r>
        <w:rPr>
          <w:rFonts w:hint="eastAsia" w:ascii="仿宋" w:hAnsi="仿宋" w:eastAsia="仿宋" w:cs="仿宋"/>
          <w:sz w:val="24"/>
        </w:rPr>
        <w:t>（以下简称供应商）于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日签定编号为</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政府采购合同》（以下简称主合同），且依据该合同的约定，供应商应在</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一、保证责任的情形及保证金额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（一）在供应商出现下列情形之一时，我方承担保证责任：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1．将成交项目转让给他人，或者在谈判响应文件中未说明，且未经采购人同意，将成交项目分包给他人的；</w:t>
      </w:r>
    </w:p>
    <w:p>
      <w:pPr>
        <w:snapToGrid w:val="0"/>
        <w:spacing w:line="336" w:lineRule="auto"/>
        <w:rPr>
          <w:rFonts w:ascii="仿宋" w:hAnsi="仿宋" w:eastAsia="仿宋" w:cs="仿宋"/>
          <w:sz w:val="24"/>
        </w:rPr>
      </w:pPr>
      <w:r>
        <w:rPr>
          <w:rFonts w:hint="eastAsia" w:ascii="仿宋" w:hAnsi="仿宋" w:eastAsia="仿宋" w:cs="仿宋"/>
          <w:sz w:val="24"/>
        </w:rPr>
        <w:t xml:space="preserve">　　2．主合同约定的应当缴纳履约保证金的情形: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（1）未按主合同约定的质量、数量和期限供应货物/提供服务/完成工程的；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（二）我方的保证范围是主合同约定的合同价款总额的</w:t>
      </w:r>
      <w:r>
        <w:rPr>
          <w:rFonts w:hint="eastAsia" w:ascii="仿宋" w:hAnsi="仿宋" w:eastAsia="仿宋" w:cs="仿宋"/>
          <w:sz w:val="24"/>
          <w:u w:val="single"/>
        </w:rPr>
        <w:t xml:space="preserve">        </w:t>
      </w:r>
      <w:r>
        <w:rPr>
          <w:rFonts w:hint="eastAsia" w:ascii="仿宋" w:hAnsi="仿宋" w:eastAsia="仿宋" w:cs="仿宋"/>
          <w:sz w:val="24"/>
        </w:rPr>
        <w:t>%数额为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），币种为</w:t>
      </w:r>
      <w:r>
        <w:rPr>
          <w:rFonts w:hint="eastAsia" w:ascii="仿宋" w:hAnsi="仿宋" w:eastAsia="仿宋" w:cs="仿宋"/>
          <w:sz w:val="24"/>
          <w:u w:val="single"/>
        </w:rPr>
        <w:t xml:space="preserve">        </w:t>
      </w:r>
      <w:r>
        <w:rPr>
          <w:rFonts w:hint="eastAsia" w:ascii="仿宋" w:hAnsi="仿宋" w:eastAsia="仿宋" w:cs="仿宋"/>
          <w:sz w:val="24"/>
        </w:rPr>
        <w:t>。（即主合同履约保证金金额）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二、保证的方式及保证期间</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我方保证的方式为：连带责任保证。</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我方保证的期间为：自本合同生效之日起至供应商按照主合同约定的供货/完工期限届满后</w:t>
      </w:r>
      <w:r>
        <w:rPr>
          <w:rFonts w:hint="eastAsia" w:ascii="仿宋" w:hAnsi="仿宋" w:eastAsia="仿宋" w:cs="仿宋"/>
          <w:sz w:val="24"/>
          <w:u w:val="single"/>
        </w:rPr>
        <w:t xml:space="preserve">     </w:t>
      </w:r>
      <w:r>
        <w:rPr>
          <w:rFonts w:hint="eastAsia" w:ascii="仿宋" w:hAnsi="仿宋" w:eastAsia="仿宋" w:cs="仿宋"/>
          <w:sz w:val="24"/>
        </w:rPr>
        <w:t>日内。</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如果供应商未按主合同约定向贵方供应货物/提供服务/完成工程的，由我方在保证金额内向你方支付上述款项。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三、承担保证责任的程序</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1．你方要求我方承担保证责任的，应在本保函保证期间内向我方发出书面索赔通知。索赔通知应写明要求索赔的金额，支付款项应到达的账号。并附有证明供应商违约事实的证明材料。</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如果你方与供应商因货物质量问题产生争议，你方还需同时提供</w:t>
      </w:r>
      <w:r>
        <w:rPr>
          <w:rFonts w:hint="eastAsia" w:ascii="仿宋" w:hAnsi="仿宋" w:eastAsia="仿宋" w:cs="仿宋"/>
          <w:sz w:val="24"/>
          <w:u w:val="single"/>
        </w:rPr>
        <w:t xml:space="preserve">        </w:t>
      </w:r>
      <w:r>
        <w:rPr>
          <w:rFonts w:hint="eastAsia" w:ascii="仿宋" w:hAnsi="仿宋" w:eastAsia="仿宋" w:cs="仿宋"/>
          <w:sz w:val="24"/>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 我方收到你方的书面索赔通知及相应证明材料，在</w:t>
      </w:r>
      <w:r>
        <w:rPr>
          <w:rFonts w:hint="eastAsia" w:ascii="仿宋" w:hAnsi="仿宋" w:eastAsia="仿宋" w:cs="仿宋"/>
          <w:sz w:val="24"/>
          <w:u w:val="single"/>
        </w:rPr>
        <w:t xml:space="preserve">     </w:t>
      </w:r>
      <w:r>
        <w:rPr>
          <w:rFonts w:hint="eastAsia" w:ascii="仿宋" w:hAnsi="仿宋" w:eastAsia="仿宋" w:cs="仿宋"/>
          <w:sz w:val="24"/>
        </w:rPr>
        <w:t>工作日内进行核定后按照本保函的承诺承担保证责任。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四、保证责任的终止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2．我方按照本保函向你方履行了保证责任后，自我方向你方支付款项（支付款项从我方账户划出）之日起，保证责任即终止。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3．按照法律法规的规定或出现应终止我方保证责任的其它情形的，我方在本保函项下的保证责任亦终止。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五、免责条款</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1．因你方违反主合同约定致使供应商不能履行义务的，我方不承担保证责任。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3．因不可抗力造成供应商不能履行供货义务的，我方不承担保证责任。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六、争议的解决</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因本保函发生的纠纷，由你我双方协商解决，协商不成的，通过诉讼程序解决，诉讼管辖地法院为</w:t>
      </w:r>
      <w:r>
        <w:rPr>
          <w:rFonts w:hint="eastAsia" w:ascii="仿宋" w:hAnsi="仿宋" w:eastAsia="仿宋" w:cs="仿宋"/>
          <w:sz w:val="24"/>
          <w:u w:val="single"/>
        </w:rPr>
        <w:t xml:space="preserve">        </w:t>
      </w:r>
      <w:r>
        <w:rPr>
          <w:rFonts w:hint="eastAsia" w:ascii="仿宋" w:hAnsi="仿宋" w:eastAsia="仿宋" w:cs="仿宋"/>
          <w:sz w:val="24"/>
        </w:rPr>
        <w:t>法院。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七、保函的生效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本保函自我方加盖公章之日起生效。</w:t>
      </w:r>
    </w:p>
    <w:p>
      <w:pPr>
        <w:snapToGrid w:val="0"/>
        <w:spacing w:line="336" w:lineRule="auto"/>
        <w:rPr>
          <w:rFonts w:ascii="仿宋" w:hAnsi="仿宋" w:eastAsia="仿宋" w:cs="仿宋"/>
          <w:sz w:val="24"/>
        </w:rPr>
      </w:pPr>
    </w:p>
    <w:p>
      <w:pPr>
        <w:snapToGrid w:val="0"/>
        <w:spacing w:line="336" w:lineRule="auto"/>
        <w:rPr>
          <w:rFonts w:ascii="仿宋" w:hAnsi="仿宋" w:eastAsia="仿宋" w:cs="仿宋"/>
          <w:sz w:val="24"/>
        </w:rPr>
      </w:pPr>
      <w:r>
        <w:rPr>
          <w:rFonts w:hint="eastAsia" w:ascii="仿宋" w:hAnsi="仿宋" w:eastAsia="仿宋" w:cs="仿宋"/>
          <w:sz w:val="24"/>
        </w:rPr>
        <w:t xml:space="preserve">                                      </w:t>
      </w:r>
    </w:p>
    <w:p>
      <w:pPr>
        <w:pStyle w:val="28"/>
        <w:ind w:left="1080" w:leftChars="257" w:hanging="540"/>
        <w:rPr>
          <w:rFonts w:ascii="仿宋" w:hAnsi="仿宋" w:eastAsia="仿宋" w:cs="仿宋"/>
          <w:sz w:val="24"/>
          <w:szCs w:val="24"/>
        </w:rPr>
      </w:pPr>
      <w:r>
        <w:rPr>
          <w:rFonts w:hint="eastAsia" w:ascii="仿宋" w:hAnsi="仿宋" w:eastAsia="仿宋" w:cs="仿宋"/>
          <w:sz w:val="24"/>
          <w:szCs w:val="24"/>
        </w:rPr>
        <w:t>出具保函单位名称（盖公章）：</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4"/>
          <w:szCs w:val="24"/>
          <w:u w:val="single"/>
        </w:rPr>
      </w:pPr>
      <w:r>
        <w:rPr>
          <w:rFonts w:hint="eastAsia" w:ascii="仿宋" w:hAnsi="仿宋" w:eastAsia="仿宋" w:cs="仿宋"/>
          <w:sz w:val="24"/>
          <w:szCs w:val="24"/>
        </w:rPr>
        <w:t>签字人姓名和职务：</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4"/>
          <w:szCs w:val="24"/>
        </w:rPr>
      </w:pPr>
      <w:r>
        <w:rPr>
          <w:rFonts w:hint="eastAsia" w:ascii="仿宋" w:hAnsi="仿宋" w:eastAsia="仿宋" w:cs="仿宋"/>
          <w:sz w:val="24"/>
          <w:szCs w:val="24"/>
        </w:rPr>
        <w:t>签字人签名：</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8"/>
          <w:szCs w:val="28"/>
          <w:u w:val="singl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年      月      日    </w:t>
      </w:r>
      <w:r>
        <w:rPr>
          <w:rFonts w:hint="eastAsia" w:ascii="仿宋" w:hAnsi="仿宋" w:eastAsia="仿宋" w:cs="仿宋"/>
          <w:sz w:val="28"/>
          <w:szCs w:val="28"/>
          <w:u w:val="single"/>
        </w:rPr>
        <w:t xml:space="preserve">                </w:t>
      </w:r>
    </w:p>
    <w:p>
      <w:pPr>
        <w:pStyle w:val="2"/>
        <w:ind w:firstLine="480"/>
        <w:rPr>
          <w:rFonts w:ascii="仿宋" w:hAnsi="仿宋" w:eastAsia="仿宋" w:cs="仿宋"/>
        </w:rPr>
      </w:pPr>
    </w:p>
    <w:p>
      <w:pPr>
        <w:autoSpaceDE w:val="0"/>
        <w:autoSpaceDN w:val="0"/>
        <w:adjustRightInd w:val="0"/>
        <w:snapToGrid w:val="0"/>
        <w:spacing w:line="360" w:lineRule="auto"/>
        <w:outlineLvl w:val="0"/>
        <w:rPr>
          <w:rFonts w:ascii="仿宋" w:hAnsi="仿宋" w:eastAsia="仿宋" w:cs="仿宋"/>
          <w:b/>
          <w:bCs/>
          <w:sz w:val="28"/>
          <w:szCs w:val="28"/>
          <w:lang w:val="zh-CN"/>
        </w:rPr>
      </w:pPr>
      <w:r>
        <w:rPr>
          <w:rFonts w:hint="eastAsia" w:ascii="仿宋" w:hAnsi="仿宋" w:eastAsia="仿宋" w:cs="仿宋"/>
          <w:b/>
          <w:bCs/>
          <w:sz w:val="28"/>
          <w:szCs w:val="28"/>
          <w:lang w:val="zh-CN"/>
        </w:rPr>
        <w:t>附件3</w:t>
      </w:r>
    </w:p>
    <w:p>
      <w:pPr>
        <w:autoSpaceDE w:val="0"/>
        <w:autoSpaceDN w:val="0"/>
        <w:adjustRightInd w:val="0"/>
        <w:snapToGrid w:val="0"/>
        <w:spacing w:line="360" w:lineRule="auto"/>
        <w:jc w:val="center"/>
        <w:rPr>
          <w:rFonts w:ascii="仿宋" w:hAnsi="仿宋" w:eastAsia="仿宋" w:cs="仿宋"/>
          <w:b/>
          <w:bCs/>
          <w:sz w:val="30"/>
          <w:szCs w:val="30"/>
        </w:rPr>
      </w:pPr>
      <w:r>
        <w:rPr>
          <w:rFonts w:hint="eastAsia" w:ascii="仿宋" w:hAnsi="仿宋" w:eastAsia="仿宋" w:cs="仿宋"/>
          <w:b/>
          <w:bCs/>
          <w:sz w:val="30"/>
          <w:szCs w:val="30"/>
        </w:rPr>
        <w:t xml:space="preserve"> （最后）谈判响应报价表</w:t>
      </w:r>
    </w:p>
    <w:p>
      <w:pPr>
        <w:pStyle w:val="2"/>
        <w:ind w:firstLine="480"/>
        <w:rPr>
          <w:rFonts w:ascii="仿宋" w:hAnsi="仿宋" w:eastAsia="仿宋" w:cs="仿宋"/>
        </w:rPr>
      </w:pPr>
      <w:r>
        <w:rPr>
          <w:rFonts w:hint="eastAsia" w:ascii="仿宋" w:hAnsi="仿宋" w:eastAsia="仿宋" w:cs="仿宋"/>
        </w:rPr>
        <w:t xml:space="preserve">                      </w:t>
      </w:r>
      <w:r>
        <w:rPr>
          <w:rFonts w:hint="eastAsia" w:ascii="仿宋" w:hAnsi="仿宋" w:eastAsia="仿宋" w:cs="仿宋"/>
          <w:lang w:val="zh-CN"/>
        </w:rPr>
        <w:t>（随身携带，单独提供，无需装订在响应文件中）</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pPr>
              <w:ind w:left="189" w:leftChars="90" w:firstLine="1"/>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ind w:left="189" w:leftChars="90" w:firstLine="1"/>
              <w:rPr>
                <w:rFonts w:ascii="仿宋" w:hAnsi="仿宋" w:eastAsia="仿宋" w:cs="仿宋"/>
              </w:rPr>
            </w:pPr>
            <w:r>
              <w:rPr>
                <w:rFonts w:hint="eastAsia" w:ascii="仿宋" w:hAnsi="仿宋" w:eastAsia="仿宋" w:cs="仿宋"/>
                <w:sz w:val="24"/>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响应总价</w:t>
            </w:r>
          </w:p>
        </w:tc>
        <w:tc>
          <w:tcPr>
            <w:tcW w:w="6981" w:type="dxa"/>
            <w:vAlign w:val="center"/>
          </w:tcPr>
          <w:p>
            <w:pPr>
              <w:ind w:left="189" w:leftChars="90" w:firstLine="1"/>
              <w:rPr>
                <w:rFonts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服务期</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服务地点</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ascii="仿宋" w:hAnsi="仿宋" w:eastAsia="仿宋" w:cs="仿宋"/>
                <w:b/>
                <w:sz w:val="24"/>
              </w:rPr>
            </w:pPr>
            <w:r>
              <w:rPr>
                <w:rFonts w:hint="eastAsia" w:ascii="仿宋" w:hAnsi="仿宋" w:eastAsia="仿宋" w:cs="仿宋"/>
                <w:b/>
                <w:sz w:val="24"/>
              </w:rPr>
              <w:t>备注</w:t>
            </w:r>
          </w:p>
        </w:tc>
        <w:tc>
          <w:tcPr>
            <w:tcW w:w="6981" w:type="dxa"/>
            <w:vAlign w:val="center"/>
          </w:tcPr>
          <w:p>
            <w:pPr>
              <w:rPr>
                <w:rFonts w:ascii="仿宋" w:hAnsi="仿宋" w:eastAsia="仿宋" w:cs="仿宋"/>
                <w:sz w:val="24"/>
              </w:rPr>
            </w:pPr>
          </w:p>
        </w:tc>
      </w:tr>
    </w:tbl>
    <w:p>
      <w:pPr>
        <w:autoSpaceDE w:val="0"/>
        <w:autoSpaceDN w:val="0"/>
        <w:adjustRightInd w:val="0"/>
        <w:snapToGrid w:val="0"/>
        <w:spacing w:line="360" w:lineRule="auto"/>
        <w:jc w:val="right"/>
        <w:rPr>
          <w:rFonts w:ascii="仿宋" w:hAnsi="仿宋" w:eastAsia="仿宋" w:cs="仿宋"/>
          <w:sz w:val="24"/>
        </w:rPr>
      </w:pPr>
    </w:p>
    <w:p>
      <w:pPr>
        <w:autoSpaceDE w:val="0"/>
        <w:autoSpaceDN w:val="0"/>
        <w:adjustRightInd w:val="0"/>
        <w:snapToGrid w:val="0"/>
        <w:spacing w:line="360" w:lineRule="auto"/>
        <w:rPr>
          <w:rFonts w:ascii="仿宋" w:hAnsi="仿宋" w:eastAsia="仿宋" w:cs="仿宋"/>
          <w:b/>
          <w:bCs/>
          <w:sz w:val="24"/>
        </w:rPr>
      </w:pPr>
    </w:p>
    <w:p>
      <w:pPr>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b/>
          <w:bCs/>
          <w:sz w:val="24"/>
        </w:rPr>
        <w:t xml:space="preserve">                                                                                     </w:t>
      </w:r>
    </w:p>
    <w:p>
      <w:pPr>
        <w:autoSpaceDE w:val="0"/>
        <w:autoSpaceDN w:val="0"/>
        <w:adjustRightInd w:val="0"/>
        <w:snapToGrid w:val="0"/>
        <w:spacing w:line="360" w:lineRule="auto"/>
        <w:ind w:firstLine="1080" w:firstLineChars="450"/>
        <w:rPr>
          <w:rFonts w:ascii="仿宋" w:hAnsi="仿宋" w:eastAsia="仿宋" w:cs="仿宋"/>
          <w:sz w:val="24"/>
          <w:lang w:val="zh-CN"/>
        </w:rPr>
      </w:pPr>
      <w:r>
        <w:rPr>
          <w:rFonts w:hint="eastAsia" w:ascii="仿宋" w:hAnsi="仿宋" w:eastAsia="仿宋" w:cs="仿宋"/>
          <w:sz w:val="24"/>
          <w:lang w:val="zh-CN"/>
        </w:rPr>
        <w:t>供应商</w:t>
      </w:r>
      <w:r>
        <w:rPr>
          <w:rFonts w:hint="eastAsia" w:ascii="仿宋" w:hAnsi="仿宋" w:eastAsia="仿宋" w:cs="仿宋"/>
          <w:sz w:val="24"/>
        </w:rPr>
        <w:t xml:space="preserve">                        </w:t>
      </w:r>
      <w:r>
        <w:rPr>
          <w:rFonts w:hint="eastAsia" w:ascii="仿宋" w:hAnsi="仿宋" w:eastAsia="仿宋" w:cs="仿宋"/>
          <w:sz w:val="24"/>
          <w:lang w:val="zh-CN"/>
        </w:rPr>
        <w:t>法定代表人</w:t>
      </w:r>
      <w:r>
        <w:rPr>
          <w:rFonts w:hint="eastAsia" w:ascii="仿宋" w:hAnsi="仿宋" w:eastAsia="仿宋" w:cs="仿宋"/>
          <w:sz w:val="24"/>
        </w:rPr>
        <w:t>或</w:t>
      </w:r>
      <w:r>
        <w:rPr>
          <w:rFonts w:hint="eastAsia" w:ascii="仿宋" w:hAnsi="仿宋" w:eastAsia="仿宋" w:cs="仿宋"/>
          <w:sz w:val="24"/>
          <w:lang w:val="zh-CN"/>
        </w:rPr>
        <w:t>授权代表</w:t>
      </w:r>
    </w:p>
    <w:p>
      <w:pPr>
        <w:autoSpaceDE w:val="0"/>
        <w:autoSpaceDN w:val="0"/>
        <w:adjustRightInd w:val="0"/>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（公章）：                            （签字）：</w:t>
      </w: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ind w:firstLine="240" w:firstLineChars="1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2"/>
        <w:rPr>
          <w:rFonts w:ascii="仿宋" w:hAnsi="仿宋" w:eastAsia="仿宋" w:cs="仿宋"/>
          <w:lang w:val="zh-CN"/>
        </w:rPr>
      </w:pPr>
      <w:r>
        <w:rPr>
          <w:rFonts w:hint="eastAsia" w:ascii="仿宋" w:hAnsi="仿宋" w:eastAsia="仿宋" w:cs="仿宋"/>
          <w:lang w:val="zh-CN"/>
        </w:rPr>
        <w:br w:type="page"/>
      </w:r>
    </w:p>
    <w:p>
      <w:pPr>
        <w:autoSpaceDE w:val="0"/>
        <w:autoSpaceDN w:val="0"/>
        <w:adjustRightInd w:val="0"/>
        <w:snapToGrid w:val="0"/>
        <w:spacing w:line="360" w:lineRule="auto"/>
        <w:ind w:firstLine="210" w:firstLineChars="100"/>
        <w:rPr>
          <w:rFonts w:ascii="仿宋" w:hAnsi="仿宋" w:eastAsia="仿宋" w:cs="仿宋"/>
        </w:rPr>
      </w:pPr>
    </w:p>
    <w:p>
      <w:pPr>
        <w:keepNext/>
        <w:keepLines/>
        <w:autoSpaceDE w:val="0"/>
        <w:autoSpaceDN w:val="0"/>
        <w:adjustRightInd w:val="0"/>
        <w:spacing w:line="360" w:lineRule="auto"/>
        <w:jc w:val="center"/>
        <w:outlineLvl w:val="2"/>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（最后）分项报价表</w:t>
      </w:r>
    </w:p>
    <w:p>
      <w:pPr>
        <w:pStyle w:val="2"/>
        <w:rPr>
          <w:rFonts w:ascii="仿宋" w:hAnsi="仿宋" w:eastAsia="仿宋" w:cs="仿宋"/>
        </w:rPr>
      </w:pPr>
      <w:r>
        <w:rPr>
          <w:rFonts w:hint="eastAsia" w:ascii="仿宋" w:hAnsi="仿宋" w:eastAsia="仿宋" w:cs="仿宋"/>
        </w:rPr>
        <w:t xml:space="preserve">                      （随身携带，单独提供，无需装订在响应文件中）</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142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名 称</w:t>
            </w:r>
          </w:p>
        </w:tc>
        <w:tc>
          <w:tcPr>
            <w:tcW w:w="1188"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型号</w:t>
            </w:r>
          </w:p>
        </w:tc>
        <w:tc>
          <w:tcPr>
            <w:tcW w:w="1560"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制造</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厂家</w:t>
            </w:r>
          </w:p>
        </w:tc>
        <w:tc>
          <w:tcPr>
            <w:tcW w:w="992"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127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单价（元）</w:t>
            </w:r>
          </w:p>
        </w:tc>
        <w:tc>
          <w:tcPr>
            <w:tcW w:w="1134"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小计（元）</w:t>
            </w:r>
          </w:p>
        </w:tc>
        <w:tc>
          <w:tcPr>
            <w:tcW w:w="70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bl>
    <w:p>
      <w:pPr>
        <w:autoSpaceDE w:val="0"/>
        <w:autoSpaceDN w:val="0"/>
        <w:adjustRightInd w:val="0"/>
        <w:snapToGrid w:val="0"/>
        <w:spacing w:before="120" w:line="360" w:lineRule="auto"/>
        <w:ind w:left="-206" w:leftChars="-98"/>
        <w:jc w:val="left"/>
        <w:rPr>
          <w:rFonts w:ascii="仿宋" w:hAnsi="仿宋" w:eastAsia="仿宋" w:cs="仿宋"/>
          <w:kern w:val="0"/>
          <w:sz w:val="24"/>
          <w:szCs w:val="28"/>
        </w:rPr>
      </w:pPr>
    </w:p>
    <w:p>
      <w:pPr>
        <w:adjustRightInd w:val="0"/>
        <w:snapToGrid w:val="0"/>
        <w:spacing w:line="360" w:lineRule="auto"/>
        <w:ind w:firstLine="120" w:firstLineChars="50"/>
        <w:rPr>
          <w:rFonts w:ascii="仿宋" w:hAnsi="仿宋" w:eastAsia="仿宋" w:cs="仿宋"/>
          <w:sz w:val="24"/>
        </w:rPr>
      </w:pPr>
      <w:r>
        <w:rPr>
          <w:rFonts w:hint="eastAsia" w:ascii="仿宋" w:hAnsi="仿宋" w:eastAsia="仿宋" w:cs="仿宋"/>
          <w:sz w:val="24"/>
        </w:rPr>
        <w:t>投标人                         法定代表人或授权代表</w:t>
      </w:r>
    </w:p>
    <w:p>
      <w:pPr>
        <w:adjustRightInd w:val="0"/>
        <w:snapToGrid w:val="0"/>
        <w:spacing w:line="360" w:lineRule="auto"/>
        <w:ind w:left="-525" w:leftChars="-250" w:firstLine="720" w:firstLineChars="300"/>
        <w:rPr>
          <w:rFonts w:ascii="仿宋" w:hAnsi="仿宋" w:eastAsia="仿宋" w:cs="仿宋"/>
          <w:sz w:val="24"/>
        </w:rPr>
      </w:pPr>
      <w:r>
        <w:rPr>
          <w:rFonts w:hint="eastAsia" w:ascii="仿宋" w:hAnsi="仿宋" w:eastAsia="仿宋" w:cs="仿宋"/>
          <w:sz w:val="24"/>
        </w:rPr>
        <w:t>（公章）：                          （签字）：</w:t>
      </w:r>
    </w:p>
    <w:p>
      <w:pPr>
        <w:widowControl/>
        <w:jc w:val="left"/>
        <w:rPr>
          <w:rFonts w:ascii="仿宋" w:hAnsi="仿宋" w:eastAsia="仿宋" w:cs="仿宋"/>
          <w:b/>
          <w:bCs/>
          <w:sz w:val="30"/>
          <w:szCs w:val="30"/>
        </w:rPr>
      </w:pPr>
      <w:r>
        <w:rPr>
          <w:rFonts w:hint="eastAsia" w:ascii="仿宋" w:hAnsi="仿宋" w:eastAsia="仿宋" w:cs="仿宋"/>
          <w:b/>
          <w:bCs/>
          <w:sz w:val="30"/>
          <w:szCs w:val="30"/>
        </w:rPr>
        <w:br w:type="page"/>
      </w:r>
    </w:p>
    <w:p>
      <w:pPr>
        <w:widowControl/>
        <w:jc w:val="left"/>
        <w:rPr>
          <w:rFonts w:ascii="仿宋" w:hAnsi="仿宋" w:eastAsia="仿宋" w:cs="仿宋"/>
          <w:b/>
          <w:bCs/>
          <w:sz w:val="30"/>
          <w:szCs w:val="30"/>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Pr>
        <w:tabs>
          <w:tab w:val="left" w:pos="993"/>
          <w:tab w:val="left" w:pos="1030"/>
          <w:tab w:val="left" w:pos="8364"/>
        </w:tabs>
        <w:snapToGrid w:val="0"/>
        <w:spacing w:after="156" w:afterLines="50" w:line="360" w:lineRule="auto"/>
        <w:ind w:right="-57" w:rightChars="-27"/>
        <w:jc w:val="left"/>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附件4：信用承诺书（须上传至信用中国（陕西榆林）附件中进行公示）</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rPr>
          <w:rFonts w:ascii="仿宋" w:hAnsi="仿宋" w:eastAsia="仿宋" w:cs="仿宋"/>
        </w:rPr>
      </w:pPr>
    </w:p>
    <w:p>
      <w:pPr>
        <w:widowControl/>
        <w:tabs>
          <w:tab w:val="left" w:pos="4395"/>
        </w:tabs>
        <w:adjustRightInd w:val="0"/>
        <w:snapToGrid w:val="0"/>
        <w:spacing w:line="480" w:lineRule="auto"/>
        <w:jc w:val="left"/>
        <w:rPr>
          <w:rFonts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ascii="仿宋" w:hAnsi="仿宋" w:eastAsia="仿宋" w:cs="仿宋"/>
          <w:kern w:val="0"/>
          <w:sz w:val="24"/>
        </w:rPr>
      </w:pPr>
    </w:p>
    <w:p>
      <w:pPr>
        <w:adjustRightInd w:val="0"/>
        <w:snapToGrid w:val="0"/>
        <w:spacing w:line="480" w:lineRule="auto"/>
        <w:jc w:val="center"/>
        <w:rPr>
          <w:rFonts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ascii="仿宋" w:hAnsi="仿宋" w:eastAsia="仿宋" w:cs="仿宋"/>
          <w:b/>
          <w:bCs/>
          <w:sz w:val="32"/>
          <w:szCs w:val="32"/>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ascii="仿宋" w:hAnsi="仿宋" w:eastAsia="仿宋" w:cs="仿宋"/>
          <w:kern w:val="0"/>
          <w:sz w:val="24"/>
          <w:u w:val="single"/>
        </w:rPr>
      </w:pPr>
    </w:p>
    <w:p>
      <w:pPr>
        <w:ind w:firstLine="480" w:firstLineChars="200"/>
        <w:rPr>
          <w:rFonts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
        <w:jc w:val="center"/>
        <w:rPr>
          <w:rFonts w:ascii="仿宋" w:hAnsi="仿宋" w:eastAsia="仿宋" w:cs="仿宋"/>
          <w:b/>
          <w:kern w:val="0"/>
          <w:sz w:val="32"/>
          <w:szCs w:val="32"/>
          <w:shd w:val="clear" w:color="auto" w:fill="FFFFFF"/>
          <w:lang w:val="zh-CN"/>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p>
    <w:p>
      <w:pPr>
        <w:rPr>
          <w:rFonts w:ascii="仿宋" w:hAnsi="仿宋" w:eastAsia="仿宋" w:cs="仿宋"/>
          <w:b/>
          <w:kern w:val="0"/>
          <w:sz w:val="32"/>
          <w:szCs w:val="32"/>
          <w:shd w:val="clear" w:color="auto" w:fill="FFFFFF"/>
          <w:lang w:val="zh-CN"/>
        </w:rPr>
      </w:pPr>
      <w:r>
        <w:rPr>
          <w:rFonts w:hint="eastAsia" w:ascii="仿宋" w:hAnsi="仿宋" w:eastAsia="仿宋" w:cs="仿宋"/>
          <w:b/>
          <w:kern w:val="0"/>
          <w:sz w:val="32"/>
          <w:szCs w:val="32"/>
          <w:shd w:val="clear" w:color="auto" w:fill="FFFFFF"/>
          <w:lang w:val="zh-CN"/>
        </w:rPr>
        <w:br w:type="page"/>
      </w:r>
    </w:p>
    <w:p>
      <w:pPr>
        <w:pStyle w:val="4"/>
        <w:spacing w:line="240" w:lineRule="auto"/>
        <w:rPr>
          <w:rFonts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2"/>
        </w:numPr>
        <w:rPr>
          <w:rFonts w:ascii="仿宋" w:hAnsi="仿宋" w:eastAsia="仿宋" w:cs="仿宋"/>
        </w:rPr>
      </w:pPr>
      <w:bookmarkStart w:id="510" w:name="_Toc5904"/>
      <w:r>
        <w:rPr>
          <w:rFonts w:hint="eastAsia" w:ascii="仿宋" w:hAnsi="仿宋" w:eastAsia="仿宋" w:cs="仿宋"/>
        </w:rPr>
        <w:t>系统登录</w:t>
      </w:r>
      <w:bookmarkEnd w:id="510"/>
    </w:p>
    <w:p>
      <w:pPr>
        <w:numPr>
          <w:ilvl w:val="0"/>
          <w:numId w:val="23"/>
        </w:numPr>
        <w:jc w:val="left"/>
        <w:rPr>
          <w:rFonts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3"/>
        </w:numPr>
        <w:jc w:val="left"/>
        <w:rPr>
          <w:rFonts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备注：推荐使用IE11浏览器</w:t>
      </w:r>
    </w:p>
    <w:p>
      <w:pPr>
        <w:pStyle w:val="3"/>
        <w:numPr>
          <w:ilvl w:val="0"/>
          <w:numId w:val="22"/>
        </w:numPr>
        <w:rPr>
          <w:rFonts w:ascii="仿宋" w:hAnsi="仿宋" w:eastAsia="仿宋" w:cs="仿宋"/>
        </w:rPr>
      </w:pPr>
      <w:bookmarkStart w:id="511" w:name="_Toc15416"/>
      <w:r>
        <w:rPr>
          <w:rFonts w:hint="eastAsia" w:ascii="仿宋" w:hAnsi="仿宋" w:eastAsia="仿宋" w:cs="仿宋"/>
        </w:rPr>
        <w:t>开标流程</w:t>
      </w:r>
      <w:bookmarkEnd w:id="511"/>
    </w:p>
    <w:p>
      <w:pPr>
        <w:pStyle w:val="4"/>
        <w:rPr>
          <w:rFonts w:ascii="仿宋" w:hAnsi="仿宋" w:eastAsia="仿宋" w:cs="仿宋"/>
        </w:rPr>
      </w:pPr>
      <w:bookmarkStart w:id="512" w:name="_Toc15553"/>
      <w:r>
        <w:rPr>
          <w:rFonts w:hint="eastAsia" w:ascii="仿宋" w:hAnsi="仿宋" w:eastAsia="仿宋" w:cs="仿宋"/>
        </w:rPr>
        <w:t>1、选择参加的开标项目</w:t>
      </w:r>
      <w:bookmarkEnd w:id="512"/>
    </w:p>
    <w:p>
      <w:pPr>
        <w:jc w:val="left"/>
        <w:rPr>
          <w:rFonts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ascii="仿宋" w:hAnsi="仿宋" w:eastAsia="仿宋" w:cs="仿宋"/>
        </w:rPr>
      </w:pPr>
      <w:bookmarkStart w:id="513" w:name="_Toc31446"/>
      <w:r>
        <w:rPr>
          <w:rFonts w:hint="eastAsia" w:ascii="仿宋" w:hAnsi="仿宋" w:eastAsia="仿宋" w:cs="仿宋"/>
        </w:rPr>
        <w:t>2、阅读开标流程</w:t>
      </w:r>
      <w:bookmarkEnd w:id="513"/>
    </w:p>
    <w:p>
      <w:pPr>
        <w:jc w:val="left"/>
        <w:rPr>
          <w:rFonts w:ascii="仿宋" w:hAnsi="仿宋" w:eastAsia="仿宋" w:cs="仿宋"/>
        </w:rPr>
      </w:pPr>
      <w:r>
        <w:rPr>
          <w:rFonts w:hint="eastAsia" w:ascii="仿宋" w:hAnsi="仿宋" w:eastAsia="仿宋" w:cs="仿宋"/>
        </w:rPr>
        <w:t>供应商阅读开标流程。</w:t>
      </w:r>
    </w:p>
    <w:p>
      <w:pPr>
        <w:jc w:val="left"/>
        <w:rPr>
          <w:rFonts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ascii="仿宋" w:hAnsi="仿宋" w:eastAsia="仿宋" w:cs="仿宋"/>
        </w:rPr>
      </w:pPr>
    </w:p>
    <w:p>
      <w:pPr>
        <w:jc w:val="left"/>
        <w:rPr>
          <w:rFonts w:ascii="仿宋" w:hAnsi="仿宋" w:eastAsia="仿宋" w:cs="仿宋"/>
        </w:rPr>
      </w:pPr>
    </w:p>
    <w:p>
      <w:pPr>
        <w:pStyle w:val="4"/>
        <w:rPr>
          <w:rFonts w:ascii="仿宋" w:hAnsi="仿宋" w:eastAsia="仿宋" w:cs="仿宋"/>
        </w:rPr>
      </w:pPr>
      <w:bookmarkStart w:id="514" w:name="_Toc4728"/>
      <w:r>
        <w:rPr>
          <w:rFonts w:hint="eastAsia" w:ascii="仿宋" w:hAnsi="仿宋" w:eastAsia="仿宋" w:cs="仿宋"/>
        </w:rPr>
        <w:t>3、查看</w:t>
      </w:r>
      <w:bookmarkEnd w:id="514"/>
      <w:r>
        <w:rPr>
          <w:rFonts w:hint="eastAsia" w:ascii="仿宋" w:hAnsi="仿宋" w:eastAsia="仿宋" w:cs="仿宋"/>
        </w:rPr>
        <w:t>供应商</w:t>
      </w:r>
    </w:p>
    <w:p>
      <w:pPr>
        <w:jc w:val="left"/>
        <w:rPr>
          <w:rFonts w:ascii="仿宋" w:hAnsi="仿宋" w:eastAsia="仿宋" w:cs="仿宋"/>
        </w:rPr>
      </w:pPr>
      <w:r>
        <w:rPr>
          <w:rFonts w:hint="eastAsia" w:ascii="仿宋" w:hAnsi="仿宋" w:eastAsia="仿宋" w:cs="仿宋"/>
        </w:rPr>
        <w:t>开标时间到了后，系统会在右侧公告栏给出提醒，等待公布供应商</w:t>
      </w:r>
    </w:p>
    <w:p>
      <w:pPr>
        <w:jc w:val="left"/>
        <w:rPr>
          <w:rFonts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ascii="仿宋" w:hAnsi="仿宋" w:eastAsia="仿宋" w:cs="仿宋"/>
        </w:rPr>
      </w:pPr>
    </w:p>
    <w:p>
      <w:pPr>
        <w:pStyle w:val="4"/>
        <w:rPr>
          <w:rFonts w:ascii="仿宋" w:hAnsi="仿宋" w:eastAsia="仿宋" w:cs="仿宋"/>
        </w:rPr>
      </w:pPr>
      <w:bookmarkStart w:id="515" w:name="_Toc25373"/>
      <w:r>
        <w:rPr>
          <w:rFonts w:hint="eastAsia" w:ascii="仿宋" w:hAnsi="仿宋" w:eastAsia="仿宋" w:cs="仿宋"/>
        </w:rPr>
        <w:t>4、供应商远程解密</w:t>
      </w:r>
      <w:bookmarkEnd w:id="515"/>
    </w:p>
    <w:p>
      <w:pPr>
        <w:jc w:val="left"/>
        <w:rPr>
          <w:rFonts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2"/>
          <w:rFonts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2"/>
          <w:rFonts w:hint="eastAsia" w:ascii="仿宋" w:hAnsi="仿宋" w:eastAsia="仿宋" w:cs="仿宋"/>
        </w:rPr>
        <w:t>5、磋商响应文件批量导入</w:t>
      </w:r>
    </w:p>
    <w:p>
      <w:pPr>
        <w:jc w:val="left"/>
        <w:rPr>
          <w:rFonts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ascii="仿宋" w:hAnsi="仿宋" w:eastAsia="仿宋" w:cs="仿宋"/>
        </w:rPr>
      </w:pPr>
    </w:p>
    <w:p>
      <w:pPr>
        <w:jc w:val="left"/>
        <w:outlineLvl w:val="1"/>
        <w:rPr>
          <w:rFonts w:ascii="仿宋" w:hAnsi="仿宋" w:eastAsia="仿宋" w:cs="仿宋"/>
        </w:rPr>
      </w:pPr>
      <w:r>
        <w:rPr>
          <w:rStyle w:val="102"/>
          <w:rFonts w:hint="eastAsia" w:ascii="仿宋" w:hAnsi="仿宋" w:eastAsia="仿宋" w:cs="仿宋"/>
        </w:rPr>
        <w:t>6、唱标及公布开标结果</w:t>
      </w:r>
    </w:p>
    <w:p>
      <w:pPr>
        <w:jc w:val="left"/>
        <w:rPr>
          <w:rFonts w:ascii="仿宋" w:hAnsi="仿宋" w:eastAsia="仿宋" w:cs="仿宋"/>
        </w:rPr>
      </w:pPr>
      <w:r>
        <w:rPr>
          <w:rFonts w:hint="eastAsia" w:ascii="仿宋" w:hAnsi="仿宋" w:eastAsia="仿宋" w:cs="仿宋"/>
        </w:rPr>
        <w:t>解密成功后供应商可在线等待唱标，等待公布开标结果。</w:t>
      </w:r>
    </w:p>
    <w:p>
      <w:pPr>
        <w:jc w:val="left"/>
        <w:rPr>
          <w:rFonts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ascii="仿宋" w:hAnsi="仿宋" w:eastAsia="仿宋" w:cs="仿宋"/>
        </w:rPr>
      </w:pPr>
      <w:bookmarkStart w:id="516" w:name="_Toc17150"/>
      <w:r>
        <w:rPr>
          <w:rFonts w:hint="eastAsia" w:ascii="仿宋" w:hAnsi="仿宋" w:eastAsia="仿宋" w:cs="仿宋"/>
        </w:rPr>
        <w:t>7、开标结束</w:t>
      </w:r>
      <w:bookmarkEnd w:id="516"/>
    </w:p>
    <w:p>
      <w:pPr>
        <w:rPr>
          <w:rFonts w:ascii="仿宋" w:hAnsi="仿宋" w:eastAsia="仿宋" w:cs="仿宋"/>
        </w:rPr>
      </w:pPr>
      <w:r>
        <w:rPr>
          <w:rFonts w:hint="eastAsia" w:ascii="仿宋" w:hAnsi="仿宋" w:eastAsia="仿宋" w:cs="仿宋"/>
        </w:rPr>
        <w:t>开标结束后供应商可对开标过程进行评价。</w:t>
      </w:r>
    </w:p>
    <w:p>
      <w:pPr>
        <w:rPr>
          <w:rFonts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ascii="仿宋" w:hAnsi="仿宋" w:eastAsia="仿宋" w:cs="仿宋"/>
        </w:rPr>
      </w:pPr>
    </w:p>
    <w:p>
      <w:pPr>
        <w:pStyle w:val="3"/>
        <w:numPr>
          <w:ilvl w:val="0"/>
          <w:numId w:val="22"/>
        </w:numPr>
        <w:rPr>
          <w:rFonts w:ascii="仿宋" w:hAnsi="仿宋" w:eastAsia="仿宋" w:cs="仿宋"/>
        </w:rPr>
      </w:pPr>
      <w:r>
        <w:rPr>
          <w:rFonts w:hint="eastAsia" w:ascii="仿宋" w:hAnsi="仿宋" w:eastAsia="仿宋" w:cs="仿宋"/>
        </w:rPr>
        <w:t>其他功能介绍</w:t>
      </w:r>
    </w:p>
    <w:p>
      <w:pPr>
        <w:pStyle w:val="4"/>
        <w:rPr>
          <w:rFonts w:ascii="仿宋" w:hAnsi="仿宋" w:eastAsia="仿宋" w:cs="仿宋"/>
        </w:rPr>
      </w:pPr>
      <w:r>
        <w:rPr>
          <w:rFonts w:hint="eastAsia" w:ascii="仿宋" w:hAnsi="仿宋" w:eastAsia="仿宋" w:cs="仿宋"/>
        </w:rPr>
        <w:t>1、主持人桌面分享以及开标环境查看</w:t>
      </w:r>
    </w:p>
    <w:p>
      <w:pPr>
        <w:rPr>
          <w:rFonts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ascii="仿宋" w:hAnsi="仿宋" w:eastAsia="仿宋" w:cs="仿宋"/>
        </w:rPr>
      </w:pPr>
      <w:bookmarkStart w:id="517" w:name="_Toc22483"/>
      <w:r>
        <w:rPr>
          <w:rFonts w:hint="eastAsia" w:ascii="仿宋" w:hAnsi="仿宋" w:eastAsia="仿宋" w:cs="仿宋"/>
        </w:rPr>
        <w:t>2、互动交流</w:t>
      </w:r>
      <w:bookmarkEnd w:id="517"/>
    </w:p>
    <w:p>
      <w:pPr>
        <w:rPr>
          <w:rFonts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ascii="仿宋" w:hAnsi="仿宋" w:eastAsia="仿宋" w:cs="仿宋"/>
        </w:rPr>
      </w:pPr>
      <w:bookmarkStart w:id="518" w:name="_Toc25111"/>
      <w:r>
        <w:rPr>
          <w:rFonts w:hint="eastAsia" w:ascii="仿宋" w:hAnsi="仿宋" w:eastAsia="仿宋" w:cs="仿宋"/>
        </w:rPr>
        <w:t>3、开标异议提出及答复</w:t>
      </w:r>
      <w:bookmarkEnd w:id="518"/>
    </w:p>
    <w:p>
      <w:pPr>
        <w:rPr>
          <w:rFonts w:ascii="仿宋" w:hAnsi="仿宋" w:eastAsia="仿宋" w:cs="仿宋"/>
        </w:rPr>
      </w:pPr>
      <w:r>
        <w:rPr>
          <w:rFonts w:hint="eastAsia" w:ascii="仿宋" w:hAnsi="仿宋" w:eastAsia="仿宋" w:cs="仿宋"/>
        </w:rPr>
        <w:t>供应商可通过“开标异议文字提问”向采购代理机构提出异议</w:t>
      </w:r>
    </w:p>
    <w:p>
      <w:pPr>
        <w:rPr>
          <w:rFonts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填写异议内容、依据和理由，也可上传相关证明附件。</w:t>
      </w:r>
    </w:p>
    <w:p>
      <w:pPr>
        <w:rPr>
          <w:rFonts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ascii="仿宋" w:hAnsi="仿宋" w:eastAsia="仿宋" w:cs="仿宋"/>
        </w:rPr>
      </w:pPr>
      <w:bookmarkStart w:id="519" w:name="_Toc4916"/>
      <w:r>
        <w:rPr>
          <w:rFonts w:hint="eastAsia" w:ascii="仿宋" w:hAnsi="仿宋" w:eastAsia="仿宋" w:cs="仿宋"/>
        </w:rPr>
        <w:t>4、异议查看</w:t>
      </w:r>
      <w:bookmarkEnd w:id="519"/>
    </w:p>
    <w:p>
      <w:pPr>
        <w:rPr>
          <w:rFonts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2"/>
        </w:numPr>
        <w:rPr>
          <w:rFonts w:ascii="仿宋" w:hAnsi="仿宋" w:eastAsia="仿宋" w:cs="仿宋"/>
        </w:rPr>
      </w:pPr>
      <w:bookmarkStart w:id="520" w:name="_Toc7638"/>
      <w:r>
        <w:rPr>
          <w:rFonts w:hint="eastAsia" w:ascii="仿宋" w:hAnsi="仿宋" w:eastAsia="仿宋" w:cs="仿宋"/>
        </w:rPr>
        <w:t>注意事项</w:t>
      </w:r>
      <w:bookmarkEnd w:id="520"/>
    </w:p>
    <w:p>
      <w:pPr>
        <w:numPr>
          <w:ilvl w:val="0"/>
          <w:numId w:val="24"/>
        </w:numPr>
        <w:spacing w:line="560" w:lineRule="exact"/>
        <w:ind w:firstLine="420" w:firstLineChars="200"/>
        <w:rPr>
          <w:rFonts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4"/>
        </w:numPr>
        <w:spacing w:line="560" w:lineRule="exact"/>
        <w:ind w:firstLine="420" w:firstLineChars="200"/>
        <w:rPr>
          <w:rFonts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4"/>
        </w:numPr>
        <w:spacing w:line="560" w:lineRule="exact"/>
        <w:ind w:firstLine="420" w:firstLineChars="200"/>
        <w:rPr>
          <w:rFonts w:ascii="仿宋" w:hAnsi="仿宋" w:eastAsia="仿宋" w:cs="仿宋"/>
        </w:rPr>
      </w:pPr>
      <w:r>
        <w:rPr>
          <w:rFonts w:hint="eastAsia" w:ascii="仿宋" w:hAnsi="仿宋" w:eastAsia="仿宋" w:cs="仿宋"/>
        </w:rPr>
        <w:t>供应商需注意CA锁一定要提前准备好，并确保CA锁为制作磋商响应文件的CA锁。</w:t>
      </w:r>
    </w:p>
    <w:p>
      <w:pPr>
        <w:rPr>
          <w:rFonts w:ascii="仿宋" w:hAnsi="仿宋" w:eastAsia="仿宋" w:cs="仿宋"/>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MS Sans Serif">
    <w:altName w:val="Arial"/>
    <w:panose1 w:val="020B05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4" o:spid="_x0000_s409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89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5"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1FFCC7D"/>
    <w:multiLevelType w:val="singleLevel"/>
    <w:tmpl w:val="C1FFCC7D"/>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5">
    <w:nsid w:val="0000000E"/>
    <w:multiLevelType w:val="multilevel"/>
    <w:tmpl w:val="0000000E"/>
    <w:lvl w:ilvl="0" w:tentative="0">
      <w:start w:val="1"/>
      <w:numFmt w:val="decimal"/>
      <w:pStyle w:val="91"/>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16F7B74B"/>
    <w:multiLevelType w:val="singleLevel"/>
    <w:tmpl w:val="16F7B74B"/>
    <w:lvl w:ilvl="0" w:tentative="0">
      <w:start w:val="1"/>
      <w:numFmt w:val="chineseCounting"/>
      <w:suff w:val="nothing"/>
      <w:lvlText w:val="%1、"/>
      <w:lvlJc w:val="left"/>
      <w:rPr>
        <w:rFonts w:hint="eastAsia"/>
      </w:rPr>
    </w:lvl>
  </w:abstractNum>
  <w:abstractNum w:abstractNumId="10">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2">
    <w:nsid w:val="2C051C97"/>
    <w:multiLevelType w:val="singleLevel"/>
    <w:tmpl w:val="2C051C97"/>
    <w:lvl w:ilvl="0" w:tentative="0">
      <w:start w:val="4"/>
      <w:numFmt w:val="chineseCounting"/>
      <w:suff w:val="space"/>
      <w:lvlText w:val="第%1章"/>
      <w:lvlJc w:val="left"/>
      <w:rPr>
        <w:rFonts w:hint="eastAsia"/>
      </w:rPr>
    </w:lvl>
  </w:abstractNum>
  <w:abstractNum w:abstractNumId="13">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339CA047"/>
    <w:multiLevelType w:val="singleLevel"/>
    <w:tmpl w:val="339CA047"/>
    <w:lvl w:ilvl="0" w:tentative="0">
      <w:start w:val="15"/>
      <w:numFmt w:val="decimal"/>
      <w:suff w:val="space"/>
      <w:lvlText w:val="%1."/>
      <w:lvlJc w:val="left"/>
    </w:lvl>
  </w:abstractNum>
  <w:abstractNum w:abstractNumId="15">
    <w:nsid w:val="359CB8E8"/>
    <w:multiLevelType w:val="singleLevel"/>
    <w:tmpl w:val="359CB8E8"/>
    <w:lvl w:ilvl="0" w:tentative="0">
      <w:start w:val="1"/>
      <w:numFmt w:val="chineseCounting"/>
      <w:suff w:val="nothing"/>
      <w:lvlText w:val="%1、"/>
      <w:lvlJc w:val="left"/>
      <w:rPr>
        <w:rFonts w:hint="eastAsia"/>
      </w:rPr>
    </w:lvl>
  </w:abstractNum>
  <w:abstractNum w:abstractNumId="1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8">
    <w:nsid w:val="5AA8DCB0"/>
    <w:multiLevelType w:val="singleLevel"/>
    <w:tmpl w:val="5AA8DCB0"/>
    <w:lvl w:ilvl="0" w:tentative="0">
      <w:start w:val="1"/>
      <w:numFmt w:val="decimal"/>
      <w:suff w:val="nothing"/>
      <w:lvlText w:val="%1、"/>
      <w:lvlJc w:val="left"/>
    </w:lvl>
  </w:abstractNum>
  <w:abstractNum w:abstractNumId="19">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20">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2">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B20B617"/>
    <w:multiLevelType w:val="singleLevel"/>
    <w:tmpl w:val="7B20B617"/>
    <w:lvl w:ilvl="0" w:tentative="0">
      <w:start w:val="1"/>
      <w:numFmt w:val="decimal"/>
      <w:suff w:val="nothing"/>
      <w:lvlText w:val="%1、"/>
      <w:lvlJc w:val="left"/>
    </w:lvl>
  </w:abstractNum>
  <w:num w:numId="1">
    <w:abstractNumId w:val="6"/>
  </w:num>
  <w:num w:numId="2">
    <w:abstractNumId w:val="5"/>
  </w:num>
  <w:num w:numId="3">
    <w:abstractNumId w:val="20"/>
  </w:num>
  <w:num w:numId="4">
    <w:abstractNumId w:val="22"/>
  </w:num>
  <w:num w:numId="5">
    <w:abstractNumId w:val="16"/>
  </w:num>
  <w:num w:numId="6">
    <w:abstractNumId w:val="11"/>
  </w:num>
  <w:num w:numId="7">
    <w:abstractNumId w:val="17"/>
  </w:num>
  <w:num w:numId="8">
    <w:abstractNumId w:val="4"/>
  </w:num>
  <w:num w:numId="9">
    <w:abstractNumId w:val="14"/>
  </w:num>
  <w:num w:numId="10">
    <w:abstractNumId w:val="8"/>
  </w:num>
  <w:num w:numId="11">
    <w:abstractNumId w:val="3"/>
  </w:num>
  <w:num w:numId="12">
    <w:abstractNumId w:val="19"/>
  </w:num>
  <w:num w:numId="13">
    <w:abstractNumId w:val="12"/>
  </w:num>
  <w:num w:numId="14">
    <w:abstractNumId w:val="0"/>
  </w:num>
  <w:num w:numId="15">
    <w:abstractNumId w:val="1"/>
  </w:num>
  <w:num w:numId="16">
    <w:abstractNumId w:val="18"/>
  </w:num>
  <w:num w:numId="17">
    <w:abstractNumId w:val="10"/>
  </w:num>
  <w:num w:numId="18">
    <w:abstractNumId w:val="21"/>
  </w:num>
  <w:num w:numId="19">
    <w:abstractNumId w:val="7"/>
  </w:num>
  <w:num w:numId="20">
    <w:abstractNumId w:val="13"/>
  </w:num>
  <w:num w:numId="21">
    <w:abstractNumId w:val="15"/>
  </w:num>
  <w:num w:numId="22">
    <w:abstractNumId w:val="9"/>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oNotDisplayPageBoundaries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mVhY2IxMTI5MjY5NDg0MmY4Njg0OGNkYjE0OWYzMTg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A7C08"/>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4AA"/>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35F5"/>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BB5882"/>
    <w:rsid w:val="0D1A60CC"/>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084BC5"/>
    <w:rsid w:val="141C612A"/>
    <w:rsid w:val="142A3E2D"/>
    <w:rsid w:val="144A7973"/>
    <w:rsid w:val="14AD546B"/>
    <w:rsid w:val="14FB7DA2"/>
    <w:rsid w:val="158710F3"/>
    <w:rsid w:val="15C772F3"/>
    <w:rsid w:val="15CE4C34"/>
    <w:rsid w:val="15F0775C"/>
    <w:rsid w:val="160A00B1"/>
    <w:rsid w:val="160A0AD0"/>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5C4BA0"/>
    <w:rsid w:val="43B613AF"/>
    <w:rsid w:val="43D625E1"/>
    <w:rsid w:val="44781DAA"/>
    <w:rsid w:val="44CA357E"/>
    <w:rsid w:val="452A12B9"/>
    <w:rsid w:val="455C4456"/>
    <w:rsid w:val="45CF460B"/>
    <w:rsid w:val="45E27E1E"/>
    <w:rsid w:val="461D562C"/>
    <w:rsid w:val="470316C4"/>
    <w:rsid w:val="47647DBB"/>
    <w:rsid w:val="476F4FDA"/>
    <w:rsid w:val="47802EE5"/>
    <w:rsid w:val="479031DC"/>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B13EC2"/>
    <w:rsid w:val="4BF72474"/>
    <w:rsid w:val="4C4F0B45"/>
    <w:rsid w:val="4C892141"/>
    <w:rsid w:val="4D775CC7"/>
    <w:rsid w:val="4DA969FC"/>
    <w:rsid w:val="4DB73FDD"/>
    <w:rsid w:val="4E16053E"/>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737F77"/>
    <w:rsid w:val="62F475B6"/>
    <w:rsid w:val="630C6A64"/>
    <w:rsid w:val="63847100"/>
    <w:rsid w:val="63964CCA"/>
    <w:rsid w:val="6399764D"/>
    <w:rsid w:val="63F44853"/>
    <w:rsid w:val="652A2E44"/>
    <w:rsid w:val="654E4849"/>
    <w:rsid w:val="65686657"/>
    <w:rsid w:val="65BD69EB"/>
    <w:rsid w:val="664977CF"/>
    <w:rsid w:val="66C719F1"/>
    <w:rsid w:val="66EC4975"/>
    <w:rsid w:val="67016B09"/>
    <w:rsid w:val="671431D5"/>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5E2FB2"/>
    <w:rsid w:val="6F3657AD"/>
    <w:rsid w:val="6F4034D9"/>
    <w:rsid w:val="6F59436E"/>
    <w:rsid w:val="6F927414"/>
    <w:rsid w:val="6F974373"/>
    <w:rsid w:val="6FC74058"/>
    <w:rsid w:val="6FD956FC"/>
    <w:rsid w:val="70040E87"/>
    <w:rsid w:val="700C0F2F"/>
    <w:rsid w:val="704871A4"/>
    <w:rsid w:val="70592DFA"/>
    <w:rsid w:val="70694F36"/>
    <w:rsid w:val="70880C5C"/>
    <w:rsid w:val="70901A28"/>
    <w:rsid w:val="70B523D0"/>
    <w:rsid w:val="70DD3906"/>
    <w:rsid w:val="71690108"/>
    <w:rsid w:val="719B076B"/>
    <w:rsid w:val="73393BC2"/>
    <w:rsid w:val="73662BEC"/>
    <w:rsid w:val="737B44DB"/>
    <w:rsid w:val="74262B1B"/>
    <w:rsid w:val="74A6094A"/>
    <w:rsid w:val="74CC21DF"/>
    <w:rsid w:val="74E16F35"/>
    <w:rsid w:val="75062ACB"/>
    <w:rsid w:val="75532D3D"/>
    <w:rsid w:val="75B45F10"/>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0"/>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2"/>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2"/>
    <w:qFormat/>
    <w:uiPriority w:val="99"/>
    <w:pPr>
      <w:tabs>
        <w:tab w:val="left" w:pos="588"/>
      </w:tabs>
      <w:spacing w:line="360" w:lineRule="auto"/>
      <w:outlineLvl w:val="2"/>
    </w:pPr>
    <w:rPr>
      <w:rFonts w:ascii="Tahoma" w:hAnsi="Tahoma"/>
    </w:rPr>
  </w:style>
  <w:style w:type="paragraph" w:styleId="7">
    <w:name w:val="heading 4"/>
    <w:basedOn w:val="1"/>
    <w:next w:val="1"/>
    <w:link w:val="139"/>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1"/>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2"/>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2"/>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7"/>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4"/>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3"/>
    <w:qFormat/>
    <w:uiPriority w:val="99"/>
    <w:pPr>
      <w:spacing w:line="360" w:lineRule="auto"/>
    </w:pPr>
    <w:rPr>
      <w:rFonts w:ascii="Tahoma" w:hAnsi="Tahoma"/>
    </w:rPr>
  </w:style>
  <w:style w:type="paragraph" w:styleId="6">
    <w:name w:val="Normal Indent"/>
    <w:basedOn w:val="1"/>
    <w:link w:val="135"/>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199"/>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3"/>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29"/>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99"/>
    <w:qFormat/>
    <w:uiPriority w:val="0"/>
    <w:pPr>
      <w:jc w:val="left"/>
    </w:pPr>
    <w:rPr>
      <w:rFonts w:ascii="Tahoma" w:hAnsi="Tahoma"/>
    </w:rPr>
  </w:style>
  <w:style w:type="paragraph" w:styleId="21">
    <w:name w:val="Salutation"/>
    <w:basedOn w:val="15"/>
    <w:next w:val="15"/>
    <w:link w:val="198"/>
    <w:qFormat/>
    <w:uiPriority w:val="0"/>
    <w:rPr>
      <w:rFonts w:ascii="..ì." w:eastAsia="..ì." w:cs="Times New Roman"/>
      <w:color w:val="auto"/>
      <w:szCs w:val="20"/>
    </w:rPr>
  </w:style>
  <w:style w:type="paragraph" w:styleId="22">
    <w:name w:val="Body Text 3"/>
    <w:basedOn w:val="1"/>
    <w:link w:val="206"/>
    <w:qFormat/>
    <w:uiPriority w:val="99"/>
    <w:pPr>
      <w:spacing w:after="120"/>
    </w:pPr>
    <w:rPr>
      <w:rFonts w:eastAsia="宋体"/>
      <w:sz w:val="16"/>
      <w:szCs w:val="16"/>
    </w:rPr>
  </w:style>
  <w:style w:type="paragraph" w:styleId="23">
    <w:name w:val="Body Text Indent"/>
    <w:basedOn w:val="1"/>
    <w:link w:val="16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0"/>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6"/>
    <w:qFormat/>
    <w:uiPriority w:val="99"/>
    <w:pPr>
      <w:spacing w:line="360" w:lineRule="auto"/>
      <w:ind w:left="2500" w:leftChars="2500"/>
    </w:pPr>
    <w:rPr>
      <w:rFonts w:ascii="Tahoma" w:hAnsi="Tahoma"/>
    </w:rPr>
  </w:style>
  <w:style w:type="paragraph" w:styleId="31">
    <w:name w:val="Body Text Indent 2"/>
    <w:basedOn w:val="1"/>
    <w:link w:val="161"/>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5"/>
    <w:qFormat/>
    <w:uiPriority w:val="0"/>
    <w:rPr>
      <w:sz w:val="18"/>
      <w:szCs w:val="18"/>
    </w:rPr>
  </w:style>
  <w:style w:type="paragraph" w:styleId="33">
    <w:name w:val="footer"/>
    <w:basedOn w:val="1"/>
    <w:link w:val="136"/>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09"/>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7"/>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3"/>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27"/>
    <w:unhideWhenUsed/>
    <w:qFormat/>
    <w:uiPriority w:val="99"/>
    <w:pPr>
      <w:spacing w:line="440" w:lineRule="exact"/>
    </w:pPr>
    <w:rPr>
      <w:b/>
      <w:bCs/>
      <w:sz w:val="24"/>
      <w:szCs w:val="28"/>
    </w:rPr>
  </w:style>
  <w:style w:type="paragraph" w:styleId="48">
    <w:name w:val="Body Text First Indent"/>
    <w:basedOn w:val="2"/>
    <w:link w:val="130"/>
    <w:qFormat/>
    <w:uiPriority w:val="0"/>
    <w:pPr>
      <w:spacing w:after="120" w:line="240" w:lineRule="auto"/>
      <w:ind w:firstLine="100" w:firstLineChars="100"/>
    </w:pPr>
  </w:style>
  <w:style w:type="paragraph" w:styleId="49">
    <w:name w:val="Body Text First Indent 2"/>
    <w:basedOn w:val="23"/>
    <w:link w:val="16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4">
    <w:name w:val="列出段落2"/>
    <w:basedOn w:val="1"/>
    <w:unhideWhenUsed/>
    <w:qFormat/>
    <w:uiPriority w:val="0"/>
    <w:pPr>
      <w:ind w:firstLine="420" w:firstLineChars="200"/>
    </w:pPr>
  </w:style>
  <w:style w:type="paragraph" w:customStyle="1" w:styleId="65">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6">
    <w:name w:val="_Style 67"/>
    <w:basedOn w:val="1"/>
    <w:next w:val="67"/>
    <w:qFormat/>
    <w:uiPriority w:val="99"/>
    <w:pPr>
      <w:ind w:firstLine="420" w:firstLineChars="200"/>
    </w:pPr>
    <w:rPr>
      <w:rFonts w:ascii="Calibri" w:hAnsi="Calibri"/>
      <w:szCs w:val="22"/>
    </w:rPr>
  </w:style>
  <w:style w:type="paragraph" w:styleId="67">
    <w:name w:val="List Paragraph"/>
    <w:basedOn w:val="1"/>
    <w:qFormat/>
    <w:uiPriority w:val="34"/>
    <w:pPr>
      <w:ind w:firstLine="420" w:firstLineChars="200"/>
    </w:pPr>
    <w:rPr>
      <w:rFonts w:ascii="Calibri" w:hAnsi="Calibri" w:eastAsia="宋体"/>
      <w:szCs w:val="22"/>
    </w:rPr>
  </w:style>
  <w:style w:type="paragraph" w:customStyle="1" w:styleId="68">
    <w:name w:val="_Style 2"/>
    <w:basedOn w:val="1"/>
    <w:qFormat/>
    <w:uiPriority w:val="34"/>
    <w:pPr>
      <w:ind w:firstLine="420" w:firstLineChars="200"/>
    </w:pPr>
    <w:rPr>
      <w:rFonts w:ascii="Calibri" w:hAnsi="Calibri"/>
      <w:szCs w:val="22"/>
    </w:rPr>
  </w:style>
  <w:style w:type="paragraph" w:customStyle="1" w:styleId="69">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0">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1">
    <w:name w:val="封面落款"/>
    <w:basedOn w:val="1"/>
    <w:qFormat/>
    <w:uiPriority w:val="0"/>
    <w:pPr>
      <w:spacing w:line="360" w:lineRule="auto"/>
      <w:jc w:val="center"/>
    </w:pPr>
    <w:rPr>
      <w:rFonts w:ascii="Arial" w:hAnsi="Arial" w:eastAsia="黑体"/>
      <w:sz w:val="32"/>
      <w:szCs w:val="28"/>
    </w:rPr>
  </w:style>
  <w:style w:type="paragraph" w:customStyle="1" w:styleId="72">
    <w:name w:val="目录"/>
    <w:link w:val="104"/>
    <w:qFormat/>
    <w:uiPriority w:val="0"/>
    <w:pPr>
      <w:spacing w:before="156" w:after="156"/>
    </w:pPr>
    <w:rPr>
      <w:rFonts w:ascii="仿宋_GB2312" w:hAnsi="宋体" w:eastAsia="仿宋_GB2312" w:cs="Times New Roman"/>
      <w:sz w:val="28"/>
      <w:szCs w:val="28"/>
      <w:lang w:val="en-US" w:eastAsia="zh-CN" w:bidi="ar-SA"/>
    </w:rPr>
  </w:style>
  <w:style w:type="paragraph" w:customStyle="1" w:styleId="73">
    <w:name w:val="表格字体小四"/>
    <w:link w:val="103"/>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4">
    <w:name w:val="样式 标题 5 + 小四"/>
    <w:basedOn w:val="8"/>
    <w:qFormat/>
    <w:uiPriority w:val="0"/>
    <w:pPr>
      <w:tabs>
        <w:tab w:val="left" w:pos="567"/>
      </w:tabs>
      <w:wordWrap w:val="0"/>
      <w:spacing w:line="377" w:lineRule="auto"/>
      <w:ind w:left="567" w:hanging="567"/>
      <w:jc w:val="left"/>
    </w:pPr>
  </w:style>
  <w:style w:type="paragraph" w:customStyle="1" w:styleId="75">
    <w:name w:val="表格格式"/>
    <w:basedOn w:val="1"/>
    <w:qFormat/>
    <w:uiPriority w:val="0"/>
    <w:pPr>
      <w:adjustRightInd w:val="0"/>
      <w:snapToGrid w:val="0"/>
      <w:jc w:val="left"/>
      <w:textAlignment w:val="baseline"/>
    </w:pPr>
    <w:rPr>
      <w:rFonts w:ascii="宋体"/>
      <w:kern w:val="0"/>
      <w:szCs w:val="20"/>
    </w:rPr>
  </w:style>
  <w:style w:type="paragraph" w:customStyle="1" w:styleId="76">
    <w:name w:val="样式5"/>
    <w:basedOn w:val="6"/>
    <w:qFormat/>
    <w:uiPriority w:val="0"/>
    <w:pPr>
      <w:ind w:firstLine="420"/>
    </w:pPr>
    <w:rPr>
      <w:sz w:val="21"/>
      <w:szCs w:val="21"/>
    </w:rPr>
  </w:style>
  <w:style w:type="paragraph" w:customStyle="1" w:styleId="77">
    <w:name w:val="标题2"/>
    <w:basedOn w:val="4"/>
    <w:next w:val="1"/>
    <w:link w:val="94"/>
    <w:qFormat/>
    <w:uiPriority w:val="0"/>
    <w:pPr>
      <w:widowControl/>
      <w:spacing w:beforeLines="10" w:afterLines="10" w:line="240" w:lineRule="auto"/>
      <w:jc w:val="left"/>
    </w:pPr>
    <w:rPr>
      <w:rFonts w:ascii="Times New Roman" w:hAnsi="Times New Roman" w:eastAsia="黑体"/>
      <w:b/>
      <w:bCs/>
      <w:szCs w:val="24"/>
    </w:rPr>
  </w:style>
  <w:style w:type="paragraph" w:customStyle="1" w:styleId="78">
    <w:name w:val="三级"/>
    <w:basedOn w:val="4"/>
    <w:link w:val="105"/>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79">
    <w:name w:val="样式2"/>
    <w:basedOn w:val="1"/>
    <w:link w:val="117"/>
    <w:qFormat/>
    <w:uiPriority w:val="0"/>
    <w:pPr>
      <w:spacing w:line="300" w:lineRule="auto"/>
      <w:jc w:val="center"/>
      <w:outlineLvl w:val="0"/>
    </w:pPr>
    <w:rPr>
      <w:b/>
      <w:sz w:val="24"/>
    </w:rPr>
  </w:style>
  <w:style w:type="paragraph" w:customStyle="1" w:styleId="80">
    <w:name w:val="Char1"/>
    <w:basedOn w:val="1"/>
    <w:qFormat/>
    <w:uiPriority w:val="0"/>
    <w:pPr>
      <w:adjustRightInd w:val="0"/>
      <w:spacing w:line="360" w:lineRule="auto"/>
    </w:pPr>
    <w:rPr>
      <w:kern w:val="0"/>
      <w:sz w:val="24"/>
      <w:szCs w:val="20"/>
    </w:rPr>
  </w:style>
  <w:style w:type="paragraph" w:customStyle="1" w:styleId="81">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2">
    <w:name w:val="标题3"/>
    <w:basedOn w:val="5"/>
    <w:next w:val="1"/>
    <w:link w:val="138"/>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3">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4">
    <w:name w:val="表格标题"/>
    <w:basedOn w:val="16"/>
    <w:link w:val="131"/>
    <w:qFormat/>
    <w:uiPriority w:val="0"/>
    <w:pPr>
      <w:spacing w:before="152" w:after="160" w:line="420" w:lineRule="exact"/>
      <w:ind w:firstLine="480" w:firstLineChars="200"/>
      <w:jc w:val="center"/>
    </w:pPr>
    <w:rPr>
      <w:rFonts w:ascii="Arial" w:hAnsi="Arial" w:eastAsia="宋体"/>
      <w:sz w:val="24"/>
      <w:szCs w:val="24"/>
    </w:rPr>
  </w:style>
  <w:style w:type="paragraph" w:customStyle="1" w:styleId="85">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6">
    <w:name w:val="图片"/>
    <w:basedOn w:val="1"/>
    <w:link w:val="119"/>
    <w:qFormat/>
    <w:uiPriority w:val="0"/>
    <w:pPr>
      <w:jc w:val="center"/>
    </w:pPr>
    <w:rPr>
      <w:sz w:val="28"/>
      <w:szCs w:val="28"/>
    </w:rPr>
  </w:style>
  <w:style w:type="paragraph" w:customStyle="1" w:styleId="87">
    <w:name w:val="正文首行缩进1"/>
    <w:basedOn w:val="2"/>
    <w:qFormat/>
    <w:uiPriority w:val="0"/>
    <w:pPr>
      <w:suppressAutoHyphens/>
      <w:spacing w:line="300" w:lineRule="auto"/>
      <w:ind w:left="426"/>
    </w:pPr>
    <w:rPr>
      <w:rFonts w:ascii="宋体" w:hAnsi="宋体"/>
      <w:szCs w:val="20"/>
    </w:rPr>
  </w:style>
  <w:style w:type="paragraph" w:customStyle="1" w:styleId="88">
    <w:name w:val="纯文本1"/>
    <w:basedOn w:val="1"/>
    <w:qFormat/>
    <w:uiPriority w:val="0"/>
    <w:rPr>
      <w:rFonts w:ascii="宋体" w:hAnsi="Courier New"/>
    </w:rPr>
  </w:style>
  <w:style w:type="paragraph" w:customStyle="1" w:styleId="89">
    <w:name w:val="样式 首行不缩进"/>
    <w:basedOn w:val="1"/>
    <w:qFormat/>
    <w:uiPriority w:val="0"/>
    <w:pPr>
      <w:spacing w:before="120" w:after="120" w:line="360" w:lineRule="auto"/>
      <w:jc w:val="center"/>
    </w:pPr>
    <w:rPr>
      <w:rFonts w:cs="宋体"/>
      <w:sz w:val="24"/>
      <w:szCs w:val="20"/>
    </w:rPr>
  </w:style>
  <w:style w:type="paragraph" w:customStyle="1" w:styleId="90">
    <w:name w:val="图题"/>
    <w:link w:val="113"/>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1">
    <w:name w:val="小列表"/>
    <w:basedOn w:val="1"/>
    <w:link w:val="97"/>
    <w:qFormat/>
    <w:uiPriority w:val="0"/>
    <w:pPr>
      <w:numPr>
        <w:ilvl w:val="0"/>
        <w:numId w:val="2"/>
      </w:numPr>
      <w:autoSpaceDE w:val="0"/>
      <w:autoSpaceDN w:val="0"/>
      <w:spacing w:line="440" w:lineRule="exact"/>
      <w:ind w:firstLine="0"/>
    </w:pPr>
    <w:rPr>
      <w:sz w:val="24"/>
      <w:szCs w:val="28"/>
    </w:rPr>
  </w:style>
  <w:style w:type="paragraph" w:customStyle="1" w:styleId="92">
    <w:name w:val="表格正文"/>
    <w:basedOn w:val="1"/>
    <w:qFormat/>
    <w:uiPriority w:val="0"/>
    <w:pPr>
      <w:widowControl/>
      <w:snapToGrid w:val="0"/>
      <w:spacing w:before="60" w:after="60"/>
      <w:ind w:left="11"/>
      <w:jc w:val="center"/>
    </w:pPr>
    <w:rPr>
      <w:kern w:val="0"/>
      <w:szCs w:val="21"/>
    </w:rPr>
  </w:style>
  <w:style w:type="character" w:customStyle="1" w:styleId="93">
    <w:name w:val="题注 Char"/>
    <w:link w:val="16"/>
    <w:qFormat/>
    <w:uiPriority w:val="0"/>
    <w:rPr>
      <w:rFonts w:ascii="华文中宋" w:eastAsia="华文中宋"/>
      <w:kern w:val="2"/>
      <w:sz w:val="36"/>
    </w:rPr>
  </w:style>
  <w:style w:type="character" w:customStyle="1" w:styleId="94">
    <w:name w:val="标题2 Char Char"/>
    <w:link w:val="77"/>
    <w:qFormat/>
    <w:uiPriority w:val="0"/>
    <w:rPr>
      <w:rFonts w:eastAsia="黑体"/>
      <w:kern w:val="2"/>
      <w:sz w:val="32"/>
      <w:szCs w:val="24"/>
    </w:rPr>
  </w:style>
  <w:style w:type="character" w:customStyle="1" w:styleId="95">
    <w:name w:val="批注框文本 Char"/>
    <w:link w:val="32"/>
    <w:qFormat/>
    <w:uiPriority w:val="0"/>
    <w:rPr>
      <w:kern w:val="2"/>
      <w:sz w:val="18"/>
      <w:szCs w:val="18"/>
    </w:rPr>
  </w:style>
  <w:style w:type="character" w:customStyle="1" w:styleId="96">
    <w:name w:val="refresh"/>
    <w:basedOn w:val="52"/>
    <w:qFormat/>
    <w:uiPriority w:val="0"/>
  </w:style>
  <w:style w:type="character" w:customStyle="1" w:styleId="97">
    <w:name w:val="小列表 Char Char"/>
    <w:link w:val="91"/>
    <w:qFormat/>
    <w:uiPriority w:val="0"/>
    <w:rPr>
      <w:rFonts w:ascii="Times New Roman" w:hAnsi="Times New Roman" w:eastAsia="Arial Unicode MS" w:cs="Times New Roman"/>
      <w:kern w:val="2"/>
      <w:sz w:val="24"/>
      <w:szCs w:val="28"/>
    </w:rPr>
  </w:style>
  <w:style w:type="character" w:customStyle="1" w:styleId="98">
    <w:name w:val="del"/>
    <w:basedOn w:val="52"/>
    <w:qFormat/>
    <w:uiPriority w:val="0"/>
  </w:style>
  <w:style w:type="character" w:customStyle="1" w:styleId="99">
    <w:name w:val="批注文字 Char1"/>
    <w:link w:val="20"/>
    <w:qFormat/>
    <w:uiPriority w:val="0"/>
    <w:rPr>
      <w:rFonts w:ascii="Tahoma" w:hAnsi="Tahoma"/>
      <w:kern w:val="2"/>
      <w:sz w:val="21"/>
      <w:szCs w:val="24"/>
    </w:rPr>
  </w:style>
  <w:style w:type="character" w:customStyle="1" w:styleId="100">
    <w:name w:val="正文缩进 Char1"/>
    <w:qFormat/>
    <w:uiPriority w:val="0"/>
    <w:rPr>
      <w:rFonts w:eastAsia="宋体"/>
      <w:kern w:val="2"/>
      <w:sz w:val="21"/>
      <w:szCs w:val="24"/>
      <w:lang w:val="en-US" w:eastAsia="zh-CN" w:bidi="ar-SA"/>
    </w:rPr>
  </w:style>
  <w:style w:type="character" w:customStyle="1" w:styleId="101">
    <w:name w:val="标题 5 Char"/>
    <w:link w:val="8"/>
    <w:qFormat/>
    <w:uiPriority w:val="99"/>
    <w:rPr>
      <w:b/>
      <w:bCs/>
      <w:kern w:val="2"/>
      <w:sz w:val="24"/>
      <w:szCs w:val="28"/>
    </w:rPr>
  </w:style>
  <w:style w:type="character" w:customStyle="1" w:styleId="102">
    <w:name w:val="标题 2 Char"/>
    <w:link w:val="4"/>
    <w:qFormat/>
    <w:uiPriority w:val="99"/>
    <w:rPr>
      <w:rFonts w:ascii="Cambria" w:hAnsi="Cambria"/>
      <w:b/>
      <w:bCs/>
      <w:kern w:val="2"/>
      <w:sz w:val="32"/>
      <w:szCs w:val="32"/>
    </w:rPr>
  </w:style>
  <w:style w:type="character" w:customStyle="1" w:styleId="103">
    <w:name w:val="表格字体小四 Char Char"/>
    <w:link w:val="73"/>
    <w:qFormat/>
    <w:uiPriority w:val="0"/>
    <w:rPr>
      <w:kern w:val="2"/>
      <w:sz w:val="24"/>
      <w:szCs w:val="24"/>
      <w:lang w:val="en-US" w:eastAsia="zh-CN" w:bidi="ar-SA"/>
    </w:rPr>
  </w:style>
  <w:style w:type="character" w:customStyle="1" w:styleId="104">
    <w:name w:val="目录 Char Char"/>
    <w:link w:val="72"/>
    <w:qFormat/>
    <w:uiPriority w:val="0"/>
    <w:rPr>
      <w:rFonts w:ascii="仿宋_GB2312" w:hAnsi="宋体" w:eastAsia="仿宋_GB2312"/>
      <w:sz w:val="28"/>
      <w:szCs w:val="28"/>
      <w:lang w:val="en-US" w:eastAsia="zh-CN" w:bidi="ar-SA"/>
    </w:rPr>
  </w:style>
  <w:style w:type="character" w:customStyle="1" w:styleId="105">
    <w:name w:val="三级 Char Char"/>
    <w:link w:val="78"/>
    <w:qFormat/>
    <w:uiPriority w:val="0"/>
    <w:rPr>
      <w:rFonts w:eastAsia="黑体"/>
      <w:bCs/>
      <w:kern w:val="2"/>
      <w:sz w:val="30"/>
      <w:szCs w:val="24"/>
    </w:rPr>
  </w:style>
  <w:style w:type="character" w:customStyle="1" w:styleId="106">
    <w:name w:val="label"/>
    <w:basedOn w:val="52"/>
    <w:qFormat/>
    <w:uiPriority w:val="0"/>
  </w:style>
  <w:style w:type="character" w:customStyle="1" w:styleId="107">
    <w:name w:val="标题 8 Char"/>
    <w:link w:val="11"/>
    <w:qFormat/>
    <w:uiPriority w:val="99"/>
    <w:rPr>
      <w:rFonts w:ascii="Arial" w:hAnsi="Arial" w:eastAsia="黑体"/>
      <w:kern w:val="2"/>
      <w:sz w:val="24"/>
      <w:szCs w:val="28"/>
    </w:rPr>
  </w:style>
  <w:style w:type="character" w:customStyle="1" w:styleId="108">
    <w:name w:val="open2"/>
    <w:basedOn w:val="52"/>
    <w:qFormat/>
    <w:uiPriority w:val="0"/>
  </w:style>
  <w:style w:type="character" w:customStyle="1" w:styleId="109">
    <w:name w:val="15"/>
    <w:qFormat/>
    <w:uiPriority w:val="0"/>
    <w:rPr>
      <w:rFonts w:hint="default" w:ascii="Calibri" w:hAnsi="Calibri" w:cs="Calibri"/>
      <w:color w:val="0000FF"/>
      <w:u w:val="single"/>
    </w:rPr>
  </w:style>
  <w:style w:type="character" w:customStyle="1" w:styleId="110">
    <w:name w:val="trans"/>
    <w:basedOn w:val="52"/>
    <w:qFormat/>
    <w:uiPriority w:val="0"/>
  </w:style>
  <w:style w:type="character" w:customStyle="1" w:styleId="111">
    <w:name w:val="del2"/>
    <w:basedOn w:val="52"/>
    <w:qFormat/>
    <w:uiPriority w:val="0"/>
  </w:style>
  <w:style w:type="character" w:customStyle="1" w:styleId="112">
    <w:name w:val="标题 3 Char"/>
    <w:link w:val="5"/>
    <w:qFormat/>
    <w:uiPriority w:val="0"/>
    <w:rPr>
      <w:rFonts w:ascii="Tahoma" w:hAnsi="Tahoma"/>
      <w:b/>
      <w:bCs/>
      <w:kern w:val="2"/>
      <w:sz w:val="32"/>
      <w:szCs w:val="32"/>
    </w:rPr>
  </w:style>
  <w:style w:type="character" w:customStyle="1" w:styleId="113">
    <w:name w:val="图题 Char Char"/>
    <w:link w:val="90"/>
    <w:qFormat/>
    <w:uiPriority w:val="0"/>
    <w:rPr>
      <w:kern w:val="2"/>
      <w:sz w:val="24"/>
      <w:szCs w:val="24"/>
      <w:lang w:val="en-US" w:eastAsia="zh-CN" w:bidi="ar-SA"/>
    </w:rPr>
  </w:style>
  <w:style w:type="character" w:customStyle="1" w:styleId="114">
    <w:name w:val="pagelinks"/>
    <w:basedOn w:val="52"/>
    <w:qFormat/>
    <w:uiPriority w:val="0"/>
  </w:style>
  <w:style w:type="character" w:customStyle="1" w:styleId="115">
    <w:name w:val="morewin"/>
    <w:basedOn w:val="52"/>
    <w:qFormat/>
    <w:uiPriority w:val="0"/>
  </w:style>
  <w:style w:type="character" w:customStyle="1" w:styleId="116">
    <w:name w:val="open"/>
    <w:basedOn w:val="52"/>
    <w:qFormat/>
    <w:uiPriority w:val="0"/>
  </w:style>
  <w:style w:type="character" w:customStyle="1" w:styleId="117">
    <w:name w:val="样式2 Char Char"/>
    <w:link w:val="79"/>
    <w:qFormat/>
    <w:uiPriority w:val="0"/>
    <w:rPr>
      <w:b/>
      <w:kern w:val="2"/>
      <w:sz w:val="24"/>
      <w:szCs w:val="24"/>
    </w:rPr>
  </w:style>
  <w:style w:type="character" w:customStyle="1" w:styleId="118">
    <w:name w:val="批注文字 Char"/>
    <w:qFormat/>
    <w:uiPriority w:val="99"/>
    <w:rPr>
      <w:kern w:val="2"/>
      <w:sz w:val="24"/>
      <w:szCs w:val="28"/>
    </w:rPr>
  </w:style>
  <w:style w:type="character" w:customStyle="1" w:styleId="119">
    <w:name w:val="图片 Char Char"/>
    <w:link w:val="86"/>
    <w:qFormat/>
    <w:uiPriority w:val="0"/>
    <w:rPr>
      <w:kern w:val="2"/>
      <w:sz w:val="28"/>
      <w:szCs w:val="28"/>
    </w:rPr>
  </w:style>
  <w:style w:type="character" w:customStyle="1" w:styleId="120">
    <w:name w:val="标题 1 Char"/>
    <w:link w:val="3"/>
    <w:qFormat/>
    <w:uiPriority w:val="0"/>
    <w:rPr>
      <w:rFonts w:ascii="Tahoma" w:hAnsi="Tahoma"/>
      <w:b/>
      <w:bCs/>
      <w:kern w:val="44"/>
      <w:sz w:val="24"/>
      <w:szCs w:val="44"/>
    </w:rPr>
  </w:style>
  <w:style w:type="character" w:customStyle="1" w:styleId="121">
    <w:name w:val="页眉 Char"/>
    <w:link w:val="34"/>
    <w:qFormat/>
    <w:uiPriority w:val="99"/>
    <w:rPr>
      <w:rFonts w:ascii="Tahoma" w:hAnsi="Tahoma"/>
      <w:kern w:val="2"/>
      <w:sz w:val="18"/>
      <w:szCs w:val="18"/>
    </w:rPr>
  </w:style>
  <w:style w:type="character" w:customStyle="1" w:styleId="122">
    <w:name w:val="标题 7 Char"/>
    <w:link w:val="10"/>
    <w:qFormat/>
    <w:uiPriority w:val="99"/>
    <w:rPr>
      <w:b/>
      <w:bCs/>
      <w:kern w:val="2"/>
      <w:sz w:val="24"/>
      <w:szCs w:val="28"/>
    </w:rPr>
  </w:style>
  <w:style w:type="character" w:customStyle="1" w:styleId="123">
    <w:name w:val="标题 Char"/>
    <w:link w:val="46"/>
    <w:qFormat/>
    <w:uiPriority w:val="99"/>
    <w:rPr>
      <w:rFonts w:ascii="Cambria" w:hAnsi="Cambria"/>
      <w:b/>
      <w:bCs/>
      <w:kern w:val="2"/>
      <w:sz w:val="32"/>
      <w:szCs w:val="32"/>
    </w:rPr>
  </w:style>
  <w:style w:type="character" w:customStyle="1" w:styleId="124">
    <w:name w:val="标题 9 Char"/>
    <w:link w:val="12"/>
    <w:qFormat/>
    <w:uiPriority w:val="99"/>
    <w:rPr>
      <w:rFonts w:ascii="Arial" w:hAnsi="Arial" w:eastAsia="黑体"/>
      <w:kern w:val="2"/>
      <w:sz w:val="24"/>
      <w:szCs w:val="21"/>
    </w:rPr>
  </w:style>
  <w:style w:type="character" w:customStyle="1" w:styleId="125">
    <w:name w:val="error"/>
    <w:qFormat/>
    <w:uiPriority w:val="0"/>
    <w:rPr>
      <w:color w:val="CC0000"/>
    </w:rPr>
  </w:style>
  <w:style w:type="character" w:customStyle="1" w:styleId="126">
    <w:name w:val="add"/>
    <w:basedOn w:val="52"/>
    <w:qFormat/>
    <w:uiPriority w:val="0"/>
  </w:style>
  <w:style w:type="character" w:customStyle="1" w:styleId="127">
    <w:name w:val="批注主题 Char"/>
    <w:link w:val="47"/>
    <w:qFormat/>
    <w:uiPriority w:val="99"/>
    <w:rPr>
      <w:rFonts w:ascii="Tahoma" w:hAnsi="Tahoma"/>
      <w:b/>
      <w:bCs/>
      <w:kern w:val="2"/>
      <w:sz w:val="24"/>
      <w:szCs w:val="28"/>
    </w:rPr>
  </w:style>
  <w:style w:type="character" w:customStyle="1" w:styleId="128">
    <w:name w:val="pagebanner"/>
    <w:basedOn w:val="52"/>
    <w:qFormat/>
    <w:uiPriority w:val="0"/>
  </w:style>
  <w:style w:type="character" w:customStyle="1" w:styleId="129">
    <w:name w:val="文档结构图 Char"/>
    <w:link w:val="18"/>
    <w:qFormat/>
    <w:uiPriority w:val="99"/>
    <w:rPr>
      <w:rFonts w:ascii="宋体"/>
      <w:kern w:val="2"/>
      <w:sz w:val="18"/>
      <w:szCs w:val="18"/>
    </w:rPr>
  </w:style>
  <w:style w:type="character" w:customStyle="1" w:styleId="130">
    <w:name w:val="正文首行缩进 Char"/>
    <w:link w:val="48"/>
    <w:qFormat/>
    <w:uiPriority w:val="0"/>
    <w:rPr>
      <w:rFonts w:ascii="Tahoma" w:hAnsi="Tahoma"/>
      <w:kern w:val="2"/>
      <w:sz w:val="21"/>
      <w:szCs w:val="24"/>
    </w:rPr>
  </w:style>
  <w:style w:type="character" w:customStyle="1" w:styleId="131">
    <w:name w:val="表格标题 Char Char"/>
    <w:link w:val="84"/>
    <w:qFormat/>
    <w:uiPriority w:val="0"/>
    <w:rPr>
      <w:rFonts w:ascii="Arial" w:hAnsi="Arial" w:cs="Arial"/>
      <w:kern w:val="2"/>
      <w:sz w:val="24"/>
      <w:szCs w:val="24"/>
    </w:rPr>
  </w:style>
  <w:style w:type="character" w:customStyle="1" w:styleId="132">
    <w:name w:val="标题 6 Char"/>
    <w:link w:val="9"/>
    <w:qFormat/>
    <w:uiPriority w:val="99"/>
    <w:rPr>
      <w:rFonts w:ascii="Arial" w:hAnsi="Arial" w:eastAsia="黑体"/>
      <w:b/>
      <w:bCs/>
      <w:kern w:val="2"/>
      <w:sz w:val="24"/>
      <w:szCs w:val="28"/>
    </w:rPr>
  </w:style>
  <w:style w:type="character" w:customStyle="1" w:styleId="133">
    <w:name w:val="正文文本 Char"/>
    <w:link w:val="2"/>
    <w:qFormat/>
    <w:uiPriority w:val="99"/>
    <w:rPr>
      <w:rFonts w:ascii="Tahoma" w:hAnsi="Tahoma"/>
      <w:kern w:val="2"/>
      <w:sz w:val="21"/>
      <w:szCs w:val="24"/>
    </w:rPr>
  </w:style>
  <w:style w:type="character" w:customStyle="1" w:styleId="134">
    <w:name w:val="10"/>
    <w:qFormat/>
    <w:uiPriority w:val="0"/>
    <w:rPr>
      <w:rFonts w:hint="default" w:ascii="Calibri" w:hAnsi="Calibri" w:cs="Calibri"/>
    </w:rPr>
  </w:style>
  <w:style w:type="character" w:customStyle="1" w:styleId="135">
    <w:name w:val="正文缩进 Char"/>
    <w:link w:val="6"/>
    <w:qFormat/>
    <w:uiPriority w:val="0"/>
    <w:rPr>
      <w:kern w:val="2"/>
      <w:sz w:val="24"/>
    </w:rPr>
  </w:style>
  <w:style w:type="character" w:customStyle="1" w:styleId="136">
    <w:name w:val="页脚 Char"/>
    <w:link w:val="33"/>
    <w:qFormat/>
    <w:uiPriority w:val="99"/>
    <w:rPr>
      <w:rFonts w:ascii="Tahoma" w:hAnsi="Tahoma"/>
      <w:kern w:val="2"/>
      <w:sz w:val="18"/>
      <w:szCs w:val="18"/>
    </w:rPr>
  </w:style>
  <w:style w:type="character" w:customStyle="1" w:styleId="137">
    <w:name w:val="mod"/>
    <w:basedOn w:val="52"/>
    <w:qFormat/>
    <w:uiPriority w:val="0"/>
  </w:style>
  <w:style w:type="character" w:customStyle="1" w:styleId="138">
    <w:name w:val="标题3 Char Char"/>
    <w:link w:val="82"/>
    <w:qFormat/>
    <w:uiPriority w:val="0"/>
    <w:rPr>
      <w:rFonts w:eastAsia="黑体"/>
      <w:kern w:val="2"/>
      <w:sz w:val="28"/>
      <w:szCs w:val="32"/>
    </w:rPr>
  </w:style>
  <w:style w:type="character" w:customStyle="1" w:styleId="139">
    <w:name w:val="标题 4 Char"/>
    <w:link w:val="7"/>
    <w:qFormat/>
    <w:uiPriority w:val="99"/>
    <w:rPr>
      <w:b/>
      <w:sz w:val="24"/>
      <w:szCs w:val="24"/>
    </w:rPr>
  </w:style>
  <w:style w:type="paragraph" w:customStyle="1" w:styleId="140">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1">
    <w:name w:val="redfilefwwh"/>
    <w:basedOn w:val="52"/>
    <w:qFormat/>
    <w:uiPriority w:val="0"/>
    <w:rPr>
      <w:color w:val="BA2636"/>
      <w:sz w:val="12"/>
      <w:szCs w:val="12"/>
    </w:rPr>
  </w:style>
  <w:style w:type="character" w:customStyle="1" w:styleId="142">
    <w:name w:val="gjfg"/>
    <w:basedOn w:val="52"/>
    <w:qFormat/>
    <w:uiPriority w:val="0"/>
  </w:style>
  <w:style w:type="character" w:customStyle="1" w:styleId="143">
    <w:name w:val="redfilenumber"/>
    <w:basedOn w:val="52"/>
    <w:qFormat/>
    <w:uiPriority w:val="0"/>
    <w:rPr>
      <w:color w:val="BA2636"/>
      <w:sz w:val="12"/>
      <w:szCs w:val="12"/>
    </w:rPr>
  </w:style>
  <w:style w:type="character" w:customStyle="1" w:styleId="144">
    <w:name w:val="qxdate"/>
    <w:basedOn w:val="52"/>
    <w:qFormat/>
    <w:uiPriority w:val="0"/>
    <w:rPr>
      <w:color w:val="333333"/>
      <w:sz w:val="12"/>
      <w:szCs w:val="12"/>
    </w:rPr>
  </w:style>
  <w:style w:type="character" w:customStyle="1" w:styleId="145">
    <w:name w:val="prev"/>
    <w:basedOn w:val="52"/>
    <w:qFormat/>
    <w:uiPriority w:val="0"/>
    <w:rPr>
      <w:rFonts w:ascii="微软雅黑" w:hAnsi="微软雅黑" w:eastAsia="微软雅黑" w:cs="微软雅黑"/>
      <w:sz w:val="14"/>
      <w:szCs w:val="14"/>
    </w:rPr>
  </w:style>
  <w:style w:type="character" w:customStyle="1" w:styleId="146">
    <w:name w:val="cfdate"/>
    <w:basedOn w:val="52"/>
    <w:qFormat/>
    <w:uiPriority w:val="0"/>
    <w:rPr>
      <w:color w:val="333333"/>
      <w:sz w:val="12"/>
      <w:szCs w:val="12"/>
    </w:rPr>
  </w:style>
  <w:style w:type="character" w:customStyle="1" w:styleId="147">
    <w:name w:val="displayarti"/>
    <w:basedOn w:val="52"/>
    <w:qFormat/>
    <w:uiPriority w:val="0"/>
    <w:rPr>
      <w:color w:val="FFFFFF"/>
      <w:shd w:val="clear" w:color="auto" w:fill="A00000"/>
    </w:rPr>
  </w:style>
  <w:style w:type="character" w:customStyle="1" w:styleId="148">
    <w:name w:val="next2"/>
    <w:basedOn w:val="52"/>
    <w:qFormat/>
    <w:uiPriority w:val="0"/>
    <w:rPr>
      <w:rFonts w:hint="eastAsia" w:ascii="微软雅黑" w:hAnsi="微软雅黑" w:eastAsia="微软雅黑" w:cs="微软雅黑"/>
      <w:sz w:val="14"/>
      <w:szCs w:val="14"/>
    </w:rPr>
  </w:style>
  <w:style w:type="character" w:customStyle="1" w:styleId="149">
    <w:name w:val="next3"/>
    <w:basedOn w:val="52"/>
    <w:qFormat/>
    <w:uiPriority w:val="0"/>
    <w:rPr>
      <w:color w:val="888888"/>
    </w:rPr>
  </w:style>
  <w:style w:type="character" w:customStyle="1" w:styleId="150">
    <w:name w:val="next"/>
    <w:basedOn w:val="52"/>
    <w:qFormat/>
    <w:uiPriority w:val="0"/>
    <w:rPr>
      <w:rFonts w:ascii="微软雅黑" w:hAnsi="微软雅黑" w:eastAsia="微软雅黑" w:cs="微软雅黑"/>
      <w:sz w:val="14"/>
      <w:szCs w:val="14"/>
    </w:rPr>
  </w:style>
  <w:style w:type="character" w:customStyle="1" w:styleId="151">
    <w:name w:val="prev1"/>
    <w:basedOn w:val="52"/>
    <w:qFormat/>
    <w:uiPriority w:val="0"/>
    <w:rPr>
      <w:color w:val="888888"/>
    </w:rPr>
  </w:style>
  <w:style w:type="paragraph" w:customStyle="1" w:styleId="152">
    <w:name w:val="Body text|21"/>
    <w:basedOn w:val="1"/>
    <w:link w:val="154"/>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3">
    <w:name w:val="Body text|2 + Spacing 0 pt"/>
    <w:basedOn w:val="154"/>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4">
    <w:name w:val="Body text|2_"/>
    <w:basedOn w:val="52"/>
    <w:link w:val="152"/>
    <w:qFormat/>
    <w:uiPriority w:val="0"/>
    <w:rPr>
      <w:rFonts w:ascii="PMingLiU" w:hAnsi="PMingLiU" w:eastAsia="PMingLiU" w:cs="PMingLiU"/>
      <w:spacing w:val="30"/>
    </w:rPr>
  </w:style>
  <w:style w:type="character" w:customStyle="1" w:styleId="155">
    <w:name w:val="Body text|2 + Spacing 3 pt"/>
    <w:basedOn w:val="154"/>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6">
    <w:name w:val="图文"/>
    <w:basedOn w:val="1"/>
    <w:qFormat/>
    <w:uiPriority w:val="0"/>
    <w:pPr>
      <w:adjustRightInd w:val="0"/>
      <w:snapToGrid w:val="0"/>
      <w:spacing w:after="50" w:line="360" w:lineRule="auto"/>
    </w:pPr>
    <w:rPr>
      <w:sz w:val="24"/>
    </w:rPr>
  </w:style>
  <w:style w:type="paragraph" w:customStyle="1" w:styleId="157">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8">
    <w:name w:val="Char"/>
    <w:basedOn w:val="1"/>
    <w:qFormat/>
    <w:uiPriority w:val="0"/>
    <w:rPr>
      <w:rFonts w:ascii="仿宋_GB2312" w:eastAsia="仿宋_GB2312"/>
      <w:b/>
      <w:sz w:val="32"/>
      <w:szCs w:val="32"/>
    </w:rPr>
  </w:style>
  <w:style w:type="paragraph" w:customStyle="1" w:styleId="159">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0">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1">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3">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4">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5">
    <w:name w:val="正文文本缩进 Char"/>
    <w:basedOn w:val="52"/>
    <w:link w:val="23"/>
    <w:qFormat/>
    <w:uiPriority w:val="99"/>
    <w:rPr>
      <w:rFonts w:ascii="Tahoma" w:hAnsi="Tahoma" w:eastAsia="Arial Unicode MS" w:cs="Times New Roman"/>
      <w:kern w:val="2"/>
      <w:sz w:val="21"/>
      <w:szCs w:val="24"/>
    </w:rPr>
  </w:style>
  <w:style w:type="character" w:customStyle="1" w:styleId="166">
    <w:name w:val="正文首行缩进 2 Char"/>
    <w:basedOn w:val="165"/>
    <w:link w:val="49"/>
    <w:qFormat/>
    <w:uiPriority w:val="0"/>
    <w:rPr>
      <w:rFonts w:ascii="Times New Roman" w:hAnsi="Times New Roman" w:eastAsia="宋体" w:cs="Times New Roman"/>
      <w:kern w:val="2"/>
      <w:sz w:val="21"/>
      <w:szCs w:val="24"/>
    </w:rPr>
  </w:style>
  <w:style w:type="character" w:customStyle="1" w:styleId="167">
    <w:name w:val="正文文本 2 Char"/>
    <w:basedOn w:val="52"/>
    <w:link w:val="42"/>
    <w:qFormat/>
    <w:uiPriority w:val="99"/>
    <w:rPr>
      <w:rFonts w:ascii="宋体" w:hAnsi="Times New Roman" w:eastAsia="宋体" w:cs="Times New Roman"/>
      <w:kern w:val="2"/>
      <w:sz w:val="21"/>
    </w:rPr>
  </w:style>
  <w:style w:type="paragraph" w:customStyle="1" w:styleId="168">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69">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0">
    <w:name w:val="Char2"/>
    <w:qFormat/>
    <w:uiPriority w:val="0"/>
    <w:rPr>
      <w:rFonts w:ascii="Arial" w:hAnsi="Arial" w:eastAsia="黑体"/>
      <w:b/>
      <w:bCs/>
      <w:kern w:val="2"/>
      <w:sz w:val="32"/>
      <w:szCs w:val="32"/>
      <w:lang w:val="en-US" w:eastAsia="zh-CN" w:bidi="ar-SA"/>
    </w:rPr>
  </w:style>
  <w:style w:type="character" w:customStyle="1" w:styleId="171">
    <w:name w:val="样式 标题 2 + (符号) 宋体 小四 Char"/>
    <w:qFormat/>
    <w:uiPriority w:val="0"/>
    <w:rPr>
      <w:rFonts w:ascii="Arial" w:hAnsi="Arial" w:eastAsia="宋体"/>
      <w:b/>
      <w:bCs/>
      <w:kern w:val="2"/>
      <w:sz w:val="24"/>
      <w:szCs w:val="32"/>
      <w:lang w:val="en-US" w:eastAsia="zh-CN" w:bidi="ar-SA"/>
    </w:rPr>
  </w:style>
  <w:style w:type="paragraph" w:customStyle="1" w:styleId="172">
    <w:name w:val="样式1"/>
    <w:basedOn w:val="1"/>
    <w:next w:val="5"/>
    <w:qFormat/>
    <w:uiPriority w:val="99"/>
    <w:rPr>
      <w:rFonts w:eastAsia="宋体"/>
      <w:sz w:val="24"/>
      <w:szCs w:val="20"/>
    </w:rPr>
  </w:style>
  <w:style w:type="paragraph" w:customStyle="1" w:styleId="173">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qFormat/>
    <w:uiPriority w:val="99"/>
    <w:rPr>
      <w:rFonts w:ascii="Tahoma" w:hAnsi="Tahoma" w:eastAsia="Arial Unicode MS" w:cs="Times New Roman"/>
      <w:kern w:val="2"/>
      <w:sz w:val="21"/>
      <w:szCs w:val="24"/>
    </w:rPr>
  </w:style>
  <w:style w:type="character" w:customStyle="1" w:styleId="197">
    <w:name w:val="Char Char"/>
    <w:qFormat/>
    <w:uiPriority w:val="0"/>
    <w:rPr>
      <w:rFonts w:eastAsia="宋体"/>
      <w:kern w:val="2"/>
      <w:sz w:val="24"/>
      <w:lang w:val="en-US" w:eastAsia="zh-CN" w:bidi="ar-SA"/>
    </w:rPr>
  </w:style>
  <w:style w:type="character" w:customStyle="1" w:styleId="198">
    <w:name w:val="称呼 Char"/>
    <w:basedOn w:val="52"/>
    <w:link w:val="21"/>
    <w:qFormat/>
    <w:uiPriority w:val="0"/>
    <w:rPr>
      <w:rFonts w:ascii="..ì." w:hAnsi="Times New Roman" w:eastAsia="..ì." w:cs="Times New Roman"/>
      <w:sz w:val="24"/>
    </w:rPr>
  </w:style>
  <w:style w:type="character" w:customStyle="1" w:styleId="199">
    <w:name w:val="注释标题 Char"/>
    <w:basedOn w:val="52"/>
    <w:link w:val="14"/>
    <w:qFormat/>
    <w:uiPriority w:val="0"/>
    <w:rPr>
      <w:rFonts w:ascii="..ì." w:hAnsi="Times New Roman" w:eastAsia="..ì." w:cs="Times New Roman"/>
      <w:sz w:val="24"/>
    </w:rPr>
  </w:style>
  <w:style w:type="paragraph" w:customStyle="1" w:styleId="200">
    <w:name w:val="1 Char Char Char Char"/>
    <w:basedOn w:val="1"/>
    <w:qFormat/>
    <w:uiPriority w:val="0"/>
    <w:rPr>
      <w:rFonts w:ascii="Tahoma" w:hAnsi="Tahoma" w:eastAsia="宋体"/>
      <w:sz w:val="24"/>
      <w:szCs w:val="20"/>
    </w:rPr>
  </w:style>
  <w:style w:type="paragraph" w:customStyle="1" w:styleId="20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2"/>
    <w:qFormat/>
    <w:uiPriority w:val="99"/>
    <w:rPr>
      <w:rFonts w:ascii="宋体" w:eastAsia="宋体"/>
      <w:sz w:val="24"/>
      <w:szCs w:val="20"/>
    </w:rPr>
  </w:style>
  <w:style w:type="character" w:customStyle="1" w:styleId="206">
    <w:name w:val="正文文本 3 Char"/>
    <w:basedOn w:val="52"/>
    <w:link w:val="22"/>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qFormat/>
    <w:uiPriority w:val="99"/>
    <w:pPr>
      <w:ind w:left="432"/>
    </w:pPr>
    <w:rPr>
      <w:rFonts w:eastAsia="宋体"/>
      <w:szCs w:val="20"/>
    </w:rPr>
  </w:style>
  <w:style w:type="character" w:customStyle="1" w:styleId="209">
    <w:name w:val="正文文本缩进 3 Char"/>
    <w:link w:val="39"/>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qFormat/>
    <w:uiPriority w:val="0"/>
    <w:rPr>
      <w:rFonts w:ascii="Tahoma" w:hAnsi="Tahoma" w:eastAsia="宋体"/>
      <w:sz w:val="24"/>
      <w:szCs w:val="20"/>
    </w:rPr>
  </w:style>
  <w:style w:type="character" w:customStyle="1" w:styleId="212">
    <w:name w:val="font161"/>
    <w:qFormat/>
    <w:uiPriority w:val="99"/>
    <w:rPr>
      <w:b/>
      <w:bCs/>
      <w:sz w:val="32"/>
      <w:szCs w:val="32"/>
    </w:rPr>
  </w:style>
  <w:style w:type="paragraph" w:customStyle="1" w:styleId="213">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qFormat/>
    <w:uiPriority w:val="99"/>
    <w:pPr>
      <w:jc w:val="center"/>
      <w:textAlignment w:val="center"/>
    </w:pPr>
    <w:rPr>
      <w:rFonts w:ascii="华文细黑" w:hAnsi="华文细黑" w:eastAsia="宋体"/>
      <w:kern w:val="0"/>
      <w:szCs w:val="20"/>
    </w:rPr>
  </w:style>
  <w:style w:type="paragraph" w:customStyle="1" w:styleId="215">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qFormat/>
    <w:uiPriority w:val="99"/>
    <w:rPr>
      <w:color w:val="auto"/>
      <w:u w:val="none"/>
    </w:rPr>
  </w:style>
  <w:style w:type="character" w:customStyle="1" w:styleId="219">
    <w:name w:val="Char Char1"/>
    <w:qFormat/>
    <w:uiPriority w:val="0"/>
    <w:rPr>
      <w:rFonts w:eastAsia="宋体"/>
      <w:kern w:val="2"/>
      <w:sz w:val="24"/>
      <w:lang w:val="en-US" w:eastAsia="zh-CN" w:bidi="ar-SA"/>
    </w:rPr>
  </w:style>
  <w:style w:type="character" w:customStyle="1" w:styleId="220">
    <w:name w:val="纯文本 Char"/>
    <w:link w:val="28"/>
    <w:qFormat/>
    <w:uiPriority w:val="0"/>
    <w:rPr>
      <w:rFonts w:ascii="宋体" w:hAnsi="Courier New" w:eastAsia="Arial Unicode MS" w:cs="Times New Roman"/>
      <w:kern w:val="2"/>
      <w:sz w:val="21"/>
      <w:szCs w:val="21"/>
    </w:rPr>
  </w:style>
  <w:style w:type="paragraph" w:customStyle="1" w:styleId="221">
    <w:name w:val="Char Char Char Char"/>
    <w:basedOn w:val="1"/>
    <w:qFormat/>
    <w:uiPriority w:val="0"/>
    <w:pPr>
      <w:widowControl/>
      <w:spacing w:after="160" w:line="240" w:lineRule="exact"/>
      <w:jc w:val="left"/>
    </w:pPr>
    <w:rPr>
      <w:rFonts w:eastAsia="宋体"/>
      <w:szCs w:val="20"/>
    </w:rPr>
  </w:style>
  <w:style w:type="paragraph" w:customStyle="1" w:styleId="222">
    <w:name w:val="p17"/>
    <w:basedOn w:val="1"/>
    <w:qFormat/>
    <w:uiPriority w:val="99"/>
    <w:pPr>
      <w:widowControl/>
    </w:pPr>
    <w:rPr>
      <w:rFonts w:eastAsia="宋体"/>
      <w:kern w:val="0"/>
      <w:szCs w:val="21"/>
    </w:rPr>
  </w:style>
  <w:style w:type="character" w:customStyle="1" w:styleId="223">
    <w:name w:val="H4 Char"/>
    <w:qFormat/>
    <w:uiPriority w:val="0"/>
    <w:rPr>
      <w:b/>
      <w:sz w:val="28"/>
    </w:rPr>
  </w:style>
  <w:style w:type="character" w:customStyle="1" w:styleId="224">
    <w:name w:val="Char Char2"/>
    <w:qFormat/>
    <w:uiPriority w:val="0"/>
    <w:rPr>
      <w:rFonts w:eastAsia="宋体"/>
      <w:kern w:val="2"/>
      <w:sz w:val="24"/>
      <w:lang w:val="en-US" w:eastAsia="zh-CN" w:bidi="ar-SA"/>
    </w:rPr>
  </w:style>
  <w:style w:type="character" w:customStyle="1" w:styleId="225">
    <w:name w:val="Char Char111"/>
    <w:qFormat/>
    <w:uiPriority w:val="99"/>
    <w:rPr>
      <w:rFonts w:eastAsia="宋体"/>
      <w:kern w:val="2"/>
      <w:sz w:val="24"/>
      <w:lang w:val="en-US" w:eastAsia="zh-CN" w:bidi="ar-SA"/>
    </w:rPr>
  </w:style>
  <w:style w:type="paragraph" w:customStyle="1" w:styleId="226">
    <w:name w:val="Char Char Char Char111"/>
    <w:basedOn w:val="1"/>
    <w:qFormat/>
    <w:uiPriority w:val="0"/>
    <w:pPr>
      <w:widowControl/>
      <w:spacing w:after="160" w:line="240" w:lineRule="exact"/>
      <w:jc w:val="left"/>
    </w:pPr>
    <w:rPr>
      <w:rFonts w:eastAsia="宋体"/>
      <w:szCs w:val="20"/>
    </w:rPr>
  </w:style>
  <w:style w:type="paragraph" w:customStyle="1" w:styleId="227">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qFormat/>
    <w:uiPriority w:val="0"/>
    <w:pPr>
      <w:numPr>
        <w:ilvl w:val="3"/>
      </w:numPr>
      <w:ind w:left="315"/>
      <w:outlineLvl w:val="3"/>
    </w:pPr>
  </w:style>
  <w:style w:type="paragraph" w:customStyle="1" w:styleId="243">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qFormat/>
    <w:uiPriority w:val="0"/>
    <w:pPr>
      <w:numPr>
        <w:ilvl w:val="4"/>
      </w:numPr>
      <w:tabs>
        <w:tab w:val="left" w:pos="1680"/>
        <w:tab w:val="left" w:pos="2100"/>
      </w:tabs>
      <w:ind w:left="2100" w:hanging="420"/>
      <w:outlineLvl w:val="4"/>
    </w:pPr>
  </w:style>
  <w:style w:type="paragraph" w:customStyle="1" w:styleId="245">
    <w:name w:val="四级条标题"/>
    <w:basedOn w:val="244"/>
    <w:next w:val="1"/>
    <w:qFormat/>
    <w:uiPriority w:val="0"/>
    <w:pPr>
      <w:numPr>
        <w:ilvl w:val="5"/>
      </w:numPr>
      <w:tabs>
        <w:tab w:val="left" w:pos="2520"/>
      </w:tabs>
      <w:ind w:left="2520" w:hanging="420"/>
      <w:outlineLvl w:val="5"/>
    </w:pPr>
  </w:style>
  <w:style w:type="paragraph" w:customStyle="1" w:styleId="246">
    <w:name w:val="五级条标题"/>
    <w:basedOn w:val="245"/>
    <w:next w:val="1"/>
    <w:qFormat/>
    <w:uiPriority w:val="0"/>
    <w:pPr>
      <w:numPr>
        <w:ilvl w:val="6"/>
      </w:numPr>
      <w:tabs>
        <w:tab w:val="left" w:pos="2940"/>
      </w:tabs>
      <w:ind w:left="2940" w:hanging="420"/>
      <w:outlineLvl w:val="6"/>
    </w:pPr>
  </w:style>
  <w:style w:type="character" w:customStyle="1" w:styleId="247">
    <w:name w:val="章标题 Char"/>
    <w:link w:val="240"/>
    <w:qFormat/>
    <w:uiPriority w:val="0"/>
    <w:rPr>
      <w:rFonts w:ascii="黑体" w:hAnsi="Times New Roman" w:eastAsia="黑体" w:cs="Times New Roman"/>
      <w:sz w:val="21"/>
    </w:rPr>
  </w:style>
  <w:style w:type="character" w:customStyle="1" w:styleId="248">
    <w:name w:val="一级条标题 Char"/>
    <w:link w:val="241"/>
    <w:qFormat/>
    <w:uiPriority w:val="0"/>
    <w:rPr>
      <w:rFonts w:ascii="黑体" w:hAnsi="Times New Roman" w:eastAsia="黑体" w:cs="Times New Roman"/>
      <w:sz w:val="21"/>
    </w:rPr>
  </w:style>
  <w:style w:type="character" w:customStyle="1" w:styleId="249">
    <w:name w:val="二级条标题 Char"/>
    <w:link w:val="242"/>
    <w:qFormat/>
    <w:uiPriority w:val="0"/>
    <w:rPr>
      <w:rFonts w:ascii="黑体" w:hAnsi="Times New Roman" w:eastAsia="黑体" w:cs="Times New Roman"/>
      <w:sz w:val="21"/>
    </w:rPr>
  </w:style>
  <w:style w:type="character" w:customStyle="1" w:styleId="250">
    <w:name w:val="Heading 1 Char"/>
    <w:qFormat/>
    <w:locked/>
    <w:uiPriority w:val="0"/>
    <w:rPr>
      <w:rFonts w:ascii="黑体" w:hAnsi="Times New Roman" w:eastAsia="黑体" w:cs="Times New Roman"/>
      <w:kern w:val="0"/>
      <w:sz w:val="20"/>
      <w:szCs w:val="20"/>
    </w:rPr>
  </w:style>
  <w:style w:type="character" w:customStyle="1" w:styleId="251">
    <w:name w:val="Heading 2 Char"/>
    <w:qFormat/>
    <w:locked/>
    <w:uiPriority w:val="0"/>
    <w:rPr>
      <w:rFonts w:ascii="Times New Roman" w:hAnsi="Times New Roman" w:eastAsia="宋体" w:cs="Times New Roman"/>
      <w:b/>
      <w:kern w:val="0"/>
      <w:sz w:val="32"/>
      <w:szCs w:val="32"/>
    </w:rPr>
  </w:style>
  <w:style w:type="character" w:customStyle="1" w:styleId="252">
    <w:name w:val="标题 3 Char1"/>
    <w:qFormat/>
    <w:locked/>
    <w:uiPriority w:val="99"/>
    <w:rPr>
      <w:rFonts w:eastAsia="宋体"/>
      <w:b/>
      <w:sz w:val="32"/>
      <w:lang w:val="en-US" w:eastAsia="zh-CN" w:bidi="ar-SA"/>
    </w:rPr>
  </w:style>
  <w:style w:type="character" w:customStyle="1" w:styleId="253">
    <w:name w:val="Heading 4 Char"/>
    <w:qFormat/>
    <w:locked/>
    <w:uiPriority w:val="0"/>
    <w:rPr>
      <w:rFonts w:ascii="Times New Roman" w:hAnsi="Times New Roman" w:eastAsia="宋体" w:cs="Times New Roman"/>
      <w:b/>
      <w:kern w:val="0"/>
      <w:sz w:val="20"/>
      <w:szCs w:val="20"/>
    </w:rPr>
  </w:style>
  <w:style w:type="character" w:customStyle="1" w:styleId="254">
    <w:name w:val="Heading 5 Char"/>
    <w:qFormat/>
    <w:locked/>
    <w:uiPriority w:val="0"/>
    <w:rPr>
      <w:rFonts w:ascii="Times New Roman" w:hAnsi="Times New Roman" w:eastAsia="宋体" w:cs="Times New Roman"/>
      <w:b/>
      <w:bCs/>
      <w:sz w:val="28"/>
      <w:szCs w:val="28"/>
    </w:rPr>
  </w:style>
  <w:style w:type="character" w:customStyle="1" w:styleId="255">
    <w:name w:val="Heading 6 Char"/>
    <w:qFormat/>
    <w:locked/>
    <w:uiPriority w:val="0"/>
    <w:rPr>
      <w:rFonts w:ascii="Arial" w:hAnsi="Arial" w:eastAsia="黑体" w:cs="Times New Roman"/>
      <w:b/>
      <w:bCs/>
      <w:kern w:val="0"/>
      <w:sz w:val="24"/>
      <w:szCs w:val="24"/>
    </w:rPr>
  </w:style>
  <w:style w:type="character" w:customStyle="1" w:styleId="256">
    <w:name w:val="Heading 7 Char"/>
    <w:qFormat/>
    <w:locked/>
    <w:uiPriority w:val="0"/>
    <w:rPr>
      <w:rFonts w:ascii="Times New Roman" w:hAnsi="Times New Roman" w:eastAsia="宋体" w:cs="Times New Roman"/>
      <w:b/>
      <w:bCs/>
      <w:kern w:val="0"/>
      <w:sz w:val="24"/>
      <w:szCs w:val="24"/>
    </w:rPr>
  </w:style>
  <w:style w:type="character" w:customStyle="1" w:styleId="257">
    <w:name w:val="Heading 8 Char"/>
    <w:qFormat/>
    <w:locked/>
    <w:uiPriority w:val="0"/>
    <w:rPr>
      <w:rFonts w:ascii="Arial" w:hAnsi="Arial" w:eastAsia="黑体" w:cs="Times New Roman"/>
      <w:kern w:val="0"/>
      <w:sz w:val="24"/>
      <w:szCs w:val="24"/>
    </w:rPr>
  </w:style>
  <w:style w:type="character" w:customStyle="1" w:styleId="258">
    <w:name w:val="Heading 9 Char"/>
    <w:qFormat/>
    <w:locked/>
    <w:uiPriority w:val="0"/>
    <w:rPr>
      <w:rFonts w:ascii="Arial" w:hAnsi="Arial" w:eastAsia="黑体" w:cs="Times New Roman"/>
      <w:kern w:val="0"/>
      <w:sz w:val="21"/>
      <w:szCs w:val="21"/>
    </w:rPr>
  </w:style>
  <w:style w:type="character" w:customStyle="1" w:styleId="259">
    <w:name w:val="Document Map Char"/>
    <w:qFormat/>
    <w:locked/>
    <w:uiPriority w:val="0"/>
    <w:rPr>
      <w:rFonts w:ascii="Times New Roman" w:hAnsi="Times New Roman" w:eastAsia="宋体" w:cs="Times New Roman"/>
      <w:sz w:val="24"/>
      <w:szCs w:val="24"/>
      <w:shd w:val="clear" w:color="auto" w:fill="000080"/>
    </w:rPr>
  </w:style>
  <w:style w:type="character" w:customStyle="1" w:styleId="260">
    <w:name w:val="Date Char"/>
    <w:qFormat/>
    <w:locked/>
    <w:uiPriority w:val="0"/>
    <w:rPr>
      <w:rFonts w:ascii="Times New Roman" w:hAnsi="Times New Roman" w:eastAsia="宋体" w:cs="Times New Roman"/>
      <w:sz w:val="20"/>
      <w:szCs w:val="20"/>
    </w:rPr>
  </w:style>
  <w:style w:type="character" w:customStyle="1" w:styleId="261">
    <w:name w:val="Header Char"/>
    <w:qFormat/>
    <w:locked/>
    <w:uiPriority w:val="0"/>
    <w:rPr>
      <w:rFonts w:ascii="Times New Roman" w:hAnsi="Times New Roman" w:eastAsia="宋体" w:cs="Times New Roman"/>
      <w:kern w:val="0"/>
      <w:sz w:val="20"/>
      <w:szCs w:val="20"/>
    </w:rPr>
  </w:style>
  <w:style w:type="character" w:customStyle="1" w:styleId="262">
    <w:name w:val="Footer Char"/>
    <w:qFormat/>
    <w:locked/>
    <w:uiPriority w:val="0"/>
    <w:rPr>
      <w:rFonts w:ascii="Times New Roman" w:hAnsi="Times New Roman" w:eastAsia="宋体" w:cs="Times New Roman"/>
      <w:kern w:val="0"/>
      <w:sz w:val="20"/>
      <w:szCs w:val="20"/>
    </w:rPr>
  </w:style>
  <w:style w:type="character" w:customStyle="1" w:styleId="263">
    <w:name w:val="Plain Text Char"/>
    <w:qFormat/>
    <w:locked/>
    <w:uiPriority w:val="0"/>
    <w:rPr>
      <w:rFonts w:ascii="宋体" w:hAnsi="Courier New" w:eastAsia="宋体" w:cs="Times New Roman"/>
      <w:sz w:val="20"/>
      <w:szCs w:val="20"/>
    </w:rPr>
  </w:style>
  <w:style w:type="character" w:customStyle="1" w:styleId="264">
    <w:name w:val="Body Text Indent 2 Char"/>
    <w:qFormat/>
    <w:locked/>
    <w:uiPriority w:val="0"/>
    <w:rPr>
      <w:rFonts w:ascii="Times New Roman" w:hAnsi="Times New Roman" w:eastAsia="宋体" w:cs="Times New Roman"/>
      <w:sz w:val="30"/>
      <w:szCs w:val="30"/>
    </w:rPr>
  </w:style>
  <w:style w:type="character" w:customStyle="1" w:styleId="265">
    <w:name w:val="Body Text Indent 3 Char"/>
    <w:qFormat/>
    <w:locked/>
    <w:uiPriority w:val="0"/>
    <w:rPr>
      <w:rFonts w:ascii="Times New Roman" w:hAnsi="Times New Roman" w:eastAsia="宋体" w:cs="Times New Roman"/>
      <w:sz w:val="30"/>
      <w:szCs w:val="30"/>
    </w:rPr>
  </w:style>
  <w:style w:type="character" w:customStyle="1" w:styleId="266">
    <w:name w:val="Body Text First Indent 2 Char"/>
    <w:qFormat/>
    <w:locked/>
    <w:uiPriority w:val="0"/>
    <w:rPr>
      <w:rFonts w:ascii="Times New Roman" w:hAnsi="Times New Roman" w:eastAsia="宋体" w:cs="Times New Roman"/>
      <w:kern w:val="2"/>
      <w:sz w:val="24"/>
      <w:szCs w:val="24"/>
    </w:rPr>
  </w:style>
  <w:style w:type="character" w:customStyle="1" w:styleId="267">
    <w:name w:val="Body Text 2 Char"/>
    <w:qFormat/>
    <w:locked/>
    <w:uiPriority w:val="0"/>
    <w:rPr>
      <w:rFonts w:ascii="宋体" w:hAnsi="Times New Roman" w:eastAsia="宋体" w:cs="Times New Roman"/>
      <w:sz w:val="20"/>
      <w:szCs w:val="20"/>
    </w:rPr>
  </w:style>
  <w:style w:type="character" w:customStyle="1" w:styleId="268">
    <w:name w:val="Balloon Text Char"/>
    <w:qFormat/>
    <w:locked/>
    <w:uiPriority w:val="0"/>
    <w:rPr>
      <w:rFonts w:ascii="Times New Roman" w:hAnsi="Times New Roman" w:eastAsia="宋体" w:cs="Times New Roman"/>
      <w:sz w:val="18"/>
      <w:szCs w:val="18"/>
    </w:rPr>
  </w:style>
  <w:style w:type="character" w:customStyle="1" w:styleId="269">
    <w:name w:val="Salutation Char"/>
    <w:qFormat/>
    <w:locked/>
    <w:uiPriority w:val="0"/>
    <w:rPr>
      <w:rFonts w:ascii="..ì." w:hAnsi="Times New Roman" w:eastAsia="..ì." w:cs="Times New Roman"/>
      <w:kern w:val="0"/>
      <w:sz w:val="20"/>
      <w:szCs w:val="20"/>
    </w:rPr>
  </w:style>
  <w:style w:type="character" w:customStyle="1" w:styleId="270">
    <w:name w:val="Note Heading Char"/>
    <w:qFormat/>
    <w:locked/>
    <w:uiPriority w:val="0"/>
    <w:rPr>
      <w:rFonts w:ascii="..ì." w:hAnsi="Times New Roman" w:eastAsia="..ì." w:cs="Times New Roman"/>
      <w:kern w:val="0"/>
      <w:sz w:val="20"/>
      <w:szCs w:val="20"/>
    </w:rPr>
  </w:style>
  <w:style w:type="paragraph" w:customStyle="1" w:styleId="271">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qFormat/>
    <w:locked/>
    <w:uiPriority w:val="0"/>
    <w:rPr>
      <w:rFonts w:ascii="Times New Roman" w:hAnsi="Times New Roman" w:eastAsia="宋体" w:cs="Times New Roman"/>
      <w:sz w:val="16"/>
      <w:szCs w:val="16"/>
    </w:rPr>
  </w:style>
  <w:style w:type="character" w:customStyle="1" w:styleId="274">
    <w:name w:val="Title Char"/>
    <w:qFormat/>
    <w:locked/>
    <w:uiPriority w:val="0"/>
    <w:rPr>
      <w:rFonts w:ascii="Arial" w:hAnsi="Arial" w:eastAsia="宋体" w:cs="Times New Roman"/>
      <w:b/>
      <w:kern w:val="0"/>
      <w:sz w:val="20"/>
      <w:szCs w:val="20"/>
    </w:rPr>
  </w:style>
  <w:style w:type="character" w:customStyle="1" w:styleId="275">
    <w:name w:val="Comment Subject Char"/>
    <w:qFormat/>
    <w:locked/>
    <w:uiPriority w:val="0"/>
    <w:rPr>
      <w:rFonts w:ascii="Times New Roman" w:hAnsi="Times New Roman" w:eastAsia="宋体" w:cs="Times New Roman"/>
      <w:b/>
      <w:bCs/>
      <w:sz w:val="24"/>
      <w:szCs w:val="24"/>
    </w:rPr>
  </w:style>
  <w:style w:type="character" w:customStyle="1" w:styleId="276">
    <w:name w:val="Comment Text Char"/>
    <w:qFormat/>
    <w:locked/>
    <w:uiPriority w:val="0"/>
    <w:rPr>
      <w:rFonts w:ascii="Times New Roman" w:hAnsi="Times New Roman" w:eastAsia="宋体"/>
      <w:sz w:val="24"/>
    </w:rPr>
  </w:style>
  <w:style w:type="paragraph" w:customStyle="1" w:styleId="277">
    <w:name w:val="List Paragraph1"/>
    <w:basedOn w:val="1"/>
    <w:qFormat/>
    <w:uiPriority w:val="0"/>
    <w:pPr>
      <w:ind w:firstLine="420" w:firstLineChars="200"/>
    </w:pPr>
    <w:rPr>
      <w:rFonts w:eastAsia="宋体"/>
    </w:rPr>
  </w:style>
  <w:style w:type="paragraph" w:customStyle="1" w:styleId="278">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unhideWhenUsed/>
    <w:qFormat/>
    <w:uiPriority w:val="99"/>
    <w:rPr>
      <w:color w:val="605E5C"/>
      <w:shd w:val="clear" w:color="auto" w:fill="E1DFDD"/>
    </w:rPr>
  </w:style>
  <w:style w:type="character" w:customStyle="1" w:styleId="280">
    <w:name w:val="Char Char11"/>
    <w:qFormat/>
    <w:uiPriority w:val="99"/>
    <w:rPr>
      <w:rFonts w:eastAsia="宋体"/>
      <w:kern w:val="2"/>
      <w:sz w:val="24"/>
      <w:lang w:val="en-US" w:eastAsia="zh-CN"/>
    </w:rPr>
  </w:style>
  <w:style w:type="character" w:customStyle="1" w:styleId="281">
    <w:name w:val="正文文本 Char1"/>
    <w:semiHidden/>
    <w:qFormat/>
    <w:uiPriority w:val="0"/>
    <w:rPr>
      <w:rFonts w:ascii="Times New Roman" w:hAnsi="Times New Roman" w:eastAsia="宋体" w:cs="Times New Roman"/>
      <w:szCs w:val="24"/>
    </w:rPr>
  </w:style>
  <w:style w:type="paragraph" w:customStyle="1" w:styleId="282">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qFormat/>
    <w:uiPriority w:val="99"/>
    <w:rPr>
      <w:rFonts w:ascii="Tahoma" w:hAnsi="Tahoma" w:eastAsia="宋体"/>
      <w:sz w:val="24"/>
      <w:szCs w:val="20"/>
    </w:rPr>
  </w:style>
  <w:style w:type="paragraph" w:customStyle="1" w:styleId="284">
    <w:name w:val="Char Char Char Char1"/>
    <w:basedOn w:val="1"/>
    <w:qFormat/>
    <w:uiPriority w:val="99"/>
    <w:pPr>
      <w:widowControl/>
      <w:spacing w:after="160" w:line="240" w:lineRule="exact"/>
      <w:jc w:val="left"/>
    </w:pPr>
    <w:rPr>
      <w:rFonts w:eastAsia="宋体"/>
      <w:szCs w:val="20"/>
    </w:rPr>
  </w:style>
  <w:style w:type="paragraph" w:customStyle="1" w:styleId="285">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qFormat/>
    <w:uiPriority w:val="99"/>
    <w:pPr>
      <w:widowControl/>
      <w:spacing w:after="160" w:line="240" w:lineRule="exact"/>
      <w:jc w:val="left"/>
    </w:pPr>
    <w:rPr>
      <w:rFonts w:eastAsia="宋体"/>
      <w:szCs w:val="20"/>
    </w:rPr>
  </w:style>
  <w:style w:type="paragraph" w:customStyle="1" w:styleId="288">
    <w:name w:val="Char12"/>
    <w:basedOn w:val="1"/>
    <w:qFormat/>
    <w:uiPriority w:val="99"/>
    <w:rPr>
      <w:rFonts w:ascii="Tahoma" w:hAnsi="Tahoma" w:eastAsia="宋体"/>
      <w:sz w:val="24"/>
      <w:szCs w:val="20"/>
    </w:rPr>
  </w:style>
  <w:style w:type="paragraph" w:customStyle="1" w:styleId="289">
    <w:name w:val="Char111"/>
    <w:basedOn w:val="1"/>
    <w:qFormat/>
    <w:uiPriority w:val="99"/>
    <w:rPr>
      <w:rFonts w:ascii="Tahoma" w:hAnsi="Tahoma" w:eastAsia="宋体"/>
      <w:sz w:val="24"/>
      <w:szCs w:val="20"/>
    </w:rPr>
  </w:style>
  <w:style w:type="paragraph" w:customStyle="1" w:styleId="290">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qFormat/>
    <w:uiPriority w:val="99"/>
    <w:pPr>
      <w:widowControl/>
      <w:spacing w:after="160" w:line="240" w:lineRule="exact"/>
      <w:jc w:val="left"/>
    </w:pPr>
    <w:rPr>
      <w:rFonts w:eastAsia="宋体"/>
      <w:szCs w:val="20"/>
    </w:rPr>
  </w:style>
  <w:style w:type="character" w:customStyle="1" w:styleId="292">
    <w:name w:val="正文文本 字符"/>
    <w:qFormat/>
    <w:uiPriority w:val="0"/>
    <w:rPr>
      <w:b/>
      <w:i/>
      <w:szCs w:val="24"/>
    </w:rPr>
  </w:style>
  <w:style w:type="paragraph" w:customStyle="1" w:styleId="293">
    <w:name w:val="纯文本2"/>
    <w:basedOn w:val="1"/>
    <w:qFormat/>
    <w:uiPriority w:val="0"/>
    <w:rPr>
      <w:rFonts w:ascii="宋体" w:hAnsi="Courier New" w:cs="Courier New"/>
      <w:szCs w:val="21"/>
    </w:rPr>
  </w:style>
  <w:style w:type="paragraph" w:customStyle="1" w:styleId="294">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5">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E96230-5E83-47E2-9C10-8A0374B16D0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88</Pages>
  <Words>32185</Words>
  <Characters>36286</Characters>
  <Lines>318</Lines>
  <Paragraphs>89</Paragraphs>
  <TotalTime>87</TotalTime>
  <ScaleCrop>false</ScaleCrop>
  <LinksUpToDate>false</LinksUpToDate>
  <CharactersWithSpaces>41112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2022-10-10T08:45:00Z</dcterms:modified>
  <dc:title>_x0001_</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6EA884A0744B462CBC88023945501FCF</vt:lpwstr>
  </property>
</Properties>
</file>