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Lines w:val="0"/>
        <w:pageBreakBefore w:val="0"/>
        <w:kinsoku/>
        <w:wordWrap/>
        <w:overflowPunct/>
        <w:topLinePunct w:val="0"/>
        <w:bidi w:val="0"/>
        <w:ind w:left="0" w:leftChars="0" w:right="0" w:rightChars="0"/>
        <w:textAlignment w:val="auto"/>
        <w:rPr>
          <w:rFonts w:hint="eastAsia" w:ascii="宋体" w:hAnsi="宋体" w:eastAsia="宋体" w:cs="宋体"/>
          <w:b w:val="0"/>
          <w:bCs w:val="0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采购内容及要求</w:t>
      </w:r>
    </w:p>
    <w:p>
      <w:pPr>
        <w:widowControl w:val="0"/>
        <w:spacing w:line="56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贯彻国务院国资委《关于加快推进全国国资国企在线监管系统建设工作的通知》和省国资委《全省性国资国企在线监管系统建设工作方案》，进一步落实全市国资国企在线监管系统建设工作，加快我市国资监管信息化建设，全面建成覆盖全市市属国有企业的国资国企在线监管系统，与中省市国资委系统对接，形成上下联动的信息化监管格局，服务构建全国国资监管“一盘棋”，按照工作安排，结合我市实际，制定本方案。</w:t>
      </w:r>
    </w:p>
    <w:p>
      <w:pPr>
        <w:widowControl w:val="0"/>
        <w:spacing w:line="560" w:lineRule="exact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一、工作目标</w:t>
      </w:r>
    </w:p>
    <w:p>
      <w:pPr>
        <w:widowControl w:val="0"/>
        <w:spacing w:line="56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建设“实时在线、全面覆盖、系统互联、数据共享”的国资监管系统，建立具有地方特色的监管指标体系和符合地方实际的数据采集方式，按照统一标准上联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市</w:t>
      </w:r>
      <w:r>
        <w:rPr>
          <w:rFonts w:hint="eastAsia" w:ascii="宋体" w:hAnsi="宋体" w:eastAsia="宋体" w:cs="宋体"/>
          <w:sz w:val="24"/>
          <w:szCs w:val="24"/>
        </w:rPr>
        <w:t>级系统，使系统真正成为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国资</w:t>
      </w:r>
      <w:r>
        <w:rPr>
          <w:rFonts w:hint="eastAsia" w:ascii="宋体" w:hAnsi="宋体" w:eastAsia="宋体" w:cs="宋体"/>
          <w:sz w:val="24"/>
          <w:szCs w:val="24"/>
        </w:rPr>
        <w:t>监管业务的平台和抓手，实现“一盘棋”的目标。</w:t>
      </w:r>
    </w:p>
    <w:p>
      <w:pPr>
        <w:widowControl w:val="0"/>
        <w:spacing w:line="56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年打好基础，全面启动，做好试点。按照省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市</w:t>
      </w:r>
      <w:r>
        <w:rPr>
          <w:rFonts w:hint="eastAsia" w:ascii="宋体" w:hAnsi="宋体" w:eastAsia="宋体" w:cs="宋体"/>
          <w:sz w:val="24"/>
          <w:szCs w:val="24"/>
        </w:rPr>
        <w:t>国资委有关技术标准，参照省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市</w:t>
      </w:r>
      <w:r>
        <w:rPr>
          <w:rFonts w:hint="eastAsia" w:ascii="宋体" w:hAnsi="宋体" w:eastAsia="宋体" w:cs="宋体"/>
          <w:sz w:val="24"/>
          <w:szCs w:val="24"/>
        </w:rPr>
        <w:t>国资委一体化建设模式，全面启动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</w:t>
      </w:r>
      <w:r>
        <w:rPr>
          <w:rFonts w:hint="eastAsia" w:ascii="宋体" w:hAnsi="宋体" w:eastAsia="宋体" w:cs="宋体"/>
          <w:sz w:val="24"/>
          <w:szCs w:val="24"/>
        </w:rPr>
        <w:t>市国资在线监管系统建设，年底前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基本完善国资监管端监管平台建设，同时能源集团</w:t>
      </w:r>
      <w:r>
        <w:rPr>
          <w:rFonts w:hint="eastAsia" w:ascii="宋体" w:hAnsi="宋体" w:eastAsia="宋体" w:cs="宋体"/>
          <w:sz w:val="24"/>
          <w:szCs w:val="24"/>
        </w:rPr>
        <w:t>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部分</w:t>
      </w:r>
      <w:r>
        <w:rPr>
          <w:rFonts w:hint="eastAsia" w:ascii="宋体" w:hAnsi="宋体" w:eastAsia="宋体" w:cs="宋体"/>
          <w:sz w:val="24"/>
          <w:szCs w:val="24"/>
        </w:rPr>
        <w:t>具备条件的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</w:t>
      </w:r>
      <w:r>
        <w:rPr>
          <w:rFonts w:hint="eastAsia" w:ascii="宋体" w:hAnsi="宋体" w:eastAsia="宋体" w:cs="宋体"/>
          <w:sz w:val="24"/>
          <w:szCs w:val="24"/>
        </w:rPr>
        <w:t>作为试点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建设企业端监管系统，</w:t>
      </w:r>
      <w:r>
        <w:rPr>
          <w:rFonts w:hint="eastAsia" w:ascii="宋体" w:hAnsi="宋体" w:eastAsia="宋体" w:cs="宋体"/>
          <w:sz w:val="24"/>
          <w:szCs w:val="24"/>
        </w:rPr>
        <w:t>实现与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国资监管端</w:t>
      </w:r>
      <w:r>
        <w:rPr>
          <w:rFonts w:hint="eastAsia" w:ascii="宋体" w:hAnsi="宋体" w:eastAsia="宋体" w:cs="宋体"/>
          <w:sz w:val="24"/>
          <w:szCs w:val="24"/>
        </w:rPr>
        <w:t>系统对接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运行</w:t>
      </w:r>
      <w:r>
        <w:rPr>
          <w:rFonts w:hint="eastAsia" w:ascii="宋体" w:hAnsi="宋体" w:eastAsia="宋体" w:cs="宋体"/>
          <w:sz w:val="24"/>
          <w:szCs w:val="24"/>
        </w:rPr>
        <w:t>。202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年所有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</w:t>
      </w:r>
      <w:r>
        <w:rPr>
          <w:rFonts w:hint="eastAsia" w:ascii="宋体" w:hAnsi="宋体" w:eastAsia="宋体" w:cs="宋体"/>
          <w:sz w:val="24"/>
          <w:szCs w:val="24"/>
        </w:rPr>
        <w:t>全面完成国资监管信息化，形成横向到边、纵向到底的全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市</w:t>
      </w:r>
      <w:r>
        <w:rPr>
          <w:rFonts w:hint="eastAsia" w:ascii="宋体" w:hAnsi="宋体" w:eastAsia="宋体" w:cs="宋体"/>
          <w:sz w:val="24"/>
          <w:szCs w:val="24"/>
        </w:rPr>
        <w:t>实时在线监管系统并整体接入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榆林市</w:t>
      </w:r>
      <w:r>
        <w:rPr>
          <w:rFonts w:hint="eastAsia" w:ascii="宋体" w:hAnsi="宋体" w:eastAsia="宋体" w:cs="宋体"/>
          <w:sz w:val="24"/>
          <w:szCs w:val="24"/>
        </w:rPr>
        <w:t>国资委监管系统，形成上下联动的信息化监管格局，实现指标数据100%全采集。</w:t>
      </w:r>
    </w:p>
    <w:p>
      <w:pPr>
        <w:widowControl w:val="0"/>
        <w:spacing w:line="56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工作</w:t>
      </w:r>
      <w:r>
        <w:rPr>
          <w:rFonts w:hint="eastAsia" w:ascii="宋体" w:hAnsi="宋体" w:eastAsia="宋体" w:cs="宋体"/>
          <w:sz w:val="24"/>
          <w:szCs w:val="24"/>
        </w:rPr>
        <w:t>内容</w:t>
      </w:r>
    </w:p>
    <w:p>
      <w:pPr>
        <w:widowControl w:val="0"/>
        <w:spacing w:line="560" w:lineRule="exact"/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（一）建立国资监管数据资源体系</w:t>
      </w:r>
    </w:p>
    <w:p>
      <w:pPr>
        <w:widowControl w:val="0"/>
        <w:spacing w:line="56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梳理并整合国资监管数据资源，建立标准统一、体系完整的国资监管数据资源体系，实现国资监管数据资源的采集、清洗、比对、上报、稽核、存储、管理、共享交换、分析应用及数据开放的全周期管理，形成以数据集成、信息共享、知识发现为核心的国资监管数据应用机制。</w:t>
      </w:r>
    </w:p>
    <w:p>
      <w:pPr>
        <w:widowControl w:val="0"/>
        <w:spacing w:line="560" w:lineRule="exact"/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（二）建立国资监管业务协同体系</w:t>
      </w:r>
    </w:p>
    <w:p>
      <w:pPr>
        <w:widowControl w:val="0"/>
        <w:spacing w:line="56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优化完善国资监管体系、提升国资监管效率效能、增强快速反应与应急能力，建立覆盖监管企业、国资委的数据集成共享与业务协同机制，打通国资监管业务及数据链条，确保国有资产保值增值。</w:t>
      </w:r>
    </w:p>
    <w:p>
      <w:pPr>
        <w:widowControl w:val="0"/>
        <w:spacing w:line="560" w:lineRule="exact"/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（三）建立国资监管分析决策平台</w:t>
      </w:r>
    </w:p>
    <w:p>
      <w:pPr>
        <w:widowControl w:val="0"/>
        <w:spacing w:line="56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以国资监管数据资源为基础，利用云计算、大数据等技术，推动国资监管数据价值挖掘、决策分析、分析预警、风险管控等智能应用，增强国资监管宏观调控的前瞻性、协同性、有效性，建立“用数据说话、用数据决策、用数据管理、用数据创新”的管理机制。</w:t>
      </w:r>
    </w:p>
    <w:p>
      <w:pPr>
        <w:widowControl w:val="0"/>
        <w:spacing w:line="560" w:lineRule="exact"/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（四）建立国资监管持续集成及扩展应用机制</w:t>
      </w:r>
    </w:p>
    <w:p>
      <w:pPr>
        <w:widowControl w:val="0"/>
        <w:spacing w:line="56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用开放式体系架构，利用先进技术进行国资监管数据采集、存储、管理、分析及应用，揭示数据价值、释放数据潜能，提升国资监管决策能力和洞察力，同时具备支持国资监管大数据分析应用、国资监管信息化系统建设与业务的持续接入与集成能力，支持国企国资可持续发展。</w:t>
      </w:r>
    </w:p>
    <w:p>
      <w:pPr>
        <w:widowControl w:val="0"/>
        <w:spacing w:line="560" w:lineRule="exact"/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（五）建立国资监管综合管理信息系统</w:t>
      </w:r>
    </w:p>
    <w:p>
      <w:pPr>
        <w:widowControl w:val="0"/>
        <w:spacing w:line="56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统运用大数据、云计算、人工智能、互联网+等技术为核心，建立国资监管数据采集、共享、管理机制，建设国资监管的标准规范，构建市国资监管大格局，形成市国资监管一盘棋；建设数据标准规范体系、国资监管数据平台、监管业务中心、分析预警中心和数据应用门户；建设国资国企在线监管系统基础设施平台，完成企业信息管理、产权管理、财务管理、业绩考核、投资项目管理、大额资金监控、重大事项管理、党建管理、企业领导人管理等相关模块建设。</w:t>
      </w:r>
    </w:p>
    <w:p>
      <w:pPr>
        <w:widowControl w:val="0"/>
        <w:spacing w:line="56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sz w:val="24"/>
          <w:szCs w:val="24"/>
        </w:rPr>
        <w:t>、建设周期</w:t>
      </w:r>
    </w:p>
    <w:p>
      <w:pPr>
        <w:widowControl w:val="0"/>
        <w:numPr>
          <w:ilvl w:val="0"/>
          <w:numId w:val="0"/>
        </w:numPr>
        <w:spacing w:line="56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国资国企在线监管系统</w:t>
      </w:r>
      <w:r>
        <w:rPr>
          <w:rFonts w:hint="eastAsia" w:ascii="宋体" w:hAnsi="宋体" w:eastAsia="宋体" w:cs="宋体"/>
          <w:sz w:val="24"/>
          <w:szCs w:val="24"/>
        </w:rPr>
        <w:t>建设模块包括：监管数据平台、分析预警中心、监管业务模块（三重一大、财务管理、资金管理、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项目投资管理、人事管理、</w:t>
      </w:r>
      <w:r>
        <w:rPr>
          <w:rFonts w:hint="eastAsia" w:ascii="宋体" w:hAnsi="宋体" w:eastAsia="宋体" w:cs="宋体"/>
          <w:sz w:val="24"/>
          <w:szCs w:val="24"/>
        </w:rPr>
        <w:t>党建管理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 w:cs="宋体"/>
          <w:sz w:val="24"/>
          <w:szCs w:val="24"/>
        </w:rPr>
        <w:t>），计划用时6个月完成平台系统的整体建设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rPr>
          <w:b/>
          <w:bCs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mZWU1ODU1Y2ZlMGFjZTVmYmMxZGJkZGVhOTNkODYifQ=="/>
  </w:docVars>
  <w:rsids>
    <w:rsidRoot w:val="0BB07967"/>
    <w:rsid w:val="0BB07967"/>
    <w:rsid w:val="4CA2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spacing w:line="360" w:lineRule="auto"/>
      <w:ind w:firstLine="0" w:firstLineChars="0"/>
    </w:pPr>
    <w:rPr>
      <w:rFonts w:ascii="Calibri" w:hAnsi="Calibri" w:eastAsia="宋体" w:cs="Times New Roman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qFormat/>
    <w:uiPriority w:val="1"/>
    <w:pPr>
      <w:spacing w:before="80" w:after="80" w:line="360" w:lineRule="auto"/>
      <w:jc w:val="center"/>
      <w:outlineLvl w:val="0"/>
    </w:pPr>
    <w:rPr>
      <w:rFonts w:ascii="宋体" w:hAnsi="宋体"/>
      <w:b/>
      <w:bCs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spacing w:before="120"/>
    </w:pPr>
    <w:rPr>
      <w:rFonts w:ascii="Arial" w:hAnsi="Arial" w:cs="Arial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5282</Words>
  <Characters>5757</Characters>
  <Lines>0</Lines>
  <Paragraphs>0</Paragraphs>
  <TotalTime>0</TotalTime>
  <ScaleCrop>false</ScaleCrop>
  <LinksUpToDate>false</LinksUpToDate>
  <CharactersWithSpaces>5777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2022-11-11T09:11:00Z</dcterms:created>
  <dc:creator>WPS_1647417371</dc:creator>
  <cp:lastModifiedBy>WPS_1647417371</cp:lastModifiedBy>
  <dcterms:modified xsi:type="dcterms:W3CDTF">2022-11-11T09:13:09Z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F615CB3B8D6043AD8A69987989F66902</vt:lpwstr>
  </property>
</Properties>
</file>