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ZCSP-府谷县-2022-00587</w:t>
      </w:r>
    </w:p>
    <w:p>
      <w:pPr>
        <w:pStyle w:val="5"/>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6"/>
        <w:rPr>
          <w:rFonts w:hint="eastAsia" w:ascii="宋体" w:hAnsi="宋体" w:eastAsia="宋体" w:cs="宋体"/>
          <w:b/>
          <w:bCs w:val="0"/>
          <w:color w:val="auto"/>
          <w:lang w:eastAsia="zh-CN"/>
        </w:rPr>
      </w:pPr>
    </w:p>
    <w:p>
      <w:pPr>
        <w:pStyle w:val="5"/>
        <w:rPr>
          <w:rFonts w:hint="eastAsia" w:ascii="宋体" w:hAnsi="宋体" w:eastAsia="宋体" w:cs="宋体"/>
          <w:b/>
          <w:bCs w:val="0"/>
          <w:color w:val="auto"/>
          <w:sz w:val="24"/>
          <w:szCs w:val="24"/>
          <w:highlight w:val="none"/>
          <w:lang w:eastAsia="zh-CN"/>
        </w:rPr>
      </w:pPr>
    </w:p>
    <w:p>
      <w:pPr>
        <w:rPr>
          <w:rFonts w:hint="eastAsia"/>
          <w:lang w:eastAsia="zh-CN"/>
        </w:rPr>
      </w:pPr>
    </w:p>
    <w:p>
      <w:pPr>
        <w:rPr>
          <w:rFonts w:hint="eastAsia"/>
          <w:lang w:eastAsia="zh-CN"/>
        </w:rPr>
      </w:pPr>
    </w:p>
    <w:p>
      <w:pPr>
        <w:pStyle w:val="39"/>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bidi="ar-SA"/>
        </w:rPr>
        <w:t>郭家湾煤矿矿山地质环境治理恢复与土地复垦2022 年度辅助生产区南侧黄土滑坡隐患（HP02）治理工程</w:t>
      </w:r>
    </w:p>
    <w:p>
      <w:pPr>
        <w:pStyle w:val="39"/>
        <w:rPr>
          <w:rFonts w:hint="eastAsia" w:ascii="宋体" w:hAnsi="宋体" w:eastAsia="宋体" w:cs="宋体"/>
          <w:b/>
          <w:bCs w:val="0"/>
          <w:color w:val="auto"/>
          <w:sz w:val="56"/>
          <w:szCs w:val="96"/>
          <w:lang w:val="en-US" w:eastAsia="zh-CN"/>
        </w:rPr>
      </w:pPr>
    </w:p>
    <w:p>
      <w:pPr>
        <w:pStyle w:val="39"/>
        <w:rPr>
          <w:rFonts w:hint="eastAsia" w:ascii="宋体" w:hAnsi="宋体" w:eastAsia="宋体" w:cs="宋体"/>
          <w:b/>
          <w:bCs w:val="0"/>
          <w:color w:val="auto"/>
          <w:sz w:val="56"/>
          <w:szCs w:val="96"/>
          <w:lang w:val="en-US" w:eastAsia="zh-CN"/>
        </w:rPr>
      </w:pPr>
    </w:p>
    <w:p>
      <w:pPr>
        <w:pStyle w:val="39"/>
        <w:rPr>
          <w:rFonts w:hint="eastAsia" w:ascii="宋体" w:hAnsi="宋体" w:eastAsia="宋体" w:cs="宋体"/>
          <w:b/>
          <w:bCs w:val="0"/>
          <w:color w:val="auto"/>
          <w:sz w:val="56"/>
          <w:szCs w:val="96"/>
          <w:lang w:val="en-US" w:eastAsia="zh-CN"/>
        </w:rPr>
      </w:pPr>
    </w:p>
    <w:p>
      <w:pPr>
        <w:pStyle w:val="16"/>
        <w:rPr>
          <w:rFonts w:hint="eastAsia" w:ascii="宋体" w:hAnsi="宋体" w:eastAsia="宋体" w:cs="宋体"/>
          <w:b/>
          <w:bCs w:val="0"/>
          <w:color w:val="auto"/>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hAnsi="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39"/>
        <w:ind w:left="0" w:leftChars="0" w:firstLine="0" w:firstLineChars="0"/>
        <w:rPr>
          <w:rFonts w:hint="eastAsia" w:hAnsi="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府谷能源投资集团郭家湾矿业有限公司</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5"/>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二零二二年八月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4"/>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4"/>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948"/>
      <w:bookmarkStart w:id="2" w:name="_Toc371"/>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val="en-US" w:eastAsia="zh-CN"/>
        </w:rPr>
        <w:t>郭家湾煤矿矿山地质环境治理恢复与土地复垦2022 年度辅助生产区南侧黄土滑坡隐患（HP02）治理工程</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郭家湾煤矿矿山地质环境治理恢复与土地复垦2022 年度辅助生产区南侧黄土滑坡隐患（HP02）治理工程</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ZCSP-府谷县-2022-00587</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郭家湾煤矿矿山地质环境治理恢复与土地复垦2022 年度辅助生产区南侧黄土滑坡隐患（HP02）治理工程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953700.00元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郭家湾煤矿矿山地质环境治理恢复与土地复垦2022 年度辅助生产区南侧黄土滑坡隐患（HP02）治理工程</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953700.00元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953700.00元</w:t>
      </w:r>
    </w:p>
    <w:tbl>
      <w:tblPr>
        <w:tblStyle w:val="24"/>
        <w:tblW w:w="9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86"/>
        <w:gridCol w:w="1080"/>
        <w:gridCol w:w="1995"/>
        <w:gridCol w:w="1118"/>
        <w:gridCol w:w="1528"/>
        <w:gridCol w:w="1584"/>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8" w:hRule="atLeast"/>
          <w:tblHeader/>
        </w:trPr>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品目号</w:t>
            </w:r>
          </w:p>
        </w:tc>
        <w:tc>
          <w:tcPr>
            <w:tcW w:w="10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品目名称</w:t>
            </w:r>
          </w:p>
        </w:tc>
        <w:tc>
          <w:tcPr>
            <w:tcW w:w="19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技术规格、参数及要求</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品目预算(元)</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atLeast"/>
        </w:trPr>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0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default" w:ascii="宋体" w:hAnsi="宋体" w:eastAsia="宋体" w:cs="宋体"/>
                <w:sz w:val="24"/>
                <w:szCs w:val="24"/>
                <w:lang w:val="en-US"/>
              </w:rPr>
              <w:t>矿山施工</w:t>
            </w:r>
          </w:p>
        </w:tc>
        <w:tc>
          <w:tcPr>
            <w:tcW w:w="19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郭家湾煤矿矿山地质环境治理恢复与土地复垦2022 年度辅助生产区南侧黄土滑坡隐患（HP02）治理工程</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953700.00</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953700.00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kern w:val="0"/>
          <w:sz w:val="24"/>
          <w:szCs w:val="24"/>
          <w:lang w:val="en-US" w:eastAsia="zh-CN" w:bidi="ar"/>
        </w:rPr>
        <w:t>120</w:t>
      </w:r>
      <w:r>
        <w:rPr>
          <w:rFonts w:hint="eastAsia" w:ascii="宋体" w:hAnsi="宋体" w:eastAsia="宋体" w:cs="宋体"/>
          <w:i w:val="0"/>
          <w:iCs w:val="0"/>
          <w:caps w:val="0"/>
          <w:color w:val="333333"/>
          <w:spacing w:val="0"/>
          <w:sz w:val="24"/>
          <w:szCs w:val="24"/>
          <w:shd w:val="clear" w:fill="FFFFFF"/>
          <w:vertAlign w:val="baseline"/>
        </w:rPr>
        <w:t>日历天</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郭家湾煤矿矿山地质环境治理恢复与土地复垦2022 年度辅助生产区南侧黄土滑坡隐患（HP02）治理工程</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郭家湾煤矿矿山地质环境治理恢复与土地复垦2022 年度辅助生产区南侧黄土滑坡隐患（HP02）治理工程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w:t>
      </w:r>
      <w:r>
        <w:rPr>
          <w:rFonts w:hint="eastAsia" w:cs="宋体"/>
          <w:i w:val="0"/>
          <w:iCs w:val="0"/>
          <w:caps w:val="0"/>
          <w:color w:val="333333"/>
          <w:spacing w:val="0"/>
          <w:sz w:val="24"/>
          <w:szCs w:val="24"/>
          <w:shd w:val="clear" w:fill="FFFFFF"/>
          <w:vertAlign w:val="baseline"/>
          <w:lang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w:t>
      </w:r>
      <w:r>
        <w:rPr>
          <w:rFonts w:hint="eastAsia" w:cs="宋体"/>
          <w:i w:val="0"/>
          <w:iCs w:val="0"/>
          <w:caps w:val="0"/>
          <w:color w:val="333333"/>
          <w:spacing w:val="0"/>
          <w:sz w:val="24"/>
          <w:szCs w:val="24"/>
          <w:shd w:val="clear" w:fill="FFFFFF"/>
          <w:vertAlign w:val="baseline"/>
          <w:lang w:eastAsia="zh-CN"/>
        </w:rPr>
        <w:t>供应商需具备地质灾害治理工程施工丙级及其以上资质的独立企业法人，具备有效的安全生产许可证；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3、拟派往本项目的项目负责人必须为本单位的建造师，需具备</w:t>
      </w:r>
      <w:r>
        <w:rPr>
          <w:rFonts w:hint="eastAsia" w:cs="宋体"/>
          <w:i w:val="0"/>
          <w:iCs w:val="0"/>
          <w:caps w:val="0"/>
          <w:color w:val="333333"/>
          <w:spacing w:val="0"/>
          <w:sz w:val="24"/>
          <w:szCs w:val="24"/>
          <w:shd w:val="clear" w:fill="FFFFFF"/>
          <w:vertAlign w:val="baseline"/>
          <w:lang w:val="en-US" w:eastAsia="zh-CN"/>
        </w:rPr>
        <w:t>建筑</w:t>
      </w:r>
      <w:r>
        <w:rPr>
          <w:rFonts w:hint="eastAsia" w:ascii="宋体" w:hAnsi="宋体" w:eastAsia="宋体" w:cs="宋体"/>
          <w:i w:val="0"/>
          <w:iCs w:val="0"/>
          <w:caps w:val="0"/>
          <w:color w:val="333333"/>
          <w:spacing w:val="0"/>
          <w:sz w:val="24"/>
          <w:szCs w:val="24"/>
          <w:shd w:val="clear" w:fill="FFFFFF"/>
          <w:vertAlign w:val="baseline"/>
          <w:lang w:val="en-US" w:eastAsia="zh-CN"/>
        </w:rPr>
        <w:t>工程</w:t>
      </w:r>
      <w:r>
        <w:rPr>
          <w:rFonts w:hint="eastAsia" w:ascii="宋体" w:hAnsi="宋体" w:eastAsia="宋体" w:cs="宋体"/>
          <w:i w:val="0"/>
          <w:iCs w:val="0"/>
          <w:caps w:val="0"/>
          <w:color w:val="333333"/>
          <w:spacing w:val="0"/>
          <w:sz w:val="24"/>
          <w:szCs w:val="24"/>
          <w:shd w:val="clear" w:fill="FFFFFF"/>
          <w:vertAlign w:val="baseline"/>
        </w:rPr>
        <w:t>专业二级及其以上注册建造师注册证书和有效的安全生产考核合格证书（B证），并提供社保经办机构出具的2022年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月份至少一个月的本企业社保缴纳证明材料（五险一金其中一项即可，应可查询），且未担任其他在建工程项目的项目负责人；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4、财务状况报告：财务状况良好，提供2021年度财务审计报告（不足一年的需提供银行出具的资信证明及基本账号开户许可证或开户银行出具的基本存款账户信息表）；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质量员、材料员、施工员、资料员、安全员（同时具备建安C证）。</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14、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6月、7月或8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其他未列明行业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3、办理CA锁方式（仅供参考）：榆林市市民大厦四楼窗口,电话：0912-3515031。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府谷能源投资集团郭家湾矿业有限公司</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陕西省榆林市府谷县大昌汗乡郭家湾村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0912-8985001</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王佳</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19929368528</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p>
    <w:p>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4"/>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4"/>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郭家湾煤矿矿山地质环境治理恢复与土地复垦2022 年度辅助生产区南侧黄土滑坡隐患（HP02）治理工程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1.2项目编号：ZCSP-府谷县-2022-00587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府谷能源投资集团郭家湾矿业有限公司</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供应商需具备地质灾害治理工程施工丙级及其以上资质的独立企业法人，具备有效的安全生产许可证；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拟派往本项目的项目负责人必须为本单位的建造师，需具备</w:t>
            </w:r>
            <w:r>
              <w:rPr>
                <w:rFonts w:hint="eastAsia" w:cs="宋体"/>
                <w:i w:val="0"/>
                <w:iCs w:val="0"/>
                <w:caps w:val="0"/>
                <w:color w:val="333333"/>
                <w:spacing w:val="0"/>
                <w:sz w:val="24"/>
                <w:szCs w:val="24"/>
                <w:shd w:val="clear" w:fill="FFFFFF"/>
                <w:vertAlign w:val="baseline"/>
                <w:lang w:val="en-US" w:eastAsia="zh-CN"/>
              </w:rPr>
              <w:t>建筑</w:t>
            </w:r>
            <w:r>
              <w:rPr>
                <w:rFonts w:hint="eastAsia" w:cs="宋体"/>
                <w:i w:val="0"/>
                <w:iCs w:val="0"/>
                <w:caps w:val="0"/>
                <w:color w:val="333333"/>
                <w:spacing w:val="0"/>
                <w:sz w:val="24"/>
                <w:szCs w:val="24"/>
                <w:shd w:val="clear" w:fill="FFFFFF"/>
                <w:vertAlign w:val="baseline"/>
                <w:lang w:eastAsia="zh-CN"/>
              </w:rPr>
              <w:t>工程专业二级及其以上注册建造师注册证书和有效的安全生产考核合格证书（B证），并提供社保经办机构出具的2022年7月、8月或9月份至少一个月的本企业社保缴纳证明材料（五险一金其中一项即可，应可查询），且未担任其他在建工程项目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财务状况报告：财务状况良好，提供2021年度财务审计报告（公司成不足一年的需提供银行出具的资信证明及基本账号开户许可证或开户银行出具的基本存款账户信息表）；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7"/>
              <w:spacing w:line="360" w:lineRule="auto"/>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拟投入项目管理人员情况应配备合理，包括但不限于：质量员、材料员、施工员、资料员、安全员（同时具备建安C证）。</w:t>
            </w:r>
          </w:p>
          <w:p>
            <w:pPr>
              <w:pStyle w:val="17"/>
              <w:spacing w:line="360" w:lineRule="auto"/>
              <w:ind w:firstLine="240" w:firstLineChars="100"/>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val="en-US" w:eastAsia="zh-CN"/>
              </w:rPr>
              <w:t xml:space="preserve">质量员、材料员、施工员、资料员应持有岗位证书； </w:t>
            </w:r>
          </w:p>
          <w:p>
            <w:pPr>
              <w:pStyle w:val="17"/>
              <w:spacing w:line="360" w:lineRule="auto"/>
              <w:ind w:firstLine="240" w:firstLineChars="100"/>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val="en-US" w:eastAsia="zh-CN"/>
              </w:rPr>
              <w:t>安全员应持有岗位证书及安全考核合格证书C证。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7"/>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120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color w:val="auto"/>
                <w:sz w:val="24"/>
                <w:szCs w:val="24"/>
                <w:highlight w:val="none"/>
                <w:lang w:val="en-US" w:eastAsia="zh-CN"/>
              </w:rPr>
              <w:t>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953700.00元</w:t>
            </w:r>
            <w:r>
              <w:rPr>
                <w:rFonts w:hint="eastAsia" w:ascii="宋体" w:hAnsi="宋体" w:eastAsia="宋体" w:cs="宋体"/>
                <w:b/>
                <w:bCs/>
                <w:color w:val="auto"/>
                <w:sz w:val="24"/>
                <w:szCs w:val="24"/>
                <w:highlight w:val="none"/>
                <w:lang w:val="en-US" w:eastAsia="zh-CN"/>
              </w:rPr>
              <w:t xml:space="preserve">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本项目采购标的对应的中小企业划分标准所属行业为其他未列明行业。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5"/>
        <w:bidi w:val="0"/>
        <w:jc w:val="center"/>
        <w:rPr>
          <w:rFonts w:hint="eastAsia" w:ascii="宋体" w:hAnsi="宋体" w:eastAsia="宋体" w:cs="宋体"/>
          <w:color w:val="auto"/>
          <w:sz w:val="28"/>
          <w:szCs w:val="28"/>
          <w:lang w:eastAsia="zh-CN"/>
        </w:rPr>
      </w:pPr>
      <w:bookmarkStart w:id="5" w:name="_Toc25276"/>
      <w:bookmarkStart w:id="6" w:name="_Toc14490"/>
      <w:bookmarkStart w:id="7" w:name="_Toc307476822"/>
      <w:bookmarkStart w:id="8" w:name="_Toc307319708"/>
      <w:bookmarkStart w:id="9" w:name="_Toc32441"/>
      <w:bookmarkStart w:id="10" w:name="_Toc313435089"/>
      <w:bookmarkStart w:id="11" w:name="_Toc317063964"/>
      <w:bookmarkStart w:id="12" w:name="_Toc302465479"/>
      <w:bookmarkStart w:id="13" w:name="_Toc20762"/>
      <w:bookmarkStart w:id="14" w:name="_Toc294650191"/>
      <w:bookmarkStart w:id="15" w:name="_Toc294650433"/>
      <w:bookmarkStart w:id="16" w:name="_Toc294689028"/>
      <w:bookmarkStart w:id="17" w:name="_Toc294650331"/>
      <w:bookmarkStart w:id="18"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5"/>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5"/>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5"/>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府谷能源投资集团郭家湾矿业有限公司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6"/>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2296"/>
      <w:bookmarkStart w:id="24" w:name="_Toc302465480"/>
      <w:bookmarkStart w:id="25" w:name="_Toc307476823"/>
      <w:bookmarkStart w:id="26" w:name="_Toc313435090"/>
      <w:bookmarkStart w:id="27" w:name="_Toc307319709"/>
      <w:bookmarkStart w:id="28" w:name="_Toc317063965"/>
      <w:bookmarkStart w:id="29" w:name="_Toc14265"/>
    </w:p>
    <w:p>
      <w:pPr>
        <w:pStyle w:val="5"/>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rPr>
          <w:rFonts w:hint="eastAsia" w:ascii="宋体" w:hAnsi="宋体" w:eastAsia="宋体" w:cs="宋体"/>
          <w:color w:val="auto"/>
          <w:sz w:val="30"/>
          <w:szCs w:val="30"/>
          <w:highlight w:val="none"/>
        </w:rPr>
      </w:pPr>
      <w:bookmarkStart w:id="32" w:name="_Toc21940"/>
      <w:bookmarkStart w:id="33" w:name="_Toc307476824"/>
      <w:bookmarkStart w:id="34" w:name="_Toc15555"/>
      <w:bookmarkStart w:id="35" w:name="_Toc302465481"/>
      <w:bookmarkStart w:id="36" w:name="_Toc317063966"/>
      <w:bookmarkStart w:id="37" w:name="_Toc307319710"/>
      <w:bookmarkStart w:id="38" w:name="_Toc1775"/>
      <w:bookmarkStart w:id="39" w:name="_Toc313435091"/>
    </w:p>
    <w:p>
      <w:pPr>
        <w:pStyle w:val="5"/>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22398"/>
      <w:bookmarkStart w:id="43" w:name="_Toc347478684"/>
      <w:bookmarkStart w:id="44" w:name="_Toc643"/>
    </w:p>
    <w:p>
      <w:pPr>
        <w:pStyle w:val="6"/>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347478685"/>
      <w:bookmarkStart w:id="46" w:name="_Toc15450"/>
      <w:bookmarkStart w:id="47"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14873"/>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347478688"/>
      <w:bookmarkStart w:id="55" w:name="_Toc22581"/>
      <w:bookmarkStart w:id="56"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6"/>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14908"/>
      <w:bookmarkStart w:id="59"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22226"/>
      <w:bookmarkStart w:id="62" w:name="_Toc347478690"/>
    </w:p>
    <w:p>
      <w:pPr>
        <w:pStyle w:val="6"/>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6"/>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4578"/>
      <w:bookmarkStart w:id="64" w:name="_Toc842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5"/>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347478693"/>
      <w:bookmarkStart w:id="67" w:name="_Toc23324"/>
      <w:bookmarkStart w:id="68"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5"/>
        <w:rPr>
          <w:rFonts w:hint="eastAsia" w:ascii="宋体" w:hAnsi="宋体" w:eastAsia="宋体" w:cs="宋体"/>
          <w:lang w:val="en-US" w:eastAsia="zh-CN"/>
        </w:rPr>
      </w:pPr>
    </w:p>
    <w:p>
      <w:pPr>
        <w:pStyle w:val="6"/>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47478694"/>
      <w:bookmarkStart w:id="70" w:name="_Toc3797"/>
      <w:bookmarkStart w:id="71" w:name="_Toc30501"/>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5"/>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347478695"/>
      <w:bookmarkStart w:id="74"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5"/>
        <w:spacing w:line="480" w:lineRule="exact"/>
        <w:jc w:val="both"/>
        <w:rPr>
          <w:rFonts w:hint="eastAsia" w:ascii="宋体" w:hAnsi="宋体" w:eastAsia="宋体" w:cs="宋体"/>
          <w:b/>
          <w:bCs/>
          <w:color w:val="auto"/>
          <w:sz w:val="30"/>
          <w:szCs w:val="30"/>
          <w:highlight w:val="none"/>
        </w:rPr>
      </w:pPr>
    </w:p>
    <w:p>
      <w:pPr>
        <w:pStyle w:val="5"/>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13582"/>
      <w:bookmarkStart w:id="79" w:name="_Toc21610"/>
    </w:p>
    <w:p>
      <w:pPr>
        <w:pStyle w:val="6"/>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6"/>
        <w:spacing w:line="480" w:lineRule="exact"/>
        <w:ind w:left="420"/>
        <w:jc w:val="both"/>
        <w:rPr>
          <w:rFonts w:hint="eastAsia" w:ascii="宋体" w:hAnsi="宋体" w:eastAsia="宋体" w:cs="宋体"/>
          <w:b/>
          <w:color w:val="auto"/>
          <w:sz w:val="24"/>
        </w:rPr>
      </w:pPr>
      <w:bookmarkStart w:id="80" w:name="_Toc28132"/>
      <w:bookmarkStart w:id="81" w:name="_Toc347478697"/>
      <w:bookmarkStart w:id="82"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rPr>
          <w:rFonts w:hint="eastAsia" w:ascii="宋体" w:hAnsi="宋体" w:eastAsia="宋体" w:cs="宋体"/>
          <w:color w:val="auto"/>
          <w:lang w:val="en-US" w:eastAsia="zh-CN"/>
        </w:rPr>
      </w:pPr>
    </w:p>
    <w:p>
      <w:pPr>
        <w:pStyle w:val="6"/>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5"/>
        <w:spacing w:line="480" w:lineRule="exact"/>
        <w:jc w:val="center"/>
        <w:rPr>
          <w:rFonts w:hint="eastAsia" w:ascii="宋体" w:hAnsi="宋体" w:eastAsia="宋体" w:cs="宋体"/>
          <w:color w:val="auto"/>
          <w:highlight w:val="none"/>
        </w:rPr>
      </w:pPr>
      <w:bookmarkStart w:id="83" w:name="_Toc8651"/>
      <w:bookmarkStart w:id="84" w:name="_Toc29152"/>
      <w:bookmarkStart w:id="85" w:name="_Toc22001"/>
      <w:bookmarkStart w:id="86" w:name="_Toc317063973"/>
      <w:bookmarkStart w:id="87" w:name="_Toc313435098"/>
      <w:bookmarkStart w:id="88" w:name="_Toc25888"/>
      <w:bookmarkStart w:id="89" w:name="_Toc307319717"/>
      <w:bookmarkStart w:id="90" w:name="_Toc307476831"/>
      <w:bookmarkStart w:id="91" w:name="_Toc14167"/>
      <w:bookmarkStart w:id="92" w:name="_Toc302465488"/>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453"/>
      <w:bookmarkStart w:id="97" w:name="_Toc48834094"/>
      <w:bookmarkStart w:id="98" w:name="_Toc48834291"/>
      <w:bookmarkStart w:id="99" w:name="_Toc48834532"/>
      <w:bookmarkStart w:id="100" w:name="_Toc48834164"/>
      <w:bookmarkStart w:id="101" w:name="_Toc23906"/>
      <w:bookmarkStart w:id="102" w:name="_Toc48834095"/>
      <w:bookmarkStart w:id="103" w:name="_Toc48834292"/>
      <w:bookmarkStart w:id="104" w:name="_Toc48834533"/>
      <w:bookmarkStart w:id="105" w:name="_Toc14917"/>
      <w:bookmarkStart w:id="106" w:name="_Toc48834454"/>
      <w:bookmarkStart w:id="107"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19349"/>
      <w:bookmarkStart w:id="109" w:name="_Toc30503"/>
      <w:bookmarkStart w:id="110" w:name="_Toc31809"/>
      <w:bookmarkStart w:id="111" w:name="_Toc9950"/>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27001"/>
      <w:bookmarkStart w:id="113" w:name="_Toc14136"/>
      <w:bookmarkStart w:id="114" w:name="_Toc6679"/>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29039"/>
      <w:bookmarkStart w:id="117" w:name="_Toc4951"/>
      <w:bookmarkStart w:id="118" w:name="_Toc932"/>
      <w:bookmarkStart w:id="119" w:name="_Toc44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1681"/>
      <w:bookmarkStart w:id="121" w:name="_Toc19340"/>
      <w:bookmarkStart w:id="122" w:name="_Toc3980"/>
      <w:bookmarkStart w:id="123" w:name="_Toc23735"/>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534"/>
      <w:bookmarkStart w:id="130" w:name="_Toc48834293"/>
      <w:bookmarkStart w:id="131" w:name="_Toc48834096"/>
      <w:bookmarkStart w:id="132" w:name="_Toc10388"/>
      <w:bookmarkStart w:id="133" w:name="_Toc48834166"/>
      <w:bookmarkStart w:id="134" w:name="_Toc48834455"/>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31345"/>
      <w:bookmarkStart w:id="136" w:name="_Toc48834167"/>
      <w:bookmarkStart w:id="137" w:name="_Toc48834294"/>
      <w:bookmarkStart w:id="138" w:name="_Toc48834456"/>
      <w:bookmarkStart w:id="139" w:name="_Toc48834535"/>
      <w:bookmarkStart w:id="140"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945"/>
      <w:bookmarkStart w:id="142" w:name="_Toc15976"/>
      <w:bookmarkStart w:id="143" w:name="_Toc4661"/>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6749"/>
      <w:bookmarkStart w:id="147" w:name="_Toc1993"/>
      <w:bookmarkStart w:id="14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府谷能源投资集团郭家湾矿业有限公司</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8853511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4"/>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4"/>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：郭家湾煤矿矿山地质环境治理恢复与土地复垦2022 年度辅助生产区南侧黄土滑坡隐患（HP02）治理工程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采购项目预算：953700.00元</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资金来源：财政专项资金</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价格信息来源：市场询价，咨询相关技术专家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sz w:val="28"/>
          <w:szCs w:val="36"/>
          <w:lang w:val="en-US" w:eastAsia="zh-CN"/>
        </w:rPr>
        <w:t>郭家湾煤矿</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（三）项目概况：</w:t>
      </w:r>
      <w:r>
        <w:rPr>
          <w:rFonts w:hint="eastAsia" w:ascii="宋体" w:hAnsi="宋体" w:cs="宋体"/>
          <w:b w:val="0"/>
          <w:bCs w:val="0"/>
          <w:sz w:val="28"/>
          <w:szCs w:val="28"/>
          <w:lang w:val="en-US" w:eastAsia="zh-CN"/>
        </w:rPr>
        <w:t>主要工程内容包括：挡土墙+ 削坡工程+ 排水系统+ 坡面修整+ 生物措施。</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40"/>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40"/>
          <w:rFonts w:hint="eastAsia" w:ascii="宋体" w:hAnsi="宋体" w:eastAsia="宋体" w:cs="宋体"/>
          <w:color w:val="auto"/>
          <w:sz w:val="32"/>
          <w:szCs w:val="32"/>
          <w:lang w:val="zh-CN" w:eastAsia="zh-CN"/>
        </w:rPr>
        <w:t>工程量清单</w:t>
      </w:r>
      <w:bookmarkEnd w:id="151"/>
      <w:bookmarkEnd w:id="152"/>
      <w:bookmarkStart w:id="153" w:name="_Toc4197"/>
      <w:bookmarkStart w:id="154" w:name="_Toc12128"/>
      <w:bookmarkStart w:id="155" w:name="_Toc31662"/>
    </w:p>
    <w:tbl>
      <w:tblPr>
        <w:tblStyle w:val="24"/>
        <w:tblW w:w="8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44"/>
        <w:gridCol w:w="1416"/>
        <w:gridCol w:w="2562"/>
        <w:gridCol w:w="1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5"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52"/>
                <w:szCs w:val="52"/>
                <w:u w:val="none"/>
              </w:rPr>
            </w:pPr>
            <w:r>
              <w:rPr>
                <w:rFonts w:hint="eastAsia" w:ascii="宋体" w:hAnsi="宋体" w:eastAsia="宋体" w:cs="宋体"/>
                <w:b/>
                <w:bCs/>
                <w:i w:val="0"/>
                <w:iCs w:val="0"/>
                <w:color w:val="000000"/>
                <w:kern w:val="0"/>
                <w:sz w:val="52"/>
                <w:szCs w:val="52"/>
                <w:u w:val="none"/>
                <w:lang w:val="en-US" w:eastAsia="zh-CN" w:bidi="ar"/>
              </w:rPr>
              <w:t>投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4" w:hRule="atLeast"/>
        </w:trPr>
        <w:tc>
          <w:tcPr>
            <w:tcW w:w="0" w:type="auto"/>
            <w:gridSpan w:val="4"/>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trPr>
        <w:tc>
          <w:tcPr>
            <w:tcW w:w="3544"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郭家湾煤矿矿山地质环境治理恢复与土地复垦2022年度辅助生产区南侧黄土滑坡隐患（HP02）治理工程</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796"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郭家湾煤矿矿山地质环境治理恢复与土地复垦2022年度辅助生产区南侧黄土滑坡隐患（HP02）治理工程</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同     编    号：</w:t>
            </w:r>
          </w:p>
        </w:tc>
        <w:tc>
          <w:tcPr>
            <w:tcW w:w="4095" w:type="dxa"/>
            <w:gridSpan w:val="2"/>
            <w:tcBorders>
              <w:top w:val="nil"/>
              <w:left w:val="nil"/>
              <w:bottom w:val="single" w:color="000000" w:sz="4" w:space="0"/>
              <w:right w:val="nil"/>
            </w:tcBorders>
            <w:shd w:val="clear" w:color="auto" w:fill="auto"/>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投标总价人民币（大写）：</w:t>
            </w:r>
          </w:p>
        </w:tc>
        <w:tc>
          <w:tcPr>
            <w:tcW w:w="4095" w:type="dxa"/>
            <w:gridSpan w:val="2"/>
            <w:tcBorders>
              <w:top w:val="nil"/>
              <w:left w:val="nil"/>
              <w:bottom w:val="single" w:color="000000" w:sz="4" w:space="0"/>
              <w:right w:val="nil"/>
            </w:tcBorders>
            <w:shd w:val="clear" w:color="auto" w:fill="auto"/>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gridSpan w:val="2"/>
            <w:tcBorders>
              <w:top w:val="nil"/>
              <w:left w:val="nil"/>
              <w:bottom w:val="single" w:color="000000" w:sz="4" w:space="0"/>
              <w:right w:val="nil"/>
            </w:tcBorders>
            <w:shd w:val="clear" w:color="auto" w:fill="auto"/>
            <w:noWrap/>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r>
    </w:tbl>
    <w:p>
      <w:pPr>
        <w:pStyle w:val="39"/>
        <w:ind w:left="0" w:leftChars="0" w:firstLine="0" w:firstLineChars="0"/>
        <w:rPr>
          <w:rStyle w:val="40"/>
          <w:rFonts w:hint="eastAsia" w:ascii="宋体" w:hAnsi="宋体" w:eastAsia="宋体" w:cs="宋体"/>
          <w:color w:val="auto"/>
          <w:sz w:val="32"/>
          <w:szCs w:val="32"/>
          <w:lang w:val="zh-CN" w:eastAsia="zh-CN"/>
        </w:rPr>
      </w:pPr>
    </w:p>
    <w:p>
      <w:pPr>
        <w:pStyle w:val="39"/>
        <w:ind w:firstLine="562"/>
        <w:rPr>
          <w:rFonts w:hint="eastAsia" w:ascii="宋体" w:hAnsi="宋体"/>
          <w:b/>
          <w:bCs/>
          <w:sz w:val="24"/>
          <w:szCs w:val="24"/>
        </w:rPr>
      </w:pPr>
      <w:r>
        <w:rPr>
          <w:rFonts w:hint="eastAsia" w:ascii="宋体" w:hAnsi="宋体"/>
          <w:b/>
          <w:bCs/>
          <w:sz w:val="24"/>
          <w:szCs w:val="24"/>
        </w:rPr>
        <w:t xml:space="preserve"> </w:t>
      </w:r>
    </w:p>
    <w:tbl>
      <w:tblPr>
        <w:tblStyle w:val="24"/>
        <w:tblW w:w="89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3685"/>
        <w:gridCol w:w="2269"/>
        <w:gridCol w:w="2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0"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764"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工程名称：郭家湾煤矿矿山地质环境治理恢复与土地复垦2022年度辅助生产区南侧黄土滑坡隐患（HP02）治理工程</w:t>
            </w:r>
          </w:p>
        </w:tc>
        <w:tc>
          <w:tcPr>
            <w:tcW w:w="4174"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标段名称：郭家湾煤矿矿山地质环境治理恢复与土地复垦2022年度辅助生产区南侧黄土滑坡隐患（HP02）治理工程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挡土墙（294m）</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排水系统</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坡面修整</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生物措施</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林草管护(管护2年)</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工程保险费</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暂列金</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招标代理费</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水保独立投资</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环保独立投资</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gridSpan w:val="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合计</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bl>
    <w:p>
      <w:pPr>
        <w:pStyle w:val="39"/>
        <w:ind w:left="0" w:leftChars="0" w:firstLine="0" w:firstLineChars="0"/>
        <w:rPr>
          <w:rFonts w:ascii="宋体" w:hAnsi="宋体"/>
          <w:b/>
          <w:bCs/>
          <w:sz w:val="28"/>
          <w:szCs w:val="28"/>
        </w:rPr>
      </w:pPr>
    </w:p>
    <w:tbl>
      <w:tblPr>
        <w:tblStyle w:val="24"/>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6"/>
        <w:gridCol w:w="2546"/>
        <w:gridCol w:w="801"/>
        <w:gridCol w:w="1063"/>
        <w:gridCol w:w="1509"/>
        <w:gridCol w:w="1299"/>
        <w:gridCol w:w="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121"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4633"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工程名称：郭家湾煤矿矿山地质环境治理恢复与土地复垦2022年度辅助生产区南侧黄土滑坡隐患（HP02）治理工程</w:t>
            </w:r>
          </w:p>
        </w:tc>
        <w:tc>
          <w:tcPr>
            <w:tcW w:w="4488"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标段名称：郭家湾煤矿矿山地质环境治理恢复与土地复垦2022年度辅助生产区南侧黄土滑坡隐患（HP02）治理工程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挡土墙（294m）</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基础开挖</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1790.46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M10砂浆浆砌块石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1852.2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伸缩缝</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脚手架</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泄水孔(φ80mmPVC管)</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回填土压实</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排水系统</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型排水渠（421.9m）</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354.4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M10砂浆浆砌片石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253.14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伸缩缝</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截水渠（420m）</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516.6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M10砂浆浆砌片石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306.6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伸缩缝</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30.66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消力池</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M10砂浆浆砌片石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砂浆抹面(M10砂浆，厚2cm)</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坡面修整</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生物措施</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紫穗槐(地径3mm，一穴3株)</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3072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紫花苜蓿(60kg/hm2)</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林草管护(管护2年)</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其他施工临时工程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bl>
    <w:p>
      <w:pPr>
        <w:pStyle w:val="39"/>
        <w:ind w:left="0" w:leftChars="0" w:firstLine="0" w:firstLineChars="0"/>
        <w:rPr>
          <w:rFonts w:ascii="宋体" w:hAnsi="宋体"/>
          <w:b/>
          <w:bCs/>
          <w:sz w:val="28"/>
          <w:szCs w:val="28"/>
        </w:rPr>
      </w:pPr>
    </w:p>
    <w:p>
      <w:pPr>
        <w:pStyle w:val="4"/>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3"/>
      <w:bookmarkEnd w:id="154"/>
      <w:bookmarkEnd w:id="155"/>
    </w:p>
    <w:p>
      <w:pPr>
        <w:pStyle w:val="5"/>
        <w:spacing w:line="480" w:lineRule="exact"/>
        <w:ind w:firstLine="482"/>
        <w:rPr>
          <w:rFonts w:hint="eastAsia" w:ascii="宋体" w:hAnsi="宋体" w:eastAsia="宋体" w:cs="宋体"/>
          <w:color w:val="auto"/>
          <w:sz w:val="24"/>
          <w:szCs w:val="24"/>
          <w:highlight w:val="none"/>
        </w:rPr>
      </w:pPr>
      <w:bookmarkStart w:id="156" w:name="_Toc31644"/>
      <w:bookmarkStart w:id="157" w:name="_Toc31247"/>
      <w:bookmarkStart w:id="158"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18"/>
        <w:gridCol w:w="7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4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4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cs="宋体"/>
                <w:i w:val="0"/>
                <w:iCs w:val="0"/>
                <w:caps w:val="0"/>
                <w:color w:val="333333"/>
                <w:spacing w:val="0"/>
                <w:sz w:val="24"/>
                <w:szCs w:val="24"/>
                <w:shd w:val="clear" w:fill="FFFFFF"/>
                <w:vertAlign w:val="baseline"/>
                <w:lang w:eastAsia="zh-CN"/>
              </w:rPr>
              <w:t>地质灾害治理工程施工丙级</w:t>
            </w:r>
            <w:r>
              <w:rPr>
                <w:rFonts w:hint="default" w:ascii="宋体" w:hAnsi="宋体" w:eastAsia="宋体" w:cs="宋体"/>
                <w:color w:val="000000"/>
                <w:sz w:val="24"/>
                <w:szCs w:val="24"/>
                <w:lang w:val="en-US" w:eastAsia="zh-CN"/>
              </w:rPr>
              <w:t>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1"/>
                <w:rFonts w:hint="eastAsia" w:ascii="宋体" w:hAnsi="宋体" w:eastAsia="宋体" w:cs="宋体"/>
                <w:kern w:val="2"/>
                <w:sz w:val="24"/>
                <w:szCs w:val="24"/>
                <w:lang w:val="en-US" w:eastAsia="zh-CN" w:bidi="ar-SA"/>
              </w:rPr>
              <w:t>项目负责人</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建筑</w:t>
            </w:r>
            <w:r>
              <w:rPr>
                <w:rFonts w:hint="default" w:ascii="宋体" w:hAnsi="宋体" w:eastAsia="宋体" w:cs="宋体"/>
                <w:color w:val="000000"/>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财务状况报告：提供2021年度财务审计报告原件（公司成立不足一年的需提供开标时间前六个月内其基本存款账户开户银行出具的资信证明原件）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w:t>
            </w:r>
            <w:r>
              <w:rPr>
                <w:rFonts w:hint="eastAsia" w:hAnsi="宋体" w:cs="宋体"/>
                <w:color w:val="000000"/>
                <w:sz w:val="24"/>
                <w:szCs w:val="24"/>
                <w:lang w:val="en-US" w:eastAsia="zh-CN"/>
              </w:rPr>
              <w:t>一</w:t>
            </w:r>
            <w:r>
              <w:rPr>
                <w:rFonts w:hint="default" w:ascii="宋体" w:hAnsi="宋体" w:eastAsia="宋体" w:cs="宋体"/>
                <w:color w:val="000000"/>
                <w:sz w:val="24"/>
                <w:szCs w:val="24"/>
                <w:lang w:val="en-US" w:eastAsia="zh-CN"/>
              </w:rPr>
              <w:t>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545" w:type="dxa"/>
            <w:noWrap w:val="0"/>
            <w:vAlign w:val="center"/>
          </w:tcPr>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45" w:type="dxa"/>
            <w:noWrap w:val="0"/>
            <w:vAlign w:val="center"/>
          </w:tcPr>
          <w:p>
            <w:pPr>
              <w:pStyle w:val="17"/>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拟投入项目管理人员情况应配备合理，包括但不限于：质量员、材料员、施工员、资料员、安全员（同时具备建安C证）。</w:t>
            </w:r>
          </w:p>
          <w:p>
            <w:pPr>
              <w:pStyle w:val="17"/>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1）质量员、材料员、施工员、资料员应持有岗位证书原件； </w:t>
            </w:r>
          </w:p>
          <w:p>
            <w:pPr>
              <w:pStyle w:val="17"/>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2）安全员应持有岗位证书原件及安全考核合格证书C证原件。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545" w:type="dxa"/>
            <w:noWrap w:val="0"/>
            <w:vAlign w:val="center"/>
          </w:tcPr>
          <w:p>
            <w:pPr>
              <w:pStyle w:val="5"/>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54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9"/>
        <w:rPr>
          <w:rFonts w:hint="eastAsia" w:ascii="宋体" w:hAnsi="宋体" w:eastAsia="宋体" w:cs="宋体"/>
          <w:b/>
          <w:bCs/>
          <w:sz w:val="24"/>
          <w:szCs w:val="24"/>
          <w:highlight w:val="none"/>
        </w:rPr>
      </w:pPr>
    </w:p>
    <w:p>
      <w:pPr>
        <w:pStyle w:val="39"/>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39"/>
        <w:rPr>
          <w:rFonts w:hint="eastAsia" w:hAnsi="宋体" w:cs="宋体"/>
          <w:b/>
          <w:bCs/>
          <w:sz w:val="24"/>
          <w:szCs w:val="24"/>
          <w:highlight w:val="none"/>
          <w:lang w:val="en-US" w:eastAsia="zh-CN"/>
        </w:rPr>
      </w:pPr>
    </w:p>
    <w:p>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4"/>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23178"/>
      <w:bookmarkStart w:id="161" w:name="_Toc15325"/>
    </w:p>
    <w:p>
      <w:pPr>
        <w:pStyle w:val="39"/>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pStyle w:val="6"/>
        <w:jc w:val="center"/>
        <w:rPr>
          <w:rFonts w:ascii="Times New Roman" w:hAnsi="Times New Roman" w:eastAsia="华文中宋"/>
          <w:b w:val="0"/>
          <w:color w:val="auto"/>
          <w:sz w:val="44"/>
          <w:szCs w:val="44"/>
        </w:rPr>
      </w:pPr>
      <w:bookmarkStart w:id="163" w:name="_Toc296503025"/>
      <w:bookmarkStart w:id="164" w:name="_Toc296890982"/>
      <w:bookmarkStart w:id="165" w:name="_Toc351203480"/>
      <w:r>
        <w:rPr>
          <w:rFonts w:ascii="华文中宋" w:hAnsi="华文中宋" w:eastAsia="华文中宋"/>
          <w:color w:val="auto"/>
          <w:sz w:val="44"/>
          <w:szCs w:val="44"/>
        </w:rPr>
        <w:t>合同协议书</w:t>
      </w:r>
      <w:bookmarkEnd w:id="163"/>
      <w:bookmarkEnd w:id="164"/>
      <w:bookmarkEnd w:id="165"/>
    </w:p>
    <w:p>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发包人（</w:t>
      </w:r>
      <w:r>
        <w:rPr>
          <w:rFonts w:hint="eastAsia" w:ascii="Times New Roman" w:hAnsi="Times New Roman" w:eastAsia="仿宋_GB2312"/>
          <w:b/>
          <w:color w:val="auto"/>
          <w:sz w:val="30"/>
          <w:szCs w:val="30"/>
          <w:lang w:val="en-US" w:eastAsia="zh-CN"/>
        </w:rPr>
        <w:t>全称</w:t>
      </w:r>
      <w:r>
        <w:rPr>
          <w:rFonts w:ascii="Times New Roman" w:hAnsi="Times New Roman" w:eastAsia="仿宋_GB2312"/>
          <w:b/>
          <w:color w:val="auto"/>
          <w:sz w:val="30"/>
          <w:szCs w:val="30"/>
        </w:rPr>
        <w:t>）：</w:t>
      </w:r>
      <w:r>
        <w:rPr>
          <w:rFonts w:ascii="Times New Roman" w:hAnsi="Times New Roman" w:eastAsia="仿宋_GB2312"/>
          <w:b/>
          <w:color w:val="auto"/>
          <w:sz w:val="30"/>
          <w:szCs w:val="30"/>
          <w:u w:val="single"/>
        </w:rPr>
        <w:t xml:space="preserve"> </w:t>
      </w:r>
      <w:r>
        <w:rPr>
          <w:rFonts w:hint="eastAsia" w:ascii="Times New Roman" w:hAnsi="Times New Roman" w:eastAsia="仿宋_GB2312"/>
          <w:b/>
          <w:color w:val="auto"/>
          <w:sz w:val="30"/>
          <w:szCs w:val="30"/>
          <w:u w:val="single"/>
          <w:lang w:val="en-US" w:eastAsia="zh-CN"/>
        </w:rPr>
        <w:t>府谷能源投资集团郭家湾矿业有限公司</w:t>
      </w:r>
      <w:r>
        <w:rPr>
          <w:rFonts w:hint="eastAsia" w:ascii="Times New Roman" w:hAnsi="Times New Roman" w:eastAsia="仿宋_GB2312"/>
          <w:b/>
          <w:color w:val="auto"/>
          <w:sz w:val="30"/>
          <w:szCs w:val="30"/>
          <w:u w:val="single"/>
        </w:rPr>
        <w:t xml:space="preserve"> </w:t>
      </w:r>
    </w:p>
    <w:p>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承包人（</w:t>
      </w:r>
      <w:r>
        <w:rPr>
          <w:rFonts w:hint="eastAsia" w:ascii="Times New Roman" w:hAnsi="Times New Roman" w:eastAsia="仿宋_GB2312"/>
          <w:b/>
          <w:color w:val="auto"/>
          <w:sz w:val="30"/>
          <w:szCs w:val="30"/>
          <w:lang w:val="en-US" w:eastAsia="zh-CN"/>
        </w:rPr>
        <w:t>全称</w:t>
      </w:r>
      <w:r>
        <w:rPr>
          <w:rFonts w:ascii="Times New Roman" w:hAnsi="Times New Roman" w:eastAsia="仿宋_GB2312"/>
          <w:b/>
          <w:color w:val="auto"/>
          <w:sz w:val="30"/>
          <w:szCs w:val="30"/>
        </w:rPr>
        <w:t>）：</w:t>
      </w:r>
      <w:r>
        <w:rPr>
          <w:rFonts w:ascii="Times New Roman" w:hAnsi="Times New Roman" w:eastAsia="仿宋_GB2312"/>
          <w:b/>
          <w:color w:val="auto"/>
          <w:sz w:val="30"/>
          <w:szCs w:val="30"/>
          <w:u w:val="single"/>
        </w:rPr>
        <w:t xml:space="preserve"> </w:t>
      </w:r>
      <w:r>
        <w:rPr>
          <w:rFonts w:hint="eastAsia" w:eastAsia="仿宋_GB2312"/>
          <w:b/>
          <w:color w:val="auto"/>
          <w:sz w:val="30"/>
          <w:szCs w:val="30"/>
          <w:u w:val="single"/>
          <w:lang w:val="en-US" w:eastAsia="zh-CN"/>
        </w:rPr>
        <w:t xml:space="preserve">                                   </w:t>
      </w:r>
    </w:p>
    <w:p>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rPr>
        <w:t>根据《中华人民共和国</w:t>
      </w:r>
      <w:r>
        <w:rPr>
          <w:rFonts w:hint="eastAsia" w:ascii="Times New Roman" w:hAnsi="Times New Roman" w:eastAsia="仿宋_GB2312"/>
          <w:color w:val="auto"/>
          <w:sz w:val="30"/>
          <w:szCs w:val="30"/>
          <w:lang w:val="en-US" w:eastAsia="zh-CN"/>
        </w:rPr>
        <w:t>民法典</w:t>
      </w:r>
      <w:r>
        <w:rPr>
          <w:rFonts w:ascii="Times New Roman" w:hAnsi="Times New Roman" w:eastAsia="仿宋_GB2312"/>
          <w:color w:val="auto"/>
          <w:sz w:val="30"/>
          <w:szCs w:val="30"/>
        </w:rPr>
        <w:t>》、《中华人民共和国建筑法》及有关法律规定，遵循平等、自愿、公平和诚实信用的原则，双方就</w:t>
      </w:r>
      <w:r>
        <w:rPr>
          <w:rFonts w:hint="eastAsia" w:ascii="Times New Roman" w:hAnsi="Times New Roman" w:eastAsia="仿宋_GB2312"/>
          <w:color w:val="auto"/>
          <w:sz w:val="30"/>
          <w:szCs w:val="30"/>
          <w:lang w:val="en-US" w:eastAsia="zh-CN"/>
        </w:rPr>
        <w:t>郭家湾煤矿矿山地质环境治理恢复与土地复垦2022 年度辅助生产区南侧黄土滑坡隐患（HP02）治理工程</w:t>
      </w:r>
      <w:r>
        <w:rPr>
          <w:rFonts w:ascii="Times New Roman" w:hAnsi="Times New Roman" w:eastAsia="仿宋_GB2312"/>
          <w:color w:val="auto"/>
          <w:sz w:val="30"/>
          <w:szCs w:val="30"/>
        </w:rPr>
        <w:t>施工及有关事项协商一致</w:t>
      </w:r>
      <w:r>
        <w:rPr>
          <w:rFonts w:hint="eastAsia" w:ascii="Times New Roman" w:hAnsi="Times New Roman" w:eastAsia="仿宋_GB2312"/>
          <w:color w:val="auto"/>
          <w:sz w:val="30"/>
          <w:szCs w:val="30"/>
        </w:rPr>
        <w:t>，</w:t>
      </w:r>
      <w:r>
        <w:rPr>
          <w:rFonts w:ascii="Times New Roman" w:hAnsi="Times New Roman" w:eastAsia="仿宋_GB2312"/>
          <w:color w:val="auto"/>
          <w:sz w:val="30"/>
          <w:szCs w:val="30"/>
        </w:rPr>
        <w:t>共同达成如下协议：</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66" w:name="_Toc351203481"/>
      <w:r>
        <w:rPr>
          <w:rFonts w:ascii="Times New Roman" w:hAnsi="Times New Roman" w:eastAsia="黑体"/>
          <w:b w:val="0"/>
          <w:color w:val="auto"/>
          <w:sz w:val="32"/>
          <w:szCs w:val="32"/>
        </w:rPr>
        <w:t>一、工程概况</w:t>
      </w:r>
      <w:bookmarkEnd w:id="166"/>
    </w:p>
    <w:p>
      <w:pPr>
        <w:spacing w:line="360" w:lineRule="auto"/>
        <w:ind w:firstLine="588" w:firstLineChars="196"/>
        <w:rPr>
          <w:rFonts w:hint="eastAsia" w:ascii="Times New Roman" w:hAnsi="Times New Roman" w:eastAsia="仿宋_GB2312"/>
          <w:color w:val="auto"/>
          <w:sz w:val="30"/>
          <w:szCs w:val="30"/>
          <w:lang w:val="en-US" w:eastAsia="zh-CN"/>
        </w:rPr>
      </w:pPr>
      <w:r>
        <w:rPr>
          <w:rFonts w:ascii="Times New Roman" w:hAnsi="Times New Roman" w:eastAsia="仿宋_GB2312"/>
          <w:bCs/>
          <w:color w:val="auto"/>
          <w:sz w:val="30"/>
          <w:szCs w:val="30"/>
        </w:rPr>
        <w:t>1.工程名称</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lang w:val="en-US" w:eastAsia="zh-CN"/>
        </w:rPr>
        <w:t>郭家湾煤矿矿山地质环境治理恢复与土地复垦2022 年度辅助生产区南侧黄土滑坡隐患（HP02）治理工程</w:t>
      </w:r>
    </w:p>
    <w:p>
      <w:pPr>
        <w:spacing w:line="360" w:lineRule="auto"/>
        <w:ind w:firstLine="588" w:firstLineChars="196"/>
        <w:rPr>
          <w:rFonts w:ascii="Times New Roman" w:hAnsi="Times New Roman" w:eastAsia="仿宋_GB2312"/>
          <w:bCs/>
          <w:color w:val="auto"/>
          <w:sz w:val="30"/>
          <w:szCs w:val="30"/>
          <w:u w:val="none"/>
        </w:rPr>
      </w:pPr>
      <w:r>
        <w:rPr>
          <w:rFonts w:ascii="Times New Roman" w:hAnsi="Times New Roman" w:eastAsia="仿宋_GB2312"/>
          <w:bCs/>
          <w:color w:val="auto"/>
          <w:sz w:val="30"/>
          <w:szCs w:val="30"/>
        </w:rPr>
        <w:t>2.工程地点：</w:t>
      </w:r>
      <w:r>
        <w:rPr>
          <w:rFonts w:hint="eastAsia" w:ascii="Times New Roman" w:hAnsi="Times New Roman" w:eastAsia="仿宋_GB2312"/>
          <w:color w:val="auto"/>
          <w:sz w:val="30"/>
          <w:szCs w:val="30"/>
          <w:u w:val="none"/>
          <w:lang w:val="en-US" w:eastAsia="zh-CN"/>
        </w:rPr>
        <w:t>陕西省榆林市府谷县大昌汗镇郭家湾村</w:t>
      </w:r>
      <w:r>
        <w:rPr>
          <w:rFonts w:ascii="Times New Roman" w:hAnsi="Times New Roman" w:eastAsia="仿宋_GB2312"/>
          <w:color w:val="auto"/>
          <w:sz w:val="30"/>
          <w:szCs w:val="30"/>
          <w:u w:val="none"/>
        </w:rPr>
        <w:t>。</w:t>
      </w:r>
    </w:p>
    <w:p>
      <w:pPr>
        <w:spacing w:line="360" w:lineRule="auto"/>
        <w:ind w:firstLine="600" w:firstLineChars="200"/>
        <w:rPr>
          <w:rFonts w:ascii="Times New Roman" w:hAnsi="Times New Roman" w:eastAsia="仿宋_GB2312"/>
          <w:bCs/>
          <w:color w:val="auto"/>
          <w:sz w:val="30"/>
          <w:szCs w:val="30"/>
          <w:u w:val="none"/>
        </w:rPr>
      </w:pPr>
      <w:r>
        <w:rPr>
          <w:rFonts w:ascii="Times New Roman" w:hAnsi="Times New Roman" w:eastAsia="仿宋_GB2312"/>
          <w:bCs/>
          <w:color w:val="auto"/>
          <w:sz w:val="30"/>
          <w:szCs w:val="30"/>
          <w:u w:val="none"/>
        </w:rPr>
        <w:t>3.工程立项批准文号：</w:t>
      </w:r>
      <w:r>
        <w:rPr>
          <w:rFonts w:hint="eastAsia" w:eastAsia="仿宋_GB2312"/>
          <w:color w:val="auto"/>
          <w:sz w:val="30"/>
          <w:szCs w:val="30"/>
          <w:u w:val="single"/>
          <w:lang w:val="en-US" w:eastAsia="zh-CN"/>
        </w:rPr>
        <w:t xml:space="preserve">         </w:t>
      </w:r>
      <w:r>
        <w:rPr>
          <w:rFonts w:ascii="Times New Roman" w:hAnsi="Times New Roman" w:eastAsia="仿宋_GB2312"/>
          <w:bCs/>
          <w:color w:val="auto"/>
          <w:sz w:val="30"/>
          <w:szCs w:val="30"/>
          <w:u w:val="none"/>
        </w:rPr>
        <w:t>。</w:t>
      </w:r>
    </w:p>
    <w:p>
      <w:pPr>
        <w:spacing w:line="360" w:lineRule="auto"/>
        <w:ind w:firstLine="588" w:firstLineChars="196"/>
        <w:rPr>
          <w:rFonts w:hint="eastAsia" w:ascii="Times New Roman" w:hAnsi="Times New Roman" w:eastAsia="仿宋_GB2312"/>
          <w:bCs/>
          <w:color w:val="auto"/>
          <w:sz w:val="30"/>
          <w:szCs w:val="30"/>
        </w:rPr>
      </w:pPr>
      <w:r>
        <w:rPr>
          <w:rFonts w:ascii="Times New Roman" w:hAnsi="Times New Roman" w:eastAsia="仿宋_GB2312"/>
          <w:bCs/>
          <w:color w:val="auto"/>
          <w:sz w:val="30"/>
          <w:szCs w:val="30"/>
        </w:rPr>
        <w:t>4.资金来源：</w:t>
      </w:r>
      <w:r>
        <w:rPr>
          <w:rFonts w:hint="eastAsia" w:ascii="Times New Roman" w:hAnsi="Times New Roman" w:eastAsia="仿宋_GB2312"/>
          <w:color w:val="auto"/>
          <w:sz w:val="30"/>
          <w:szCs w:val="30"/>
          <w:u w:val="none"/>
          <w:lang w:val="en-US" w:eastAsia="zh-CN"/>
        </w:rPr>
        <w:t>自筹</w:t>
      </w:r>
      <w:r>
        <w:rPr>
          <w:rFonts w:ascii="Times New Roman" w:hAnsi="Times New Roman" w:eastAsia="仿宋_GB2312"/>
          <w:bCs/>
          <w:color w:val="auto"/>
          <w:sz w:val="30"/>
          <w:szCs w:val="30"/>
        </w:rPr>
        <w:t>。</w:t>
      </w:r>
    </w:p>
    <w:p>
      <w:pPr>
        <w:spacing w:line="360" w:lineRule="auto"/>
        <w:ind w:firstLine="588" w:firstLineChars="196"/>
        <w:rPr>
          <w:rFonts w:hint="eastAsia" w:ascii="Times New Roman" w:hAnsi="Times New Roman" w:eastAsia="仿宋_GB2312"/>
          <w:bCs/>
          <w:color w:val="auto"/>
          <w:sz w:val="30"/>
          <w:szCs w:val="30"/>
        </w:rPr>
      </w:pPr>
      <w:r>
        <w:rPr>
          <w:rFonts w:hint="eastAsia" w:ascii="Times New Roman" w:hAnsi="Times New Roman" w:eastAsia="仿宋_GB2312"/>
          <w:bCs/>
          <w:color w:val="auto"/>
          <w:sz w:val="30"/>
          <w:szCs w:val="30"/>
        </w:rPr>
        <w:t>5.工程内容：</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u w:val="none"/>
        </w:rPr>
        <w:t>等施工图纸范围内所有工程</w:t>
      </w:r>
      <w:r>
        <w:rPr>
          <w:rFonts w:ascii="Times New Roman" w:hAnsi="Times New Roman" w:eastAsia="仿宋_GB2312"/>
          <w:bCs/>
          <w:color w:val="auto"/>
          <w:sz w:val="30"/>
          <w:szCs w:val="30"/>
        </w:rPr>
        <w:t>。</w:t>
      </w:r>
    </w:p>
    <w:p>
      <w:pPr>
        <w:spacing w:line="360" w:lineRule="auto"/>
        <w:ind w:firstLine="588" w:firstLineChars="196"/>
        <w:rPr>
          <w:rFonts w:ascii="Times New Roman" w:hAnsi="Times New Roman" w:eastAsia="仿宋_GB2312"/>
          <w:bCs/>
          <w:color w:val="auto"/>
          <w:sz w:val="30"/>
          <w:szCs w:val="30"/>
        </w:rPr>
      </w:pPr>
      <w:r>
        <w:rPr>
          <w:rFonts w:hint="eastAsia" w:ascii="Times New Roman" w:hAnsi="Times New Roman" w:eastAsia="仿宋_GB2312"/>
          <w:bCs/>
          <w:color w:val="auto"/>
          <w:sz w:val="30"/>
          <w:szCs w:val="30"/>
        </w:rPr>
        <w:t>6</w:t>
      </w:r>
      <w:r>
        <w:rPr>
          <w:rFonts w:ascii="Times New Roman" w:hAnsi="Times New Roman" w:eastAsia="仿宋_GB2312"/>
          <w:bCs/>
          <w:color w:val="auto"/>
          <w:sz w:val="30"/>
          <w:szCs w:val="30"/>
        </w:rPr>
        <w:t>.工程承包范围：</w:t>
      </w:r>
    </w:p>
    <w:p>
      <w:pPr>
        <w:spacing w:line="360" w:lineRule="auto"/>
        <w:ind w:firstLine="600" w:firstLineChars="200"/>
        <w:rPr>
          <w:rFonts w:ascii="Times New Roman" w:hAnsi="Times New Roman" w:eastAsia="仿宋_GB2312"/>
          <w:color w:val="0000FF"/>
          <w:sz w:val="30"/>
          <w:szCs w:val="30"/>
        </w:rPr>
      </w:pPr>
      <w:r>
        <w:rPr>
          <w:rFonts w:hint="eastAsia" w:ascii="Times New Roman" w:hAnsi="Times New Roman" w:eastAsia="仿宋_GB2312"/>
          <w:b w:val="0"/>
          <w:bCs w:val="0"/>
          <w:color w:val="auto"/>
          <w:sz w:val="30"/>
          <w:szCs w:val="30"/>
          <w:u w:val="none"/>
        </w:rPr>
        <w:t>具体包括但不限于：</w:t>
      </w:r>
      <w:r>
        <w:rPr>
          <w:rFonts w:hint="eastAsia" w:eastAsia="仿宋_GB2312"/>
          <w:color w:val="auto"/>
          <w:sz w:val="30"/>
          <w:szCs w:val="30"/>
          <w:u w:val="single"/>
          <w:lang w:val="en-US" w:eastAsia="zh-CN"/>
        </w:rPr>
        <w:t xml:space="preserve">         </w:t>
      </w:r>
      <w:r>
        <w:rPr>
          <w:rFonts w:ascii="Times New Roman" w:hAnsi="Times New Roman" w:eastAsia="仿宋_GB2312"/>
          <w:color w:val="0000FF"/>
          <w:sz w:val="30"/>
          <w:szCs w:val="30"/>
        </w:rPr>
        <w:t>。</w:t>
      </w:r>
    </w:p>
    <w:p>
      <w:pPr>
        <w:pStyle w:val="7"/>
        <w:spacing w:before="120" w:after="120" w:line="360" w:lineRule="auto"/>
        <w:rPr>
          <w:rFonts w:ascii="Times New Roman" w:hAnsi="Times New Roman" w:eastAsia="黑体"/>
          <w:b w:val="0"/>
          <w:color w:val="auto"/>
          <w:sz w:val="32"/>
          <w:szCs w:val="32"/>
        </w:rPr>
      </w:pPr>
      <w:r>
        <w:rPr>
          <w:rFonts w:ascii="Times New Roman" w:hAnsi="Times New Roman" w:eastAsia="黑体"/>
          <w:b w:val="0"/>
          <w:color w:val="auto"/>
          <w:sz w:val="32"/>
          <w:szCs w:val="32"/>
        </w:rPr>
        <w:t xml:space="preserve">   </w:t>
      </w:r>
      <w:bookmarkStart w:id="167" w:name="_Toc351203482"/>
      <w:r>
        <w:rPr>
          <w:rFonts w:ascii="Times New Roman" w:hAnsi="Times New Roman" w:eastAsia="黑体"/>
          <w:b w:val="0"/>
          <w:color w:val="auto"/>
          <w:sz w:val="32"/>
          <w:szCs w:val="32"/>
        </w:rPr>
        <w:t>二、合同工期</w:t>
      </w:r>
      <w:bookmarkEnd w:id="167"/>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计划开工日期：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计划竣工日期：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工期总日历天数：</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天。工期总日历天数与根据前述计划开竣工日期计算的工期天数不一致的，以工期总日历天数为准。</w:t>
      </w:r>
    </w:p>
    <w:p>
      <w:pPr>
        <w:pStyle w:val="7"/>
        <w:spacing w:before="120" w:after="120" w:line="360" w:lineRule="auto"/>
        <w:ind w:firstLine="321" w:firstLineChars="100"/>
        <w:rPr>
          <w:rFonts w:hint="eastAsia" w:ascii="Times New Roman" w:hAnsi="Times New Roman" w:eastAsia="黑体"/>
          <w:bCs w:val="0"/>
          <w:color w:val="auto"/>
          <w:sz w:val="32"/>
          <w:szCs w:val="32"/>
          <w:lang w:eastAsia="zh-CN"/>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三、</w:t>
      </w:r>
      <w:r>
        <w:rPr>
          <w:rFonts w:hint="eastAsia" w:ascii="Times New Roman" w:hAnsi="Times New Roman" w:eastAsia="黑体"/>
          <w:b w:val="0"/>
          <w:color w:val="auto"/>
          <w:sz w:val="32"/>
          <w:szCs w:val="32"/>
          <w:lang w:val="en-US" w:eastAsia="zh-CN"/>
        </w:rPr>
        <w:t>付款进度</w:t>
      </w:r>
    </w:p>
    <w:p>
      <w:pPr>
        <w:pageBreakBefore w:val="0"/>
        <w:widowControl w:val="0"/>
        <w:kinsoku/>
        <w:wordWrap/>
        <w:overflowPunct/>
        <w:topLinePunct w:val="0"/>
        <w:bidi w:val="0"/>
        <w:snapToGrid/>
        <w:spacing w:line="240" w:lineRule="auto"/>
        <w:ind w:firstLine="600" w:firstLineChars="200"/>
        <w:jc w:val="both"/>
        <w:textAlignment w:val="auto"/>
        <w:rPr>
          <w:rFonts w:ascii="Times New Roman" w:hAnsi="Times New Roman" w:eastAsia="仿宋_GB2312"/>
          <w:b/>
          <w:bCs/>
          <w:color w:val="auto"/>
          <w:sz w:val="30"/>
          <w:szCs w:val="32"/>
          <w:u w:val="none"/>
        </w:rPr>
      </w:pPr>
      <w:r>
        <w:rPr>
          <w:rFonts w:ascii="Times New Roman" w:hAnsi="Times New Roman" w:eastAsia="仿宋_GB2312"/>
          <w:color w:val="auto"/>
          <w:sz w:val="30"/>
          <w:szCs w:val="32"/>
          <w:u w:val="none"/>
        </w:rPr>
        <w:t>关于付款周期的约定：</w:t>
      </w:r>
      <w:r>
        <w:rPr>
          <w:rFonts w:hint="eastAsia" w:ascii="Times New Roman" w:hAnsi="Times New Roman" w:eastAsia="仿宋_GB2312"/>
          <w:color w:val="auto"/>
          <w:sz w:val="30"/>
          <w:szCs w:val="32"/>
          <w:u w:val="none"/>
          <w:lang w:val="en-US" w:eastAsia="zh-CN"/>
        </w:rPr>
        <w:t>承包</w:t>
      </w:r>
      <w:r>
        <w:rPr>
          <w:rFonts w:hint="eastAsia" w:ascii="Times New Roman" w:hAnsi="Times New Roman" w:eastAsia="仿宋_GB2312"/>
          <w:color w:val="auto"/>
          <w:sz w:val="30"/>
          <w:szCs w:val="32"/>
          <w:u w:val="none"/>
        </w:rPr>
        <w:t>方应每月25日前向</w:t>
      </w:r>
      <w:r>
        <w:rPr>
          <w:rFonts w:hint="eastAsia" w:ascii="Times New Roman" w:hAnsi="Times New Roman" w:eastAsia="仿宋_GB2312"/>
          <w:color w:val="auto"/>
          <w:sz w:val="30"/>
          <w:szCs w:val="32"/>
          <w:u w:val="none"/>
          <w:lang w:val="en-US" w:eastAsia="zh-CN"/>
        </w:rPr>
        <w:t>发包</w:t>
      </w:r>
      <w:r>
        <w:rPr>
          <w:rFonts w:hint="eastAsia" w:ascii="Times New Roman" w:hAnsi="Times New Roman" w:eastAsia="仿宋_GB2312"/>
          <w:color w:val="auto"/>
          <w:sz w:val="30"/>
          <w:szCs w:val="32"/>
          <w:u w:val="none"/>
        </w:rPr>
        <w:t>方提交合格的进度款支付申请文件。</w:t>
      </w:r>
      <w:r>
        <w:rPr>
          <w:rFonts w:hint="eastAsia" w:ascii="Times New Roman" w:hAnsi="Times New Roman" w:eastAsia="仿宋_GB2312"/>
          <w:color w:val="auto"/>
          <w:sz w:val="30"/>
          <w:szCs w:val="32"/>
          <w:u w:val="none"/>
          <w:lang w:val="en-US" w:eastAsia="zh-CN"/>
        </w:rPr>
        <w:t>发包</w:t>
      </w:r>
      <w:r>
        <w:rPr>
          <w:rFonts w:hint="eastAsia" w:ascii="Times New Roman" w:hAnsi="Times New Roman" w:eastAsia="仿宋_GB2312"/>
          <w:color w:val="auto"/>
          <w:sz w:val="30"/>
          <w:szCs w:val="32"/>
          <w:u w:val="none"/>
        </w:rPr>
        <w:t>方和监理人将根据进度完成情况审核该文件，按当月审批实际完成工作量的80%支付工程进度款，付款前，</w:t>
      </w:r>
      <w:r>
        <w:rPr>
          <w:rFonts w:hint="eastAsia" w:ascii="Times New Roman" w:hAnsi="Times New Roman" w:eastAsia="仿宋_GB2312"/>
          <w:color w:val="auto"/>
          <w:sz w:val="30"/>
          <w:szCs w:val="32"/>
          <w:u w:val="none"/>
          <w:lang w:eastAsia="zh-CN"/>
        </w:rPr>
        <w:t>承包方</w:t>
      </w:r>
      <w:r>
        <w:rPr>
          <w:rFonts w:hint="eastAsia" w:ascii="Times New Roman" w:hAnsi="Times New Roman" w:eastAsia="仿宋_GB2312"/>
          <w:color w:val="auto"/>
          <w:sz w:val="30"/>
          <w:szCs w:val="32"/>
          <w:u w:val="none"/>
        </w:rPr>
        <w:t>应当开具当月审批工程进度款等额的增值税专用发票（建筑安装工程税率9%），累计付款不得超过合同总价款的80%，整体工程待相关单位审计完成后，支付至审定价款的</w:t>
      </w:r>
      <w:r>
        <w:rPr>
          <w:rFonts w:hint="eastAsia" w:ascii="Times New Roman" w:hAnsi="Times New Roman" w:eastAsia="仿宋_GB2312"/>
          <w:color w:val="auto"/>
          <w:sz w:val="30"/>
          <w:szCs w:val="32"/>
          <w:u w:val="none"/>
          <w:lang w:val="en-US" w:eastAsia="zh-CN"/>
        </w:rPr>
        <w:t>100</w:t>
      </w:r>
      <w:r>
        <w:rPr>
          <w:rFonts w:hint="eastAsia" w:ascii="Times New Roman" w:hAnsi="Times New Roman" w:eastAsia="仿宋_GB2312"/>
          <w:color w:val="auto"/>
          <w:sz w:val="30"/>
          <w:szCs w:val="32"/>
          <w:u w:val="none"/>
        </w:rPr>
        <w:t>%。</w:t>
      </w:r>
    </w:p>
    <w:p>
      <w:pPr>
        <w:pStyle w:val="23"/>
        <w:jc w:val="both"/>
        <w:rPr>
          <w:rFonts w:hint="default"/>
          <w:lang w:val="en-US" w:eastAsia="zh-CN"/>
        </w:rPr>
      </w:pP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68" w:name="_Toc351203483"/>
      <w:r>
        <w:rPr>
          <w:rFonts w:hint="eastAsia" w:ascii="Times New Roman" w:hAnsi="Times New Roman" w:eastAsia="黑体"/>
          <w:bCs w:val="0"/>
          <w:color w:val="auto"/>
          <w:sz w:val="32"/>
          <w:szCs w:val="32"/>
          <w:lang w:val="en-US" w:eastAsia="zh-CN"/>
        </w:rPr>
        <w:t>四</w:t>
      </w:r>
      <w:r>
        <w:rPr>
          <w:rFonts w:ascii="Times New Roman" w:hAnsi="Times New Roman" w:eastAsia="黑体"/>
          <w:b w:val="0"/>
          <w:color w:val="auto"/>
          <w:sz w:val="32"/>
          <w:szCs w:val="32"/>
        </w:rPr>
        <w:t>、质量标准</w:t>
      </w:r>
      <w:bookmarkEnd w:id="168"/>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u w:val="wave"/>
        </w:rPr>
      </w:pPr>
      <w:r>
        <w:rPr>
          <w:rFonts w:eastAsia="仿宋_GB2312"/>
          <w:color w:val="auto"/>
          <w:sz w:val="30"/>
          <w:szCs w:val="30"/>
          <w:u w:val="none"/>
        </w:rPr>
        <w:t>工程质量符合</w:t>
      </w:r>
      <w:r>
        <w:rPr>
          <w:rFonts w:hint="eastAsia" w:eastAsia="仿宋_GB2312"/>
          <w:color w:val="auto"/>
          <w:sz w:val="30"/>
          <w:szCs w:val="30"/>
          <w:u w:val="none"/>
        </w:rPr>
        <w:t>国家以及行业验收合格</w:t>
      </w:r>
      <w:r>
        <w:rPr>
          <w:rFonts w:eastAsia="仿宋_GB2312"/>
          <w:color w:val="auto"/>
          <w:sz w:val="30"/>
          <w:szCs w:val="30"/>
          <w:u w:val="none"/>
        </w:rPr>
        <w:t>标准。</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69" w:name="_Toc351203484"/>
      <w:r>
        <w:rPr>
          <w:rFonts w:hint="eastAsia" w:ascii="Times New Roman" w:hAnsi="Times New Roman" w:eastAsia="黑体"/>
          <w:b w:val="0"/>
          <w:color w:val="auto"/>
          <w:sz w:val="32"/>
          <w:szCs w:val="32"/>
          <w:lang w:val="en-US" w:eastAsia="zh-CN"/>
        </w:rPr>
        <w:t>五</w:t>
      </w:r>
      <w:r>
        <w:rPr>
          <w:rFonts w:ascii="Times New Roman" w:hAnsi="Times New Roman" w:eastAsia="黑体"/>
          <w:b w:val="0"/>
          <w:color w:val="auto"/>
          <w:sz w:val="32"/>
          <w:szCs w:val="32"/>
        </w:rPr>
        <w:t>、签约合同价与合同价格形式</w:t>
      </w:r>
      <w:bookmarkEnd w:id="169"/>
      <w:r>
        <w:rPr>
          <w:rFonts w:ascii="Times New Roman" w:hAnsi="Times New Roman" w:eastAsia="黑体"/>
          <w:b w:val="0"/>
          <w:color w:val="auto"/>
          <w:sz w:val="32"/>
          <w:szCs w:val="32"/>
        </w:rPr>
        <w:tab/>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1.签约合同价为：</w:t>
      </w:r>
    </w:p>
    <w:p>
      <w:pPr>
        <w:spacing w:line="360" w:lineRule="auto"/>
        <w:ind w:firstLine="750" w:firstLineChars="250"/>
        <w:rPr>
          <w:rFonts w:ascii="Times New Roman" w:hAnsi="Times New Roman" w:eastAsia="仿宋_GB2312"/>
          <w:color w:val="auto"/>
          <w:sz w:val="30"/>
          <w:szCs w:val="30"/>
        </w:rPr>
      </w:pPr>
      <w:r>
        <w:rPr>
          <w:rFonts w:ascii="Times New Roman" w:hAnsi="Times New Roman" w:eastAsia="仿宋_GB2312"/>
          <w:color w:val="auto"/>
          <w:sz w:val="30"/>
          <w:szCs w:val="30"/>
        </w:rPr>
        <w:t>人民币（大写）</w:t>
      </w:r>
      <w:r>
        <w:rPr>
          <w:rFonts w:ascii="Times New Roman" w:hAnsi="Times New Roman" w:eastAsia="仿宋_GB2312"/>
          <w:color w:val="auto"/>
          <w:sz w:val="30"/>
          <w:szCs w:val="30"/>
          <w:u w:val="single"/>
        </w:rPr>
        <w:t xml:space="preserve"> </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 xml:space="preserve"> </w:t>
      </w:r>
      <w:r>
        <w:rPr>
          <w:rFonts w:ascii="Times New Roman" w:hAnsi="Times New Roman" w:eastAsia="仿宋_GB2312"/>
          <w:color w:val="auto"/>
          <w:sz w:val="30"/>
          <w:szCs w:val="30"/>
        </w:rPr>
        <w:t>(¥</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元)；</w:t>
      </w:r>
    </w:p>
    <w:p>
      <w:pPr>
        <w:spacing w:line="360" w:lineRule="auto"/>
        <w:ind w:firstLine="600" w:firstLineChars="200"/>
        <w:rPr>
          <w:rFonts w:hint="eastAsia" w:ascii="Times New Roman" w:hAnsi="Times New Roman" w:eastAsia="仿宋_GB2312"/>
          <w:color w:val="auto"/>
          <w:sz w:val="30"/>
          <w:szCs w:val="30"/>
          <w:lang w:eastAsia="zh-CN"/>
        </w:rPr>
      </w:pPr>
      <w:r>
        <w:rPr>
          <w:rFonts w:ascii="Times New Roman" w:hAnsi="Times New Roman" w:eastAsia="仿宋_GB2312"/>
          <w:color w:val="auto"/>
          <w:sz w:val="30"/>
          <w:szCs w:val="30"/>
        </w:rPr>
        <w:t>其中：</w:t>
      </w:r>
      <w:r>
        <w:rPr>
          <w:rFonts w:hint="eastAsia" w:ascii="Times New Roman" w:hAnsi="Times New Roman" w:eastAsia="仿宋_GB2312"/>
          <w:color w:val="auto"/>
          <w:sz w:val="30"/>
          <w:szCs w:val="30"/>
        </w:rPr>
        <w:t>措施项目费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lang w:eastAsia="zh-CN"/>
        </w:rPr>
        <w:t>；</w:t>
      </w:r>
    </w:p>
    <w:p>
      <w:pPr>
        <w:spacing w:line="360" w:lineRule="auto"/>
        <w:ind w:firstLine="1500" w:firstLineChars="500"/>
        <w:rPr>
          <w:rFonts w:hint="eastAsia" w:ascii="Times New Roman" w:hAnsi="Times New Roman" w:eastAsia="仿宋_GB2312"/>
          <w:color w:val="auto"/>
          <w:sz w:val="30"/>
          <w:szCs w:val="30"/>
          <w:shd w:val="clear" w:color="auto" w:fill="auto"/>
          <w:lang w:eastAsia="zh-CN"/>
        </w:rPr>
      </w:pPr>
      <w:r>
        <w:rPr>
          <w:rFonts w:hint="eastAsia" w:eastAsia="仿宋_GB2312"/>
          <w:color w:val="auto"/>
          <w:sz w:val="30"/>
          <w:szCs w:val="30"/>
          <w:lang w:val="en-US" w:eastAsia="zh-CN"/>
        </w:rPr>
        <w:t>规</w:t>
      </w:r>
      <w:r>
        <w:rPr>
          <w:rFonts w:hint="eastAsia" w:ascii="Times New Roman" w:hAnsi="Times New Roman" w:eastAsia="仿宋_GB2312"/>
          <w:color w:val="auto"/>
          <w:sz w:val="30"/>
          <w:szCs w:val="30"/>
        </w:rPr>
        <w:t>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shd w:val="clear" w:color="auto" w:fill="auto"/>
          <w:lang w:eastAsia="zh-CN"/>
        </w:rPr>
        <w:t>。</w:t>
      </w:r>
    </w:p>
    <w:p>
      <w:pPr>
        <w:pStyle w:val="23"/>
        <w:ind w:left="0" w:leftChars="0" w:firstLine="1500" w:firstLineChars="500"/>
        <w:jc w:val="left"/>
        <w:rPr>
          <w:rFonts w:hint="eastAsia"/>
          <w:lang w:eastAsia="zh-CN"/>
        </w:rPr>
      </w:pPr>
      <w:r>
        <w:rPr>
          <w:rFonts w:hint="eastAsia" w:ascii="Times New Roman" w:hAnsi="Times New Roman" w:eastAsia="仿宋_GB2312"/>
          <w:color w:val="auto"/>
          <w:sz w:val="30"/>
          <w:szCs w:val="30"/>
        </w:rPr>
        <w:t>安全文明施工费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shd w:val="clear" w:color="auto" w:fill="auto"/>
          <w:lang w:eastAsia="zh-CN"/>
        </w:rPr>
        <w:t>。</w:t>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2.合同价格形式：</w:t>
      </w:r>
      <w:r>
        <w:rPr>
          <w:rFonts w:hint="eastAsia" w:eastAsia="仿宋_GB2312"/>
          <w:color w:val="auto"/>
          <w:sz w:val="30"/>
          <w:szCs w:val="30"/>
          <w:u w:val="none"/>
        </w:rPr>
        <w:t>固定综合单价合同</w:t>
      </w:r>
      <w:r>
        <w:rPr>
          <w:rFonts w:eastAsia="仿宋_GB2312"/>
          <w:color w:val="auto"/>
          <w:sz w:val="30"/>
          <w:szCs w:val="30"/>
          <w:u w:val="none"/>
        </w:rPr>
        <w:t>。</w:t>
      </w:r>
    </w:p>
    <w:p>
      <w:pPr>
        <w:pStyle w:val="7"/>
        <w:spacing w:before="120" w:after="120" w:line="360" w:lineRule="auto"/>
        <w:rPr>
          <w:rFonts w:ascii="Times New Roman" w:hAnsi="Times New Roman" w:eastAsia="黑体"/>
          <w:b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0" w:name="_Toc351203485"/>
      <w:r>
        <w:rPr>
          <w:rFonts w:hint="eastAsia" w:ascii="Times New Roman" w:hAnsi="Times New Roman" w:eastAsia="黑体"/>
          <w:b w:val="0"/>
          <w:color w:val="auto"/>
          <w:sz w:val="32"/>
          <w:szCs w:val="32"/>
          <w:lang w:val="en-US" w:eastAsia="zh-CN"/>
        </w:rPr>
        <w:t>六</w:t>
      </w:r>
      <w:r>
        <w:rPr>
          <w:rFonts w:ascii="Times New Roman" w:hAnsi="Times New Roman" w:eastAsia="黑体"/>
          <w:b w:val="0"/>
          <w:color w:val="auto"/>
          <w:sz w:val="32"/>
          <w:szCs w:val="32"/>
        </w:rPr>
        <w:t>、</w:t>
      </w:r>
      <w:bookmarkEnd w:id="170"/>
      <w:r>
        <w:rPr>
          <w:rFonts w:ascii="Times New Roman" w:hAnsi="Times New Roman" w:eastAsia="黑体"/>
          <w:b w:val="0"/>
          <w:color w:val="auto"/>
          <w:sz w:val="32"/>
          <w:szCs w:val="32"/>
        </w:rPr>
        <w:t>项目经理</w:t>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承包人项目经理：</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1" w:name="_Toc351203486"/>
      <w:r>
        <w:rPr>
          <w:rFonts w:hint="eastAsia" w:ascii="Times New Roman" w:hAnsi="Times New Roman" w:eastAsia="黑体"/>
          <w:b w:val="0"/>
          <w:color w:val="auto"/>
          <w:sz w:val="32"/>
          <w:szCs w:val="32"/>
          <w:lang w:val="en-US" w:eastAsia="zh-CN"/>
        </w:rPr>
        <w:t>七</w:t>
      </w:r>
      <w:r>
        <w:rPr>
          <w:rFonts w:ascii="Times New Roman" w:hAnsi="Times New Roman" w:eastAsia="黑体"/>
          <w:b w:val="0"/>
          <w:color w:val="auto"/>
          <w:sz w:val="32"/>
          <w:szCs w:val="32"/>
        </w:rPr>
        <w:t>、合同文件构成</w:t>
      </w:r>
      <w:bookmarkEnd w:id="171"/>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本协议书与下列文件一起构成合同文件：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（1）中标通知书；</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 xml:space="preserve">（2）投标函及其附录； </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（3）专用合同条款及其附件；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（4）通用合同条款；</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（5）技术标准和要求；</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（6）图纸；</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（7）已标价工程量清单或预算书；</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（8）其他合同文件。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在合同订立及履行过程中形成的与合同有关的文件均构成合同文件组成部分。</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上述各项合同文件包括合同当事人就该项合同文件所作出的补充和修改，属于同一类内容的文件，应以最新签署的为准。</w:t>
      </w:r>
      <w:r>
        <w:rPr>
          <w:rFonts w:hint="eastAsia" w:ascii="Times New Roman" w:hAnsi="Times New Roman" w:eastAsia="仿宋_GB2312"/>
          <w:color w:val="auto"/>
          <w:sz w:val="30"/>
          <w:szCs w:val="30"/>
        </w:rPr>
        <w:t>专用合同条款及其附件须经合同当事人签字</w:t>
      </w:r>
      <w:r>
        <w:rPr>
          <w:rFonts w:hint="eastAsia" w:ascii="Times New Roman" w:hAnsi="Times New Roman" w:eastAsia="仿宋_GB2312"/>
          <w:color w:val="auto"/>
          <w:sz w:val="30"/>
          <w:szCs w:val="30"/>
          <w:lang w:val="en-US" w:eastAsia="zh-CN"/>
        </w:rPr>
        <w:t>和</w:t>
      </w:r>
      <w:r>
        <w:rPr>
          <w:rFonts w:hint="eastAsia" w:ascii="Times New Roman" w:hAnsi="Times New Roman" w:eastAsia="仿宋_GB2312"/>
          <w:color w:val="auto"/>
          <w:sz w:val="30"/>
          <w:szCs w:val="30"/>
        </w:rPr>
        <w:t>盖章。</w:t>
      </w:r>
    </w:p>
    <w:p>
      <w:pPr>
        <w:pStyle w:val="7"/>
        <w:spacing w:before="120" w:after="120" w:line="360" w:lineRule="auto"/>
        <w:rPr>
          <w:rFonts w:ascii="Times New Roman" w:hAnsi="Times New Roman" w:eastAsia="黑体"/>
          <w:b w:val="0"/>
          <w:bCs w:val="0"/>
          <w:color w:val="auto"/>
          <w:sz w:val="32"/>
          <w:szCs w:val="32"/>
        </w:rPr>
      </w:pPr>
      <w:r>
        <w:rPr>
          <w:rFonts w:ascii="Times New Roman" w:hAnsi="Times New Roman" w:eastAsia="黑体"/>
          <w:b w:val="0"/>
          <w:bCs w:val="0"/>
          <w:color w:val="auto"/>
          <w:sz w:val="32"/>
          <w:szCs w:val="32"/>
        </w:rPr>
        <w:t xml:space="preserve">   </w:t>
      </w:r>
      <w:r>
        <w:rPr>
          <w:rFonts w:ascii="Times New Roman" w:hAnsi="Times New Roman" w:eastAsia="黑体"/>
          <w:b w:val="0"/>
          <w:color w:val="auto"/>
          <w:sz w:val="32"/>
          <w:szCs w:val="32"/>
        </w:rPr>
        <w:t xml:space="preserve"> </w:t>
      </w:r>
      <w:bookmarkStart w:id="172" w:name="_Toc351203487"/>
      <w:r>
        <w:rPr>
          <w:rFonts w:hint="eastAsia" w:ascii="Times New Roman" w:hAnsi="Times New Roman" w:eastAsia="黑体"/>
          <w:b w:val="0"/>
          <w:color w:val="auto"/>
          <w:sz w:val="32"/>
          <w:szCs w:val="32"/>
          <w:lang w:val="en-US" w:eastAsia="zh-CN"/>
        </w:rPr>
        <w:t>八</w:t>
      </w:r>
      <w:r>
        <w:rPr>
          <w:rFonts w:ascii="Times New Roman" w:hAnsi="Times New Roman" w:eastAsia="黑体"/>
          <w:b w:val="0"/>
          <w:color w:val="auto"/>
          <w:sz w:val="32"/>
          <w:szCs w:val="32"/>
        </w:rPr>
        <w:t>、承诺</w:t>
      </w:r>
      <w:bookmarkEnd w:id="172"/>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1.发包人承诺按照法律规定履行项目审批手续、筹集工程建设资金并按照合同约定的期限和方式支付合同价款。</w:t>
      </w:r>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2.承包人承诺按照法律规定及合同约定组织完成工程施工，确保工程质量和安全，不进行转包及违法分包，并在缺陷责任期及保修期内承担相应的工程维修责任。</w:t>
      </w:r>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3.发包人和承包人通过招投标形式签订合同的，双方理解并</w:t>
      </w:r>
      <w:r>
        <w:rPr>
          <w:rFonts w:hint="eastAsia" w:ascii="Times New Roman" w:hAnsi="Times New Roman" w:eastAsia="仿宋_GB2312"/>
          <w:bCs/>
          <w:color w:val="auto"/>
          <w:sz w:val="30"/>
          <w:szCs w:val="30"/>
        </w:rPr>
        <w:t>承诺</w:t>
      </w:r>
      <w:r>
        <w:rPr>
          <w:rFonts w:ascii="Times New Roman" w:hAnsi="Times New Roman" w:eastAsia="仿宋_GB2312"/>
          <w:bCs/>
          <w:color w:val="auto"/>
          <w:sz w:val="30"/>
          <w:szCs w:val="30"/>
        </w:rPr>
        <w:t>不再就同一工程另行签订与合同实质性内容相背离的协议。</w:t>
      </w:r>
    </w:p>
    <w:p>
      <w:pPr>
        <w:spacing w:line="360" w:lineRule="auto"/>
        <w:rPr>
          <w:rFonts w:ascii="Times New Roman" w:hAnsi="Times New Roman" w:eastAsia="黑体"/>
          <w:bCs/>
          <w:color w:val="auto"/>
          <w:sz w:val="32"/>
          <w:szCs w:val="32"/>
        </w:rPr>
      </w:pPr>
      <w:bookmarkStart w:id="173" w:name="_Toc351203488"/>
      <w:r>
        <w:rPr>
          <w:rFonts w:hint="eastAsia" w:ascii="Times New Roman" w:hAnsi="Times New Roman" w:eastAsia="黑体"/>
          <w:b/>
          <w:color w:val="auto"/>
          <w:sz w:val="32"/>
          <w:szCs w:val="32"/>
        </w:rPr>
        <w:t xml:space="preserve">    </w:t>
      </w:r>
      <w:r>
        <w:rPr>
          <w:rFonts w:hint="eastAsia" w:eastAsia="黑体"/>
          <w:b/>
          <w:color w:val="auto"/>
          <w:sz w:val="32"/>
          <w:szCs w:val="32"/>
          <w:lang w:val="en-US" w:eastAsia="zh-CN"/>
        </w:rPr>
        <w:t>九</w:t>
      </w:r>
      <w:r>
        <w:rPr>
          <w:rFonts w:ascii="Times New Roman" w:hAnsi="Times New Roman" w:eastAsia="黑体"/>
          <w:b/>
          <w:color w:val="auto"/>
          <w:sz w:val="32"/>
          <w:szCs w:val="32"/>
        </w:rPr>
        <w:t>、词语含义</w:t>
      </w:r>
      <w:bookmarkEnd w:id="173"/>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本协议书中词语含义与第二部分通用合同条款中赋予的含义相同。</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4" w:name="_Toc351203489"/>
      <w:r>
        <w:rPr>
          <w:rFonts w:hint="eastAsia" w:ascii="Times New Roman" w:hAnsi="Times New Roman" w:eastAsia="黑体"/>
          <w:b w:val="0"/>
          <w:color w:val="auto"/>
          <w:sz w:val="32"/>
          <w:szCs w:val="32"/>
          <w:lang w:val="en-US" w:eastAsia="zh-CN"/>
        </w:rPr>
        <w:t>十</w:t>
      </w:r>
      <w:r>
        <w:rPr>
          <w:rFonts w:ascii="Times New Roman" w:hAnsi="Times New Roman" w:eastAsia="黑体"/>
          <w:b w:val="0"/>
          <w:color w:val="auto"/>
          <w:sz w:val="32"/>
          <w:szCs w:val="32"/>
        </w:rPr>
        <w:t>、签订时间</w:t>
      </w:r>
      <w:bookmarkEnd w:id="174"/>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本合同于</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2022</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年</w:t>
      </w:r>
      <w:r>
        <w:rPr>
          <w:rFonts w:ascii="Times New Roman" w:hAnsi="Times New Roman" w:eastAsia="仿宋_GB2312"/>
          <w:bCs/>
          <w:color w:val="auto"/>
          <w:sz w:val="30"/>
          <w:szCs w:val="30"/>
          <w:u w:val="single"/>
        </w:rPr>
        <w:t xml:space="preserve"> </w:t>
      </w:r>
      <w:r>
        <w:rPr>
          <w:rFonts w:hint="eastAsia"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月</w:t>
      </w:r>
      <w:r>
        <w:rPr>
          <w:rFonts w:ascii="Times New Roman" w:hAnsi="Times New Roman" w:eastAsia="仿宋_GB2312"/>
          <w:bCs/>
          <w:color w:val="auto"/>
          <w:sz w:val="30"/>
          <w:szCs w:val="30"/>
          <w:u w:val="single"/>
        </w:rPr>
        <w:t xml:space="preserve"> </w:t>
      </w:r>
      <w:r>
        <w:rPr>
          <w:rFonts w:hint="eastAsia"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日签订。</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5" w:name="_Toc351203490"/>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一</w:t>
      </w:r>
      <w:r>
        <w:rPr>
          <w:rFonts w:ascii="Times New Roman" w:hAnsi="Times New Roman" w:eastAsia="黑体"/>
          <w:b w:val="0"/>
          <w:color w:val="auto"/>
          <w:sz w:val="32"/>
          <w:szCs w:val="32"/>
        </w:rPr>
        <w:t>、签订地点</w:t>
      </w:r>
      <w:bookmarkEnd w:id="175"/>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本合同在</w:t>
      </w:r>
      <w:r>
        <w:rPr>
          <w:rFonts w:hint="eastAsia" w:ascii="Times New Roman" w:hAnsi="Times New Roman" w:eastAsia="仿宋_GB2312"/>
          <w:bCs/>
          <w:color w:val="auto"/>
          <w:sz w:val="30"/>
          <w:szCs w:val="30"/>
          <w:u w:val="none"/>
          <w:lang w:val="en-US" w:eastAsia="zh-CN"/>
        </w:rPr>
        <w:t>府谷能源投资集团郭家湾矿业有限公司</w:t>
      </w:r>
      <w:r>
        <w:rPr>
          <w:rFonts w:ascii="Times New Roman" w:hAnsi="Times New Roman" w:eastAsia="仿宋_GB2312"/>
          <w:bCs/>
          <w:color w:val="auto"/>
          <w:sz w:val="30"/>
          <w:szCs w:val="30"/>
        </w:rPr>
        <w:t>签订。</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6" w:name="_Toc351203491"/>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二</w:t>
      </w:r>
      <w:r>
        <w:rPr>
          <w:rFonts w:ascii="Times New Roman" w:hAnsi="Times New Roman" w:eastAsia="黑体"/>
          <w:b w:val="0"/>
          <w:color w:val="auto"/>
          <w:sz w:val="32"/>
          <w:szCs w:val="32"/>
        </w:rPr>
        <w:t>、补充协议</w:t>
      </w:r>
      <w:bookmarkEnd w:id="176"/>
    </w:p>
    <w:p>
      <w:pPr>
        <w:spacing w:line="360" w:lineRule="auto"/>
        <w:ind w:firstLine="600" w:firstLineChars="200"/>
        <w:rPr>
          <w:rFonts w:ascii="Times New Roman" w:hAnsi="Times New Roman" w:eastAsia="仿宋_GB2312"/>
          <w:b/>
          <w:bCs/>
          <w:color w:val="auto"/>
          <w:sz w:val="30"/>
          <w:szCs w:val="30"/>
        </w:rPr>
      </w:pPr>
      <w:r>
        <w:rPr>
          <w:rFonts w:ascii="Times New Roman" w:hAnsi="Times New Roman" w:eastAsia="仿宋_GB2312"/>
          <w:bCs/>
          <w:color w:val="auto"/>
          <w:sz w:val="30"/>
          <w:szCs w:val="30"/>
        </w:rPr>
        <w:t>合同未尽事宜，合同当事人另行签订补充协议</w:t>
      </w:r>
      <w:r>
        <w:rPr>
          <w:rFonts w:hint="eastAsia" w:ascii="Times New Roman" w:hAnsi="Times New Roman" w:eastAsia="仿宋_GB2312"/>
          <w:bCs/>
          <w:color w:val="auto"/>
          <w:sz w:val="30"/>
          <w:szCs w:val="30"/>
        </w:rPr>
        <w:t>，</w:t>
      </w:r>
      <w:r>
        <w:rPr>
          <w:rFonts w:ascii="Times New Roman" w:hAnsi="Times New Roman" w:eastAsia="仿宋_GB2312"/>
          <w:bCs/>
          <w:color w:val="auto"/>
          <w:sz w:val="30"/>
          <w:szCs w:val="30"/>
        </w:rPr>
        <w:t>补充协议是合同的组成部分。</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7" w:name="_Toc351203492"/>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三</w:t>
      </w:r>
      <w:r>
        <w:rPr>
          <w:rFonts w:ascii="Times New Roman" w:hAnsi="Times New Roman" w:eastAsia="黑体"/>
          <w:b w:val="0"/>
          <w:color w:val="auto"/>
          <w:sz w:val="32"/>
          <w:szCs w:val="32"/>
        </w:rPr>
        <w:t>、合同生效</w:t>
      </w:r>
      <w:bookmarkEnd w:id="177"/>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本合同自</w:t>
      </w:r>
      <w:r>
        <w:rPr>
          <w:rFonts w:hint="eastAsia" w:ascii="Times New Roman" w:hAnsi="Times New Roman" w:eastAsia="仿宋_GB2312"/>
          <w:bCs/>
          <w:color w:val="auto"/>
          <w:sz w:val="30"/>
          <w:szCs w:val="30"/>
          <w:u w:val="none"/>
          <w:lang w:val="en-US" w:eastAsia="zh-CN"/>
        </w:rPr>
        <w:t>双方签订之日起</w:t>
      </w:r>
      <w:r>
        <w:rPr>
          <w:rFonts w:ascii="Times New Roman" w:hAnsi="Times New Roman" w:eastAsia="仿宋_GB2312"/>
          <w:bCs/>
          <w:color w:val="auto"/>
          <w:sz w:val="30"/>
          <w:szCs w:val="30"/>
        </w:rPr>
        <w:t>生效。</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8" w:name="_Toc351203493"/>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四</w:t>
      </w:r>
      <w:r>
        <w:rPr>
          <w:rFonts w:ascii="Times New Roman" w:hAnsi="Times New Roman" w:eastAsia="黑体"/>
          <w:b w:val="0"/>
          <w:color w:val="auto"/>
          <w:sz w:val="32"/>
          <w:szCs w:val="32"/>
        </w:rPr>
        <w:t>、合同份数</w:t>
      </w:r>
      <w:bookmarkEnd w:id="178"/>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本合同一式</w:t>
      </w:r>
      <w:r>
        <w:rPr>
          <w:rFonts w:hint="eastAsia" w:ascii="Times New Roman" w:hAnsi="Times New Roman" w:eastAsia="仿宋_GB2312"/>
          <w:bCs/>
          <w:color w:val="auto"/>
          <w:sz w:val="30"/>
          <w:szCs w:val="30"/>
          <w:u w:val="none"/>
          <w:lang w:val="en-US" w:eastAsia="zh-CN"/>
        </w:rPr>
        <w:t>壹拾</w:t>
      </w:r>
      <w:r>
        <w:rPr>
          <w:rFonts w:ascii="Times New Roman" w:hAnsi="Times New Roman" w:eastAsia="仿宋_GB2312"/>
          <w:bCs/>
          <w:color w:val="auto"/>
          <w:sz w:val="30"/>
          <w:szCs w:val="30"/>
          <w:u w:val="none"/>
        </w:rPr>
        <w:t>份，均具有同等法律效力，发包人执</w:t>
      </w:r>
      <w:r>
        <w:rPr>
          <w:rFonts w:hint="eastAsia" w:ascii="Times New Roman" w:hAnsi="Times New Roman" w:eastAsia="仿宋_GB2312"/>
          <w:bCs/>
          <w:color w:val="auto"/>
          <w:sz w:val="30"/>
          <w:szCs w:val="30"/>
          <w:u w:val="none"/>
          <w:lang w:val="en-US" w:eastAsia="zh-CN"/>
        </w:rPr>
        <w:t>陆</w:t>
      </w:r>
      <w:r>
        <w:rPr>
          <w:rFonts w:ascii="Times New Roman" w:hAnsi="Times New Roman" w:eastAsia="仿宋_GB2312"/>
          <w:bCs/>
          <w:color w:val="auto"/>
          <w:sz w:val="30"/>
          <w:szCs w:val="30"/>
          <w:u w:val="none"/>
        </w:rPr>
        <w:t>份，承包人执</w:t>
      </w:r>
      <w:r>
        <w:rPr>
          <w:rFonts w:hint="eastAsia" w:ascii="Times New Roman" w:hAnsi="Times New Roman" w:eastAsia="仿宋_GB2312"/>
          <w:bCs/>
          <w:color w:val="auto"/>
          <w:sz w:val="30"/>
          <w:szCs w:val="30"/>
          <w:u w:val="none"/>
          <w:lang w:val="en-US" w:eastAsia="zh-CN"/>
        </w:rPr>
        <w:t>肆</w:t>
      </w:r>
      <w:r>
        <w:rPr>
          <w:rFonts w:ascii="Times New Roman" w:hAnsi="Times New Roman" w:eastAsia="仿宋_GB2312"/>
          <w:bCs/>
          <w:color w:val="auto"/>
          <w:sz w:val="30"/>
          <w:szCs w:val="30"/>
          <w:u w:val="none"/>
        </w:rPr>
        <w:t>份</w:t>
      </w:r>
      <w:r>
        <w:rPr>
          <w:rFonts w:ascii="Times New Roman" w:hAnsi="Times New Roman" w:eastAsia="仿宋_GB2312"/>
          <w:bCs/>
          <w:color w:val="auto"/>
          <w:sz w:val="30"/>
          <w:szCs w:val="30"/>
        </w:rPr>
        <w:t>。</w:t>
      </w:r>
    </w:p>
    <w:p>
      <w:pPr>
        <w:spacing w:line="360" w:lineRule="auto"/>
        <w:rPr>
          <w:rFonts w:hint="eastAsia" w:ascii="Times New Roman" w:hAnsi="Times New Roman" w:eastAsia="仿宋_GB2312"/>
          <w:bCs/>
          <w:color w:val="auto"/>
          <w:sz w:val="30"/>
          <w:szCs w:val="30"/>
        </w:rPr>
      </w:pPr>
    </w:p>
    <w:tbl>
      <w:tblPr>
        <w:tblStyle w:val="25"/>
        <w:tblW w:w="9500" w:type="dxa"/>
        <w:tblInd w:w="-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57"/>
        <w:gridCol w:w="4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发包人(公章)：</w:t>
            </w:r>
            <w:r>
              <w:rPr>
                <w:rFonts w:hint="eastAsia" w:ascii="仿宋" w:hAnsi="仿宋" w:eastAsia="仿宋" w:cs="仿宋"/>
                <w:color w:val="auto"/>
                <w:sz w:val="30"/>
                <w:szCs w:val="30"/>
                <w:u w:val="single"/>
                <w:lang w:val="en-US" w:eastAsia="zh-CN"/>
              </w:rPr>
              <w:t>府谷能源投资集团</w:t>
            </w:r>
          </w:p>
          <w:p>
            <w:pPr>
              <w:spacing w:line="360" w:lineRule="auto"/>
              <w:ind w:firstLine="1800" w:firstLineChars="600"/>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u w:val="single"/>
                <w:lang w:val="en-US" w:eastAsia="zh-CN"/>
              </w:rPr>
              <w:t>郭家湾矿业有限公司</w:t>
            </w:r>
          </w:p>
        </w:tc>
        <w:tc>
          <w:tcPr>
            <w:tcW w:w="4743"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承包人(公章)：</w:t>
            </w:r>
            <w:r>
              <w:rPr>
                <w:rFonts w:hint="eastAsia" w:eastAsia="仿宋_GB2312"/>
                <w:color w:val="auto"/>
                <w:sz w:val="30"/>
                <w:szCs w:val="30"/>
                <w:u w:val="single"/>
                <w:lang w:val="en-US" w:eastAsia="zh-CN"/>
              </w:rPr>
              <w:t xml:space="preserve">                  </w:t>
            </w:r>
          </w:p>
          <w:p>
            <w:pPr>
              <w:spacing w:line="360" w:lineRule="auto"/>
              <w:ind w:firstLine="2100" w:firstLineChars="700"/>
              <w:rPr>
                <w:rFonts w:hint="eastAsia" w:ascii="仿宋" w:hAnsi="仿宋" w:eastAsia="仿宋" w:cs="仿宋"/>
                <w:color w:val="auto"/>
                <w:sz w:val="30"/>
                <w:szCs w:val="30"/>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法定代表人(签字)：</w:t>
            </w:r>
          </w:p>
          <w:p>
            <w:pPr>
              <w:spacing w:line="360" w:lineRule="auto"/>
              <w:rPr>
                <w:rFonts w:hint="eastAsia" w:ascii="仿宋" w:hAnsi="仿宋" w:eastAsia="仿宋" w:cs="仿宋"/>
                <w:color w:val="auto"/>
                <w:sz w:val="30"/>
                <w:szCs w:val="30"/>
                <w:u w:val="single"/>
              </w:rPr>
            </w:pPr>
          </w:p>
        </w:tc>
        <w:tc>
          <w:tcPr>
            <w:tcW w:w="4743"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法定代表人(签字)：</w:t>
            </w:r>
          </w:p>
          <w:p>
            <w:pPr>
              <w:spacing w:line="360" w:lineRule="auto"/>
              <w:rPr>
                <w:rFonts w:hint="eastAsia" w:ascii="仿宋" w:hAnsi="仿宋" w:eastAsia="仿宋" w:cs="仿宋"/>
                <w:color w:val="auto"/>
                <w:sz w:val="30"/>
                <w:szCs w:val="3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委托代理人(签字)：</w:t>
            </w:r>
          </w:p>
        </w:tc>
        <w:tc>
          <w:tcPr>
            <w:tcW w:w="4743"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委托代理人(签字)：</w:t>
            </w:r>
          </w:p>
          <w:p>
            <w:pPr>
              <w:spacing w:line="360" w:lineRule="auto"/>
              <w:rPr>
                <w:rFonts w:hint="eastAsia" w:ascii="仿宋" w:hAnsi="仿宋" w:eastAsia="仿宋" w:cs="仿宋"/>
                <w:color w:val="auto"/>
                <w:sz w:val="30"/>
                <w:szCs w:val="3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u w:val="none"/>
              </w:rPr>
              <w:t>组织机构代码：</w:t>
            </w:r>
            <w:r>
              <w:rPr>
                <w:rFonts w:hint="eastAsia" w:ascii="仿宋" w:hAnsi="仿宋" w:eastAsia="仿宋" w:cs="仿宋"/>
                <w:color w:val="auto"/>
                <w:sz w:val="28"/>
                <w:szCs w:val="28"/>
                <w:u w:val="single"/>
              </w:rPr>
              <w:t>916100002240314638</w:t>
            </w:r>
          </w:p>
        </w:tc>
        <w:tc>
          <w:tcPr>
            <w:tcW w:w="4743" w:type="dxa"/>
            <w:noWrap w:val="0"/>
            <w:vAlign w:val="top"/>
          </w:tcPr>
          <w:p>
            <w:pPr>
              <w:spacing w:line="360" w:lineRule="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u w:val="none"/>
              </w:rPr>
              <w:t>组织机构代码：</w:t>
            </w:r>
            <w:r>
              <w:rPr>
                <w:rFonts w:hint="eastAsia" w:eastAsia="仿宋_GB2312"/>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地  址：</w:t>
            </w:r>
            <w:r>
              <w:rPr>
                <w:rFonts w:hint="eastAsia" w:ascii="仿宋" w:hAnsi="仿宋" w:eastAsia="仿宋" w:cs="仿宋"/>
                <w:color w:val="auto"/>
                <w:sz w:val="30"/>
                <w:szCs w:val="30"/>
                <w:u w:val="single"/>
                <w:lang w:val="en-US" w:eastAsia="zh-CN"/>
              </w:rPr>
              <w:t>陕西省府谷县大昌汗镇</w:t>
            </w:r>
          </w:p>
          <w:p>
            <w:pPr>
              <w:spacing w:line="360" w:lineRule="auto"/>
              <w:ind w:firstLine="1200" w:firstLineChars="400"/>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u w:val="single"/>
                <w:lang w:val="en-US" w:eastAsia="zh-CN"/>
              </w:rPr>
              <w:t>郭家湾村</w:t>
            </w:r>
          </w:p>
        </w:tc>
        <w:tc>
          <w:tcPr>
            <w:tcW w:w="4743" w:type="dxa"/>
            <w:noWrap w:val="0"/>
            <w:vAlign w:val="top"/>
          </w:tcPr>
          <w:p>
            <w:pPr>
              <w:spacing w:line="360" w:lineRule="auto"/>
              <w:rPr>
                <w:rFonts w:hint="default"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地  址：</w:t>
            </w:r>
            <w:r>
              <w:rPr>
                <w:rFonts w:hint="eastAsia" w:eastAsia="仿宋_GB2312"/>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邮政编码：</w:t>
            </w:r>
            <w:r>
              <w:rPr>
                <w:rFonts w:hint="eastAsia" w:ascii="仿宋" w:hAnsi="仿宋" w:eastAsia="仿宋" w:cs="仿宋"/>
                <w:color w:val="auto"/>
                <w:sz w:val="30"/>
                <w:szCs w:val="30"/>
                <w:u w:val="single"/>
                <w:lang w:val="en-US" w:eastAsia="zh-CN"/>
              </w:rPr>
              <w:t xml:space="preserve">      719400       </w:t>
            </w:r>
          </w:p>
        </w:tc>
        <w:tc>
          <w:tcPr>
            <w:tcW w:w="4743" w:type="dxa"/>
            <w:noWrap w:val="0"/>
            <w:vAlign w:val="top"/>
          </w:tcPr>
          <w:p>
            <w:pPr>
              <w:spacing w:line="360" w:lineRule="auto"/>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邮政编码：</w:t>
            </w:r>
            <w:r>
              <w:rPr>
                <w:rFonts w:hint="eastAsia" w:ascii="仿宋" w:hAnsi="仿宋" w:eastAsia="仿宋" w:cs="仿宋"/>
                <w:color w:val="auto"/>
                <w:sz w:val="30"/>
                <w:szCs w:val="30"/>
                <w:u w:val="single"/>
                <w:lang w:val="en-US" w:eastAsia="zh-CN"/>
              </w:rPr>
              <w:t xml:space="preserve">      </w:t>
            </w:r>
            <w:r>
              <w:rPr>
                <w:rFonts w:hint="eastAsia" w:eastAsia="仿宋_GB2312"/>
                <w:color w:val="auto"/>
                <w:sz w:val="30"/>
                <w:szCs w:val="30"/>
                <w:u w:val="single"/>
                <w:lang w:val="en-US" w:eastAsia="zh-CN"/>
              </w:rPr>
              <w:t xml:space="preserve">           </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电  话：</w:t>
            </w:r>
            <w:r>
              <w:rPr>
                <w:rFonts w:hint="eastAsia" w:ascii="仿宋" w:hAnsi="仿宋" w:eastAsia="仿宋" w:cs="仿宋"/>
                <w:color w:val="auto"/>
                <w:sz w:val="30"/>
                <w:szCs w:val="30"/>
                <w:u w:val="single"/>
                <w:lang w:val="en-US" w:eastAsia="zh-CN"/>
              </w:rPr>
              <w:t xml:space="preserve">     0912-8985001    </w:t>
            </w:r>
          </w:p>
        </w:tc>
        <w:tc>
          <w:tcPr>
            <w:tcW w:w="4743"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电  话：</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传  真：</w:t>
            </w:r>
            <w:r>
              <w:rPr>
                <w:rFonts w:hint="eastAsia" w:ascii="仿宋" w:hAnsi="仿宋" w:eastAsia="仿宋" w:cs="仿宋"/>
                <w:color w:val="auto"/>
                <w:sz w:val="30"/>
                <w:szCs w:val="30"/>
                <w:u w:val="single"/>
                <w:lang w:val="en-US" w:eastAsia="zh-CN"/>
              </w:rPr>
              <w:t xml:space="preserve">     0912-8985259    </w:t>
            </w:r>
          </w:p>
        </w:tc>
        <w:tc>
          <w:tcPr>
            <w:tcW w:w="4743"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传  真：</w:t>
            </w:r>
            <w:r>
              <w:rPr>
                <w:rFonts w:hint="eastAsia" w:ascii="仿宋" w:hAnsi="仿宋" w:eastAsia="仿宋" w:cs="仿宋"/>
                <w:color w:val="auto"/>
                <w:sz w:val="30"/>
                <w:szCs w:val="30"/>
                <w:u w:val="single"/>
                <w:lang w:val="en-US" w:eastAsia="zh-CN"/>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rPr>
              <w:t>电子信箱：</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p>
        </w:tc>
        <w:tc>
          <w:tcPr>
            <w:tcW w:w="4743"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rPr>
              <w:t>电子信箱：</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开户银行：</w:t>
            </w:r>
            <w:r>
              <w:rPr>
                <w:rFonts w:hint="eastAsia" w:ascii="仿宋" w:hAnsi="仿宋" w:eastAsia="仿宋" w:cs="仿宋"/>
                <w:color w:val="auto"/>
                <w:sz w:val="30"/>
                <w:szCs w:val="30"/>
                <w:u w:val="single"/>
                <w:lang w:val="en-US" w:eastAsia="zh-CN"/>
              </w:rPr>
              <w:t>中国建设银行</w:t>
            </w:r>
            <w:r>
              <w:rPr>
                <w:rFonts w:hint="eastAsia" w:ascii="仿宋" w:hAnsi="仿宋" w:eastAsia="仿宋" w:cs="仿宋"/>
                <w:color w:val="auto"/>
                <w:sz w:val="30"/>
                <w:szCs w:val="30"/>
                <w:u w:val="single"/>
              </w:rPr>
              <w:t>府谷县</w:t>
            </w:r>
          </w:p>
          <w:p>
            <w:pPr>
              <w:spacing w:line="360" w:lineRule="auto"/>
              <w:ind w:firstLine="1500" w:firstLineChars="500"/>
              <w:rPr>
                <w:rFonts w:hint="eastAsia" w:ascii="仿宋" w:hAnsi="仿宋" w:eastAsia="仿宋" w:cs="仿宋"/>
                <w:color w:val="auto"/>
                <w:sz w:val="30"/>
                <w:szCs w:val="30"/>
                <w:vertAlign w:val="baseline"/>
              </w:rPr>
            </w:pPr>
            <w:r>
              <w:rPr>
                <w:rFonts w:hint="eastAsia" w:ascii="仿宋" w:hAnsi="仿宋" w:eastAsia="仿宋" w:cs="仿宋"/>
                <w:color w:val="auto"/>
                <w:sz w:val="30"/>
                <w:szCs w:val="30"/>
                <w:u w:val="single"/>
              </w:rPr>
              <w:t>支行</w:t>
            </w:r>
          </w:p>
        </w:tc>
        <w:tc>
          <w:tcPr>
            <w:tcW w:w="4743" w:type="dxa"/>
            <w:noWrap w:val="0"/>
            <w:vAlign w:val="top"/>
          </w:tcPr>
          <w:p>
            <w:pPr>
              <w:spacing w:line="360" w:lineRule="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rPr>
              <w:t>开户银行：</w:t>
            </w:r>
            <w:r>
              <w:rPr>
                <w:rFonts w:hint="eastAsia" w:ascii="仿宋" w:hAnsi="仿宋" w:eastAsia="仿宋" w:cs="仿宋"/>
                <w:color w:val="auto"/>
                <w:sz w:val="30"/>
                <w:szCs w:val="30"/>
                <w:u w:val="single"/>
                <w:lang w:val="en-US" w:eastAsia="zh-CN"/>
              </w:rPr>
              <w:t xml:space="preserve">                  </w:t>
            </w:r>
          </w:p>
          <w:p>
            <w:pPr>
              <w:spacing w:line="360" w:lineRule="auto"/>
              <w:ind w:firstLine="1500" w:firstLineChars="500"/>
              <w:rPr>
                <w:rFonts w:hint="default" w:ascii="仿宋" w:hAnsi="仿宋" w:eastAsia="仿宋" w:cs="仿宋"/>
                <w:color w:val="auto"/>
                <w:sz w:val="30"/>
                <w:szCs w:val="30"/>
                <w:vertAlign w:val="baseline"/>
                <w:lang w:val="en-US"/>
              </w:rPr>
            </w:pP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账  号：</w:t>
            </w:r>
            <w:r>
              <w:rPr>
                <w:rFonts w:hint="eastAsia" w:ascii="仿宋" w:hAnsi="仿宋" w:eastAsia="仿宋" w:cs="仿宋"/>
                <w:color w:val="auto"/>
                <w:sz w:val="30"/>
                <w:szCs w:val="30"/>
                <w:u w:val="single"/>
              </w:rPr>
              <w:t xml:space="preserve"> 61001697308059555  </w:t>
            </w:r>
          </w:p>
        </w:tc>
        <w:tc>
          <w:tcPr>
            <w:tcW w:w="4743" w:type="dxa"/>
            <w:noWrap w:val="0"/>
            <w:vAlign w:val="top"/>
          </w:tcPr>
          <w:p>
            <w:pPr>
              <w:spacing w:line="360" w:lineRule="auto"/>
              <w:rPr>
                <w:rFonts w:hint="default" w:ascii="仿宋" w:hAnsi="仿宋" w:eastAsia="仿宋" w:cs="仿宋"/>
                <w:color w:val="auto"/>
                <w:sz w:val="30"/>
                <w:szCs w:val="30"/>
                <w:vertAlign w:val="baseline"/>
                <w:lang w:val="en-US"/>
              </w:rPr>
            </w:pPr>
            <w:r>
              <w:rPr>
                <w:rFonts w:hint="eastAsia" w:ascii="仿宋" w:hAnsi="仿宋" w:eastAsia="仿宋" w:cs="仿宋"/>
                <w:color w:val="auto"/>
                <w:sz w:val="30"/>
                <w:szCs w:val="30"/>
              </w:rPr>
              <w:t>账  号：</w:t>
            </w:r>
            <w:r>
              <w:rPr>
                <w:rFonts w:hint="eastAsia" w:ascii="仿宋" w:hAnsi="仿宋" w:eastAsia="仿宋" w:cs="仿宋"/>
                <w:color w:val="auto"/>
                <w:sz w:val="30"/>
                <w:szCs w:val="30"/>
                <w:u w:val="single"/>
                <w:lang w:val="en-US" w:eastAsia="zh-CN"/>
              </w:rPr>
              <w:t xml:space="preserve">                     </w:t>
            </w:r>
          </w:p>
        </w:tc>
      </w:tr>
    </w:tbl>
    <w:p>
      <w:pPr>
        <w:jc w:val="center"/>
        <w:rPr>
          <w:rFonts w:hint="eastAsia" w:ascii="华文中宋" w:hAnsi="华文中宋" w:eastAsia="华文中宋"/>
          <w:color w:val="auto"/>
          <w:sz w:val="44"/>
          <w:szCs w:val="44"/>
        </w:rPr>
      </w:pPr>
      <w:r>
        <w:rPr>
          <w:rFonts w:hint="eastAsia" w:ascii="宋体" w:hAnsi="宋体" w:eastAsia="宋体" w:cs="宋体"/>
          <w:b w:val="0"/>
          <w:bCs w:val="0"/>
          <w:color w:val="auto"/>
          <w:sz w:val="32"/>
          <w:szCs w:val="32"/>
        </w:rPr>
        <w:br w:type="page"/>
      </w:r>
      <w:r>
        <w:rPr>
          <w:rFonts w:ascii="华文中宋" w:hAnsi="华文中宋" w:eastAsia="华文中宋"/>
          <w:color w:val="auto"/>
          <w:sz w:val="44"/>
          <w:szCs w:val="44"/>
        </w:rPr>
        <w:t>通用合同条款</w:t>
      </w:r>
      <w:bookmarkStart w:id="179" w:name="_Toc337558727"/>
    </w:p>
    <w:bookmarkEnd w:id="179"/>
    <w:p>
      <w:pPr>
        <w:jc w:val="center"/>
        <w:rPr>
          <w:rFonts w:hint="eastAsia" w:ascii="宋体" w:hAnsi="宋体" w:eastAsia="宋体" w:cs="宋体"/>
          <w:b w:val="0"/>
          <w:bCs w:val="0"/>
          <w:color w:val="auto"/>
          <w:sz w:val="32"/>
          <w:szCs w:val="32"/>
        </w:rPr>
      </w:pPr>
      <w:r>
        <w:rPr>
          <w:rFonts w:hint="eastAsia" w:eastAsia="仿宋_GB2312"/>
          <w:color w:val="auto"/>
          <w:kern w:val="0"/>
          <w:sz w:val="30"/>
          <w:szCs w:val="32"/>
          <w:lang w:eastAsia="zh-CN"/>
        </w:rPr>
        <w:t>详见《</w:t>
      </w:r>
      <w:r>
        <w:rPr>
          <w:rFonts w:hint="eastAsia" w:ascii="Times New Roman" w:hAnsi="Times New Roman" w:eastAsia="仿宋_GB2312"/>
          <w:color w:val="auto"/>
          <w:kern w:val="0"/>
          <w:sz w:val="30"/>
          <w:szCs w:val="32"/>
        </w:rPr>
        <w:t>建设工程施工合同</w:t>
      </w:r>
      <w:r>
        <w:rPr>
          <w:rFonts w:hint="eastAsia" w:eastAsia="仿宋_GB2312"/>
          <w:color w:val="auto"/>
          <w:kern w:val="0"/>
          <w:sz w:val="30"/>
          <w:szCs w:val="32"/>
          <w:lang w:eastAsia="zh-CN"/>
        </w:rPr>
        <w:t>》</w:t>
      </w:r>
      <w:r>
        <w:rPr>
          <w:rFonts w:hint="eastAsia" w:ascii="Times New Roman" w:hAnsi="Times New Roman" w:eastAsia="仿宋_GB2312"/>
          <w:color w:val="auto"/>
          <w:kern w:val="0"/>
          <w:sz w:val="30"/>
          <w:szCs w:val="32"/>
        </w:rPr>
        <w:t>（GF—2017—0201）</w:t>
      </w:r>
    </w:p>
    <w:p>
      <w:pPr>
        <w:rPr>
          <w:rFonts w:hint="eastAsia" w:ascii="宋体" w:hAnsi="宋体" w:eastAsia="宋体" w:cs="宋体"/>
          <w:b w:val="0"/>
          <w:bCs w:val="0"/>
          <w:color w:val="auto"/>
          <w:sz w:val="32"/>
          <w:szCs w:val="32"/>
        </w:rPr>
      </w:pPr>
      <w:r>
        <w:rPr>
          <w:rFonts w:hint="eastAsia" w:ascii="宋体" w:hAnsi="宋体" w:eastAsia="宋体" w:cs="宋体"/>
          <w:b w:val="0"/>
          <w:bCs w:val="0"/>
          <w:color w:val="auto"/>
          <w:sz w:val="32"/>
          <w:szCs w:val="32"/>
        </w:rPr>
        <w:br w:type="page"/>
      </w:r>
    </w:p>
    <w:p>
      <w:pPr>
        <w:pStyle w:val="6"/>
        <w:jc w:val="center"/>
        <w:rPr>
          <w:rFonts w:ascii="华文中宋" w:hAnsi="华文中宋" w:eastAsia="华文中宋"/>
          <w:color w:val="auto"/>
          <w:sz w:val="44"/>
          <w:szCs w:val="44"/>
        </w:rPr>
      </w:pPr>
      <w:r>
        <w:rPr>
          <w:rFonts w:hint="eastAsia" w:ascii="华文中宋" w:hAnsi="华文中宋" w:eastAsia="华文中宋"/>
          <w:color w:val="auto"/>
          <w:sz w:val="44"/>
          <w:szCs w:val="44"/>
        </w:rPr>
        <w:t>专用合同条款</w:t>
      </w:r>
    </w:p>
    <w:p>
      <w:pPr>
        <w:jc w:val="center"/>
        <w:rPr>
          <w:rFonts w:hint="eastAsia" w:ascii="宋体" w:hAnsi="宋体" w:eastAsia="宋体" w:cs="宋体"/>
          <w:b w:val="0"/>
          <w:bCs w:val="0"/>
          <w:color w:val="auto"/>
          <w:sz w:val="32"/>
          <w:szCs w:val="32"/>
        </w:rPr>
      </w:pPr>
      <w:r>
        <w:rPr>
          <w:rFonts w:hint="eastAsia" w:eastAsia="仿宋_GB2312"/>
          <w:color w:val="auto"/>
          <w:kern w:val="0"/>
          <w:sz w:val="30"/>
          <w:szCs w:val="32"/>
          <w:lang w:eastAsia="zh-CN"/>
        </w:rPr>
        <w:t>详见《</w:t>
      </w:r>
      <w:r>
        <w:rPr>
          <w:rFonts w:hint="eastAsia" w:ascii="Times New Roman" w:hAnsi="Times New Roman" w:eastAsia="仿宋_GB2312"/>
          <w:color w:val="auto"/>
          <w:kern w:val="0"/>
          <w:sz w:val="30"/>
          <w:szCs w:val="32"/>
        </w:rPr>
        <w:t>建设工程施工合同</w:t>
      </w:r>
      <w:r>
        <w:rPr>
          <w:rFonts w:hint="eastAsia" w:eastAsia="仿宋_GB2312"/>
          <w:color w:val="auto"/>
          <w:kern w:val="0"/>
          <w:sz w:val="30"/>
          <w:szCs w:val="32"/>
          <w:lang w:eastAsia="zh-CN"/>
        </w:rPr>
        <w:t>》</w:t>
      </w:r>
      <w:r>
        <w:rPr>
          <w:rFonts w:hint="eastAsia" w:ascii="Times New Roman" w:hAnsi="Times New Roman" w:eastAsia="仿宋_GB2312"/>
          <w:color w:val="auto"/>
          <w:kern w:val="0"/>
          <w:sz w:val="30"/>
          <w:szCs w:val="32"/>
        </w:rPr>
        <w:t>（GF—2017—0201）</w:t>
      </w:r>
    </w:p>
    <w:p>
      <w:pPr>
        <w:spacing w:line="360" w:lineRule="auto"/>
        <w:ind w:firstLine="3840" w:firstLineChars="1600"/>
        <w:rPr>
          <w:rFonts w:hint="eastAsia" w:ascii="宋体" w:hAnsi="宋体" w:eastAsia="宋体" w:cs="宋体"/>
          <w:color w:val="auto"/>
          <w:sz w:val="24"/>
          <w:szCs w:val="24"/>
        </w:rPr>
      </w:pPr>
    </w:p>
    <w:p>
      <w:pPr>
        <w:pStyle w:val="7"/>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4"/>
        <w:bidi w:val="0"/>
        <w:jc w:val="center"/>
        <w:rPr>
          <w:rFonts w:hint="eastAsia" w:ascii="宋体" w:hAnsi="宋体" w:eastAsia="宋体" w:cs="宋体"/>
          <w:color w:val="auto"/>
          <w:sz w:val="28"/>
          <w:szCs w:val="40"/>
        </w:rPr>
      </w:pPr>
      <w:bookmarkStart w:id="180" w:name="_Toc22709"/>
      <w:bookmarkStart w:id="181" w:name="_Toc12364"/>
      <w:bookmarkStart w:id="182" w:name="_Toc13995"/>
    </w:p>
    <w:p>
      <w:pPr>
        <w:rPr>
          <w:rFonts w:hint="eastAsia"/>
        </w:rPr>
      </w:pPr>
    </w:p>
    <w:p>
      <w:pPr>
        <w:pStyle w:val="4"/>
        <w:bidi w:val="0"/>
        <w:jc w:val="center"/>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rPr>
      </w:pPr>
    </w:p>
    <w:p>
      <w:pPr>
        <w:rPr>
          <w:rFonts w:hint="eastAsia"/>
        </w:rPr>
      </w:pPr>
    </w:p>
    <w:p>
      <w:pPr>
        <w:pStyle w:val="4"/>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80"/>
      <w:bookmarkEnd w:id="181"/>
      <w:bookmarkEnd w:id="182"/>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39"/>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83" w:name="_Toc3870"/>
    </w:p>
    <w:bookmarkEnd w:id="183"/>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7"/>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7"/>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9"/>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5"/>
        <w:spacing w:line="600" w:lineRule="auto"/>
        <w:ind w:firstLine="1405" w:firstLineChars="500"/>
        <w:jc w:val="both"/>
        <w:rPr>
          <w:rFonts w:hint="eastAsia" w:ascii="宋体" w:hAnsi="宋体" w:eastAsia="宋体" w:cs="宋体"/>
          <w:color w:val="auto"/>
          <w:lang w:val="en-US" w:eastAsia="zh-CN"/>
        </w:rPr>
      </w:pPr>
      <w:bookmarkStart w:id="184" w:name="_Toc7119"/>
      <w:bookmarkStart w:id="185"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84"/>
      <w:bookmarkEnd w:id="185"/>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7"/>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5"/>
        <w:jc w:val="center"/>
        <w:rPr>
          <w:rFonts w:hint="eastAsia" w:ascii="宋体" w:hAnsi="宋体" w:eastAsia="宋体" w:cs="宋体"/>
          <w:color w:val="auto"/>
          <w:sz w:val="24"/>
          <w:highlight w:val="none"/>
        </w:rPr>
      </w:pPr>
      <w:bookmarkStart w:id="186" w:name="_Toc146"/>
      <w:bookmarkStart w:id="187" w:name="_Toc294689058"/>
      <w:bookmarkStart w:id="188" w:name="_Toc294650361"/>
      <w:bookmarkStart w:id="189" w:name="_Toc314237634"/>
      <w:bookmarkStart w:id="190" w:name="_Toc294650221"/>
      <w:bookmarkStart w:id="191" w:name="_Toc294650463"/>
      <w:bookmarkStart w:id="192" w:name="_Toc294649637"/>
      <w:bookmarkStart w:id="193" w:name="_Toc10678"/>
      <w:bookmarkStart w:id="194" w:name="_Toc27991"/>
      <w:bookmarkStart w:id="195" w:name="_Toc1120"/>
      <w:r>
        <w:rPr>
          <w:rFonts w:hint="eastAsia" w:ascii="宋体" w:hAnsi="宋体" w:eastAsia="宋体" w:cs="宋体"/>
          <w:color w:val="auto"/>
          <w:highlight w:val="none"/>
        </w:rPr>
        <w:t xml:space="preserve">第一部分   </w:t>
      </w:r>
      <w:bookmarkEnd w:id="186"/>
      <w:bookmarkEnd w:id="187"/>
      <w:bookmarkEnd w:id="188"/>
      <w:bookmarkEnd w:id="189"/>
      <w:bookmarkEnd w:id="190"/>
      <w:bookmarkEnd w:id="191"/>
      <w:bookmarkEnd w:id="192"/>
      <w:bookmarkEnd w:id="193"/>
      <w:r>
        <w:rPr>
          <w:rFonts w:hint="eastAsia" w:ascii="宋体" w:hAnsi="宋体" w:eastAsia="宋体" w:cs="宋体"/>
          <w:color w:val="auto"/>
          <w:highlight w:val="none"/>
          <w:lang w:eastAsia="zh-CN"/>
        </w:rPr>
        <w:t>响应函</w:t>
      </w:r>
      <w:bookmarkEnd w:id="194"/>
      <w:bookmarkEnd w:id="19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96" w:name="_Toc19904"/>
      <w:bookmarkStart w:id="197" w:name="_Toc314237635"/>
      <w:bookmarkStart w:id="198" w:name="_Toc294689059"/>
      <w:bookmarkStart w:id="199" w:name="_Toc294650464"/>
      <w:bookmarkStart w:id="200" w:name="_Toc294650222"/>
      <w:bookmarkStart w:id="201" w:name="_Toc294650362"/>
      <w:bookmarkStart w:id="202" w:name="_Toc16543"/>
      <w:bookmarkStart w:id="203" w:name="_Toc294649638"/>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96"/>
      <w:bookmarkEnd w:id="197"/>
      <w:bookmarkEnd w:id="198"/>
      <w:bookmarkEnd w:id="199"/>
      <w:bookmarkEnd w:id="200"/>
      <w:bookmarkEnd w:id="201"/>
      <w:bookmarkEnd w:id="202"/>
      <w:bookmarkEnd w:id="20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204" w:name="OLE_LINK5"/>
            <w:r>
              <w:rPr>
                <w:rFonts w:hint="eastAsia" w:ascii="宋体" w:hAnsi="宋体" w:eastAsia="宋体" w:cs="宋体"/>
                <w:b/>
                <w:bCs/>
                <w:color w:val="auto"/>
                <w:sz w:val="24"/>
              </w:rPr>
              <w:t>采购项目名称</w:t>
            </w:r>
          </w:p>
        </w:tc>
        <w:tc>
          <w:tcPr>
            <w:tcW w:w="6504" w:type="dxa"/>
            <w:noWrap w:val="0"/>
            <w:vAlign w:val="center"/>
          </w:tcPr>
          <w:p>
            <w:pPr>
              <w:pStyle w:val="4"/>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20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05" w:name="_Hlk48720282"/>
      <w:bookmarkStart w:id="206" w:name="_Toc8006"/>
      <w:bookmarkStart w:id="207" w:name="_Toc25597_WPSOffice_Level2"/>
      <w:bookmarkStart w:id="208" w:name="_Toc29740_WPSOffice_Level2"/>
      <w:bookmarkStart w:id="209" w:name="_Toc5592"/>
      <w:bookmarkStart w:id="210" w:name="_Toc26334"/>
      <w:bookmarkStart w:id="211" w:name="_Toc31114"/>
      <w:bookmarkStart w:id="212" w:name="_Toc24699_WPSOffice_Level2"/>
      <w:bookmarkStart w:id="213" w:name="_Toc2923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0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206"/>
    <w:bookmarkEnd w:id="207"/>
    <w:bookmarkEnd w:id="208"/>
    <w:bookmarkEnd w:id="209"/>
    <w:bookmarkEnd w:id="210"/>
    <w:bookmarkEnd w:id="211"/>
    <w:bookmarkEnd w:id="212"/>
    <w:bookmarkEnd w:id="213"/>
    <w:p>
      <w:pPr>
        <w:bidi w:val="0"/>
        <w:rPr>
          <w:rFonts w:hint="eastAsia" w:ascii="宋体" w:hAnsi="宋体" w:eastAsia="宋体" w:cs="宋体"/>
          <w:color w:val="auto"/>
          <w:sz w:val="24"/>
          <w:szCs w:val="24"/>
        </w:rPr>
      </w:pPr>
    </w:p>
    <w:p>
      <w:pPr>
        <w:numPr>
          <w:ilvl w:val="0"/>
          <w:numId w:val="0"/>
        </w:numPr>
        <w:bidi w:val="0"/>
        <w:ind w:leftChars="200"/>
        <w:jc w:val="center"/>
        <w:rPr>
          <w:rFonts w:hint="eastAsia" w:ascii="宋体" w:hAnsi="宋体" w:eastAsia="宋体" w:cs="宋体"/>
          <w:b/>
          <w:bCs/>
          <w:color w:val="auto"/>
          <w:sz w:val="28"/>
          <w:szCs w:val="28"/>
          <w:lang w:eastAsia="zh-CN"/>
        </w:rPr>
      </w:pPr>
      <w:bookmarkStart w:id="214" w:name="_Toc23597"/>
      <w:bookmarkStart w:id="215" w:name="_Toc13567"/>
      <w:r>
        <w:rPr>
          <w:rFonts w:hint="eastAsia" w:ascii="宋体" w:hAnsi="宋体" w:eastAsia="宋体" w:cs="宋体"/>
          <w:b/>
          <w:bCs/>
          <w:color w:val="auto"/>
          <w:sz w:val="28"/>
          <w:szCs w:val="28"/>
          <w:lang w:eastAsia="zh-CN"/>
        </w:rPr>
        <w:t>二、</w:t>
      </w:r>
      <w:bookmarkEnd w:id="214"/>
      <w:bookmarkEnd w:id="215"/>
      <w:r>
        <w:rPr>
          <w:rFonts w:hint="eastAsia" w:ascii="宋体" w:hAnsi="宋体" w:eastAsia="宋体" w:cs="宋体"/>
          <w:b/>
          <w:bCs/>
          <w:color w:val="auto"/>
          <w:sz w:val="28"/>
          <w:szCs w:val="28"/>
          <w:lang w:eastAsia="zh-CN"/>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（按照工程量清单格式编制</w:t>
      </w:r>
      <w:bookmarkStart w:id="216" w:name="_Toc12125"/>
      <w:r>
        <w:rPr>
          <w:rFonts w:hint="eastAsia" w:ascii="宋体" w:hAnsi="宋体" w:eastAsia="宋体" w:cs="宋体"/>
          <w:b/>
          <w:bCs/>
          <w:color w:val="auto"/>
          <w:sz w:val="24"/>
          <w:szCs w:val="24"/>
          <w:lang w:val="en-US" w:eastAsia="zh-CN"/>
        </w:rPr>
        <w:t>）</w:t>
      </w:r>
      <w:bookmarkEnd w:id="216"/>
    </w:p>
    <w:p>
      <w:pPr>
        <w:numPr>
          <w:ilvl w:val="0"/>
          <w:numId w:val="0"/>
        </w:numPr>
        <w:bidi w:val="0"/>
        <w:ind w:leftChars="200"/>
        <w:jc w:val="center"/>
        <w:rPr>
          <w:rFonts w:hint="default" w:ascii="宋体" w:hAnsi="宋体" w:eastAsia="宋体" w:cs="宋体"/>
          <w:b/>
          <w:bCs/>
          <w:color w:val="auto"/>
          <w:sz w:val="28"/>
          <w:szCs w:val="28"/>
          <w:lang w:val="en-US" w:eastAsia="zh-CN"/>
        </w:rPr>
      </w:pPr>
    </w:p>
    <w:p>
      <w:pPr>
        <w:pStyle w:val="43"/>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17" w:name="_Toc294650465"/>
      <w:bookmarkStart w:id="218" w:name="_Toc15790"/>
      <w:bookmarkStart w:id="219" w:name="_Toc294650363"/>
      <w:bookmarkStart w:id="220" w:name="_Toc314237640"/>
      <w:bookmarkStart w:id="221" w:name="_Toc294650223"/>
      <w:bookmarkStart w:id="222" w:name="_Toc294689060"/>
      <w:bookmarkStart w:id="223" w:name="_Toc294649639"/>
      <w:bookmarkStart w:id="224" w:name="_Toc21122"/>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cs="宋体"/>
          <w:i w:val="0"/>
          <w:iCs w:val="0"/>
          <w:caps w:val="0"/>
          <w:color w:val="333333"/>
          <w:spacing w:val="0"/>
          <w:sz w:val="24"/>
          <w:szCs w:val="24"/>
          <w:shd w:val="clear" w:fill="FFFFFF"/>
          <w:vertAlign w:val="baseline"/>
          <w:lang w:eastAsia="zh-CN"/>
        </w:rPr>
        <w:t>地质灾害治理工程施工丙级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r>
        <w:rPr>
          <w:rFonts w:hint="eastAsia" w:ascii="宋体" w:hAnsi="宋体" w:eastAsia="宋体" w:cs="宋体"/>
          <w:i w:val="0"/>
          <w:iCs w:val="0"/>
          <w:caps w:val="0"/>
          <w:color w:val="auto"/>
          <w:spacing w:val="0"/>
          <w:sz w:val="24"/>
          <w:szCs w:val="24"/>
          <w:shd w:val="clear" w:color="auto" w:fill="FFFFFF"/>
        </w:rPr>
        <w:br w:type="textWrapping"/>
      </w:r>
      <w:r>
        <w:rPr>
          <w:rFonts w:hint="eastAsia" w:ascii="宋体" w:hAnsi="宋体" w:eastAsia="宋体" w:cs="宋体"/>
          <w:i w:val="0"/>
          <w:iCs w:val="0"/>
          <w:caps w:val="0"/>
          <w:color w:val="auto"/>
          <w:spacing w:val="0"/>
          <w:sz w:val="24"/>
          <w:szCs w:val="24"/>
          <w:shd w:val="clear" w:color="auto" w:fill="FFFFFF"/>
          <w:lang w:val="en-US" w:eastAsia="zh-CN"/>
        </w:rPr>
        <w:t xml:space="preserve">    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建筑</w:t>
      </w:r>
      <w:r>
        <w:rPr>
          <w:rFonts w:hint="eastAsia" w:ascii="宋体" w:hAnsi="宋体" w:eastAsia="宋体" w:cs="宋体"/>
          <w:i w:val="0"/>
          <w:iCs w:val="0"/>
          <w:caps w:val="0"/>
          <w:color w:val="auto"/>
          <w:spacing w:val="0"/>
          <w:sz w:val="24"/>
          <w:szCs w:val="24"/>
          <w:shd w:val="clear" w:color="auto" w:fill="FFFFFF"/>
        </w:rPr>
        <w:t>工程专业二级及其以上注册建造师注册证书和有效的安全生产考核合格证书（B证），并提供社保经办机构出具的2022年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财务状况报告：提供2021年度财务审计报告（公司成立不足一年的需提供开标时间前六个月内其基本存款账户开户银行出具的资信证明）；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bidi="ar-SA"/>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2）安全员应持有岗位证书及安全考核合格证书C证。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7"/>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7"/>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2"/>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39"/>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39"/>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6"/>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5"/>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5"/>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6"/>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25"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25"/>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44"/>
        <w:jc w:val="left"/>
        <w:rPr>
          <w:rFonts w:hint="eastAsia" w:ascii="宋体" w:hAnsi="宋体" w:eastAsia="宋体" w:cs="宋体"/>
          <w:b/>
          <w:color w:val="auto"/>
          <w:sz w:val="24"/>
          <w:highlight w:val="none"/>
          <w:lang w:eastAsia="zh-CN"/>
        </w:rPr>
      </w:pP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2"/>
          <w:szCs w:val="22"/>
          <w:highlight w:val="none"/>
        </w:rPr>
        <w:t>已换电子证书的，可提供加盖企业原色印章的有效电子证书</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4"/>
          <w:szCs w:val="24"/>
          <w:highlight w:val="none"/>
        </w:rPr>
        <w:t>。</w:t>
      </w:r>
    </w:p>
    <w:p>
      <w:pPr>
        <w:spacing w:line="360" w:lineRule="auto"/>
        <w:rPr>
          <w:rFonts w:hint="eastAsia" w:ascii="宋体" w:hAnsi="宋体" w:eastAsia="宋体" w:cs="宋体"/>
          <w:color w:val="auto"/>
          <w:sz w:val="24"/>
          <w:szCs w:val="24"/>
          <w:highlight w:val="none"/>
        </w:rPr>
      </w:pPr>
    </w:p>
    <w:p>
      <w:pPr>
        <w:pStyle w:val="44"/>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4"/>
        <w:jc w:val="center"/>
        <w:rPr>
          <w:rFonts w:hint="eastAsia" w:ascii="宋体" w:hAnsi="宋体" w:eastAsia="宋体" w:cs="宋体"/>
        </w:rPr>
      </w:pPr>
    </w:p>
    <w:p>
      <w:pPr>
        <w:pStyle w:val="44"/>
        <w:jc w:val="center"/>
        <w:rPr>
          <w:rFonts w:hint="eastAsia" w:ascii="宋体" w:hAnsi="宋体" w:eastAsia="宋体" w:cs="宋体"/>
        </w:rPr>
      </w:pPr>
    </w:p>
    <w:p>
      <w:pPr>
        <w:pStyle w:val="44"/>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7"/>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9"/>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eastAsia" w:ascii="宋体" w:hAnsi="宋体" w:eastAsia="宋体" w:cs="宋体"/>
          <w:lang w:val="en-US"/>
        </w:rPr>
      </w:pPr>
      <w:bookmarkStart w:id="226"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2"/>
        <w:ind w:left="0" w:leftChars="0" w:firstLine="0" w:firstLineChars="0"/>
        <w:jc w:val="center"/>
        <w:rPr>
          <w:rFonts w:hint="eastAsia" w:ascii="宋体" w:hAnsi="宋体" w:eastAsia="宋体" w:cs="宋体"/>
          <w:b/>
          <w:color w:val="000000"/>
          <w:sz w:val="30"/>
          <w:szCs w:val="30"/>
          <w:highlight w:val="none"/>
          <w:lang w:val="en-US" w:eastAsia="zh-CN"/>
        </w:rPr>
      </w:pPr>
    </w:p>
    <w:p>
      <w:pPr>
        <w:pStyle w:val="2"/>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2"/>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2"/>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39"/>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26"/>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9"/>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5"/>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5"/>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3"/>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3"/>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w:t>
      </w:r>
      <w:bookmarkStart w:id="255" w:name="_GoBack"/>
      <w:r>
        <w:rPr>
          <w:rFonts w:hint="eastAsia" w:ascii="宋体" w:hAnsi="宋体" w:eastAsia="宋体" w:cs="宋体"/>
          <w:color w:val="auto"/>
          <w:sz w:val="24"/>
          <w:szCs w:val="24"/>
          <w:u w:val="single"/>
        </w:rPr>
        <w:t>所属行业</w:t>
      </w:r>
      <w:bookmarkEnd w:id="255"/>
      <w:r>
        <w:rPr>
          <w:rFonts w:hint="eastAsia" w:ascii="宋体" w:hAnsi="宋体" w:eastAsia="宋体" w:cs="宋体"/>
          <w:color w:val="auto"/>
          <w:sz w:val="24"/>
          <w:szCs w:val="24"/>
          <w:u w:val="single"/>
        </w:rPr>
        <w:t>）</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39"/>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27" w:name="_Toc30095"/>
      <w:bookmarkStart w:id="228" w:name="_Toc11449"/>
      <w:bookmarkStart w:id="229" w:name="_Toc403077657"/>
      <w:bookmarkStart w:id="230" w:name="_Toc6447"/>
      <w:bookmarkStart w:id="231" w:name="_Toc363474034"/>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27"/>
      <w:bookmarkEnd w:id="228"/>
      <w:bookmarkEnd w:id="229"/>
      <w:bookmarkEnd w:id="230"/>
      <w:bookmarkEnd w:id="231"/>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bookmarkEnd w:id="217"/>
    <w:bookmarkEnd w:id="218"/>
    <w:bookmarkEnd w:id="219"/>
    <w:bookmarkEnd w:id="220"/>
    <w:bookmarkEnd w:id="221"/>
    <w:bookmarkEnd w:id="222"/>
    <w:bookmarkEnd w:id="223"/>
    <w:bookmarkEnd w:id="224"/>
    <w:p>
      <w:pPr>
        <w:pStyle w:val="5"/>
        <w:numPr>
          <w:ilvl w:val="0"/>
          <w:numId w:val="10"/>
        </w:numPr>
        <w:jc w:val="center"/>
        <w:rPr>
          <w:rFonts w:hint="eastAsia" w:ascii="宋体" w:hAnsi="宋体" w:eastAsia="宋体" w:cs="宋体"/>
          <w:color w:val="auto"/>
          <w:sz w:val="28"/>
          <w:szCs w:val="28"/>
          <w:highlight w:val="none"/>
        </w:rPr>
      </w:pPr>
      <w:bookmarkStart w:id="232" w:name="_Toc11393"/>
      <w:bookmarkStart w:id="233" w:name="_Toc9816"/>
      <w:bookmarkStart w:id="234" w:name="_Toc308451529"/>
      <w:bookmarkStart w:id="235" w:name="_Toc314237641"/>
      <w:r>
        <w:rPr>
          <w:rFonts w:hint="eastAsia" w:ascii="宋体" w:hAnsi="宋体" w:eastAsia="宋体" w:cs="宋体"/>
          <w:color w:val="auto"/>
          <w:sz w:val="28"/>
          <w:szCs w:val="28"/>
          <w:highlight w:val="none"/>
        </w:rPr>
        <w:t xml:space="preserve">  </w:t>
      </w:r>
      <w:bookmarkEnd w:id="232"/>
      <w:bookmarkEnd w:id="233"/>
      <w:bookmarkEnd w:id="234"/>
      <w:bookmarkEnd w:id="235"/>
      <w:r>
        <w:rPr>
          <w:rFonts w:hint="eastAsia" w:ascii="宋体" w:hAnsi="宋体" w:eastAsia="宋体" w:cs="宋体"/>
          <w:color w:val="auto"/>
          <w:sz w:val="28"/>
          <w:szCs w:val="28"/>
          <w:highlight w:val="none"/>
        </w:rPr>
        <w:t xml:space="preserve"> </w:t>
      </w:r>
      <w:bookmarkStart w:id="236" w:name="_Toc5973"/>
      <w:bookmarkStart w:id="237" w:name="_Toc17269"/>
      <w:r>
        <w:rPr>
          <w:rFonts w:hint="eastAsia" w:ascii="宋体" w:hAnsi="宋体" w:eastAsia="宋体" w:cs="宋体"/>
          <w:color w:val="auto"/>
          <w:sz w:val="28"/>
          <w:szCs w:val="28"/>
          <w:highlight w:val="none"/>
        </w:rPr>
        <w:t>供应商概况</w:t>
      </w:r>
      <w:bookmarkEnd w:id="236"/>
      <w:bookmarkEnd w:id="23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4"/>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50"/>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7"/>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50"/>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50"/>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50"/>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spacing w:before="5"/>
              <w:jc w:val="center"/>
              <w:outlineLvl w:val="9"/>
              <w:rPr>
                <w:rFonts w:hint="eastAsia" w:ascii="宋体" w:hAnsi="宋体" w:eastAsia="宋体" w:cs="宋体"/>
                <w:color w:val="auto"/>
                <w:sz w:val="21"/>
                <w:szCs w:val="21"/>
              </w:rPr>
            </w:pPr>
          </w:p>
          <w:p>
            <w:pPr>
              <w:pStyle w:val="50"/>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1"/>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6"/>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5"/>
        <w:jc w:val="center"/>
        <w:rPr>
          <w:rFonts w:hint="eastAsia" w:ascii="宋体" w:hAnsi="宋体" w:eastAsia="宋体" w:cs="宋体"/>
          <w:color w:val="auto"/>
          <w:sz w:val="28"/>
          <w:szCs w:val="28"/>
          <w:highlight w:val="none"/>
        </w:rPr>
      </w:pPr>
      <w:bookmarkStart w:id="238" w:name="_Toc24310"/>
      <w:bookmarkStart w:id="239" w:name="_Toc21006"/>
      <w:r>
        <w:rPr>
          <w:rFonts w:hint="eastAsia" w:ascii="宋体" w:hAnsi="宋体" w:eastAsia="宋体" w:cs="宋体"/>
          <w:color w:val="auto"/>
          <w:sz w:val="28"/>
          <w:szCs w:val="28"/>
          <w:highlight w:val="none"/>
        </w:rPr>
        <w:t>法定代表人授权书</w:t>
      </w:r>
      <w:bookmarkEnd w:id="238"/>
      <w:bookmarkEnd w:id="239"/>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4"/>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40" w:name="_Toc294689061"/>
    </w:p>
    <w:bookmarkEnd w:id="240"/>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9"/>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41" w:name="_Toc48834336"/>
      <w:r>
        <w:rPr>
          <w:rFonts w:hint="eastAsia" w:ascii="宋体" w:hAnsi="宋体" w:eastAsia="宋体" w:cs="宋体"/>
          <w:b/>
          <w:bCs/>
          <w:color w:val="auto"/>
          <w:sz w:val="28"/>
          <w:szCs w:val="28"/>
        </w:rPr>
        <w:t>残疾人福利性单位声明函</w:t>
      </w:r>
      <w:bookmarkEnd w:id="241"/>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42"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42"/>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宋体" w:hAnsi="宋体" w:eastAsia="宋体" w:cs="宋体"/>
          <w:b w:val="0"/>
          <w:color w:val="auto"/>
          <w:sz w:val="28"/>
          <w:szCs w:val="28"/>
        </w:rPr>
      </w:pPr>
      <w:bookmarkStart w:id="243" w:name="_Toc48834132"/>
      <w:bookmarkStart w:id="244" w:name="_Toc10991"/>
      <w:bookmarkStart w:id="245" w:name="_Toc48834202"/>
      <w:bookmarkStart w:id="246" w:name="_Toc48834330"/>
      <w:bookmarkStart w:id="247" w:name="_Toc15439"/>
      <w:bookmarkStart w:id="248" w:name="_Toc30708"/>
      <w:bookmarkStart w:id="249" w:name="_Toc22347"/>
      <w:bookmarkStart w:id="250" w:name="_Toc12234"/>
      <w:r>
        <w:rPr>
          <w:rFonts w:hint="eastAsia" w:ascii="宋体" w:hAnsi="宋体" w:eastAsia="宋体" w:cs="宋体"/>
          <w:bCs w:val="0"/>
          <w:color w:val="auto"/>
        </w:rPr>
        <w:t>第五部分  供应商参加政府采购活动承诺书</w:t>
      </w:r>
      <w:bookmarkEnd w:id="243"/>
      <w:bookmarkEnd w:id="244"/>
      <w:bookmarkEnd w:id="245"/>
      <w:bookmarkEnd w:id="246"/>
      <w:bookmarkEnd w:id="247"/>
      <w:bookmarkEnd w:id="248"/>
      <w:bookmarkEnd w:id="249"/>
      <w:bookmarkEnd w:id="250"/>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bookmarkStart w:id="251" w:name="_Toc48834331"/>
    </w:p>
    <w:p>
      <w:pPr>
        <w:spacing w:line="500" w:lineRule="exact"/>
        <w:ind w:firstLine="200"/>
        <w:rPr>
          <w:rFonts w:hint="eastAsia" w:ascii="宋体" w:hAnsi="宋体" w:eastAsia="宋体" w:cs="宋体"/>
          <w:b/>
          <w:color w:val="auto"/>
          <w:sz w:val="32"/>
          <w:szCs w:val="32"/>
        </w:rPr>
      </w:pPr>
    </w:p>
    <w:bookmarkEnd w:id="251"/>
    <w:p>
      <w:pPr>
        <w:spacing w:line="500" w:lineRule="exact"/>
        <w:jc w:val="both"/>
        <w:rPr>
          <w:rFonts w:hint="eastAsia" w:ascii="宋体" w:hAnsi="宋体" w:eastAsia="宋体" w:cs="宋体"/>
          <w:b/>
          <w:bCs/>
          <w:color w:val="auto"/>
          <w:sz w:val="32"/>
          <w:szCs w:val="32"/>
        </w:rPr>
      </w:pPr>
    </w:p>
    <w:p>
      <w:pPr>
        <w:pStyle w:val="16"/>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52" w:name="_Toc1084"/>
      <w:bookmarkStart w:id="253"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lang w:eastAsia="zh-CN"/>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52"/>
    <w:bookmarkEnd w:id="253"/>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rPr>
          <w:rStyle w:val="47"/>
          <w:rFonts w:hint="eastAsia" w:ascii="宋体" w:hAnsi="宋体" w:eastAsia="宋体" w:cs="宋体"/>
          <w:color w:val="auto"/>
        </w:rPr>
      </w:pPr>
      <w:bookmarkStart w:id="254" w:name="_Toc68605560"/>
    </w:p>
    <w:p>
      <w:pPr>
        <w:pStyle w:val="2"/>
        <w:rPr>
          <w:rFonts w:hint="eastAsia"/>
        </w:rPr>
      </w:pPr>
    </w:p>
    <w:bookmarkEnd w:id="254"/>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6"/>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0"/>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6"/>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6"/>
        <w:ind w:firstLine="2640" w:firstLineChars="1100"/>
        <w:rPr>
          <w:rFonts w:hint="eastAsia" w:ascii="宋体" w:hAnsi="宋体" w:eastAsia="宋体" w:cs="宋体"/>
          <w:color w:val="auto"/>
          <w:sz w:val="24"/>
          <w:szCs w:val="24"/>
          <w:u w:val="single"/>
        </w:rPr>
      </w:pPr>
    </w:p>
    <w:p>
      <w:pPr>
        <w:pStyle w:val="16"/>
        <w:jc w:val="both"/>
        <w:rPr>
          <w:rFonts w:hint="eastAsia" w:ascii="宋体" w:hAnsi="宋体" w:eastAsia="宋体" w:cs="宋体"/>
          <w:color w:val="auto"/>
          <w:sz w:val="24"/>
          <w:szCs w:val="24"/>
          <w:u w:val="single"/>
        </w:rPr>
      </w:pPr>
    </w:p>
    <w:p>
      <w:pPr>
        <w:pStyle w:val="16"/>
        <w:jc w:val="center"/>
        <w:rPr>
          <w:rFonts w:hint="eastAsia" w:ascii="宋体" w:hAnsi="宋体" w:eastAsia="宋体" w:cs="宋体"/>
          <w:color w:val="auto"/>
          <w:sz w:val="24"/>
          <w:szCs w:val="24"/>
          <w:u w:val="single"/>
        </w:rPr>
      </w:pPr>
    </w:p>
    <w:p>
      <w:pPr>
        <w:pStyle w:val="15"/>
        <w:rPr>
          <w:rFonts w:hint="eastAsia" w:ascii="宋体" w:hAnsi="宋体" w:eastAsia="宋体" w:cs="宋体"/>
          <w:color w:val="auto"/>
          <w:szCs w:val="24"/>
          <w:highlight w:val="none"/>
        </w:rPr>
      </w:pPr>
    </w:p>
    <w:p>
      <w:pPr>
        <w:pStyle w:val="16"/>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2"/>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9"/>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622423" w:sz="24" w:space="1"/>
      </w:pBdr>
      <w:jc w:val="both"/>
      <w:rPr>
        <w:rFonts w:hint="default"/>
        <w:lang w:val="en-US"/>
      </w:rPr>
    </w:pPr>
    <w:r>
      <w:rPr>
        <w:rFonts w:hint="eastAsia" w:hAnsi="宋体"/>
        <w:bCs/>
        <w:lang w:val="en-US" w:eastAsia="zh-CN"/>
      </w:rPr>
      <w:t xml:space="preserve">郭家湾煤矿矿山地质环境治理恢复与土地复垦2022 年度辅助生产区南侧黄土滑坡隐患（HP02）治理工程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922DB8"/>
    <w:rsid w:val="02A12EDC"/>
    <w:rsid w:val="034A5FB6"/>
    <w:rsid w:val="036962F3"/>
    <w:rsid w:val="039E1AED"/>
    <w:rsid w:val="04956A61"/>
    <w:rsid w:val="04F46FB8"/>
    <w:rsid w:val="052371A6"/>
    <w:rsid w:val="05290264"/>
    <w:rsid w:val="05B36839"/>
    <w:rsid w:val="05BA3807"/>
    <w:rsid w:val="05CC64B2"/>
    <w:rsid w:val="06C83449"/>
    <w:rsid w:val="07375BAD"/>
    <w:rsid w:val="07547A25"/>
    <w:rsid w:val="07571DAC"/>
    <w:rsid w:val="076D15CF"/>
    <w:rsid w:val="077742A3"/>
    <w:rsid w:val="0849481A"/>
    <w:rsid w:val="08821EA2"/>
    <w:rsid w:val="08CB2A51"/>
    <w:rsid w:val="08E65ADD"/>
    <w:rsid w:val="09510A7C"/>
    <w:rsid w:val="09E35B78"/>
    <w:rsid w:val="0A060E25"/>
    <w:rsid w:val="0A230BFF"/>
    <w:rsid w:val="0A725D88"/>
    <w:rsid w:val="0B37609C"/>
    <w:rsid w:val="0BD06C3B"/>
    <w:rsid w:val="0C143D7C"/>
    <w:rsid w:val="0CC275D1"/>
    <w:rsid w:val="0CD13A10"/>
    <w:rsid w:val="0D1C4CE0"/>
    <w:rsid w:val="0D2F18A4"/>
    <w:rsid w:val="0D903326"/>
    <w:rsid w:val="0DAF5FE6"/>
    <w:rsid w:val="0EA57D1C"/>
    <w:rsid w:val="0EBC4BEA"/>
    <w:rsid w:val="0F0D5446"/>
    <w:rsid w:val="0FAC53C2"/>
    <w:rsid w:val="1054157E"/>
    <w:rsid w:val="10626273"/>
    <w:rsid w:val="10BB15FD"/>
    <w:rsid w:val="10BE5259"/>
    <w:rsid w:val="10F7792D"/>
    <w:rsid w:val="11CA2775"/>
    <w:rsid w:val="125C6E10"/>
    <w:rsid w:val="12AF0CEE"/>
    <w:rsid w:val="13010C97"/>
    <w:rsid w:val="13776369"/>
    <w:rsid w:val="13AE2676"/>
    <w:rsid w:val="13BD3A2F"/>
    <w:rsid w:val="13E470BD"/>
    <w:rsid w:val="14434F53"/>
    <w:rsid w:val="14DC4846"/>
    <w:rsid w:val="152139F9"/>
    <w:rsid w:val="154D64BF"/>
    <w:rsid w:val="1582093B"/>
    <w:rsid w:val="1720040C"/>
    <w:rsid w:val="17334DF1"/>
    <w:rsid w:val="17365E81"/>
    <w:rsid w:val="17AF2ABE"/>
    <w:rsid w:val="17B87CAC"/>
    <w:rsid w:val="18434BDC"/>
    <w:rsid w:val="18CC4BD1"/>
    <w:rsid w:val="1908167D"/>
    <w:rsid w:val="192B25F2"/>
    <w:rsid w:val="19E82D37"/>
    <w:rsid w:val="19FF6D4F"/>
    <w:rsid w:val="1A134028"/>
    <w:rsid w:val="1A2F2650"/>
    <w:rsid w:val="1A861E09"/>
    <w:rsid w:val="1B7916BB"/>
    <w:rsid w:val="1B862808"/>
    <w:rsid w:val="1BB455C7"/>
    <w:rsid w:val="1BC42F01"/>
    <w:rsid w:val="1C592A3A"/>
    <w:rsid w:val="1DF93765"/>
    <w:rsid w:val="1E0758DA"/>
    <w:rsid w:val="1E804124"/>
    <w:rsid w:val="1EB64EC6"/>
    <w:rsid w:val="1EC83FDF"/>
    <w:rsid w:val="1ED65239"/>
    <w:rsid w:val="1FA92F69"/>
    <w:rsid w:val="1FF468DA"/>
    <w:rsid w:val="20545369"/>
    <w:rsid w:val="206D21E8"/>
    <w:rsid w:val="20D17795"/>
    <w:rsid w:val="220B1CB9"/>
    <w:rsid w:val="223D7E98"/>
    <w:rsid w:val="22636E4D"/>
    <w:rsid w:val="23D12F37"/>
    <w:rsid w:val="24CC3981"/>
    <w:rsid w:val="24E6002A"/>
    <w:rsid w:val="2529610C"/>
    <w:rsid w:val="258C1844"/>
    <w:rsid w:val="26E60BCC"/>
    <w:rsid w:val="27C70862"/>
    <w:rsid w:val="280C0F7D"/>
    <w:rsid w:val="281A4A03"/>
    <w:rsid w:val="28700AC7"/>
    <w:rsid w:val="2886653D"/>
    <w:rsid w:val="28CC4373"/>
    <w:rsid w:val="293B5985"/>
    <w:rsid w:val="298E46CA"/>
    <w:rsid w:val="29950ED4"/>
    <w:rsid w:val="299E49E9"/>
    <w:rsid w:val="29CD5578"/>
    <w:rsid w:val="29E715FF"/>
    <w:rsid w:val="2A0D1FB9"/>
    <w:rsid w:val="2ADB2B70"/>
    <w:rsid w:val="2BD50047"/>
    <w:rsid w:val="2BDA2E28"/>
    <w:rsid w:val="2C4D184B"/>
    <w:rsid w:val="2C695F59"/>
    <w:rsid w:val="2CBD5AEF"/>
    <w:rsid w:val="2D1F687C"/>
    <w:rsid w:val="2E1343CF"/>
    <w:rsid w:val="2E456552"/>
    <w:rsid w:val="2E666EBF"/>
    <w:rsid w:val="2E8B23BC"/>
    <w:rsid w:val="2F081A5A"/>
    <w:rsid w:val="2F370591"/>
    <w:rsid w:val="2FD02353"/>
    <w:rsid w:val="304813CF"/>
    <w:rsid w:val="309547D2"/>
    <w:rsid w:val="309E5B4B"/>
    <w:rsid w:val="318D4498"/>
    <w:rsid w:val="31BE567B"/>
    <w:rsid w:val="323E6CBD"/>
    <w:rsid w:val="33A06705"/>
    <w:rsid w:val="33B16B5A"/>
    <w:rsid w:val="34897199"/>
    <w:rsid w:val="348C754A"/>
    <w:rsid w:val="34D83C7C"/>
    <w:rsid w:val="356D0868"/>
    <w:rsid w:val="359C73A0"/>
    <w:rsid w:val="3676374D"/>
    <w:rsid w:val="369C7AA4"/>
    <w:rsid w:val="36B64491"/>
    <w:rsid w:val="36BE50F4"/>
    <w:rsid w:val="37172396"/>
    <w:rsid w:val="371F3DE4"/>
    <w:rsid w:val="37977E1F"/>
    <w:rsid w:val="389A6949"/>
    <w:rsid w:val="389D1465"/>
    <w:rsid w:val="394F0285"/>
    <w:rsid w:val="39D41331"/>
    <w:rsid w:val="3A2512A4"/>
    <w:rsid w:val="3A791A5E"/>
    <w:rsid w:val="3ACC7FF8"/>
    <w:rsid w:val="3ACF3827"/>
    <w:rsid w:val="3B497682"/>
    <w:rsid w:val="3B7D557D"/>
    <w:rsid w:val="3BAF64EB"/>
    <w:rsid w:val="3C0B55E5"/>
    <w:rsid w:val="3C4D6CFE"/>
    <w:rsid w:val="3C9349CE"/>
    <w:rsid w:val="3D4E43FE"/>
    <w:rsid w:val="3D7604D6"/>
    <w:rsid w:val="3EC53890"/>
    <w:rsid w:val="3EE76240"/>
    <w:rsid w:val="40795ED9"/>
    <w:rsid w:val="407D5652"/>
    <w:rsid w:val="4132236A"/>
    <w:rsid w:val="414D03A0"/>
    <w:rsid w:val="416A2100"/>
    <w:rsid w:val="41FD2F74"/>
    <w:rsid w:val="425012F6"/>
    <w:rsid w:val="426B25D4"/>
    <w:rsid w:val="42FC368D"/>
    <w:rsid w:val="43917E18"/>
    <w:rsid w:val="43B27D8E"/>
    <w:rsid w:val="43DB72E5"/>
    <w:rsid w:val="446562E8"/>
    <w:rsid w:val="44FE0942"/>
    <w:rsid w:val="46004DE1"/>
    <w:rsid w:val="46843C64"/>
    <w:rsid w:val="46A63BDA"/>
    <w:rsid w:val="472A6CCB"/>
    <w:rsid w:val="482D3E87"/>
    <w:rsid w:val="48E71577"/>
    <w:rsid w:val="49602E2F"/>
    <w:rsid w:val="49902920"/>
    <w:rsid w:val="49BD28F0"/>
    <w:rsid w:val="49F66C27"/>
    <w:rsid w:val="4A176B9D"/>
    <w:rsid w:val="4AAB01EA"/>
    <w:rsid w:val="4B38183F"/>
    <w:rsid w:val="4B4A5FB7"/>
    <w:rsid w:val="4B8415B8"/>
    <w:rsid w:val="4BA426B2"/>
    <w:rsid w:val="4BF52F0E"/>
    <w:rsid w:val="4BFE7B5F"/>
    <w:rsid w:val="4C1932D6"/>
    <w:rsid w:val="4C9C74E7"/>
    <w:rsid w:val="4CBD57DA"/>
    <w:rsid w:val="4EEE304C"/>
    <w:rsid w:val="4F4D3C89"/>
    <w:rsid w:val="4F860A4D"/>
    <w:rsid w:val="4F963B07"/>
    <w:rsid w:val="50D21A70"/>
    <w:rsid w:val="513A2C48"/>
    <w:rsid w:val="523E3352"/>
    <w:rsid w:val="52D970E6"/>
    <w:rsid w:val="52F91536"/>
    <w:rsid w:val="532E7431"/>
    <w:rsid w:val="53AF7E46"/>
    <w:rsid w:val="54B53D9D"/>
    <w:rsid w:val="54D655CA"/>
    <w:rsid w:val="551C3D4F"/>
    <w:rsid w:val="552021EC"/>
    <w:rsid w:val="55412C83"/>
    <w:rsid w:val="56710198"/>
    <w:rsid w:val="567F5D0D"/>
    <w:rsid w:val="56D976B4"/>
    <w:rsid w:val="5705073A"/>
    <w:rsid w:val="57152783"/>
    <w:rsid w:val="574B60D8"/>
    <w:rsid w:val="578B527B"/>
    <w:rsid w:val="57FA1FD8"/>
    <w:rsid w:val="58BF0B2C"/>
    <w:rsid w:val="59143DC5"/>
    <w:rsid w:val="5A5D05FC"/>
    <w:rsid w:val="5A8E6876"/>
    <w:rsid w:val="5B21787C"/>
    <w:rsid w:val="5B594B2F"/>
    <w:rsid w:val="5BA63692"/>
    <w:rsid w:val="5BFC5589"/>
    <w:rsid w:val="5BFE2D91"/>
    <w:rsid w:val="5C2762BB"/>
    <w:rsid w:val="5DBB5D65"/>
    <w:rsid w:val="5E174F66"/>
    <w:rsid w:val="5E4A533B"/>
    <w:rsid w:val="5EA43C8C"/>
    <w:rsid w:val="5F1F07DE"/>
    <w:rsid w:val="5F2711D9"/>
    <w:rsid w:val="5F3D09FC"/>
    <w:rsid w:val="5F652022"/>
    <w:rsid w:val="5F8C30F2"/>
    <w:rsid w:val="5FD6222E"/>
    <w:rsid w:val="60E7426B"/>
    <w:rsid w:val="61EA6C19"/>
    <w:rsid w:val="61F9695D"/>
    <w:rsid w:val="630A5A24"/>
    <w:rsid w:val="630D7039"/>
    <w:rsid w:val="6376150B"/>
    <w:rsid w:val="63D55B19"/>
    <w:rsid w:val="6410048D"/>
    <w:rsid w:val="64A329BD"/>
    <w:rsid w:val="652C7549"/>
    <w:rsid w:val="67AC671F"/>
    <w:rsid w:val="68833924"/>
    <w:rsid w:val="688F2BFC"/>
    <w:rsid w:val="68F44821"/>
    <w:rsid w:val="69440BA6"/>
    <w:rsid w:val="6A05470E"/>
    <w:rsid w:val="6AB43410"/>
    <w:rsid w:val="6B6F2AAF"/>
    <w:rsid w:val="6BD9385B"/>
    <w:rsid w:val="6C1126D9"/>
    <w:rsid w:val="6C586E75"/>
    <w:rsid w:val="6CAD78C3"/>
    <w:rsid w:val="6DCA78FF"/>
    <w:rsid w:val="6DF771D1"/>
    <w:rsid w:val="6E276AFF"/>
    <w:rsid w:val="6E43763A"/>
    <w:rsid w:val="6F471181"/>
    <w:rsid w:val="70585696"/>
    <w:rsid w:val="70B649D3"/>
    <w:rsid w:val="710475CC"/>
    <w:rsid w:val="71744751"/>
    <w:rsid w:val="71B2787D"/>
    <w:rsid w:val="71F65166"/>
    <w:rsid w:val="72C25048"/>
    <w:rsid w:val="730160A1"/>
    <w:rsid w:val="733B7DF9"/>
    <w:rsid w:val="737E0719"/>
    <w:rsid w:val="73871F2E"/>
    <w:rsid w:val="73E55492"/>
    <w:rsid w:val="74123DAE"/>
    <w:rsid w:val="74150358"/>
    <w:rsid w:val="74213FF1"/>
    <w:rsid w:val="74387CB8"/>
    <w:rsid w:val="745A6501"/>
    <w:rsid w:val="753651DD"/>
    <w:rsid w:val="754937FF"/>
    <w:rsid w:val="76144D86"/>
    <w:rsid w:val="76C018E5"/>
    <w:rsid w:val="779111B5"/>
    <w:rsid w:val="7894798C"/>
    <w:rsid w:val="78FF6FF6"/>
    <w:rsid w:val="79296AE7"/>
    <w:rsid w:val="79AE5FA2"/>
    <w:rsid w:val="79F44681"/>
    <w:rsid w:val="7A5E7D4D"/>
    <w:rsid w:val="7AD95625"/>
    <w:rsid w:val="7AEA15E0"/>
    <w:rsid w:val="7B0A39E5"/>
    <w:rsid w:val="7B51165F"/>
    <w:rsid w:val="7BB9591D"/>
    <w:rsid w:val="7BFC4DCF"/>
    <w:rsid w:val="7C5533D1"/>
    <w:rsid w:val="7CFD1D7F"/>
    <w:rsid w:val="7D9677FD"/>
    <w:rsid w:val="7DAC3E02"/>
    <w:rsid w:val="7E123328"/>
    <w:rsid w:val="7E337317"/>
    <w:rsid w:val="7E6F077A"/>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40"/>
    <w:qFormat/>
    <w:uiPriority w:val="0"/>
    <w:pPr>
      <w:keepNext/>
      <w:keepLines/>
      <w:spacing w:line="360" w:lineRule="auto"/>
      <w:outlineLvl w:val="0"/>
    </w:pPr>
    <w:rPr>
      <w:b/>
      <w:bCs/>
      <w:kern w:val="44"/>
      <w:sz w:val="32"/>
      <w:szCs w:val="44"/>
    </w:rPr>
  </w:style>
  <w:style w:type="paragraph" w:styleId="5">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6">
    <w:name w:val="heading 3"/>
    <w:basedOn w:val="1"/>
    <w:next w:val="1"/>
    <w:link w:val="47"/>
    <w:qFormat/>
    <w:uiPriority w:val="0"/>
    <w:pPr>
      <w:keepNext/>
      <w:keepLines/>
      <w:spacing w:line="360" w:lineRule="auto"/>
      <w:outlineLvl w:val="2"/>
    </w:pPr>
    <w:rPr>
      <w:b/>
      <w:bCs/>
      <w:sz w:val="24"/>
      <w:szCs w:val="32"/>
    </w:rPr>
  </w:style>
  <w:style w:type="paragraph" w:styleId="7">
    <w:name w:val="heading 4"/>
    <w:basedOn w:val="1"/>
    <w:next w:val="1"/>
    <w:qFormat/>
    <w:uiPriority w:val="0"/>
    <w:pPr>
      <w:keepNext/>
      <w:keepLines/>
      <w:spacing w:line="360" w:lineRule="auto"/>
      <w:outlineLvl w:val="3"/>
    </w:pPr>
    <w:rPr>
      <w:rFonts w:ascii="Arial" w:hAnsi="Arial"/>
      <w:b/>
      <w:bCs/>
      <w:szCs w:val="28"/>
    </w:rPr>
  </w:style>
  <w:style w:type="paragraph" w:styleId="8">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styleId="3">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paragraph" w:customStyle="1" w:styleId="39">
    <w:name w:val="正文缩进1"/>
    <w:basedOn w:val="1"/>
    <w:qFormat/>
    <w:uiPriority w:val="0"/>
    <w:pPr>
      <w:ind w:firstLine="420" w:firstLineChars="200"/>
    </w:pPr>
  </w:style>
  <w:style w:type="character" w:customStyle="1" w:styleId="40">
    <w:name w:val="标题 1 Char"/>
    <w:basedOn w:val="26"/>
    <w:link w:val="4"/>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6"/>
    <w:qFormat/>
    <w:uiPriority w:val="0"/>
    <w:pPr>
      <w:jc w:val="left"/>
    </w:pPr>
    <w:rPr>
      <w:u w:val="none"/>
    </w:rPr>
  </w:style>
  <w:style w:type="paragraph" w:customStyle="1" w:styleId="45">
    <w:name w:val="标题 2（投标文件）"/>
    <w:basedOn w:val="5"/>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6"/>
    <w:link w:val="6"/>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6"/>
    <w:qFormat/>
    <w:uiPriority w:val="0"/>
  </w:style>
  <w:style w:type="paragraph" w:customStyle="1" w:styleId="50">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34242</Words>
  <Characters>36084</Characters>
  <Lines>0</Lines>
  <Paragraphs>0</Paragraphs>
  <TotalTime>6</TotalTime>
  <ScaleCrop>false</ScaleCrop>
  <LinksUpToDate>false</LinksUpToDate>
  <CharactersWithSpaces>39556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2022-08-21T08:54:49Z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2798C6D3D30D484EAA69D71EBB8977C8</vt:lpwstr>
  </property>
</Properties>
</file>