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rPr>
      </w:pPr>
    </w:p>
    <w:p>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 xml:space="preserve"> HRCZB20220641</w:t>
      </w:r>
    </w:p>
    <w:p>
      <w:pPr>
        <w:bidi w:val="0"/>
        <w:rPr>
          <w:rFonts w:hint="eastAsia" w:ascii="宋体" w:hAnsi="宋体" w:eastAsia="宋体" w:cs="宋体"/>
        </w:rPr>
      </w:pPr>
    </w:p>
    <w:p>
      <w:pPr>
        <w:bidi w:val="0"/>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45"/>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eastAsia="zh-CN"/>
        </w:rPr>
        <w:t>清涧县教育和体育局关于幼儿园保教设备采购项目</w:t>
      </w:r>
    </w:p>
    <w:p>
      <w:pPr>
        <w:pStyle w:val="45"/>
        <w:spacing w:line="360" w:lineRule="auto"/>
        <w:rPr>
          <w:rFonts w:hint="eastAsia" w:ascii="宋体" w:hAnsi="宋体" w:eastAsia="宋体" w:cs="宋体"/>
          <w:b/>
          <w:bCs/>
          <w:sz w:val="28"/>
          <w:szCs w:val="28"/>
        </w:rPr>
      </w:pPr>
    </w:p>
    <w:p>
      <w:pPr>
        <w:pStyle w:val="45"/>
        <w:spacing w:line="360" w:lineRule="auto"/>
        <w:rPr>
          <w:rFonts w:hint="eastAsia" w:ascii="宋体" w:hAnsi="宋体" w:eastAsia="宋体" w:cs="宋体"/>
          <w:b/>
          <w:bCs/>
          <w:sz w:val="28"/>
          <w:szCs w:val="28"/>
        </w:rPr>
      </w:pPr>
    </w:p>
    <w:p>
      <w:pPr>
        <w:pStyle w:val="45"/>
        <w:spacing w:line="360" w:lineRule="auto"/>
        <w:ind w:left="0" w:leftChars="0" w:firstLine="0" w:firstLineChars="0"/>
        <w:rPr>
          <w:rFonts w:hint="eastAsia" w:ascii="宋体" w:hAnsi="宋体" w:eastAsia="宋体" w:cs="宋体"/>
          <w:b/>
          <w:bCs/>
          <w:sz w:val="36"/>
          <w:szCs w:val="36"/>
        </w:rPr>
      </w:pPr>
    </w:p>
    <w:p>
      <w:pPr>
        <w:pStyle w:val="45"/>
        <w:spacing w:line="360" w:lineRule="auto"/>
        <w:ind w:left="0" w:leftChars="0" w:firstLine="0" w:firstLineChars="0"/>
        <w:rPr>
          <w:rFonts w:hint="eastAsia" w:ascii="宋体" w:hAnsi="宋体" w:eastAsia="宋体" w:cs="宋体"/>
          <w:b/>
          <w:bCs/>
          <w:sz w:val="36"/>
          <w:szCs w:val="36"/>
        </w:rPr>
      </w:pPr>
    </w:p>
    <w:p>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pPr>
        <w:pStyle w:val="6"/>
        <w:spacing w:line="360" w:lineRule="auto"/>
        <w:rPr>
          <w:rFonts w:hint="eastAsia" w:ascii="宋体" w:hAnsi="宋体" w:eastAsia="宋体" w:cs="宋体"/>
          <w:sz w:val="18"/>
          <w:szCs w:val="18"/>
        </w:rPr>
      </w:pPr>
    </w:p>
    <w:p>
      <w:pPr>
        <w:rPr>
          <w:rFonts w:hint="eastAsia" w:ascii="宋体" w:hAnsi="宋体" w:eastAsia="宋体" w:cs="宋体"/>
        </w:rPr>
      </w:pPr>
    </w:p>
    <w:p>
      <w:pPr>
        <w:spacing w:line="360" w:lineRule="auto"/>
        <w:rPr>
          <w:rFonts w:hint="eastAsia" w:ascii="宋体" w:hAnsi="宋体" w:eastAsia="宋体" w:cs="宋体"/>
          <w:b/>
          <w:sz w:val="16"/>
          <w:szCs w:val="11"/>
          <w:lang w:val="en-ZA"/>
        </w:rPr>
      </w:pPr>
    </w:p>
    <w:p>
      <w:pPr>
        <w:spacing w:line="360" w:lineRule="auto"/>
        <w:rPr>
          <w:rFonts w:hint="eastAsia" w:ascii="宋体" w:hAnsi="宋体" w:eastAsia="宋体" w:cs="宋体"/>
          <w:b/>
          <w:lang w:val="en-ZA"/>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清涧县教育和体育局</w:t>
      </w:r>
    </w:p>
    <w:p>
      <w:pPr>
        <w:pStyle w:val="18"/>
        <w:spacing w:line="360" w:lineRule="auto"/>
        <w:rPr>
          <w:rFonts w:hint="eastAsia" w:ascii="宋体" w:hAnsi="宋体" w:eastAsia="宋体" w:cs="宋体"/>
          <w:sz w:val="32"/>
          <w:szCs w:val="32"/>
          <w:lang w:val="en-US" w:eastAsia="zh-CN"/>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lang w:eastAsia="zh-CN"/>
        </w:rPr>
        <w:t>华睿诚项目管理有限公司</w:t>
      </w:r>
    </w:p>
    <w:p>
      <w:pPr>
        <w:pStyle w:val="18"/>
        <w:spacing w:line="360" w:lineRule="auto"/>
        <w:rPr>
          <w:rFonts w:hint="eastAsia" w:ascii="宋体" w:hAnsi="宋体" w:eastAsia="宋体" w:cs="宋体"/>
          <w:sz w:val="32"/>
          <w:szCs w:val="32"/>
        </w:rPr>
      </w:pPr>
    </w:p>
    <w:p>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二</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八</w:t>
      </w:r>
      <w:r>
        <w:rPr>
          <w:rFonts w:hint="eastAsia" w:ascii="宋体" w:hAnsi="宋体" w:eastAsia="宋体" w:cs="宋体"/>
          <w:b/>
          <w:sz w:val="32"/>
          <w:szCs w:val="32"/>
        </w:rPr>
        <w:t>月</w:t>
      </w:r>
    </w:p>
    <w:p>
      <w:pPr>
        <w:spacing w:line="360" w:lineRule="auto"/>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458617452"/>
      <w:bookmarkStart w:id="1" w:name="_Toc29080"/>
      <w:bookmarkStart w:id="2" w:name="_Toc30185"/>
      <w:bookmarkStart w:id="3" w:name="_Toc19866"/>
      <w:bookmarkStart w:id="4" w:name="_Toc31341_WPSOffice_Level1"/>
      <w:bookmarkStart w:id="5" w:name="_Toc458617729"/>
      <w:bookmarkStart w:id="6" w:name="_Toc21123"/>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_Toc26100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第一章  竞争性磋商公告</w:t>
      </w:r>
      <w:r>
        <w:rPr>
          <w:sz w:val="24"/>
          <w:szCs w:val="24"/>
        </w:rPr>
        <w:tab/>
      </w:r>
      <w:r>
        <w:rPr>
          <w:sz w:val="24"/>
          <w:szCs w:val="24"/>
        </w:rPr>
        <w:fldChar w:fldCharType="begin"/>
      </w:r>
      <w:r>
        <w:rPr>
          <w:sz w:val="24"/>
          <w:szCs w:val="24"/>
        </w:rPr>
        <w:instrText xml:space="preserve"> PAGEREF _Toc26100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_Toc20564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_Toc20564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_Toc31108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_Toc31108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_Toc9974 </w:instrText>
      </w:r>
      <w:r>
        <w:rPr>
          <w:rFonts w:hint="eastAsia" w:ascii="宋体" w:hAnsi="宋体" w:eastAsia="宋体" w:cs="宋体"/>
          <w:sz w:val="24"/>
          <w:szCs w:val="24"/>
          <w:lang w:eastAsia="zh-CN"/>
        </w:rPr>
        <w:fldChar w:fldCharType="separate"/>
      </w:r>
      <w:r>
        <w:rPr>
          <w:rFonts w:hint="eastAsia" w:ascii="宋体" w:hAnsi="宋体" w:cs="宋体"/>
          <w:sz w:val="24"/>
          <w:szCs w:val="24"/>
          <w:lang w:val="en-US" w:eastAsia="zh-CN"/>
        </w:rPr>
        <w:t xml:space="preserve">第三章  </w:t>
      </w:r>
      <w:r>
        <w:rPr>
          <w:rFonts w:hint="eastAsia" w:ascii="宋体" w:hAnsi="宋体" w:eastAsia="宋体" w:cs="宋体"/>
          <w:sz w:val="24"/>
          <w:szCs w:val="24"/>
          <w:lang w:val="en-US" w:eastAsia="zh-CN"/>
        </w:rPr>
        <w:t>合同范本</w:t>
      </w:r>
      <w:r>
        <w:rPr>
          <w:sz w:val="24"/>
          <w:szCs w:val="24"/>
        </w:rPr>
        <w:tab/>
      </w:r>
      <w:r>
        <w:rPr>
          <w:sz w:val="24"/>
          <w:szCs w:val="24"/>
        </w:rPr>
        <w:fldChar w:fldCharType="begin"/>
      </w:r>
      <w:r>
        <w:rPr>
          <w:sz w:val="24"/>
          <w:szCs w:val="24"/>
        </w:rPr>
        <w:instrText xml:space="preserve"> PAGEREF _Toc9974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_Toc15823 </w:instrText>
      </w:r>
      <w:r>
        <w:rPr>
          <w:rFonts w:hint="eastAsia" w:ascii="宋体" w:hAnsi="宋体" w:eastAsia="宋体" w:cs="宋体"/>
          <w:sz w:val="24"/>
          <w:szCs w:val="24"/>
          <w:lang w:eastAsia="zh-CN"/>
        </w:rPr>
        <w:fldChar w:fldCharType="separate"/>
      </w:r>
      <w:r>
        <w:rPr>
          <w:rFonts w:hint="eastAsia" w:ascii="宋体" w:hAnsi="宋体" w:cs="宋体"/>
          <w:sz w:val="24"/>
          <w:szCs w:val="24"/>
          <w:lang w:val="en-US" w:eastAsia="zh-CN"/>
        </w:rPr>
        <w:t xml:space="preserve">第四章  </w:t>
      </w:r>
      <w:r>
        <w:rPr>
          <w:rFonts w:hint="eastAsia" w:ascii="宋体" w:hAnsi="宋体" w:eastAsia="宋体" w:cs="宋体"/>
          <w:sz w:val="24"/>
          <w:szCs w:val="24"/>
        </w:rPr>
        <w:t>采购内容及技术要求</w:t>
      </w:r>
      <w:r>
        <w:rPr>
          <w:sz w:val="24"/>
          <w:szCs w:val="24"/>
        </w:rPr>
        <w:tab/>
      </w:r>
      <w:r>
        <w:rPr>
          <w:sz w:val="24"/>
          <w:szCs w:val="24"/>
        </w:rPr>
        <w:fldChar w:fldCharType="begin"/>
      </w:r>
      <w:r>
        <w:rPr>
          <w:sz w:val="24"/>
          <w:szCs w:val="24"/>
        </w:rPr>
        <w:instrText xml:space="preserve"> PAGEREF _Toc15823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_Toc3370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第五章 商务要求</w:t>
      </w:r>
      <w:r>
        <w:rPr>
          <w:sz w:val="24"/>
          <w:szCs w:val="24"/>
        </w:rPr>
        <w:tab/>
      </w:r>
      <w:r>
        <w:rPr>
          <w:sz w:val="24"/>
          <w:szCs w:val="24"/>
        </w:rPr>
        <w:fldChar w:fldCharType="begin"/>
      </w:r>
      <w:r>
        <w:rPr>
          <w:sz w:val="24"/>
          <w:szCs w:val="24"/>
        </w:rPr>
        <w:instrText xml:space="preserve"> PAGEREF _Toc3370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_Toc30292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第六章 响应文件格式</w:t>
      </w:r>
      <w:r>
        <w:rPr>
          <w:sz w:val="24"/>
          <w:szCs w:val="24"/>
        </w:rPr>
        <w:tab/>
      </w:r>
      <w:r>
        <w:rPr>
          <w:sz w:val="24"/>
          <w:szCs w:val="24"/>
        </w:rPr>
        <w:fldChar w:fldCharType="begin"/>
      </w:r>
      <w:r>
        <w:rPr>
          <w:sz w:val="24"/>
          <w:szCs w:val="24"/>
        </w:rPr>
        <w:instrText xml:space="preserve"> PAGEREF _Toc30292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_Toc710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磋商函</w:t>
      </w:r>
      <w:r>
        <w:rPr>
          <w:sz w:val="24"/>
          <w:szCs w:val="24"/>
        </w:rPr>
        <w:tab/>
      </w:r>
      <w:r>
        <w:rPr>
          <w:sz w:val="24"/>
          <w:szCs w:val="24"/>
        </w:rPr>
        <w:fldChar w:fldCharType="begin"/>
      </w:r>
      <w:r>
        <w:rPr>
          <w:sz w:val="24"/>
          <w:szCs w:val="24"/>
        </w:rPr>
        <w:instrText xml:space="preserve"> PAGEREF _Toc710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_Toc15187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sz w:val="24"/>
          <w:szCs w:val="24"/>
        </w:rPr>
        <w:tab/>
      </w:r>
      <w:r>
        <w:rPr>
          <w:sz w:val="24"/>
          <w:szCs w:val="24"/>
        </w:rPr>
        <w:fldChar w:fldCharType="begin"/>
      </w:r>
      <w:r>
        <w:rPr>
          <w:sz w:val="24"/>
          <w:szCs w:val="24"/>
        </w:rPr>
        <w:instrText xml:space="preserve"> PAGEREF _Toc15187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_Toc2732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-1、法定代表人证明书</w:t>
      </w:r>
      <w:r>
        <w:rPr>
          <w:sz w:val="24"/>
          <w:szCs w:val="24"/>
        </w:rPr>
        <w:tab/>
      </w:r>
      <w:r>
        <w:rPr>
          <w:sz w:val="24"/>
          <w:szCs w:val="24"/>
        </w:rPr>
        <w:fldChar w:fldCharType="begin"/>
      </w:r>
      <w:r>
        <w:rPr>
          <w:sz w:val="24"/>
          <w:szCs w:val="24"/>
        </w:rPr>
        <w:instrText xml:space="preserve"> PAGEREF _Toc2732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_Toc14734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-2、法定代表人授权书</w:t>
      </w:r>
      <w:r>
        <w:rPr>
          <w:sz w:val="24"/>
          <w:szCs w:val="24"/>
        </w:rPr>
        <w:tab/>
      </w:r>
      <w:r>
        <w:rPr>
          <w:sz w:val="24"/>
          <w:szCs w:val="24"/>
        </w:rPr>
        <w:fldChar w:fldCharType="begin"/>
      </w:r>
      <w:r>
        <w:rPr>
          <w:sz w:val="24"/>
          <w:szCs w:val="24"/>
        </w:rPr>
        <w:instrText xml:space="preserve"> PAGEREF _Toc14734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_Toc32340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sz w:val="24"/>
          <w:szCs w:val="24"/>
        </w:rPr>
        <w:tab/>
      </w:r>
      <w:r>
        <w:rPr>
          <w:sz w:val="24"/>
          <w:szCs w:val="24"/>
        </w:rPr>
        <w:fldChar w:fldCharType="begin"/>
      </w:r>
      <w:r>
        <w:rPr>
          <w:sz w:val="24"/>
          <w:szCs w:val="24"/>
        </w:rPr>
        <w:instrText xml:space="preserve"> PAGEREF _Toc32340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_Toc817 </w:instrText>
      </w:r>
      <w:r>
        <w:rPr>
          <w:rFonts w:hint="eastAsia" w:ascii="宋体" w:hAnsi="宋体" w:eastAsia="宋体" w:cs="宋体"/>
          <w:sz w:val="24"/>
          <w:szCs w:val="24"/>
          <w:lang w:eastAsia="zh-CN"/>
        </w:rPr>
        <w:fldChar w:fldCharType="separate"/>
      </w:r>
      <w:r>
        <w:rPr>
          <w:rFonts w:hint="eastAsia" w:ascii="宋体" w:hAnsi="宋体" w:eastAsia="宋体" w:cs="宋体"/>
          <w:kern w:val="2"/>
          <w:sz w:val="24"/>
          <w:szCs w:val="24"/>
          <w:lang w:val="en-US" w:eastAsia="zh-CN" w:bidi="ar-SA"/>
        </w:rPr>
        <w:t>分项报价表</w:t>
      </w:r>
      <w:r>
        <w:rPr>
          <w:sz w:val="24"/>
          <w:szCs w:val="24"/>
        </w:rPr>
        <w:tab/>
      </w:r>
      <w:r>
        <w:rPr>
          <w:sz w:val="24"/>
          <w:szCs w:val="24"/>
        </w:rPr>
        <w:fldChar w:fldCharType="begin"/>
      </w:r>
      <w:r>
        <w:rPr>
          <w:sz w:val="24"/>
          <w:szCs w:val="24"/>
        </w:rPr>
        <w:instrText xml:space="preserve"> PAGEREF _Toc817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_Toc25789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sz w:val="24"/>
          <w:szCs w:val="24"/>
        </w:rPr>
        <w:tab/>
      </w:r>
      <w:r>
        <w:rPr>
          <w:sz w:val="24"/>
          <w:szCs w:val="24"/>
        </w:rPr>
        <w:fldChar w:fldCharType="begin"/>
      </w:r>
      <w:r>
        <w:rPr>
          <w:sz w:val="24"/>
          <w:szCs w:val="24"/>
        </w:rPr>
        <w:instrText xml:space="preserve"> PAGEREF _Toc25789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_Toc29342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sz w:val="24"/>
          <w:szCs w:val="24"/>
        </w:rPr>
        <w:tab/>
      </w:r>
      <w:r>
        <w:rPr>
          <w:sz w:val="24"/>
          <w:szCs w:val="24"/>
        </w:rPr>
        <w:fldChar w:fldCharType="begin"/>
      </w:r>
      <w:r>
        <w:rPr>
          <w:sz w:val="24"/>
          <w:szCs w:val="24"/>
        </w:rPr>
        <w:instrText xml:space="preserve"> PAGEREF _Toc29342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_Toc26784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、供应商资质证明文件</w:t>
      </w:r>
      <w:r>
        <w:rPr>
          <w:sz w:val="24"/>
          <w:szCs w:val="24"/>
        </w:rPr>
        <w:tab/>
      </w:r>
      <w:r>
        <w:rPr>
          <w:sz w:val="24"/>
          <w:szCs w:val="24"/>
        </w:rPr>
        <w:fldChar w:fldCharType="begin"/>
      </w:r>
      <w:r>
        <w:rPr>
          <w:sz w:val="24"/>
          <w:szCs w:val="24"/>
        </w:rPr>
        <w:instrText xml:space="preserve"> PAGEREF _Toc26784 \h </w:instrText>
      </w:r>
      <w:r>
        <w:rPr>
          <w:sz w:val="24"/>
          <w:szCs w:val="24"/>
        </w:rPr>
        <w:fldChar w:fldCharType="separate"/>
      </w:r>
      <w:r>
        <w:rPr>
          <w:sz w:val="24"/>
          <w:szCs w:val="24"/>
        </w:rPr>
        <w:t>45</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_Toc16925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七、响应方案</w:t>
      </w:r>
      <w:r>
        <w:rPr>
          <w:sz w:val="24"/>
          <w:szCs w:val="24"/>
        </w:rPr>
        <w:tab/>
      </w:r>
      <w:r>
        <w:rPr>
          <w:sz w:val="24"/>
          <w:szCs w:val="24"/>
        </w:rPr>
        <w:fldChar w:fldCharType="begin"/>
      </w:r>
      <w:r>
        <w:rPr>
          <w:sz w:val="24"/>
          <w:szCs w:val="24"/>
        </w:rPr>
        <w:instrText xml:space="preserve"> PAGEREF _Toc16925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_Toc29640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、投标人承诺书</w:t>
      </w:r>
      <w:r>
        <w:rPr>
          <w:sz w:val="24"/>
          <w:szCs w:val="24"/>
        </w:rPr>
        <w:tab/>
      </w:r>
      <w:r>
        <w:rPr>
          <w:sz w:val="24"/>
          <w:szCs w:val="24"/>
        </w:rPr>
        <w:fldChar w:fldCharType="begin"/>
      </w:r>
      <w:r>
        <w:rPr>
          <w:sz w:val="24"/>
          <w:szCs w:val="24"/>
        </w:rPr>
        <w:instrText xml:space="preserve"> PAGEREF _Toc29640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_Toc4688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z w:val="24"/>
          <w:szCs w:val="24"/>
          <w:lang w:val="en-US" w:eastAsia="zh-CN"/>
        </w:rPr>
        <w:t>八、中小</w:t>
      </w:r>
      <w:r>
        <w:rPr>
          <w:rFonts w:hint="eastAsia" w:asciiTheme="minorEastAsia" w:hAnsiTheme="minorEastAsia" w:eastAsiaTheme="minorEastAsia" w:cstheme="minorEastAsia"/>
          <w:sz w:val="24"/>
          <w:szCs w:val="24"/>
        </w:rPr>
        <w:t>企业、监狱企业、残疾人福利单位声明函或证明</w:t>
      </w:r>
      <w:r>
        <w:rPr>
          <w:sz w:val="24"/>
          <w:szCs w:val="24"/>
        </w:rPr>
        <w:tab/>
      </w:r>
      <w:r>
        <w:rPr>
          <w:sz w:val="24"/>
          <w:szCs w:val="24"/>
        </w:rPr>
        <w:fldChar w:fldCharType="begin"/>
      </w:r>
      <w:r>
        <w:rPr>
          <w:sz w:val="24"/>
          <w:szCs w:val="24"/>
        </w:rPr>
        <w:instrText xml:space="preserve"> PAGEREF _Toc4688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_Toc4690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中小</w:t>
      </w:r>
      <w:r>
        <w:rPr>
          <w:rFonts w:hint="eastAsia" w:asciiTheme="minorEastAsia" w:hAnsiTheme="minorEastAsia" w:eastAsiaTheme="minorEastAsia" w:cstheme="minorEastAsia"/>
          <w:spacing w:val="6"/>
          <w:sz w:val="24"/>
          <w:szCs w:val="24"/>
        </w:rPr>
        <w:t>企业声明函</w:t>
      </w:r>
      <w:r>
        <w:rPr>
          <w:sz w:val="24"/>
          <w:szCs w:val="24"/>
        </w:rPr>
        <w:tab/>
      </w:r>
      <w:r>
        <w:rPr>
          <w:sz w:val="24"/>
          <w:szCs w:val="24"/>
        </w:rPr>
        <w:fldChar w:fldCharType="begin"/>
      </w:r>
      <w:r>
        <w:rPr>
          <w:sz w:val="24"/>
          <w:szCs w:val="24"/>
        </w:rPr>
        <w:instrText xml:space="preserve"> PAGEREF _Toc4690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_Toc23793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spacing w:val="6"/>
          <w:sz w:val="24"/>
          <w:szCs w:val="24"/>
        </w:rPr>
        <w:t>2.残疾人福利性单位声明函</w:t>
      </w:r>
      <w:r>
        <w:rPr>
          <w:sz w:val="24"/>
          <w:szCs w:val="24"/>
        </w:rPr>
        <w:tab/>
      </w:r>
      <w:r>
        <w:rPr>
          <w:sz w:val="24"/>
          <w:szCs w:val="24"/>
        </w:rPr>
        <w:fldChar w:fldCharType="begin"/>
      </w:r>
      <w:r>
        <w:rPr>
          <w:sz w:val="24"/>
          <w:szCs w:val="24"/>
        </w:rPr>
        <w:instrText xml:space="preserve"> PAGEREF _Toc23793 \h </w:instrText>
      </w:r>
      <w:r>
        <w:rPr>
          <w:sz w:val="24"/>
          <w:szCs w:val="24"/>
        </w:rPr>
        <w:fldChar w:fldCharType="separate"/>
      </w:r>
      <w:r>
        <w:rPr>
          <w:sz w:val="24"/>
          <w:szCs w:val="24"/>
        </w:rPr>
        <w:t>53</w:t>
      </w:r>
      <w:r>
        <w:rPr>
          <w:sz w:val="24"/>
          <w:szCs w:val="24"/>
        </w:rPr>
        <w:fldChar w:fldCharType="end"/>
      </w:r>
      <w:r>
        <w:rPr>
          <w:rFonts w:hint="eastAsia" w:ascii="宋体" w:hAnsi="宋体" w:eastAsia="宋体" w:cs="宋体"/>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_Toc17616 </w:instrText>
      </w:r>
      <w:r>
        <w:rPr>
          <w:rFonts w:hint="eastAsia" w:ascii="宋体" w:hAnsi="宋体" w:eastAsia="宋体" w:cs="宋体"/>
          <w:sz w:val="24"/>
          <w:szCs w:val="24"/>
          <w:lang w:eastAsia="zh-CN"/>
        </w:rPr>
        <w:fldChar w:fldCharType="separate"/>
      </w: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spacing w:val="6"/>
          <w:sz w:val="24"/>
          <w:szCs w:val="24"/>
        </w:rPr>
        <w:t>监狱企业证明函</w:t>
      </w:r>
      <w:r>
        <w:rPr>
          <w:sz w:val="24"/>
          <w:szCs w:val="24"/>
        </w:rPr>
        <w:tab/>
      </w:r>
      <w:r>
        <w:rPr>
          <w:sz w:val="24"/>
          <w:szCs w:val="24"/>
        </w:rPr>
        <w:fldChar w:fldCharType="begin"/>
      </w:r>
      <w:r>
        <w:rPr>
          <w:sz w:val="24"/>
          <w:szCs w:val="24"/>
        </w:rPr>
        <w:instrText xml:space="preserve"> PAGEREF _Toc17616 \h </w:instrText>
      </w:r>
      <w:r>
        <w:rPr>
          <w:sz w:val="24"/>
          <w:szCs w:val="24"/>
        </w:rPr>
        <w:fldChar w:fldCharType="separate"/>
      </w:r>
      <w:r>
        <w:rPr>
          <w:sz w:val="24"/>
          <w:szCs w:val="24"/>
        </w:rPr>
        <w:t>54</w:t>
      </w:r>
      <w:r>
        <w:rPr>
          <w:sz w:val="24"/>
          <w:szCs w:val="24"/>
        </w:rPr>
        <w:fldChar w:fldCharType="end"/>
      </w:r>
      <w:r>
        <w:rPr>
          <w:rFonts w:hint="eastAsia" w:ascii="宋体" w:hAnsi="宋体" w:eastAsia="宋体" w:cs="宋体"/>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_Toc32491 </w:instrText>
      </w:r>
      <w:r>
        <w:rPr>
          <w:rFonts w:hint="eastAsia" w:ascii="宋体" w:hAnsi="宋体" w:eastAsia="宋体" w:cs="宋体"/>
          <w:sz w:val="24"/>
          <w:szCs w:val="24"/>
          <w:lang w:eastAsia="zh-CN"/>
        </w:rPr>
        <w:fldChar w:fldCharType="separate"/>
      </w:r>
      <w:r>
        <w:rPr>
          <w:rFonts w:hint="eastAsia" w:ascii="宋体" w:hAnsi="宋体" w:cs="宋体"/>
          <w:bCs/>
          <w:sz w:val="24"/>
          <w:szCs w:val="24"/>
          <w:lang w:val="en-US" w:eastAsia="zh-CN"/>
        </w:rPr>
        <w:t xml:space="preserve">第七章  </w:t>
      </w:r>
      <w:r>
        <w:rPr>
          <w:rFonts w:hint="eastAsia" w:ascii="宋体" w:hAnsi="宋体" w:cs="宋体"/>
          <w:bCs/>
          <w:sz w:val="24"/>
          <w:szCs w:val="24"/>
        </w:rPr>
        <w:t>榆林市公共资源交易平台全流程电子化政府采购项目</w:t>
      </w:r>
      <w:r>
        <w:rPr>
          <w:rFonts w:hint="eastAsia" w:ascii="宋体" w:hAnsi="宋体" w:cs="宋体"/>
          <w:bCs/>
          <w:sz w:val="24"/>
          <w:szCs w:val="24"/>
          <w:lang w:val="en-US" w:eastAsia="zh-CN"/>
        </w:rPr>
        <w:t>特别说明</w:t>
      </w:r>
      <w:r>
        <w:rPr>
          <w:sz w:val="24"/>
          <w:szCs w:val="24"/>
        </w:rPr>
        <w:tab/>
      </w:r>
      <w:r>
        <w:rPr>
          <w:sz w:val="24"/>
          <w:szCs w:val="24"/>
        </w:rPr>
        <w:fldChar w:fldCharType="begin"/>
      </w:r>
      <w:r>
        <w:rPr>
          <w:sz w:val="24"/>
          <w:szCs w:val="24"/>
        </w:rPr>
        <w:instrText xml:space="preserve"> PAGEREF _Toc32491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pPr>
        <w:pStyle w:val="3"/>
        <w:spacing w:line="360" w:lineRule="auto"/>
        <w:jc w:val="both"/>
        <w:rPr>
          <w:rFonts w:hint="eastAsia" w:ascii="宋体" w:hAnsi="宋体" w:eastAsia="宋体" w:cs="宋体"/>
        </w:rPr>
      </w:pPr>
      <w:bookmarkStart w:id="7" w:name="_Toc13919"/>
    </w:p>
    <w:p>
      <w:pPr>
        <w:spacing w:line="360" w:lineRule="auto"/>
        <w:rPr>
          <w:rFonts w:hint="eastAsia" w:ascii="宋体" w:hAnsi="宋体" w:eastAsia="宋体" w:cs="宋体"/>
        </w:rPr>
      </w:pPr>
    </w:p>
    <w:p>
      <w:pPr>
        <w:pStyle w:val="3"/>
        <w:bidi w:val="0"/>
        <w:rPr>
          <w:rFonts w:hint="eastAsia" w:ascii="宋体" w:hAnsi="宋体" w:eastAsia="宋体" w:cs="宋体"/>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8" w:name="_Toc26100"/>
    </w:p>
    <w:p>
      <w:pPr>
        <w:pStyle w:val="3"/>
        <w:bidi w:val="0"/>
        <w:rPr>
          <w:rFonts w:hint="eastAsia" w:ascii="宋体" w:hAnsi="宋体" w:eastAsia="宋体" w:cs="宋体"/>
        </w:rPr>
      </w:pPr>
      <w:r>
        <w:rPr>
          <w:rFonts w:hint="eastAsia" w:ascii="宋体" w:hAnsi="宋体" w:eastAsia="宋体" w:cs="宋体"/>
        </w:rPr>
        <w:t>第一章  竞争性磋商公告</w:t>
      </w:r>
      <w:bookmarkEnd w:id="0"/>
      <w:bookmarkEnd w:id="1"/>
      <w:bookmarkEnd w:id="2"/>
      <w:bookmarkEnd w:id="3"/>
      <w:bookmarkEnd w:id="4"/>
      <w:bookmarkEnd w:id="5"/>
      <w:bookmarkEnd w:id="6"/>
      <w:bookmarkEnd w:id="7"/>
      <w:bookmarkEnd w:id="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bookmarkStart w:id="9" w:name="_Toc27526"/>
      <w:bookmarkStart w:id="10" w:name="_Toc3"/>
      <w:bookmarkStart w:id="11" w:name="_Toc12217"/>
      <w:bookmarkStart w:id="12" w:name="_Toc6954_WPSOffice_Level1"/>
      <w:bookmarkStart w:id="13" w:name="_Toc28595"/>
      <w:r>
        <w:rPr>
          <w:rStyle w:val="30"/>
          <w:rFonts w:hint="eastAsia" w:ascii="宋体" w:hAnsi="宋体" w:eastAsia="宋体" w:cs="宋体"/>
          <w:b/>
          <w:bCs/>
          <w:i w:val="0"/>
          <w:iCs w:val="0"/>
          <w:caps w:val="0"/>
          <w:color w:val="auto"/>
          <w:spacing w:val="0"/>
          <w:sz w:val="24"/>
          <w:szCs w:val="24"/>
          <w:shd w:val="clear" w:fill="FFFFFF"/>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幼儿园保教设备采购采购项目的潜在供应商应在登录全国公共资源交易中心平台（陕西省）使用CA锁报名后自行下载获取采购文件，并于 2022年09月14日 09时30分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一、项目基本情况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项目编号：HRCZB20220641</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项目名称：幼儿园保教设备采购</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预算金额：679,410.00元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合同包1(清涧县教育和体育局关于幼儿园保教设备采购项目):</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合同包预算金额：679,410.00元</w:t>
      </w:r>
    </w:p>
    <w:tbl>
      <w:tblPr>
        <w:tblStyle w:val="26"/>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9"/>
        <w:gridCol w:w="1873"/>
        <w:gridCol w:w="1873"/>
        <w:gridCol w:w="991"/>
        <w:gridCol w:w="1511"/>
        <w:gridCol w:w="1565"/>
        <w:gridCol w:w="10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幼儿园保教设备采购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679,410.00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二、申请人的资格要求：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合同包1(清涧县教育和体育局关于幼儿园保教设备采购项目)落实政府采购政策需满足的资格要求如下: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合同包1(清涧县教育和体育局关于幼儿园保教设备采购项目)特定资格要求如下: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④财务状况报告：经会计事务所或审计机构出具的财务审计报告（2021年度）；2022年至今新成立公司须提供银行资信证明；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 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⑧榆林市政府采购货物类项目供应商信用承诺书； </w:t>
      </w:r>
      <w:bookmarkStart w:id="273" w:name="_GoBack"/>
      <w:bookmarkEnd w:id="273"/>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三、获取采购文件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时间：2022年08月31日至2022年09月06日，每天上午09:00:00至12:00:00，下午14:00:00至17:00:00（北京时间,法定节假日除外）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地点：登录全国公共资源交易中心平台（陕西省）使用CA锁报名后自行下载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四、响应文件提交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截止时间：2022年09月14日 09时30分00秒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五、开启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时间：2022年09月14日 09时30分00秒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地点：榆林市公共资源交易中心十楼不见面开标</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六、公告期限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七、其他补充事宜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 锁）对磋商文件进行签章、加密、递交及开标时解密等相关招投标事宜。（3） 电子响应文件制作软件技术支持热线：400-998-0000 ，CA锁购买：榆林市市民大厦四楼窗口,电话：0912-3515031。 （4）请各供应商获取磋商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名称：清涧县教育和体育局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地址：清涧县东街</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color w:val="auto"/>
          <w:lang w:val="en-US" w:eastAsia="zh-CN"/>
        </w:rPr>
        <w:t>18098062616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名称：华睿诚项目管理有限公司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Pr>
        <w:pStyle w:val="8"/>
        <w:rPr>
          <w:rFonts w:hint="eastAsia" w:ascii="宋体" w:hAnsi="宋体" w:eastAsia="宋体" w:cs="宋体"/>
          <w:lang w:val="en-US" w:eastAsia="zh-CN"/>
        </w:rPr>
      </w:pPr>
    </w:p>
    <w:p>
      <w:pPr>
        <w:numPr>
          <w:ilvl w:val="0"/>
          <w:numId w:val="2"/>
        </w:numPr>
        <w:ind w:firstLine="2891" w:firstLineChars="800"/>
        <w:rPr>
          <w:rFonts w:hint="eastAsia" w:ascii="宋体" w:hAnsi="宋体" w:eastAsia="宋体" w:cs="宋体"/>
          <w:b/>
          <w:bCs/>
          <w:kern w:val="44"/>
          <w:sz w:val="36"/>
          <w:szCs w:val="44"/>
          <w:lang w:val="en-US" w:eastAsia="zh-CN" w:bidi="ar-SA"/>
        </w:rPr>
        <w:sectPr>
          <w:footerReference r:id="rId9" w:type="first"/>
          <w:footerReference r:id="rId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p>
    <w:p>
      <w:pPr>
        <w:numPr>
          <w:ilvl w:val="0"/>
          <w:numId w:val="2"/>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20564"/>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pPr>
        <w:pStyle w:val="8"/>
        <w:rPr>
          <w:rFonts w:hint="eastAsia" w:ascii="宋体" w:hAnsi="宋体" w:eastAsia="宋体" w:cs="宋体"/>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31108"/>
      <w:bookmarkStart w:id="16" w:name="_Toc30624"/>
      <w:bookmarkStart w:id="17" w:name="_Toc7032"/>
      <w:bookmarkStart w:id="18" w:name="_Toc26603"/>
      <w:bookmarkStart w:id="19" w:name="_Toc18614"/>
      <w:bookmarkStart w:id="20" w:name="_Toc909"/>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清涧县教育和体育局</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eastAsia="宋体" w:cs="宋体"/>
                <w:i w:val="0"/>
                <w:iCs w:val="0"/>
                <w:caps w:val="0"/>
                <w:color w:val="auto"/>
                <w:spacing w:val="0"/>
                <w:sz w:val="24"/>
                <w:szCs w:val="24"/>
                <w:shd w:val="clear" w:fill="FFFFFF"/>
              </w:rPr>
              <w:t>清涧县东街</w:t>
            </w:r>
          </w:p>
          <w:p>
            <w:pPr>
              <w:spacing w:line="360" w:lineRule="auto"/>
              <w:rPr>
                <w:rFonts w:hint="eastAsia" w:ascii="宋体" w:hAnsi="宋体" w:eastAsia="宋体" w:cs="宋体"/>
                <w:lang w:val="en-US" w:eastAsia="zh-CN"/>
              </w:rPr>
            </w:pPr>
            <w:r>
              <w:rPr>
                <w:rFonts w:hint="eastAsia" w:ascii="宋体" w:hAnsi="宋体" w:eastAsia="宋体" w:cs="宋体"/>
                <w:color w:val="auto"/>
                <w:lang w:val="en-US" w:eastAsia="zh-CN"/>
              </w:rPr>
              <w:t>联系方式：18098062616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采购代理机构名称：华睿诚项目管理有限公司 </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地址：榆林市榆林大道南段富源大厦6楼综合办公室</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刘莉娥</w:t>
            </w:r>
          </w:p>
          <w:p>
            <w:pPr>
              <w:spacing w:line="360" w:lineRule="auto"/>
              <w:rPr>
                <w:rFonts w:hint="eastAsia"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eastAsia="宋体" w:cs="宋体"/>
                <w:sz w:val="24"/>
                <w:szCs w:val="24"/>
                <w:lang w:val="en-US" w:eastAsia="zh-CN"/>
              </w:rPr>
              <w:t>0912-3623000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eastAsia="zh-CN"/>
              </w:rPr>
              <w:t>清涧县财政局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清涧县教育和体育局关于幼儿园保教设备采购项目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 xml:space="preserve"> HRCZB20220641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陆拾柒万玖仟肆佰壹拾元整</w:t>
            </w:r>
            <w:r>
              <w:rPr>
                <w:rFonts w:hint="eastAsia" w:ascii="宋体" w:hAnsi="宋体" w:eastAsia="宋体" w:cs="宋体"/>
                <w:color w:val="auto"/>
                <w:sz w:val="24"/>
                <w:szCs w:val="24"/>
                <w:lang w:val="zh-CN"/>
              </w:rPr>
              <w:t>（</w:t>
            </w:r>
            <w:r>
              <w:rPr>
                <w:rFonts w:hint="eastAsia" w:ascii="宋体" w:hAnsi="宋体" w:cs="宋体"/>
                <w:i w:val="0"/>
                <w:iCs w:val="0"/>
                <w:caps w:val="0"/>
                <w:color w:val="333333"/>
                <w:spacing w:val="0"/>
                <w:sz w:val="24"/>
                <w:szCs w:val="24"/>
                <w:shd w:val="clear" w:fill="FFFFFF"/>
                <w:vertAlign w:val="baseline"/>
                <w:lang w:eastAsia="zh-CN"/>
              </w:rPr>
              <w:t>679410.00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详见竞争性磋商文件第四章</w:t>
            </w:r>
            <w:r>
              <w:rPr>
                <w:rFonts w:hint="eastAsia" w:ascii="宋体" w:hAnsi="宋体" w:eastAsia="宋体" w:cs="宋体"/>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②税收缴纳证明：提供开标截止时间前六个月至今已缴存的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w:t>
            </w:r>
            <w:r>
              <w:rPr>
                <w:rFonts w:hint="eastAsia" w:ascii="宋体" w:hAnsi="宋体" w:eastAsia="宋体" w:cs="宋体"/>
                <w:sz w:val="24"/>
                <w:szCs w:val="24"/>
                <w:lang w:eastAsia="zh-CN"/>
              </w:rPr>
              <w:t>的</w:t>
            </w:r>
            <w:r>
              <w:rPr>
                <w:rFonts w:hint="eastAsia" w:ascii="宋体" w:hAnsi="宋体" w:eastAsia="宋体" w:cs="宋体"/>
                <w:sz w:val="24"/>
                <w:szCs w:val="24"/>
              </w:rPr>
              <w:t xml:space="preserve">纳税证明（银行缴费凭证）或完税证明，依法免税的单位应提供相关证明材料；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③社会保障资金缴纳证明：提供开标截止时间前六个月至今已缴存的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个月的社会保障资金缴存单据或社保机构开具的社会保险参保缴费情况证明，依法不需要缴纳社会保障资金的单位应提供相关证明材料；</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sz w:val="24"/>
                <w:szCs w:val="24"/>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⑤</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sz w:val="24"/>
                <w:szCs w:val="24"/>
              </w:rPr>
              <w:t xml:space="preserve">⑥参加政府采购活动前三年内，在经营活动中没有重大违法记录的书面声明；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⑦提供具有履行合同所必需的设备和专业技术能力的证明材料或承诺函；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⑧</w:t>
            </w:r>
            <w:r>
              <w:rPr>
                <w:rFonts w:hint="eastAsia" w:ascii="宋体" w:hAnsi="宋体" w:cs="宋体"/>
                <w:sz w:val="24"/>
                <w:szCs w:val="24"/>
                <w:lang w:val="en-US" w:eastAsia="zh-CN"/>
              </w:rPr>
              <w:t>榆林市政府采购货物类项目供应商信用承诺书</w:t>
            </w:r>
            <w:r>
              <w:rPr>
                <w:rFonts w:hint="eastAsia" w:ascii="宋体" w:hAnsi="宋体" w:eastAsia="宋体" w:cs="宋体"/>
                <w:sz w:val="24"/>
                <w:szCs w:val="24"/>
                <w:lang w:val="en-US" w:eastAsia="zh-CN"/>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⑨磋商保证金交纳凭证或投标保函。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zh-CN"/>
              </w:rPr>
            </w:pPr>
            <w:r>
              <w:rPr>
                <w:rFonts w:hint="eastAsia" w:ascii="宋体" w:hAnsi="宋体" w:eastAsia="宋体" w:cs="宋体"/>
                <w:sz w:val="24"/>
                <w:szCs w:val="24"/>
                <w:lang w:val="en-US" w:eastAsia="zh-CN"/>
              </w:rPr>
              <w:t>备注：</w:t>
            </w:r>
            <w:r>
              <w:rPr>
                <w:rFonts w:hint="eastAsia" w:ascii="宋体" w:hAnsi="宋体" w:cs="宋体"/>
                <w:sz w:val="24"/>
                <w:szCs w:val="24"/>
                <w:lang w:val="en-US" w:eastAsia="zh-CN"/>
              </w:rPr>
              <w:t>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交货期</w:t>
            </w:r>
          </w:p>
        </w:tc>
        <w:tc>
          <w:tcPr>
            <w:tcW w:w="7200" w:type="dxa"/>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17</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18</w:t>
            </w:r>
          </w:p>
        </w:tc>
        <w:tc>
          <w:tcPr>
            <w:tcW w:w="2014"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投标担保</w:t>
            </w:r>
          </w:p>
        </w:tc>
        <w:tc>
          <w:tcPr>
            <w:tcW w:w="7200" w:type="dxa"/>
            <w:vAlign w:val="top"/>
          </w:tcPr>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磋商保证金的有效期与投标有效期一致。</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磋商保证金的缴纳形式：</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须</w:t>
            </w:r>
            <w:r>
              <w:rPr>
                <w:rFonts w:hint="eastAsia" w:ascii="宋体" w:hAnsi="宋体" w:eastAsia="宋体" w:cs="宋体"/>
                <w:sz w:val="24"/>
                <w:szCs w:val="24"/>
                <w:lang w:val="zh-CN" w:eastAsia="zh-CN"/>
              </w:rPr>
              <w:t>从基本账户</w:t>
            </w:r>
            <w:r>
              <w:rPr>
                <w:rFonts w:hint="eastAsia" w:ascii="宋体" w:hAnsi="宋体" w:eastAsia="宋体" w:cs="宋体"/>
                <w:sz w:val="24"/>
                <w:szCs w:val="24"/>
                <w:lang w:val="zh-CN"/>
              </w:rPr>
              <w:t>以银行转账、电汇、投标保函的任何一种非现金形式缴纳，转账时请注明所投项目名称、保证金金额，招标结束之后以转账形式退到</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的基本账户。</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磋商保证金缴纳截止时间：</w:t>
            </w:r>
            <w:r>
              <w:rPr>
                <w:rFonts w:hint="eastAsia" w:ascii="宋体" w:hAnsi="宋体" w:eastAsia="宋体" w:cs="宋体"/>
                <w:sz w:val="24"/>
                <w:szCs w:val="24"/>
                <w:lang w:val="zh-CN" w:eastAsia="zh-CN"/>
              </w:rPr>
              <w:t>递交竞争性磋商响应文件截止时间前</w:t>
            </w:r>
            <w:r>
              <w:rPr>
                <w:rFonts w:hint="eastAsia" w:ascii="宋体" w:hAnsi="宋体" w:eastAsia="宋体" w:cs="宋体"/>
                <w:sz w:val="24"/>
                <w:szCs w:val="24"/>
                <w:lang w:val="zh-CN"/>
              </w:rPr>
              <w:t>存入以下帐户。</w:t>
            </w:r>
          </w:p>
          <w:p>
            <w:pPr>
              <w:pStyle w:val="18"/>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磋商保证金数额：</w:t>
            </w:r>
            <w:r>
              <w:rPr>
                <w:rFonts w:hint="eastAsia" w:ascii="宋体" w:hAnsi="宋体" w:eastAsia="宋体" w:cs="宋体"/>
                <w:color w:val="auto"/>
                <w:sz w:val="24"/>
                <w:szCs w:val="24"/>
                <w:highlight w:val="none"/>
                <w:lang w:val="zh-CN"/>
              </w:rPr>
              <w:t>人民币</w:t>
            </w:r>
            <w:r>
              <w:rPr>
                <w:rFonts w:hint="eastAsia" w:ascii="宋体" w:hAnsi="宋体" w:eastAsia="宋体" w:cs="宋体"/>
                <w:color w:val="auto"/>
                <w:sz w:val="24"/>
                <w:szCs w:val="24"/>
                <w:highlight w:val="none"/>
                <w:lang w:val="en-US" w:eastAsia="zh-CN"/>
              </w:rPr>
              <w:t>壹万元</w:t>
            </w:r>
            <w:r>
              <w:rPr>
                <w:rFonts w:hint="eastAsia" w:ascii="宋体" w:hAnsi="宋体" w:eastAsia="宋体" w:cs="宋体"/>
                <w:color w:val="auto"/>
                <w:sz w:val="24"/>
                <w:szCs w:val="24"/>
                <w:highlight w:val="none"/>
                <w:lang w:val="zh-CN" w:eastAsia="zh-CN"/>
              </w:rPr>
              <w:t>整</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10000</w:t>
            </w:r>
            <w:r>
              <w:rPr>
                <w:rFonts w:hint="eastAsia" w:ascii="宋体" w:hAnsi="宋体" w:eastAsia="宋体" w:cs="宋体"/>
                <w:color w:val="auto"/>
                <w:sz w:val="24"/>
                <w:szCs w:val="24"/>
                <w:highlight w:val="none"/>
                <w:lang w:val="zh-CN"/>
              </w:rPr>
              <w:t>.00元）</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单位名称：华睿诚项目管理有限公司</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账号：</w:t>
            </w:r>
            <w:r>
              <w:rPr>
                <w:rFonts w:hint="eastAsia" w:ascii="宋体" w:hAnsi="宋体" w:cs="宋体"/>
                <w:color w:val="auto"/>
                <w:szCs w:val="24"/>
                <w:lang w:val="zh-CN"/>
              </w:rPr>
              <w:t>30205868004299</w:t>
            </w:r>
          </w:p>
          <w:p>
            <w:pPr>
              <w:spacing w:line="360" w:lineRule="auto"/>
              <w:ind w:firstLine="480" w:firstLineChars="200"/>
              <w:rPr>
                <w:rFonts w:hint="eastAsia" w:ascii="宋体" w:hAnsi="宋体" w:eastAsia="宋体" w:cs="宋体"/>
                <w:color w:val="auto"/>
                <w:szCs w:val="24"/>
                <w:lang w:val="zh-CN"/>
              </w:rPr>
            </w:pPr>
            <w:r>
              <w:rPr>
                <w:rFonts w:hint="eastAsia" w:ascii="宋体" w:hAnsi="宋体" w:eastAsia="宋体" w:cs="宋体"/>
                <w:color w:val="auto"/>
                <w:szCs w:val="24"/>
                <w:lang w:val="zh-CN"/>
              </w:rPr>
              <w:t>开户行：平安银行西安分行营业部/平安银行西安分行</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用途：</w:t>
            </w:r>
            <w:r>
              <w:rPr>
                <w:rFonts w:hint="eastAsia" w:ascii="宋体" w:hAnsi="宋体" w:cs="宋体"/>
                <w:sz w:val="24"/>
                <w:szCs w:val="24"/>
                <w:highlight w:val="none"/>
                <w:lang w:val="zh-CN" w:eastAsia="zh-CN"/>
              </w:rPr>
              <w:t>清涧县教育和体育局关于幼儿园保教设备采购项目</w:t>
            </w:r>
            <w:r>
              <w:rPr>
                <w:rFonts w:hint="eastAsia" w:ascii="宋体" w:hAnsi="宋体" w:eastAsia="宋体" w:cs="宋体"/>
                <w:color w:val="auto"/>
                <w:kern w:val="0"/>
                <w:sz w:val="24"/>
                <w:lang w:val="en-US" w:eastAsia="zh-CN" w:bidi="ar-SA"/>
              </w:rPr>
              <w:t>投标保证金(可简写)</w:t>
            </w:r>
          </w:p>
          <w:p>
            <w:pPr>
              <w:tabs>
                <w:tab w:val="left" w:pos="340"/>
              </w:tabs>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保证金形式：转账、汇票、本票或者金融机构、担保机构出具的保函等非现金形式从其基本账户提交。</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注：1.采用银行电汇形式提交的请务必在缴费时备注采购项目名称；</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2、投标保证金提交以到账时间为准，请各投标供应商在规定时间内缴纳投标保证金，避免因银行退票等其他情况，出现保证金未按时到账的情况影响您的正常投标。</w:t>
            </w:r>
          </w:p>
          <w:p>
            <w:pPr>
              <w:topLinePunct/>
              <w:spacing w:line="360" w:lineRule="auto"/>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3、凡没有按以上规定提交投标保证金并发送保证金缴纳凭证的投标单位，将被视为无实质性响应竞争性磋商文件，其投标将被拒绝。</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lang w:val="en-US" w:eastAsia="zh-CN" w:bidi="ar-SA"/>
              </w:rPr>
              <w:t>4、供应商以保函形式缴纳投标保证金的，须在投标文件递交截止时间前将担保机构保函原件提交至采购代理机构备案，并将保函正本复印件粘贴于竞争性磋商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22</w:t>
            </w:r>
          </w:p>
        </w:tc>
        <w:tc>
          <w:tcPr>
            <w:tcW w:w="2014"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签到</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cs="宋体"/>
                <w:kern w:val="2"/>
                <w:sz w:val="24"/>
                <w:szCs w:val="24"/>
                <w:lang w:val="en-US" w:eastAsia="zh-CN" w:bidi="ar-SA"/>
              </w:rPr>
              <w:t>10个工作日</w:t>
            </w:r>
            <w:r>
              <w:rPr>
                <w:rFonts w:hint="eastAsia" w:ascii="宋体" w:hAnsi="宋体" w:eastAsia="宋体" w:cs="宋体"/>
                <w:kern w:val="2"/>
                <w:sz w:val="24"/>
                <w:szCs w:val="24"/>
                <w:lang w:val="zh-CN" w:eastAsia="zh-CN" w:bidi="ar-SA"/>
              </w:rPr>
              <w:t>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2014"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pPr>
              <w:spacing w:line="360" w:lineRule="auto"/>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27</w:t>
            </w:r>
          </w:p>
        </w:tc>
        <w:tc>
          <w:tcPr>
            <w:tcW w:w="2014" w:type="dxa"/>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bCs/>
                <w:color w:val="auto"/>
                <w:sz w:val="22"/>
                <w:szCs w:val="22"/>
                <w:lang w:val="en-US" w:eastAsia="zh-CN"/>
              </w:rPr>
              <w:t>信用承诺</w:t>
            </w:r>
          </w:p>
        </w:tc>
        <w:tc>
          <w:tcPr>
            <w:tcW w:w="7200" w:type="dxa"/>
            <w:vAlign w:val="center"/>
          </w:tcPr>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1、凡进入公共资源交易平台的各投标单位，均应在“信用中国（陕西榆林）”网站进行注册、登陆，自主上报信用承诺书（网址：</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"https://credit.yl.gov.cn/）进行注册、登陆。"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https://credit.yl.gov.cn/）</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w:t>
            </w:r>
          </w:p>
          <w:p>
            <w:pPr>
              <w:topLinePunct/>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hint="eastAsia" w:ascii="宋体" w:hAnsi="宋体" w:eastAsia="宋体" w:cs="宋体"/>
                <w:color w:val="auto"/>
                <w:sz w:val="24"/>
              </w:rPr>
            </w:pPr>
            <w:r>
              <w:rPr>
                <w:rFonts w:hint="eastAsia" w:ascii="宋体" w:hAnsi="宋体" w:eastAsia="宋体" w:cs="Times New Roman"/>
                <w:kern w:val="2"/>
                <w:sz w:val="24"/>
                <w:szCs w:val="24"/>
                <w:lang w:val="en-US" w:eastAsia="zh-CN" w:bidi="ar-SA"/>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2014" w:type="dxa"/>
            <w:vAlign w:val="center"/>
          </w:tcPr>
          <w:p>
            <w:pPr>
              <w:spacing w:line="360" w:lineRule="auto"/>
              <w:jc w:val="center"/>
              <w:rPr>
                <w:rFonts w:hint="eastAsia" w:ascii="宋体" w:hAnsi="宋体" w:eastAsia="宋体" w:cs="宋体"/>
                <w:b/>
                <w:bCs/>
                <w:color w:val="auto"/>
                <w:sz w:val="22"/>
                <w:szCs w:val="22"/>
                <w:lang w:val="en-US" w:eastAsia="zh-CN"/>
              </w:rPr>
            </w:pPr>
            <w:r>
              <w:rPr>
                <w:rFonts w:hint="eastAsia" w:ascii="宋体" w:hAnsi="宋体" w:eastAsia="宋体" w:cs="宋体"/>
                <w:b w:val="0"/>
                <w:bCs w:val="0"/>
                <w:sz w:val="24"/>
                <w:szCs w:val="24"/>
                <w:lang w:val="en-US" w:eastAsia="zh-CN"/>
              </w:rPr>
              <w:t>其他</w:t>
            </w:r>
          </w:p>
        </w:tc>
        <w:tc>
          <w:tcPr>
            <w:tcW w:w="7200" w:type="dxa"/>
            <w:vAlign w:val="center"/>
          </w:tcPr>
          <w:p>
            <w:pPr>
              <w:numPr>
                <w:ilvl w:val="0"/>
                <w:numId w:val="0"/>
              </w:numPr>
              <w:spacing w:line="360" w:lineRule="auto"/>
              <w:rPr>
                <w:rFonts w:hint="eastAsia" w:ascii="宋体" w:hAnsi="宋体" w:eastAsia="宋体" w:cs="宋体"/>
                <w:szCs w:val="22"/>
              </w:rPr>
            </w:pPr>
            <w:r>
              <w:rPr>
                <w:rFonts w:hint="eastAsia" w:ascii="宋体" w:hAnsi="宋体" w:eastAsia="宋体" w:cs="宋体"/>
                <w:szCs w:val="22"/>
                <w:lang w:val="en-US" w:eastAsia="zh-CN"/>
              </w:rPr>
              <w:t>1.</w:t>
            </w:r>
            <w:r>
              <w:rPr>
                <w:rFonts w:hint="eastAsia" w:ascii="宋体" w:hAnsi="宋体" w:eastAsia="宋体" w:cs="宋体"/>
                <w:szCs w:val="22"/>
              </w:rPr>
              <w:t>投标设备（产品）为“原装进口”或“进口”的，</w:t>
            </w:r>
            <w:r>
              <w:rPr>
                <w:rFonts w:hint="eastAsia" w:ascii="宋体" w:hAnsi="宋体" w:eastAsia="宋体" w:cs="宋体"/>
                <w:szCs w:val="22"/>
                <w:lang w:eastAsia="zh-CN"/>
              </w:rPr>
              <w:t>供应商</w:t>
            </w:r>
            <w:r>
              <w:rPr>
                <w:rFonts w:hint="eastAsia" w:ascii="宋体" w:hAnsi="宋体" w:eastAsia="宋体" w:cs="宋体"/>
                <w:szCs w:val="22"/>
              </w:rPr>
              <w:t>应负责办理相关进口手续，投标报价应为指定地点交货价格。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Cs w:val="22"/>
                <w:lang w:val="en-US" w:eastAsia="zh-CN"/>
              </w:rPr>
              <w:t>2.</w:t>
            </w:r>
            <w:r>
              <w:rPr>
                <w:rFonts w:hint="eastAsia" w:ascii="宋体" w:hAnsi="宋体" w:eastAsia="宋体" w:cs="宋体"/>
                <w:color w:val="auto"/>
                <w:sz w:val="24"/>
                <w:szCs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宋体" w:hAnsi="宋体" w:eastAsia="宋体" w:cs="宋体"/>
                <w:color w:val="auto"/>
                <w:spacing w:val="4"/>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清涧县教育和体育局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清涧县教育和体育局关于幼儿园保教设备采购项目</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kern w:val="2"/>
          <w:sz w:val="24"/>
          <w:szCs w:val="24"/>
          <w:lang w:val="zh-CN" w:eastAsia="zh-CN" w:bidi="ar-SA"/>
        </w:rPr>
      </w:pPr>
      <w:bookmarkStart w:id="22" w:name="_Toc394934414"/>
      <w:bookmarkStart w:id="23" w:name="_Toc246928899"/>
      <w:r>
        <w:rPr>
          <w:rFonts w:hint="eastAsia" w:ascii="宋体" w:hAnsi="宋体" w:eastAsia="宋体" w:cs="宋体"/>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w:t>
      </w:r>
      <w:r>
        <w:rPr>
          <w:rFonts w:hint="eastAsia" w:ascii="宋体" w:hAnsi="宋体" w:eastAsia="宋体" w:cs="宋体"/>
          <w:i w:val="0"/>
          <w:iCs w:val="0"/>
          <w:caps w:val="0"/>
          <w:color w:val="auto"/>
          <w:spacing w:val="0"/>
          <w:sz w:val="24"/>
          <w:szCs w:val="24"/>
          <w:shd w:val="clear" w:color="auto" w:fill="FFFFFF"/>
        </w:rPr>
        <w:t>“记录失信被执行人、税收违法黑名单、企业经营异常名录”</w:t>
      </w:r>
      <w:r>
        <w:rPr>
          <w:rFonts w:hint="eastAsia" w:ascii="宋体" w:hAnsi="宋体" w:eastAsia="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rPr>
      </w:pPr>
      <w:bookmarkStart w:id="24" w:name="_Toc25485"/>
      <w:bookmarkStart w:id="25" w:name="_Toc31339"/>
      <w:bookmarkStart w:id="26" w:name="_Toc4189"/>
      <w:bookmarkStart w:id="27" w:name="_Toc27104"/>
      <w:r>
        <w:rPr>
          <w:rFonts w:hint="eastAsia" w:ascii="宋体" w:hAnsi="宋体" w:eastAsia="宋体" w:cs="宋体"/>
          <w:szCs w:val="24"/>
        </w:rPr>
        <w:t>8.2</w:t>
      </w:r>
      <w:bookmarkStart w:id="28" w:name="_Toc11560"/>
      <w:bookmarkStart w:id="29" w:name="_Toc6716"/>
      <w:bookmarkStart w:id="30" w:name="_Toc13885"/>
      <w:bookmarkStart w:id="31" w:name="_Toc20097"/>
      <w:bookmarkStart w:id="32" w:name="_Toc28576"/>
      <w:bookmarkStart w:id="33" w:name="_Toc30752"/>
      <w:bookmarkStart w:id="34" w:name="_Toc15111"/>
      <w:bookmarkStart w:id="35" w:name="_Toc18307"/>
      <w:bookmarkStart w:id="36" w:name="_Toc21818"/>
      <w:bookmarkStart w:id="37" w:name="_Toc5823"/>
      <w:bookmarkStart w:id="38" w:name="_Toc20184"/>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对参与磋商且符合《政府采购促进中小企业发展管理办法》（财库〔2020〕46号）的小型和微型企业的报价给予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pPr>
        <w:pStyle w:val="12"/>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%的价格扣除。</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%的价格扣除。</w:t>
      </w:r>
    </w:p>
    <w:p>
      <w:pPr>
        <w:overflowPunct w:val="0"/>
        <w:topLinePunct/>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Theme="minorEastAsia" w:hAnsiTheme="minorEastAsia" w:eastAsiaTheme="minorEastAsia" w:cstheme="minorEastAsia"/>
          <w:color w:val="auto"/>
          <w:sz w:val="24"/>
          <w:lang w:val="en-US" w:eastAsia="zh-CN"/>
        </w:rPr>
        <w:t>本项目为专门面向中小企业的项目，小微企业不予价格折扣。</w:t>
      </w:r>
    </w:p>
    <w:p>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pPr>
        <w:spacing w:line="360" w:lineRule="auto"/>
        <w:ind w:firstLine="597" w:firstLineChars="249"/>
        <w:rPr>
          <w:rFonts w:hint="eastAsia" w:ascii="宋体" w:hAnsi="宋体" w:eastAsia="宋体" w:cs="宋体"/>
          <w:sz w:val="24"/>
          <w:highlight w:val="none"/>
        </w:rPr>
      </w:pPr>
      <w:r>
        <w:rPr>
          <w:rFonts w:hint="eastAsia" w:ascii="宋体" w:hAnsi="宋体" w:eastAsia="宋体" w:cs="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w:t>
      </w:r>
      <w:r>
        <w:rPr>
          <w:rFonts w:hint="eastAsia" w:ascii="宋体" w:hAnsi="宋体" w:cs="宋体"/>
          <w:b w:val="0"/>
          <w:bCs w:val="0"/>
          <w:sz w:val="24"/>
          <w:szCs w:val="24"/>
          <w:lang w:eastAsia="zh-CN"/>
        </w:rPr>
        <w:t>交货期</w:t>
      </w:r>
      <w:r>
        <w:rPr>
          <w:rFonts w:hint="eastAsia" w:ascii="宋体" w:hAnsi="宋体" w:eastAsia="宋体" w:cs="宋体"/>
          <w:b w:val="0"/>
          <w:bCs w:val="0"/>
          <w:sz w:val="24"/>
          <w:szCs w:val="24"/>
        </w:rPr>
        <w:t>内服务合同与政策性文件规定的所有风险、责任等的全部费用。应计未计部分视为全部计入。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pPr>
        <w:spacing w:line="360" w:lineRule="auto"/>
        <w:rPr>
          <w:rFonts w:hint="eastAsia" w:ascii="宋体" w:hAnsi="宋体" w:eastAsia="宋体" w:cs="宋体"/>
          <w:szCs w:val="24"/>
        </w:rPr>
      </w:pPr>
      <w:bookmarkStart w:id="39" w:name="_Toc394934424"/>
      <w:bookmarkStart w:id="40" w:name="_Toc246928911"/>
      <w:bookmarkStart w:id="41" w:name="_Toc317248152"/>
      <w:r>
        <w:rPr>
          <w:rFonts w:hint="eastAsia" w:ascii="宋体" w:hAnsi="宋体" w:eastAsia="宋体" w:cs="宋体"/>
          <w:szCs w:val="24"/>
        </w:rPr>
        <w:t>12、供应商资质证明文件</w:t>
      </w:r>
      <w:bookmarkEnd w:id="39"/>
      <w:bookmarkEnd w:id="40"/>
    </w:p>
    <w:bookmarkEnd w:id="41"/>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②税收缴纳证明：提供开标截止时间前六个月至今已缴存的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w:t>
      </w:r>
      <w:r>
        <w:rPr>
          <w:rFonts w:hint="eastAsia" w:ascii="宋体" w:hAnsi="宋体" w:eastAsia="宋体" w:cs="宋体"/>
          <w:sz w:val="24"/>
          <w:szCs w:val="24"/>
          <w:lang w:eastAsia="zh-CN"/>
        </w:rPr>
        <w:t>的</w:t>
      </w:r>
      <w:r>
        <w:rPr>
          <w:rFonts w:hint="eastAsia" w:ascii="宋体" w:hAnsi="宋体" w:eastAsia="宋体" w:cs="宋体"/>
          <w:sz w:val="24"/>
          <w:szCs w:val="24"/>
        </w:rPr>
        <w:t xml:space="preserve">纳税证明（银行缴费凭证）或完税证明，依法免税的单位应提供相关证明材料；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③社会保障资金缴纳证明：提供开标截止时间前六个月至今已缴存的</w:t>
      </w:r>
      <w:r>
        <w:rPr>
          <w:rFonts w:hint="eastAsia" w:ascii="宋体" w:hAnsi="宋体" w:eastAsia="宋体" w:cs="宋体"/>
          <w:sz w:val="24"/>
          <w:szCs w:val="24"/>
          <w:lang w:eastAsia="zh-CN"/>
        </w:rPr>
        <w:t>至少三</w:t>
      </w:r>
      <w:r>
        <w:rPr>
          <w:rFonts w:hint="eastAsia" w:ascii="宋体" w:hAnsi="宋体" w:eastAsia="宋体" w:cs="宋体"/>
          <w:sz w:val="24"/>
          <w:szCs w:val="24"/>
        </w:rPr>
        <w:t>个月的社会保障资金缴存单据或社保机构开具的社会保险参保缴费情况证明，依法不需要缴纳社会保障资金的单位应提供相关证明材料；</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sz w:val="24"/>
          <w:szCs w:val="24"/>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⑤ </w:t>
      </w:r>
      <w:r>
        <w:rPr>
          <w:rFonts w:hint="eastAsia" w:ascii="宋体" w:hAnsi="宋体" w:cs="宋体"/>
          <w:i w:val="0"/>
          <w:iCs w:val="0"/>
          <w:caps w:val="0"/>
          <w:color w:val="auto"/>
          <w:spacing w:val="0"/>
          <w:sz w:val="24"/>
          <w:szCs w:val="24"/>
          <w:shd w:val="clear" w:color="auto" w:fill="FFFFFF"/>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⑥参加政府采购活动前三年内，在经营活动中没有重大违法记录的书面声明；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⑦提供具有履行合同所必需的设备和专业技术能力的证明材料或承诺函；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⑧</w:t>
      </w:r>
      <w:r>
        <w:rPr>
          <w:rFonts w:hint="eastAsia" w:ascii="宋体" w:hAnsi="宋体" w:cs="宋体"/>
          <w:sz w:val="24"/>
          <w:szCs w:val="24"/>
          <w:lang w:val="en-US" w:eastAsia="zh-CN"/>
        </w:rPr>
        <w:t>榆林市政府采购货物类项目供应商信用承诺书</w:t>
      </w:r>
      <w:r>
        <w:rPr>
          <w:rFonts w:hint="eastAsia" w:ascii="宋体" w:hAnsi="宋体" w:eastAsia="宋体" w:cs="宋体"/>
          <w:sz w:val="24"/>
          <w:szCs w:val="24"/>
          <w:lang w:val="en-US" w:eastAsia="zh-CN"/>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⑨磋商保证金交纳凭证或投标保函。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r>
        <w:rPr>
          <w:rFonts w:hint="eastAsia" w:ascii="宋体" w:hAnsi="宋体" w:cs="宋体"/>
          <w:sz w:val="24"/>
          <w:szCs w:val="24"/>
          <w:lang w:val="en-US" w:eastAsia="zh-CN"/>
        </w:rPr>
        <w:t>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spacing w:line="360" w:lineRule="auto"/>
        <w:rPr>
          <w:rFonts w:hint="eastAsia" w:ascii="宋体" w:hAnsi="宋体" w:eastAsia="宋体" w:cs="宋体"/>
          <w:szCs w:val="24"/>
        </w:rPr>
      </w:pPr>
      <w:r>
        <w:rPr>
          <w:rFonts w:hint="eastAsia" w:ascii="宋体" w:hAnsi="宋体" w:eastAsia="宋体" w:cs="宋体"/>
          <w:szCs w:val="24"/>
        </w:rPr>
        <w:t>14、磋商保证金：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Cs w:val="24"/>
        </w:rPr>
        <w:t>14.1磋商保证金：</w:t>
      </w:r>
      <w:r>
        <w:rPr>
          <w:rFonts w:hint="eastAsia" w:ascii="宋体" w:hAnsi="宋体" w:eastAsia="宋体" w:cs="宋体"/>
          <w:sz w:val="24"/>
          <w:szCs w:val="24"/>
          <w:highlight w:val="none"/>
          <w:lang w:val="zh-CN"/>
        </w:rPr>
        <w:t>人民币</w:t>
      </w:r>
      <w:r>
        <w:rPr>
          <w:rFonts w:hint="eastAsia" w:ascii="宋体" w:hAnsi="宋体" w:eastAsia="宋体" w:cs="宋体"/>
          <w:sz w:val="24"/>
          <w:szCs w:val="24"/>
          <w:highlight w:val="none"/>
          <w:lang w:val="en-US" w:eastAsia="zh-CN"/>
        </w:rPr>
        <w:t>壹万元</w:t>
      </w:r>
      <w:r>
        <w:rPr>
          <w:rFonts w:hint="eastAsia" w:ascii="宋体" w:hAnsi="宋体" w:eastAsia="宋体" w:cs="宋体"/>
          <w:sz w:val="24"/>
          <w:szCs w:val="24"/>
          <w:highlight w:val="none"/>
          <w:lang w:val="zh-CN" w:eastAsia="zh-CN"/>
        </w:rPr>
        <w:t>整</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lang w:val="zh-CN"/>
        </w:rPr>
        <w:t>.00元）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14.2磋商保证金的有效期与磋商有效期一致。</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14.3磋商保证金的缴纳形式：转账或电汇或担保机构保函</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szCs w:val="24"/>
        </w:rPr>
        <w:t>14.4供应商以银行转账或电汇</w:t>
      </w:r>
      <w:r>
        <w:rPr>
          <w:rFonts w:hint="eastAsia" w:ascii="宋体" w:hAnsi="宋体" w:eastAsia="宋体" w:cs="宋体"/>
          <w:szCs w:val="24"/>
          <w:lang w:eastAsia="zh-CN"/>
        </w:rPr>
        <w:t>或磋商保函</w:t>
      </w:r>
      <w:r>
        <w:rPr>
          <w:rFonts w:hint="eastAsia" w:ascii="宋体" w:hAnsi="宋体" w:eastAsia="宋体" w:cs="宋体"/>
          <w:szCs w:val="24"/>
        </w:rPr>
        <w:t>形式缴纳磋商保证金的，采购结束之后以转账形式退到供应商的</w:t>
      </w:r>
      <w:r>
        <w:rPr>
          <w:rFonts w:hint="eastAsia" w:ascii="宋体" w:hAnsi="宋体" w:eastAsia="宋体" w:cs="宋体"/>
          <w:color w:val="auto"/>
          <w:szCs w:val="24"/>
        </w:rPr>
        <w:t>账户。</w:t>
      </w:r>
      <w:r>
        <w:rPr>
          <w:rFonts w:hint="eastAsia" w:ascii="宋体" w:hAnsi="宋体" w:eastAsia="宋体" w:cs="宋体"/>
          <w:b/>
          <w:bCs/>
          <w:color w:val="auto"/>
          <w:szCs w:val="24"/>
          <w:lang w:val="zh-CN"/>
        </w:rPr>
        <w:t>供应商以保函形式缴纳磋商保证金的，须</w:t>
      </w:r>
      <w:r>
        <w:rPr>
          <w:rFonts w:hint="eastAsia" w:ascii="宋体" w:hAnsi="宋体" w:eastAsia="宋体" w:cs="宋体"/>
          <w:b/>
          <w:bCs/>
          <w:color w:val="auto"/>
          <w:szCs w:val="24"/>
        </w:rPr>
        <w:t>在</w:t>
      </w:r>
      <w:r>
        <w:rPr>
          <w:rFonts w:hint="eastAsia" w:ascii="宋体" w:hAnsi="宋体" w:eastAsia="宋体" w:cs="宋体"/>
          <w:b/>
          <w:bCs/>
          <w:color w:val="auto"/>
          <w:szCs w:val="24"/>
          <w:lang w:eastAsia="zh-CN"/>
        </w:rPr>
        <w:t>磋商响应</w:t>
      </w:r>
      <w:r>
        <w:rPr>
          <w:rFonts w:hint="eastAsia" w:ascii="宋体" w:hAnsi="宋体" w:eastAsia="宋体" w:cs="宋体"/>
          <w:b/>
          <w:bCs/>
          <w:color w:val="auto"/>
          <w:szCs w:val="24"/>
        </w:rPr>
        <w:t>文件递交截止时间前将担保机构保函原件</w:t>
      </w:r>
      <w:r>
        <w:rPr>
          <w:rFonts w:hint="eastAsia" w:ascii="宋体" w:hAnsi="宋体" w:eastAsia="宋体" w:cs="宋体"/>
          <w:b/>
          <w:bCs/>
          <w:color w:val="auto"/>
          <w:szCs w:val="24"/>
          <w:lang w:eastAsia="zh-CN"/>
        </w:rPr>
        <w:t>（包括担保公司联系人及电话）</w:t>
      </w:r>
      <w:r>
        <w:rPr>
          <w:rFonts w:hint="eastAsia" w:ascii="宋体" w:hAnsi="宋体" w:eastAsia="宋体" w:cs="宋体"/>
          <w:b/>
          <w:bCs/>
          <w:color w:val="auto"/>
          <w:szCs w:val="24"/>
        </w:rPr>
        <w:t>提交至采购代理机构备案</w:t>
      </w:r>
      <w:r>
        <w:rPr>
          <w:rFonts w:hint="eastAsia" w:ascii="宋体" w:hAnsi="宋体" w:eastAsia="宋体" w:cs="宋体"/>
          <w:b/>
          <w:bCs/>
          <w:color w:val="auto"/>
          <w:szCs w:val="24"/>
          <w:lang w:eastAsia="zh-CN"/>
        </w:rPr>
        <w:t>并由代理公司财务部确认回函</w:t>
      </w:r>
      <w:r>
        <w:rPr>
          <w:rFonts w:hint="eastAsia" w:ascii="宋体" w:hAnsi="宋体" w:eastAsia="宋体" w:cs="宋体"/>
          <w:b/>
          <w:bCs/>
          <w:color w:val="auto"/>
          <w:szCs w:val="24"/>
          <w:lang w:val="en-US" w:eastAsia="zh-CN"/>
        </w:rPr>
        <w:t>(未签回函视为无效投标)</w:t>
      </w:r>
      <w:r>
        <w:rPr>
          <w:rFonts w:hint="eastAsia" w:ascii="宋体" w:hAnsi="宋体" w:eastAsia="宋体" w:cs="宋体"/>
          <w:b/>
          <w:bCs/>
          <w:color w:val="auto"/>
          <w:szCs w:val="24"/>
        </w:rPr>
        <w:t>，将保函正本复印件</w:t>
      </w:r>
      <w:r>
        <w:rPr>
          <w:rFonts w:hint="eastAsia" w:ascii="宋体" w:hAnsi="宋体" w:eastAsia="宋体" w:cs="宋体"/>
          <w:b/>
          <w:bCs/>
          <w:color w:val="auto"/>
          <w:szCs w:val="24"/>
          <w:lang w:eastAsia="zh-CN"/>
        </w:rPr>
        <w:t>和代理公司回执确认</w:t>
      </w:r>
      <w:r>
        <w:rPr>
          <w:rFonts w:hint="eastAsia" w:ascii="宋体" w:hAnsi="宋体" w:eastAsia="宋体" w:cs="宋体"/>
          <w:b/>
          <w:bCs/>
          <w:color w:val="auto"/>
          <w:szCs w:val="24"/>
        </w:rPr>
        <w:t>粘贴于</w:t>
      </w:r>
      <w:r>
        <w:rPr>
          <w:rFonts w:hint="eastAsia" w:ascii="宋体" w:hAnsi="宋体" w:eastAsia="宋体" w:cs="宋体"/>
          <w:b/>
          <w:bCs/>
          <w:color w:val="auto"/>
          <w:szCs w:val="24"/>
          <w:lang w:eastAsia="zh-CN"/>
        </w:rPr>
        <w:t>竞争性磋商文件</w:t>
      </w:r>
      <w:r>
        <w:rPr>
          <w:rFonts w:hint="eastAsia" w:ascii="宋体" w:hAnsi="宋体" w:eastAsia="宋体" w:cs="宋体"/>
          <w:b/>
          <w:bCs/>
          <w:color w:val="auto"/>
          <w:szCs w:val="24"/>
        </w:rPr>
        <w:t>规定处，招标结束之后在规定时间内将保函原件退回。</w:t>
      </w:r>
    </w:p>
    <w:p>
      <w:pPr>
        <w:spacing w:line="360" w:lineRule="auto"/>
        <w:ind w:firstLine="482" w:firstLineChars="200"/>
        <w:rPr>
          <w:rFonts w:hint="eastAsia" w:ascii="宋体" w:hAnsi="宋体" w:eastAsia="宋体" w:cs="宋体"/>
          <w:b/>
          <w:szCs w:val="24"/>
        </w:rPr>
      </w:pPr>
      <w:r>
        <w:rPr>
          <w:rFonts w:hint="eastAsia" w:ascii="宋体" w:hAnsi="宋体" w:eastAsia="宋体" w:cs="宋体"/>
          <w:b/>
          <w:szCs w:val="24"/>
          <w:lang w:val="en-US" w:eastAsia="zh-CN"/>
        </w:rPr>
        <w:t>14.5</w:t>
      </w:r>
      <w:r>
        <w:rPr>
          <w:rFonts w:hint="eastAsia" w:ascii="宋体" w:hAnsi="宋体" w:eastAsia="宋体" w:cs="宋体"/>
          <w:b/>
          <w:szCs w:val="24"/>
        </w:rPr>
        <w:t>磋商保证金须从供应商基本账户转出。</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14.6磋商保证金到达采购代理机构指定账户后，供应商须与采购代理公司联系确认，确认到帐后</w:t>
      </w:r>
      <w:r>
        <w:rPr>
          <w:rFonts w:hint="eastAsia" w:ascii="宋体" w:hAnsi="宋体" w:eastAsia="宋体" w:cs="宋体"/>
          <w:szCs w:val="24"/>
          <w:lang w:eastAsia="zh-CN"/>
        </w:rPr>
        <w:t>将打款底单</w:t>
      </w:r>
      <w:r>
        <w:rPr>
          <w:rFonts w:hint="eastAsia" w:ascii="宋体" w:hAnsi="宋体" w:eastAsia="宋体" w:cs="宋体"/>
          <w:szCs w:val="24"/>
        </w:rPr>
        <w:t>或将保函正本复印件</w:t>
      </w:r>
      <w:r>
        <w:rPr>
          <w:rFonts w:hint="eastAsia" w:ascii="宋体" w:hAnsi="宋体" w:eastAsia="宋体" w:cs="宋体"/>
          <w:szCs w:val="24"/>
          <w:lang w:eastAsia="zh-CN"/>
        </w:rPr>
        <w:t>和代理公司回执确认</w:t>
      </w:r>
      <w:r>
        <w:rPr>
          <w:rFonts w:hint="eastAsia" w:ascii="宋体" w:hAnsi="宋体" w:eastAsia="宋体" w:cs="宋体"/>
          <w:szCs w:val="24"/>
        </w:rPr>
        <w:t>粘贴于</w:t>
      </w:r>
      <w:r>
        <w:rPr>
          <w:rFonts w:hint="eastAsia" w:ascii="宋体" w:hAnsi="宋体" w:eastAsia="宋体" w:cs="宋体"/>
          <w:szCs w:val="24"/>
          <w:lang w:eastAsia="zh-CN"/>
        </w:rPr>
        <w:t>竞争性磋商文件</w:t>
      </w:r>
      <w:r>
        <w:rPr>
          <w:rFonts w:hint="eastAsia" w:ascii="宋体" w:hAnsi="宋体" w:eastAsia="宋体" w:cs="宋体"/>
          <w:szCs w:val="24"/>
        </w:rPr>
        <w:t>规定处</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7</w:t>
      </w:r>
      <w:r>
        <w:rPr>
          <w:rFonts w:hint="eastAsia" w:ascii="宋体" w:hAnsi="宋体" w:eastAsia="宋体" w:cs="宋体"/>
          <w:szCs w:val="24"/>
        </w:rPr>
        <w:t>凡没有随附保证金的磋商，视为非响应性磋商，其标书将被拒绝。</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8</w:t>
      </w:r>
      <w:r>
        <w:rPr>
          <w:rFonts w:hint="eastAsia" w:ascii="宋体" w:hAnsi="宋体" w:eastAsia="宋体" w:cs="宋体"/>
          <w:sz w:val="24"/>
          <w:szCs w:val="24"/>
        </w:rPr>
        <w:t>未成交单位的磋商保证金，在采购代理机构对成交单位发出《成交通知书》后五个工作日内，予以全额退还</w:t>
      </w:r>
      <w:r>
        <w:rPr>
          <w:rFonts w:hint="eastAsia" w:ascii="宋体" w:hAnsi="宋体" w:eastAsia="宋体" w:cs="宋体"/>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发生下列情况之一，保证金将不予退还：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.1磋商后在磋商有效期间内，供应商撤回其响应文件；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.2将中标项目转让给他人，或者在响应文件中未说明且未经采购人同意将中标项目分包他人的；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.3成交人不按本须知规定签订合同；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w:t>
      </w:r>
      <w:r>
        <w:rPr>
          <w:rFonts w:hint="eastAsia" w:ascii="宋体" w:hAnsi="宋体" w:eastAsia="宋体" w:cs="宋体"/>
          <w:szCs w:val="24"/>
          <w:lang w:val="en-US" w:eastAsia="zh-CN"/>
        </w:rPr>
        <w:t>9</w:t>
      </w:r>
      <w:r>
        <w:rPr>
          <w:rFonts w:hint="eastAsia" w:ascii="宋体" w:hAnsi="宋体" w:eastAsia="宋体" w:cs="宋体"/>
          <w:szCs w:val="24"/>
        </w:rPr>
        <w:t>.4成交人不按本须知规定交付招标代理服务费。</w:t>
      </w:r>
    </w:p>
    <w:p>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pPr>
        <w:adjustRightInd w:val="0"/>
        <w:snapToGrid w:val="0"/>
        <w:spacing w:line="440" w:lineRule="exact"/>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sz w:val="24"/>
          <w:szCs w:val="24"/>
        </w:rPr>
        <w:t>电子磋商响应文件递交与解密</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.1电子文件递交</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.2电子文件的开启和解密</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开标时，供应商须使用电子磋商响应文件加密时所用的数字认证证书（CA锁）在开标室的解密机上自行解密电子磋商响应文件（系统默认解密时长为</w:t>
      </w:r>
      <w:r>
        <w:rPr>
          <w:rFonts w:hint="eastAsia" w:ascii="宋体" w:hAnsi="宋体" w:eastAsia="宋体" w:cs="宋体"/>
          <w:sz w:val="24"/>
          <w:szCs w:val="24"/>
          <w:lang w:val="en-US" w:eastAsia="zh-CN"/>
        </w:rPr>
        <w:t>3</w:t>
      </w:r>
      <w:r>
        <w:rPr>
          <w:rFonts w:hint="eastAsia" w:ascii="宋体" w:hAnsi="宋体" w:eastAsia="宋体" w:cs="宋体"/>
          <w:sz w:val="24"/>
          <w:szCs w:val="24"/>
        </w:rPr>
        <w:t>0分钟），投标单位需在解密时间规定内完成标书解密。所有投标单位解密完成后由开标人员将响应文件导入开评标系统。</w:t>
      </w:r>
    </w:p>
    <w:p>
      <w:pPr>
        <w:pStyle w:val="8"/>
        <w:rPr>
          <w:rFonts w:hint="eastAsia" w:ascii="宋体" w:hAnsi="宋体" w:eastAsia="宋体" w:cs="宋体"/>
          <w:sz w:val="24"/>
          <w:szCs w:val="24"/>
          <w:lang w:val="en-US" w:eastAsia="zh-CN"/>
        </w:rPr>
      </w:pPr>
    </w:p>
    <w:p>
      <w:pPr>
        <w:pStyle w:val="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15.3纸质文件</w:t>
      </w:r>
    </w:p>
    <w:p>
      <w:pPr>
        <w:pStyle w:val="9"/>
        <w:rPr>
          <w:rFonts w:hint="eastAsia" w:ascii="宋体" w:hAnsi="宋体" w:eastAsia="宋体" w:cs="宋体"/>
          <w:lang w:val="en-US" w:eastAsia="zh-CN"/>
        </w:rPr>
      </w:pPr>
    </w:p>
    <w:p>
      <w:pPr>
        <w:pStyle w:val="8"/>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pPr>
        <w:adjustRightInd w:val="0"/>
        <w:snapToGrid w:val="0"/>
        <w:spacing w:line="440" w:lineRule="exact"/>
        <w:ind w:firstLine="482" w:firstLineChars="200"/>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ascii="宋体" w:hAnsi="宋体" w:eastAsia="宋体" w:cs="宋体"/>
          <w:sz w:val="24"/>
          <w:szCs w:val="24"/>
        </w:rPr>
      </w:pPr>
      <w:bookmarkStart w:id="42" w:name="_Hlk34387735"/>
      <w:bookmarkEnd w:id="42"/>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pPr>
        <w:adjustRightInd w:val="0"/>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3" w:name="_Toc453858063"/>
      <w:bookmarkEnd w:id="43"/>
      <w:bookmarkStart w:id="44" w:name="_Toc453917619"/>
      <w:bookmarkEnd w:id="44"/>
      <w:bookmarkStart w:id="45" w:name="_Toc453917526"/>
      <w:bookmarkEnd w:id="45"/>
      <w:bookmarkStart w:id="46" w:name="_Toc385234434"/>
      <w:bookmarkEnd w:id="46"/>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w:t>
      </w:r>
      <w:r>
        <w:rPr>
          <w:rFonts w:hint="eastAsia" w:ascii="宋体" w:hAnsi="宋体" w:cs="宋体"/>
          <w:sz w:val="24"/>
          <w:szCs w:val="24"/>
          <w:lang w:eastAsia="zh-CN"/>
        </w:rPr>
        <w:t>税收违法黑名单</w:t>
      </w:r>
      <w:r>
        <w:rPr>
          <w:rFonts w:hint="eastAsia" w:ascii="宋体" w:hAnsi="宋体" w:eastAsia="宋体" w:cs="宋体"/>
          <w:sz w:val="24"/>
          <w:szCs w:val="24"/>
        </w:rPr>
        <w:t>、政府采购严重违法失信行为记录名单及其他不符合《中华人民共和国政府采购法》第二十二条规定条件的投标人，采购代理机构将拒绝其参与政府采购活动。）；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pPr>
        <w:adjustRightInd w:val="0"/>
        <w:snapToGrid w:val="0"/>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7" w:name="_Hlk34387752"/>
      <w:bookmarkEnd w:id="47"/>
      <w:r>
        <w:rPr>
          <w:rFonts w:hint="eastAsia" w:ascii="宋体" w:hAnsi="宋体" w:eastAsia="宋体" w:cs="宋体"/>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pPr>
        <w:pStyle w:val="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48" w:name="_Toc394934434"/>
      <w:r>
        <w:rPr>
          <w:rFonts w:hint="eastAsia" w:ascii="宋体" w:hAnsi="宋体" w:eastAsia="宋体" w:cs="宋体"/>
          <w:szCs w:val="24"/>
        </w:rPr>
        <w:t>17、</w:t>
      </w:r>
      <w:bookmarkEnd w:id="48"/>
      <w:r>
        <w:rPr>
          <w:rFonts w:hint="eastAsia" w:ascii="宋体" w:hAnsi="宋体" w:eastAsia="宋体" w:cs="宋体"/>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9" w:name="_Toc246928921"/>
      <w:bookmarkStart w:id="50" w:name="_Toc394934435"/>
      <w:r>
        <w:rPr>
          <w:rFonts w:hint="eastAsia" w:ascii="宋体" w:hAnsi="宋体" w:eastAsia="宋体" w:cs="宋体"/>
          <w:sz w:val="24"/>
          <w:szCs w:val="24"/>
          <w:lang w:val="en-US" w:eastAsia="zh-CN"/>
        </w:rPr>
        <w:t>17.招标代理机构</w:t>
      </w:r>
      <w:r>
        <w:rPr>
          <w:rFonts w:hint="eastAsia" w:ascii="宋体" w:hAnsi="宋体" w:eastAsia="宋体" w:cs="宋体"/>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17.2招标代理机构</w:t>
      </w:r>
      <w:r>
        <w:rPr>
          <w:rFonts w:hint="eastAsia" w:ascii="宋体" w:hAnsi="宋体" w:eastAsia="宋体" w:cs="宋体"/>
          <w:sz w:val="24"/>
          <w:szCs w:val="24"/>
        </w:rPr>
        <w:t>在磋商文件规定的时间和地点组织开标，供应商必须在榆林市不见面开标大厅系统签名报到。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17.3</w:t>
      </w:r>
      <w:r>
        <w:rPr>
          <w:rFonts w:hint="eastAsia" w:ascii="宋体" w:hAnsi="宋体" w:eastAsia="宋体" w:cs="宋体"/>
          <w:sz w:val="24"/>
          <w:szCs w:val="24"/>
        </w:rPr>
        <w:t>开标时，供应商应在规定时间内，在榆林市不见面开标大厅系统解密电子响应文件。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w:t>
      </w:r>
      <w:r>
        <w:rPr>
          <w:rFonts w:hint="eastAsia" w:ascii="宋体" w:hAnsi="宋体" w:eastAsia="宋体" w:cs="宋体"/>
          <w:sz w:val="24"/>
          <w:szCs w:val="24"/>
        </w:rPr>
        <w:t>开标会议记录由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工作人员记录，参加开标的各供应商在规定时间内，在榆林市不见面开标大厅系统签到。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17.6</w:t>
      </w:r>
      <w:r>
        <w:rPr>
          <w:rFonts w:hint="eastAsia" w:ascii="宋体" w:hAnsi="宋体" w:eastAsia="宋体" w:cs="宋体"/>
          <w:sz w:val="24"/>
          <w:szCs w:val="24"/>
        </w:rPr>
        <w:t>投标供应商未参加开标的，视同认可开标结果。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17.7</w:t>
      </w:r>
      <w:r>
        <w:rPr>
          <w:rFonts w:hint="eastAsia" w:ascii="宋体" w:hAnsi="宋体" w:eastAsia="宋体" w:cs="宋体"/>
          <w:sz w:val="24"/>
          <w:szCs w:val="24"/>
        </w:rPr>
        <w:t>特殊情形下的应急处置：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49"/>
      <w:bookmarkEnd w:id="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pPr>
        <w:spacing w:line="360" w:lineRule="auto"/>
        <w:jc w:val="center"/>
        <w:rPr>
          <w:rFonts w:hint="eastAsia" w:ascii="宋体" w:hAnsi="宋体" w:eastAsia="宋体" w:cs="宋体"/>
          <w:b/>
          <w:szCs w:val="24"/>
        </w:rPr>
      </w:pPr>
      <w:bookmarkStart w:id="51" w:name="_Toc246928924"/>
      <w:bookmarkStart w:id="52" w:name="_Toc394934436"/>
      <w:r>
        <w:rPr>
          <w:rFonts w:hint="eastAsia" w:ascii="宋体" w:hAnsi="宋体" w:eastAsia="宋体" w:cs="宋体"/>
          <w:b/>
          <w:szCs w:val="24"/>
        </w:rPr>
        <w:t>（六）评 审</w:t>
      </w:r>
    </w:p>
    <w:p>
      <w:pPr>
        <w:spacing w:line="360" w:lineRule="auto"/>
        <w:rPr>
          <w:rFonts w:hint="eastAsia" w:ascii="宋体" w:hAnsi="宋体" w:eastAsia="宋体" w:cs="宋体"/>
          <w:szCs w:val="24"/>
        </w:rPr>
      </w:pPr>
      <w:r>
        <w:rPr>
          <w:rFonts w:hint="eastAsia" w:ascii="宋体" w:hAnsi="宋体" w:eastAsia="宋体" w:cs="宋体"/>
          <w:szCs w:val="24"/>
        </w:rPr>
        <w:t>19、评审</w:t>
      </w:r>
      <w:bookmarkEnd w:id="51"/>
      <w:bookmarkEnd w:id="5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szCs w:val="24"/>
        </w:rPr>
      </w:pPr>
      <w:bookmarkStart w:id="53" w:name="_Toc394934437"/>
      <w:r>
        <w:rPr>
          <w:rFonts w:hint="eastAsia" w:ascii="宋体" w:hAnsi="宋体" w:eastAsia="宋体" w:cs="宋体"/>
          <w:szCs w:val="24"/>
        </w:rPr>
        <w:t>20、评审</w:t>
      </w:r>
      <w:bookmarkEnd w:id="53"/>
      <w:r>
        <w:rPr>
          <w:rFonts w:hint="eastAsia" w:ascii="宋体" w:hAnsi="宋体" w:eastAsia="宋体" w:cs="宋体"/>
          <w:szCs w:val="24"/>
        </w:rPr>
        <w:t>程序及办法</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cs="宋体"/>
          <w:color w:val="auto"/>
          <w:szCs w:val="24"/>
          <w:lang w:eastAsia="zh-CN"/>
        </w:rPr>
        <w:t>交货期</w:t>
      </w:r>
      <w:r>
        <w:rPr>
          <w:rFonts w:hint="eastAsia" w:ascii="宋体" w:hAnsi="宋体" w:eastAsia="宋体" w:cs="宋体"/>
          <w:color w:val="auto"/>
          <w:szCs w:val="24"/>
        </w:rPr>
        <w:t>是否完全响应；</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响应文件的签字盖章是否合格；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磋商文件要求条款</w:t>
      </w:r>
      <w:r>
        <w:rPr>
          <w:rFonts w:hint="eastAsia" w:ascii="宋体" w:hAnsi="宋体" w:cs="宋体"/>
          <w:color w:val="auto"/>
          <w:szCs w:val="24"/>
          <w:lang w:eastAsia="zh-CN"/>
        </w:rPr>
        <w:t>是否</w:t>
      </w:r>
      <w:r>
        <w:rPr>
          <w:rFonts w:hint="eastAsia" w:ascii="宋体" w:hAnsi="宋体" w:eastAsia="宋体" w:cs="宋体"/>
          <w:color w:val="auto"/>
          <w:szCs w:val="24"/>
        </w:rPr>
        <w:t>有重大偏离；</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法律、法规和磋商文件中规定的其他实质性要求。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pPr>
        <w:spacing w:line="360" w:lineRule="auto"/>
        <w:rPr>
          <w:rFonts w:hint="eastAsia" w:ascii="宋体" w:hAnsi="宋体" w:eastAsia="宋体" w:cs="宋体"/>
          <w:szCs w:val="24"/>
        </w:rPr>
      </w:pPr>
      <w:bookmarkStart w:id="54" w:name="_Toc394934438"/>
      <w:r>
        <w:rPr>
          <w:rFonts w:hint="eastAsia" w:ascii="宋体" w:hAnsi="宋体" w:eastAsia="宋体" w:cs="宋体"/>
          <w:szCs w:val="24"/>
        </w:rPr>
        <w:t>21、</w:t>
      </w:r>
      <w:bookmarkEnd w:id="54"/>
      <w:r>
        <w:rPr>
          <w:rFonts w:hint="eastAsia" w:ascii="宋体" w:hAnsi="宋体" w:eastAsia="宋体" w:cs="宋体"/>
          <w:szCs w:val="24"/>
        </w:rPr>
        <w:t>磋商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szCs w:val="24"/>
        </w:rPr>
      </w:pPr>
      <w:bookmarkStart w:id="55" w:name="_Toc394934439"/>
      <w:r>
        <w:rPr>
          <w:rFonts w:hint="eastAsia" w:ascii="宋体" w:hAnsi="宋体" w:eastAsia="宋体" w:cs="宋体"/>
          <w:b/>
          <w:bCs/>
          <w:szCs w:val="24"/>
        </w:rPr>
        <w:t>22、评审方法</w:t>
      </w:r>
      <w:bookmarkEnd w:id="55"/>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6"/>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77"/>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因素</w:t>
            </w:r>
          </w:p>
        </w:tc>
        <w:tc>
          <w:tcPr>
            <w:tcW w:w="97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权值%</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满足磋商文件要求且最后报价最低的供应商的价格为磋商基准价。各供应商的价格分统一按照下列公式计算：磋商报价得分=（磋商基准价/最后磋商报价）×价格权值。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合同条款</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经过资格、符合性审查合格的供应商，磋商响应文件中对付款、交货、验收、售后服务等方面进行响应说明，按其响应程度计0～5分。无响应说明的不计分。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指标</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1、磋商产品技术参数清楚、明确，符合磋商文件要求，按其响应程度计0～5分。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2、磋商产品配置、功能齐全，按其响应程度计0～5分。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3、磋商产品性能满足或优于磋商文件要求，无负偏差。按其响应程度计0～5分。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4、磋商产品为主流产品，操作方便，安全可靠。按其响应程度计0～5分。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磋商产品的</w:t>
            </w:r>
            <w:r>
              <w:rPr>
                <w:rFonts w:hint="eastAsia" w:ascii="宋体" w:hAnsi="宋体" w:eastAsia="宋体" w:cs="宋体"/>
                <w:sz w:val="24"/>
                <w:szCs w:val="24"/>
                <w:lang w:val="zh-CN"/>
              </w:rPr>
              <w:t>材质、涂料</w:t>
            </w:r>
            <w:r>
              <w:rPr>
                <w:rFonts w:hint="eastAsia" w:ascii="宋体" w:hAnsi="宋体" w:eastAsia="宋体" w:cs="宋体"/>
                <w:sz w:val="24"/>
                <w:szCs w:val="24"/>
                <w:lang w:val="en-US" w:eastAsia="zh-CN"/>
              </w:rPr>
              <w:t>无害，</w:t>
            </w:r>
            <w:r>
              <w:rPr>
                <w:rFonts w:hint="eastAsia" w:ascii="宋体" w:hAnsi="宋体" w:eastAsia="宋体" w:cs="宋体"/>
                <w:sz w:val="24"/>
                <w:szCs w:val="24"/>
              </w:rPr>
              <w:t>按其响应程度计0～5分。</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、所提供产品为节能产品、环境标志产品品目清单范围内，且供应商所提供产品具有有效期内的产品认证证书，符合磋商文件要求的，可优先采购。按其响应程度计0～</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保证</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1、产品质量保证措施全面，符合国家相关标准。按其响应程度计</w:t>
            </w:r>
            <w:r>
              <w:rPr>
                <w:rFonts w:hint="eastAsia" w:ascii="宋体" w:hAnsi="宋体" w:eastAsia="宋体" w:cs="宋体"/>
                <w:sz w:val="24"/>
                <w:szCs w:val="24"/>
              </w:rPr>
              <w:t>0～5分</w:t>
            </w:r>
            <w:r>
              <w:rPr>
                <w:rFonts w:hint="eastAsia" w:ascii="宋体" w:hAnsi="宋体" w:eastAsia="宋体" w:cs="宋体"/>
                <w:sz w:val="24"/>
                <w:szCs w:val="24"/>
                <w:lang w:val="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2、磋商产品具有较好的使用效果，质量保证措施完善，符合国内相关标准。按其响应程度计0～5分。</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磋商产品</w:t>
            </w:r>
            <w:r>
              <w:rPr>
                <w:rFonts w:hint="eastAsia" w:ascii="宋体" w:hAnsi="宋体" w:eastAsia="宋体" w:cs="宋体"/>
                <w:sz w:val="24"/>
                <w:szCs w:val="24"/>
                <w:lang w:val="zh-CN"/>
              </w:rPr>
              <w:t>供货渠道正规，</w:t>
            </w:r>
            <w:r>
              <w:rPr>
                <w:rFonts w:hint="eastAsia" w:ascii="宋体" w:hAnsi="宋体" w:eastAsia="宋体" w:cs="宋体"/>
                <w:sz w:val="24"/>
                <w:szCs w:val="24"/>
              </w:rPr>
              <w:t>备品备件齐全，提供产品供货渠道（包含但不限于生产厂家、联系方式、授权书），质量有保证。提供按其响应程度计0～5分。</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、针对本次采购任务有具体的供货组织安排，详细的人员、财力调配、运输等说明。按其响应程度计</w:t>
            </w:r>
            <w:r>
              <w:rPr>
                <w:rFonts w:hint="eastAsia" w:ascii="宋体" w:hAnsi="宋体" w:eastAsia="宋体" w:cs="宋体"/>
                <w:sz w:val="24"/>
                <w:szCs w:val="24"/>
              </w:rPr>
              <w:t>0～5分</w:t>
            </w:r>
            <w:r>
              <w:rPr>
                <w:rFonts w:hint="eastAsia" w:ascii="宋体" w:hAnsi="宋体" w:eastAsia="宋体" w:cs="宋体"/>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1、售后服务机构健全。在本地建立了售后服务机构，有足够的售后服务人员，并出具相关证明。按其响应程度计0～5分。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2、配备专职维修人员，明确“三包”内容，承诺维修服务具体时限与优惠措施。按其响应程度计0～5分。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68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自2019年1月至今有同类项目业绩，响应文件中附有其业绩证明材料，业绩以合同为依据，每提供一个计</w:t>
            </w:r>
            <w:r>
              <w:rPr>
                <w:rFonts w:hint="eastAsia" w:ascii="宋体" w:hAnsi="宋体" w:cs="宋体"/>
                <w:sz w:val="24"/>
                <w:szCs w:val="24"/>
                <w:lang w:val="en-US" w:eastAsia="zh-CN"/>
              </w:rPr>
              <w:t>2.5</w:t>
            </w:r>
            <w:r>
              <w:rPr>
                <w:rFonts w:hint="eastAsia" w:ascii="宋体" w:hAnsi="宋体" w:eastAsia="宋体" w:cs="宋体"/>
                <w:sz w:val="24"/>
                <w:szCs w:val="24"/>
              </w:rPr>
              <w:t>分，满分</w:t>
            </w:r>
            <w:r>
              <w:rPr>
                <w:rFonts w:hint="eastAsia" w:ascii="宋体" w:hAnsi="宋体" w:cs="宋体"/>
                <w:sz w:val="24"/>
                <w:szCs w:val="24"/>
                <w:lang w:val="en-US" w:eastAsia="zh-CN"/>
              </w:rPr>
              <w:t>5</w:t>
            </w:r>
            <w:r>
              <w:rPr>
                <w:rFonts w:hint="eastAsia" w:ascii="宋体" w:hAnsi="宋体" w:eastAsia="宋体" w:cs="宋体"/>
                <w:sz w:val="24"/>
                <w:szCs w:val="24"/>
              </w:rPr>
              <w:t>分。</w:t>
            </w:r>
          </w:p>
        </w:tc>
      </w:tr>
    </w:tbl>
    <w:p>
      <w:pPr>
        <w:pStyle w:val="18"/>
        <w:rPr>
          <w:rFonts w:hint="eastAsia" w:ascii="宋体" w:hAnsi="宋体" w:eastAsia="宋体" w:cs="宋体"/>
          <w:b/>
          <w:bCs/>
          <w:szCs w:val="24"/>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pPr>
        <w:spacing w:line="360" w:lineRule="auto"/>
        <w:ind w:firstLine="480" w:firstLineChars="200"/>
        <w:rPr>
          <w:rFonts w:hint="eastAsia" w:ascii="宋体" w:hAnsi="宋体" w:eastAsia="宋体" w:cs="宋体"/>
          <w:szCs w:val="24"/>
        </w:rPr>
      </w:pPr>
      <w:bookmarkStart w:id="56" w:name="_Toc246928926"/>
      <w:bookmarkStart w:id="57" w:name="_Toc385992361"/>
      <w:bookmarkStart w:id="58" w:name="_Toc394934441"/>
      <w:bookmarkStart w:id="59" w:name="_Toc389620200"/>
      <w:r>
        <w:rPr>
          <w:rFonts w:hint="eastAsia" w:ascii="宋体" w:hAnsi="宋体" w:eastAsia="宋体" w:cs="宋体"/>
          <w:szCs w:val="24"/>
        </w:rPr>
        <w:t>23、成交准则</w:t>
      </w:r>
      <w:bookmarkEnd w:id="56"/>
      <w:bookmarkEnd w:id="57"/>
      <w:bookmarkEnd w:id="58"/>
      <w:bookmarkEnd w:id="5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0" w:name="_Toc389620201"/>
      <w:bookmarkStart w:id="61" w:name="_Toc38599236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0"/>
    <w:bookmarkEnd w:id="61"/>
    <w:p>
      <w:pPr>
        <w:spacing w:line="360" w:lineRule="auto"/>
        <w:ind w:firstLine="480" w:firstLineChars="200"/>
        <w:rPr>
          <w:rFonts w:hint="eastAsia" w:ascii="宋体" w:hAnsi="宋体" w:eastAsia="宋体" w:cs="宋体"/>
          <w:szCs w:val="24"/>
        </w:rPr>
      </w:pPr>
      <w:bookmarkStart w:id="62" w:name="_Toc389620203"/>
      <w:bookmarkStart w:id="63" w:name="_Toc385992364"/>
      <w:bookmarkStart w:id="64" w:name="_Toc246928927"/>
      <w:bookmarkStart w:id="65" w:name="_Toc394934442"/>
      <w:r>
        <w:rPr>
          <w:rFonts w:hint="eastAsia" w:ascii="宋体" w:hAnsi="宋体" w:eastAsia="宋体" w:cs="宋体"/>
          <w:szCs w:val="24"/>
        </w:rPr>
        <w:t>24、定标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2"/>
    <w:bookmarkEnd w:id="63"/>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4"/>
      <w:r>
        <w:rPr>
          <w:rFonts w:hint="eastAsia" w:ascii="宋体" w:hAnsi="宋体" w:eastAsia="宋体" w:cs="宋体"/>
          <w:szCs w:val="24"/>
        </w:rPr>
        <w:t>书</w:t>
      </w:r>
      <w:bookmarkEnd w:id="65"/>
    </w:p>
    <w:p>
      <w:pPr>
        <w:spacing w:line="360" w:lineRule="auto"/>
        <w:ind w:firstLine="480" w:firstLineChars="200"/>
        <w:rPr>
          <w:rFonts w:hint="eastAsia" w:ascii="宋体" w:hAnsi="宋体" w:eastAsia="宋体" w:cs="宋体"/>
          <w:szCs w:val="24"/>
        </w:rPr>
      </w:pPr>
      <w:bookmarkStart w:id="66" w:name="_Toc394934443"/>
      <w:bookmarkStart w:id="67" w:name="_Toc246928928"/>
      <w:bookmarkStart w:id="68" w:name="_Toc385992366"/>
      <w:bookmarkStart w:id="69" w:name="_Toc389620205"/>
      <w:r>
        <w:rPr>
          <w:rFonts w:hint="eastAsia" w:ascii="宋体" w:hAnsi="宋体" w:eastAsia="宋体" w:cs="宋体"/>
          <w:szCs w:val="24"/>
        </w:rPr>
        <w:t>25.1《成交通知书》将作为签订合同的依据。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6"/>
      <w:bookmarkEnd w:id="67"/>
      <w:bookmarkEnd w:id="68"/>
      <w:bookmarkEnd w:id="6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26.1成交人应当自成交通知书发出之日起30日内，按照磋商文件确定的事项和成交人的响应文件，持成交通知书与采购人签订合同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27.1成交人领取成交结果通知书时，按国家计委颁发的《招标代理服务收费管理暂行办法》（计价格[2002]1980号）、（发改价格[2011]534号）规定的收费标准，以</w:t>
      </w:r>
      <w:r>
        <w:rPr>
          <w:rFonts w:hint="eastAsia" w:ascii="宋体" w:hAnsi="宋体" w:eastAsia="宋体" w:cs="宋体"/>
          <w:snapToGrid w:val="0"/>
          <w:szCs w:val="24"/>
          <w:lang w:eastAsia="zh-CN"/>
        </w:rPr>
        <w:t>成交</w:t>
      </w:r>
      <w:r>
        <w:rPr>
          <w:rFonts w:hint="eastAsia" w:ascii="宋体" w:hAnsi="宋体" w:eastAsia="宋体" w:cs="宋体"/>
          <w:snapToGrid w:val="0"/>
          <w:szCs w:val="24"/>
        </w:rPr>
        <w:t>价为基数计取，向采购代理机构一次支付招标代理服务费。</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28、招标服务费应采用转账、现金形式缴纳，不得用投标保证金冲抵。</w:t>
      </w:r>
    </w:p>
    <w:p>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eastAsia="zh-CN"/>
        </w:rPr>
        <w:t>成交</w:t>
      </w:r>
      <w:r>
        <w:rPr>
          <w:rFonts w:hint="eastAsia" w:ascii="宋体" w:hAnsi="宋体" w:eastAsia="宋体" w:cs="宋体"/>
          <w:snapToGrid w:val="0"/>
          <w:szCs w:val="24"/>
        </w:rPr>
        <w:t>人如未按上述第1条规定办理，采购代理机构将没收其投标保证金。提供投标担保的</w:t>
      </w:r>
      <w:r>
        <w:rPr>
          <w:rFonts w:hint="eastAsia" w:ascii="宋体" w:hAnsi="宋体" w:eastAsia="宋体" w:cs="宋体"/>
          <w:snapToGrid w:val="0"/>
          <w:szCs w:val="24"/>
          <w:lang w:eastAsia="zh-CN"/>
        </w:rPr>
        <w:t>供应商</w:t>
      </w:r>
      <w:r>
        <w:rPr>
          <w:rFonts w:hint="eastAsia" w:ascii="宋体" w:hAnsi="宋体" w:eastAsia="宋体" w:cs="宋体"/>
          <w:snapToGrid w:val="0"/>
          <w:szCs w:val="24"/>
        </w:rPr>
        <w:t>将由专业担保机构先行偿付采购代理机构损失。</w:t>
      </w:r>
    </w:p>
    <w:p>
      <w:pPr>
        <w:pStyle w:val="8"/>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pPr>
        <w:spacing w:line="360" w:lineRule="auto"/>
        <w:ind w:firstLine="482" w:firstLineChars="200"/>
        <w:jc w:val="center"/>
        <w:rPr>
          <w:rFonts w:hint="eastAsia" w:ascii="宋体" w:hAnsi="宋体" w:eastAsia="宋体" w:cs="宋体"/>
          <w:b/>
          <w:snapToGrid w:val="0"/>
          <w:szCs w:val="24"/>
        </w:rPr>
      </w:pPr>
      <w:bookmarkStart w:id="70"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0"/>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pPr>
        <w:spacing w:line="360" w:lineRule="auto"/>
        <w:jc w:val="center"/>
        <w:rPr>
          <w:rFonts w:hint="eastAsia" w:ascii="宋体" w:hAnsi="宋体" w:eastAsia="宋体" w:cs="宋体"/>
          <w:kern w:val="0"/>
          <w:sz w:val="28"/>
          <w:szCs w:val="28"/>
        </w:rPr>
      </w:pPr>
      <w:bookmarkStart w:id="71" w:name="_Toc506112138"/>
      <w:bookmarkStart w:id="72" w:name="_Toc458617466"/>
      <w:bookmarkStart w:id="73" w:name="_Toc458617743"/>
      <w:bookmarkStart w:id="74" w:name="_Toc506112139"/>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1"/>
      <w:r>
        <w:rPr>
          <w:rFonts w:hint="eastAsia" w:ascii="宋体" w:hAnsi="宋体" w:eastAsia="宋体" w:cs="宋体"/>
          <w:b/>
          <w:snapToGrid w:val="0"/>
          <w:szCs w:val="24"/>
        </w:rPr>
        <w:t>(按照中华人民共和国财政部令第94号执行)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33.5.3质疑递交地址：华睿诚项目管理有限公司（</w:t>
      </w:r>
      <w:r>
        <w:rPr>
          <w:rFonts w:hint="eastAsia" w:ascii="宋体" w:hAnsi="宋体" w:eastAsia="宋体" w:cs="宋体"/>
          <w:sz w:val="24"/>
          <w:szCs w:val="24"/>
          <w:lang w:val="zh-CN"/>
        </w:rPr>
        <w:t>榆林市榆林大道南段富源大厦6楼综合办公室</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33.5.4联系人：杨女士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33.5.5联系电话：3623000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（十三）拒绝商业贿赂</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pPr>
        <w:pStyle w:val="8"/>
        <w:spacing w:line="360" w:lineRule="auto"/>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3"/>
        <w:numPr>
          <w:ilvl w:val="0"/>
          <w:numId w:val="0"/>
        </w:numPr>
        <w:bidi w:val="0"/>
        <w:jc w:val="center"/>
        <w:rPr>
          <w:rFonts w:hint="eastAsia" w:ascii="宋体" w:hAnsi="宋体" w:eastAsia="宋体" w:cs="宋体"/>
          <w:lang w:val="en-US" w:eastAsia="zh-CN"/>
        </w:rPr>
      </w:pPr>
      <w:bookmarkStart w:id="75" w:name="_Toc9974"/>
      <w:bookmarkStart w:id="76" w:name="_Toc623"/>
      <w:bookmarkStart w:id="77" w:name="_Toc31624"/>
      <w:bookmarkStart w:id="78" w:name="_Toc25307_WPSOffice_Level1"/>
      <w:r>
        <w:rPr>
          <w:rFonts w:hint="eastAsia" w:ascii="宋体" w:hAnsi="宋体" w:cs="宋体"/>
          <w:lang w:val="en-US" w:eastAsia="zh-CN"/>
        </w:rPr>
        <w:t xml:space="preserve">第三章  </w:t>
      </w:r>
      <w:r>
        <w:rPr>
          <w:rFonts w:hint="eastAsia" w:ascii="宋体" w:hAnsi="宋体" w:eastAsia="宋体" w:cs="宋体"/>
          <w:lang w:val="en-US" w:eastAsia="zh-CN"/>
        </w:rPr>
        <w:t>合同范本</w:t>
      </w:r>
      <w:bookmarkEnd w:id="75"/>
      <w:bookmarkEnd w:id="76"/>
      <w:bookmarkEnd w:id="77"/>
      <w:bookmarkEnd w:id="78"/>
    </w:p>
    <w:p>
      <w:pPr>
        <w:spacing w:line="360" w:lineRule="auto"/>
        <w:jc w:val="center"/>
        <w:rPr>
          <w:rFonts w:hint="eastAsia" w:ascii="宋体" w:hAnsi="宋体" w:eastAsia="宋体" w:cs="宋体"/>
          <w:b/>
          <w:color w:val="000000"/>
          <w:sz w:val="36"/>
          <w:szCs w:val="52"/>
        </w:rPr>
      </w:pPr>
      <w:bookmarkStart w:id="79" w:name="_Toc2880"/>
      <w:bookmarkStart w:id="80" w:name="_Toc10388"/>
      <w:bookmarkStart w:id="81" w:name="_Toc324521850"/>
      <w:bookmarkStart w:id="82" w:name="_Toc290389757"/>
      <w:bookmarkStart w:id="83" w:name="_Toc32712"/>
      <w:bookmarkStart w:id="84" w:name="_Toc29665"/>
      <w:bookmarkStart w:id="85" w:name="_Toc321812053"/>
    </w:p>
    <w:bookmarkEnd w:id="79"/>
    <w:bookmarkEnd w:id="80"/>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64" w:firstLineChars="1090"/>
        <w:rPr>
          <w:rFonts w:hint="eastAsia" w:ascii="宋体" w:hAnsi="宋体" w:eastAsia="宋体" w:cs="宋体"/>
          <w:b/>
          <w:bCs/>
          <w:sz w:val="28"/>
          <w:szCs w:val="28"/>
        </w:rPr>
      </w:pPr>
      <w:bookmarkStart w:id="86" w:name="_Toc109542396"/>
      <w:bookmarkStart w:id="87" w:name="_Toc109543216"/>
    </w:p>
    <w:p>
      <w:pPr>
        <w:spacing w:before="120" w:line="360" w:lineRule="auto"/>
        <w:jc w:val="center"/>
        <w:rPr>
          <w:rFonts w:hint="eastAsia" w:ascii="宋体" w:hAnsi="宋体" w:eastAsia="宋体" w:cs="宋体"/>
          <w:sz w:val="28"/>
          <w:szCs w:val="28"/>
          <w:u w:val="single"/>
          <w:lang w:val="en-US" w:eastAsia="zh-CN"/>
        </w:rPr>
      </w:pPr>
      <w:r>
        <w:rPr>
          <w:rFonts w:hint="eastAsia" w:ascii="宋体" w:hAnsi="宋体" w:eastAsia="宋体" w:cs="宋体"/>
          <w:b/>
          <w:bCs/>
          <w:sz w:val="28"/>
          <w:szCs w:val="28"/>
        </w:rPr>
        <w:t>合同编号：</w:t>
      </w:r>
      <w:bookmarkEnd w:id="86"/>
      <w:bookmarkEnd w:id="87"/>
      <w:r>
        <w:rPr>
          <w:rFonts w:hint="eastAsia" w:ascii="宋体" w:hAnsi="宋体" w:eastAsia="宋体" w:cs="宋体"/>
          <w:b/>
          <w:bCs/>
          <w:sz w:val="28"/>
          <w:szCs w:val="28"/>
          <w:u w:val="single"/>
          <w:lang w:val="en-US" w:eastAsia="zh-CN"/>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ascii="宋体" w:hAnsi="宋体" w:eastAsia="宋体" w:cs="宋体"/>
          <w:b/>
          <w:bCs/>
          <w:sz w:val="28"/>
          <w:szCs w:val="28"/>
          <w:u w:val="none"/>
        </w:rPr>
      </w:pPr>
      <w:r>
        <w:rPr>
          <w:rFonts w:hint="eastAsia" w:ascii="宋体" w:hAnsi="宋体" w:eastAsia="宋体" w:cs="宋体"/>
          <w:b/>
          <w:bCs/>
          <w:sz w:val="28"/>
          <w:szCs w:val="28"/>
        </w:rPr>
        <w:t>项目名称：</w:t>
      </w:r>
      <w:r>
        <w:rPr>
          <w:rFonts w:hint="eastAsia" w:ascii="宋体" w:hAnsi="宋体" w:eastAsia="宋体" w:cs="宋体"/>
          <w:b/>
          <w:bCs/>
          <w:color w:val="000000"/>
          <w:sz w:val="28"/>
          <w:szCs w:val="28"/>
          <w:u w:val="single"/>
        </w:rPr>
        <w:t xml:space="preserve">                            </w:t>
      </w:r>
      <w:r>
        <w:rPr>
          <w:rFonts w:hint="eastAsia" w:ascii="宋体" w:hAnsi="宋体" w:eastAsia="宋体" w:cs="宋体"/>
          <w:b/>
          <w:bCs/>
          <w:sz w:val="28"/>
          <w:szCs w:val="28"/>
          <w:u w:val="none"/>
        </w:rPr>
        <w:t xml:space="preserve">     </w:t>
      </w: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lang w:eastAsia="zh-CN"/>
        </w:rPr>
        <w:t>招</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lang w:eastAsia="zh-CN"/>
        </w:rPr>
        <w:t>投</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p>
    <w:p>
      <w:pPr>
        <w:spacing w:line="360" w:lineRule="auto"/>
        <w:ind w:firstLine="981" w:firstLineChars="349"/>
        <w:rPr>
          <w:rFonts w:hint="eastAsia" w:ascii="宋体" w:hAnsi="宋体" w:eastAsia="宋体" w:cs="宋体"/>
          <w:b/>
          <w:bCs/>
          <w:sz w:val="28"/>
          <w:szCs w:val="28"/>
          <w:u w:val="single"/>
          <w:lang w:val="en-US" w:eastAsia="zh-CN"/>
        </w:rPr>
        <w:sectPr>
          <w:headerReference r:id="rId11" w:type="first"/>
          <w:footerReference r:id="rId13" w:type="first"/>
          <w:headerReference r:id="rId10" w:type="default"/>
          <w:footerReference r:id="rId12"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bCs/>
          <w:sz w:val="28"/>
          <w:szCs w:val="28"/>
        </w:rPr>
        <w:t>签署日期：</w:t>
      </w:r>
      <w:r>
        <w:rPr>
          <w:rFonts w:hint="eastAsia" w:ascii="宋体" w:hAnsi="宋体" w:eastAsia="宋体" w:cs="宋体"/>
          <w:b/>
          <w:bCs/>
          <w:sz w:val="28"/>
          <w:szCs w:val="28"/>
          <w:u w:val="single"/>
          <w:lang w:val="en-US" w:eastAsia="zh-CN"/>
        </w:rPr>
        <w:t xml:space="preserve">                           </w:t>
      </w:r>
    </w:p>
    <w:bookmarkEnd w:id="81"/>
    <w:bookmarkEnd w:id="82"/>
    <w:bookmarkEnd w:id="83"/>
    <w:bookmarkEnd w:id="84"/>
    <w:bookmarkEnd w:id="85"/>
    <w:p>
      <w:pPr>
        <w:spacing w:line="560" w:lineRule="exact"/>
        <w:jc w:val="center"/>
        <w:rPr>
          <w:rFonts w:hint="eastAsia" w:ascii="宋体" w:hAnsi="宋体" w:eastAsia="宋体" w:cs="宋体"/>
          <w:b/>
          <w:bCs/>
          <w:sz w:val="24"/>
          <w:szCs w:val="24"/>
        </w:rPr>
      </w:pPr>
      <w:bookmarkStart w:id="88" w:name="_Toc10411"/>
      <w:bookmarkStart w:id="89" w:name="_Toc4166"/>
      <w:r>
        <w:rPr>
          <w:rFonts w:hint="eastAsia" w:ascii="宋体" w:hAnsi="宋体" w:eastAsia="宋体" w:cs="宋体"/>
          <w:b/>
          <w:bCs/>
          <w:sz w:val="24"/>
          <w:szCs w:val="24"/>
        </w:rPr>
        <w:t>第一部分  协议书</w:t>
      </w:r>
    </w:p>
    <w:p>
      <w:pPr>
        <w:adjustRightInd w:val="0"/>
        <w:snapToGrid w:val="0"/>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采购人（甲方）：</w:t>
      </w:r>
      <w:r>
        <w:rPr>
          <w:rFonts w:hint="eastAsia" w:ascii="宋体" w:hAnsi="宋体" w:eastAsia="宋体" w:cs="宋体"/>
          <w:b/>
          <w:sz w:val="24"/>
          <w:szCs w:val="24"/>
          <w:u w:val="single"/>
        </w:rPr>
        <w:t xml:space="preserve">                                  </w:t>
      </w:r>
    </w:p>
    <w:p>
      <w:pPr>
        <w:adjustRightInd w:val="0"/>
        <w:snapToGrid w:val="0"/>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供应商（乙方）：</w:t>
      </w:r>
      <w:r>
        <w:rPr>
          <w:rFonts w:hint="eastAsia" w:ascii="宋体" w:hAnsi="宋体" w:eastAsia="宋体" w:cs="宋体"/>
          <w:b/>
          <w:sz w:val="24"/>
          <w:szCs w:val="24"/>
          <w:u w:val="single"/>
        </w:rPr>
        <w:t xml:space="preserve">                                  </w:t>
      </w:r>
    </w:p>
    <w:p>
      <w:pPr>
        <w:adjustRightInd w:val="0"/>
        <w:snapToGrid w:val="0"/>
        <w:spacing w:line="4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根据《中华人民共和国民法典》及其他有关法律、法规，遵循平等、自愿、公平和诚信的原则，双方就下述项目范围与相关服务事项协商一致，订立本合同。</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一、项目概况</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二、组成本合同的文件</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协议书；</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通知书、投标文件、招标文件、澄清、措施补充文件；</w:t>
      </w:r>
    </w:p>
    <w:p>
      <w:pPr>
        <w:adjustRightInd w:val="0"/>
        <w:snapToGrid w:val="0"/>
        <w:spacing w:line="460" w:lineRule="exact"/>
        <w:rPr>
          <w:rFonts w:hint="eastAsia" w:ascii="宋体" w:hAnsi="宋体" w:eastAsia="宋体" w:cs="宋体"/>
          <w:sz w:val="24"/>
          <w:szCs w:val="24"/>
        </w:rPr>
      </w:pPr>
      <w:r>
        <w:rPr>
          <w:rFonts w:hint="eastAsia" w:ascii="宋体" w:hAnsi="宋体" w:eastAsia="宋体" w:cs="宋体"/>
          <w:sz w:val="24"/>
          <w:szCs w:val="24"/>
        </w:rPr>
        <w:t xml:space="preserve">    3. 附录，即：附表内相关货物、服务的范围和内容；</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三、合同金额</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合同总价款（含税金额）：</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 219854 \* CHINESENUM4 \* MERGEFORMAT </w:instrText>
      </w:r>
      <w:r>
        <w:rPr>
          <w:rFonts w:hint="eastAsia" w:ascii="宋体" w:hAnsi="宋体" w:eastAsia="宋体" w:cs="宋体"/>
          <w:sz w:val="24"/>
          <w:szCs w:val="24"/>
          <w:u w:val="single"/>
        </w:rPr>
        <w:fldChar w:fldCharType="separate"/>
      </w:r>
      <w:r>
        <w:rPr>
          <w:rFonts w:hint="eastAsia" w:ascii="宋体" w:hAnsi="宋体" w:eastAsia="宋体" w:cs="宋体"/>
          <w:sz w:val="24"/>
          <w:szCs w:val="24"/>
          <w:u w:val="single"/>
        </w:rPr>
        <w:t xml:space="preserve">               元整</w:t>
      </w:r>
      <w:r>
        <w:rPr>
          <w:rFonts w:hint="eastAsia" w:ascii="宋体" w:hAnsi="宋体" w:eastAsia="宋体" w:cs="宋体"/>
          <w:sz w:val="24"/>
          <w:szCs w:val="24"/>
          <w:u w:val="single"/>
        </w:rPr>
        <w:fldChar w:fldCharType="end"/>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合同总价即中标价，为一次性报价，不受市场价变化影响。合同价格为含税价，供应商（成交人）提供服务所发生的一切税费等都已包含于合同价款中。</w:t>
      </w:r>
    </w:p>
    <w:p>
      <w:pPr>
        <w:adjustRightInd w:val="0"/>
        <w:snapToGrid w:val="0"/>
        <w:spacing w:line="460" w:lineRule="exact"/>
        <w:rPr>
          <w:rFonts w:hint="eastAsia" w:ascii="宋体" w:hAnsi="宋体" w:eastAsia="宋体" w:cs="宋体"/>
          <w:b/>
          <w:sz w:val="24"/>
          <w:szCs w:val="24"/>
        </w:rPr>
      </w:pPr>
      <w:r>
        <w:rPr>
          <w:rFonts w:hint="eastAsia" w:ascii="宋体" w:hAnsi="宋体" w:eastAsia="宋体" w:cs="宋体"/>
          <w:b/>
          <w:sz w:val="24"/>
          <w:szCs w:val="24"/>
        </w:rPr>
        <w:t>四、结算方式</w:t>
      </w:r>
    </w:p>
    <w:p>
      <w:pPr>
        <w:pStyle w:val="1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1.本项目成交人承担完成项目所有费用。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2.付款方式和程序：</w:t>
      </w:r>
    </w:p>
    <w:p>
      <w:pPr>
        <w:pStyle w:val="21"/>
        <w:numPr>
          <w:ilvl w:val="0"/>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甲方开票信息（增值税     发票）：</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地址、电话：</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开户行及行号：</w:t>
      </w:r>
      <w:r>
        <w:rPr>
          <w:rFonts w:hint="eastAsia" w:ascii="宋体" w:hAnsi="宋体" w:eastAsia="宋体" w:cs="宋体"/>
          <w:sz w:val="24"/>
          <w:szCs w:val="24"/>
          <w:u w:val="single"/>
        </w:rPr>
        <w:t xml:space="preserve">                        </w:t>
      </w:r>
    </w:p>
    <w:p>
      <w:pPr>
        <w:pStyle w:val="21"/>
        <w:numPr>
          <w:ilvl w:val="0"/>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乙方收款账号：</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开户名：</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pPr>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p>
    <w:p>
      <w:pPr>
        <w:pStyle w:val="21"/>
        <w:spacing w:line="360" w:lineRule="auto"/>
        <w:ind w:left="480" w:leftChars="200"/>
        <w:rPr>
          <w:rFonts w:hint="eastAsia" w:ascii="宋体" w:hAnsi="宋体" w:eastAsia="宋体" w:cs="宋体"/>
          <w:sz w:val="24"/>
          <w:szCs w:val="24"/>
        </w:rPr>
      </w:pPr>
      <w:r>
        <w:rPr>
          <w:rFonts w:hint="eastAsia" w:ascii="宋体" w:hAnsi="宋体" w:eastAsia="宋体" w:cs="宋体"/>
          <w:sz w:val="24"/>
          <w:szCs w:val="24"/>
        </w:rPr>
        <w:t>行  号：</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五、</w:t>
      </w:r>
      <w:r>
        <w:rPr>
          <w:rFonts w:hint="eastAsia" w:ascii="宋体" w:hAnsi="宋体" w:cs="宋体"/>
          <w:b/>
          <w:bCs/>
          <w:sz w:val="24"/>
          <w:szCs w:val="24"/>
          <w:lang w:val="en-US" w:eastAsia="zh-CN"/>
        </w:rPr>
        <w:t>交货期</w:t>
      </w:r>
      <w:r>
        <w:rPr>
          <w:rFonts w:hint="eastAsia" w:ascii="宋体" w:hAnsi="宋体" w:eastAsia="宋体" w:cs="宋体"/>
          <w:b/>
          <w:bCs/>
          <w:sz w:val="24"/>
          <w:szCs w:val="24"/>
          <w:lang w:eastAsia="zh-CN"/>
        </w:rPr>
        <w:t>：</w:t>
      </w:r>
    </w:p>
    <w:p>
      <w:pPr>
        <w:spacing w:line="360" w:lineRule="auto"/>
        <w:rPr>
          <w:rFonts w:hint="eastAsia" w:ascii="宋体" w:hAnsi="宋体" w:eastAsia="宋体" w:cs="宋体"/>
          <w:b/>
          <w:bCs w:val="0"/>
          <w:sz w:val="24"/>
          <w:szCs w:val="24"/>
          <w:lang w:eastAsia="zh-CN"/>
        </w:rPr>
      </w:pPr>
      <w:r>
        <w:rPr>
          <w:rFonts w:hint="eastAsia" w:ascii="宋体" w:hAnsi="宋体" w:eastAsia="宋体" w:cs="宋体"/>
          <w:b/>
          <w:bCs w:val="0"/>
          <w:sz w:val="24"/>
          <w:szCs w:val="24"/>
        </w:rPr>
        <w:t>六、质保期</w:t>
      </w:r>
      <w:r>
        <w:rPr>
          <w:rFonts w:hint="eastAsia" w:ascii="宋体" w:hAnsi="宋体" w:eastAsia="宋体" w:cs="宋体"/>
          <w:b/>
          <w:bCs w:val="0"/>
          <w:sz w:val="24"/>
          <w:szCs w:val="24"/>
          <w:lang w:eastAsia="zh-CN"/>
        </w:rPr>
        <w:t>：</w:t>
      </w:r>
    </w:p>
    <w:p>
      <w:pPr>
        <w:pStyle w:val="2"/>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七、售后服务</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售后服务热线: 联系人</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联系方式</w:t>
      </w:r>
      <w:r>
        <w:rPr>
          <w:rFonts w:hint="eastAsia" w:ascii="宋体" w:hAnsi="宋体" w:eastAsia="宋体" w:cs="宋体"/>
          <w:b w:val="0"/>
          <w:sz w:val="24"/>
          <w:szCs w:val="24"/>
          <w:u w:val="single"/>
        </w:rPr>
        <w:t xml:space="preserve">             </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提供7×24小时×365天技术支持服务，在接到技术支持要求时，为系统使用人员提供如何使用系统的咨询。</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在使用系统如遇到软件、硬件或是网络问题，需提供电话支持与帮助。一旦接到请求电话，需在规定时间内通过电话解决或回答用户所出的问题。</w:t>
      </w:r>
    </w:p>
    <w:p>
      <w:pPr>
        <w:pStyle w:val="2"/>
        <w:spacing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在接到故障报修要求时，0.5小时内做出明确响应和安排，一般问题需在2小时内为采购人提供故障恢复服务，重大故障需在24小时内恢复并做出故障诊断报告。</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八、保密</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对工作中了解到的采购人的机密等进行严格保密，不得向他人泄漏。本合同的解除或终止不免除供应商应承担的保密义务。</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九、知识产权</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成交单位应保证响应产品及服务不会出现因第三方提出侵犯其专利权、商标权或其它知识产权而引发法律或经济纠纷，否则由成交单位承担全部责任。任何被成交单位用于未经授权的商业目的行为所造成的违约或侵权责任由成交单位承但。</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十、合同争议的解决</w:t>
      </w:r>
    </w:p>
    <w:p>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合同执行中发生争议的，当事人双方应协商解决。协商达不成一致时，可向甲方所在地有管辖权限的人民法院提请诉讼。</w:t>
      </w:r>
    </w:p>
    <w:p>
      <w:pPr>
        <w:spacing w:line="460" w:lineRule="exact"/>
        <w:jc w:val="left"/>
        <w:rPr>
          <w:rFonts w:hint="eastAsia" w:ascii="宋体" w:hAnsi="宋体" w:eastAsia="宋体" w:cs="宋体"/>
          <w:b/>
          <w:bCs/>
          <w:sz w:val="24"/>
          <w:szCs w:val="24"/>
        </w:rPr>
      </w:pPr>
      <w:r>
        <w:rPr>
          <w:rFonts w:hint="eastAsia" w:ascii="宋体" w:hAnsi="宋体" w:eastAsia="宋体" w:cs="宋体"/>
          <w:b/>
          <w:bCs/>
          <w:sz w:val="24"/>
          <w:szCs w:val="24"/>
        </w:rPr>
        <w:t>十一、不可抗力情况下的免责约定</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双方约定不可抗力情况指：双方不可预见、不可避免、不可克服的客观情况，但不包括双方的违约或疏忽。这些事件包括但不限于：战争、严重火灾、洪水、台风、地震、瘟疫等。</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十二、违约责任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据《中华人民共和国民法典》、《中华人民共和国政府采购法》、《中华人民共和国政府采购法实施条例》的相关条款和本合同约定，中标供应商未全面履行合同义务或者发生违约，经甲方催告后仍未整改的，采购单位有权选择终止合同，依法向中标供应商进行经济索赔，并报请政府采购监督管理机关进行相应的行政处罚。采购单位违约的，应当赔偿给中标供应商造成的经济损失。</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十三、其他（在合同中具体明确）</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十四、合同订立</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36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980"/>
        </w:tabs>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份，代理机构</w:t>
      </w:r>
      <w:r>
        <w:rPr>
          <w:rFonts w:hint="eastAsia" w:ascii="宋体" w:hAnsi="宋体" w:eastAsia="宋体" w:cs="宋体"/>
          <w:sz w:val="24"/>
          <w:szCs w:val="24"/>
          <w:u w:val="single"/>
        </w:rPr>
        <w:t xml:space="preserve"> 壹 </w:t>
      </w:r>
      <w:r>
        <w:rPr>
          <w:rFonts w:hint="eastAsia" w:ascii="宋体" w:hAnsi="宋体" w:eastAsia="宋体" w:cs="宋体"/>
          <w:sz w:val="24"/>
          <w:szCs w:val="24"/>
        </w:rPr>
        <w:t>份，签字盖章后生效，未尽事宜，双方协商解决。</w:t>
      </w:r>
    </w:p>
    <w:p>
      <w:pPr>
        <w:pStyle w:val="2"/>
        <w:spacing w:line="360" w:lineRule="auto"/>
        <w:rPr>
          <w:rFonts w:hint="eastAsia" w:ascii="宋体" w:hAnsi="宋体" w:eastAsia="宋体" w:cs="宋体"/>
          <w:sz w:val="24"/>
          <w:szCs w:val="24"/>
        </w:rPr>
      </w:pP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 xml:space="preserve">            供应商：</w:t>
      </w:r>
      <w:r>
        <w:rPr>
          <w:rFonts w:hint="eastAsia" w:ascii="宋体" w:hAnsi="宋体" w:eastAsia="宋体" w:cs="宋体"/>
          <w:sz w:val="24"/>
          <w:szCs w:val="24"/>
          <w:u w:val="single"/>
        </w:rPr>
        <w:t xml:space="preserve">   （盖章）         </w:t>
      </w:r>
    </w:p>
    <w:p>
      <w:pPr>
        <w:adjustRightInd w:val="0"/>
        <w:snapToGrid w:val="0"/>
        <w:spacing w:line="460" w:lineRule="exact"/>
        <w:ind w:firstLine="475" w:firstLineChars="198"/>
        <w:rPr>
          <w:rFonts w:hint="eastAsia" w:ascii="宋体" w:hAnsi="宋体" w:eastAsia="宋体" w:cs="宋体"/>
          <w:sz w:val="24"/>
          <w:szCs w:val="24"/>
          <w:u w:val="single"/>
        </w:rPr>
      </w:pPr>
      <w:r>
        <w:rPr>
          <w:rFonts w:hint="eastAsia" w:ascii="宋体" w:hAnsi="宋体" w:eastAsia="宋体" w:cs="宋体"/>
          <w:sz w:val="24"/>
          <w:szCs w:val="24"/>
        </w:rPr>
        <w:t xml:space="preserve">地 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 xml:space="preserve">法定代表人或其授权                   法定代表人或其授权 </w:t>
      </w:r>
    </w:p>
    <w:p>
      <w:pPr>
        <w:adjustRightInd w:val="0"/>
        <w:snapToGrid w:val="0"/>
        <w:spacing w:line="4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（签字或盖章）  </w:t>
      </w:r>
      <w:r>
        <w:rPr>
          <w:rFonts w:hint="eastAsia" w:ascii="宋体" w:hAnsi="宋体" w:eastAsia="宋体" w:cs="宋体"/>
          <w:sz w:val="24"/>
          <w:szCs w:val="24"/>
        </w:rPr>
        <w:t xml:space="preserve">           的代理人：</w:t>
      </w:r>
      <w:r>
        <w:rPr>
          <w:rFonts w:hint="eastAsia" w:ascii="宋体" w:hAnsi="宋体" w:eastAsia="宋体" w:cs="宋体"/>
          <w:sz w:val="24"/>
          <w:szCs w:val="24"/>
          <w:u w:val="single"/>
        </w:rPr>
        <w:t xml:space="preserve">（签字或盖章）      </w:t>
      </w:r>
    </w:p>
    <w:p>
      <w:pPr>
        <w:adjustRightInd w:val="0"/>
        <w:snapToGrid w:val="0"/>
        <w:spacing w:line="460" w:lineRule="exact"/>
        <w:ind w:firstLine="475" w:firstLineChars="198"/>
        <w:rPr>
          <w:rFonts w:hint="eastAsia" w:ascii="宋体" w:hAnsi="宋体" w:eastAsia="宋体" w:cs="宋体"/>
          <w:sz w:val="24"/>
          <w:szCs w:val="24"/>
          <w:u w:val="single"/>
        </w:rPr>
      </w:pPr>
      <w:r>
        <w:rPr>
          <w:rFonts w:hint="eastAsia" w:ascii="宋体" w:hAnsi="宋体" w:eastAsia="宋体" w:cs="宋体"/>
          <w:sz w:val="24"/>
          <w:szCs w:val="24"/>
        </w:rPr>
        <w:t>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订立时间：</w:t>
      </w:r>
      <w:r>
        <w:rPr>
          <w:rFonts w:hint="eastAsia" w:ascii="宋体" w:hAnsi="宋体" w:eastAsia="宋体" w:cs="宋体"/>
          <w:sz w:val="24"/>
          <w:szCs w:val="24"/>
          <w:u w:val="single"/>
        </w:rPr>
        <w:t xml:space="preserve">                   </w:t>
      </w:r>
    </w:p>
    <w:p>
      <w:pPr>
        <w:pStyle w:val="98"/>
        <w:ind w:firstLine="643"/>
        <w:rPr>
          <w:rFonts w:hint="eastAsia" w:ascii="宋体" w:hAnsi="宋体" w:eastAsia="宋体" w:cs="宋体"/>
          <w:b/>
          <w:bCs/>
          <w:sz w:val="24"/>
          <w:szCs w:val="24"/>
        </w:rPr>
      </w:pPr>
    </w:p>
    <w:p>
      <w:pPr>
        <w:pStyle w:val="98"/>
        <w:ind w:firstLine="643"/>
        <w:rPr>
          <w:rFonts w:hint="eastAsia" w:ascii="宋体" w:hAnsi="宋体" w:eastAsia="宋体" w:cs="宋体"/>
          <w:b/>
          <w:bCs/>
          <w:sz w:val="24"/>
          <w:szCs w:val="24"/>
        </w:rPr>
      </w:pPr>
    </w:p>
    <w:p>
      <w:pPr>
        <w:pStyle w:val="98"/>
        <w:ind w:firstLine="643"/>
        <w:rPr>
          <w:rFonts w:ascii="仿宋" w:hAnsi="仿宋" w:eastAsia="仿宋" w:cs="仿宋"/>
          <w:b/>
          <w:bCs/>
          <w:sz w:val="32"/>
          <w:szCs w:val="32"/>
        </w:rPr>
        <w:sectPr>
          <w:pgSz w:w="11906" w:h="16838"/>
          <w:pgMar w:top="1440" w:right="1440" w:bottom="1440" w:left="1440" w:header="850" w:footer="992" w:gutter="0"/>
          <w:pgNumType w:fmt="decimal"/>
          <w:cols w:space="720" w:num="1"/>
          <w:docGrid w:type="lines" w:linePitch="322" w:charSpace="0"/>
        </w:sectPr>
      </w:pPr>
    </w:p>
    <w:p>
      <w:pPr>
        <w:pStyle w:val="3"/>
        <w:numPr>
          <w:ilvl w:val="0"/>
          <w:numId w:val="0"/>
        </w:numPr>
        <w:bidi w:val="0"/>
        <w:ind w:leftChars="0"/>
        <w:rPr>
          <w:rFonts w:hint="eastAsia" w:ascii="宋体" w:hAnsi="宋体" w:eastAsia="宋体" w:cs="宋体"/>
        </w:rPr>
      </w:pPr>
      <w:bookmarkStart w:id="90" w:name="_Toc15823"/>
      <w:r>
        <w:rPr>
          <w:rFonts w:hint="eastAsia" w:ascii="宋体" w:hAnsi="宋体" w:cs="宋体"/>
          <w:lang w:val="en-US" w:eastAsia="zh-CN"/>
        </w:rPr>
        <w:t xml:space="preserve">第四章  </w:t>
      </w:r>
      <w:r>
        <w:rPr>
          <w:rFonts w:hint="eastAsia" w:ascii="宋体" w:hAnsi="宋体" w:eastAsia="宋体" w:cs="宋体"/>
        </w:rPr>
        <w:t>采购内容及技术要求</w:t>
      </w:r>
      <w:bookmarkEnd w:id="88"/>
      <w:bookmarkEnd w:id="89"/>
      <w:bookmarkEnd w:id="90"/>
    </w:p>
    <w:p>
      <w:pPr>
        <w:rPr>
          <w:rFonts w:hint="eastAsia" w:ascii="宋体" w:hAnsi="宋体" w:eastAsia="宋体" w:cs="宋体"/>
        </w:rPr>
      </w:pPr>
    </w:p>
    <w:tbl>
      <w:tblPr>
        <w:tblStyle w:val="26"/>
        <w:tblW w:w="96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395"/>
        <w:gridCol w:w="1166"/>
        <w:gridCol w:w="1539"/>
        <w:gridCol w:w="459"/>
        <w:gridCol w:w="459"/>
        <w:gridCol w:w="459"/>
        <w:gridCol w:w="459"/>
        <w:gridCol w:w="564"/>
        <w:gridCol w:w="564"/>
        <w:gridCol w:w="564"/>
        <w:gridCol w:w="459"/>
        <w:gridCol w:w="459"/>
        <w:gridCol w:w="564"/>
        <w:gridCol w:w="564"/>
        <w:gridCol w:w="564"/>
        <w:gridCol w:w="564"/>
        <w:gridCol w:w="565"/>
        <w:gridCol w:w="670"/>
        <w:gridCol w:w="565"/>
        <w:gridCol w:w="565"/>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26" w:type="dxa"/>
            <w:gridSpan w:val="2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清涧县公办幼儿园申报短缺“中小型玩具”配备需求统计表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石咀驿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玉家河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老舍古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店则沟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折家坪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郝家焉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下廿里铺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乐堂堡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解家沟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76835</wp:posOffset>
                  </wp:positionV>
                  <wp:extent cx="661670" cy="652145"/>
                  <wp:effectExtent l="0" t="0" r="5080" b="14605"/>
                  <wp:wrapNone/>
                  <wp:docPr id="12" name="图片_5"/>
                  <wp:cNvGraphicFramePr/>
                  <a:graphic xmlns:a="http://schemas.openxmlformats.org/drawingml/2006/main">
                    <a:graphicData uri="http://schemas.openxmlformats.org/drawingml/2006/picture">
                      <pic:pic xmlns:pic="http://schemas.openxmlformats.org/drawingml/2006/picture">
                        <pic:nvPicPr>
                          <pic:cNvPr id="12" name="图片_5"/>
                          <pic:cNvPicPr/>
                        </pic:nvPicPr>
                        <pic:blipFill>
                          <a:blip r:embed="rId19"/>
                          <a:stretch>
                            <a:fillRect/>
                          </a:stretch>
                        </pic:blipFill>
                        <pic:spPr>
                          <a:xfrm>
                            <a:off x="0" y="0"/>
                            <a:ext cx="661670" cy="6521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幼儿四人转车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镀锌钢管+橡胶耐磨轮140*62cm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175260</wp:posOffset>
                  </wp:positionV>
                  <wp:extent cx="829945" cy="586740"/>
                  <wp:effectExtent l="0" t="0" r="8255" b="3810"/>
                  <wp:wrapNone/>
                  <wp:docPr id="14" name="图片_6"/>
                  <wp:cNvGraphicFramePr/>
                  <a:graphic xmlns:a="http://schemas.openxmlformats.org/drawingml/2006/main">
                    <a:graphicData uri="http://schemas.openxmlformats.org/drawingml/2006/picture">
                      <pic:pic xmlns:pic="http://schemas.openxmlformats.org/drawingml/2006/picture">
                        <pic:nvPicPr>
                          <pic:cNvPr id="14" name="图片_6"/>
                          <pic:cNvPicPr/>
                        </pic:nvPicPr>
                        <pic:blipFill>
                          <a:blip r:embed="rId20"/>
                          <a:stretch>
                            <a:fillRect/>
                          </a:stretch>
                        </pic:blipFill>
                        <pic:spPr>
                          <a:xfrm>
                            <a:off x="0" y="0"/>
                            <a:ext cx="829945" cy="58674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偏三轮</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镀锌钢管+橡胶耐磨轮92*62*58cm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275590</wp:posOffset>
                  </wp:positionV>
                  <wp:extent cx="791210" cy="509270"/>
                  <wp:effectExtent l="0" t="0" r="8890" b="5080"/>
                  <wp:wrapNone/>
                  <wp:docPr id="15" name="图片_7"/>
                  <wp:cNvGraphicFramePr/>
                  <a:graphic xmlns:a="http://schemas.openxmlformats.org/drawingml/2006/main">
                    <a:graphicData uri="http://schemas.openxmlformats.org/drawingml/2006/picture">
                      <pic:pic xmlns:pic="http://schemas.openxmlformats.org/drawingml/2006/picture">
                        <pic:nvPicPr>
                          <pic:cNvPr id="15" name="图片_7"/>
                          <pic:cNvPicPr/>
                        </pic:nvPicPr>
                        <pic:blipFill>
                          <a:blip r:embed="rId21"/>
                          <a:stretch>
                            <a:fillRect/>
                          </a:stretch>
                        </pic:blipFill>
                        <pic:spPr>
                          <a:xfrm>
                            <a:off x="0" y="0"/>
                            <a:ext cx="791210" cy="5092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幼儿货运车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镀锌钢管+橡胶耐磨轮115*50*62cm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231140</wp:posOffset>
                  </wp:positionV>
                  <wp:extent cx="781050" cy="722630"/>
                  <wp:effectExtent l="0" t="0" r="0" b="1270"/>
                  <wp:wrapNone/>
                  <wp:docPr id="1" name="图片_9"/>
                  <wp:cNvGraphicFramePr/>
                  <a:graphic xmlns:a="http://schemas.openxmlformats.org/drawingml/2006/main">
                    <a:graphicData uri="http://schemas.openxmlformats.org/drawingml/2006/picture">
                      <pic:pic xmlns:pic="http://schemas.openxmlformats.org/drawingml/2006/picture">
                        <pic:nvPicPr>
                          <pic:cNvPr id="1" name="图片_9"/>
                          <pic:cNvPicPr/>
                        </pic:nvPicPr>
                        <pic:blipFill>
                          <a:blip r:embed="rId22"/>
                          <a:stretch>
                            <a:fillRect/>
                          </a:stretch>
                        </pic:blipFill>
                        <pic:spPr>
                          <a:xfrm>
                            <a:off x="0" y="0"/>
                            <a:ext cx="781050" cy="72263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幼儿双人踩踏车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镀锌钢管+橡胶耐磨轮120*57*65cm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166370</wp:posOffset>
                  </wp:positionV>
                  <wp:extent cx="714375" cy="473075"/>
                  <wp:effectExtent l="0" t="0" r="9525" b="3175"/>
                  <wp:wrapNone/>
                  <wp:docPr id="2" name="图片_8"/>
                  <wp:cNvGraphicFramePr/>
                  <a:graphic xmlns:a="http://schemas.openxmlformats.org/drawingml/2006/main">
                    <a:graphicData uri="http://schemas.openxmlformats.org/drawingml/2006/picture">
                      <pic:pic xmlns:pic="http://schemas.openxmlformats.org/drawingml/2006/picture">
                        <pic:nvPicPr>
                          <pic:cNvPr id="2" name="图片_8"/>
                          <pic:cNvPicPr/>
                        </pic:nvPicPr>
                        <pic:blipFill>
                          <a:blip r:embed="rId23"/>
                          <a:stretch>
                            <a:fillRect/>
                          </a:stretch>
                        </pic:blipFill>
                        <pic:spPr>
                          <a:xfrm>
                            <a:off x="0" y="0"/>
                            <a:ext cx="714375" cy="4730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幼儿脚踏车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镀锌钢管+橡胶耐磨轮76*57*65cm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147955</wp:posOffset>
                  </wp:positionH>
                  <wp:positionV relativeFrom="paragraph">
                    <wp:posOffset>235585</wp:posOffset>
                  </wp:positionV>
                  <wp:extent cx="454660" cy="528320"/>
                  <wp:effectExtent l="0" t="0" r="2540" b="5080"/>
                  <wp:wrapNone/>
                  <wp:docPr id="10" name="图片_16"/>
                  <wp:cNvGraphicFramePr/>
                  <a:graphic xmlns:a="http://schemas.openxmlformats.org/drawingml/2006/main">
                    <a:graphicData uri="http://schemas.openxmlformats.org/drawingml/2006/picture">
                      <pic:pic xmlns:pic="http://schemas.openxmlformats.org/drawingml/2006/picture">
                        <pic:nvPicPr>
                          <pic:cNvPr id="10" name="图片_16"/>
                          <pic:cNvPicPr/>
                        </pic:nvPicPr>
                        <pic:blipFill>
                          <a:blip r:embed="rId24"/>
                          <a:stretch>
                            <a:fillRect/>
                          </a:stretch>
                        </pic:blipFill>
                        <pic:spPr>
                          <a:xfrm>
                            <a:off x="0" y="0"/>
                            <a:ext cx="454660" cy="5283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两轮脚行车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镀锌钢管+橡胶耐磨轮88*42*62cm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288925</wp:posOffset>
                  </wp:positionV>
                  <wp:extent cx="532130" cy="509270"/>
                  <wp:effectExtent l="0" t="0" r="1270" b="5080"/>
                  <wp:wrapNone/>
                  <wp:docPr id="13" name="图片_10"/>
                  <wp:cNvGraphicFramePr/>
                  <a:graphic xmlns:a="http://schemas.openxmlformats.org/drawingml/2006/main">
                    <a:graphicData uri="http://schemas.openxmlformats.org/drawingml/2006/picture">
                      <pic:pic xmlns:pic="http://schemas.openxmlformats.org/drawingml/2006/picture">
                        <pic:nvPicPr>
                          <pic:cNvPr id="13" name="图片_10"/>
                          <pic:cNvPicPr/>
                        </pic:nvPicPr>
                        <pic:blipFill>
                          <a:blip r:embed="rId25"/>
                          <a:stretch>
                            <a:fillRect/>
                          </a:stretch>
                        </pic:blipFill>
                        <pic:spPr>
                          <a:xfrm>
                            <a:off x="0" y="0"/>
                            <a:ext cx="532130" cy="5092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双人出租车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镀锌钢管+橡胶耐磨轮110*57*65cm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671195</wp:posOffset>
                  </wp:positionV>
                  <wp:extent cx="655955" cy="388620"/>
                  <wp:effectExtent l="0" t="0" r="10795" b="11430"/>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26"/>
                          <a:stretch>
                            <a:fillRect/>
                          </a:stretch>
                        </pic:blipFill>
                        <pic:spPr>
                          <a:xfrm>
                            <a:off x="0" y="0"/>
                            <a:ext cx="655955" cy="3886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幼儿兜风车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镀锌钢管+橡胶耐磨轮95*50*60cm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245745</wp:posOffset>
                  </wp:positionV>
                  <wp:extent cx="391160" cy="530860"/>
                  <wp:effectExtent l="0" t="0" r="8890" b="2540"/>
                  <wp:wrapNone/>
                  <wp:docPr id="11" name="图片_17"/>
                  <wp:cNvGraphicFramePr/>
                  <a:graphic xmlns:a="http://schemas.openxmlformats.org/drawingml/2006/main">
                    <a:graphicData uri="http://schemas.openxmlformats.org/drawingml/2006/picture">
                      <pic:pic xmlns:pic="http://schemas.openxmlformats.org/drawingml/2006/picture">
                        <pic:nvPicPr>
                          <pic:cNvPr id="11" name="图片_17"/>
                          <pic:cNvPicPr/>
                        </pic:nvPicPr>
                        <pic:blipFill>
                          <a:blip r:embed="rId27"/>
                          <a:stretch>
                            <a:fillRect/>
                          </a:stretch>
                        </pic:blipFill>
                        <pic:spPr>
                          <a:xfrm>
                            <a:off x="0" y="0"/>
                            <a:ext cx="391160" cy="53086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平衡脚踏车</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镀锌钢管+橡胶耐磨轮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673735</wp:posOffset>
                  </wp:positionV>
                  <wp:extent cx="558165" cy="339090"/>
                  <wp:effectExtent l="0" t="0" r="13335" b="3810"/>
                  <wp:wrapNone/>
                  <wp:docPr id="17" name="图片_544"/>
                  <wp:cNvGraphicFramePr/>
                  <a:graphic xmlns:a="http://schemas.openxmlformats.org/drawingml/2006/main">
                    <a:graphicData uri="http://schemas.openxmlformats.org/drawingml/2006/picture">
                      <pic:pic xmlns:pic="http://schemas.openxmlformats.org/drawingml/2006/picture">
                        <pic:nvPicPr>
                          <pic:cNvPr id="17" name="图片_544"/>
                          <pic:cNvPicPr/>
                        </pic:nvPicPr>
                        <pic:blipFill>
                          <a:blip r:embed="rId28"/>
                          <a:stretch>
                            <a:fillRect/>
                          </a:stretch>
                        </pic:blipFill>
                        <pic:spPr>
                          <a:xfrm>
                            <a:off x="0" y="0"/>
                            <a:ext cx="558165" cy="33909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妙想积木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wp:posOffset>
                  </wp:positionH>
                  <wp:positionV relativeFrom="paragraph">
                    <wp:posOffset>500380</wp:posOffset>
                  </wp:positionV>
                  <wp:extent cx="799465" cy="328930"/>
                  <wp:effectExtent l="0" t="0" r="635" b="13970"/>
                  <wp:wrapNone/>
                  <wp:docPr id="9" name="图片_545"/>
                  <wp:cNvGraphicFramePr/>
                  <a:graphic xmlns:a="http://schemas.openxmlformats.org/drawingml/2006/main">
                    <a:graphicData uri="http://schemas.openxmlformats.org/drawingml/2006/picture">
                      <pic:pic xmlns:pic="http://schemas.openxmlformats.org/drawingml/2006/picture">
                        <pic:nvPicPr>
                          <pic:cNvPr id="9" name="图片_545"/>
                          <pic:cNvPicPr/>
                        </pic:nvPicPr>
                        <pic:blipFill>
                          <a:blip r:embed="rId29"/>
                          <a:stretch>
                            <a:fillRect/>
                          </a:stretch>
                        </pic:blipFill>
                        <pic:spPr>
                          <a:xfrm>
                            <a:off x="0" y="0"/>
                            <a:ext cx="799465" cy="32893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星星积木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234950</wp:posOffset>
                  </wp:positionV>
                  <wp:extent cx="648335" cy="267970"/>
                  <wp:effectExtent l="0" t="0" r="18415" b="17780"/>
                  <wp:wrapNone/>
                  <wp:docPr id="24" name="图片_546"/>
                  <wp:cNvGraphicFramePr/>
                  <a:graphic xmlns:a="http://schemas.openxmlformats.org/drawingml/2006/main">
                    <a:graphicData uri="http://schemas.openxmlformats.org/drawingml/2006/picture">
                      <pic:pic xmlns:pic="http://schemas.openxmlformats.org/drawingml/2006/picture">
                        <pic:nvPicPr>
                          <pic:cNvPr id="24" name="图片_546"/>
                          <pic:cNvPicPr/>
                        </pic:nvPicPr>
                        <pic:blipFill>
                          <a:blip r:embed="rId30"/>
                          <a:stretch>
                            <a:fillRect/>
                          </a:stretch>
                        </pic:blipFill>
                        <pic:spPr>
                          <a:xfrm>
                            <a:off x="0" y="0"/>
                            <a:ext cx="648335" cy="26797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快乐拼装</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307975</wp:posOffset>
                  </wp:positionV>
                  <wp:extent cx="648970" cy="544830"/>
                  <wp:effectExtent l="0" t="0" r="17780" b="7620"/>
                  <wp:wrapNone/>
                  <wp:docPr id="18" name="图片_547"/>
                  <wp:cNvGraphicFramePr/>
                  <a:graphic xmlns:a="http://schemas.openxmlformats.org/drawingml/2006/main">
                    <a:graphicData uri="http://schemas.openxmlformats.org/drawingml/2006/picture">
                      <pic:pic xmlns:pic="http://schemas.openxmlformats.org/drawingml/2006/picture">
                        <pic:nvPicPr>
                          <pic:cNvPr id="18" name="图片_547"/>
                          <pic:cNvPicPr/>
                        </pic:nvPicPr>
                        <pic:blipFill>
                          <a:blip r:embed="rId31"/>
                          <a:stretch>
                            <a:fillRect/>
                          </a:stretch>
                        </pic:blipFill>
                        <pic:spPr>
                          <a:xfrm>
                            <a:off x="0" y="0"/>
                            <a:ext cx="648970" cy="54483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数字方块积木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400件/套材质：进口食品级环保工程塑料，色彩鲜艳、无毒无味，表面光滑无毛刺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479425</wp:posOffset>
                  </wp:positionV>
                  <wp:extent cx="660400" cy="328930"/>
                  <wp:effectExtent l="0" t="0" r="6350" b="13970"/>
                  <wp:wrapNone/>
                  <wp:docPr id="19" name="图片_549"/>
                  <wp:cNvGraphicFramePr/>
                  <a:graphic xmlns:a="http://schemas.openxmlformats.org/drawingml/2006/main">
                    <a:graphicData uri="http://schemas.openxmlformats.org/drawingml/2006/picture">
                      <pic:pic xmlns:pic="http://schemas.openxmlformats.org/drawingml/2006/picture">
                        <pic:nvPicPr>
                          <pic:cNvPr id="19" name="图片_549"/>
                          <pic:cNvPicPr/>
                        </pic:nvPicPr>
                        <pic:blipFill>
                          <a:blip r:embed="rId32"/>
                          <a:stretch>
                            <a:fillRect/>
                          </a:stretch>
                        </pic:blipFill>
                        <pic:spPr>
                          <a:xfrm>
                            <a:off x="0" y="0"/>
                            <a:ext cx="660400" cy="32893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聪喜乐玩具</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654685</wp:posOffset>
                  </wp:positionV>
                  <wp:extent cx="589280" cy="381635"/>
                  <wp:effectExtent l="0" t="0" r="1270" b="18415"/>
                  <wp:wrapNone/>
                  <wp:docPr id="22" name="图片_550"/>
                  <wp:cNvGraphicFramePr/>
                  <a:graphic xmlns:a="http://schemas.openxmlformats.org/drawingml/2006/main">
                    <a:graphicData uri="http://schemas.openxmlformats.org/drawingml/2006/picture">
                      <pic:pic xmlns:pic="http://schemas.openxmlformats.org/drawingml/2006/picture">
                        <pic:nvPicPr>
                          <pic:cNvPr id="22" name="图片_550"/>
                          <pic:cNvPicPr/>
                        </pic:nvPicPr>
                        <pic:blipFill>
                          <a:blip r:embed="rId33"/>
                          <a:stretch>
                            <a:fillRect/>
                          </a:stretch>
                        </pic:blipFill>
                        <pic:spPr>
                          <a:xfrm>
                            <a:off x="0" y="0"/>
                            <a:ext cx="589280" cy="381635"/>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几何齿轮积木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108585</wp:posOffset>
                  </wp:positionH>
                  <wp:positionV relativeFrom="paragraph">
                    <wp:posOffset>546735</wp:posOffset>
                  </wp:positionV>
                  <wp:extent cx="470535" cy="368935"/>
                  <wp:effectExtent l="0" t="0" r="5715" b="12065"/>
                  <wp:wrapNone/>
                  <wp:docPr id="21" name="图片_551"/>
                  <wp:cNvGraphicFramePr/>
                  <a:graphic xmlns:a="http://schemas.openxmlformats.org/drawingml/2006/main">
                    <a:graphicData uri="http://schemas.openxmlformats.org/drawingml/2006/picture">
                      <pic:pic xmlns:pic="http://schemas.openxmlformats.org/drawingml/2006/picture">
                        <pic:nvPicPr>
                          <pic:cNvPr id="21" name="图片_551"/>
                          <pic:cNvPicPr/>
                        </pic:nvPicPr>
                        <pic:blipFill>
                          <a:blip r:embed="rId34"/>
                          <a:stretch>
                            <a:fillRect/>
                          </a:stretch>
                        </pic:blipFill>
                        <pic:spPr>
                          <a:xfrm>
                            <a:off x="0" y="0"/>
                            <a:ext cx="470535" cy="368935"/>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软体动物积木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627380</wp:posOffset>
                  </wp:positionV>
                  <wp:extent cx="673100" cy="211455"/>
                  <wp:effectExtent l="0" t="0" r="12700" b="17145"/>
                  <wp:wrapNone/>
                  <wp:docPr id="25" name="图片_579"/>
                  <wp:cNvGraphicFramePr/>
                  <a:graphic xmlns:a="http://schemas.openxmlformats.org/drawingml/2006/main">
                    <a:graphicData uri="http://schemas.openxmlformats.org/drawingml/2006/picture">
                      <pic:pic xmlns:pic="http://schemas.openxmlformats.org/drawingml/2006/picture">
                        <pic:nvPicPr>
                          <pic:cNvPr id="25" name="图片_579"/>
                          <pic:cNvPicPr/>
                        </pic:nvPicPr>
                        <pic:blipFill>
                          <a:blip r:embed="rId35"/>
                          <a:stretch>
                            <a:fillRect/>
                          </a:stretch>
                        </pic:blipFill>
                        <pic:spPr>
                          <a:xfrm>
                            <a:off x="0" y="0"/>
                            <a:ext cx="673100" cy="211455"/>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563245</wp:posOffset>
                  </wp:positionV>
                  <wp:extent cx="806450" cy="428625"/>
                  <wp:effectExtent l="0" t="0" r="12700" b="9525"/>
                  <wp:wrapNone/>
                  <wp:docPr id="20" name="图片_598"/>
                  <wp:cNvGraphicFramePr/>
                  <a:graphic xmlns:a="http://schemas.openxmlformats.org/drawingml/2006/main">
                    <a:graphicData uri="http://schemas.openxmlformats.org/drawingml/2006/picture">
                      <pic:pic xmlns:pic="http://schemas.openxmlformats.org/drawingml/2006/picture">
                        <pic:nvPicPr>
                          <pic:cNvPr id="20" name="图片_598"/>
                          <pic:cNvPicPr/>
                        </pic:nvPicPr>
                        <pic:blipFill>
                          <a:blip r:embed="rId36"/>
                          <a:stretch>
                            <a:fillRect/>
                          </a:stretch>
                        </pic:blipFill>
                        <pic:spPr>
                          <a:xfrm>
                            <a:off x="0" y="0"/>
                            <a:ext cx="806450" cy="428625"/>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拼音字母串珠</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452120</wp:posOffset>
                  </wp:positionV>
                  <wp:extent cx="794385" cy="411480"/>
                  <wp:effectExtent l="0" t="0" r="5715" b="7620"/>
                  <wp:wrapNone/>
                  <wp:docPr id="23" name="图片_608"/>
                  <wp:cNvGraphicFramePr/>
                  <a:graphic xmlns:a="http://schemas.openxmlformats.org/drawingml/2006/main">
                    <a:graphicData uri="http://schemas.openxmlformats.org/drawingml/2006/picture">
                      <pic:pic xmlns:pic="http://schemas.openxmlformats.org/drawingml/2006/picture">
                        <pic:nvPicPr>
                          <pic:cNvPr id="23" name="图片_608"/>
                          <pic:cNvPicPr/>
                        </pic:nvPicPr>
                        <pic:blipFill>
                          <a:blip r:embed="rId37"/>
                          <a:stretch>
                            <a:fillRect/>
                          </a:stretch>
                        </pic:blipFill>
                        <pic:spPr>
                          <a:xfrm>
                            <a:off x="0" y="0"/>
                            <a:ext cx="794385" cy="411480"/>
                          </a:xfrm>
                          <a:prstGeom prst="rect">
                            <a:avLst/>
                          </a:prstGeom>
                          <a:noFill/>
                          <a:ln>
                            <a:noFill/>
                          </a:ln>
                        </pic:spPr>
                      </pic:pic>
                    </a:graphicData>
                  </a:graphic>
                </wp:anchor>
              </w:drawing>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动物扣环积木</w:t>
            </w:r>
          </w:p>
        </w:tc>
        <w:tc>
          <w:tcPr>
            <w:tcW w:w="4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650件材质：进口食品级环保工程塑料，色彩鲜艳、无毒无味，表面光滑无毛刺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823</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b/>
          <w:bCs/>
          <w:lang w:val="en-US" w:eastAsia="zh-CN"/>
        </w:rPr>
      </w:pPr>
    </w:p>
    <w:p>
      <w:pPr>
        <w:pStyle w:val="2"/>
        <w:rPr>
          <w:rFonts w:hint="default"/>
          <w:lang w:val="en-US" w:eastAsia="zh-CN"/>
        </w:rPr>
        <w:sectPr>
          <w:pgSz w:w="16838" w:h="11905" w:orient="landscape"/>
          <w:pgMar w:top="1054" w:right="1440" w:bottom="1287" w:left="1440"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numPr>
          <w:ilvl w:val="0"/>
          <w:numId w:val="4"/>
        </w:numPr>
        <w:ind w:left="2880" w:leftChars="0" w:firstLine="0" w:firstLineChars="0"/>
        <w:outlineLvl w:val="0"/>
        <w:rPr>
          <w:rFonts w:hint="eastAsia" w:ascii="宋体" w:hAnsi="宋体" w:eastAsia="宋体" w:cs="宋体"/>
          <w:b/>
          <w:bCs/>
          <w:sz w:val="36"/>
          <w:szCs w:val="36"/>
        </w:rPr>
      </w:pPr>
      <w:bookmarkStart w:id="91" w:name="_Toc23302"/>
      <w:bookmarkStart w:id="92" w:name="_Toc5822"/>
      <w:bookmarkStart w:id="93" w:name="_Toc12457"/>
      <w:r>
        <w:rPr>
          <w:rFonts w:hint="eastAsia" w:ascii="宋体" w:hAnsi="宋体" w:eastAsia="宋体" w:cs="宋体"/>
          <w:b/>
          <w:bCs/>
          <w:sz w:val="36"/>
          <w:szCs w:val="36"/>
        </w:rPr>
        <w:t xml:space="preserve"> </w:t>
      </w:r>
      <w:bookmarkStart w:id="94" w:name="_Toc3370"/>
      <w:r>
        <w:rPr>
          <w:rFonts w:hint="eastAsia" w:ascii="宋体" w:hAnsi="宋体" w:eastAsia="宋体" w:cs="宋体"/>
          <w:b/>
          <w:bCs/>
          <w:sz w:val="36"/>
          <w:szCs w:val="36"/>
        </w:rPr>
        <w:t>商务要求</w:t>
      </w:r>
      <w:bookmarkEnd w:id="91"/>
      <w:bookmarkEnd w:id="92"/>
      <w:bookmarkEnd w:id="93"/>
      <w:bookmarkEnd w:id="94"/>
    </w:p>
    <w:p>
      <w:pPr>
        <w:pStyle w:val="2"/>
        <w:numPr>
          <w:ilvl w:val="0"/>
          <w:numId w:val="0"/>
        </w:numPr>
        <w:rPr>
          <w:rFonts w:hint="eastAsia" w:ascii="宋体" w:hAnsi="宋体" w:eastAsia="宋体" w:cs="宋体"/>
          <w:b w:val="0"/>
          <w:bCs w:val="0"/>
        </w:rPr>
      </w:pPr>
    </w:p>
    <w:p>
      <w:pPr>
        <w:spacing w:beforeLines="0" w:afterLines="0"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一、</w:t>
      </w:r>
      <w:r>
        <w:rPr>
          <w:rFonts w:hint="eastAsia" w:ascii="宋体" w:hAnsi="宋体" w:cs="宋体"/>
          <w:b/>
          <w:color w:val="auto"/>
          <w:sz w:val="24"/>
          <w:lang w:eastAsia="zh-CN"/>
        </w:rPr>
        <w:t>交货期</w:t>
      </w:r>
      <w:r>
        <w:rPr>
          <w:rFonts w:hint="eastAsia" w:ascii="宋体" w:hAnsi="宋体" w:eastAsia="宋体" w:cs="宋体"/>
          <w:b/>
          <w:color w:val="auto"/>
          <w:sz w:val="24"/>
          <w:lang w:eastAsia="zh-CN"/>
        </w:rPr>
        <w:t>：</w:t>
      </w:r>
      <w:r>
        <w:rPr>
          <w:rFonts w:hint="eastAsia" w:ascii="宋体" w:hAnsi="宋体" w:cs="宋体"/>
          <w:color w:val="auto"/>
          <w:sz w:val="24"/>
          <w:lang w:val="en-US" w:eastAsia="zh-CN"/>
        </w:rPr>
        <w:t>10天</w:t>
      </w:r>
      <w:r>
        <w:rPr>
          <w:rFonts w:hint="eastAsia" w:ascii="宋体" w:hAnsi="宋体" w:eastAsia="宋体" w:cs="宋体"/>
          <w:color w:val="auto"/>
          <w:sz w:val="24"/>
          <w:lang w:eastAsia="zh-CN"/>
        </w:rPr>
        <w:t>。</w:t>
      </w:r>
    </w:p>
    <w:p>
      <w:pPr>
        <w:spacing w:beforeLines="0" w:afterLines="0"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二、地点：</w:t>
      </w:r>
      <w:r>
        <w:rPr>
          <w:rFonts w:hint="eastAsia" w:ascii="宋体" w:hAnsi="宋体" w:cs="宋体"/>
          <w:sz w:val="24"/>
          <w:szCs w:val="24"/>
          <w:lang w:eastAsia="zh-CN"/>
        </w:rPr>
        <w:t>清涧县教育和体育局</w:t>
      </w:r>
      <w:r>
        <w:rPr>
          <w:rFonts w:hint="eastAsia" w:ascii="宋体" w:hAnsi="宋体" w:eastAsia="宋体" w:cs="宋体"/>
          <w:color w:val="auto"/>
          <w:sz w:val="24"/>
        </w:rPr>
        <w:t>。</w:t>
      </w:r>
    </w:p>
    <w:p>
      <w:pPr>
        <w:shd w:val="clear" w:color="auto" w:fill="FFFFFF"/>
        <w:spacing w:beforeLines="0" w:afterLines="0" w:line="440" w:lineRule="exact"/>
        <w:ind w:firstLine="479" w:firstLineChars="199"/>
        <w:rPr>
          <w:rFonts w:hint="default" w:ascii="宋体" w:hAnsi="宋体" w:eastAsia="宋体" w:cs="宋体"/>
          <w:b w:val="0"/>
          <w:bCs/>
          <w:color w:val="auto"/>
          <w:sz w:val="24"/>
          <w:lang w:val="en-US"/>
        </w:rPr>
      </w:pPr>
      <w:r>
        <w:rPr>
          <w:rFonts w:hint="eastAsia" w:ascii="宋体" w:hAnsi="宋体" w:eastAsia="宋体" w:cs="宋体"/>
          <w:b/>
          <w:color w:val="auto"/>
          <w:sz w:val="24"/>
        </w:rPr>
        <w:t>三、付款方式</w:t>
      </w:r>
      <w:r>
        <w:rPr>
          <w:rFonts w:hint="eastAsia" w:ascii="宋体" w:hAnsi="宋体" w:eastAsia="宋体" w:cs="宋体"/>
          <w:b/>
          <w:color w:val="auto"/>
          <w:sz w:val="24"/>
          <w:lang w:eastAsia="zh-CN"/>
        </w:rPr>
        <w:t>：</w:t>
      </w:r>
      <w:r>
        <w:rPr>
          <w:rFonts w:hint="eastAsia" w:ascii="宋体" w:hAnsi="宋体" w:cs="宋体"/>
          <w:b w:val="0"/>
          <w:bCs/>
          <w:color w:val="auto"/>
          <w:sz w:val="24"/>
          <w:lang w:val="en-US" w:eastAsia="zh-CN"/>
        </w:rPr>
        <w:t>验收合格后一次性支付。</w:t>
      </w:r>
    </w:p>
    <w:p>
      <w:pPr>
        <w:shd w:val="clear" w:color="auto" w:fill="FFFFFF"/>
        <w:spacing w:beforeLines="0" w:afterLines="0" w:line="440" w:lineRule="exact"/>
        <w:ind w:firstLine="479" w:firstLineChars="199"/>
        <w:rPr>
          <w:rFonts w:hint="eastAsia" w:ascii="宋体" w:hAnsi="宋体" w:eastAsia="宋体" w:cs="宋体"/>
          <w:b/>
          <w:color w:val="auto"/>
          <w:sz w:val="24"/>
        </w:rPr>
      </w:pPr>
      <w:r>
        <w:rPr>
          <w:rFonts w:hint="eastAsia" w:ascii="宋体" w:hAnsi="宋体" w:eastAsia="宋体" w:cs="宋体"/>
          <w:b/>
          <w:color w:val="auto"/>
          <w:sz w:val="24"/>
        </w:rPr>
        <w:t>四、违约责任：</w:t>
      </w:r>
    </w:p>
    <w:p>
      <w:pPr>
        <w:adjustRightInd w:val="0"/>
        <w:spacing w:beforeLines="0" w:afterLines="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》中的相关条款执行；</w:t>
      </w:r>
    </w:p>
    <w:p>
      <w:pPr>
        <w:spacing w:beforeLines="0" w:afterLines="0"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未按合同要求提供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质量不能满足技术要求，采购人有权终止合同，同时报请政府采购管理部门对其违约行为进行追究。</w:t>
      </w:r>
    </w:p>
    <w:p>
      <w:pPr>
        <w:spacing w:beforeLines="0" w:afterLines="0"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五、验收：</w:t>
      </w:r>
    </w:p>
    <w:p>
      <w:pPr>
        <w:spacing w:beforeLines="0" w:afterLines="0" w:line="440" w:lineRule="exact"/>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按照采购合同的约定和现行国家标准、行业标准以及企业标准对每一项技术、服务、安全标准的履约情况进行确认。由代理公司和采购方组织，邀请省库专家和监督单位与采购方共同验收，验收合格后由监督方出具验收证明。                                                                                                                                                                                                                                                                                                                                                                                                                                                                                                                                                                                                                                                                                                                                                                                                                                                                                                                                                                                                                                                                                                                                                                                                                                                                                                                                                                                                                                                                                                                                                                                                                                                                                                                                                                                                                                                                                                                                                                                                                                                                                                                                                                                                                                                                                                                                                                                                                                                                                                                                                                                                                                                                                                                                                                                                      </w:t>
      </w:r>
    </w:p>
    <w:p>
      <w:pPr>
        <w:spacing w:beforeLines="0" w:afterLines="0"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验收依据：</w:t>
      </w:r>
      <w:r>
        <w:rPr>
          <w:rFonts w:hint="eastAsia" w:ascii="宋体" w:hAnsi="宋体" w:eastAsia="宋体" w:cs="宋体"/>
          <w:color w:val="auto"/>
          <w:sz w:val="24"/>
        </w:rPr>
        <w:t>合同文本、磋商文件、磋商响应文件；国家或行业标准、规范等规定的标准和方法。</w:t>
      </w:r>
    </w:p>
    <w:p>
      <w:pPr>
        <w:rPr>
          <w:rFonts w:hint="eastAsia"/>
        </w:rPr>
      </w:pPr>
    </w:p>
    <w:p>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rPr>
          <w:rFonts w:hint="eastAsia" w:ascii="宋体" w:hAnsi="宋体" w:eastAsia="宋体" w:cs="宋体"/>
          <w:b/>
          <w:sz w:val="44"/>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8"/>
        <w:spacing w:line="360" w:lineRule="auto"/>
        <w:rPr>
          <w:rFonts w:hint="eastAsia" w:ascii="宋体" w:hAnsi="宋体" w:eastAsia="宋体" w:cs="宋体"/>
          <w:b/>
          <w:bCs/>
          <w:sz w:val="30"/>
          <w:szCs w:val="30"/>
        </w:rPr>
      </w:pPr>
    </w:p>
    <w:p>
      <w:pPr>
        <w:pStyle w:val="3"/>
        <w:numPr>
          <w:ilvl w:val="0"/>
          <w:numId w:val="5"/>
        </w:numPr>
        <w:bidi w:val="0"/>
        <w:rPr>
          <w:rFonts w:hint="eastAsia" w:ascii="宋体" w:hAnsi="宋体" w:eastAsia="宋体" w:cs="宋体"/>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5" w:name="_Toc19045_WPSOffice_Level1"/>
      <w:bookmarkStart w:id="96" w:name="_Toc22043"/>
      <w:bookmarkStart w:id="97" w:name="_Toc547"/>
      <w:bookmarkStart w:id="98" w:name="_Toc3556"/>
    </w:p>
    <w:p>
      <w:pPr>
        <w:pStyle w:val="3"/>
        <w:numPr>
          <w:ilvl w:val="0"/>
          <w:numId w:val="5"/>
        </w:numPr>
        <w:bidi w:val="0"/>
        <w:rPr>
          <w:rFonts w:hint="eastAsia" w:ascii="宋体" w:hAnsi="宋体" w:eastAsia="宋体" w:cs="宋体"/>
        </w:rPr>
      </w:pPr>
      <w:r>
        <w:rPr>
          <w:rFonts w:hint="eastAsia" w:ascii="宋体" w:hAnsi="宋体" w:cs="宋体"/>
          <w:lang w:val="en-US" w:eastAsia="zh-CN"/>
        </w:rPr>
        <w:t xml:space="preserve"> </w:t>
      </w:r>
      <w:bookmarkStart w:id="99" w:name="_Toc30292"/>
      <w:r>
        <w:rPr>
          <w:rFonts w:hint="eastAsia" w:ascii="宋体" w:hAnsi="宋体" w:eastAsia="宋体" w:cs="宋体"/>
        </w:rPr>
        <w:t>响应文件格式</w:t>
      </w:r>
      <w:bookmarkEnd w:id="95"/>
      <w:bookmarkEnd w:id="96"/>
      <w:bookmarkEnd w:id="97"/>
      <w:bookmarkEnd w:id="98"/>
      <w:bookmarkEnd w:id="99"/>
    </w:p>
    <w:p>
      <w:pPr>
        <w:widowControl w:val="0"/>
        <w:numPr>
          <w:ilvl w:val="0"/>
          <w:numId w:val="0"/>
        </w:numPr>
        <w:jc w:val="both"/>
        <w:rPr>
          <w:rFonts w:hint="eastAsia" w:ascii="宋体" w:hAnsi="宋体" w:eastAsia="宋体" w:cs="宋体"/>
        </w:rPr>
      </w:pPr>
    </w:p>
    <w:p>
      <w:pPr>
        <w:pStyle w:val="43"/>
        <w:rPr>
          <w:rFonts w:hint="eastAsia" w:ascii="宋体" w:hAnsi="宋体" w:eastAsia="宋体" w:cs="宋体"/>
        </w:rPr>
      </w:pPr>
    </w:p>
    <w:p>
      <w:pPr>
        <w:spacing w:line="360" w:lineRule="auto"/>
        <w:ind w:left="105"/>
        <w:jc w:val="both"/>
        <w:rPr>
          <w:rFonts w:hint="eastAsia" w:ascii="宋体" w:hAnsi="宋体" w:eastAsia="宋体" w:cs="宋体"/>
          <w:b/>
          <w:bCs/>
          <w:sz w:val="32"/>
          <w:szCs w:val="32"/>
          <w:lang w:eastAsia="zh-CN"/>
        </w:rPr>
      </w:pPr>
      <w:bookmarkStart w:id="100" w:name="_Toc184794035"/>
      <w:bookmarkStart w:id="101" w:name="_Toc257126854"/>
      <w:r>
        <w:rPr>
          <w:rFonts w:hint="eastAsia" w:ascii="宋体" w:hAnsi="宋体" w:eastAsia="宋体" w:cs="宋体"/>
          <w:b/>
          <w:bCs/>
          <w:sz w:val="32"/>
          <w:szCs w:val="32"/>
          <w:lang w:eastAsia="zh-CN"/>
        </w:rPr>
        <w:t>采购项目编号：</w:t>
      </w:r>
    </w:p>
    <w:p>
      <w:pPr>
        <w:pStyle w:val="18"/>
        <w:rPr>
          <w:rFonts w:hint="eastAsia" w:ascii="宋体" w:hAnsi="宋体" w:eastAsia="宋体" w:cs="宋体"/>
          <w:b/>
          <w:bCs/>
          <w:sz w:val="32"/>
          <w:szCs w:val="32"/>
          <w:lang w:eastAsia="zh-CN"/>
        </w:rPr>
      </w:pPr>
    </w:p>
    <w:p>
      <w:pPr>
        <w:pStyle w:val="18"/>
        <w:rPr>
          <w:rFonts w:hint="eastAsia" w:ascii="宋体" w:hAnsi="宋体" w:eastAsia="宋体" w:cs="宋体"/>
          <w:b/>
          <w:bCs/>
          <w:sz w:val="32"/>
          <w:szCs w:val="32"/>
          <w:lang w:eastAsia="zh-CN"/>
        </w:rPr>
      </w:pPr>
    </w:p>
    <w:bookmarkEnd w:id="100"/>
    <w:bookmarkEnd w:id="101"/>
    <w:p>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清涧县教育和体育局关于幼儿园保教设备采购项目</w:t>
      </w:r>
    </w:p>
    <w:p>
      <w:pPr>
        <w:pStyle w:val="18"/>
        <w:spacing w:line="360" w:lineRule="auto"/>
        <w:rPr>
          <w:rFonts w:hint="eastAsia" w:ascii="宋体" w:hAnsi="宋体" w:eastAsia="宋体" w:cs="宋体"/>
          <w:b/>
          <w:bCs/>
          <w:sz w:val="52"/>
        </w:rPr>
      </w:pPr>
    </w:p>
    <w:p>
      <w:pPr>
        <w:pStyle w:val="18"/>
        <w:spacing w:line="360" w:lineRule="auto"/>
        <w:rPr>
          <w:rFonts w:hint="eastAsia" w:ascii="宋体" w:hAnsi="宋体" w:eastAsia="宋体" w:cs="宋体"/>
          <w:b/>
          <w:bCs/>
          <w:sz w:val="52"/>
        </w:rPr>
      </w:pPr>
    </w:p>
    <w:p>
      <w:pPr>
        <w:spacing w:line="360" w:lineRule="auto"/>
        <w:ind w:left="105"/>
        <w:jc w:val="center"/>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pPr>
        <w:pStyle w:val="17"/>
        <w:rPr>
          <w:rFonts w:hint="eastAsia" w:ascii="宋体" w:hAnsi="宋体" w:eastAsia="宋体" w:cs="宋体"/>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widowControl/>
        <w:spacing w:line="360" w:lineRule="auto"/>
        <w:jc w:val="left"/>
        <w:rPr>
          <w:rFonts w:hint="eastAsia" w:ascii="宋体" w:hAnsi="宋体" w:eastAsia="宋体" w:cs="宋体"/>
          <w:b/>
          <w:bCs/>
          <w:sz w:val="28"/>
        </w:rPr>
      </w:pPr>
      <w:bookmarkStart w:id="102" w:name="_Toc32675"/>
      <w:bookmarkStart w:id="103" w:name="_Toc184704698"/>
      <w:bookmarkStart w:id="104" w:name="_Toc184704625"/>
      <w:r>
        <w:rPr>
          <w:rFonts w:hint="eastAsia" w:ascii="宋体" w:hAnsi="宋体" w:eastAsia="宋体" w:cs="宋体"/>
          <w:b/>
          <w:bCs/>
          <w:sz w:val="28"/>
        </w:rPr>
        <w:br w:type="page"/>
      </w:r>
    </w:p>
    <w:bookmarkEnd w:id="102"/>
    <w:bookmarkEnd w:id="103"/>
    <w:bookmarkEnd w:id="104"/>
    <w:p>
      <w:pPr>
        <w:pStyle w:val="4"/>
        <w:bidi w:val="0"/>
        <w:rPr>
          <w:rFonts w:hint="eastAsia" w:ascii="宋体" w:hAnsi="宋体" w:eastAsia="宋体" w:cs="宋体"/>
        </w:rPr>
      </w:pPr>
      <w:bookmarkStart w:id="105" w:name="_Toc710"/>
      <w:r>
        <w:rPr>
          <w:rFonts w:hint="eastAsia" w:ascii="宋体" w:hAnsi="宋体" w:eastAsia="宋体" w:cs="宋体"/>
          <w:lang w:eastAsia="zh-CN"/>
        </w:rPr>
        <w:t>一、</w:t>
      </w:r>
      <w:r>
        <w:rPr>
          <w:rFonts w:hint="eastAsia" w:ascii="宋体" w:hAnsi="宋体" w:eastAsia="宋体" w:cs="宋体"/>
        </w:rPr>
        <w:t>磋商函</w:t>
      </w:r>
      <w:bookmarkEnd w:id="105"/>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pPr>
        <w:spacing w:line="480" w:lineRule="exact"/>
        <w:ind w:firstLine="504" w:firstLineChars="210"/>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已交纳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供应商将按磋商文件的规定履行合同责任和义务；</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.与本项目有关的一切正式往来通讯请寄：</w:t>
      </w:r>
    </w:p>
    <w:p>
      <w:pPr>
        <w:spacing w:line="500" w:lineRule="exact"/>
        <w:ind w:firstLine="42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供应商代表姓名、职务（印刷体）：</w:t>
      </w:r>
      <w:r>
        <w:rPr>
          <w:rFonts w:hint="eastAsia" w:ascii="宋体" w:hAnsi="宋体" w:eastAsia="宋体" w:cs="宋体"/>
          <w:color w:val="auto"/>
          <w:szCs w:val="21"/>
          <w:highlight w:val="none"/>
          <w:u w:val="single"/>
        </w:rPr>
        <w:t xml:space="preserve">         </w:t>
      </w:r>
    </w:p>
    <w:p>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（公章） </w:t>
      </w:r>
    </w:p>
    <w:p>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6" w:name="_Hlt491573407"/>
      <w:bookmarkEnd w:id="106"/>
    </w:p>
    <w:p>
      <w:pPr>
        <w:rPr>
          <w:rFonts w:hint="eastAsia" w:ascii="宋体" w:hAnsi="宋体" w:eastAsia="宋体" w:cs="宋体"/>
          <w:color w:val="auto"/>
          <w:sz w:val="32"/>
          <w:szCs w:val="32"/>
          <w:highlight w:val="none"/>
        </w:rPr>
      </w:pPr>
    </w:p>
    <w:p>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480" w:lineRule="exact"/>
        <w:ind w:left="240" w:leftChars="100"/>
        <w:jc w:val="center"/>
        <w:outlineLvl w:val="1"/>
        <w:rPr>
          <w:rFonts w:hint="eastAsia" w:ascii="宋体" w:hAnsi="宋体" w:eastAsia="宋体" w:cs="宋体"/>
          <w:b/>
          <w:bCs/>
          <w:sz w:val="24"/>
          <w:lang w:val="en-US" w:eastAsia="zh-CN"/>
        </w:rPr>
      </w:pPr>
      <w:bookmarkStart w:id="107" w:name="_Toc15187"/>
      <w:r>
        <w:rPr>
          <w:rFonts w:hint="eastAsia" w:ascii="宋体" w:hAnsi="宋体" w:eastAsia="宋体" w:cs="宋体"/>
          <w:b/>
          <w:bCs/>
          <w:kern w:val="2"/>
          <w:sz w:val="32"/>
          <w:szCs w:val="32"/>
          <w:lang w:val="en-US" w:eastAsia="zh-CN" w:bidi="ar-SA"/>
        </w:rPr>
        <w:t>二、法定代表人证明书及法定代表人授权书</w:t>
      </w:r>
      <w:bookmarkEnd w:id="107"/>
      <w:bookmarkStart w:id="108" w:name="_Toc18694"/>
    </w:p>
    <w:p>
      <w:pPr>
        <w:spacing w:line="480" w:lineRule="exact"/>
        <w:ind w:left="240" w:leftChars="100"/>
        <w:jc w:val="center"/>
        <w:outlineLvl w:val="2"/>
        <w:rPr>
          <w:rFonts w:hint="eastAsia" w:ascii="宋体" w:hAnsi="宋体" w:eastAsia="宋体" w:cs="宋体"/>
          <w:b/>
          <w:bCs/>
          <w:sz w:val="24"/>
        </w:rPr>
      </w:pPr>
      <w:bookmarkStart w:id="109" w:name="_Toc2732"/>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8"/>
      <w:bookmarkEnd w:id="10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项目名称</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文件编号</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企业</w:t>
            </w:r>
          </w:p>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法定代</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627"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法定代表人签字并盖章：</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pPr>
        <w:spacing w:line="480" w:lineRule="exact"/>
        <w:jc w:val="left"/>
        <w:rPr>
          <w:rFonts w:hint="eastAsia" w:ascii="宋体" w:hAnsi="宋体" w:eastAsia="宋体" w:cs="宋体"/>
          <w:sz w:val="24"/>
        </w:rPr>
      </w:pPr>
      <w:r>
        <w:rPr>
          <w:rFonts w:hint="eastAsia" w:ascii="宋体" w:hAnsi="宋体" w:eastAsia="宋体" w:cs="宋体"/>
          <w:sz w:val="24"/>
        </w:rPr>
        <w:t xml:space="preserve">日 期：  </w:t>
      </w:r>
    </w:p>
    <w:p>
      <w:pPr>
        <w:spacing w:line="480" w:lineRule="exact"/>
        <w:jc w:val="center"/>
        <w:outlineLvl w:val="2"/>
        <w:rPr>
          <w:rFonts w:hint="eastAsia" w:ascii="宋体" w:hAnsi="宋体" w:eastAsia="宋体" w:cs="宋体"/>
          <w:b/>
          <w:bCs/>
          <w:sz w:val="24"/>
        </w:rPr>
      </w:pPr>
      <w:r>
        <w:rPr>
          <w:rFonts w:hint="eastAsia" w:ascii="宋体" w:hAnsi="宋体" w:eastAsia="宋体" w:cs="宋体"/>
          <w:b/>
          <w:bCs/>
          <w:sz w:val="24"/>
        </w:rPr>
        <w:br w:type="page"/>
      </w:r>
      <w:bookmarkStart w:id="110" w:name="_Toc31873"/>
      <w:bookmarkStart w:id="111" w:name="_Toc14734"/>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10"/>
      <w:bookmarkEnd w:id="11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权项</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目与</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内容</w:t>
            </w: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项目名称</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文件编号</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pPr>
              <w:tabs>
                <w:tab w:val="right" w:leader="dot" w:pos="9022"/>
              </w:tabs>
              <w:autoSpaceDE w:val="0"/>
              <w:autoSpaceDN w:val="0"/>
              <w:adjustRightInd w:val="0"/>
              <w:spacing w:line="360" w:lineRule="auto"/>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712"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p>
          <w:p>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471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pPr>
        <w:autoSpaceDE w:val="0"/>
        <w:autoSpaceDN w:val="0"/>
        <w:adjustRightInd w:val="0"/>
        <w:snapToGrid w:val="0"/>
        <w:spacing w:line="360" w:lineRule="auto"/>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pPr>
        <w:pStyle w:val="4"/>
        <w:bidi w:val="0"/>
        <w:ind w:firstLine="3213" w:firstLineChars="1000"/>
        <w:jc w:val="both"/>
        <w:rPr>
          <w:rFonts w:hint="eastAsia" w:ascii="宋体" w:hAnsi="宋体" w:eastAsia="宋体" w:cs="宋体"/>
        </w:rPr>
      </w:pPr>
      <w:bookmarkStart w:id="112" w:name="_Toc3275"/>
      <w:bookmarkStart w:id="113" w:name="_Toc32340"/>
      <w:bookmarkStart w:id="114" w:name="_Toc24912"/>
      <w:bookmarkStart w:id="115" w:name="_Toc28680"/>
      <w:r>
        <w:rPr>
          <w:rFonts w:hint="eastAsia" w:ascii="宋体" w:hAnsi="宋体" w:eastAsia="宋体" w:cs="宋体"/>
          <w:lang w:val="en-US" w:eastAsia="zh-CN"/>
        </w:rPr>
        <w:t>三</w:t>
      </w:r>
      <w:r>
        <w:rPr>
          <w:rFonts w:hint="eastAsia" w:ascii="宋体" w:hAnsi="宋体" w:eastAsia="宋体" w:cs="宋体"/>
        </w:rPr>
        <w:t>、磋商一览表</w:t>
      </w:r>
      <w:bookmarkEnd w:id="112"/>
      <w:bookmarkEnd w:id="113"/>
      <w:bookmarkEnd w:id="114"/>
      <w:bookmarkEnd w:id="115"/>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总报价</w:t>
            </w:r>
          </w:p>
          <w:p>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交货期</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pPr>
        <w:spacing w:line="360" w:lineRule="auto"/>
        <w:rPr>
          <w:rFonts w:hint="eastAsia" w:ascii="宋体" w:hAnsi="宋体" w:eastAsia="宋体" w:cs="宋体"/>
          <w:szCs w:val="21"/>
        </w:rPr>
      </w:pP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pPr>
        <w:pStyle w:val="2"/>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ind w:firstLine="562" w:firstLineChars="175"/>
        <w:jc w:val="center"/>
        <w:outlineLvl w:val="2"/>
        <w:rPr>
          <w:rFonts w:hint="eastAsia" w:ascii="宋体" w:hAnsi="宋体" w:eastAsia="宋体" w:cs="宋体"/>
          <w:b/>
          <w:color w:val="auto"/>
          <w:kern w:val="2"/>
          <w:sz w:val="32"/>
          <w:szCs w:val="32"/>
          <w:lang w:val="en-US" w:eastAsia="zh-CN" w:bidi="ar-SA"/>
        </w:rPr>
      </w:pPr>
      <w:bookmarkStart w:id="116" w:name="_Toc817"/>
      <w:bookmarkStart w:id="117" w:name="_Toc12958"/>
      <w:r>
        <w:rPr>
          <w:rFonts w:hint="eastAsia" w:ascii="宋体" w:hAnsi="宋体" w:eastAsia="宋体" w:cs="宋体"/>
          <w:b/>
          <w:color w:val="auto"/>
          <w:kern w:val="2"/>
          <w:sz w:val="32"/>
          <w:szCs w:val="32"/>
          <w:lang w:val="en-US" w:eastAsia="zh-CN" w:bidi="ar-SA"/>
        </w:rPr>
        <w:t>分项报价表</w:t>
      </w:r>
      <w:bookmarkEnd w:id="116"/>
      <w:bookmarkEnd w:id="117"/>
    </w:p>
    <w:p>
      <w:pPr>
        <w:rPr>
          <w:rFonts w:hint="eastAsia" w:ascii="宋体" w:hAnsi="宋体" w:eastAsia="宋体" w:cs="宋体"/>
          <w:color w:val="auto"/>
          <w:lang w:val="en-US" w:eastAsia="zh-CN"/>
        </w:rPr>
      </w:pPr>
    </w:p>
    <w:p>
      <w:pPr>
        <w:pStyle w:val="2"/>
        <w:rPr>
          <w:rFonts w:hint="eastAsia" w:ascii="宋体" w:hAnsi="宋体" w:eastAsia="宋体" w:cs="宋体"/>
          <w:color w:val="auto"/>
          <w:sz w:val="24"/>
          <w:u w:val="single"/>
          <w:lang w:val="en-US"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p>
      <w:pPr>
        <w:pStyle w:val="2"/>
        <w:jc w:val="right"/>
        <w:rPr>
          <w:rFonts w:hint="eastAsia" w:ascii="宋体" w:hAnsi="宋体" w:eastAsia="宋体" w:cs="宋体"/>
          <w:color w:val="auto"/>
          <w:lang w:val="en-US" w:eastAsia="zh-CN"/>
        </w:rPr>
      </w:pPr>
      <w:r>
        <w:rPr>
          <w:rFonts w:hint="eastAsia" w:ascii="宋体" w:hAnsi="宋体" w:eastAsia="宋体" w:cs="宋体"/>
          <w:color w:val="auto"/>
          <w:sz w:val="24"/>
        </w:rPr>
        <w:t>单位：元</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p>
    <w:p>
      <w:pPr>
        <w:spacing w:line="500" w:lineRule="exact"/>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 xml:space="preserve">     </w:t>
      </w: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jc w:val="center"/>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（格式自拟）</w:t>
      </w: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default"/>
          <w:lang w:val="en-US" w:eastAsia="zh-CN"/>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 供应商须按照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及要求”中涉及的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清单进行报价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包含项目所有内容</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如果按单价计算的结果与总价不一致，以单价为准修正总价。</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法人代表或被授权代表签字：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投   标   单  位  公  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rPr>
          <w:rFonts w:hint="eastAsia"/>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18" w:name="_Toc25789"/>
      <w:bookmarkStart w:id="119" w:name="_Toc311415658"/>
      <w:bookmarkStart w:id="120" w:name="_Toc19460"/>
      <w:bookmarkStart w:id="121" w:name="_Toc356814675"/>
      <w:bookmarkStart w:id="122" w:name="_Toc347478747"/>
      <w:bookmarkStart w:id="123" w:name="_Toc19883"/>
      <w:bookmarkStart w:id="124" w:name="_Toc312789404"/>
      <w:bookmarkStart w:id="125" w:name="_Toc334522292"/>
      <w:bookmarkStart w:id="126" w:name="_Toc12277"/>
      <w:bookmarkStart w:id="127" w:name="_Toc283240497"/>
      <w:bookmarkStart w:id="128" w:name="_Toc12268"/>
      <w:r>
        <w:rPr>
          <w:rFonts w:hint="eastAsia" w:ascii="宋体" w:hAnsi="宋体" w:eastAsia="宋体" w:cs="宋体"/>
          <w:b/>
          <w:bCs/>
          <w:kern w:val="2"/>
          <w:sz w:val="32"/>
          <w:szCs w:val="32"/>
          <w:lang w:val="en-US" w:eastAsia="zh-CN" w:bidi="ar-SA"/>
        </w:rPr>
        <w:t>四、商务条款响应偏离表</w:t>
      </w:r>
      <w:bookmarkEnd w:id="118"/>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项目编号：</w:t>
      </w:r>
      <w:r>
        <w:rPr>
          <w:rFonts w:hint="eastAsia" w:ascii="宋体" w:hAnsi="宋体" w:eastAsia="宋体" w:cs="宋体"/>
          <w:color w:val="000000"/>
          <w:sz w:val="24"/>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eastAsia="宋体" w:cs="宋体"/>
                <w:color w:val="000000"/>
                <w:sz w:val="24"/>
              </w:rPr>
            </w:pPr>
            <w:r>
              <w:rPr>
                <w:rFonts w:hint="eastAsia" w:ascii="宋体" w:hAnsi="宋体" w:eastAsia="宋体" w:cs="宋体"/>
                <w:color w:val="000000"/>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eastAsia="宋体" w:cs="宋体"/>
                <w:color w:val="000000"/>
                <w:sz w:val="24"/>
              </w:rPr>
            </w:pPr>
            <w:r>
              <w:rPr>
                <w:rFonts w:hint="eastAsia" w:ascii="宋体" w:hAnsi="宋体" w:eastAsia="宋体" w:cs="宋体"/>
                <w:color w:val="000000"/>
                <w:sz w:val="24"/>
              </w:rPr>
              <w:t>招标文件</w:t>
            </w:r>
          </w:p>
          <w:p>
            <w:pPr>
              <w:spacing w:line="320" w:lineRule="exact"/>
              <w:ind w:left="240" w:leftChars="100" w:firstLine="240" w:firstLineChars="100"/>
              <w:rPr>
                <w:rFonts w:hint="eastAsia" w:ascii="宋体" w:hAnsi="宋体" w:eastAsia="宋体" w:cs="宋体"/>
                <w:color w:val="000000"/>
                <w:sz w:val="24"/>
              </w:rPr>
            </w:pPr>
            <w:r>
              <w:rPr>
                <w:rFonts w:hint="eastAsia" w:ascii="宋体" w:hAnsi="宋体" w:eastAsia="宋体" w:cs="宋体"/>
                <w:color w:val="000000"/>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eastAsia="宋体" w:cs="宋体"/>
                <w:color w:val="000000"/>
                <w:sz w:val="24"/>
              </w:rPr>
            </w:pPr>
            <w:r>
              <w:rPr>
                <w:rFonts w:hint="eastAsia" w:ascii="宋体" w:hAnsi="宋体" w:eastAsia="宋体" w:cs="宋体"/>
                <w:color w:val="000000"/>
                <w:sz w:val="24"/>
              </w:rPr>
              <w:t>投标文件</w:t>
            </w:r>
          </w:p>
          <w:p>
            <w:pPr>
              <w:spacing w:line="320" w:lineRule="exact"/>
              <w:ind w:left="240" w:leftChars="100" w:firstLine="120" w:firstLineChars="50"/>
              <w:rPr>
                <w:rFonts w:hint="eastAsia" w:ascii="宋体" w:hAnsi="宋体" w:eastAsia="宋体" w:cs="宋体"/>
                <w:color w:val="000000"/>
                <w:sz w:val="24"/>
              </w:rPr>
            </w:pPr>
            <w:r>
              <w:rPr>
                <w:rFonts w:hint="eastAsia" w:ascii="宋体" w:hAnsi="宋体" w:eastAsia="宋体" w:cs="宋体"/>
                <w:color w:val="000000"/>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438" w:type="dxa"/>
            <w:noWrap w:val="0"/>
            <w:vAlign w:val="center"/>
          </w:tcPr>
          <w:p>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000000"/>
                <w:sz w:val="24"/>
              </w:rPr>
            </w:pPr>
          </w:p>
        </w:tc>
        <w:tc>
          <w:tcPr>
            <w:tcW w:w="1438" w:type="dxa"/>
            <w:noWrap w:val="0"/>
            <w:vAlign w:val="center"/>
          </w:tcPr>
          <w:p>
            <w:pPr>
              <w:spacing w:line="480" w:lineRule="exact"/>
              <w:ind w:left="240" w:leftChars="100"/>
              <w:rPr>
                <w:rFonts w:hint="eastAsia" w:ascii="宋体" w:hAnsi="宋体" w:eastAsia="宋体" w:cs="宋体"/>
                <w:color w:val="000000"/>
                <w:sz w:val="24"/>
              </w:rPr>
            </w:pPr>
          </w:p>
        </w:tc>
      </w:tr>
    </w:tbl>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注：</w:t>
      </w:r>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1、本表应按照</w:t>
      </w:r>
      <w:r>
        <w:rPr>
          <w:rFonts w:hint="eastAsia" w:ascii="宋体" w:hAnsi="宋体" w:cs="宋体"/>
          <w:color w:val="000000"/>
          <w:sz w:val="24"/>
          <w:lang w:val="en-US" w:eastAsia="zh-CN"/>
        </w:rPr>
        <w:t>磋商</w:t>
      </w:r>
      <w:r>
        <w:rPr>
          <w:rFonts w:hint="eastAsia" w:ascii="宋体" w:hAnsi="宋体" w:eastAsia="宋体" w:cs="宋体"/>
          <w:color w:val="000000"/>
          <w:sz w:val="24"/>
        </w:rPr>
        <w:t>文件商务条款填写；</w:t>
      </w:r>
    </w:p>
    <w:p>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2、如有漏报、瞒报招标文件所要求的性能指标等将视为没有实质性响应招标文件。</w:t>
      </w:r>
    </w:p>
    <w:p>
      <w:pPr>
        <w:spacing w:line="480" w:lineRule="exact"/>
        <w:rPr>
          <w:rFonts w:hint="eastAsia" w:ascii="宋体" w:hAnsi="宋体" w:eastAsia="宋体" w:cs="宋体"/>
          <w:color w:val="000000"/>
          <w:sz w:val="24"/>
        </w:rPr>
      </w:pP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9"/>
    <w:bookmarkEnd w:id="120"/>
    <w:bookmarkEnd w:id="121"/>
    <w:bookmarkEnd w:id="122"/>
    <w:bookmarkEnd w:id="123"/>
    <w:bookmarkEnd w:id="124"/>
    <w:bookmarkEnd w:id="125"/>
    <w:bookmarkEnd w:id="126"/>
    <w:bookmarkEnd w:id="127"/>
    <w:bookmarkEnd w:id="128"/>
    <w:p>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29" w:name="_Toc29342"/>
      <w:bookmarkStart w:id="130" w:name="_Toc5817"/>
      <w:bookmarkStart w:id="131" w:name="_Toc492757486"/>
      <w:r>
        <w:rPr>
          <w:rFonts w:hint="eastAsia" w:ascii="宋体" w:hAnsi="宋体" w:eastAsia="宋体" w:cs="宋体"/>
          <w:b/>
          <w:bCs/>
          <w:kern w:val="2"/>
          <w:sz w:val="32"/>
          <w:szCs w:val="32"/>
          <w:lang w:val="en-US" w:eastAsia="zh-CN" w:bidi="ar-SA"/>
        </w:rPr>
        <w:t>五、技术规格响应偏离表</w:t>
      </w:r>
      <w:bookmarkEnd w:id="129"/>
    </w:p>
    <w:p>
      <w:pPr>
        <w:spacing w:line="360" w:lineRule="auto"/>
        <w:jc w:val="left"/>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bl>
    <w:p>
      <w:pPr>
        <w:spacing w:before="120" w:beforeLines="50" w:line="400" w:lineRule="exact"/>
        <w:ind w:left="-161" w:leftChars="-67" w:firstLine="480" w:firstLineChars="200"/>
        <w:rPr>
          <w:rFonts w:hint="eastAsia" w:ascii="宋体" w:hAnsi="宋体" w:eastAsia="宋体" w:cs="宋体"/>
          <w:color w:val="auto"/>
          <w:szCs w:val="21"/>
        </w:rPr>
      </w:pPr>
      <w:bookmarkStart w:id="132" w:name="_Toc188808838"/>
      <w:bookmarkStart w:id="133" w:name="_Toc193126887"/>
      <w:bookmarkStart w:id="134" w:name="_Toc193187103"/>
      <w:bookmarkStart w:id="135" w:name="_Toc458617476"/>
      <w:bookmarkStart w:id="136" w:name="_Toc2240"/>
      <w:bookmarkStart w:id="137" w:name="_Toc194663924"/>
      <w:bookmarkStart w:id="138" w:name="_Toc11969"/>
      <w:r>
        <w:rPr>
          <w:rFonts w:hint="eastAsia" w:ascii="宋体" w:hAnsi="宋体" w:eastAsia="宋体" w:cs="宋体"/>
          <w:color w:val="auto"/>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pPr>
        <w:spacing w:line="400" w:lineRule="exact"/>
        <w:ind w:left="-161" w:leftChars="-67" w:firstLine="48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pPr>
        <w:spacing w:line="360" w:lineRule="auto"/>
        <w:rPr>
          <w:rFonts w:hint="eastAsia" w:ascii="宋体" w:hAnsi="宋体" w:eastAsia="宋体" w:cs="宋体"/>
          <w:color w:val="000000"/>
          <w:szCs w:val="21"/>
        </w:rPr>
      </w:pPr>
    </w:p>
    <w:p>
      <w:pPr>
        <w:pStyle w:val="47"/>
        <w:spacing w:line="360" w:lineRule="auto"/>
        <w:ind w:left="0" w:leftChars="0" w:firstLine="0" w:firstLineChars="0"/>
        <w:rPr>
          <w:rFonts w:hint="eastAsia" w:ascii="宋体" w:hAnsi="宋体" w:eastAsia="宋体" w:cs="宋体"/>
          <w:b/>
        </w:rPr>
      </w:pPr>
    </w:p>
    <w:bookmarkEnd w:id="132"/>
    <w:bookmarkEnd w:id="133"/>
    <w:bookmarkEnd w:id="134"/>
    <w:bookmarkEnd w:id="135"/>
    <w:bookmarkEnd w:id="136"/>
    <w:bookmarkEnd w:id="137"/>
    <w:bookmarkEnd w:id="138"/>
    <w:p>
      <w:pPr>
        <w:pStyle w:val="4"/>
        <w:bidi w:val="0"/>
        <w:outlineLvl w:val="1"/>
        <w:rPr>
          <w:rFonts w:hint="eastAsia" w:ascii="宋体" w:hAnsi="宋体" w:eastAsia="宋体" w:cs="宋体"/>
        </w:rPr>
      </w:pPr>
      <w:bookmarkStart w:id="139" w:name="_Toc26784"/>
      <w:bookmarkStart w:id="140" w:name="_Toc27409"/>
      <w:bookmarkStart w:id="141" w:name="_Toc32409"/>
      <w:r>
        <w:rPr>
          <w:rFonts w:hint="eastAsia" w:ascii="宋体" w:hAnsi="宋体" w:eastAsia="宋体" w:cs="宋体"/>
          <w:lang w:val="en-US" w:eastAsia="zh-CN"/>
        </w:rPr>
        <w:t>六</w:t>
      </w:r>
      <w:r>
        <w:rPr>
          <w:rFonts w:hint="eastAsia" w:ascii="宋体" w:hAnsi="宋体" w:eastAsia="宋体" w:cs="宋体"/>
        </w:rPr>
        <w:t>、</w:t>
      </w:r>
      <w:bookmarkStart w:id="142" w:name="_Toc356927980"/>
      <w:r>
        <w:rPr>
          <w:rFonts w:hint="eastAsia" w:ascii="宋体" w:hAnsi="宋体" w:eastAsia="宋体" w:cs="宋体"/>
        </w:rPr>
        <w:t>供应商资质证明文件</w:t>
      </w:r>
      <w:bookmarkEnd w:id="139"/>
    </w:p>
    <w:bookmarkEnd w:id="142"/>
    <w:p>
      <w:pPr>
        <w:bidi w:val="0"/>
        <w:jc w:val="center"/>
        <w:outlineLvl w:val="9"/>
        <w:rPr>
          <w:rFonts w:hint="eastAsia" w:ascii="宋体" w:hAnsi="宋体" w:eastAsia="宋体" w:cs="宋体"/>
          <w:lang w:eastAsia="zh-CN"/>
        </w:rPr>
      </w:pPr>
      <w:bookmarkStart w:id="143" w:name="_Toc26272"/>
      <w:bookmarkStart w:id="144" w:name="_Toc889"/>
      <w:r>
        <w:rPr>
          <w:rFonts w:hint="eastAsia" w:ascii="宋体" w:hAnsi="宋体" w:eastAsia="宋体" w:cs="宋体"/>
          <w:b w:val="0"/>
          <w:bCs w:val="0"/>
          <w:kern w:val="2"/>
          <w:sz w:val="24"/>
          <w:szCs w:val="20"/>
          <w:lang w:val="en-US" w:eastAsia="zh-CN" w:bidi="ar-SA"/>
        </w:rPr>
        <w:t>（复印件加盖公章）</w:t>
      </w:r>
      <w:bookmarkEnd w:id="143"/>
      <w:bookmarkEnd w:id="144"/>
    </w:p>
    <w:p>
      <w:pPr>
        <w:jc w:val="center"/>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pPr>
        <w:pStyle w:val="4"/>
        <w:numPr>
          <w:ilvl w:val="0"/>
          <w:numId w:val="0"/>
        </w:numPr>
        <w:bidi w:val="0"/>
        <w:ind w:leftChars="0"/>
        <w:jc w:val="center"/>
        <w:rPr>
          <w:rFonts w:hint="default" w:ascii="宋体" w:hAnsi="宋体" w:eastAsia="宋体" w:cs="宋体"/>
          <w:lang w:val="en-US" w:eastAsia="zh-CN"/>
        </w:rPr>
      </w:pPr>
      <w:bookmarkStart w:id="145" w:name="_Toc16925"/>
      <w:r>
        <w:rPr>
          <w:rFonts w:hint="eastAsia" w:ascii="宋体" w:hAnsi="宋体" w:eastAsia="宋体" w:cs="宋体"/>
          <w:lang w:val="en-US" w:eastAsia="zh-CN"/>
        </w:rPr>
        <w:t>七、磋商响应方案</w:t>
      </w:r>
      <w:bookmarkEnd w:id="145"/>
    </w:p>
    <w:p>
      <w:pPr>
        <w:pStyle w:val="2"/>
        <w:jc w:val="center"/>
        <w:rPr>
          <w:rFonts w:hint="eastAsia" w:ascii="宋体" w:hAnsi="宋体" w:eastAsia="宋体" w:cs="宋体"/>
          <w:lang w:val="en-US" w:eastAsia="zh-CN"/>
        </w:rPr>
      </w:pPr>
      <w:r>
        <w:rPr>
          <w:rFonts w:hint="eastAsia" w:ascii="宋体" w:hAnsi="宋体" w:cs="宋体"/>
          <w:lang w:val="en-US" w:eastAsia="zh-CN"/>
        </w:rPr>
        <w:t>（格式自拟）</w:t>
      </w:r>
    </w:p>
    <w:p>
      <w:pPr>
        <w:rPr>
          <w:rFonts w:hint="eastAsia" w:ascii="宋体" w:hAnsi="宋体" w:eastAsia="宋体" w:cs="宋体"/>
          <w:lang w:val="en-US" w:eastAsia="zh-CN"/>
        </w:rPr>
      </w:pPr>
    </w:p>
    <w:p>
      <w:pPr>
        <w:pStyle w:val="2"/>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pPr>
        <w:pStyle w:val="4"/>
        <w:bidi w:val="0"/>
        <w:rPr>
          <w:rFonts w:hint="eastAsia" w:ascii="宋体" w:hAnsi="宋体" w:eastAsia="宋体" w:cs="宋体"/>
          <w:lang w:eastAsia="zh-CN"/>
        </w:rPr>
      </w:pPr>
      <w:bookmarkStart w:id="146" w:name="_Toc29640"/>
      <w:r>
        <w:rPr>
          <w:rFonts w:hint="eastAsia" w:ascii="宋体" w:hAnsi="宋体" w:eastAsia="宋体" w:cs="宋体"/>
          <w:lang w:val="en-US" w:eastAsia="zh-CN"/>
        </w:rPr>
        <w:t>八</w:t>
      </w:r>
      <w:r>
        <w:rPr>
          <w:rFonts w:hint="eastAsia" w:ascii="宋体" w:hAnsi="宋体" w:eastAsia="宋体" w:cs="宋体"/>
          <w:lang w:eastAsia="zh-CN"/>
        </w:rPr>
        <w:t>、</w:t>
      </w:r>
      <w:bookmarkEnd w:id="130"/>
      <w:bookmarkEnd w:id="131"/>
      <w:bookmarkEnd w:id="140"/>
      <w:bookmarkEnd w:id="141"/>
      <w:r>
        <w:rPr>
          <w:rFonts w:hint="eastAsia" w:ascii="宋体" w:hAnsi="宋体" w:eastAsia="宋体" w:cs="宋体"/>
          <w:lang w:eastAsia="zh-CN"/>
        </w:rPr>
        <w:t>投标人承诺书</w:t>
      </w:r>
      <w:bookmarkEnd w:id="146"/>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32"/>
          <w:szCs w:val="32"/>
        </w:rPr>
      </w:pPr>
      <w:bookmarkStart w:id="147" w:name="_Toc11958"/>
      <w:bookmarkStart w:id="148" w:name="_Toc15657"/>
      <w:bookmarkStart w:id="149" w:name="_Toc1373"/>
      <w:r>
        <w:rPr>
          <w:rFonts w:hint="eastAsia" w:ascii="宋体" w:hAnsi="宋体" w:eastAsia="宋体" w:cs="宋体"/>
          <w:b/>
          <w:bCs/>
          <w:kern w:val="2"/>
          <w:sz w:val="32"/>
          <w:szCs w:val="32"/>
          <w:lang w:val="en-US" w:eastAsia="zh-CN" w:bidi="ar-SA"/>
        </w:rPr>
        <w:t>拒绝政府采购领域商业贿赂承诺书（一）</w:t>
      </w:r>
      <w:bookmarkEnd w:id="147"/>
      <w:bookmarkEnd w:id="148"/>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1、在参与政府采购活动中遵纪守法、诚信经营、公平竞标。</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4、不采取“围标、陪标”等商业欺诈手段获得政府采购定单。</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5、不采取不正当手段诋毁、排挤其他供应商。</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6、不在提供商品和服务时“偷梁换柱、以次充好”损害采购人的合法权益。</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地  址：                        </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eastAsia="宋体" w:cs="宋体"/>
          <w:kern w:val="0"/>
          <w:sz w:val="24"/>
        </w:rPr>
        <w:t>邮  编：</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电  话：                             </w:t>
      </w:r>
    </w:p>
    <w:p>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 xml:space="preserve">日    期：                                                                                </w:t>
      </w:r>
    </w:p>
    <w:p>
      <w:pPr>
        <w:widowControl/>
        <w:spacing w:line="360" w:lineRule="auto"/>
        <w:ind w:firstLine="3855" w:firstLineChars="1200"/>
        <w:rPr>
          <w:rFonts w:hint="eastAsia" w:ascii="宋体" w:hAnsi="宋体" w:eastAsia="宋体" w:cs="宋体"/>
          <w:b/>
          <w:sz w:val="32"/>
          <w:szCs w:val="32"/>
        </w:rPr>
      </w:pPr>
    </w:p>
    <w:p>
      <w:pPr>
        <w:pStyle w:val="18"/>
        <w:rPr>
          <w:rFonts w:hint="eastAsia" w:ascii="宋体" w:hAnsi="宋体" w:eastAsia="宋体" w:cs="宋体"/>
          <w:b/>
          <w:sz w:val="32"/>
          <w:szCs w:val="32"/>
        </w:rPr>
      </w:pPr>
    </w:p>
    <w:p>
      <w:pPr>
        <w:pStyle w:val="18"/>
        <w:rPr>
          <w:rFonts w:hint="eastAsia" w:ascii="宋体" w:hAnsi="宋体" w:eastAsia="宋体" w:cs="宋体"/>
          <w:b/>
          <w:sz w:val="32"/>
          <w:szCs w:val="32"/>
        </w:rPr>
      </w:pPr>
    </w:p>
    <w:p>
      <w:pPr>
        <w:pStyle w:val="18"/>
        <w:rPr>
          <w:rFonts w:hint="eastAsia" w:ascii="宋体" w:hAnsi="宋体" w:eastAsia="宋体" w:cs="宋体"/>
          <w:b/>
          <w:sz w:val="32"/>
          <w:szCs w:val="32"/>
        </w:rPr>
      </w:pPr>
    </w:p>
    <w:p>
      <w:pPr>
        <w:widowControl/>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承诺书（二）</w:t>
      </w:r>
    </w:p>
    <w:p>
      <w:pPr>
        <w:spacing w:line="360" w:lineRule="auto"/>
        <w:jc w:val="center"/>
        <w:rPr>
          <w:rFonts w:hint="eastAsia" w:ascii="宋体" w:hAnsi="宋体" w:eastAsia="宋体" w:cs="宋体"/>
          <w:b/>
          <w:sz w:val="24"/>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24"/>
        </w:rPr>
      </w:pPr>
      <w:r>
        <w:rPr>
          <w:rFonts w:hint="eastAsia" w:ascii="宋体" w:hAnsi="宋体" w:eastAsia="宋体" w:cs="宋体"/>
          <w:b/>
          <w:sz w:val="32"/>
          <w:szCs w:val="32"/>
        </w:rPr>
        <w:t>承诺书（三）</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jc w:val="both"/>
        <w:rPr>
          <w:rFonts w:hint="eastAsia" w:ascii="宋体" w:hAnsi="宋体" w:eastAsia="宋体" w:cs="宋体"/>
          <w:b/>
          <w:sz w:val="32"/>
          <w:szCs w:val="32"/>
        </w:rPr>
      </w:pPr>
    </w:p>
    <w:p>
      <w:pPr>
        <w:spacing w:line="360" w:lineRule="auto"/>
        <w:jc w:val="center"/>
        <w:rPr>
          <w:rFonts w:hint="eastAsia" w:ascii="宋体" w:hAnsi="宋体" w:eastAsia="宋体" w:cs="宋体"/>
        </w:rPr>
      </w:pPr>
      <w:r>
        <w:rPr>
          <w:rFonts w:hint="eastAsia" w:ascii="宋体" w:hAnsi="宋体" w:eastAsia="宋体" w:cs="宋体"/>
          <w:b/>
          <w:sz w:val="32"/>
          <w:szCs w:val="32"/>
        </w:rPr>
        <w:t>承诺书（四）</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3213" w:firstLineChars="1000"/>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widowControl/>
        <w:spacing w:line="360" w:lineRule="auto"/>
        <w:jc w:val="left"/>
        <w:rPr>
          <w:rFonts w:hint="eastAsia" w:ascii="宋体" w:hAnsi="宋体" w:eastAsia="宋体" w:cs="宋体"/>
          <w:b/>
          <w:sz w:val="28"/>
          <w:szCs w:val="28"/>
        </w:rPr>
      </w:pPr>
    </w:p>
    <w:p>
      <w:pPr>
        <w:widowControl/>
        <w:spacing w:line="360" w:lineRule="auto"/>
        <w:jc w:val="left"/>
        <w:rPr>
          <w:rFonts w:hint="eastAsia" w:ascii="宋体" w:hAnsi="宋体" w:eastAsia="宋体" w:cs="宋体"/>
          <w:b/>
          <w:sz w:val="28"/>
          <w:szCs w:val="28"/>
        </w:rPr>
      </w:pPr>
    </w:p>
    <w:p>
      <w:pPr>
        <w:pStyle w:val="23"/>
        <w:shd w:val="clear" w:color="auto" w:fill="FFFFFF"/>
        <w:adjustRightInd w:val="0"/>
        <w:snapToGrid w:val="0"/>
        <w:spacing w:before="0" w:beforeAutospacing="0" w:after="0" w:afterAutospacing="0" w:line="360" w:lineRule="auto"/>
        <w:ind w:firstLine="480"/>
        <w:jc w:val="center"/>
        <w:rPr>
          <w:rFonts w:hint="eastAsia" w:ascii="宋体" w:hAnsi="宋体" w:eastAsia="宋体" w:cs="宋体"/>
          <w:color w:val="auto"/>
          <w:lang w:eastAsia="zh-CN"/>
        </w:rPr>
      </w:pPr>
      <w:r>
        <w:rPr>
          <w:rFonts w:hint="eastAsia" w:ascii="宋体" w:hAnsi="宋体" w:cs="宋体"/>
          <w:color w:val="auto"/>
          <w:shd w:val="clear" w:color="auto" w:fill="FFFFFF"/>
          <w:lang w:eastAsia="zh-CN"/>
        </w:rPr>
        <w:t>榆林市政府采购货物类项目供应商信用承诺书</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市场主体名称：</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证件类型：统一社会信用代码</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证件号码：</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法人代表：</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承诺有效期限：    年     月    日—    年    月      日</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承诺内容：</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为维护公开、公平、公正的政府采购市场秩序，树立诚实守信的政府采购供应商形象，本单位自愿做出以下承诺：</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一、承诺本单位严格遵守国家法律、法规和规章，全面履行应尽的责任和义务，全面做到履约守信，具备《政府采购法》第二十二条第一款规定的条件;</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四、承诺本单位自觉接受行政管理部门、行业组织、社会公众、新闻舆论的监督；</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六、承诺本单位提出政府采购质疑和投诉坚持依法依规、诚实信用原则，在全国范围12个月内没有三次以上查无实据的政府采购投诉；</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七、根据政府采购相关法律法规的规定需要作出的其他承诺：</w:t>
      </w:r>
      <w:r>
        <w:rPr>
          <w:rFonts w:hint="eastAsia" w:ascii="宋体" w:hAnsi="宋体" w:eastAsia="宋体" w:cs="宋体"/>
          <w:color w:val="auto"/>
          <w:u w:val="single"/>
          <w:shd w:val="clear" w:color="auto" w:fill="FFFFFF"/>
        </w:rPr>
        <w:t>                                          </w:t>
      </w:r>
    </w:p>
    <w:p>
      <w:pPr>
        <w:pStyle w:val="23"/>
        <w:shd w:val="clear" w:color="auto" w:fill="FFFFFF"/>
        <w:adjustRightInd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u w:val="single"/>
          <w:shd w:val="clear" w:color="auto" w:fill="FFFFFF"/>
        </w:rPr>
        <w:t>                                              ;</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             承诺单位（盖章）：</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法定代表人（负责人）：</w:t>
      </w:r>
    </w:p>
    <w:p>
      <w:pPr>
        <w:pStyle w:val="23"/>
        <w:shd w:val="clear" w:color="auto" w:fill="FFFFFF"/>
        <w:adjustRightInd w:val="0"/>
        <w:snapToGrid w:val="0"/>
        <w:spacing w:before="0" w:beforeAutospacing="0" w:after="0" w:afterAutospacing="0" w:line="360" w:lineRule="auto"/>
        <w:ind w:firstLine="1920" w:firstLineChars="80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法定代表人（负责人）身份证号：</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color w:val="auto"/>
          <w:shd w:val="clear" w:color="auto" w:fill="FFFFFF"/>
        </w:rPr>
        <w:t>                       承诺日期：</w:t>
      </w:r>
    </w:p>
    <w:bookmarkEnd w:id="149"/>
    <w:p>
      <w:pPr>
        <w:spacing w:line="360" w:lineRule="auto"/>
        <w:jc w:val="center"/>
        <w:outlineLvl w:val="1"/>
        <w:rPr>
          <w:rFonts w:hint="eastAsia" w:asciiTheme="minorEastAsia" w:hAnsiTheme="minorEastAsia" w:eastAsiaTheme="minorEastAsia" w:cstheme="minorEastAsia"/>
          <w:b/>
          <w:color w:val="auto"/>
          <w:sz w:val="32"/>
          <w:szCs w:val="32"/>
        </w:rPr>
      </w:pPr>
      <w:bookmarkStart w:id="150" w:name="_Toc4688"/>
      <w:bookmarkStart w:id="151" w:name="_Toc7502"/>
      <w:bookmarkStart w:id="152" w:name="_Toc29982"/>
      <w:r>
        <w:rPr>
          <w:rFonts w:hint="eastAsia" w:asciiTheme="minorEastAsia" w:hAnsiTheme="minorEastAsia" w:eastAsiaTheme="minorEastAsia" w:cstheme="minorEastAsia"/>
          <w:b/>
          <w:color w:val="auto"/>
          <w:sz w:val="32"/>
          <w:szCs w:val="32"/>
          <w:lang w:val="en-US" w:eastAsia="zh-CN"/>
        </w:rPr>
        <w:t>八、中小</w:t>
      </w:r>
      <w:r>
        <w:rPr>
          <w:rFonts w:hint="eastAsia" w:asciiTheme="minorEastAsia" w:hAnsiTheme="minorEastAsia" w:eastAsiaTheme="minorEastAsia" w:cstheme="minorEastAsia"/>
          <w:b/>
          <w:color w:val="auto"/>
          <w:sz w:val="32"/>
          <w:szCs w:val="32"/>
        </w:rPr>
        <w:t>企业、监狱企业、残疾人福利单位声明函或证明</w:t>
      </w:r>
      <w:bookmarkEnd w:id="150"/>
      <w:bookmarkEnd w:id="151"/>
    </w:p>
    <w:p>
      <w:pPr>
        <w:pStyle w:val="2"/>
        <w:rPr>
          <w:rFonts w:hint="eastAsia" w:asciiTheme="minorEastAsia" w:hAnsiTheme="minorEastAsia" w:eastAsiaTheme="minorEastAsia" w:cstheme="minorEastAsia"/>
          <w:color w:val="auto"/>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3" w:name="_Toc25215"/>
      <w:bookmarkStart w:id="154" w:name="_Toc4690"/>
      <w:r>
        <w:rPr>
          <w:rFonts w:hint="eastAsia" w:asciiTheme="minorEastAsia" w:hAnsiTheme="minorEastAsia" w:eastAsiaTheme="minorEastAsia" w:cstheme="minorEastAsia"/>
          <w:b/>
          <w:color w:val="auto"/>
          <w:spacing w:val="6"/>
          <w:sz w:val="28"/>
          <w:szCs w:val="28"/>
        </w:rPr>
        <w:t>1.</w:t>
      </w:r>
      <w:r>
        <w:rPr>
          <w:rFonts w:hint="eastAsia" w:asciiTheme="minorEastAsia" w:hAnsiTheme="minorEastAsia" w:eastAsiaTheme="minorEastAsia" w:cstheme="minorEastAsia"/>
          <w:b/>
          <w:color w:val="auto"/>
          <w:spacing w:val="6"/>
          <w:sz w:val="28"/>
          <w:szCs w:val="28"/>
          <w:lang w:val="en-US" w:eastAsia="zh-CN"/>
        </w:rPr>
        <w:t>中小</w:t>
      </w:r>
      <w:r>
        <w:rPr>
          <w:rFonts w:hint="eastAsia" w:asciiTheme="minorEastAsia" w:hAnsiTheme="minorEastAsia" w:eastAsiaTheme="minorEastAsia" w:cstheme="minorEastAsia"/>
          <w:b/>
          <w:color w:val="auto"/>
          <w:spacing w:val="6"/>
          <w:sz w:val="28"/>
          <w:szCs w:val="28"/>
        </w:rPr>
        <w:t>企业声明函</w:t>
      </w:r>
      <w:bookmarkEnd w:id="153"/>
      <w:bookmarkEnd w:id="154"/>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4"/>
          <w:lang w:val="en-US" w:eastAsia="zh-CN"/>
        </w:rPr>
        <w:t>本公司（联合体）郑重声明，根据《政府采购促进中小企业发展管理办法》（财库﹝2020﹞46 号）的规定，本公司 （联合体）参加</w:t>
      </w:r>
      <w:r>
        <w:rPr>
          <w:rFonts w:hint="eastAsia" w:asciiTheme="minorEastAsia" w:hAnsiTheme="minorEastAsia" w:eastAsiaTheme="minorEastAsia" w:cstheme="minorEastAsia"/>
          <w:color w:val="auto"/>
          <w:sz w:val="24"/>
          <w:u w:val="single"/>
          <w:lang w:val="en-US" w:eastAsia="zh-CN"/>
        </w:rPr>
        <w:t>（单位名称）</w:t>
      </w:r>
      <w:r>
        <w:rPr>
          <w:rFonts w:hint="eastAsia" w:asciiTheme="minorEastAsia" w:hAnsiTheme="minorEastAsia" w:eastAsiaTheme="minorEastAsia" w:cstheme="minorEastAsia"/>
          <w:color w:val="auto"/>
          <w:sz w:val="24"/>
          <w:lang w:val="en-US" w:eastAsia="zh-CN"/>
        </w:rPr>
        <w:t>的</w:t>
      </w:r>
      <w:r>
        <w:rPr>
          <w:rFonts w:hint="eastAsia" w:asciiTheme="minorEastAsia" w:hAnsiTheme="minorEastAsia" w:eastAsiaTheme="minorEastAsia" w:cstheme="minorEastAsia"/>
          <w:color w:val="auto"/>
          <w:sz w:val="24"/>
          <w:u w:val="single"/>
          <w:lang w:val="en-US" w:eastAsia="zh-CN"/>
        </w:rPr>
        <w:t>（项目名称）</w:t>
      </w:r>
      <w:r>
        <w:rPr>
          <w:rFonts w:hint="eastAsia" w:asciiTheme="minorEastAsia" w:hAnsiTheme="minorEastAsia" w:eastAsiaTheme="minorEastAsia" w:cstheme="minorEastAsia"/>
          <w:color w:val="auto"/>
          <w:sz w:val="24"/>
          <w:lang w:val="en-US" w:eastAsia="zh-CN"/>
        </w:rPr>
        <w:t>采购活动，提供的</w:t>
      </w:r>
      <w:r>
        <w:rPr>
          <w:rFonts w:hint="eastAsia" w:ascii="宋体" w:hAnsi="宋体" w:cs="宋体"/>
          <w:sz w:val="24"/>
          <w:szCs w:val="24"/>
          <w:highlight w:val="none"/>
        </w:rPr>
        <w:t>货物全部由符合政策要求的中小企业制造</w:t>
      </w:r>
      <w:r>
        <w:rPr>
          <w:rFonts w:hint="eastAsia" w:asciiTheme="minorEastAsia" w:hAnsiTheme="minorEastAsia" w:eastAsiaTheme="minorEastAsia" w:cstheme="minorEastAsia"/>
          <w:color w:val="auto"/>
          <w:sz w:val="24"/>
          <w:lang w:val="en-US" w:eastAsia="zh-CN"/>
        </w:rPr>
        <w:t>。相关企业（含联合体中的中小企业、签订分包意向协议的中小企业）的具体情 况如下：</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w:t>
      </w:r>
      <w:r>
        <w:rPr>
          <w:rFonts w:hint="eastAsia" w:asciiTheme="minorEastAsia" w:hAnsiTheme="minorEastAsia" w:eastAsiaTheme="minorEastAsia" w:cstheme="minorEastAsia"/>
          <w:color w:val="auto"/>
          <w:sz w:val="24"/>
          <w:lang w:val="en-US" w:eastAsia="zh-CN"/>
        </w:rPr>
        <w:t>制造商</w:t>
      </w:r>
      <w:r>
        <w:rPr>
          <w:rFonts w:hint="eastAsia" w:asciiTheme="minorEastAsia" w:hAnsiTheme="minorEastAsia" w:eastAsiaTheme="minorEastAsia" w:cstheme="minorEastAsia"/>
          <w:color w:val="auto"/>
          <w:sz w:val="24"/>
        </w:rPr>
        <w:t>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w:t>
      </w:r>
      <w:r>
        <w:rPr>
          <w:rFonts w:hint="eastAsia" w:asciiTheme="minorEastAsia" w:hAnsiTheme="minorEastAsia" w:eastAsiaTheme="minorEastAsia" w:cstheme="minorEastAsia"/>
          <w:color w:val="auto"/>
          <w:sz w:val="24"/>
          <w:lang w:val="en-US" w:eastAsia="zh-CN"/>
        </w:rPr>
        <w:t>制造商</w:t>
      </w:r>
      <w:r>
        <w:rPr>
          <w:rFonts w:hint="eastAsia" w:asciiTheme="minorEastAsia" w:hAnsiTheme="minorEastAsia" w:eastAsiaTheme="minorEastAsia" w:cstheme="minorEastAsia"/>
          <w:color w:val="auto"/>
          <w:sz w:val="24"/>
        </w:rPr>
        <w:t>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从业人员、营业收入、资产总额填报上</w:t>
      </w:r>
      <w:r>
        <w:rPr>
          <w:rFonts w:hint="eastAsia" w:asciiTheme="minorEastAsia" w:hAnsiTheme="minorEastAsia" w:eastAsiaTheme="minorEastAsia" w:cstheme="minorEastAsia"/>
          <w:color w:val="auto"/>
          <w:sz w:val="24"/>
          <w:lang w:val="en-US" w:eastAsia="zh-CN"/>
        </w:rPr>
        <w:t>一年</w:t>
      </w:r>
      <w:r>
        <w:rPr>
          <w:rFonts w:hint="eastAsia" w:asciiTheme="minorEastAsia" w:hAnsiTheme="minorEastAsia" w:eastAsiaTheme="minorEastAsia" w:cstheme="minorEastAsia"/>
          <w:color w:val="auto"/>
          <w:sz w:val="24"/>
        </w:rPr>
        <w:t>度数据，无上</w:t>
      </w:r>
      <w:r>
        <w:rPr>
          <w:rFonts w:hint="eastAsia" w:asciiTheme="minorEastAsia" w:hAnsiTheme="minorEastAsia" w:eastAsiaTheme="minorEastAsia" w:cstheme="minorEastAsia"/>
          <w:color w:val="auto"/>
          <w:sz w:val="24"/>
          <w:lang w:val="en-US" w:eastAsia="zh-CN"/>
        </w:rPr>
        <w:t>一</w:t>
      </w:r>
      <w:r>
        <w:rPr>
          <w:rFonts w:hint="eastAsia" w:asciiTheme="minorEastAsia" w:hAnsiTheme="minorEastAsia" w:eastAsiaTheme="minorEastAsia" w:cstheme="minorEastAsia"/>
          <w:color w:val="auto"/>
          <w:sz w:val="24"/>
        </w:rPr>
        <w:t xml:space="preserve">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rPr>
        <w:sectPr>
          <w:footerReference r:id="rId14"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5" w:name="_Toc23793"/>
      <w:r>
        <w:rPr>
          <w:rFonts w:hint="eastAsia" w:asciiTheme="minorEastAsia" w:hAnsiTheme="minorEastAsia" w:eastAsiaTheme="minorEastAsia" w:cstheme="minorEastAsia"/>
          <w:b/>
          <w:color w:val="auto"/>
          <w:spacing w:val="6"/>
          <w:sz w:val="28"/>
          <w:szCs w:val="28"/>
        </w:rPr>
        <w:t>2.残疾人福利性单位声明函</w:t>
      </w:r>
      <w:bookmarkEnd w:id="152"/>
      <w:bookmarkEnd w:id="155"/>
    </w:p>
    <w:p>
      <w:pPr>
        <w:spacing w:line="500" w:lineRule="exact"/>
        <w:rPr>
          <w:rFonts w:hint="eastAsia" w:asciiTheme="minorEastAsia" w:hAnsiTheme="minorEastAsia" w:eastAsiaTheme="minorEastAsia" w:cstheme="minorEastAsia"/>
          <w:b/>
          <w:color w:val="auto"/>
          <w:spacing w:val="6"/>
          <w:sz w:val="30"/>
          <w:szCs w:val="30"/>
        </w:rPr>
      </w:pP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rPr>
        <w:t>〔2017〕 141</w:t>
      </w:r>
      <w:r>
        <w:rPr>
          <w:rFonts w:hint="eastAsia" w:asciiTheme="minorEastAsia" w:hAnsiTheme="minorEastAsia" w:eastAsiaTheme="minorEastAsia" w:cstheme="minorEastAsia"/>
          <w:color w:val="auto"/>
          <w:spacing w:val="6"/>
          <w:sz w:val="24"/>
        </w:rPr>
        <w:t>号）的规定，本单位为符合条件的残疾人福利性单位，且本单位参加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pacing w:val="6"/>
          <w:sz w:val="24"/>
        </w:rPr>
        <w:t>单位的</w:t>
      </w:r>
      <w:r>
        <w:rPr>
          <w:rFonts w:hint="eastAsia" w:asciiTheme="minorEastAsia" w:hAnsiTheme="minorEastAsia" w:eastAsiaTheme="minorEastAsia" w:cstheme="minorEastAsia"/>
          <w:b/>
          <w:bCs/>
          <w:color w:val="auto"/>
          <w:spacing w:val="6"/>
          <w:sz w:val="24"/>
          <w:u w:val="single"/>
        </w:rPr>
        <w:t xml:space="preserve">         </w:t>
      </w:r>
      <w:r>
        <w:rPr>
          <w:rFonts w:hint="eastAsia" w:asciiTheme="minorEastAsia" w:hAnsiTheme="minorEastAsia" w:eastAsiaTheme="minorEastAsia" w:cs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 w:val="24"/>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rPr>
      </w:pP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备注：</w:t>
      </w:r>
      <w:r>
        <w:rPr>
          <w:rFonts w:hint="eastAsia" w:asciiTheme="minorEastAsia" w:hAnsiTheme="minorEastAsia" w:eastAsiaTheme="minorEastAsia" w:cstheme="minorEastAsia"/>
          <w:color w:val="auto"/>
          <w:szCs w:val="21"/>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根据《财政部 民政部 中国残疾人联合会关于促进残疾人就业政府采购政策的通知》（财库〔2017〕141号）的规定：</w:t>
      </w:r>
    </w:p>
    <w:p>
      <w:pPr>
        <w:tabs>
          <w:tab w:val="left" w:pos="5670"/>
        </w:tabs>
        <w:ind w:firstLine="48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（一）安置的残疾人占本单位在职职工人数的比例不低于25%（含25%），并且安置的残疾人人数不少于10人（含10人）；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（二）依法与安置的每位残疾人签订了</w:t>
      </w:r>
      <w:r>
        <w:rPr>
          <w:rFonts w:hint="eastAsia" w:asciiTheme="minorEastAsia" w:hAnsiTheme="minorEastAsia" w:eastAsiaTheme="minorEastAsia" w:cstheme="minorEastAsia"/>
          <w:color w:val="auto"/>
          <w:szCs w:val="21"/>
          <w:lang w:eastAsia="zh-CN"/>
        </w:rPr>
        <w:t>30天</w:t>
      </w:r>
      <w:r>
        <w:rPr>
          <w:rFonts w:hint="eastAsia" w:asciiTheme="minorEastAsia" w:hAnsiTheme="minorEastAsia" w:eastAsiaTheme="minorEastAsia" w:cstheme="minorEastAsia"/>
          <w:color w:val="auto"/>
          <w:szCs w:val="21"/>
        </w:rPr>
        <w:t>以上（含</w:t>
      </w:r>
      <w:r>
        <w:rPr>
          <w:rFonts w:hint="eastAsia" w:asciiTheme="minorEastAsia" w:hAnsiTheme="minorEastAsia" w:eastAsiaTheme="minorEastAsia" w:cstheme="minorEastAsia"/>
          <w:color w:val="auto"/>
          <w:szCs w:val="21"/>
          <w:lang w:eastAsia="zh-CN"/>
        </w:rPr>
        <w:t>30天</w:t>
      </w:r>
      <w:r>
        <w:rPr>
          <w:rFonts w:hint="eastAsia" w:asciiTheme="minorEastAsia" w:hAnsiTheme="minorEastAsia" w:eastAsiaTheme="minorEastAsia" w:cstheme="minorEastAsia"/>
          <w:color w:val="auto"/>
          <w:szCs w:val="21"/>
        </w:rPr>
        <w:t>）的劳动合同或服务协议；</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rPr>
        <w:t>非残疾人福利性单位无需提供此函。</w:t>
      </w:r>
    </w:p>
    <w:p>
      <w:pPr>
        <w:tabs>
          <w:tab w:val="left" w:pos="5670"/>
        </w:tabs>
        <w:ind w:firstLine="480" w:firstLineChars="200"/>
        <w:rPr>
          <w:rFonts w:hint="eastAsia" w:asciiTheme="minorEastAsia" w:hAnsiTheme="minorEastAsia" w:eastAsiaTheme="minorEastAsia" w:cstheme="minorEastAsia"/>
          <w:color w:val="auto"/>
          <w:szCs w:val="21"/>
        </w:rPr>
      </w:pPr>
    </w:p>
    <w:p>
      <w:pPr>
        <w:tabs>
          <w:tab w:val="left" w:pos="5670"/>
        </w:tabs>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bCs/>
          <w:color w:val="auto"/>
          <w:sz w:val="36"/>
          <w:szCs w:val="36"/>
        </w:rPr>
        <w:br w:type="page"/>
      </w:r>
      <w:bookmarkStart w:id="156" w:name="_Toc17616"/>
      <w:bookmarkStart w:id="157" w:name="_Toc3485"/>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color w:val="auto"/>
          <w:spacing w:val="6"/>
          <w:sz w:val="28"/>
          <w:szCs w:val="28"/>
        </w:rPr>
        <w:t>监狱企业证明函</w:t>
      </w:r>
      <w:bookmarkEnd w:id="156"/>
      <w:bookmarkEnd w:id="157"/>
    </w:p>
    <w:p>
      <w:pPr>
        <w:pStyle w:val="18"/>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（注：符合条件的监狱企业请提供本函，不符合的不提供本函）</w:t>
      </w:r>
    </w:p>
    <w:p>
      <w:pPr>
        <w:rPr>
          <w:rFonts w:hint="eastAsia" w:asciiTheme="minorEastAsia" w:hAnsiTheme="minorEastAsia" w:eastAsiaTheme="minorEastAsia" w:cstheme="minorEastAsia"/>
          <w:color w:val="auto"/>
        </w:rPr>
      </w:pP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ind w:firstLine="183"/>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widowControl/>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rPr>
        <w:t>供应商（盖章）：</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rPr>
      </w:pPr>
    </w:p>
    <w:p>
      <w:pPr>
        <w:widowControl/>
        <w:ind w:firstLine="480" w:firstLineChars="2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承诺人（签字）：</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u w:val="single"/>
        </w:rPr>
      </w:pPr>
    </w:p>
    <w:p>
      <w:pPr>
        <w:widowControl/>
        <w:ind w:firstLine="480" w:firstLineChars="200"/>
        <w:jc w:val="left"/>
        <w:rPr>
          <w:rFonts w:hint="eastAsia" w:asciiTheme="minorEastAsia" w:hAnsiTheme="minorEastAsia" w:eastAsiaTheme="minorEastAsia" w:cstheme="minorEastAsia"/>
          <w:color w:val="auto"/>
          <w:kern w:val="0"/>
          <w:sz w:val="24"/>
        </w:rPr>
        <w:sectPr>
          <w:headerReference r:id="rId16" w:type="first"/>
          <w:headerReference r:id="rId15" w:type="default"/>
          <w:footerReference r:id="rId17"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Theme="minorEastAsia" w:hAnsiTheme="minorEastAsia" w:eastAsiaTheme="minorEastAsia" w:cstheme="minorEastAsia"/>
          <w:color w:val="auto"/>
          <w:kern w:val="0"/>
          <w:sz w:val="24"/>
        </w:rPr>
        <w:t>承诺时间：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日</w:t>
      </w:r>
    </w:p>
    <w:p>
      <w:pPr>
        <w:spacing w:line="360" w:lineRule="auto"/>
        <w:jc w:val="center"/>
        <w:outlineLvl w:val="0"/>
        <w:rPr>
          <w:rFonts w:hint="default" w:ascii="宋体" w:hAnsi="宋体" w:eastAsia="宋体" w:cs="宋体"/>
          <w:b/>
          <w:bCs/>
          <w:color w:val="auto"/>
          <w:sz w:val="32"/>
          <w:szCs w:val="32"/>
          <w:lang w:val="en-US" w:eastAsia="zh-CN"/>
        </w:rPr>
      </w:pPr>
      <w:bookmarkStart w:id="158" w:name="_Toc2091"/>
      <w:bookmarkStart w:id="159" w:name="_Toc11374"/>
      <w:bookmarkStart w:id="160" w:name="_Toc32491"/>
      <w:r>
        <w:rPr>
          <w:rFonts w:hint="eastAsia" w:ascii="宋体" w:hAnsi="宋体" w:cs="宋体"/>
          <w:b/>
          <w:bCs/>
          <w:color w:val="auto"/>
          <w:sz w:val="32"/>
          <w:szCs w:val="32"/>
          <w:lang w:val="en-US" w:eastAsia="zh-CN"/>
        </w:rPr>
        <w:t xml:space="preserve">第七章  </w:t>
      </w:r>
      <w:r>
        <w:rPr>
          <w:rFonts w:hint="eastAsia" w:ascii="宋体" w:hAnsi="宋体" w:cs="宋体"/>
          <w:b/>
          <w:bCs/>
          <w:color w:val="auto"/>
          <w:sz w:val="32"/>
          <w:szCs w:val="32"/>
        </w:rPr>
        <w:t>榆林市公共资源交易平台全流程电子化</w:t>
      </w:r>
      <w:bookmarkStart w:id="161" w:name="_Toc23465"/>
      <w:r>
        <w:rPr>
          <w:rFonts w:hint="eastAsia" w:ascii="宋体" w:hAnsi="宋体" w:cs="宋体"/>
          <w:b/>
          <w:bCs/>
          <w:color w:val="auto"/>
          <w:sz w:val="32"/>
          <w:szCs w:val="32"/>
        </w:rPr>
        <w:t>政府采购项目</w:t>
      </w:r>
      <w:bookmarkEnd w:id="158"/>
      <w:bookmarkEnd w:id="159"/>
      <w:bookmarkEnd w:id="161"/>
      <w:r>
        <w:rPr>
          <w:rFonts w:hint="eastAsia" w:ascii="宋体" w:hAnsi="宋体" w:cs="宋体"/>
          <w:b/>
          <w:bCs/>
          <w:color w:val="auto"/>
          <w:sz w:val="32"/>
          <w:szCs w:val="32"/>
          <w:lang w:val="en-US" w:eastAsia="zh-CN"/>
        </w:rPr>
        <w:t>特别说明</w:t>
      </w:r>
      <w:bookmarkEnd w:id="160"/>
    </w:p>
    <w:p>
      <w:pPr>
        <w:spacing w:line="360" w:lineRule="auto"/>
        <w:outlineLvl w:val="0"/>
        <w:rPr>
          <w:rFonts w:hint="eastAsia" w:ascii="宋体" w:hAnsi="宋体" w:cs="宋体"/>
          <w:bCs/>
          <w:color w:val="auto"/>
          <w:sz w:val="24"/>
        </w:rPr>
      </w:pPr>
      <w:bookmarkStart w:id="162" w:name="_Toc13044"/>
      <w:bookmarkStart w:id="163" w:name="_Toc24424"/>
      <w:bookmarkStart w:id="164" w:name="_Toc17329"/>
      <w:bookmarkStart w:id="165" w:name="_Toc17326"/>
      <w:bookmarkStart w:id="166" w:name="_Toc30256"/>
      <w:bookmarkStart w:id="167" w:name="_Toc19434"/>
      <w:bookmarkStart w:id="168" w:name="_Toc7893"/>
      <w:bookmarkStart w:id="169" w:name="_Toc29408"/>
      <w:bookmarkStart w:id="170" w:name="_Toc5026"/>
      <w:bookmarkStart w:id="171" w:name="_Toc13032"/>
      <w:bookmarkStart w:id="172" w:name="_Toc21640"/>
      <w:bookmarkStart w:id="173" w:name="_Toc2927"/>
      <w:r>
        <w:rPr>
          <w:rFonts w:hint="eastAsia" w:ascii="宋体" w:hAnsi="宋体" w:cs="宋体"/>
          <w:bCs/>
          <w:color w:val="auto"/>
          <w:sz w:val="24"/>
        </w:rPr>
        <w:t>一、关于需要特别提醒供应商的内容</w:t>
      </w:r>
      <w:bookmarkEnd w:id="162"/>
      <w:bookmarkEnd w:id="163"/>
      <w:bookmarkEnd w:id="164"/>
      <w:bookmarkEnd w:id="165"/>
      <w:bookmarkEnd w:id="166"/>
      <w:bookmarkEnd w:id="167"/>
      <w:bookmarkEnd w:id="168"/>
      <w:bookmarkEnd w:id="169"/>
      <w:bookmarkEnd w:id="170"/>
    </w:p>
    <w:p>
      <w:pPr>
        <w:spacing w:line="360" w:lineRule="auto"/>
        <w:ind w:firstLine="480" w:firstLineChars="200"/>
        <w:outlineLvl w:val="0"/>
        <w:rPr>
          <w:rFonts w:hint="eastAsia" w:ascii="宋体" w:hAnsi="宋体" w:cs="宋体"/>
          <w:bCs/>
          <w:color w:val="auto"/>
          <w:sz w:val="24"/>
        </w:rPr>
      </w:pPr>
      <w:bookmarkStart w:id="174" w:name="_Toc19423"/>
      <w:bookmarkStart w:id="175" w:name="_Toc21468"/>
      <w:bookmarkStart w:id="176" w:name="_Toc31636"/>
      <w:bookmarkStart w:id="177" w:name="_Toc21400"/>
      <w:bookmarkStart w:id="178" w:name="_Toc3743"/>
      <w:bookmarkStart w:id="179" w:name="_Toc22444"/>
      <w:bookmarkStart w:id="180" w:name="_Toc9072"/>
      <w:bookmarkStart w:id="181" w:name="_Toc28365"/>
      <w:bookmarkStart w:id="182" w:name="_Toc11575"/>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74"/>
      <w:bookmarkEnd w:id="175"/>
      <w:bookmarkEnd w:id="176"/>
      <w:bookmarkEnd w:id="177"/>
      <w:bookmarkEnd w:id="178"/>
    </w:p>
    <w:p>
      <w:pPr>
        <w:spacing w:line="360" w:lineRule="auto"/>
        <w:ind w:firstLine="480" w:firstLineChars="200"/>
        <w:outlineLvl w:val="0"/>
        <w:rPr>
          <w:rFonts w:hint="eastAsia" w:ascii="宋体" w:hAnsi="宋体" w:cs="宋体"/>
          <w:bCs/>
          <w:color w:val="auto"/>
          <w:sz w:val="24"/>
        </w:rPr>
      </w:pPr>
      <w:bookmarkStart w:id="183" w:name="_Toc26209"/>
      <w:bookmarkStart w:id="184" w:name="_Toc21967"/>
      <w:bookmarkStart w:id="185" w:name="_Toc8218"/>
      <w:bookmarkStart w:id="186" w:name="_Toc29324"/>
      <w:bookmarkStart w:id="187" w:name="_Toc16386"/>
      <w:r>
        <w:rPr>
          <w:rFonts w:hint="eastAsia" w:ascii="宋体" w:hAnsi="宋体" w:cs="宋体"/>
          <w:bCs/>
          <w:color w:val="auto"/>
          <w:sz w:val="24"/>
        </w:rPr>
        <w:t>2、制作电子投标文件</w:t>
      </w:r>
      <w:bookmarkEnd w:id="183"/>
      <w:bookmarkEnd w:id="184"/>
      <w:bookmarkEnd w:id="185"/>
      <w:bookmarkEnd w:id="186"/>
      <w:bookmarkEnd w:id="187"/>
    </w:p>
    <w:p>
      <w:pPr>
        <w:spacing w:line="360" w:lineRule="auto"/>
        <w:ind w:firstLine="480" w:firstLineChars="200"/>
        <w:outlineLvl w:val="0"/>
        <w:rPr>
          <w:rFonts w:hint="eastAsia" w:ascii="宋体" w:hAnsi="宋体" w:cs="宋体"/>
          <w:bCs/>
          <w:color w:val="auto"/>
          <w:sz w:val="24"/>
        </w:rPr>
      </w:pPr>
      <w:bookmarkStart w:id="188" w:name="_Toc20309"/>
      <w:bookmarkStart w:id="189" w:name="_Toc22290"/>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188"/>
      <w:bookmarkEnd w:id="189"/>
    </w:p>
    <w:p>
      <w:pPr>
        <w:spacing w:line="360" w:lineRule="auto"/>
        <w:ind w:firstLine="480" w:firstLineChars="200"/>
        <w:outlineLvl w:val="0"/>
        <w:rPr>
          <w:rFonts w:hint="eastAsia" w:ascii="宋体" w:hAnsi="宋体" w:cs="宋体"/>
          <w:bCs/>
          <w:color w:val="auto"/>
          <w:sz w:val="24"/>
        </w:rPr>
      </w:pPr>
      <w:bookmarkStart w:id="190" w:name="_Toc15991"/>
      <w:bookmarkStart w:id="191" w:name="_Toc26633"/>
      <w:bookmarkStart w:id="192" w:name="_Toc11240"/>
      <w:bookmarkStart w:id="193" w:name="_Toc8778"/>
      <w:bookmarkStart w:id="194" w:name="_Toc29229"/>
      <w:r>
        <w:rPr>
          <w:rFonts w:hint="eastAsia" w:ascii="宋体" w:hAnsi="宋体" w:cs="宋体"/>
          <w:bCs/>
          <w:color w:val="auto"/>
          <w:sz w:val="24"/>
        </w:rPr>
        <w:t>3、递交电子投标文件</w:t>
      </w:r>
      <w:bookmarkEnd w:id="190"/>
      <w:bookmarkEnd w:id="191"/>
      <w:bookmarkEnd w:id="192"/>
      <w:bookmarkEnd w:id="193"/>
      <w:bookmarkEnd w:id="194"/>
    </w:p>
    <w:p>
      <w:pPr>
        <w:spacing w:line="360" w:lineRule="auto"/>
        <w:ind w:firstLine="480" w:firstLineChars="200"/>
        <w:outlineLvl w:val="0"/>
        <w:rPr>
          <w:rFonts w:hint="eastAsia" w:ascii="宋体" w:hAnsi="宋体" w:cs="宋体"/>
          <w:bCs/>
          <w:color w:val="auto"/>
          <w:sz w:val="24"/>
        </w:rPr>
      </w:pPr>
      <w:bookmarkStart w:id="195" w:name="_Toc26499"/>
      <w:bookmarkStart w:id="196" w:name="_Toc12111"/>
      <w:bookmarkStart w:id="197" w:name="_Toc10172"/>
      <w:bookmarkStart w:id="198" w:name="_Toc2403"/>
      <w:bookmarkStart w:id="199" w:name="_Toc26907"/>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5"/>
      <w:bookmarkEnd w:id="196"/>
      <w:bookmarkEnd w:id="197"/>
      <w:bookmarkEnd w:id="198"/>
      <w:bookmarkEnd w:id="199"/>
    </w:p>
    <w:bookmarkEnd w:id="179"/>
    <w:bookmarkEnd w:id="180"/>
    <w:bookmarkEnd w:id="181"/>
    <w:bookmarkEnd w:id="182"/>
    <w:p>
      <w:pPr>
        <w:spacing w:line="360" w:lineRule="auto"/>
        <w:outlineLvl w:val="0"/>
        <w:rPr>
          <w:rFonts w:hint="eastAsia" w:ascii="宋体" w:hAnsi="宋体" w:cs="宋体"/>
          <w:bCs/>
          <w:color w:val="auto"/>
          <w:sz w:val="24"/>
        </w:rPr>
      </w:pPr>
      <w:bookmarkStart w:id="200" w:name="_Toc17398"/>
      <w:bookmarkStart w:id="201" w:name="_Toc31754"/>
      <w:bookmarkStart w:id="202" w:name="_Toc18685"/>
      <w:bookmarkStart w:id="203" w:name="_Toc22823"/>
      <w:bookmarkStart w:id="204" w:name="_Toc23397"/>
      <w:bookmarkStart w:id="205" w:name="_Toc2373"/>
      <w:bookmarkStart w:id="206" w:name="_Toc14917"/>
      <w:bookmarkStart w:id="207" w:name="_Toc2638"/>
      <w:bookmarkStart w:id="208" w:name="_Toc6717"/>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00"/>
      <w:bookmarkEnd w:id="201"/>
      <w:bookmarkEnd w:id="202"/>
      <w:bookmarkEnd w:id="203"/>
      <w:bookmarkEnd w:id="204"/>
      <w:bookmarkEnd w:id="205"/>
      <w:bookmarkEnd w:id="206"/>
      <w:bookmarkEnd w:id="207"/>
      <w:bookmarkEnd w:id="208"/>
    </w:p>
    <w:p>
      <w:pPr>
        <w:spacing w:line="360" w:lineRule="auto"/>
        <w:ind w:firstLine="480" w:firstLineChars="200"/>
        <w:rPr>
          <w:rFonts w:hint="eastAsia" w:ascii="宋体" w:hAnsi="宋体" w:cs="宋体"/>
          <w:bCs/>
          <w:color w:val="auto"/>
          <w:sz w:val="24"/>
        </w:rPr>
      </w:pPr>
      <w:bookmarkStart w:id="209" w:name="_Toc22512"/>
      <w:r>
        <w:rPr>
          <w:rFonts w:hint="eastAsia" w:ascii="宋体" w:hAnsi="宋体" w:cs="宋体"/>
          <w:bCs/>
          <w:color w:val="auto"/>
          <w:sz w:val="24"/>
        </w:rPr>
        <w:t>1.</w:t>
      </w:r>
      <w:bookmarkEnd w:id="209"/>
      <w:bookmarkStart w:id="210"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10"/>
    </w:p>
    <w:p>
      <w:pPr>
        <w:spacing w:line="360" w:lineRule="auto"/>
        <w:ind w:firstLine="240" w:firstLineChars="100"/>
        <w:rPr>
          <w:rFonts w:hint="eastAsia" w:ascii="宋体" w:hAnsi="宋体" w:cs="宋体"/>
          <w:bCs/>
          <w:color w:val="auto"/>
          <w:sz w:val="24"/>
        </w:rPr>
      </w:pPr>
      <w:bookmarkStart w:id="211" w:name="_Toc5190"/>
      <w:r>
        <w:rPr>
          <w:rFonts w:hint="eastAsia" w:ascii="宋体" w:hAnsi="宋体" w:cs="宋体"/>
          <w:bCs/>
          <w:color w:val="auto"/>
          <w:sz w:val="24"/>
        </w:rPr>
        <w:t>（1）电子招标文件下载</w:t>
      </w:r>
      <w:bookmarkEnd w:id="211"/>
    </w:p>
    <w:p>
      <w:pPr>
        <w:spacing w:line="360" w:lineRule="auto"/>
        <w:ind w:firstLine="480" w:firstLineChars="200"/>
        <w:rPr>
          <w:rFonts w:hint="eastAsia" w:ascii="宋体" w:hAnsi="宋体" w:cs="宋体"/>
          <w:bCs/>
          <w:color w:val="auto"/>
          <w:sz w:val="24"/>
        </w:rPr>
      </w:pPr>
      <w:bookmarkStart w:id="212"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12"/>
    </w:p>
    <w:p>
      <w:pPr>
        <w:spacing w:line="360" w:lineRule="auto"/>
        <w:rPr>
          <w:rFonts w:hint="eastAsia" w:ascii="宋体" w:hAnsi="宋体" w:cs="宋体"/>
          <w:bCs/>
          <w:color w:val="auto"/>
          <w:sz w:val="24"/>
        </w:rPr>
      </w:pPr>
      <w:bookmarkStart w:id="213"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13"/>
    </w:p>
    <w:p>
      <w:pPr>
        <w:spacing w:line="360" w:lineRule="auto"/>
        <w:ind w:firstLine="240" w:firstLineChars="100"/>
        <w:rPr>
          <w:rFonts w:hint="eastAsia" w:ascii="宋体" w:hAnsi="宋体" w:cs="宋体"/>
          <w:bCs/>
          <w:color w:val="auto"/>
          <w:sz w:val="24"/>
          <w:highlight w:val="none"/>
        </w:rPr>
      </w:pPr>
      <w:bookmarkStart w:id="214" w:name="_Toc8282"/>
      <w:r>
        <w:rPr>
          <w:rFonts w:hint="eastAsia" w:ascii="宋体" w:hAnsi="宋体" w:cs="宋体"/>
          <w:bCs/>
          <w:color w:val="auto"/>
          <w:sz w:val="24"/>
        </w:rPr>
        <w:t>（2）电子招标文件需要使用专用软件打开、浏览</w:t>
      </w:r>
      <w:bookmarkEnd w:id="214"/>
      <w:bookmarkStart w:id="215" w:name="_Toc20814"/>
      <w:r>
        <w:rPr>
          <w:rFonts w:hint="eastAsia" w:ascii="宋体" w:hAnsi="宋体" w:cs="宋体"/>
          <w:bCs/>
          <w:color w:val="auto"/>
          <w:sz w:val="24"/>
          <w:lang w:eastAsia="zh-CN"/>
        </w:rPr>
        <w:t>，</w:t>
      </w:r>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)》，下载网址：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"https://download.bqpoint.com/download/downloaddetail.html?SourceFrom=Ztb&amp;ZtbSoftXiaQuCode=1805&amp;ZtbSoftType=tballinclusive" </w:instrText>
      </w:r>
      <w:r>
        <w:rPr>
          <w:rFonts w:hint="eastAsia" w:ascii="宋体" w:hAnsi="宋体" w:cs="宋体"/>
          <w:bCs/>
          <w:color w:val="auto"/>
          <w:sz w:val="24"/>
        </w:rPr>
        <w:fldChar w:fldCharType="separate"/>
      </w:r>
      <w:r>
        <w:rPr>
          <w:rFonts w:hint="eastAsia" w:ascii="宋体" w:hAnsi="宋体" w:cs="宋体"/>
          <w:bCs/>
          <w:color w:val="auto"/>
          <w:sz w:val="24"/>
        </w:rPr>
        <w:t>https://download.bqpoint.com/download/downloaddetail.html?SourceFrom=Ztb&amp;ZtbSoftXiaQuCode=1805&amp;ZtbSoftType=tballinclusive</w:t>
      </w:r>
      <w:r>
        <w:rPr>
          <w:rFonts w:hint="eastAsia" w:ascii="宋体" w:hAnsi="宋体" w:cs="宋体"/>
          <w:bCs/>
          <w:color w:val="auto"/>
          <w:sz w:val="24"/>
        </w:rPr>
        <w:fldChar w:fldCharType="end"/>
      </w:r>
      <w:r>
        <w:rPr>
          <w:rFonts w:hint="eastAsia" w:ascii="宋体" w:hAnsi="宋体" w:cs="宋体"/>
          <w:bCs/>
          <w:color w:val="auto"/>
          <w:sz w:val="24"/>
        </w:rPr>
        <w:t>，并升级至最新版本，使用该客户端可以打开电子招标文件。</w:t>
      </w:r>
      <w:bookmarkEnd w:id="215"/>
    </w:p>
    <w:p>
      <w:pPr>
        <w:spacing w:line="360" w:lineRule="auto"/>
        <w:ind w:firstLine="240" w:firstLineChars="100"/>
        <w:rPr>
          <w:rFonts w:hint="eastAsia" w:ascii="宋体" w:hAnsi="宋体" w:cs="宋体"/>
          <w:bCs/>
          <w:color w:val="auto"/>
          <w:sz w:val="24"/>
        </w:rPr>
      </w:pPr>
      <w:bookmarkStart w:id="216" w:name="_Toc3479"/>
      <w:r>
        <w:rPr>
          <w:rFonts w:hint="eastAsia" w:ascii="宋体" w:hAnsi="宋体" w:cs="宋体"/>
          <w:bCs/>
          <w:color w:val="auto"/>
          <w:sz w:val="24"/>
        </w:rPr>
        <w:t>（3）制作电子投标文件</w:t>
      </w:r>
      <w:bookmarkEnd w:id="216"/>
    </w:p>
    <w:p>
      <w:pPr>
        <w:spacing w:line="360" w:lineRule="auto"/>
        <w:ind w:firstLine="480" w:firstLineChars="200"/>
        <w:rPr>
          <w:rFonts w:hint="eastAsia" w:ascii="宋体" w:hAnsi="宋体" w:cs="宋体"/>
          <w:bCs/>
          <w:color w:val="auto"/>
          <w:sz w:val="24"/>
        </w:rPr>
      </w:pPr>
      <w:bookmarkStart w:id="217"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17"/>
    </w:p>
    <w:p>
      <w:pPr>
        <w:spacing w:line="360" w:lineRule="auto"/>
        <w:outlineLvl w:val="0"/>
        <w:rPr>
          <w:rFonts w:hint="eastAsia" w:ascii="宋体" w:hAnsi="宋体" w:cs="宋体"/>
          <w:bCs/>
          <w:color w:val="auto"/>
          <w:sz w:val="24"/>
        </w:rPr>
      </w:pPr>
      <w:bookmarkStart w:id="218" w:name="_Toc17424"/>
      <w:bookmarkStart w:id="219" w:name="_Toc24522"/>
      <w:bookmarkStart w:id="220" w:name="_Toc30034"/>
      <w:bookmarkStart w:id="221" w:name="_Toc29731"/>
      <w:bookmarkStart w:id="222" w:name="_Toc9181"/>
      <w:r>
        <w:rPr>
          <w:rFonts w:hint="eastAsia" w:ascii="宋体" w:hAnsi="宋体" w:cs="宋体"/>
          <w:bCs/>
          <w:color w:val="auto"/>
          <w:sz w:val="24"/>
        </w:rPr>
        <w:t>四、该项目将采取“不见面”开标的形式，供应商无须到达开标现场，即可在网上直接参与开标活动。相关注意事项如下：</w:t>
      </w:r>
      <w:bookmarkEnd w:id="218"/>
      <w:bookmarkEnd w:id="219"/>
      <w:bookmarkEnd w:id="220"/>
      <w:bookmarkEnd w:id="221"/>
      <w:bookmarkEnd w:id="222"/>
    </w:p>
    <w:p>
      <w:pPr>
        <w:spacing w:line="360" w:lineRule="auto"/>
        <w:ind w:firstLine="480" w:firstLineChars="200"/>
        <w:outlineLvl w:val="0"/>
        <w:rPr>
          <w:rFonts w:hint="eastAsia" w:ascii="宋体" w:hAnsi="宋体" w:eastAsia="宋体" w:cs="宋体"/>
          <w:bCs/>
          <w:color w:val="auto"/>
          <w:sz w:val="24"/>
        </w:rPr>
      </w:pPr>
      <w:bookmarkStart w:id="223" w:name="_Toc25309"/>
      <w:bookmarkStart w:id="224" w:name="_Toc29064"/>
      <w:bookmarkStart w:id="225" w:name="_Toc31554"/>
      <w:bookmarkStart w:id="226" w:name="_Toc28289"/>
      <w:bookmarkStart w:id="227" w:name="_Toc10914"/>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223"/>
      <w:bookmarkEnd w:id="224"/>
      <w:bookmarkEnd w:id="225"/>
      <w:bookmarkEnd w:id="226"/>
      <w:bookmarkEnd w:id="227"/>
    </w:p>
    <w:p>
      <w:pPr>
        <w:spacing w:line="360" w:lineRule="auto"/>
        <w:ind w:firstLine="480" w:firstLineChars="200"/>
        <w:outlineLvl w:val="0"/>
        <w:rPr>
          <w:rFonts w:hint="eastAsia" w:ascii="宋体" w:hAnsi="宋体" w:eastAsia="宋体" w:cs="宋体"/>
          <w:bCs/>
          <w:color w:val="auto"/>
          <w:sz w:val="24"/>
        </w:rPr>
      </w:pPr>
      <w:bookmarkStart w:id="228" w:name="_Toc15638"/>
      <w:bookmarkStart w:id="229" w:name="_Toc6547"/>
      <w:bookmarkStart w:id="230" w:name="_Toc23987"/>
      <w:bookmarkStart w:id="231" w:name="_Toc5810"/>
      <w:bookmarkStart w:id="232" w:name="_Toc136"/>
      <w:r>
        <w:rPr>
          <w:rFonts w:hint="eastAsia" w:ascii="宋体" w:hAnsi="宋体" w:eastAsia="宋体" w:cs="宋体"/>
          <w:bCs/>
          <w:color w:val="auto"/>
          <w:sz w:val="24"/>
        </w:rPr>
        <w:t>IE浏览器输入网址：</w:t>
      </w:r>
      <w:bookmarkEnd w:id="228"/>
      <w:bookmarkEnd w:id="229"/>
      <w:bookmarkEnd w:id="230"/>
      <w:bookmarkEnd w:id="231"/>
      <w:bookmarkEnd w:id="232"/>
    </w:p>
    <w:p>
      <w:pPr>
        <w:spacing w:line="360" w:lineRule="auto"/>
        <w:ind w:firstLine="480" w:firstLineChars="200"/>
        <w:outlineLvl w:val="0"/>
        <w:rPr>
          <w:rFonts w:hint="eastAsia" w:ascii="宋体" w:hAnsi="宋体" w:eastAsia="宋体" w:cs="宋体"/>
          <w:bCs/>
          <w:color w:val="auto"/>
          <w:sz w:val="24"/>
        </w:rPr>
      </w:pPr>
      <w:bookmarkStart w:id="233" w:name="_Toc9929"/>
      <w:bookmarkStart w:id="234" w:name="_Toc31069"/>
      <w:bookmarkStart w:id="235" w:name="_Toc11544"/>
      <w:bookmarkStart w:id="236" w:name="_Toc14974"/>
      <w:bookmarkStart w:id="237" w:name="_Toc21170"/>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33"/>
      <w:bookmarkEnd w:id="234"/>
      <w:bookmarkEnd w:id="235"/>
      <w:bookmarkEnd w:id="236"/>
      <w:bookmarkEnd w:id="237"/>
    </w:p>
    <w:p>
      <w:pPr>
        <w:spacing w:line="360" w:lineRule="auto"/>
        <w:ind w:firstLine="480" w:firstLineChars="200"/>
        <w:outlineLvl w:val="0"/>
        <w:rPr>
          <w:rFonts w:hint="eastAsia" w:ascii="宋体" w:hAnsi="宋体" w:eastAsia="宋体" w:cs="宋体"/>
          <w:bCs/>
          <w:color w:val="auto"/>
          <w:sz w:val="24"/>
        </w:rPr>
      </w:pPr>
      <w:bookmarkStart w:id="238" w:name="_Toc22457"/>
      <w:bookmarkStart w:id="239" w:name="_Toc4145"/>
      <w:bookmarkStart w:id="240" w:name="_Toc2339"/>
      <w:bookmarkStart w:id="241" w:name="_Toc23601"/>
      <w:bookmarkStart w:id="242" w:name="_Toc32358"/>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38"/>
      <w:bookmarkEnd w:id="239"/>
      <w:bookmarkEnd w:id="240"/>
      <w:bookmarkEnd w:id="241"/>
      <w:bookmarkEnd w:id="242"/>
    </w:p>
    <w:p>
      <w:pPr>
        <w:spacing w:line="360" w:lineRule="auto"/>
        <w:ind w:firstLine="480" w:firstLineChars="200"/>
        <w:outlineLvl w:val="0"/>
        <w:rPr>
          <w:rFonts w:hint="eastAsia" w:ascii="宋体" w:hAnsi="宋体" w:eastAsia="宋体" w:cs="宋体"/>
          <w:bCs/>
          <w:color w:val="auto"/>
          <w:sz w:val="24"/>
        </w:rPr>
      </w:pPr>
      <w:bookmarkStart w:id="243" w:name="_Toc23882"/>
      <w:bookmarkStart w:id="244" w:name="_Toc3689"/>
      <w:bookmarkStart w:id="245" w:name="_Toc21166"/>
      <w:bookmarkStart w:id="246" w:name="_Toc20049"/>
      <w:bookmarkStart w:id="247" w:name="_Toc3562"/>
      <w:r>
        <w:rPr>
          <w:rFonts w:hint="eastAsia" w:ascii="宋体" w:hAnsi="宋体" w:eastAsia="宋体" w:cs="宋体"/>
          <w:bCs/>
          <w:color w:val="auto"/>
          <w:sz w:val="24"/>
        </w:rPr>
        <w:t>注：登录不见面开标系统请选择IE11浏览器</w:t>
      </w:r>
      <w:bookmarkEnd w:id="243"/>
      <w:bookmarkEnd w:id="244"/>
      <w:bookmarkEnd w:id="245"/>
      <w:bookmarkEnd w:id="246"/>
      <w:bookmarkEnd w:id="247"/>
    </w:p>
    <w:p>
      <w:pPr>
        <w:spacing w:line="360" w:lineRule="auto"/>
        <w:ind w:firstLine="480" w:firstLineChars="200"/>
        <w:outlineLvl w:val="0"/>
        <w:rPr>
          <w:rFonts w:hint="eastAsia" w:ascii="宋体" w:hAnsi="宋体" w:eastAsia="宋体" w:cs="宋体"/>
          <w:bCs/>
          <w:color w:val="auto"/>
          <w:sz w:val="24"/>
        </w:rPr>
      </w:pPr>
      <w:bookmarkStart w:id="248" w:name="_Toc14094"/>
      <w:bookmarkStart w:id="249" w:name="_Toc3002"/>
      <w:bookmarkStart w:id="250" w:name="_Toc5982"/>
      <w:bookmarkStart w:id="251" w:name="_Toc25466"/>
      <w:bookmarkStart w:id="252" w:name="_Toc28533"/>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48"/>
      <w:bookmarkEnd w:id="249"/>
      <w:bookmarkEnd w:id="250"/>
      <w:bookmarkEnd w:id="251"/>
      <w:bookmarkEnd w:id="252"/>
    </w:p>
    <w:p>
      <w:pPr>
        <w:spacing w:line="360" w:lineRule="auto"/>
        <w:ind w:firstLine="480" w:firstLineChars="200"/>
        <w:outlineLvl w:val="0"/>
        <w:rPr>
          <w:rFonts w:hint="eastAsia" w:ascii="宋体" w:hAnsi="宋体" w:eastAsia="宋体" w:cs="宋体"/>
          <w:bCs/>
          <w:color w:val="auto"/>
          <w:sz w:val="24"/>
        </w:rPr>
      </w:pPr>
      <w:bookmarkStart w:id="253" w:name="_Toc27782"/>
      <w:bookmarkStart w:id="254" w:name="_Toc17893"/>
      <w:bookmarkStart w:id="255" w:name="_Toc24908"/>
      <w:bookmarkStart w:id="256" w:name="_Toc10575"/>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53"/>
      <w:bookmarkEnd w:id="254"/>
      <w:bookmarkEnd w:id="255"/>
      <w:bookmarkEnd w:id="256"/>
    </w:p>
    <w:p>
      <w:pPr>
        <w:spacing w:line="360" w:lineRule="auto"/>
        <w:ind w:firstLine="480" w:firstLineChars="200"/>
        <w:outlineLvl w:val="0"/>
        <w:rPr>
          <w:rFonts w:hint="eastAsia" w:ascii="宋体" w:hAnsi="宋体" w:eastAsia="宋体" w:cs="宋体"/>
          <w:bCs/>
          <w:color w:val="auto"/>
          <w:sz w:val="24"/>
        </w:rPr>
      </w:pPr>
      <w:bookmarkStart w:id="257" w:name="_Toc27404"/>
      <w:bookmarkStart w:id="258" w:name="_Toc18391"/>
      <w:bookmarkStart w:id="259" w:name="_Toc30945"/>
      <w:bookmarkStart w:id="260" w:name="_Toc14264"/>
      <w:bookmarkStart w:id="261" w:name="_Toc2001"/>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57"/>
      <w:bookmarkEnd w:id="258"/>
      <w:bookmarkEnd w:id="259"/>
      <w:bookmarkEnd w:id="260"/>
      <w:bookmarkEnd w:id="261"/>
    </w:p>
    <w:p>
      <w:pPr>
        <w:spacing w:line="360" w:lineRule="auto"/>
        <w:ind w:firstLine="480" w:firstLineChars="200"/>
        <w:outlineLvl w:val="0"/>
        <w:rPr>
          <w:rFonts w:hint="eastAsia" w:ascii="宋体" w:hAnsi="宋体" w:eastAsia="宋体" w:cs="宋体"/>
          <w:bCs/>
          <w:color w:val="auto"/>
          <w:sz w:val="24"/>
        </w:rPr>
      </w:pPr>
      <w:bookmarkStart w:id="262" w:name="_Toc1352"/>
      <w:bookmarkStart w:id="263" w:name="_Toc30018"/>
      <w:bookmarkStart w:id="264" w:name="_Toc14040"/>
      <w:bookmarkStart w:id="265" w:name="_Toc18873"/>
      <w:bookmarkStart w:id="266" w:name="_Toc12288"/>
      <w:r>
        <w:rPr>
          <w:rFonts w:hint="eastAsia" w:ascii="宋体" w:hAnsi="宋体" w:eastAsia="宋体" w:cs="宋体"/>
          <w:bCs/>
          <w:color w:val="auto"/>
          <w:sz w:val="24"/>
        </w:rPr>
        <w:t>⑤相关技术问题，请咨询软件开发商：</w:t>
      </w:r>
      <w:bookmarkEnd w:id="262"/>
      <w:bookmarkEnd w:id="263"/>
      <w:bookmarkEnd w:id="264"/>
      <w:bookmarkEnd w:id="265"/>
      <w:bookmarkEnd w:id="266"/>
    </w:p>
    <w:p>
      <w:pPr>
        <w:spacing w:line="360" w:lineRule="auto"/>
        <w:ind w:firstLine="480" w:firstLineChars="200"/>
        <w:outlineLvl w:val="0"/>
        <w:rPr>
          <w:rFonts w:hint="eastAsia" w:ascii="宋体" w:hAnsi="宋体" w:eastAsia="宋体" w:cs="宋体"/>
          <w:bCs/>
          <w:color w:val="auto"/>
          <w:sz w:val="24"/>
        </w:rPr>
      </w:pPr>
      <w:bookmarkStart w:id="267" w:name="_Toc29562"/>
      <w:bookmarkStart w:id="268" w:name="_Toc23949"/>
      <w:bookmarkStart w:id="269" w:name="_Toc21234"/>
      <w:bookmarkStart w:id="270" w:name="_Toc17735"/>
      <w:bookmarkStart w:id="271" w:name="_Toc13241"/>
      <w:r>
        <w:rPr>
          <w:rFonts w:hint="eastAsia" w:ascii="宋体" w:hAnsi="宋体" w:eastAsia="宋体" w:cs="宋体"/>
          <w:bCs/>
          <w:color w:val="auto"/>
          <w:sz w:val="24"/>
        </w:rPr>
        <w:t>技术支持热线：400-998-0000/400-928-0095</w:t>
      </w:r>
      <w:bookmarkEnd w:id="267"/>
      <w:bookmarkEnd w:id="268"/>
      <w:bookmarkEnd w:id="269"/>
      <w:bookmarkEnd w:id="270"/>
      <w:bookmarkEnd w:id="271"/>
    </w:p>
    <w:p>
      <w:pPr>
        <w:spacing w:line="360" w:lineRule="auto"/>
        <w:ind w:firstLine="480" w:firstLineChars="200"/>
        <w:outlineLvl w:val="0"/>
        <w:rPr>
          <w:rFonts w:hint="eastAsia" w:ascii="宋体" w:hAnsi="宋体" w:eastAsia="宋体" w:cs="宋体"/>
          <w:bCs/>
          <w:color w:val="auto"/>
          <w:sz w:val="24"/>
        </w:rPr>
      </w:pPr>
      <w:bookmarkStart w:id="272"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71"/>
      <w:bookmarkEnd w:id="172"/>
      <w:bookmarkEnd w:id="173"/>
      <w:bookmarkEnd w:id="272"/>
    </w:p>
    <w:p>
      <w:pPr>
        <w:spacing w:line="360" w:lineRule="auto"/>
        <w:jc w:val="both"/>
        <w:rPr>
          <w:rFonts w:hint="eastAsia" w:ascii="宋体" w:hAnsi="宋体" w:eastAsia="宋体" w:cs="宋体"/>
          <w:color w:val="auto"/>
          <w:sz w:val="32"/>
          <w:szCs w:val="32"/>
        </w:rPr>
      </w:pPr>
    </w:p>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1"/>
        <w:rFonts w:ascii="宋体" w:hAnsi="宋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left"/>
      <w:rPr>
        <w:rFonts w:hint="default" w:eastAsia="宋体"/>
        <w:u w:val="single"/>
        <w:lang w:val="en-US" w:eastAsia="zh-CN"/>
      </w:rPr>
    </w:pPr>
    <w:r>
      <w:rPr>
        <w:rFonts w:hint="eastAsia"/>
        <w:u w:val="single"/>
        <w:lang w:val="en-US" w:eastAsia="zh-CN"/>
      </w:rPr>
      <w:t>清涧县教育和体育局关于幼儿园保教设备采购项目</w:t>
    </w:r>
    <w:r>
      <w:rPr>
        <w:rFonts w:hint="eastAsia"/>
        <w:u w:val="single"/>
      </w:rPr>
      <w:t xml:space="preserve">     </w:t>
    </w:r>
    <w:r>
      <w:rPr>
        <w:rFonts w:hint="eastAsia"/>
        <w:u w:val="single"/>
        <w:lang w:val="en-US" w:eastAsia="zh-CN"/>
      </w:rPr>
      <w:t xml:space="preserve">                                   </w:t>
    </w:r>
    <w:r>
      <w:rPr>
        <w:rFonts w:hint="eastAsia"/>
        <w:u w:val="single"/>
        <w:lang w:eastAsia="zh-CN"/>
      </w:rPr>
      <w:t>竞争性磋商文件</w:t>
    </w:r>
    <w:r>
      <w:rPr>
        <w:rFonts w:hint="eastAsia"/>
        <w:u w:val="single"/>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center"/>
      <w:rPr>
        <w:rFonts w:hint="default" w:ascii="宋体" w:hAnsi="宋体" w:eastAsia="宋体" w:cs="宋体"/>
        <w:b w:val="0"/>
        <w:bCs/>
        <w:sz w:val="18"/>
        <w:szCs w:val="18"/>
        <w:u w:val="none"/>
        <w:lang w:val="en-US" w:eastAsia="zh-CN"/>
      </w:rPr>
    </w:pPr>
    <w:r>
      <w:rPr>
        <w:rFonts w:hint="eastAsia" w:ascii="宋体" w:hAnsi="宋体" w:cs="宋体"/>
        <w:b w:val="0"/>
        <w:bCs/>
        <w:sz w:val="18"/>
        <w:szCs w:val="18"/>
        <w:u w:val="none"/>
        <w:lang w:eastAsia="zh-CN"/>
      </w:rPr>
      <w:t>清涧县教育和体育局关于幼儿园保教设备采购项目</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lang w:val="en-US" w:eastAsia="zh-CN"/>
      </w:rPr>
      <w:t xml:space="preserve">        </w:t>
    </w: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lang w:val="en-US" w:eastAsia="zh-CN"/>
      </w:rPr>
      <w:t xml:space="preserve"> </w:t>
    </w:r>
    <w:r>
      <w:rPr>
        <w:rFonts w:hint="eastAsia" w:ascii="宋体" w:hAnsi="宋体" w:cs="宋体"/>
        <w:b w:val="0"/>
        <w:bCs/>
        <w:sz w:val="18"/>
        <w:szCs w:val="18"/>
        <w:u w:val="none"/>
        <w:shd w:val="clear" w:color="auto" w:fill="FFFFFF"/>
        <w:lang w:val="en-US" w:eastAsia="zh-CN"/>
      </w:rPr>
      <w:t xml:space="preserve"> </w:t>
    </w:r>
    <w:r>
      <w:rPr>
        <w:rFonts w:hint="eastAsia" w:ascii="宋体" w:hAnsi="宋体" w:eastAsia="宋体" w:cs="宋体"/>
        <w:b w:val="0"/>
        <w:bCs/>
        <w:sz w:val="18"/>
        <w:szCs w:val="18"/>
        <w:u w:val="non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jc w:val="both"/>
      <w:rPr>
        <w:b w:val="0"/>
        <w:bCs/>
        <w:sz w:val="18"/>
        <w:szCs w:val="18"/>
        <w:u w:val="none"/>
      </w:rPr>
    </w:pPr>
    <w:r>
      <w:rPr>
        <w:rFonts w:hint="eastAsia" w:ascii="宋体" w:hAnsi="宋体"/>
        <w:b w:val="0"/>
        <w:bCs/>
        <w:sz w:val="18"/>
        <w:szCs w:val="18"/>
        <w:u w:val="none"/>
        <w:shd w:val="clear" w:color="auto" w:fill="FFFFFF"/>
        <w:lang w:val="en-US" w:eastAsia="zh-CN"/>
      </w:rPr>
      <w:t xml:space="preserve">清涧县教育和体育局关于幼儿园保教设备采购项目                                        </w:t>
    </w:r>
    <w:r>
      <w:rPr>
        <w:rFonts w:hint="eastAsia" w:ascii="宋体" w:hAnsi="宋体"/>
        <w:b w:val="0"/>
        <w:bCs/>
        <w:sz w:val="18"/>
        <w:szCs w:val="18"/>
        <w:u w:val="none"/>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single"/>
        <w:lang w:eastAsia="zh-CN"/>
      </w:rPr>
      <w:t>清涧县教育和体育局关于幼儿园保教设备采购项目</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sz w:val="18"/>
        <w:szCs w:val="18"/>
        <w:u w:val="single"/>
      </w:rPr>
      <w:t>竞争性磋商文件</w:t>
    </w:r>
    <w:r>
      <w:rPr>
        <w:rFonts w:hint="eastAsia" w:ascii="宋体" w:hAnsi="宋体"/>
        <w:b w:val="0"/>
        <w:bCs/>
        <w:sz w:val="18"/>
        <w:szCs w:val="18"/>
        <w:u w:val="single"/>
        <w:lang w:val="en-US" w:eastAsia="zh-CN"/>
      </w:rPr>
      <w:t xml:space="preserve"> </w:t>
    </w: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rFonts w:hint="eastAsia" w:ascii="宋体" w:hAnsi="宋体"/>
        <w:b w:val="0"/>
        <w:bCs/>
        <w:sz w:val="18"/>
        <w:szCs w:val="18"/>
        <w:u w:val="single"/>
        <w:lang w:eastAsia="zh-CN"/>
      </w:rPr>
      <w:t>清涧县教育和体育局关于幼儿园保教设备采购项目</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color w:val="000000"/>
        <w:sz w:val="18"/>
        <w:szCs w:val="18"/>
        <w:u w:val="single"/>
        <w:lang w:val="en-US" w:eastAsia="zh-CN"/>
      </w:rPr>
      <w:t xml:space="preserve">     </w:t>
    </w:r>
    <w:r>
      <w:rPr>
        <w:rFonts w:hint="eastAsia" w:ascii="宋体" w:hAnsi="宋体"/>
        <w:b w:val="0"/>
        <w:bCs/>
        <w:color w:val="000000"/>
        <w:sz w:val="18"/>
        <w:szCs w:val="18"/>
        <w:u w:val="single"/>
      </w:rPr>
      <w:t xml:space="preserve"> </w:t>
    </w:r>
    <w:r>
      <w:rPr>
        <w:rFonts w:hint="eastAsia" w:ascii="宋体" w:hAnsi="宋体"/>
        <w:b w:val="0"/>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D6322C70"/>
    <w:multiLevelType w:val="singleLevel"/>
    <w:tmpl w:val="D6322C70"/>
    <w:lvl w:ilvl="0" w:tentative="0">
      <w:start w:val="3"/>
      <w:numFmt w:val="decimal"/>
      <w:suff w:val="nothing"/>
      <w:lvlText w:val="%1、"/>
      <w:lvlJc w:val="left"/>
    </w:lvl>
  </w:abstractNum>
  <w:abstractNum w:abstractNumId="2">
    <w:nsid w:val="00000001"/>
    <w:multiLevelType w:val="multilevel"/>
    <w:tmpl w:val="00000001"/>
    <w:lvl w:ilvl="0" w:tentative="0">
      <w:start w:val="1"/>
      <w:numFmt w:val="bullet"/>
      <w:pStyle w:val="100"/>
      <w:lvlText w:val=""/>
      <w:lvlJc w:val="left"/>
      <w:pPr>
        <w:tabs>
          <w:tab w:val="left" w:pos="907"/>
        </w:tabs>
        <w:ind w:left="907" w:hanging="567"/>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4E64873"/>
    <w:multiLevelType w:val="singleLevel"/>
    <w:tmpl w:val="54E64873"/>
    <w:lvl w:ilvl="0" w:tentative="0">
      <w:start w:val="6"/>
      <w:numFmt w:val="chineseCounting"/>
      <w:suff w:val="space"/>
      <w:lvlText w:val="第%1章"/>
      <w:lvlJc w:val="left"/>
      <w:rPr>
        <w:rFonts w:hint="eastAsia"/>
      </w:rPr>
    </w:lvl>
  </w:abstractNum>
  <w:abstractNum w:abstractNumId="4">
    <w:nsid w:val="60EA00AD"/>
    <w:multiLevelType w:val="singleLevel"/>
    <w:tmpl w:val="60EA00AD"/>
    <w:lvl w:ilvl="0" w:tentative="0">
      <w:start w:val="5"/>
      <w:numFmt w:val="chineseCounting"/>
      <w:suff w:val="space"/>
      <w:lvlText w:val="第%1章"/>
      <w:lvlJc w:val="left"/>
      <w:pPr>
        <w:ind w:left="2880" w:leftChars="0" w:firstLine="0" w:firstLineChars="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A66819"/>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2749A5"/>
    <w:rsid w:val="063F1FD5"/>
    <w:rsid w:val="06420D53"/>
    <w:rsid w:val="068655C7"/>
    <w:rsid w:val="06BB26E2"/>
    <w:rsid w:val="06F56E23"/>
    <w:rsid w:val="07037A79"/>
    <w:rsid w:val="0710231E"/>
    <w:rsid w:val="072F7888"/>
    <w:rsid w:val="076548E0"/>
    <w:rsid w:val="07695B4E"/>
    <w:rsid w:val="07716D75"/>
    <w:rsid w:val="07982650"/>
    <w:rsid w:val="079E29AD"/>
    <w:rsid w:val="07B40FAC"/>
    <w:rsid w:val="07B53601"/>
    <w:rsid w:val="07CC1D00"/>
    <w:rsid w:val="07FF00E8"/>
    <w:rsid w:val="088D187E"/>
    <w:rsid w:val="08915791"/>
    <w:rsid w:val="08D63AD4"/>
    <w:rsid w:val="08E21413"/>
    <w:rsid w:val="08F46A88"/>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606F6"/>
    <w:rsid w:val="0D376061"/>
    <w:rsid w:val="0D3A4F53"/>
    <w:rsid w:val="0DB90971"/>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597637"/>
    <w:rsid w:val="15A9411A"/>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531AFE"/>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BE024C"/>
    <w:rsid w:val="26F61BF3"/>
    <w:rsid w:val="27182904"/>
    <w:rsid w:val="273522DD"/>
    <w:rsid w:val="27410F59"/>
    <w:rsid w:val="275D0C9D"/>
    <w:rsid w:val="27A60D36"/>
    <w:rsid w:val="27B57123"/>
    <w:rsid w:val="27D40FFB"/>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9D2BA1"/>
    <w:rsid w:val="30BF1FF1"/>
    <w:rsid w:val="3147169A"/>
    <w:rsid w:val="31A537D7"/>
    <w:rsid w:val="32051165"/>
    <w:rsid w:val="320842AE"/>
    <w:rsid w:val="32372C93"/>
    <w:rsid w:val="32377195"/>
    <w:rsid w:val="32AB6FB4"/>
    <w:rsid w:val="33185518"/>
    <w:rsid w:val="332F1BF4"/>
    <w:rsid w:val="335626D2"/>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335B79"/>
    <w:rsid w:val="426052B1"/>
    <w:rsid w:val="43040F57"/>
    <w:rsid w:val="430D5439"/>
    <w:rsid w:val="431C1B20"/>
    <w:rsid w:val="43707776"/>
    <w:rsid w:val="439C315E"/>
    <w:rsid w:val="43A11CAC"/>
    <w:rsid w:val="449A0F4E"/>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3A77CD"/>
    <w:rsid w:val="49497A84"/>
    <w:rsid w:val="49C418F7"/>
    <w:rsid w:val="4A5B1180"/>
    <w:rsid w:val="4A902FA7"/>
    <w:rsid w:val="4A944108"/>
    <w:rsid w:val="4AA20994"/>
    <w:rsid w:val="4B520BA4"/>
    <w:rsid w:val="4B5D68DD"/>
    <w:rsid w:val="4BEA3A51"/>
    <w:rsid w:val="4BEE7EF0"/>
    <w:rsid w:val="4C07245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F564DCF"/>
    <w:rsid w:val="4F7D7094"/>
    <w:rsid w:val="4F92260D"/>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51C8C"/>
    <w:rsid w:val="57B7635B"/>
    <w:rsid w:val="57D7479F"/>
    <w:rsid w:val="57E827E9"/>
    <w:rsid w:val="58036CED"/>
    <w:rsid w:val="58056EA2"/>
    <w:rsid w:val="585B5DFB"/>
    <w:rsid w:val="586109FB"/>
    <w:rsid w:val="58683D80"/>
    <w:rsid w:val="58801BE2"/>
    <w:rsid w:val="58854F91"/>
    <w:rsid w:val="58940A27"/>
    <w:rsid w:val="58C42A65"/>
    <w:rsid w:val="58D71214"/>
    <w:rsid w:val="59355AA7"/>
    <w:rsid w:val="594631F1"/>
    <w:rsid w:val="599B721F"/>
    <w:rsid w:val="59AF61A4"/>
    <w:rsid w:val="59C44524"/>
    <w:rsid w:val="59D56DC8"/>
    <w:rsid w:val="59EE4C92"/>
    <w:rsid w:val="5A763F4F"/>
    <w:rsid w:val="5A977C32"/>
    <w:rsid w:val="5A9B04F4"/>
    <w:rsid w:val="5AA45518"/>
    <w:rsid w:val="5AB51FEA"/>
    <w:rsid w:val="5AC253A4"/>
    <w:rsid w:val="5ACE2FD6"/>
    <w:rsid w:val="5B137676"/>
    <w:rsid w:val="5B351579"/>
    <w:rsid w:val="5BB25BEC"/>
    <w:rsid w:val="5BDD4D80"/>
    <w:rsid w:val="5BDF3B15"/>
    <w:rsid w:val="5BE82147"/>
    <w:rsid w:val="5BF55D46"/>
    <w:rsid w:val="5C41157E"/>
    <w:rsid w:val="5C7E6007"/>
    <w:rsid w:val="5CFE60C6"/>
    <w:rsid w:val="5D20751D"/>
    <w:rsid w:val="5D4855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12A67D8"/>
    <w:rsid w:val="6138147B"/>
    <w:rsid w:val="61846E0D"/>
    <w:rsid w:val="61E95941"/>
    <w:rsid w:val="61FE4473"/>
    <w:rsid w:val="62060C3F"/>
    <w:rsid w:val="62273667"/>
    <w:rsid w:val="62357339"/>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82D0411"/>
    <w:rsid w:val="68594AF9"/>
    <w:rsid w:val="687D5F74"/>
    <w:rsid w:val="68AE3738"/>
    <w:rsid w:val="68B73FCE"/>
    <w:rsid w:val="68C40F78"/>
    <w:rsid w:val="695E0A0D"/>
    <w:rsid w:val="69894F6A"/>
    <w:rsid w:val="69BA1CF4"/>
    <w:rsid w:val="69E558DF"/>
    <w:rsid w:val="69FD14B4"/>
    <w:rsid w:val="6A14474C"/>
    <w:rsid w:val="6A302FEF"/>
    <w:rsid w:val="6AD36F5E"/>
    <w:rsid w:val="6AF52B6F"/>
    <w:rsid w:val="6AFB3C45"/>
    <w:rsid w:val="6B451364"/>
    <w:rsid w:val="6B464FC6"/>
    <w:rsid w:val="6B7B1E70"/>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24313C1"/>
    <w:rsid w:val="727A78A2"/>
    <w:rsid w:val="72872262"/>
    <w:rsid w:val="72B02BF4"/>
    <w:rsid w:val="72E90827"/>
    <w:rsid w:val="73007CC5"/>
    <w:rsid w:val="73155AC0"/>
    <w:rsid w:val="7357430D"/>
    <w:rsid w:val="7362469D"/>
    <w:rsid w:val="73BE0EBE"/>
    <w:rsid w:val="74076F92"/>
    <w:rsid w:val="741E6BF6"/>
    <w:rsid w:val="744F2DEB"/>
    <w:rsid w:val="7476433D"/>
    <w:rsid w:val="747F6E36"/>
    <w:rsid w:val="7480721F"/>
    <w:rsid w:val="749A242A"/>
    <w:rsid w:val="75334D95"/>
    <w:rsid w:val="75551F1D"/>
    <w:rsid w:val="75577984"/>
    <w:rsid w:val="7565477A"/>
    <w:rsid w:val="756A7E5B"/>
    <w:rsid w:val="75C02E5A"/>
    <w:rsid w:val="75FF3278"/>
    <w:rsid w:val="76377DFF"/>
    <w:rsid w:val="764D1239"/>
    <w:rsid w:val="764D1A95"/>
    <w:rsid w:val="76A4500F"/>
    <w:rsid w:val="770019DC"/>
    <w:rsid w:val="77170059"/>
    <w:rsid w:val="7749232C"/>
    <w:rsid w:val="775C1F10"/>
    <w:rsid w:val="779D0AEF"/>
    <w:rsid w:val="77B04045"/>
    <w:rsid w:val="77B25EF8"/>
    <w:rsid w:val="77FE4D75"/>
    <w:rsid w:val="781B6A81"/>
    <w:rsid w:val="788B7A62"/>
    <w:rsid w:val="78BF323E"/>
    <w:rsid w:val="78EB4FDD"/>
    <w:rsid w:val="79037982"/>
    <w:rsid w:val="7917377E"/>
    <w:rsid w:val="791F22A8"/>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Indent"/>
    <w:basedOn w:val="1"/>
    <w:qFormat/>
    <w:uiPriority w:val="0"/>
    <w:pPr>
      <w:spacing w:afterLines="50" w:line="360" w:lineRule="exact"/>
      <w:ind w:firstLine="480" w:firstLineChars="200"/>
    </w:pPr>
    <w:rPr>
      <w:rFonts w:ascii="宋体" w:hAnsi="宋体"/>
      <w:szCs w:val="24"/>
    </w:rPr>
  </w:style>
  <w:style w:type="paragraph" w:styleId="13">
    <w:name w:val="List 2"/>
    <w:basedOn w:val="1"/>
    <w:qFormat/>
    <w:uiPriority w:val="0"/>
    <w:pPr>
      <w:ind w:left="100" w:leftChars="200" w:hanging="200" w:hangingChars="200"/>
    </w:pPr>
    <w:rPr>
      <w:szCs w:val="24"/>
    </w:rPr>
  </w:style>
  <w:style w:type="paragraph" w:styleId="14">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Normal (Web)"/>
    <w:basedOn w:val="1"/>
    <w:next w:val="19"/>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2"/>
    <w:next w:val="1"/>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1 Char"/>
    <w:basedOn w:val="1"/>
    <w:link w:val="28"/>
    <w:qFormat/>
    <w:uiPriority w:val="0"/>
  </w:style>
  <w:style w:type="character" w:styleId="30">
    <w:name w:val="Strong"/>
    <w:basedOn w:val="28"/>
    <w:qFormat/>
    <w:uiPriority w:val="22"/>
    <w:rPr>
      <w:b/>
      <w:bCs/>
    </w:rPr>
  </w:style>
  <w:style w:type="character" w:styleId="31">
    <w:name w:val="page number"/>
    <w:basedOn w:val="28"/>
    <w:qFormat/>
    <w:uiPriority w:val="0"/>
  </w:style>
  <w:style w:type="character" w:styleId="32">
    <w:name w:val="FollowedHyperlink"/>
    <w:basedOn w:val="28"/>
    <w:qFormat/>
    <w:uiPriority w:val="0"/>
    <w:rPr>
      <w:color w:val="800080"/>
      <w:u w:val="none"/>
    </w:rPr>
  </w:style>
  <w:style w:type="character" w:styleId="33">
    <w:name w:val="Emphasis"/>
    <w:basedOn w:val="28"/>
    <w:qFormat/>
    <w:uiPriority w:val="0"/>
    <w:rPr>
      <w:color w:val="CC0000"/>
      <w:sz w:val="24"/>
      <w:szCs w:val="24"/>
    </w:rPr>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basedOn w:val="28"/>
    <w:qFormat/>
    <w:uiPriority w:val="0"/>
    <w:rPr>
      <w:color w:val="0000FF"/>
      <w:u w:val="none"/>
    </w:rPr>
  </w:style>
  <w:style w:type="character" w:styleId="39">
    <w:name w:val="HTML Code"/>
    <w:basedOn w:val="28"/>
    <w:qFormat/>
    <w:uiPriority w:val="0"/>
    <w:rPr>
      <w:rFonts w:ascii="微软雅黑" w:hAnsi="微软雅黑" w:eastAsia="微软雅黑" w:cs="微软雅黑"/>
      <w:sz w:val="20"/>
    </w:rPr>
  </w:style>
  <w:style w:type="character" w:styleId="40">
    <w:name w:val="HTML Cite"/>
    <w:basedOn w:val="28"/>
    <w:qFormat/>
    <w:uiPriority w:val="0"/>
    <w:rPr>
      <w:sz w:val="24"/>
      <w:szCs w:val="24"/>
    </w:rPr>
  </w:style>
  <w:style w:type="character" w:styleId="41">
    <w:name w:val="HTML Keyboard"/>
    <w:basedOn w:val="28"/>
    <w:qFormat/>
    <w:uiPriority w:val="0"/>
    <w:rPr>
      <w:rFonts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正文缩进1"/>
    <w:basedOn w:val="1"/>
    <w:qFormat/>
    <w:uiPriority w:val="0"/>
    <w:pPr>
      <w:ind w:firstLine="200" w:firstLineChars="200"/>
    </w:pPr>
  </w:style>
  <w:style w:type="character" w:customStyle="1" w:styleId="44">
    <w:name w:val="标题 1 Char"/>
    <w:basedOn w:val="28"/>
    <w:link w:val="3"/>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List Paragraph"/>
    <w:basedOn w:val="1"/>
    <w:qFormat/>
    <w:uiPriority w:val="34"/>
    <w:pPr>
      <w:ind w:firstLine="420" w:firstLineChars="200"/>
    </w:pPr>
  </w:style>
  <w:style w:type="paragraph" w:customStyle="1" w:styleId="55">
    <w:name w:val="Table Paragraph"/>
    <w:basedOn w:val="1"/>
    <w:qFormat/>
    <w:uiPriority w:val="1"/>
    <w:rPr>
      <w:rFonts w:ascii="宋体" w:hAnsi="宋体" w:eastAsia="宋体" w:cs="宋体"/>
      <w:lang w:val="zh-CN" w:eastAsia="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3">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fill="111111"/>
    </w:rPr>
  </w:style>
  <w:style w:type="character" w:customStyle="1" w:styleId="91">
    <w:name w:val="hilite5"/>
    <w:basedOn w:val="28"/>
    <w:qFormat/>
    <w:uiPriority w:val="0"/>
    <w:rPr>
      <w:color w:val="FFFFFF"/>
      <w:shd w:val="clear" w:fill="666666"/>
    </w:rPr>
  </w:style>
  <w:style w:type="character" w:customStyle="1" w:styleId="92">
    <w:name w:val="xdrichtextbox"/>
    <w:basedOn w:val="28"/>
    <w:qFormat/>
    <w:uiPriority w:val="0"/>
    <w:rPr>
      <w:color w:val="auto"/>
      <w:sz w:val="12"/>
      <w:szCs w:val="12"/>
      <w:u w:val="none"/>
      <w:bdr w:val="single" w:color="DCDCDC" w:sz="8" w:space="0"/>
      <w:shd w:val="clear"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rFonts w:cs="Times New Roman"/>
      <w:sz w:val="30"/>
    </w:rPr>
  </w:style>
  <w:style w:type="paragraph" w:customStyle="1" w:styleId="97">
    <w:name w:val=" Char Char Char"/>
    <w:basedOn w:val="1"/>
    <w:qFormat/>
    <w:uiPriority w:val="0"/>
    <w:pPr>
      <w:widowControl/>
      <w:spacing w:after="160" w:afterLines="0" w:line="240" w:lineRule="exact"/>
      <w:jc w:val="left"/>
    </w:pPr>
  </w:style>
  <w:style w:type="paragraph" w:customStyle="1" w:styleId="98">
    <w:name w:val="列出段落1"/>
    <w:basedOn w:val="1"/>
    <w:qFormat/>
    <w:uiPriority w:val="34"/>
    <w:pPr>
      <w:ind w:firstLine="420" w:firstLineChars="200"/>
    </w:pPr>
    <w:rPr>
      <w:rFonts w:ascii="Calibri" w:hAnsi="Calibri"/>
      <w:szCs w:val="22"/>
    </w:rPr>
  </w:style>
  <w:style w:type="paragraph" w:customStyle="1" w:styleId="99">
    <w:name w:val="Indent Normal"/>
    <w:basedOn w:val="1"/>
    <w:qFormat/>
    <w:uiPriority w:val="0"/>
    <w:pPr>
      <w:ind w:firstLine="150" w:firstLineChars="150"/>
    </w:pPr>
    <w:rPr>
      <w:sz w:val="24"/>
    </w:rPr>
  </w:style>
  <w:style w:type="paragraph" w:customStyle="1" w:styleId="100">
    <w:name w:val="FA正文+标号"/>
    <w:basedOn w:val="1"/>
    <w:qFormat/>
    <w:uiPriority w:val="0"/>
    <w:pPr>
      <w:numPr>
        <w:ilvl w:val="0"/>
        <w:numId w:val="1"/>
      </w:numPr>
      <w:tabs>
        <w:tab w:val="left" w:pos="3375"/>
      </w:tabs>
      <w:spacing w:line="400" w:lineRule="exact"/>
    </w:pPr>
    <w:rPr>
      <w:rFonts w:ascii="仿宋_GB2312" w:hAnsi="宋体" w:eastAsia="仿宋_GB2312"/>
      <w:sz w:val="24"/>
    </w:rPr>
  </w:style>
  <w:style w:type="paragraph" w:customStyle="1" w:styleId="101">
    <w:name w:val="List Paragraph1"/>
    <w:basedOn w:val="1"/>
    <w:qFormat/>
    <w:uiPriority w:val="0"/>
    <w:pPr>
      <w:ind w:firstLine="420" w:firstLineChars="200"/>
    </w:pPr>
    <w:rPr>
      <w:rFonts w:ascii="Calibri" w:hAnsi="Calibri"/>
      <w:szCs w:val="22"/>
    </w:rPr>
  </w:style>
  <w:style w:type="paragraph" w:customStyle="1" w:styleId="102">
    <w:name w:val="正文文本样式"/>
    <w:qFormat/>
    <w:uiPriority w:val="0"/>
    <w:pPr>
      <w:spacing w:line="360" w:lineRule="auto"/>
      <w:ind w:firstLine="200" w:firstLineChars="200"/>
    </w:pPr>
    <w:rPr>
      <w:rFonts w:ascii="Arial" w:hAnsi="Arial" w:eastAsia="宋体" w:cs="Times New Roman"/>
      <w:sz w:val="24"/>
      <w:szCs w:val="22"/>
      <w:lang w:val="en-US" w:eastAsia="zh-CN" w:bidi="ar-SA"/>
    </w:rPr>
  </w:style>
  <w:style w:type="character" w:customStyle="1" w:styleId="103">
    <w:name w:val="ico1653"/>
    <w:basedOn w:val="28"/>
    <w:qFormat/>
    <w:uiPriority w:val="0"/>
  </w:style>
  <w:style w:type="character" w:customStyle="1" w:styleId="104">
    <w:name w:val="ico1654"/>
    <w:basedOn w:val="28"/>
    <w:qFormat/>
    <w:uiPriority w:val="0"/>
  </w:style>
  <w:style w:type="character" w:customStyle="1" w:styleId="105">
    <w:name w:val="ico1655"/>
    <w:basedOn w:val="28"/>
    <w:qFormat/>
    <w:uiPriority w:val="0"/>
  </w:style>
  <w:style w:type="character" w:customStyle="1" w:styleId="106">
    <w:name w:val="active4"/>
    <w:basedOn w:val="28"/>
    <w:qFormat/>
    <w:uiPriority w:val="0"/>
    <w:rPr>
      <w:color w:val="00FF00"/>
      <w:shd w:val="clear" w:fill="111111"/>
    </w:rPr>
  </w:style>
  <w:style w:type="character" w:customStyle="1" w:styleId="107">
    <w:name w:val="hover45"/>
    <w:basedOn w:val="28"/>
    <w:qFormat/>
    <w:uiPriority w:val="0"/>
    <w:rPr>
      <w:color w:val="FFFFFF"/>
    </w:rPr>
  </w:style>
  <w:style w:type="character" w:customStyle="1" w:styleId="108">
    <w:name w:val="hilite"/>
    <w:basedOn w:val="28"/>
    <w:qFormat/>
    <w:uiPriority w:val="0"/>
    <w:rPr>
      <w:color w:val="FFFFFF"/>
      <w:shd w:val="clear" w:fill="666666"/>
    </w:rPr>
  </w:style>
  <w:style w:type="character" w:customStyle="1" w:styleId="109">
    <w:name w:val="hover43"/>
    <w:basedOn w:val="28"/>
    <w:qFormat/>
    <w:uiPriority w:val="0"/>
    <w:rPr>
      <w:color w:val="FFFFFF"/>
    </w:rPr>
  </w:style>
  <w:style w:type="character" w:customStyle="1" w:styleId="110">
    <w:name w:val="font91"/>
    <w:basedOn w:val="28"/>
    <w:qFormat/>
    <w:uiPriority w:val="0"/>
    <w:rPr>
      <w:rFonts w:hint="eastAsia" w:ascii="仿宋" w:hAnsi="仿宋" w:eastAsia="仿宋" w:cs="仿宋"/>
      <w:b/>
      <w:bCs/>
      <w:color w:val="FF0000"/>
      <w:sz w:val="24"/>
      <w:szCs w:val="24"/>
      <w:u w:val="none"/>
    </w:rPr>
  </w:style>
  <w:style w:type="character" w:customStyle="1" w:styleId="111">
    <w:name w:val="font101"/>
    <w:basedOn w:val="28"/>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23955</Words>
  <Characters>25909</Characters>
  <Lines>0</Lines>
  <Paragraphs>0</Paragraphs>
  <TotalTime>8</TotalTime>
  <ScaleCrop>false</ScaleCrop>
  <LinksUpToDate>false</LinksUpToDate>
  <CharactersWithSpaces>31123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2020-09-09T08:54:00Z</cp:lastPrinted>
  <dcterms:modified xsi:type="dcterms:W3CDTF">2022-08-31T04:14:41Z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B6EAE1B752684CA49D4E4C19CAE2AA03</vt:lpwstr>
  </property>
</Properties>
</file>