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楷体" w:hAnsi="楷体" w:eastAsia="楷体" w:cs="楷体"/>
          <w:b/>
          <w:color w:val="auto"/>
          <w:sz w:val="28"/>
          <w:szCs w:val="44"/>
          <w:bdr w:val="single" w:color="auto" w:sz="4" w:space="0"/>
        </w:rPr>
      </w:pPr>
      <w:r>
        <w:rPr>
          <w:rFonts w:hint="eastAsia" w:ascii="楷体" w:hAnsi="楷体" w:eastAsia="楷体" w:cs="楷体"/>
          <w:b/>
          <w:color w:val="auto"/>
          <w:sz w:val="28"/>
          <w:szCs w:val="44"/>
          <w:bdr w:val="single" w:color="auto" w:sz="4" w:space="0"/>
        </w:rPr>
        <w:t>政府采购项目</w:t>
      </w:r>
    </w:p>
    <w:p>
      <w:pPr>
        <w:jc w:val="center"/>
        <w:rPr>
          <w:rFonts w:hint="eastAsia" w:ascii="楷体" w:hAnsi="楷体" w:eastAsia="楷体" w:cs="楷体"/>
          <w:b/>
          <w:color w:val="auto"/>
          <w:sz w:val="44"/>
          <w:szCs w:val="44"/>
        </w:rPr>
      </w:pPr>
    </w:p>
    <w:p>
      <w:pPr>
        <w:spacing w:line="360" w:lineRule="auto"/>
        <w:rPr>
          <w:rFonts w:hint="eastAsia" w:ascii="楷体" w:hAnsi="楷体" w:eastAsia="楷体" w:cs="楷体"/>
          <w:b/>
          <w:bCs/>
          <w:color w:val="auto"/>
          <w:sz w:val="48"/>
          <w:szCs w:val="48"/>
        </w:rPr>
      </w:pPr>
    </w:p>
    <w:p>
      <w:pPr>
        <w:spacing w:line="600" w:lineRule="auto"/>
        <w:jc w:val="center"/>
        <w:rPr>
          <w:rFonts w:hint="eastAsia" w:ascii="楷体" w:hAnsi="楷体" w:eastAsia="楷体" w:cs="楷体"/>
          <w:b/>
          <w:bCs/>
          <w:color w:val="auto"/>
          <w:sz w:val="42"/>
          <w:szCs w:val="42"/>
          <w:lang w:val="en-US" w:eastAsia="zh-CN"/>
        </w:rPr>
      </w:pPr>
      <w:r>
        <w:rPr>
          <w:rFonts w:hint="eastAsia" w:ascii="楷体" w:hAnsi="楷体" w:eastAsia="楷体" w:cs="楷体"/>
          <w:b/>
          <w:bCs/>
          <w:color w:val="auto"/>
          <w:sz w:val="42"/>
          <w:szCs w:val="42"/>
          <w:lang w:val="en-US" w:eastAsia="zh-CN"/>
        </w:rPr>
        <w:t>安康市中心医院</w:t>
      </w:r>
    </w:p>
    <w:p>
      <w:pPr>
        <w:spacing w:line="600" w:lineRule="auto"/>
        <w:jc w:val="center"/>
        <w:rPr>
          <w:rFonts w:hint="eastAsia" w:ascii="楷体" w:hAnsi="楷体" w:eastAsia="楷体" w:cs="楷体"/>
          <w:b/>
          <w:bCs/>
          <w:color w:val="auto"/>
          <w:sz w:val="42"/>
          <w:szCs w:val="42"/>
        </w:rPr>
      </w:pPr>
      <w:r>
        <w:rPr>
          <w:rFonts w:hint="eastAsia" w:ascii="楷体" w:hAnsi="楷体" w:eastAsia="楷体" w:cs="楷体"/>
          <w:b/>
          <w:bCs/>
          <w:color w:val="auto"/>
          <w:sz w:val="42"/>
          <w:szCs w:val="42"/>
          <w:lang w:val="en-US" w:eastAsia="zh-CN"/>
        </w:rPr>
        <w:t>全自动核型分析工作站等医疗设备采购项目</w:t>
      </w:r>
    </w:p>
    <w:p>
      <w:pPr>
        <w:pStyle w:val="8"/>
        <w:rPr>
          <w:rFonts w:hint="eastAsia" w:ascii="楷体" w:hAnsi="楷体" w:eastAsia="楷体" w:cs="楷体"/>
          <w:color w:val="auto"/>
        </w:rPr>
      </w:pPr>
    </w:p>
    <w:p>
      <w:pPr>
        <w:snapToGrid w:val="0"/>
        <w:jc w:val="center"/>
        <w:rPr>
          <w:rFonts w:hint="eastAsia" w:ascii="楷体" w:hAnsi="楷体" w:eastAsia="楷体" w:cs="楷体"/>
          <w:b/>
          <w:bCs/>
          <w:color w:val="auto"/>
          <w:kern w:val="36"/>
          <w:sz w:val="36"/>
          <w:szCs w:val="36"/>
          <w:highlight w:val="yellow"/>
        </w:rPr>
      </w:pPr>
    </w:p>
    <w:p>
      <w:pPr>
        <w:jc w:val="center"/>
        <w:rPr>
          <w:rFonts w:hint="eastAsia" w:ascii="楷体" w:hAnsi="楷体" w:eastAsia="楷体" w:cs="楷体"/>
          <w:b/>
          <w:bCs/>
          <w:color w:val="auto"/>
          <w:sz w:val="42"/>
          <w:szCs w:val="42"/>
          <w:lang w:val="en-US" w:eastAsia="zh-CN"/>
        </w:rPr>
      </w:pPr>
      <w:r>
        <w:rPr>
          <w:rFonts w:hint="eastAsia" w:ascii="楷体" w:hAnsi="楷体" w:eastAsia="楷体" w:cs="楷体"/>
          <w:b/>
          <w:bCs/>
          <w:color w:val="auto"/>
          <w:sz w:val="42"/>
          <w:szCs w:val="42"/>
          <w:lang w:val="en-US" w:eastAsia="zh-CN"/>
        </w:rPr>
        <w:t>（项目编号：COCICC-ZAKYA-221133)</w:t>
      </w:r>
    </w:p>
    <w:p>
      <w:pPr>
        <w:jc w:val="both"/>
        <w:rPr>
          <w:rFonts w:hint="eastAsia" w:ascii="楷体" w:hAnsi="楷体" w:eastAsia="楷体" w:cs="楷体"/>
          <w:b/>
          <w:color w:val="auto"/>
          <w:sz w:val="52"/>
          <w:szCs w:val="52"/>
        </w:rPr>
      </w:pPr>
    </w:p>
    <w:p>
      <w:pPr>
        <w:spacing w:line="360" w:lineRule="auto"/>
        <w:jc w:val="center"/>
        <w:rPr>
          <w:rFonts w:hint="default" w:ascii="楷体" w:hAnsi="楷体" w:eastAsia="楷体" w:cs="楷体"/>
          <w:b/>
          <w:bCs/>
          <w:color w:val="auto"/>
          <w:sz w:val="42"/>
          <w:szCs w:val="42"/>
          <w:lang w:val="en-US" w:eastAsia="zh-CN"/>
        </w:rPr>
      </w:pPr>
      <w:r>
        <w:rPr>
          <w:rFonts w:hint="eastAsia" w:ascii="楷体" w:hAnsi="楷体" w:eastAsia="楷体" w:cs="楷体"/>
          <w:b/>
          <w:color w:val="auto"/>
          <w:sz w:val="72"/>
          <w:szCs w:val="72"/>
        </w:rPr>
        <w:t>招标文件</w:t>
      </w:r>
      <w:r>
        <w:rPr>
          <w:rFonts w:hint="eastAsia" w:ascii="楷体" w:hAnsi="楷体" w:eastAsia="楷体" w:cs="楷体"/>
          <w:b/>
          <w:color w:val="auto"/>
          <w:sz w:val="72"/>
          <w:szCs w:val="72"/>
          <w:lang w:val="en-US" w:eastAsia="zh-CN"/>
        </w:rPr>
        <w:t>（第一包）</w:t>
      </w:r>
    </w:p>
    <w:p>
      <w:pPr>
        <w:rPr>
          <w:rFonts w:hint="eastAsia" w:ascii="楷体" w:hAnsi="楷体" w:eastAsia="楷体" w:cs="楷体"/>
          <w:color w:val="auto"/>
        </w:rPr>
      </w:pPr>
    </w:p>
    <w:p>
      <w:pPr>
        <w:pStyle w:val="10"/>
        <w:rPr>
          <w:rFonts w:hint="eastAsia"/>
          <w:color w:val="auto"/>
        </w:rPr>
      </w:pPr>
    </w:p>
    <w:p>
      <w:pPr>
        <w:pStyle w:val="8"/>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b/>
          <w:color w:val="auto"/>
          <w:sz w:val="30"/>
          <w:szCs w:val="30"/>
        </w:rPr>
      </w:pPr>
    </w:p>
    <w:p>
      <w:pPr>
        <w:pStyle w:val="10"/>
        <w:rPr>
          <w:rFonts w:hint="eastAsia" w:ascii="楷体" w:hAnsi="楷体" w:eastAsia="楷体" w:cs="楷体"/>
          <w:b/>
          <w:color w:val="auto"/>
          <w:sz w:val="30"/>
          <w:szCs w:val="30"/>
        </w:rPr>
      </w:pPr>
    </w:p>
    <w:p>
      <w:pPr>
        <w:pStyle w:val="10"/>
        <w:ind w:left="0" w:leftChars="0" w:firstLine="0" w:firstLineChars="0"/>
        <w:rPr>
          <w:rFonts w:hint="eastAsia"/>
          <w:color w:val="auto"/>
        </w:rPr>
      </w:pPr>
    </w:p>
    <w:p>
      <w:pPr>
        <w:rPr>
          <w:rFonts w:hint="eastAsia" w:ascii="楷体" w:hAnsi="楷体" w:eastAsia="楷体" w:cs="楷体"/>
          <w:color w:val="auto"/>
        </w:rPr>
      </w:pPr>
    </w:p>
    <w:p>
      <w:pPr>
        <w:pStyle w:val="10"/>
        <w:rPr>
          <w:rFonts w:hint="eastAsia"/>
          <w:color w:val="auto"/>
        </w:rPr>
      </w:pPr>
    </w:p>
    <w:p>
      <w:pPr>
        <w:pStyle w:val="10"/>
        <w:rPr>
          <w:rFonts w:hint="eastAsia"/>
          <w:color w:val="auto"/>
        </w:rPr>
      </w:pPr>
      <w:r>
        <w:drawing>
          <wp:anchor distT="0" distB="0" distL="114300" distR="114300" simplePos="0" relativeHeight="251659264" behindDoc="0" locked="0" layoutInCell="1" allowOverlap="1">
            <wp:simplePos x="0" y="0"/>
            <wp:positionH relativeFrom="column">
              <wp:posOffset>1778635</wp:posOffset>
            </wp:positionH>
            <wp:positionV relativeFrom="paragraph">
              <wp:posOffset>3175</wp:posOffset>
            </wp:positionV>
            <wp:extent cx="1524000" cy="1524000"/>
            <wp:effectExtent l="0" t="0" r="0" b="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8"/>
                    <a:stretch>
                      <a:fillRect/>
                    </a:stretch>
                  </pic:blipFill>
                  <pic:spPr>
                    <a:xfrm>
                      <a:off x="0" y="0"/>
                      <a:ext cx="1524000" cy="1524000"/>
                    </a:xfrm>
                    <a:prstGeom prst="rect">
                      <a:avLst/>
                    </a:prstGeom>
                    <a:noFill/>
                    <a:ln>
                      <a:noFill/>
                    </a:ln>
                  </pic:spPr>
                </pic:pic>
              </a:graphicData>
            </a:graphic>
          </wp:anchor>
        </w:drawing>
      </w:r>
    </w:p>
    <w:p>
      <w:pPr>
        <w:pStyle w:val="10"/>
        <w:ind w:left="0" w:leftChars="0" w:firstLine="0" w:firstLineChars="0"/>
        <w:rPr>
          <w:rFonts w:hint="eastAsia"/>
          <w:color w:val="auto"/>
        </w:rPr>
      </w:pPr>
    </w:p>
    <w:p>
      <w:pPr>
        <w:spacing w:line="360" w:lineRule="auto"/>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中海建国际建设咨询集团有限责任公司</w:t>
      </w:r>
    </w:p>
    <w:p>
      <w:pPr>
        <w:jc w:val="center"/>
        <w:rPr>
          <w:rFonts w:hint="eastAsia" w:ascii="楷体" w:hAnsi="楷体" w:eastAsia="楷体" w:cs="楷体"/>
          <w:color w:val="auto"/>
        </w:rPr>
        <w:sectPr>
          <w:headerReference r:id="rId3" w:type="default"/>
          <w:footerReference r:id="rId4" w:type="default"/>
          <w:pgSz w:w="11906" w:h="16838"/>
          <w:pgMar w:top="1440" w:right="1800" w:bottom="1440" w:left="1800" w:header="851" w:footer="992" w:gutter="0"/>
          <w:pgNumType w:fmt="decimal" w:start="0"/>
          <w:cols w:space="720" w:num="1"/>
          <w:docGrid w:type="lines" w:linePitch="312" w:charSpace="0"/>
        </w:sectPr>
      </w:pPr>
      <w:r>
        <w:rPr>
          <w:rFonts w:hint="eastAsia" w:ascii="楷体" w:hAnsi="楷体" w:eastAsia="楷体" w:cs="楷体"/>
          <w:b/>
          <w:color w:val="auto"/>
          <w:sz w:val="32"/>
          <w:szCs w:val="36"/>
        </w:rPr>
        <w:t>202</w:t>
      </w:r>
      <w:r>
        <w:rPr>
          <w:rFonts w:hint="eastAsia" w:ascii="楷体" w:hAnsi="楷体" w:eastAsia="楷体" w:cs="楷体"/>
          <w:b/>
          <w:color w:val="auto"/>
          <w:sz w:val="32"/>
          <w:szCs w:val="36"/>
          <w:lang w:val="en-US" w:eastAsia="zh-CN"/>
        </w:rPr>
        <w:t>2</w:t>
      </w:r>
      <w:r>
        <w:rPr>
          <w:rFonts w:hint="eastAsia" w:ascii="楷体" w:hAnsi="楷体" w:eastAsia="楷体" w:cs="楷体"/>
          <w:b/>
          <w:color w:val="auto"/>
          <w:sz w:val="32"/>
          <w:szCs w:val="36"/>
        </w:rPr>
        <w:t>年</w:t>
      </w:r>
      <w:r>
        <w:rPr>
          <w:rFonts w:hint="eastAsia" w:ascii="楷体" w:hAnsi="楷体" w:eastAsia="楷体" w:cs="楷体"/>
          <w:b/>
          <w:color w:val="auto"/>
          <w:sz w:val="32"/>
          <w:szCs w:val="36"/>
          <w:lang w:val="en-US" w:eastAsia="zh-CN"/>
        </w:rPr>
        <w:t>12</w:t>
      </w:r>
      <w:r>
        <w:rPr>
          <w:rFonts w:hint="eastAsia" w:ascii="楷体" w:hAnsi="楷体" w:eastAsia="楷体" w:cs="楷体"/>
          <w:b/>
          <w:color w:val="auto"/>
          <w:sz w:val="32"/>
          <w:szCs w:val="36"/>
        </w:rPr>
        <w:t>月</w:t>
      </w:r>
    </w:p>
    <w:p>
      <w:pPr>
        <w:spacing w:line="560" w:lineRule="exact"/>
        <w:jc w:val="both"/>
        <w:outlineLvl w:val="0"/>
        <w:rPr>
          <w:rFonts w:hint="eastAsia" w:ascii="楷体" w:hAnsi="楷体" w:eastAsia="楷体" w:cs="楷体"/>
          <w:b/>
          <w:color w:val="auto"/>
          <w:sz w:val="32"/>
        </w:rPr>
      </w:pPr>
    </w:p>
    <w:p>
      <w:pPr>
        <w:spacing w:line="560" w:lineRule="exact"/>
        <w:jc w:val="center"/>
        <w:outlineLvl w:val="0"/>
        <w:rPr>
          <w:rFonts w:hint="eastAsia" w:ascii="楷体" w:hAnsi="楷体" w:eastAsia="楷体" w:cs="楷体"/>
          <w:b/>
          <w:color w:val="auto"/>
          <w:sz w:val="32"/>
        </w:rPr>
      </w:pPr>
      <w:r>
        <w:rPr>
          <w:rFonts w:hint="eastAsia" w:ascii="楷体" w:hAnsi="楷体" w:eastAsia="楷体" w:cs="楷体"/>
          <w:b/>
          <w:color w:val="auto"/>
          <w:sz w:val="32"/>
        </w:rPr>
        <w:t>提    示</w:t>
      </w:r>
    </w:p>
    <w:p>
      <w:pPr>
        <w:spacing w:line="560" w:lineRule="exact"/>
        <w:ind w:firstLine="482" w:firstLineChars="200"/>
        <w:rPr>
          <w:rFonts w:hint="eastAsia" w:ascii="楷体" w:hAnsi="楷体" w:eastAsia="楷体" w:cs="楷体"/>
          <w:b/>
          <w:bCs/>
          <w:snapToGrid w:val="0"/>
          <w:color w:val="auto"/>
          <w:sz w:val="24"/>
        </w:rPr>
      </w:pPr>
    </w:p>
    <w:p>
      <w:pPr>
        <w:spacing w:line="560" w:lineRule="exact"/>
        <w:ind w:firstLine="482" w:firstLineChars="200"/>
        <w:rPr>
          <w:rFonts w:hint="eastAsia" w:ascii="楷体" w:hAnsi="楷体" w:eastAsia="楷体" w:cs="楷体"/>
          <w:b/>
          <w:bCs/>
          <w:snapToGrid w:val="0"/>
          <w:color w:val="auto"/>
          <w:sz w:val="24"/>
        </w:rPr>
      </w:pPr>
      <w:r>
        <w:rPr>
          <w:rFonts w:hint="eastAsia" w:ascii="楷体" w:hAnsi="楷体" w:eastAsia="楷体" w:cs="楷体"/>
          <w:b/>
          <w:bCs/>
          <w:snapToGrid w:val="0"/>
          <w:color w:val="auto"/>
          <w:sz w:val="24"/>
        </w:rPr>
        <w:t>1、本项目采用</w:t>
      </w:r>
      <w:r>
        <w:rPr>
          <w:rFonts w:hint="eastAsia" w:ascii="楷体" w:hAnsi="楷体" w:eastAsia="楷体" w:cs="楷体"/>
          <w:b/>
          <w:bCs/>
          <w:snapToGrid w:val="0"/>
          <w:color w:val="auto"/>
          <w:sz w:val="24"/>
          <w:lang w:eastAsia="zh-CN"/>
        </w:rPr>
        <w:t>不见面</w:t>
      </w:r>
      <w:r>
        <w:rPr>
          <w:rFonts w:hint="eastAsia" w:ascii="楷体" w:hAnsi="楷体" w:eastAsia="楷体" w:cs="楷体"/>
          <w:b/>
          <w:bCs/>
          <w:snapToGrid w:val="0"/>
          <w:color w:val="auto"/>
          <w:sz w:val="24"/>
        </w:rPr>
        <w:t>电子化投标的方式投标，供应商须使用数字认证证书（CA锁）对电子投标文件进行签章、加密、递交及开标时解密等相关招投标事宜。开标时供应商须携带数字认证证书（CA锁），如因供应商自身原因未携带数字认证证书（CA锁）造成无法解密投标文件，按无效投标对待。</w:t>
      </w:r>
    </w:p>
    <w:p>
      <w:pPr>
        <w:spacing w:line="560" w:lineRule="exact"/>
        <w:ind w:firstLine="482" w:firstLineChars="200"/>
        <w:rPr>
          <w:rFonts w:hint="eastAsia" w:ascii="楷体" w:hAnsi="楷体" w:eastAsia="楷体" w:cs="楷体"/>
          <w:b/>
          <w:bCs/>
          <w:snapToGrid w:val="0"/>
          <w:color w:val="auto"/>
          <w:sz w:val="24"/>
        </w:rPr>
      </w:pPr>
      <w:r>
        <w:rPr>
          <w:rFonts w:hint="eastAsia" w:ascii="楷体" w:hAnsi="楷体" w:eastAsia="楷体" w:cs="楷体"/>
          <w:b/>
          <w:bCs/>
          <w:snapToGrid w:val="0"/>
          <w:color w:val="auto"/>
          <w:sz w:val="24"/>
        </w:rPr>
        <w:t>2、制作电子投标文件</w:t>
      </w:r>
    </w:p>
    <w:p>
      <w:pPr>
        <w:spacing w:line="560" w:lineRule="exact"/>
        <w:ind w:firstLine="482" w:firstLineChars="200"/>
        <w:rPr>
          <w:rFonts w:hint="eastAsia" w:ascii="楷体" w:hAnsi="楷体" w:eastAsia="楷体" w:cs="楷体"/>
          <w:b/>
          <w:bCs/>
          <w:snapToGrid w:val="0"/>
          <w:color w:val="auto"/>
          <w:sz w:val="24"/>
        </w:rPr>
      </w:pPr>
      <w:r>
        <w:rPr>
          <w:rFonts w:hint="eastAsia" w:ascii="楷体" w:hAnsi="楷体" w:eastAsia="楷体" w:cs="楷体"/>
          <w:b/>
          <w:bCs/>
          <w:snapToGrid w:val="0"/>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pPr>
        <w:spacing w:line="560" w:lineRule="exact"/>
        <w:ind w:firstLine="482" w:firstLineChars="200"/>
        <w:rPr>
          <w:rFonts w:hint="eastAsia" w:ascii="楷体" w:hAnsi="楷体" w:eastAsia="楷体" w:cs="楷体"/>
          <w:b/>
          <w:bCs/>
          <w:snapToGrid w:val="0"/>
          <w:color w:val="auto"/>
          <w:sz w:val="24"/>
        </w:rPr>
      </w:pPr>
      <w:r>
        <w:rPr>
          <w:rFonts w:hint="eastAsia" w:ascii="楷体" w:hAnsi="楷体" w:eastAsia="楷体" w:cs="楷体"/>
          <w:b/>
          <w:bCs/>
          <w:snapToGrid w:val="0"/>
          <w:color w:val="auto"/>
          <w:sz w:val="24"/>
        </w:rPr>
        <w:t>制作扩展名为“.SXSTF”的电子投标文件。”</w:t>
      </w:r>
    </w:p>
    <w:p>
      <w:pPr>
        <w:spacing w:line="560" w:lineRule="exact"/>
        <w:ind w:firstLine="482" w:firstLineChars="200"/>
        <w:rPr>
          <w:rFonts w:hint="eastAsia" w:ascii="楷体" w:hAnsi="楷体" w:eastAsia="楷体" w:cs="楷体"/>
          <w:b/>
          <w:bCs/>
          <w:snapToGrid w:val="0"/>
          <w:color w:val="auto"/>
          <w:sz w:val="24"/>
        </w:rPr>
      </w:pPr>
      <w:r>
        <w:rPr>
          <w:rFonts w:hint="eastAsia" w:ascii="楷体" w:hAnsi="楷体" w:eastAsia="楷体" w:cs="楷体"/>
          <w:b/>
          <w:bCs/>
          <w:snapToGrid w:val="0"/>
          <w:color w:val="auto"/>
          <w:sz w:val="24"/>
          <w:lang w:val="en-US" w:eastAsia="zh-CN"/>
        </w:rPr>
        <w:t>3</w:t>
      </w:r>
      <w:r>
        <w:rPr>
          <w:rFonts w:hint="eastAsia" w:ascii="楷体" w:hAnsi="楷体" w:eastAsia="楷体" w:cs="楷体"/>
          <w:b/>
          <w:bCs/>
          <w:snapToGrid w:val="0"/>
          <w:color w:val="auto"/>
          <w:sz w:val="24"/>
        </w:rPr>
        <w:t>、递交电子投标文件</w:t>
      </w:r>
    </w:p>
    <w:p>
      <w:pPr>
        <w:spacing w:line="560" w:lineRule="exact"/>
        <w:ind w:firstLine="482" w:firstLineChars="200"/>
        <w:rPr>
          <w:rFonts w:hint="eastAsia" w:ascii="楷体" w:hAnsi="楷体" w:eastAsia="楷体" w:cs="楷体"/>
          <w:color w:val="auto"/>
          <w:sz w:val="40"/>
        </w:rPr>
      </w:pPr>
      <w:r>
        <w:rPr>
          <w:rFonts w:hint="eastAsia" w:ascii="楷体" w:hAnsi="楷体" w:eastAsia="楷体" w:cs="楷体"/>
          <w:b/>
          <w:bCs/>
          <w:snapToGrid w:val="0"/>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t>4、不见面开标大厅：</w:t>
      </w:r>
    </w:p>
    <w:p>
      <w:pPr>
        <w:spacing w:line="560" w:lineRule="exact"/>
        <w:ind w:firstLine="482" w:firstLineChars="200"/>
        <w:rPr>
          <w:rFonts w:hint="eastAsia" w:ascii="楷体" w:hAnsi="楷体" w:eastAsia="楷体" w:cs="楷体"/>
          <w:b/>
          <w:bCs/>
          <w:snapToGrid w:val="0"/>
          <w:color w:val="auto"/>
          <w:sz w:val="24"/>
          <w:highlight w:val="none"/>
          <w:lang w:val="en-US" w:eastAsia="zh-CN"/>
        </w:rPr>
      </w:pPr>
      <w:r>
        <w:rPr>
          <w:rFonts w:hint="eastAsia" w:ascii="楷体" w:hAnsi="楷体" w:eastAsia="楷体" w:cs="楷体"/>
          <w:b/>
          <w:bCs/>
          <w:snapToGrid w:val="0"/>
          <w:color w:val="auto"/>
          <w:sz w:val="24"/>
          <w:highlight w:val="none"/>
          <w:lang w:val="en-US" w:eastAsia="zh-CN"/>
        </w:rPr>
        <w:fldChar w:fldCharType="begin"/>
      </w:r>
      <w:r>
        <w:rPr>
          <w:rFonts w:hint="eastAsia" w:ascii="楷体" w:hAnsi="楷体" w:eastAsia="楷体" w:cs="楷体"/>
          <w:b/>
          <w:bCs/>
          <w:snapToGrid w:val="0"/>
          <w:color w:val="auto"/>
          <w:sz w:val="24"/>
          <w:highlight w:val="none"/>
          <w:lang w:val="en-US" w:eastAsia="zh-CN"/>
        </w:rPr>
        <w:instrText xml:space="preserve"> HYPERLINK "http://219.145.206.209/BidOpeningHall/bidopeninghallaction/hall/login" </w:instrText>
      </w:r>
      <w:r>
        <w:rPr>
          <w:rFonts w:hint="eastAsia" w:ascii="楷体" w:hAnsi="楷体" w:eastAsia="楷体" w:cs="楷体"/>
          <w:b/>
          <w:bCs/>
          <w:snapToGrid w:val="0"/>
          <w:color w:val="auto"/>
          <w:sz w:val="24"/>
          <w:highlight w:val="none"/>
          <w:lang w:val="en-US" w:eastAsia="zh-CN"/>
        </w:rPr>
        <w:fldChar w:fldCharType="separate"/>
      </w:r>
      <w:r>
        <w:rPr>
          <w:rStyle w:val="21"/>
          <w:rFonts w:hint="eastAsia" w:ascii="楷体" w:hAnsi="楷体" w:eastAsia="楷体" w:cs="楷体"/>
          <w:b/>
          <w:bCs/>
          <w:snapToGrid w:val="0"/>
          <w:color w:val="auto"/>
          <w:sz w:val="24"/>
          <w:highlight w:val="none"/>
          <w:lang w:val="en-US" w:eastAsia="zh-CN"/>
        </w:rPr>
        <w:t>http://219.145.206.209/BidOpeningHall/bidopeninghallaction/hall/login</w:t>
      </w:r>
      <w:r>
        <w:rPr>
          <w:rFonts w:hint="eastAsia" w:ascii="楷体" w:hAnsi="楷体" w:eastAsia="楷体" w:cs="楷体"/>
          <w:b/>
          <w:bCs/>
          <w:snapToGrid w:val="0"/>
          <w:color w:val="auto"/>
          <w:sz w:val="24"/>
          <w:highlight w:val="none"/>
          <w:lang w:val="en-US" w:eastAsia="zh-CN"/>
        </w:rPr>
        <w:fldChar w:fldCharType="end"/>
      </w:r>
    </w:p>
    <w:p>
      <w:pPr>
        <w:spacing w:line="560" w:lineRule="exact"/>
        <w:ind w:firstLine="482" w:firstLineChars="200"/>
        <w:rPr>
          <w:rFonts w:hint="eastAsia" w:ascii="楷体" w:hAnsi="楷体" w:eastAsia="楷体" w:cs="楷体"/>
          <w:b/>
          <w:bCs/>
          <w:snapToGrid w:val="0"/>
          <w:color w:val="auto"/>
          <w:sz w:val="24"/>
          <w:highlight w:val="none"/>
        </w:rPr>
      </w:pPr>
      <w:r>
        <w:rPr>
          <w:rFonts w:hint="eastAsia" w:ascii="楷体" w:hAnsi="楷体" w:eastAsia="楷体" w:cs="楷体"/>
          <w:b/>
          <w:bCs/>
          <w:snapToGrid w:val="0"/>
          <w:color w:val="auto"/>
          <w:sz w:val="24"/>
          <w:highlight w:val="none"/>
        </w:rPr>
        <w:t>软件下载地址及操作手册：见</w:t>
      </w:r>
      <w:r>
        <w:rPr>
          <w:rFonts w:hint="eastAsia" w:ascii="楷体" w:hAnsi="楷体" w:eastAsia="楷体" w:cs="楷体"/>
          <w:b/>
          <w:bCs/>
          <w:snapToGrid w:val="0"/>
          <w:color w:val="auto"/>
          <w:sz w:val="24"/>
          <w:highlight w:val="none"/>
          <w:lang w:eastAsia="zh-CN"/>
        </w:rPr>
        <w:t>安康</w:t>
      </w:r>
      <w:r>
        <w:rPr>
          <w:rFonts w:hint="eastAsia" w:ascii="楷体" w:hAnsi="楷体" w:eastAsia="楷体" w:cs="楷体"/>
          <w:b/>
          <w:bCs/>
          <w:snapToGrid w:val="0"/>
          <w:color w:val="auto"/>
          <w:sz w:val="24"/>
          <w:highlight w:val="none"/>
        </w:rPr>
        <w:t>市公共资源交易平台〖首页〉服务指南〉下载专区〗中。</w:t>
      </w:r>
    </w:p>
    <w:p>
      <w:pPr>
        <w:pStyle w:val="10"/>
        <w:rPr>
          <w:rFonts w:hint="eastAsia"/>
          <w:color w:val="auto"/>
          <w:highlight w:val="none"/>
          <w:lang w:val="en-US" w:eastAsia="zh-CN"/>
        </w:rPr>
      </w:pPr>
    </w:p>
    <w:p>
      <w:pPr>
        <w:jc w:val="center"/>
        <w:rPr>
          <w:rFonts w:hint="eastAsia" w:ascii="楷体" w:hAnsi="楷体" w:eastAsia="楷体" w:cs="楷体"/>
          <w:b/>
          <w:bCs/>
          <w:color w:val="auto"/>
          <w:sz w:val="40"/>
        </w:rPr>
      </w:pPr>
    </w:p>
    <w:p>
      <w:pPr>
        <w:jc w:val="both"/>
        <w:rPr>
          <w:rFonts w:hint="eastAsia" w:ascii="楷体" w:hAnsi="楷体" w:eastAsia="楷体" w:cs="楷体"/>
          <w:b/>
          <w:bCs/>
          <w:color w:val="auto"/>
          <w:sz w:val="40"/>
        </w:rPr>
      </w:pPr>
    </w:p>
    <w:p>
      <w:pPr>
        <w:jc w:val="center"/>
        <w:rPr>
          <w:rFonts w:hint="eastAsia" w:ascii="楷体" w:hAnsi="楷体" w:eastAsia="楷体" w:cs="楷体"/>
          <w:b/>
          <w:bCs/>
          <w:color w:val="auto"/>
          <w:sz w:val="40"/>
        </w:rPr>
      </w:pPr>
    </w:p>
    <w:p>
      <w:pPr>
        <w:jc w:val="center"/>
        <w:rPr>
          <w:rFonts w:hint="eastAsia" w:ascii="楷体" w:hAnsi="楷体" w:eastAsia="楷体" w:cs="楷体"/>
          <w:color w:val="auto"/>
          <w:sz w:val="40"/>
        </w:rPr>
      </w:pPr>
      <w:r>
        <w:rPr>
          <w:rFonts w:hint="eastAsia" w:ascii="楷体" w:hAnsi="楷体" w:eastAsia="楷体" w:cs="楷体"/>
          <w:b/>
          <w:bCs/>
          <w:color w:val="auto"/>
          <w:sz w:val="40"/>
        </w:rPr>
        <w:t>目   录</w:t>
      </w:r>
    </w:p>
    <w:p>
      <w:pPr>
        <w:pStyle w:val="14"/>
        <w:tabs>
          <w:tab w:val="right" w:leader="dot" w:pos="8296"/>
        </w:tabs>
        <w:rPr>
          <w:color w:val="auto"/>
          <w:kern w:val="2"/>
          <w:sz w:val="21"/>
        </w:rPr>
      </w:pPr>
      <w:r>
        <w:rPr>
          <w:rFonts w:hint="eastAsia" w:ascii="楷体" w:hAnsi="楷体" w:eastAsia="楷体" w:cs="楷体"/>
          <w:color w:val="auto"/>
        </w:rPr>
        <w:fldChar w:fldCharType="begin"/>
      </w:r>
      <w:r>
        <w:rPr>
          <w:rFonts w:hint="eastAsia" w:ascii="楷体" w:hAnsi="楷体" w:eastAsia="楷体" w:cs="楷体"/>
          <w:color w:val="auto"/>
        </w:rPr>
        <w:instrText xml:space="preserve"> TOC \o "1-1" \h \z \u </w:instrText>
      </w:r>
      <w:r>
        <w:rPr>
          <w:rFonts w:hint="eastAsia" w:ascii="楷体" w:hAnsi="楷体" w:eastAsia="楷体" w:cs="楷体"/>
          <w:color w:val="auto"/>
        </w:rPr>
        <w:fldChar w:fldCharType="separate"/>
      </w:r>
    </w:p>
    <w:p>
      <w:pPr>
        <w:pStyle w:val="14"/>
        <w:tabs>
          <w:tab w:val="left" w:pos="940"/>
          <w:tab w:val="right" w:leader="dot" w:pos="8296"/>
        </w:tabs>
        <w:rPr>
          <w:color w:val="auto"/>
          <w:kern w:val="2"/>
          <w:sz w:val="24"/>
        </w:rPr>
      </w:pPr>
      <w:r>
        <w:rPr>
          <w:rStyle w:val="21"/>
          <w:color w:val="auto"/>
          <w:sz w:val="28"/>
        </w:rPr>
        <w:fldChar w:fldCharType="begin"/>
      </w:r>
      <w:r>
        <w:rPr>
          <w:rStyle w:val="21"/>
          <w:color w:val="auto"/>
          <w:sz w:val="28"/>
        </w:rPr>
        <w:instrText xml:space="preserve"> </w:instrText>
      </w:r>
      <w:r>
        <w:rPr>
          <w:color w:val="auto"/>
          <w:sz w:val="28"/>
        </w:rPr>
        <w:instrText xml:space="preserve">HYPERLINK \l "_Toc85463477"</w:instrText>
      </w:r>
      <w:r>
        <w:rPr>
          <w:rStyle w:val="21"/>
          <w:color w:val="auto"/>
          <w:sz w:val="28"/>
        </w:rPr>
        <w:instrText xml:space="preserve"> </w:instrText>
      </w:r>
      <w:r>
        <w:rPr>
          <w:rStyle w:val="21"/>
          <w:color w:val="auto"/>
          <w:sz w:val="28"/>
        </w:rPr>
        <w:fldChar w:fldCharType="separate"/>
      </w:r>
      <w:r>
        <w:rPr>
          <w:rStyle w:val="21"/>
          <w:rFonts w:hint="eastAsia" w:ascii="楷体" w:hAnsi="楷体" w:eastAsia="楷体" w:cs="楷体"/>
          <w:color w:val="auto"/>
          <w:sz w:val="28"/>
        </w:rPr>
        <w:t>第一章</w:t>
      </w:r>
      <w:r>
        <w:rPr>
          <w:color w:val="auto"/>
          <w:kern w:val="2"/>
          <w:sz w:val="24"/>
        </w:rPr>
        <w:tab/>
      </w:r>
      <w:r>
        <w:rPr>
          <w:rFonts w:hint="eastAsia"/>
          <w:color w:val="auto"/>
          <w:kern w:val="2"/>
          <w:sz w:val="24"/>
          <w:lang w:val="en-US" w:eastAsia="zh-CN"/>
        </w:rPr>
        <w:t xml:space="preserve">  </w:t>
      </w:r>
      <w:r>
        <w:rPr>
          <w:rStyle w:val="21"/>
          <w:rFonts w:hint="eastAsia" w:ascii="楷体" w:hAnsi="楷体" w:eastAsia="楷体" w:cs="楷体"/>
          <w:color w:val="auto"/>
          <w:sz w:val="28"/>
        </w:rPr>
        <w:t>招标公告</w:t>
      </w:r>
      <w:r>
        <w:rPr>
          <w:color w:val="auto"/>
          <w:sz w:val="28"/>
        </w:rPr>
        <w:tab/>
      </w:r>
      <w:r>
        <w:rPr>
          <w:color w:val="auto"/>
          <w:sz w:val="28"/>
        </w:rPr>
        <w:fldChar w:fldCharType="begin"/>
      </w:r>
      <w:r>
        <w:rPr>
          <w:color w:val="auto"/>
          <w:sz w:val="28"/>
        </w:rPr>
        <w:instrText xml:space="preserve"> PAGEREF _Toc85463477 \h </w:instrText>
      </w:r>
      <w:r>
        <w:rPr>
          <w:color w:val="auto"/>
          <w:sz w:val="28"/>
        </w:rPr>
        <w:fldChar w:fldCharType="separate"/>
      </w:r>
      <w:r>
        <w:rPr>
          <w:color w:val="auto"/>
          <w:sz w:val="28"/>
        </w:rPr>
        <w:t>4</w:t>
      </w:r>
      <w:r>
        <w:rPr>
          <w:color w:val="auto"/>
          <w:sz w:val="28"/>
        </w:rPr>
        <w:fldChar w:fldCharType="end"/>
      </w:r>
      <w:r>
        <w:rPr>
          <w:rStyle w:val="21"/>
          <w:color w:val="auto"/>
          <w:sz w:val="28"/>
        </w:rPr>
        <w:fldChar w:fldCharType="end"/>
      </w:r>
    </w:p>
    <w:p>
      <w:pPr>
        <w:pStyle w:val="14"/>
        <w:tabs>
          <w:tab w:val="right" w:leader="dot" w:pos="8296"/>
        </w:tabs>
        <w:rPr>
          <w:color w:val="auto"/>
          <w:kern w:val="2"/>
          <w:sz w:val="24"/>
        </w:rPr>
      </w:pPr>
      <w:r>
        <w:rPr>
          <w:rStyle w:val="21"/>
          <w:color w:val="auto"/>
          <w:sz w:val="28"/>
        </w:rPr>
        <w:fldChar w:fldCharType="begin"/>
      </w:r>
      <w:r>
        <w:rPr>
          <w:rStyle w:val="21"/>
          <w:color w:val="auto"/>
          <w:sz w:val="28"/>
        </w:rPr>
        <w:instrText xml:space="preserve"> </w:instrText>
      </w:r>
      <w:r>
        <w:rPr>
          <w:color w:val="auto"/>
          <w:sz w:val="28"/>
        </w:rPr>
        <w:instrText xml:space="preserve">HYPERLINK \l "_Toc85463478"</w:instrText>
      </w:r>
      <w:r>
        <w:rPr>
          <w:rStyle w:val="21"/>
          <w:color w:val="auto"/>
          <w:sz w:val="28"/>
        </w:rPr>
        <w:instrText xml:space="preserve"> </w:instrText>
      </w:r>
      <w:r>
        <w:rPr>
          <w:rStyle w:val="21"/>
          <w:color w:val="auto"/>
          <w:sz w:val="28"/>
        </w:rPr>
        <w:fldChar w:fldCharType="separate"/>
      </w:r>
      <w:r>
        <w:rPr>
          <w:rStyle w:val="21"/>
          <w:rFonts w:hint="eastAsia" w:ascii="楷体" w:hAnsi="楷体" w:eastAsia="楷体" w:cs="楷体"/>
          <w:color w:val="auto"/>
          <w:sz w:val="28"/>
        </w:rPr>
        <w:t>第二章</w:t>
      </w:r>
      <w:r>
        <w:rPr>
          <w:rStyle w:val="21"/>
          <w:rFonts w:ascii="楷体" w:hAnsi="楷体" w:eastAsia="楷体" w:cs="楷体"/>
          <w:color w:val="auto"/>
          <w:sz w:val="28"/>
        </w:rPr>
        <w:t xml:space="preserve"> </w:t>
      </w:r>
      <w:r>
        <w:rPr>
          <w:rStyle w:val="21"/>
          <w:rFonts w:hint="eastAsia" w:ascii="楷体" w:hAnsi="楷体" w:eastAsia="楷体" w:cs="楷体"/>
          <w:color w:val="auto"/>
          <w:sz w:val="28"/>
        </w:rPr>
        <w:t xml:space="preserve"> 投标人须知</w:t>
      </w:r>
      <w:r>
        <w:rPr>
          <w:color w:val="auto"/>
          <w:sz w:val="28"/>
        </w:rPr>
        <w:tab/>
      </w:r>
      <w:r>
        <w:rPr>
          <w:rFonts w:hint="eastAsia"/>
          <w:color w:val="auto"/>
          <w:sz w:val="28"/>
          <w:lang w:val="en-US" w:eastAsia="zh-CN"/>
        </w:rPr>
        <w:t>6</w:t>
      </w:r>
      <w:r>
        <w:rPr>
          <w:rStyle w:val="21"/>
          <w:color w:val="auto"/>
          <w:sz w:val="28"/>
        </w:rPr>
        <w:fldChar w:fldCharType="end"/>
      </w:r>
    </w:p>
    <w:p>
      <w:pPr>
        <w:pStyle w:val="14"/>
        <w:tabs>
          <w:tab w:val="right" w:leader="dot" w:pos="8296"/>
        </w:tabs>
        <w:rPr>
          <w:rFonts w:hint="eastAsia" w:eastAsia="宋体"/>
          <w:color w:val="auto"/>
          <w:kern w:val="2"/>
          <w:sz w:val="24"/>
          <w:lang w:val="en-US" w:eastAsia="zh-CN"/>
        </w:rPr>
      </w:pPr>
      <w:r>
        <w:rPr>
          <w:rStyle w:val="21"/>
          <w:color w:val="auto"/>
          <w:sz w:val="28"/>
        </w:rPr>
        <w:fldChar w:fldCharType="begin"/>
      </w:r>
      <w:r>
        <w:rPr>
          <w:rStyle w:val="21"/>
          <w:color w:val="auto"/>
          <w:sz w:val="28"/>
        </w:rPr>
        <w:instrText xml:space="preserve"> </w:instrText>
      </w:r>
      <w:r>
        <w:rPr>
          <w:color w:val="auto"/>
          <w:sz w:val="28"/>
        </w:rPr>
        <w:instrText xml:space="preserve">HYPERLINK \l "_Toc85463479"</w:instrText>
      </w:r>
      <w:r>
        <w:rPr>
          <w:rStyle w:val="21"/>
          <w:color w:val="auto"/>
          <w:sz w:val="28"/>
        </w:rPr>
        <w:instrText xml:space="preserve"> </w:instrText>
      </w:r>
      <w:r>
        <w:rPr>
          <w:rStyle w:val="21"/>
          <w:color w:val="auto"/>
          <w:sz w:val="28"/>
        </w:rPr>
        <w:fldChar w:fldCharType="separate"/>
      </w:r>
      <w:r>
        <w:rPr>
          <w:rStyle w:val="21"/>
          <w:rFonts w:hint="eastAsia" w:ascii="楷体" w:hAnsi="楷体" w:eastAsia="楷体" w:cs="楷体"/>
          <w:color w:val="auto"/>
          <w:sz w:val="28"/>
        </w:rPr>
        <w:t>第三章</w:t>
      </w:r>
      <w:r>
        <w:rPr>
          <w:rStyle w:val="21"/>
          <w:rFonts w:ascii="楷体" w:hAnsi="楷体" w:eastAsia="楷体" w:cs="楷体"/>
          <w:color w:val="auto"/>
          <w:sz w:val="28"/>
        </w:rPr>
        <w:t xml:space="preserve">  </w:t>
      </w:r>
      <w:r>
        <w:rPr>
          <w:rStyle w:val="21"/>
          <w:rFonts w:hint="eastAsia" w:ascii="楷体" w:hAnsi="楷体" w:eastAsia="楷体" w:cs="楷体"/>
          <w:color w:val="auto"/>
          <w:sz w:val="28"/>
        </w:rPr>
        <w:t>商务部分（合同条款及合同格式）</w:t>
      </w:r>
      <w:r>
        <w:rPr>
          <w:color w:val="auto"/>
          <w:sz w:val="28"/>
        </w:rPr>
        <w:tab/>
      </w:r>
      <w:r>
        <w:rPr>
          <w:rFonts w:hint="eastAsia"/>
          <w:color w:val="auto"/>
          <w:sz w:val="28"/>
          <w:lang w:val="en-US" w:eastAsia="zh-CN"/>
        </w:rPr>
        <w:t>1</w:t>
      </w:r>
      <w:r>
        <w:rPr>
          <w:rStyle w:val="21"/>
          <w:color w:val="auto"/>
          <w:sz w:val="28"/>
        </w:rPr>
        <w:fldChar w:fldCharType="end"/>
      </w:r>
      <w:r>
        <w:rPr>
          <w:rStyle w:val="21"/>
          <w:rFonts w:hint="eastAsia"/>
          <w:color w:val="auto"/>
          <w:sz w:val="28"/>
          <w:lang w:val="en-US" w:eastAsia="zh-CN"/>
        </w:rPr>
        <w:t>9</w:t>
      </w:r>
    </w:p>
    <w:p>
      <w:pPr>
        <w:pStyle w:val="14"/>
        <w:tabs>
          <w:tab w:val="right" w:leader="dot" w:pos="8296"/>
        </w:tabs>
        <w:rPr>
          <w:rFonts w:hint="eastAsia" w:eastAsia="宋体"/>
          <w:color w:val="auto"/>
          <w:kern w:val="2"/>
          <w:sz w:val="24"/>
          <w:lang w:val="en-US" w:eastAsia="zh-CN"/>
        </w:rPr>
      </w:pPr>
      <w:r>
        <w:rPr>
          <w:rStyle w:val="21"/>
          <w:color w:val="auto"/>
          <w:sz w:val="28"/>
        </w:rPr>
        <w:fldChar w:fldCharType="begin"/>
      </w:r>
      <w:r>
        <w:rPr>
          <w:rStyle w:val="21"/>
          <w:color w:val="auto"/>
          <w:sz w:val="28"/>
        </w:rPr>
        <w:instrText xml:space="preserve"> </w:instrText>
      </w:r>
      <w:r>
        <w:rPr>
          <w:color w:val="auto"/>
          <w:sz w:val="28"/>
        </w:rPr>
        <w:instrText xml:space="preserve">HYPERLINK \l "_Toc85463481"</w:instrText>
      </w:r>
      <w:r>
        <w:rPr>
          <w:rStyle w:val="21"/>
          <w:color w:val="auto"/>
          <w:sz w:val="28"/>
        </w:rPr>
        <w:instrText xml:space="preserve"> </w:instrText>
      </w:r>
      <w:r>
        <w:rPr>
          <w:rStyle w:val="21"/>
          <w:color w:val="auto"/>
          <w:sz w:val="28"/>
        </w:rPr>
        <w:fldChar w:fldCharType="separate"/>
      </w:r>
      <w:r>
        <w:rPr>
          <w:rStyle w:val="21"/>
          <w:rFonts w:hint="eastAsia" w:ascii="楷体" w:hAnsi="楷体" w:eastAsia="楷体" w:cs="楷体"/>
          <w:color w:val="auto"/>
          <w:sz w:val="28"/>
        </w:rPr>
        <w:t>第四章</w:t>
      </w:r>
      <w:r>
        <w:rPr>
          <w:rStyle w:val="21"/>
          <w:rFonts w:ascii="楷体" w:hAnsi="楷体" w:eastAsia="楷体" w:cs="楷体"/>
          <w:color w:val="auto"/>
          <w:sz w:val="28"/>
        </w:rPr>
        <w:t xml:space="preserve">  </w:t>
      </w:r>
      <w:r>
        <w:rPr>
          <w:rStyle w:val="21"/>
          <w:rFonts w:hint="eastAsia" w:ascii="楷体" w:hAnsi="楷体" w:eastAsia="楷体" w:cs="楷体"/>
          <w:color w:val="auto"/>
          <w:sz w:val="28"/>
        </w:rPr>
        <w:t>用户需求书</w:t>
      </w:r>
      <w:r>
        <w:rPr>
          <w:color w:val="auto"/>
          <w:sz w:val="28"/>
        </w:rPr>
        <w:tab/>
      </w:r>
      <w:r>
        <w:rPr>
          <w:rFonts w:hint="eastAsia"/>
          <w:color w:val="auto"/>
          <w:sz w:val="28"/>
          <w:lang w:val="en-US" w:eastAsia="zh-CN"/>
        </w:rPr>
        <w:t>3</w:t>
      </w:r>
      <w:r>
        <w:rPr>
          <w:rStyle w:val="21"/>
          <w:color w:val="auto"/>
          <w:sz w:val="28"/>
        </w:rPr>
        <w:fldChar w:fldCharType="end"/>
      </w:r>
      <w:r>
        <w:rPr>
          <w:rStyle w:val="21"/>
          <w:rFonts w:hint="eastAsia"/>
          <w:color w:val="auto"/>
          <w:sz w:val="28"/>
          <w:lang w:val="en-US" w:eastAsia="zh-CN"/>
        </w:rPr>
        <w:t>9</w:t>
      </w:r>
    </w:p>
    <w:p>
      <w:pPr>
        <w:pStyle w:val="14"/>
        <w:tabs>
          <w:tab w:val="right" w:leader="dot" w:pos="8296"/>
        </w:tabs>
        <w:rPr>
          <w:rFonts w:hint="eastAsia" w:eastAsia="宋体"/>
          <w:color w:val="auto"/>
          <w:kern w:val="2"/>
          <w:sz w:val="24"/>
          <w:lang w:val="en-US" w:eastAsia="zh-CN"/>
        </w:rPr>
      </w:pPr>
      <w:r>
        <w:rPr>
          <w:rStyle w:val="21"/>
          <w:color w:val="auto"/>
          <w:sz w:val="28"/>
        </w:rPr>
        <w:fldChar w:fldCharType="begin"/>
      </w:r>
      <w:r>
        <w:rPr>
          <w:rStyle w:val="21"/>
          <w:color w:val="auto"/>
          <w:sz w:val="28"/>
        </w:rPr>
        <w:instrText xml:space="preserve"> </w:instrText>
      </w:r>
      <w:r>
        <w:rPr>
          <w:color w:val="auto"/>
          <w:sz w:val="28"/>
        </w:rPr>
        <w:instrText xml:space="preserve">HYPERLINK \l "_Toc85463482"</w:instrText>
      </w:r>
      <w:r>
        <w:rPr>
          <w:rStyle w:val="21"/>
          <w:color w:val="auto"/>
          <w:sz w:val="28"/>
        </w:rPr>
        <w:instrText xml:space="preserve"> </w:instrText>
      </w:r>
      <w:r>
        <w:rPr>
          <w:rStyle w:val="21"/>
          <w:color w:val="auto"/>
          <w:sz w:val="28"/>
        </w:rPr>
        <w:fldChar w:fldCharType="separate"/>
      </w:r>
      <w:r>
        <w:rPr>
          <w:rStyle w:val="21"/>
          <w:rFonts w:hint="eastAsia" w:ascii="楷体" w:hAnsi="楷体" w:eastAsia="楷体" w:cs="楷体"/>
          <w:color w:val="auto"/>
          <w:sz w:val="28"/>
        </w:rPr>
        <w:t>第五章</w:t>
      </w:r>
      <w:r>
        <w:rPr>
          <w:rStyle w:val="21"/>
          <w:rFonts w:ascii="楷体" w:hAnsi="楷体" w:eastAsia="楷体" w:cs="楷体"/>
          <w:color w:val="auto"/>
          <w:sz w:val="28"/>
        </w:rPr>
        <w:t xml:space="preserve">  </w:t>
      </w:r>
      <w:r>
        <w:rPr>
          <w:rStyle w:val="21"/>
          <w:rFonts w:hint="eastAsia" w:ascii="楷体" w:hAnsi="楷体" w:eastAsia="楷体" w:cs="楷体"/>
          <w:color w:val="auto"/>
          <w:sz w:val="28"/>
        </w:rPr>
        <w:t>投标文件格式</w:t>
      </w:r>
      <w:r>
        <w:rPr>
          <w:color w:val="auto"/>
          <w:sz w:val="28"/>
        </w:rPr>
        <w:tab/>
      </w:r>
      <w:r>
        <w:rPr>
          <w:rFonts w:hint="eastAsia"/>
          <w:color w:val="auto"/>
          <w:sz w:val="28"/>
          <w:lang w:val="en-US" w:eastAsia="zh-CN"/>
        </w:rPr>
        <w:t>4</w:t>
      </w:r>
      <w:r>
        <w:rPr>
          <w:rStyle w:val="21"/>
          <w:color w:val="auto"/>
          <w:sz w:val="28"/>
        </w:rPr>
        <w:fldChar w:fldCharType="end"/>
      </w:r>
      <w:r>
        <w:rPr>
          <w:rStyle w:val="21"/>
          <w:rFonts w:hint="eastAsia"/>
          <w:color w:val="auto"/>
          <w:sz w:val="28"/>
          <w:lang w:val="en-US" w:eastAsia="zh-CN"/>
        </w:rPr>
        <w:t>3</w:t>
      </w:r>
    </w:p>
    <w:p>
      <w:pPr>
        <w:pStyle w:val="14"/>
        <w:tabs>
          <w:tab w:val="right" w:leader="dot" w:pos="8296"/>
        </w:tabs>
        <w:rPr>
          <w:rFonts w:hint="eastAsia" w:eastAsia="宋体"/>
          <w:color w:val="auto"/>
          <w:kern w:val="2"/>
          <w:sz w:val="24"/>
          <w:lang w:val="en-US" w:eastAsia="zh-CN"/>
        </w:rPr>
      </w:pPr>
      <w:r>
        <w:rPr>
          <w:rStyle w:val="21"/>
          <w:color w:val="auto"/>
          <w:sz w:val="28"/>
        </w:rPr>
        <w:fldChar w:fldCharType="begin"/>
      </w:r>
      <w:r>
        <w:rPr>
          <w:rStyle w:val="21"/>
          <w:color w:val="auto"/>
          <w:sz w:val="28"/>
        </w:rPr>
        <w:instrText xml:space="preserve"> </w:instrText>
      </w:r>
      <w:r>
        <w:rPr>
          <w:color w:val="auto"/>
          <w:sz w:val="28"/>
        </w:rPr>
        <w:instrText xml:space="preserve">HYPERLINK \l "_Toc85463483"</w:instrText>
      </w:r>
      <w:r>
        <w:rPr>
          <w:rStyle w:val="21"/>
          <w:color w:val="auto"/>
          <w:sz w:val="28"/>
        </w:rPr>
        <w:instrText xml:space="preserve"> </w:instrText>
      </w:r>
      <w:r>
        <w:rPr>
          <w:rStyle w:val="21"/>
          <w:color w:val="auto"/>
          <w:sz w:val="28"/>
        </w:rPr>
        <w:fldChar w:fldCharType="separate"/>
      </w:r>
      <w:r>
        <w:rPr>
          <w:rStyle w:val="21"/>
          <w:rFonts w:hint="eastAsia" w:ascii="楷体" w:hAnsi="楷体" w:eastAsia="楷体" w:cs="楷体"/>
          <w:color w:val="auto"/>
          <w:sz w:val="28"/>
        </w:rPr>
        <w:t>第六章</w:t>
      </w:r>
      <w:r>
        <w:rPr>
          <w:rStyle w:val="21"/>
          <w:rFonts w:ascii="楷体" w:hAnsi="楷体" w:eastAsia="楷体" w:cs="楷体"/>
          <w:color w:val="auto"/>
          <w:sz w:val="28"/>
        </w:rPr>
        <w:t xml:space="preserve">  </w:t>
      </w:r>
      <w:r>
        <w:rPr>
          <w:rStyle w:val="21"/>
          <w:rFonts w:hint="eastAsia" w:ascii="楷体" w:hAnsi="楷体" w:eastAsia="楷体" w:cs="楷体"/>
          <w:color w:val="auto"/>
          <w:sz w:val="28"/>
        </w:rPr>
        <w:t>评标办法</w:t>
      </w:r>
      <w:r>
        <w:rPr>
          <w:color w:val="auto"/>
          <w:sz w:val="28"/>
        </w:rPr>
        <w:tab/>
      </w:r>
      <w:r>
        <w:rPr>
          <w:rFonts w:hint="eastAsia"/>
          <w:color w:val="auto"/>
          <w:sz w:val="28"/>
          <w:lang w:val="en-US" w:eastAsia="zh-CN"/>
        </w:rPr>
        <w:t>5</w:t>
      </w:r>
      <w:r>
        <w:rPr>
          <w:rStyle w:val="21"/>
          <w:color w:val="auto"/>
          <w:sz w:val="28"/>
        </w:rPr>
        <w:fldChar w:fldCharType="end"/>
      </w:r>
      <w:r>
        <w:rPr>
          <w:rStyle w:val="21"/>
          <w:rFonts w:hint="eastAsia"/>
          <w:color w:val="auto"/>
          <w:sz w:val="28"/>
          <w:lang w:val="en-US" w:eastAsia="zh-CN"/>
        </w:rPr>
        <w:t>6</w:t>
      </w:r>
    </w:p>
    <w:p>
      <w:pPr>
        <w:rPr>
          <w:rFonts w:hint="eastAsia" w:ascii="楷体" w:hAnsi="楷体" w:eastAsia="楷体" w:cs="楷体"/>
          <w:color w:val="auto"/>
        </w:rPr>
      </w:pPr>
      <w:r>
        <w:rPr>
          <w:rFonts w:hint="eastAsia" w:ascii="楷体" w:hAnsi="楷体" w:eastAsia="楷体" w:cs="楷体"/>
          <w:color w:val="auto"/>
        </w:rPr>
        <w:fldChar w:fldCharType="end"/>
      </w: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pStyle w:val="3"/>
        <w:spacing w:before="0" w:after="0" w:line="360" w:lineRule="auto"/>
        <w:jc w:val="both"/>
        <w:rPr>
          <w:rFonts w:hint="eastAsia" w:ascii="楷体" w:hAnsi="楷体" w:eastAsia="楷体" w:cs="楷体"/>
          <w:color w:val="auto"/>
          <w:sz w:val="36"/>
        </w:rPr>
      </w:pPr>
      <w:bookmarkStart w:id="0" w:name="_Toc85463477"/>
    </w:p>
    <w:p>
      <w:pPr>
        <w:pStyle w:val="3"/>
        <w:spacing w:before="0" w:after="0" w:line="360" w:lineRule="auto"/>
        <w:jc w:val="both"/>
        <w:rPr>
          <w:rFonts w:hint="eastAsia" w:ascii="楷体" w:hAnsi="楷体" w:eastAsia="楷体" w:cs="楷体"/>
          <w:color w:val="auto"/>
          <w:sz w:val="36"/>
        </w:rPr>
      </w:pPr>
    </w:p>
    <w:p>
      <w:pPr>
        <w:pStyle w:val="3"/>
        <w:spacing w:before="0" w:after="0" w:line="360" w:lineRule="auto"/>
        <w:ind w:firstLine="723" w:firstLineChars="200"/>
        <w:jc w:val="center"/>
        <w:rPr>
          <w:rFonts w:hint="eastAsia" w:ascii="楷体" w:hAnsi="楷体" w:eastAsia="楷体" w:cs="楷体"/>
          <w:b w:val="0"/>
          <w:bCs w:val="0"/>
          <w:color w:val="auto"/>
          <w:sz w:val="36"/>
        </w:rPr>
      </w:pPr>
      <w:r>
        <w:rPr>
          <w:rFonts w:hint="eastAsia" w:ascii="楷体" w:hAnsi="楷体" w:eastAsia="楷体" w:cs="楷体"/>
          <w:color w:val="auto"/>
          <w:sz w:val="36"/>
        </w:rPr>
        <w:br w:type="page"/>
      </w:r>
      <w:r>
        <w:rPr>
          <w:rFonts w:hint="eastAsia" w:ascii="楷体" w:hAnsi="楷体" w:eastAsia="楷体" w:cs="楷体"/>
          <w:color w:val="auto"/>
          <w:sz w:val="36"/>
        </w:rPr>
        <w:t>第一章</w:t>
      </w:r>
      <w:r>
        <w:rPr>
          <w:rFonts w:hint="eastAsia" w:ascii="楷体" w:hAnsi="楷体" w:eastAsia="楷体" w:cs="楷体"/>
          <w:color w:val="auto"/>
          <w:sz w:val="36"/>
        </w:rPr>
        <w:tab/>
      </w:r>
      <w:r>
        <w:rPr>
          <w:rFonts w:hint="eastAsia" w:ascii="楷体" w:hAnsi="楷体" w:eastAsia="楷体" w:cs="楷体"/>
          <w:color w:val="auto"/>
          <w:sz w:val="36"/>
        </w:rPr>
        <w:t>招标公告</w:t>
      </w:r>
      <w:bookmarkEnd w:id="0"/>
      <w:bookmarkStart w:id="1" w:name="_Toc62194294"/>
    </w:p>
    <w:p>
      <w:pPr>
        <w:pStyle w:val="15"/>
        <w:spacing w:before="0" w:beforeAutospacing="0" w:after="0" w:afterAutospacing="0" w:line="360" w:lineRule="auto"/>
        <w:jc w:val="center"/>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lang w:val="en-US" w:eastAsia="zh-CN"/>
        </w:rPr>
        <w:t>安康市中心医院全自动核型分析工作站等医疗设备采购项目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Style w:val="20"/>
          <w:rFonts w:hint="eastAsia" w:ascii="楷体" w:hAnsi="楷体" w:eastAsia="楷体" w:cs="楷体"/>
          <w:b w:val="0"/>
          <w:bCs w:val="0"/>
          <w:i w:val="0"/>
          <w:iCs w:val="0"/>
          <w:color w:val="auto"/>
          <w:sz w:val="24"/>
          <w:szCs w:val="24"/>
          <w:lang w:val="en-US" w:eastAsia="zh-CN"/>
        </w:rPr>
      </w:pPr>
      <w:r>
        <w:rPr>
          <w:rStyle w:val="20"/>
          <w:rFonts w:hint="eastAsia" w:ascii="楷体" w:hAnsi="楷体" w:eastAsia="楷体" w:cs="楷体"/>
          <w:b/>
          <w:bCs/>
          <w:i w:val="0"/>
          <w:iCs w:val="0"/>
          <w:caps w:val="0"/>
          <w:color w:val="auto"/>
          <w:spacing w:val="0"/>
          <w:sz w:val="24"/>
          <w:szCs w:val="24"/>
          <w:highlight w:val="none"/>
        </w:rPr>
        <w:t>项目概况</w:t>
      </w:r>
    </w:p>
    <w:p>
      <w:pPr>
        <w:pStyle w:val="15"/>
        <w:spacing w:before="0" w:beforeAutospacing="0" w:after="0" w:afterAutospacing="0" w:line="360" w:lineRule="auto"/>
        <w:jc w:val="both"/>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lang w:val="en-US" w:eastAsia="zh-CN"/>
        </w:rPr>
        <w:t>全自动核型分析工作站等医疗设备采购项目招标项目的潜在投标人应在西安市雁塔区南二环西段154号易和蓝钻23楼西2304（高新路与二环十字东南角大香港酒楼东侧100米红色写字楼，楼西侧电梯直达）获取招标文件，并于 2023年02月07日 09时00分 （北京时间）前递交投标文件。</w:t>
      </w:r>
      <w:r>
        <w:rPr>
          <w:rStyle w:val="20"/>
          <w:rFonts w:hint="eastAsia" w:ascii="楷体" w:hAnsi="楷体" w:eastAsia="楷体" w:cs="楷体"/>
          <w:b w:val="0"/>
          <w:bCs w:val="0"/>
          <w:i w:val="0"/>
          <w:iCs w:val="0"/>
          <w:color w:val="auto"/>
          <w:sz w:val="24"/>
          <w:szCs w:val="24"/>
        </w:rPr>
        <w:t xml:space="preserve"> </w:t>
      </w:r>
    </w:p>
    <w:p>
      <w:pPr>
        <w:pStyle w:val="15"/>
        <w:spacing w:before="0" w:beforeAutospacing="0" w:after="0" w:afterAutospacing="0" w:line="360" w:lineRule="auto"/>
        <w:ind w:firstLine="482" w:firstLineChars="200"/>
        <w:jc w:val="both"/>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项目编号：</w:t>
      </w:r>
      <w:r>
        <w:rPr>
          <w:rFonts w:hint="eastAsia" w:ascii="楷体" w:hAnsi="楷体" w:eastAsia="楷体" w:cs="楷体"/>
          <w:i w:val="0"/>
          <w:iCs w:val="0"/>
          <w:caps w:val="0"/>
          <w:color w:val="auto"/>
          <w:spacing w:val="0"/>
          <w:sz w:val="24"/>
          <w:szCs w:val="24"/>
          <w:highlight w:val="none"/>
          <w:lang w:val="en-US" w:eastAsia="zh-CN"/>
        </w:rPr>
        <w:t>COCICC-ZAKYA-221133</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项目名称：全自动核型分析工作站等医疗设备采购项目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预算金额：2,4</w:t>
      </w:r>
      <w:r>
        <w:rPr>
          <w:rFonts w:hint="eastAsia" w:ascii="楷体" w:hAnsi="楷体" w:eastAsia="楷体" w:cs="楷体"/>
          <w:i w:val="0"/>
          <w:iCs w:val="0"/>
          <w:caps w:val="0"/>
          <w:color w:val="auto"/>
          <w:spacing w:val="0"/>
          <w:sz w:val="24"/>
          <w:szCs w:val="24"/>
          <w:highlight w:val="none"/>
          <w:lang w:val="en-US" w:eastAsia="zh-CN"/>
        </w:rPr>
        <w:t>00</w:t>
      </w:r>
      <w:r>
        <w:rPr>
          <w:rFonts w:hint="eastAsia" w:ascii="楷体" w:hAnsi="楷体" w:eastAsia="楷体" w:cs="楷体"/>
          <w:i w:val="0"/>
          <w:iCs w:val="0"/>
          <w:caps w:val="0"/>
          <w:color w:val="auto"/>
          <w:spacing w:val="0"/>
          <w:sz w:val="24"/>
          <w:szCs w:val="24"/>
          <w:highlight w:val="none"/>
        </w:rPr>
        <w:t>,000.00元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合同包1(射频温控热凝器):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合同包预算金额：4</w:t>
      </w:r>
      <w:r>
        <w:rPr>
          <w:rFonts w:hint="eastAsia" w:ascii="楷体" w:hAnsi="楷体" w:eastAsia="楷体" w:cs="楷体"/>
          <w:i w:val="0"/>
          <w:iCs w:val="0"/>
          <w:caps w:val="0"/>
          <w:color w:val="auto"/>
          <w:spacing w:val="0"/>
          <w:sz w:val="24"/>
          <w:szCs w:val="24"/>
          <w:highlight w:val="none"/>
          <w:lang w:val="en-US" w:eastAsia="zh-CN"/>
        </w:rPr>
        <w:t>00</w:t>
      </w:r>
      <w:r>
        <w:rPr>
          <w:rFonts w:hint="eastAsia" w:ascii="楷体" w:hAnsi="楷体" w:eastAsia="楷体" w:cs="楷体"/>
          <w:i w:val="0"/>
          <w:iCs w:val="0"/>
          <w:caps w:val="0"/>
          <w:color w:val="auto"/>
          <w:spacing w:val="0"/>
          <w:sz w:val="24"/>
          <w:szCs w:val="24"/>
          <w:highlight w:val="none"/>
        </w:rPr>
        <w:t>,000.00元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合同包最高限价：4</w:t>
      </w:r>
      <w:r>
        <w:rPr>
          <w:rFonts w:hint="eastAsia" w:ascii="楷体" w:hAnsi="楷体" w:eastAsia="楷体" w:cs="楷体"/>
          <w:i w:val="0"/>
          <w:iCs w:val="0"/>
          <w:caps w:val="0"/>
          <w:color w:val="auto"/>
          <w:spacing w:val="0"/>
          <w:sz w:val="24"/>
          <w:szCs w:val="24"/>
          <w:highlight w:val="none"/>
          <w:lang w:val="en-US" w:eastAsia="zh-CN"/>
        </w:rPr>
        <w:t>00</w:t>
      </w:r>
      <w:r>
        <w:rPr>
          <w:rFonts w:hint="eastAsia" w:ascii="楷体" w:hAnsi="楷体" w:eastAsia="楷体" w:cs="楷体"/>
          <w:i w:val="0"/>
          <w:iCs w:val="0"/>
          <w:caps w:val="0"/>
          <w:color w:val="auto"/>
          <w:spacing w:val="0"/>
          <w:sz w:val="24"/>
          <w:szCs w:val="24"/>
          <w:highlight w:val="none"/>
        </w:rPr>
        <w:t>,000.00元</w:t>
      </w:r>
    </w:p>
    <w:tbl>
      <w:tblPr>
        <w:tblStyle w:val="17"/>
        <w:tblW w:w="901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185"/>
        <w:gridCol w:w="1170"/>
        <w:gridCol w:w="1050"/>
        <w:gridCol w:w="1860"/>
        <w:gridCol w:w="1410"/>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品目名称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采购标的</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数量</w:t>
            </w:r>
          </w:p>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（单位）</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技术规格、参数及要求</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品目预算(元)</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1-1</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物理治疗、康复及体育治疗仪器设备</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400000</w:t>
            </w:r>
          </w:p>
        </w:tc>
        <w:tc>
          <w:tcPr>
            <w:tcW w:w="10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default" w:ascii="楷体" w:hAnsi="楷体" w:eastAsia="楷体" w:cs="楷体"/>
                <w:color w:val="auto"/>
                <w:sz w:val="22"/>
                <w:szCs w:val="22"/>
                <w:highlight w:val="none"/>
                <w:lang w:val="en-US"/>
              </w:rPr>
            </w:pPr>
            <w:r>
              <w:rPr>
                <w:rFonts w:hint="eastAsia" w:ascii="楷体" w:hAnsi="楷体" w:eastAsia="楷体" w:cs="楷体"/>
                <w:color w:val="auto"/>
                <w:sz w:val="22"/>
                <w:szCs w:val="22"/>
                <w:highlight w:val="none"/>
                <w:lang w:val="en-US" w:eastAsia="zh-CN"/>
              </w:rPr>
              <w:t>1台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详见采购文件</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楷体" w:hAnsi="楷体" w:eastAsia="楷体" w:cs="楷体"/>
                <w:color w:val="auto"/>
                <w:sz w:val="22"/>
                <w:szCs w:val="22"/>
                <w:highlight w:val="none"/>
              </w:rPr>
            </w:pPr>
            <w:r>
              <w:rPr>
                <w:rFonts w:hint="eastAsia" w:ascii="楷体" w:hAnsi="楷体" w:eastAsia="楷体" w:cs="楷体"/>
                <w:i w:val="0"/>
                <w:iCs w:val="0"/>
                <w:caps w:val="0"/>
                <w:color w:val="auto"/>
                <w:spacing w:val="0"/>
                <w:sz w:val="22"/>
                <w:szCs w:val="22"/>
                <w:highlight w:val="none"/>
              </w:rPr>
              <w:t>4</w:t>
            </w:r>
            <w:r>
              <w:rPr>
                <w:rFonts w:hint="eastAsia" w:ascii="楷体" w:hAnsi="楷体" w:eastAsia="楷体" w:cs="楷体"/>
                <w:i w:val="0"/>
                <w:iCs w:val="0"/>
                <w:caps w:val="0"/>
                <w:color w:val="auto"/>
                <w:spacing w:val="0"/>
                <w:sz w:val="22"/>
                <w:szCs w:val="22"/>
                <w:highlight w:val="none"/>
                <w:lang w:val="en-US" w:eastAsia="zh-CN"/>
              </w:rPr>
              <w:t>00</w:t>
            </w:r>
            <w:r>
              <w:rPr>
                <w:rFonts w:hint="eastAsia" w:ascii="楷体" w:hAnsi="楷体" w:eastAsia="楷体" w:cs="楷体"/>
                <w:i w:val="0"/>
                <w:iCs w:val="0"/>
                <w:caps w:val="0"/>
                <w:color w:val="auto"/>
                <w:spacing w:val="0"/>
                <w:sz w:val="22"/>
                <w:szCs w:val="22"/>
                <w:highlight w:val="none"/>
              </w:rPr>
              <w:t>,000.00</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楷体" w:hAnsi="楷体" w:eastAsia="楷体" w:cs="楷体"/>
                <w:color w:val="auto"/>
                <w:kern w:val="0"/>
                <w:sz w:val="22"/>
                <w:szCs w:val="22"/>
                <w:highlight w:val="none"/>
                <w:lang w:val="en-US" w:eastAsia="zh-CN" w:bidi="ar"/>
              </w:rPr>
            </w:pPr>
            <w:r>
              <w:rPr>
                <w:rFonts w:hint="eastAsia" w:ascii="楷体" w:hAnsi="楷体" w:eastAsia="楷体" w:cs="楷体"/>
                <w:i w:val="0"/>
                <w:iCs w:val="0"/>
                <w:caps w:val="0"/>
                <w:color w:val="auto"/>
                <w:spacing w:val="0"/>
                <w:sz w:val="22"/>
                <w:szCs w:val="22"/>
                <w:highlight w:val="none"/>
              </w:rPr>
              <w:t>4</w:t>
            </w:r>
            <w:r>
              <w:rPr>
                <w:rFonts w:hint="eastAsia" w:ascii="楷体" w:hAnsi="楷体" w:eastAsia="楷体" w:cs="楷体"/>
                <w:i w:val="0"/>
                <w:iCs w:val="0"/>
                <w:caps w:val="0"/>
                <w:color w:val="auto"/>
                <w:spacing w:val="0"/>
                <w:sz w:val="22"/>
                <w:szCs w:val="22"/>
                <w:highlight w:val="none"/>
                <w:lang w:val="en-US" w:eastAsia="zh-CN"/>
              </w:rPr>
              <w:t>00</w:t>
            </w:r>
            <w:r>
              <w:rPr>
                <w:rFonts w:hint="eastAsia" w:ascii="楷体" w:hAnsi="楷体" w:eastAsia="楷体" w:cs="楷体"/>
                <w:i w:val="0"/>
                <w:iCs w:val="0"/>
                <w:caps w:val="0"/>
                <w:color w:val="auto"/>
                <w:spacing w:val="0"/>
                <w:sz w:val="22"/>
                <w:szCs w:val="22"/>
                <w:highlight w:val="none"/>
              </w:rPr>
              <w:t>,000.00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合同履行期限：</w:t>
      </w:r>
      <w:r>
        <w:rPr>
          <w:rFonts w:hint="eastAsia" w:ascii="楷体" w:hAnsi="楷体" w:eastAsia="楷体" w:cs="楷体"/>
          <w:i w:val="0"/>
          <w:iCs w:val="0"/>
          <w:caps w:val="0"/>
          <w:color w:val="auto"/>
          <w:spacing w:val="0"/>
          <w:sz w:val="24"/>
          <w:szCs w:val="24"/>
          <w:highlight w:val="none"/>
          <w:lang w:val="en-US" w:eastAsia="zh-CN"/>
        </w:rPr>
        <w:t>3</w:t>
      </w:r>
      <w:r>
        <w:rPr>
          <w:rFonts w:hint="eastAsia" w:ascii="楷体" w:hAnsi="楷体" w:eastAsia="楷体" w:cs="楷体"/>
          <w:i w:val="0"/>
          <w:iCs w:val="0"/>
          <w:caps w:val="0"/>
          <w:color w:val="auto"/>
          <w:spacing w:val="0"/>
          <w:sz w:val="24"/>
          <w:szCs w:val="24"/>
          <w:highlight w:val="none"/>
        </w:rPr>
        <w:t>年（具体服务起止日期可随合同签订时间相应顺延）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(全自动核型分析工作站):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合同包预算金额：2,</w:t>
      </w:r>
      <w:r>
        <w:rPr>
          <w:rFonts w:hint="eastAsia" w:ascii="楷体" w:hAnsi="楷体" w:eastAsia="楷体" w:cs="楷体"/>
          <w:i w:val="0"/>
          <w:iCs w:val="0"/>
          <w:caps w:val="0"/>
          <w:color w:val="auto"/>
          <w:spacing w:val="0"/>
          <w:sz w:val="24"/>
          <w:szCs w:val="24"/>
          <w:highlight w:val="none"/>
          <w:lang w:val="en-US" w:eastAsia="zh-CN"/>
        </w:rPr>
        <w:t>000</w:t>
      </w:r>
      <w:r>
        <w:rPr>
          <w:rFonts w:hint="eastAsia" w:ascii="楷体" w:hAnsi="楷体" w:eastAsia="楷体" w:cs="楷体"/>
          <w:i w:val="0"/>
          <w:iCs w:val="0"/>
          <w:caps w:val="0"/>
          <w:color w:val="auto"/>
          <w:spacing w:val="0"/>
          <w:sz w:val="24"/>
          <w:szCs w:val="24"/>
          <w:highlight w:val="none"/>
        </w:rPr>
        <w:t>,000.00元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合同包最高限价：2,</w:t>
      </w:r>
      <w:r>
        <w:rPr>
          <w:rFonts w:hint="eastAsia" w:ascii="楷体" w:hAnsi="楷体" w:eastAsia="楷体" w:cs="楷体"/>
          <w:i w:val="0"/>
          <w:iCs w:val="0"/>
          <w:caps w:val="0"/>
          <w:color w:val="auto"/>
          <w:spacing w:val="0"/>
          <w:sz w:val="24"/>
          <w:szCs w:val="24"/>
          <w:highlight w:val="none"/>
          <w:lang w:val="en-US" w:eastAsia="zh-CN"/>
        </w:rPr>
        <w:t>000</w:t>
      </w:r>
      <w:r>
        <w:rPr>
          <w:rFonts w:hint="eastAsia" w:ascii="楷体" w:hAnsi="楷体" w:eastAsia="楷体" w:cs="楷体"/>
          <w:i w:val="0"/>
          <w:iCs w:val="0"/>
          <w:caps w:val="0"/>
          <w:color w:val="auto"/>
          <w:spacing w:val="0"/>
          <w:sz w:val="24"/>
          <w:szCs w:val="24"/>
          <w:highlight w:val="none"/>
        </w:rPr>
        <w:t>,000.00元</w:t>
      </w:r>
    </w:p>
    <w:tbl>
      <w:tblPr>
        <w:tblStyle w:val="17"/>
        <w:tblW w:w="9015" w:type="dxa"/>
        <w:tblInd w:w="-24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1185"/>
        <w:gridCol w:w="1170"/>
        <w:gridCol w:w="1080"/>
        <w:gridCol w:w="1515"/>
        <w:gridCol w:w="1575"/>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品目号</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品目名称</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数量</w:t>
            </w:r>
          </w:p>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（单位）</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技术规格、参数及要求</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品目预算(元)</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2-1</w:t>
            </w:r>
          </w:p>
        </w:tc>
        <w:tc>
          <w:tcPr>
            <w:tcW w:w="11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临床检验设备</w:t>
            </w:r>
          </w:p>
        </w:tc>
        <w:tc>
          <w:tcPr>
            <w:tcW w:w="11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2000000</w:t>
            </w:r>
          </w:p>
        </w:tc>
        <w:tc>
          <w:tcPr>
            <w:tcW w:w="10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1台</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详见</w:t>
            </w:r>
          </w:p>
          <w:p>
            <w:pPr>
              <w:jc w:val="center"/>
              <w:rPr>
                <w:rFonts w:hint="eastAsia" w:ascii="楷体" w:hAnsi="楷体" w:eastAsia="楷体" w:cs="楷体"/>
                <w:color w:val="auto"/>
                <w:sz w:val="22"/>
                <w:szCs w:val="22"/>
                <w:highlight w:val="none"/>
              </w:rPr>
            </w:pPr>
            <w:r>
              <w:rPr>
                <w:rFonts w:hint="eastAsia" w:ascii="楷体" w:hAnsi="楷体" w:eastAsia="楷体" w:cs="楷体"/>
                <w:color w:val="auto"/>
                <w:sz w:val="22"/>
                <w:szCs w:val="22"/>
                <w:highlight w:val="none"/>
                <w:lang w:val="en-US" w:eastAsia="zh-CN"/>
              </w:rPr>
              <w:t>采购文件</w:t>
            </w:r>
          </w:p>
        </w:tc>
        <w:tc>
          <w:tcPr>
            <w:tcW w:w="1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2,000,000.00</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楷体" w:hAnsi="楷体" w:eastAsia="楷体" w:cs="楷体"/>
                <w:color w:val="auto"/>
                <w:sz w:val="22"/>
                <w:szCs w:val="22"/>
                <w:highlight w:val="none"/>
                <w:lang w:val="en-US" w:eastAsia="zh-CN"/>
              </w:rPr>
            </w:pPr>
            <w:r>
              <w:rPr>
                <w:rFonts w:hint="eastAsia" w:ascii="楷体" w:hAnsi="楷体" w:eastAsia="楷体" w:cs="楷体"/>
                <w:color w:val="auto"/>
                <w:sz w:val="22"/>
                <w:szCs w:val="22"/>
                <w:highlight w:val="none"/>
                <w:lang w:val="en-US" w:eastAsia="zh-CN"/>
              </w:rPr>
              <w:t>2,000,000.00</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合同履行期限：</w:t>
      </w:r>
      <w:r>
        <w:rPr>
          <w:rFonts w:hint="eastAsia" w:ascii="楷体" w:hAnsi="楷体" w:eastAsia="楷体" w:cs="楷体"/>
          <w:i w:val="0"/>
          <w:iCs w:val="0"/>
          <w:caps w:val="0"/>
          <w:color w:val="auto"/>
          <w:spacing w:val="0"/>
          <w:sz w:val="24"/>
          <w:szCs w:val="24"/>
          <w:highlight w:val="none"/>
          <w:lang w:val="en-US" w:eastAsia="zh-CN"/>
        </w:rPr>
        <w:t>3</w:t>
      </w:r>
      <w:r>
        <w:rPr>
          <w:rFonts w:hint="eastAsia" w:ascii="楷体" w:hAnsi="楷体" w:eastAsia="楷体" w:cs="楷体"/>
          <w:i w:val="0"/>
          <w:iCs w:val="0"/>
          <w:caps w:val="0"/>
          <w:color w:val="auto"/>
          <w:spacing w:val="0"/>
          <w:sz w:val="24"/>
          <w:szCs w:val="24"/>
          <w:highlight w:val="none"/>
        </w:rPr>
        <w:t>年（具体服务起止日期可随合同签订时间相应顺延）</w:t>
      </w:r>
    </w:p>
    <w:p>
      <w:pPr>
        <w:pStyle w:val="15"/>
        <w:spacing w:before="0" w:beforeAutospacing="0" w:after="0" w:afterAutospacing="0" w:line="360" w:lineRule="auto"/>
        <w:ind w:firstLine="482" w:firstLineChars="200"/>
        <w:jc w:val="both"/>
        <w:rPr>
          <w:rStyle w:val="20"/>
          <w:rFonts w:hint="eastAsia" w:ascii="楷体" w:hAnsi="楷体" w:eastAsia="楷体" w:cs="楷体"/>
          <w:b/>
          <w:bCs/>
          <w:i w:val="0"/>
          <w:iCs w:val="0"/>
          <w:color w:val="auto"/>
          <w:sz w:val="24"/>
          <w:szCs w:val="24"/>
        </w:rPr>
      </w:pPr>
      <w:r>
        <w:rPr>
          <w:rStyle w:val="20"/>
          <w:rFonts w:hint="eastAsia" w:ascii="楷体" w:hAnsi="楷体" w:eastAsia="楷体" w:cs="楷体"/>
          <w:b/>
          <w:bCs/>
          <w:i w:val="0"/>
          <w:iCs w:val="0"/>
          <w:color w:val="auto"/>
          <w:sz w:val="24"/>
          <w:szCs w:val="24"/>
        </w:rPr>
        <w:t xml:space="preserve">二、投标人的资格要求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合同包1(射频温控热凝器)落实政府采购政策需满足的资格要求如下: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（1）《政府采购促进中小企业发展管理办法》（财库〔2020〕46号）； （2）《财政部司法部关于政府采购支持监狱企业发展有关问题的通知》（财库〔2014〕68号）；（3）《国务院办公厅关于建立政府强制采购节能产品制度的通知》（国办发〔2007〕51号）；（4）《财政部环保总局关于环境标志产品政府采购实施的意见》（财库[2006]90号）； （5）《财政部国家发展改革委关于印发〈节能产品政府采购实施意见〉的通知》（财库〔2004〕185号）； （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陕西省财政厅《关于进一步加强政府绿色采购有关问题的通知》陕财办采〔2021〕29号；（11）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(全自动核型分析工作站)落实政府采购政策需满足的资格要求如下:</w:t>
      </w: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Style w:val="20"/>
          <w:rFonts w:hint="eastAsia" w:ascii="楷体" w:hAnsi="楷体" w:eastAsia="楷体" w:cs="楷体"/>
          <w:b w:val="0"/>
          <w:bCs w:val="0"/>
          <w:i w:val="0"/>
          <w:iCs w:val="0"/>
          <w:color w:val="auto"/>
          <w:sz w:val="24"/>
          <w:szCs w:val="24"/>
          <w:highlight w:val="none"/>
        </w:rPr>
      </w:pPr>
      <w:r>
        <w:rPr>
          <w:rStyle w:val="20"/>
          <w:rFonts w:hint="eastAsia" w:ascii="楷体" w:hAnsi="楷体" w:eastAsia="楷体" w:cs="楷体"/>
          <w:b w:val="0"/>
          <w:bCs w:val="0"/>
          <w:i w:val="0"/>
          <w:iCs w:val="0"/>
          <w:color w:val="auto"/>
          <w:sz w:val="24"/>
          <w:szCs w:val="24"/>
          <w:highlight w:val="none"/>
        </w:rPr>
        <w:t>《政府采购促进中小企业发展管理办法》（财库〔2020〕46号）； （2）《财政部司法部关于政府采购支持监狱企业发展有关问题的通知》（财库〔2014〕68号）；（3）《国务院办公厅关于建立政府强制采购节能产品制度的通知》（国办发〔2007〕51号）；（4）《财政部环保总局关于环境标志产品政府采购实施的意见》（财库[2006]90号）； （5）《财政部国家发展改革委关于印发〈节能产品政府采购实施意见〉的通知》（财库〔2004〕185号）； （6）《三部门联合发布关于促进残疾人就业政府采购政策的通知》（财库〔2017〕141号）； （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陕西省财政厅《关于进一步加强政府绿色采购有关问题的通知》陕财办采〔2021〕29号；（11）其他需要落实的政府采购政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楷体" w:hAnsi="楷体" w:eastAsia="楷体" w:cs="楷体"/>
          <w:color w:val="auto"/>
          <w:sz w:val="24"/>
          <w:szCs w:val="24"/>
          <w:highlight w:val="none"/>
        </w:rPr>
      </w:pPr>
      <w:r>
        <w:rPr>
          <w:rStyle w:val="20"/>
          <w:rFonts w:hint="eastAsia" w:ascii="楷体" w:hAnsi="楷体" w:eastAsia="楷体" w:cs="楷体"/>
          <w:b w:val="0"/>
          <w:bCs w:val="0"/>
          <w:i w:val="0"/>
          <w:iCs w:val="0"/>
          <w:color w:val="auto"/>
          <w:sz w:val="24"/>
          <w:szCs w:val="24"/>
          <w:highlight w:val="none"/>
        </w:rPr>
        <w:t>3、</w:t>
      </w:r>
      <w:r>
        <w:rPr>
          <w:rFonts w:hint="eastAsia" w:ascii="楷体" w:hAnsi="楷体" w:eastAsia="楷体" w:cs="楷体"/>
          <w:i w:val="0"/>
          <w:iCs w:val="0"/>
          <w:caps w:val="0"/>
          <w:color w:val="auto"/>
          <w:spacing w:val="0"/>
          <w:sz w:val="24"/>
          <w:szCs w:val="24"/>
          <w:highlight w:val="none"/>
        </w:rPr>
        <w:t>本项目的特定资格要求：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合同包1(射频温控热凝器)特定资格要求如下:</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lang w:eastAsia="zh-CN"/>
        </w:rPr>
        <w:t>（1）供应商必须是具有独立承担民事责任能力的法人、其他组织或自然人，并出具合法有效的营业执照或事业单位法人证书等国家规定的相关证明，自然人参与的提供其身份证明；（2）法定代表人委托授权书（法定代表人参加不需提供，但需要提供法定代表人身份证）及被授权人身份证；（3）如投标产品属于医疗器械的，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2021年完整的财务审计报告）；（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7）提供参加政府采购活动前三年内，在经营活动中没有重大违法记录书面声明；（8）提供具有履行合同所必需的设备和专业技术能力的承诺书；（9）本项目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rPr>
        <w:t>合同包</w:t>
      </w:r>
      <w:r>
        <w:rPr>
          <w:rFonts w:hint="eastAsia" w:ascii="楷体" w:hAnsi="楷体" w:eastAsia="楷体" w:cs="楷体"/>
          <w:i w:val="0"/>
          <w:iCs w:val="0"/>
          <w:caps w:val="0"/>
          <w:color w:val="auto"/>
          <w:spacing w:val="0"/>
          <w:sz w:val="24"/>
          <w:szCs w:val="24"/>
          <w:highlight w:val="none"/>
          <w:lang w:val="en-US" w:eastAsia="zh-CN"/>
        </w:rPr>
        <w:t>2</w:t>
      </w:r>
      <w:r>
        <w:rPr>
          <w:rFonts w:hint="eastAsia" w:ascii="楷体" w:hAnsi="楷体" w:eastAsia="楷体" w:cs="楷体"/>
          <w:i w:val="0"/>
          <w:iCs w:val="0"/>
          <w:caps w:val="0"/>
          <w:color w:val="auto"/>
          <w:spacing w:val="0"/>
          <w:sz w:val="24"/>
          <w:szCs w:val="24"/>
          <w:highlight w:val="none"/>
        </w:rPr>
        <w:t>(全自动核型分析工作站)特定资格要求如下:</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3）如投标产品属于医疗器械的，提供投标产品的医疗器械注册证或备案凭证、医疗器械生产许可证（投标产品须在生产企业生产范围内），投标供应商的医疗器械经营许可或备案凭证（投标产品须在投标人经营范围内）（4）供应商必须拥有良好的商业信誉（截止开标前三个月内的资信证明或2021年完整的财务审计报告）；（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 （7）提供参加政府采购活动前三年内，在经营活动中没有重大违法记录书面声明；（8）提供具有履行合同所必需的设备和专业技术能力的承诺书；（9）本项目不接受联合体投标。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时间： 2023年01月03日 至 2023年01月09日 ，每天上午 09:00:00 至 12:00:00 ，下午 14:00:00 至 17:00:00 （北京时间）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途径：西安市雁塔区南二环西段154号易和蓝钻23楼西2304（高新路与二环十字东南角大香港酒楼东侧100米红色写字楼，楼西侧电梯直达）</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售价：</w:t>
      </w:r>
      <w:r>
        <w:rPr>
          <w:rFonts w:hint="eastAsia" w:ascii="楷体" w:hAnsi="楷体" w:eastAsia="楷体" w:cs="楷体"/>
          <w:i w:val="0"/>
          <w:iCs w:val="0"/>
          <w:caps w:val="0"/>
          <w:color w:val="auto"/>
          <w:spacing w:val="0"/>
          <w:sz w:val="24"/>
          <w:szCs w:val="24"/>
          <w:highlight w:val="none"/>
          <w:lang w:val="en-US" w:eastAsia="zh-CN"/>
        </w:rPr>
        <w:t>300</w:t>
      </w:r>
      <w:r>
        <w:rPr>
          <w:rFonts w:hint="eastAsia" w:ascii="楷体" w:hAnsi="楷体" w:eastAsia="楷体" w:cs="楷体"/>
          <w:i w:val="0"/>
          <w:iCs w:val="0"/>
          <w:caps w:val="0"/>
          <w:color w:val="auto"/>
          <w:spacing w:val="0"/>
          <w:sz w:val="24"/>
          <w:szCs w:val="24"/>
          <w:highlight w:val="no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时间： 2023年02月07日 09时00分00秒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提交投标文件地点：安康市公共资源交易中心407开标室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20"/>
          <w:rFonts w:hint="eastAsia" w:ascii="楷体" w:hAnsi="楷体" w:eastAsia="楷体" w:cs="楷体"/>
          <w:b w:val="0"/>
          <w:bCs w:val="0"/>
          <w:i w:val="0"/>
          <w:iCs w:val="0"/>
          <w:caps w:val="0"/>
          <w:color w:val="auto"/>
          <w:spacing w:val="0"/>
          <w:sz w:val="24"/>
          <w:szCs w:val="24"/>
          <w:highlight w:val="none"/>
        </w:rPr>
      </w:pPr>
      <w:r>
        <w:rPr>
          <w:rStyle w:val="20"/>
          <w:rFonts w:hint="eastAsia" w:ascii="楷体" w:hAnsi="楷体" w:eastAsia="楷体" w:cs="楷体"/>
          <w:b w:val="0"/>
          <w:bCs w:val="0"/>
          <w:i w:val="0"/>
          <w:iCs w:val="0"/>
          <w:caps w:val="0"/>
          <w:color w:val="auto"/>
          <w:spacing w:val="0"/>
          <w:sz w:val="24"/>
          <w:szCs w:val="24"/>
          <w:highlight w:val="none"/>
        </w:rPr>
        <w:t>开标地点： 安康市公共资源交易中心407开标室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楷体" w:hAnsi="楷体" w:eastAsia="楷体" w:cs="楷体"/>
          <w:b w:val="0"/>
          <w:bCs w:val="0"/>
          <w:color w:val="auto"/>
          <w:sz w:val="24"/>
          <w:szCs w:val="24"/>
          <w:highlight w:val="none"/>
        </w:rPr>
      </w:pPr>
      <w:r>
        <w:rPr>
          <w:rStyle w:val="20"/>
          <w:rFonts w:hint="eastAsia" w:ascii="楷体" w:hAnsi="楷体" w:eastAsia="楷体" w:cs="楷体"/>
          <w:b/>
          <w:bCs/>
          <w:i w:val="0"/>
          <w:iCs w:val="0"/>
          <w:caps w:val="0"/>
          <w:color w:val="auto"/>
          <w:spacing w:val="0"/>
          <w:sz w:val="24"/>
          <w:szCs w:val="24"/>
          <w:highlight w:val="none"/>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注：1）使用捆绑省交易平台的CA锁登录电子交易平台，通过政府采购系统企业端进入，点击我要投标，完善相关投标信息； 2）线下报名缴费：报名成功后持报名回执、介绍信（或授权书）及标书款于中海建国际建设咨询集团有限责任公司西安分公司获取招标文件；3）未完成网上投标成功的或未经采购代理公司缴费确认或未在网站上下载招标文件的，无法完成后续流程。4）本项目采用“不见面开标”方式。不见面开标大厅登录方式为：全国公共资源交易平台（陕西省•安康市）→不见面开标系统。相关操作流程详见全国公共资源交易平台（安康市）网站〖首页•〉服务指南•〉下载专区〗中的《西安公共资源交易不见面开标大厅供应商操作手册》。因供应商自身设施故障或自身原因导致无法完成签到或解密的，由供应商自行承担后果。文件技术支持：4009280095、4009980000。 5）请各投标人购买招标文件后，按照陕西省财政厅《关于政府采供应商注册登记有关事项的通知》要求，通过陕西省政府采购网注册登记加入陕西省政府采购供应商库。售后不退,谢绝邮购。6）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w:t>
      </w:r>
    </w:p>
    <w:p>
      <w:pPr>
        <w:pStyle w:val="15"/>
        <w:spacing w:before="0" w:beforeAutospacing="0" w:after="0" w:afterAutospacing="0" w:line="360" w:lineRule="auto"/>
        <w:ind w:firstLine="482" w:firstLineChars="200"/>
        <w:jc w:val="both"/>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bCs/>
          <w:i w:val="0"/>
          <w:iCs w:val="0"/>
          <w:color w:val="auto"/>
          <w:sz w:val="24"/>
          <w:szCs w:val="24"/>
        </w:rPr>
        <w:t>七、</w:t>
      </w:r>
      <w:r>
        <w:rPr>
          <w:rStyle w:val="20"/>
          <w:rFonts w:hint="eastAsia" w:ascii="楷体" w:hAnsi="楷体" w:eastAsia="楷体" w:cs="楷体"/>
          <w:b/>
          <w:bCs/>
          <w:i w:val="0"/>
          <w:iCs w:val="0"/>
          <w:caps w:val="0"/>
          <w:color w:val="auto"/>
          <w:spacing w:val="0"/>
          <w:sz w:val="24"/>
          <w:szCs w:val="24"/>
          <w:highlight w:val="none"/>
        </w:rPr>
        <w:t>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w:t>
      </w:r>
      <w:r>
        <w:rPr>
          <w:rStyle w:val="20"/>
          <w:rFonts w:hint="eastAsia" w:ascii="楷体" w:hAnsi="楷体" w:eastAsia="楷体" w:cs="楷体"/>
          <w:b w:val="0"/>
          <w:bCs w:val="0"/>
          <w:i w:val="0"/>
          <w:iCs w:val="0"/>
          <w:color w:val="auto"/>
          <w:sz w:val="24"/>
          <w:szCs w:val="24"/>
        </w:rPr>
        <w:t>安康市中心医院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w:t>
      </w:r>
      <w:r>
        <w:rPr>
          <w:rStyle w:val="20"/>
          <w:rFonts w:hint="eastAsia" w:ascii="楷体" w:hAnsi="楷体" w:eastAsia="楷体" w:cs="楷体"/>
          <w:b w:val="0"/>
          <w:bCs w:val="0"/>
          <w:i w:val="0"/>
          <w:iCs w:val="0"/>
          <w:color w:val="auto"/>
          <w:sz w:val="24"/>
          <w:szCs w:val="24"/>
        </w:rPr>
        <w:t>金州南路185号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w:t>
      </w:r>
      <w:r>
        <w:rPr>
          <w:rStyle w:val="20"/>
          <w:rFonts w:hint="eastAsia" w:ascii="楷体" w:hAnsi="楷体" w:eastAsia="楷体" w:cs="楷体"/>
          <w:b w:val="0"/>
          <w:bCs w:val="0"/>
          <w:i w:val="0"/>
          <w:iCs w:val="0"/>
          <w:color w:val="auto"/>
          <w:sz w:val="24"/>
          <w:szCs w:val="24"/>
        </w:rPr>
        <w:t>0915-3284303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名称：中海建国际建设咨询集团有限责任公司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地址：西安市雁塔区南二环西段154号易和蓝钻23楼西</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联系方式：029-88852536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项目联系人：</w:t>
      </w:r>
      <w:r>
        <w:rPr>
          <w:rStyle w:val="20"/>
          <w:rFonts w:hint="eastAsia" w:ascii="楷体" w:hAnsi="楷体" w:eastAsia="楷体" w:cs="楷体"/>
          <w:b w:val="0"/>
          <w:bCs w:val="0"/>
          <w:i w:val="0"/>
          <w:iCs w:val="0"/>
          <w:color w:val="auto"/>
          <w:sz w:val="24"/>
          <w:szCs w:val="24"/>
          <w:lang w:eastAsia="zh-CN"/>
        </w:rPr>
        <w:t>董文剑、</w:t>
      </w:r>
      <w:r>
        <w:rPr>
          <w:rStyle w:val="20"/>
          <w:rFonts w:hint="eastAsia" w:ascii="楷体" w:hAnsi="楷体" w:eastAsia="楷体" w:cs="楷体"/>
          <w:b w:val="0"/>
          <w:bCs w:val="0"/>
          <w:i w:val="0"/>
          <w:iCs w:val="0"/>
          <w:color w:val="auto"/>
          <w:sz w:val="24"/>
          <w:szCs w:val="24"/>
          <w:lang w:val="en-US" w:eastAsia="zh-CN"/>
        </w:rPr>
        <w:t>邓敏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rPr>
        <w:t>电话：</w:t>
      </w:r>
      <w:r>
        <w:rPr>
          <w:rStyle w:val="20"/>
          <w:rFonts w:hint="eastAsia" w:ascii="楷体" w:hAnsi="楷体" w:eastAsia="楷体" w:cs="楷体"/>
          <w:b w:val="0"/>
          <w:bCs w:val="0"/>
          <w:i w:val="0"/>
          <w:iCs w:val="0"/>
          <w:color w:val="auto"/>
          <w:sz w:val="24"/>
          <w:szCs w:val="24"/>
        </w:rPr>
        <w:t>029-88852536-</w:t>
      </w:r>
      <w:r>
        <w:rPr>
          <w:rStyle w:val="20"/>
          <w:rFonts w:hint="eastAsia" w:ascii="楷体" w:hAnsi="楷体" w:eastAsia="楷体" w:cs="楷体"/>
          <w:b w:val="0"/>
          <w:bCs w:val="0"/>
          <w:i w:val="0"/>
          <w:iCs w:val="0"/>
          <w:color w:val="auto"/>
          <w:sz w:val="24"/>
          <w:szCs w:val="24"/>
          <w:lang w:val="en-US" w:eastAsia="zh-CN"/>
        </w:rPr>
        <w:t>6009</w:t>
      </w:r>
    </w:p>
    <w:p>
      <w:pPr>
        <w:pStyle w:val="15"/>
        <w:spacing w:before="0" w:beforeAutospacing="0" w:after="0" w:afterAutospacing="0" w:line="360" w:lineRule="auto"/>
        <w:jc w:val="right"/>
        <w:rPr>
          <w:rStyle w:val="20"/>
          <w:rFonts w:hint="eastAsia" w:ascii="楷体" w:hAnsi="楷体" w:eastAsia="楷体" w:cs="楷体"/>
          <w:b w:val="0"/>
          <w:bCs w:val="0"/>
          <w:i w:val="0"/>
          <w:iCs w:val="0"/>
          <w:color w:val="auto"/>
          <w:sz w:val="24"/>
          <w:szCs w:val="24"/>
        </w:rPr>
      </w:pPr>
      <w:r>
        <w:rPr>
          <w:rStyle w:val="20"/>
          <w:rFonts w:hint="eastAsia" w:ascii="楷体" w:hAnsi="楷体" w:eastAsia="楷体" w:cs="楷体"/>
          <w:b w:val="0"/>
          <w:bCs w:val="0"/>
          <w:i w:val="0"/>
          <w:iCs w:val="0"/>
          <w:color w:val="auto"/>
          <w:sz w:val="24"/>
          <w:szCs w:val="24"/>
        </w:rPr>
        <w:t>中海建国际建设咨询集团有限责任公司</w:t>
      </w:r>
    </w:p>
    <w:p>
      <w:pPr>
        <w:pStyle w:val="15"/>
        <w:spacing w:before="0" w:beforeAutospacing="0" w:after="0" w:afterAutospacing="0" w:line="360" w:lineRule="auto"/>
        <w:ind w:firstLine="5520" w:firstLineChars="2300"/>
        <w:jc w:val="both"/>
        <w:rPr>
          <w:color w:val="auto"/>
          <w:highlight w:val="none"/>
          <w:u w:val="none"/>
        </w:rPr>
      </w:pPr>
      <w:r>
        <w:rPr>
          <w:rStyle w:val="20"/>
          <w:rFonts w:hint="eastAsia" w:ascii="楷体" w:hAnsi="楷体" w:eastAsia="楷体" w:cs="楷体"/>
          <w:b w:val="0"/>
          <w:bCs w:val="0"/>
          <w:i w:val="0"/>
          <w:iCs w:val="0"/>
          <w:color w:val="auto"/>
          <w:sz w:val="24"/>
          <w:szCs w:val="24"/>
          <w:highlight w:val="none"/>
          <w:u w:val="none"/>
          <w:lang w:val="en-US" w:eastAsia="zh-CN"/>
        </w:rPr>
        <w:t xml:space="preserve"> 2022</w:t>
      </w:r>
      <w:r>
        <w:rPr>
          <w:rFonts w:hint="eastAsia" w:ascii="楷体" w:hAnsi="楷体" w:eastAsia="楷体" w:cs="楷体"/>
          <w:i w:val="0"/>
          <w:iCs w:val="0"/>
          <w:caps w:val="0"/>
          <w:color w:val="auto"/>
          <w:spacing w:val="0"/>
          <w:sz w:val="24"/>
          <w:szCs w:val="24"/>
          <w:highlight w:val="none"/>
        </w:rPr>
        <w:t>年</w:t>
      </w:r>
      <w:r>
        <w:rPr>
          <w:rFonts w:hint="eastAsia" w:ascii="楷体" w:hAnsi="楷体" w:eastAsia="楷体" w:cs="楷体"/>
          <w:i w:val="0"/>
          <w:iCs w:val="0"/>
          <w:caps w:val="0"/>
          <w:color w:val="auto"/>
          <w:spacing w:val="0"/>
          <w:sz w:val="24"/>
          <w:szCs w:val="24"/>
          <w:highlight w:val="none"/>
          <w:u w:val="single"/>
          <w:lang w:val="en-US" w:eastAsia="zh-CN"/>
        </w:rPr>
        <w:t>12</w:t>
      </w:r>
      <w:r>
        <w:rPr>
          <w:rFonts w:hint="eastAsia" w:ascii="楷体" w:hAnsi="楷体" w:eastAsia="楷体" w:cs="楷体"/>
          <w:i w:val="0"/>
          <w:iCs w:val="0"/>
          <w:caps w:val="0"/>
          <w:color w:val="auto"/>
          <w:spacing w:val="0"/>
          <w:sz w:val="24"/>
          <w:szCs w:val="24"/>
          <w:highlight w:val="none"/>
        </w:rPr>
        <w:t>月</w:t>
      </w:r>
      <w:r>
        <w:rPr>
          <w:rFonts w:hint="eastAsia" w:ascii="楷体" w:hAnsi="楷体" w:eastAsia="楷体" w:cs="楷体"/>
          <w:i w:val="0"/>
          <w:iCs w:val="0"/>
          <w:caps w:val="0"/>
          <w:color w:val="auto"/>
          <w:spacing w:val="0"/>
          <w:sz w:val="24"/>
          <w:szCs w:val="24"/>
          <w:highlight w:val="none"/>
          <w:u w:val="single"/>
          <w:lang w:val="en-US" w:eastAsia="zh-CN"/>
        </w:rPr>
        <w:t>30</w:t>
      </w:r>
      <w:r>
        <w:rPr>
          <w:rFonts w:hint="eastAsia" w:ascii="楷体" w:hAnsi="楷体" w:eastAsia="楷体" w:cs="楷体"/>
          <w:i w:val="0"/>
          <w:iCs w:val="0"/>
          <w:caps w:val="0"/>
          <w:color w:val="auto"/>
          <w:spacing w:val="0"/>
          <w:sz w:val="24"/>
          <w:szCs w:val="24"/>
          <w:highlight w:val="none"/>
        </w:rPr>
        <w:t>日 </w:t>
      </w:r>
    </w:p>
    <w:p>
      <w:pPr>
        <w:rPr>
          <w:rFonts w:hint="eastAsia" w:ascii="楷体" w:hAnsi="楷体" w:eastAsia="楷体" w:cs="楷体"/>
          <w:color w:val="auto"/>
          <w:sz w:val="36"/>
        </w:rPr>
      </w:pPr>
      <w:bookmarkStart w:id="2" w:name="_Toc85463478"/>
      <w:r>
        <w:rPr>
          <w:rFonts w:hint="eastAsia" w:ascii="楷体" w:hAnsi="楷体" w:eastAsia="楷体" w:cs="楷体"/>
          <w:color w:val="auto"/>
          <w:sz w:val="36"/>
        </w:rPr>
        <w:br w:type="page"/>
      </w:r>
    </w:p>
    <w:p>
      <w:pPr>
        <w:pStyle w:val="3"/>
        <w:spacing w:before="0" w:after="0" w:line="360" w:lineRule="auto"/>
        <w:jc w:val="center"/>
        <w:rPr>
          <w:rFonts w:hint="eastAsia" w:ascii="楷体" w:hAnsi="楷体" w:eastAsia="楷体" w:cs="楷体"/>
          <w:color w:val="auto"/>
          <w:sz w:val="36"/>
        </w:rPr>
      </w:pPr>
      <w:r>
        <w:rPr>
          <w:rFonts w:hint="eastAsia" w:ascii="楷体" w:hAnsi="楷体" w:eastAsia="楷体" w:cs="楷体"/>
          <w:color w:val="auto"/>
          <w:sz w:val="36"/>
        </w:rPr>
        <w:t>第二章 投标人须知</w:t>
      </w:r>
      <w:bookmarkEnd w:id="2"/>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一、投标人须知前附表</w:t>
      </w:r>
      <w:bookmarkEnd w:id="1"/>
    </w:p>
    <w:p>
      <w:pPr>
        <w:rPr>
          <w:rFonts w:hint="eastAsia" w:ascii="楷体" w:hAnsi="楷体" w:eastAsia="楷体" w:cs="楷体"/>
          <w:color w:val="auto"/>
          <w:sz w:val="24"/>
        </w:rPr>
      </w:pPr>
      <w:r>
        <w:rPr>
          <w:rFonts w:hint="eastAsia" w:ascii="楷体" w:hAnsi="楷体" w:eastAsia="楷体" w:cs="楷体"/>
          <w:color w:val="auto"/>
          <w:sz w:val="24"/>
        </w:rPr>
        <w:t>本表是对投标人须知的具体补充和修改，如有矛盾，应以本表为准。</w:t>
      </w:r>
    </w:p>
    <w:tbl>
      <w:tblPr>
        <w:tblStyle w:val="17"/>
        <w:tblW w:w="83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序号</w:t>
            </w:r>
          </w:p>
        </w:tc>
        <w:tc>
          <w:tcPr>
            <w:tcW w:w="7483"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1</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采购单位：安康市中心医院</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地址：金州南路185号</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联系方式：0915-328</w:t>
            </w:r>
            <w:r>
              <w:rPr>
                <w:rFonts w:hint="eastAsia" w:ascii="楷体" w:hAnsi="楷体" w:eastAsia="楷体" w:cs="楷体"/>
                <w:color w:val="auto"/>
                <w:sz w:val="24"/>
                <w:lang w:val="en-US" w:eastAsia="zh-CN"/>
              </w:rPr>
              <w:t>4099</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丁</w:t>
            </w:r>
            <w:r>
              <w:rPr>
                <w:rFonts w:hint="eastAsia" w:ascii="楷体" w:hAnsi="楷体" w:eastAsia="楷体" w:cs="楷体"/>
                <w:color w:val="auto"/>
                <w:sz w:val="24"/>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采购代理机构：中海建国际建设咨询集团有限责任公司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地址：西安市雁塔区二环南路西段154号易和蓝钻23楼西</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eastAsia="zh-CN"/>
              </w:rPr>
            </w:pPr>
            <w:r>
              <w:rPr>
                <w:rFonts w:hint="eastAsia" w:ascii="楷体" w:hAnsi="楷体" w:eastAsia="楷体" w:cs="楷体"/>
                <w:color w:val="auto"/>
                <w:sz w:val="24"/>
              </w:rPr>
              <w:t>联系方式：029-88852536-60</w:t>
            </w:r>
            <w:r>
              <w:rPr>
                <w:rFonts w:hint="eastAsia" w:ascii="楷体" w:hAnsi="楷体" w:eastAsia="楷体" w:cs="楷体"/>
                <w:color w:val="auto"/>
                <w:sz w:val="24"/>
                <w:lang w:val="en-US" w:eastAsia="zh-CN"/>
              </w:rPr>
              <w:t>09</w:t>
            </w:r>
          </w:p>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rPr>
            </w:pPr>
            <w:r>
              <w:rPr>
                <w:rFonts w:hint="eastAsia" w:ascii="楷体" w:hAnsi="楷体" w:eastAsia="楷体" w:cs="楷体"/>
                <w:color w:val="auto"/>
                <w:sz w:val="24"/>
              </w:rPr>
              <w:t>联系人：</w:t>
            </w:r>
            <w:r>
              <w:rPr>
                <w:rFonts w:hint="eastAsia" w:ascii="楷体" w:hAnsi="楷体" w:eastAsia="楷体" w:cs="楷体"/>
                <w:color w:val="auto"/>
                <w:sz w:val="24"/>
                <w:lang w:val="en-US" w:eastAsia="zh-CN"/>
              </w:rPr>
              <w:t>董文剑、邓敏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val="0"/>
                <w:color w:val="auto"/>
                <w:sz w:val="24"/>
                <w:szCs w:val="24"/>
              </w:rPr>
              <w:t>项目名称：全自动核型分析工作站等医疗设备采购项目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lang w:val="en-US" w:eastAsia="zh-CN"/>
              </w:rPr>
              <w:t>本标段</w:t>
            </w:r>
            <w:r>
              <w:rPr>
                <w:rFonts w:hint="eastAsia" w:ascii="楷体" w:hAnsi="楷体" w:eastAsia="楷体" w:cs="楷体"/>
                <w:color w:val="auto"/>
                <w:sz w:val="24"/>
                <w:highlight w:val="none"/>
              </w:rPr>
              <w:t>项目预</w:t>
            </w:r>
            <w:r>
              <w:rPr>
                <w:rFonts w:hint="eastAsia" w:ascii="楷体" w:hAnsi="楷体" w:eastAsia="楷体" w:cs="楷体"/>
                <w:b w:val="0"/>
                <w:color w:val="auto"/>
                <w:sz w:val="24"/>
                <w:szCs w:val="24"/>
              </w:rPr>
              <w:t>算金额：</w:t>
            </w:r>
            <w:r>
              <w:rPr>
                <w:rFonts w:hint="eastAsia" w:ascii="楷体" w:hAnsi="楷体" w:eastAsia="楷体" w:cs="楷体"/>
                <w:b w:val="0"/>
                <w:color w:val="auto"/>
                <w:sz w:val="24"/>
                <w:szCs w:val="24"/>
                <w:lang w:val="en-US" w:eastAsia="zh-CN"/>
              </w:rPr>
              <w:t>人民币40万元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5</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val="0"/>
                <w:color w:val="auto"/>
                <w:sz w:val="24"/>
                <w:szCs w:val="24"/>
                <w:lang w:val="en-US" w:eastAsia="zh-CN"/>
              </w:rPr>
            </w:pPr>
            <w:r>
              <w:rPr>
                <w:rFonts w:hint="eastAsia" w:ascii="楷体" w:hAnsi="楷体" w:eastAsia="楷体" w:cs="楷体"/>
                <w:color w:val="auto"/>
                <w:sz w:val="24"/>
              </w:rPr>
              <w:t>采购内容：射频温控热凝器</w:t>
            </w:r>
            <w:r>
              <w:rPr>
                <w:rFonts w:hint="eastAsia" w:ascii="楷体" w:hAnsi="楷体" w:eastAsia="楷体" w:cs="楷体"/>
                <w:b w:val="0"/>
                <w:color w:val="auto"/>
                <w:sz w:val="24"/>
                <w:szCs w:val="24"/>
                <w:lang w:val="en-US" w:eastAsia="zh-CN"/>
              </w:rPr>
              <w:t xml:space="preserve"> </w:t>
            </w:r>
          </w:p>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eastAsia="zh-CN"/>
              </w:rPr>
            </w:pPr>
            <w:r>
              <w:rPr>
                <w:rFonts w:hint="eastAsia" w:ascii="楷体" w:hAnsi="楷体" w:eastAsia="楷体" w:cs="楷体"/>
                <w:b w:val="0"/>
                <w:color w:val="auto"/>
                <w:sz w:val="24"/>
                <w:szCs w:val="24"/>
                <w:lang w:val="en-US" w:eastAsia="zh-CN"/>
              </w:rPr>
              <w:t>数量：1台（具体内容详见采购清单）</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rPr>
            </w:pPr>
            <w:r>
              <w:rPr>
                <w:rFonts w:hint="eastAsia" w:ascii="楷体" w:hAnsi="楷体" w:eastAsia="楷体" w:cs="楷体"/>
                <w:b/>
                <w:bCs/>
                <w:color w:val="auto"/>
                <w:sz w:val="24"/>
              </w:rPr>
              <w:t>（投标报价不得超过采购预算，否则视为无效投标。）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6</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交货期：乙方于合同签订的</w:t>
            </w:r>
            <w:r>
              <w:rPr>
                <w:rFonts w:hint="eastAsia" w:ascii="楷体" w:hAnsi="楷体" w:eastAsia="楷体" w:cs="楷体"/>
                <w:color w:val="auto"/>
                <w:sz w:val="24"/>
                <w:highlight w:val="none"/>
                <w:lang w:val="en-US" w:eastAsia="zh-CN"/>
              </w:rPr>
              <w:t>30</w:t>
            </w:r>
            <w:r>
              <w:rPr>
                <w:rFonts w:hint="eastAsia" w:ascii="楷体" w:hAnsi="楷体" w:eastAsia="楷体" w:cs="楷体"/>
                <w:color w:val="auto"/>
                <w:sz w:val="24"/>
                <w:highlight w:val="none"/>
              </w:rPr>
              <w:t>个</w:t>
            </w:r>
            <w:r>
              <w:rPr>
                <w:rFonts w:hint="eastAsia" w:ascii="楷体" w:hAnsi="楷体" w:eastAsia="楷体" w:cs="楷体"/>
                <w:color w:val="auto"/>
                <w:sz w:val="24"/>
                <w:highlight w:val="none"/>
                <w:lang w:val="en-US" w:eastAsia="zh-CN"/>
              </w:rPr>
              <w:t>日历</w:t>
            </w:r>
            <w:r>
              <w:rPr>
                <w:rFonts w:hint="eastAsia" w:ascii="楷体" w:hAnsi="楷体" w:eastAsia="楷体" w:cs="楷体"/>
                <w:color w:val="auto"/>
                <w:sz w:val="24"/>
                <w:highlight w:val="none"/>
              </w:rPr>
              <w:t>日内完成所有的供货；在具备安装条件之后，于</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个工作日内完成所有设备的安装、调试工作。</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交货地点：安康市中心医院指定地点。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供应商资格要求：</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lang w:eastAsia="zh-CN"/>
              </w:rPr>
              <w:t>）供应商必须是具有独立承担民事责任能力的法人、其他组织或自然人，并出具合法有效的营业执照或事业单位法人证书等国家规定的相关证明，自然人参与的提供其身份证明； </w:t>
            </w:r>
          </w:p>
          <w:p>
            <w:pPr>
              <w:pageBreakBefore w:val="0"/>
              <w:numPr>
                <w:ilvl w:val="0"/>
                <w:numId w:val="3"/>
              </w:numPr>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lang w:eastAsia="zh-CN"/>
              </w:rPr>
              <w:t>法定代表人委托授权书（法定代表人参加不需提供，但需要提供法定代表人身份证）及被授权人身份证；</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3）如投标产品属于医疗器械的，提供投标产品的医疗器械注册证或备案凭证、医疗器械生产许可证（投标产品须在生产企业生产范围内），投标供应商的医疗器械经营许可或备案凭证（投标产品须在投标人经营范围内）；</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（4）供应商必须拥有良好的商业信誉（截止开标前三个月内的资信证明或2021年完整的财务审计报告）； </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（5）提供投标截止日前一年内已缴纳的至少三个月的纳税证明或完税证明（任意税种），依法免税的单位应提供相关证明材料；</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（6）提供投标截止日前一年内已缴存的至少三个月的社会保障资金缴存单据或社保机构开具的社会保险参保缴费情况证明，依法不需要缴纳社会保障资金的单位应提供相关证明材料； </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（7）提供参加政府采购活动前三年内，在经营活动中没有重大违法记录书面声明；</w:t>
            </w:r>
          </w:p>
          <w:p>
            <w:pPr>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lang w:eastAsia="zh-CN"/>
              </w:rPr>
              <w:t>（8）提供具有履行合同所必需的设备和专业技术能力的承诺书；</w:t>
            </w:r>
            <w:r>
              <w:rPr>
                <w:rFonts w:hint="eastAsia" w:ascii="楷体" w:hAnsi="楷体" w:eastAsia="楷体" w:cs="楷体"/>
                <w:color w:val="auto"/>
                <w:sz w:val="24"/>
                <w:lang w:eastAsia="zh-CN"/>
              </w:rPr>
              <w:br w:type="textWrapping"/>
            </w:r>
            <w:r>
              <w:rPr>
                <w:rFonts w:hint="eastAsia" w:ascii="楷体" w:hAnsi="楷体" w:eastAsia="楷体" w:cs="楷体"/>
                <w:color w:val="auto"/>
                <w:sz w:val="24"/>
                <w:lang w:eastAsia="zh-CN"/>
              </w:rPr>
              <w:t>（9）本项目不接受联合体投标。</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备注：以上资格条件为必备资格条件，缺一项或某项达不到要求，按无效文件处理。</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1、分支机构参与投标时，投标文件中应附法人出具的授权书。法人只能授权一家分支机构参与投标，且不能与分支机构同时参与投标。分支机构须提供自己的资格要求证明文件。</w:t>
            </w:r>
          </w:p>
          <w:p>
            <w:pPr>
              <w:spacing w:line="360" w:lineRule="auto"/>
              <w:jc w:val="left"/>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2、事业单位法人参与投标可不提供财务状况报告、社会保障资金缴纳证明及税收缴纳证明。 </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b/>
                <w:bCs/>
                <w:color w:val="auto"/>
                <w:sz w:val="21"/>
                <w:szCs w:val="21"/>
              </w:rPr>
              <w:t>3、单位负责人为同一人或存在直接控股、管理关系的不同单位，不得参加本项目投标活动。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8</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Cs w:val="21"/>
                <w:u w:val="single"/>
              </w:rPr>
            </w:pPr>
            <w:r>
              <w:rPr>
                <w:rFonts w:hint="eastAsia" w:ascii="楷体" w:hAnsi="楷体" w:eastAsia="楷体" w:cs="楷体"/>
                <w:color w:val="auto"/>
                <w:sz w:val="24"/>
                <w:highlight w:val="none"/>
              </w:rPr>
              <w:t>本项目以上传电子文件为准，</w:t>
            </w:r>
            <w:r>
              <w:rPr>
                <w:rFonts w:hint="eastAsia" w:ascii="楷体" w:hAnsi="楷体" w:eastAsia="楷体" w:cs="楷体"/>
                <w:sz w:val="24"/>
              </w:rPr>
              <w:t>纸质版文档</w:t>
            </w:r>
            <w:r>
              <w:rPr>
                <w:rFonts w:hint="eastAsia" w:ascii="楷体" w:hAnsi="楷体" w:eastAsia="楷体" w:cs="楷体"/>
                <w:sz w:val="24"/>
                <w:lang w:eastAsia="zh-CN"/>
              </w:rPr>
              <w:t>（</w:t>
            </w:r>
            <w:r>
              <w:rPr>
                <w:rFonts w:hint="eastAsia" w:ascii="楷体" w:hAnsi="楷体" w:eastAsia="楷体" w:cs="楷体"/>
                <w:sz w:val="24"/>
                <w:lang w:val="en-US" w:eastAsia="zh-CN"/>
              </w:rPr>
              <w:t>资料归档使用</w:t>
            </w:r>
            <w:r>
              <w:rPr>
                <w:rFonts w:hint="eastAsia" w:ascii="楷体" w:hAnsi="楷体" w:eastAsia="楷体" w:cs="楷体"/>
                <w:sz w:val="24"/>
                <w:lang w:eastAsia="zh-CN"/>
              </w:rPr>
              <w:t>）</w:t>
            </w:r>
            <w:r>
              <w:rPr>
                <w:rFonts w:hint="eastAsia" w:ascii="楷体" w:hAnsi="楷体" w:eastAsia="楷体" w:cs="楷体"/>
                <w:sz w:val="24"/>
              </w:rPr>
              <w:t>：正本一套，副本</w:t>
            </w:r>
            <w:r>
              <w:rPr>
                <w:rFonts w:hint="eastAsia" w:ascii="楷体" w:hAnsi="楷体" w:eastAsia="楷体" w:cs="楷体"/>
                <w:sz w:val="24"/>
                <w:lang w:val="en-US" w:eastAsia="zh-CN"/>
              </w:rPr>
              <w:t>一</w:t>
            </w:r>
            <w:r>
              <w:rPr>
                <w:rFonts w:hint="eastAsia" w:ascii="楷体" w:hAnsi="楷体" w:eastAsia="楷体" w:cs="楷体"/>
                <w:sz w:val="24"/>
              </w:rPr>
              <w:t>套，开标后</w:t>
            </w:r>
            <w:r>
              <w:rPr>
                <w:rFonts w:hint="eastAsia" w:ascii="楷体" w:hAnsi="楷体" w:eastAsia="楷体" w:cs="楷体"/>
                <w:sz w:val="24"/>
                <w:lang w:val="en-US" w:eastAsia="zh-CN"/>
              </w:rPr>
              <w:t>三</w:t>
            </w:r>
            <w:r>
              <w:rPr>
                <w:rFonts w:hint="eastAsia" w:ascii="楷体" w:hAnsi="楷体" w:eastAsia="楷体" w:cs="楷体"/>
                <w:sz w:val="24"/>
              </w:rPr>
              <w:t>个工作日内</w:t>
            </w:r>
            <w:r>
              <w:rPr>
                <w:rFonts w:hint="eastAsia" w:ascii="楷体" w:hAnsi="楷体" w:eastAsia="楷体" w:cs="楷体"/>
                <w:b/>
                <w:bCs/>
                <w:sz w:val="24"/>
              </w:rPr>
              <w:t>所有参与本项目的供应商</w:t>
            </w:r>
            <w:r>
              <w:rPr>
                <w:rFonts w:hint="eastAsia" w:ascii="楷体" w:hAnsi="楷体" w:eastAsia="楷体" w:cs="楷体"/>
                <w:sz w:val="24"/>
              </w:rPr>
              <w:t>需将投标文件</w:t>
            </w:r>
            <w:r>
              <w:rPr>
                <w:rFonts w:hint="eastAsia" w:ascii="楷体" w:hAnsi="楷体" w:eastAsia="楷体" w:cs="楷体"/>
                <w:sz w:val="24"/>
                <w:lang w:val="en-US" w:eastAsia="zh-CN"/>
              </w:rPr>
              <w:t>邮寄</w:t>
            </w:r>
            <w:r>
              <w:rPr>
                <w:rFonts w:hint="eastAsia" w:ascii="楷体" w:hAnsi="楷体" w:eastAsia="楷体" w:cs="楷体"/>
                <w:sz w:val="24"/>
              </w:rPr>
              <w:t>至中海建国际建设咨询集团有限责任公司（</w:t>
            </w:r>
            <w:r>
              <w:rPr>
                <w:rFonts w:hint="eastAsia" w:ascii="楷体" w:hAnsi="楷体" w:eastAsia="楷体" w:cs="楷体"/>
                <w:sz w:val="24"/>
                <w:lang w:val="en-US" w:eastAsia="zh-CN"/>
              </w:rPr>
              <w:t>地址：</w:t>
            </w:r>
            <w:r>
              <w:rPr>
                <w:rFonts w:hint="eastAsia" w:ascii="楷体" w:hAnsi="楷体" w:eastAsia="楷体" w:cs="楷体"/>
                <w:sz w:val="24"/>
              </w:rPr>
              <w:t>西安市二环南路西段154号易和蓝钻西侧23楼</w:t>
            </w:r>
            <w:r>
              <w:rPr>
                <w:rFonts w:hint="eastAsia" w:ascii="楷体" w:hAnsi="楷体" w:eastAsia="楷体" w:cs="楷体"/>
                <w:sz w:val="24"/>
                <w:lang w:eastAsia="zh-CN"/>
              </w:rPr>
              <w:t>，</w:t>
            </w:r>
            <w:r>
              <w:rPr>
                <w:rFonts w:hint="eastAsia" w:ascii="楷体" w:hAnsi="楷体" w:eastAsia="楷体" w:cs="楷体"/>
                <w:sz w:val="24"/>
                <w:lang w:val="en-US" w:eastAsia="zh-CN"/>
              </w:rPr>
              <w:t>联系人：邓敏</w:t>
            </w:r>
            <w:r>
              <w:rPr>
                <w:rFonts w:hint="eastAsia" w:ascii="楷体" w:hAnsi="楷体" w:eastAsia="楷体" w:cs="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9</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投标保证金：本项目不缴纳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10</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投标有效期：自开标之日起</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11</w:t>
            </w:r>
          </w:p>
        </w:tc>
        <w:tc>
          <w:tcPr>
            <w:tcW w:w="7483" w:type="dxa"/>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是否为专门面向中小企业采购：否</w:t>
            </w:r>
            <w:r>
              <w:rPr>
                <w:rFonts w:hint="eastAsia" w:ascii="楷体" w:hAnsi="楷体" w:eastAsia="楷体" w:cs="楷体"/>
                <w:color w:val="auto"/>
                <w:sz w:val="24"/>
                <w:highlight w:val="none"/>
                <w:lang w:eastAsia="zh-CN"/>
              </w:rPr>
              <w:t>，本项目所属行业为：</w:t>
            </w:r>
            <w:r>
              <w:rPr>
                <w:rFonts w:hint="eastAsia" w:ascii="楷体" w:hAnsi="楷体" w:eastAsia="楷体" w:cs="楷体"/>
                <w:color w:val="auto"/>
                <w:sz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12</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是否</w:t>
            </w:r>
            <w:r>
              <w:rPr>
                <w:rFonts w:hint="eastAsia" w:ascii="楷体" w:hAnsi="楷体" w:eastAsia="楷体" w:cs="楷体"/>
                <w:color w:val="auto"/>
                <w:sz w:val="24"/>
                <w:highlight w:val="none"/>
                <w:lang w:val="en-US" w:eastAsia="zh-CN"/>
              </w:rPr>
              <w:t>允许进口产品投标：否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13</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default" w:ascii="楷体" w:hAnsi="楷体" w:eastAsia="楷体" w:cs="楷体"/>
                <w:color w:val="auto"/>
                <w:sz w:val="24"/>
                <w:lang w:val="en-US"/>
              </w:rPr>
            </w:pPr>
            <w:r>
              <w:rPr>
                <w:rFonts w:hint="eastAsia" w:ascii="楷体" w:hAnsi="楷体" w:eastAsia="楷体" w:cs="楷体"/>
                <w:color w:val="auto"/>
                <w:sz w:val="24"/>
              </w:rPr>
              <w:t>是否允许联合体投标：</w:t>
            </w:r>
            <w:r>
              <w:rPr>
                <w:rFonts w:hint="eastAsia" w:ascii="楷体" w:hAnsi="楷体" w:eastAsia="楷体" w:cs="楷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14</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0"/>
                <w:sz w:val="24"/>
                <w:szCs w:val="18"/>
                <w:highlight w:val="none"/>
                <w:lang w:val="en-US" w:eastAsia="zh-CN" w:bidi="ar-SA"/>
              </w:rPr>
            </w:pPr>
            <w:r>
              <w:rPr>
                <w:rFonts w:hint="eastAsia" w:ascii="楷体" w:hAnsi="楷体" w:eastAsia="楷体" w:cs="楷体"/>
                <w:color w:val="auto"/>
                <w:kern w:val="0"/>
                <w:sz w:val="24"/>
                <w:szCs w:val="18"/>
                <w:highlight w:val="none"/>
              </w:rPr>
              <w:t>15</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投标截止时间</w:t>
            </w:r>
            <w:r>
              <w:rPr>
                <w:rFonts w:hint="eastAsia" w:ascii="楷体" w:hAnsi="楷体" w:eastAsia="楷体" w:cs="楷体"/>
                <w:color w:val="auto"/>
                <w:sz w:val="24"/>
                <w:highlight w:val="none"/>
                <w:lang w:val="en-US" w:eastAsia="zh-CN"/>
              </w:rPr>
              <w:t xml:space="preserve">:2023-02-07 </w:t>
            </w:r>
            <w:r>
              <w:rPr>
                <w:rFonts w:hint="eastAsia" w:ascii="楷体" w:hAnsi="楷体" w:eastAsia="楷体" w:cs="楷体"/>
                <w:color w:val="auto"/>
                <w:sz w:val="24"/>
                <w:highlight w:val="none"/>
                <w:u w:val="single"/>
                <w:lang w:val="en-US" w:eastAsia="zh-CN"/>
              </w:rPr>
              <w:t>09</w:t>
            </w:r>
            <w:r>
              <w:rPr>
                <w:rFonts w:hint="eastAsia" w:ascii="楷体" w:hAnsi="楷体" w:eastAsia="楷体" w:cs="楷体"/>
                <w:color w:val="auto"/>
                <w:sz w:val="24"/>
                <w:highlight w:val="none"/>
                <w:lang w:val="en-US" w:eastAsia="zh-CN"/>
              </w:rPr>
              <w:t>:</w:t>
            </w:r>
            <w:r>
              <w:rPr>
                <w:rFonts w:hint="eastAsia" w:ascii="楷体" w:hAnsi="楷体" w:eastAsia="楷体" w:cs="楷体"/>
                <w:color w:val="auto"/>
                <w:sz w:val="24"/>
                <w:highlight w:val="none"/>
                <w:u w:val="single"/>
                <w:lang w:val="en-US" w:eastAsia="zh-CN"/>
              </w:rPr>
              <w:t>00</w:t>
            </w:r>
            <w:r>
              <w:rPr>
                <w:rFonts w:hint="eastAsia" w:ascii="楷体" w:hAnsi="楷体" w:eastAsia="楷体" w:cs="楷体"/>
                <w:color w:val="auto"/>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highlight w:val="none"/>
              </w:rPr>
              <w:t>16</w:t>
            </w:r>
          </w:p>
        </w:tc>
        <w:tc>
          <w:tcPr>
            <w:tcW w:w="7483" w:type="dxa"/>
            <w:noWrap w:val="0"/>
            <w:vAlign w:val="center"/>
          </w:tcPr>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lang w:val="en-US" w:eastAsia="zh-CN"/>
              </w:rPr>
              <w:t xml:space="preserve">2023-02-07 </w:t>
            </w:r>
            <w:r>
              <w:rPr>
                <w:rFonts w:hint="eastAsia" w:ascii="楷体" w:hAnsi="楷体" w:eastAsia="楷体" w:cs="楷体"/>
                <w:color w:val="auto"/>
                <w:sz w:val="24"/>
                <w:highlight w:val="none"/>
                <w:u w:val="single"/>
                <w:lang w:val="en-US" w:eastAsia="zh-CN"/>
              </w:rPr>
              <w:t>09</w:t>
            </w:r>
            <w:r>
              <w:rPr>
                <w:rFonts w:hint="eastAsia" w:ascii="楷体" w:hAnsi="楷体" w:eastAsia="楷体" w:cs="楷体"/>
                <w:color w:val="auto"/>
                <w:sz w:val="24"/>
                <w:highlight w:val="none"/>
                <w:lang w:val="en-US" w:eastAsia="zh-CN"/>
              </w:rPr>
              <w:t>:</w:t>
            </w:r>
            <w:r>
              <w:rPr>
                <w:rFonts w:hint="eastAsia" w:ascii="楷体" w:hAnsi="楷体" w:eastAsia="楷体" w:cs="楷体"/>
                <w:color w:val="auto"/>
                <w:sz w:val="24"/>
                <w:highlight w:val="none"/>
                <w:u w:val="single"/>
                <w:lang w:val="en-US" w:eastAsia="zh-CN"/>
              </w:rPr>
              <w:t>00</w:t>
            </w:r>
            <w:r>
              <w:rPr>
                <w:rFonts w:hint="eastAsia" w:ascii="楷体" w:hAnsi="楷体" w:eastAsia="楷体" w:cs="楷体"/>
                <w:color w:val="auto"/>
                <w:sz w:val="24"/>
                <w:highlight w:val="none"/>
                <w:lang w:val="en-US" w:eastAsia="zh-CN"/>
              </w:rPr>
              <w:t>:00</w:t>
            </w:r>
          </w:p>
          <w:p>
            <w:pPr>
              <w:pStyle w:val="15"/>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开标地点：安康市公共资源交易中心</w:t>
            </w:r>
            <w:r>
              <w:rPr>
                <w:rFonts w:hint="eastAsia" w:ascii="楷体" w:hAnsi="楷体" w:eastAsia="楷体" w:cs="楷体"/>
                <w:color w:val="auto"/>
                <w:sz w:val="24"/>
                <w:highlight w:val="none"/>
                <w:u w:val="single"/>
                <w:lang w:val="en-US" w:eastAsia="zh-CN"/>
              </w:rPr>
              <w:t>407</w:t>
            </w:r>
            <w:r>
              <w:rPr>
                <w:rFonts w:hint="eastAsia" w:ascii="楷体" w:hAnsi="楷体" w:eastAsia="楷体" w:cs="楷体"/>
                <w:color w:val="auto"/>
                <w:sz w:val="24"/>
                <w:highlight w:val="non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17</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招标代理服务费由中标人支付：</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eastAsia="zh-CN"/>
              </w:rPr>
            </w:pPr>
            <w:r>
              <w:rPr>
                <w:rFonts w:hint="eastAsia" w:ascii="楷体" w:hAnsi="楷体" w:eastAsia="楷体" w:cs="楷体"/>
                <w:color w:val="auto"/>
                <w:sz w:val="24"/>
              </w:rPr>
              <w:t>参照原国家计委计价格【2002】1980号文和国家发改委发改办价格【2003】857号文的计算方法（按标段）收取，中标单位的招标代理服务费交纳信息</w:t>
            </w:r>
            <w:r>
              <w:rPr>
                <w:rFonts w:hint="eastAsia" w:ascii="楷体" w:hAnsi="楷体" w:eastAsia="楷体" w:cs="楷体"/>
                <w:color w:val="auto"/>
                <w:sz w:val="24"/>
                <w:lang w:eastAsia="zh-CN"/>
              </w:rPr>
              <w:t>：</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银行户名：中海建国际建设咨询集团有限责任公司西安分公司</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开户银行：西安银行高新支行</w:t>
            </w:r>
          </w:p>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rPr>
            </w:pPr>
            <w:r>
              <w:rPr>
                <w:rFonts w:hint="eastAsia" w:ascii="楷体" w:hAnsi="楷体" w:eastAsia="楷体" w:cs="楷体"/>
                <w:color w:val="auto"/>
                <w:sz w:val="24"/>
              </w:rPr>
              <w:t>账    号：9010 1151 0000 0774 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6" w:type="dxa"/>
            <w:noWrap w:val="0"/>
            <w:vAlign w:val="center"/>
          </w:tcPr>
          <w:p>
            <w:pPr>
              <w:pageBreakBefore w:val="0"/>
              <w:kinsoku/>
              <w:wordWrap/>
              <w:overflowPunct/>
              <w:topLinePunct w:val="0"/>
              <w:autoSpaceDE/>
              <w:autoSpaceDN/>
              <w:bidi w:val="0"/>
              <w:adjustRightInd/>
              <w:snapToGrid/>
              <w:spacing w:line="440" w:lineRule="exact"/>
              <w:jc w:val="center"/>
              <w:textAlignment w:val="auto"/>
              <w:rPr>
                <w:rFonts w:hint="default" w:ascii="楷体" w:hAnsi="楷体" w:eastAsia="楷体" w:cs="楷体"/>
                <w:color w:val="auto"/>
                <w:sz w:val="24"/>
                <w:lang w:val="en-US" w:eastAsia="zh-CN"/>
              </w:rPr>
            </w:pPr>
            <w:r>
              <w:rPr>
                <w:rFonts w:hint="eastAsia" w:ascii="楷体" w:hAnsi="楷体" w:eastAsia="楷体" w:cs="楷体"/>
                <w:color w:val="auto"/>
                <w:sz w:val="24"/>
                <w:lang w:val="en-US" w:eastAsia="zh-CN"/>
              </w:rPr>
              <w:t>18</w:t>
            </w:r>
          </w:p>
        </w:tc>
        <w:tc>
          <w:tcPr>
            <w:tcW w:w="7483" w:type="dxa"/>
            <w:noWrap w:val="0"/>
            <w:vAlign w:val="center"/>
          </w:tcPr>
          <w:p>
            <w:pPr>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color w:val="auto"/>
                <w:sz w:val="24"/>
                <w:lang w:val="en-US" w:eastAsia="zh-CN"/>
              </w:rPr>
            </w:pPr>
            <w:r>
              <w:rPr>
                <w:rFonts w:hint="eastAsia" w:ascii="楷体" w:hAnsi="楷体" w:eastAsia="楷体" w:cs="楷体"/>
                <w:color w:val="auto"/>
                <w:sz w:val="24"/>
              </w:rPr>
              <w:t>需要补充的其他内容：</w:t>
            </w:r>
            <w:r>
              <w:rPr>
                <w:rFonts w:hint="eastAsia" w:ascii="楷体" w:hAnsi="楷体" w:eastAsia="楷体" w:cs="楷体"/>
                <w:color w:val="auto"/>
                <w:sz w:val="24"/>
                <w:lang w:val="en-US" w:eastAsia="zh-CN"/>
              </w:rPr>
              <w:t>/</w:t>
            </w:r>
          </w:p>
        </w:tc>
      </w:tr>
    </w:tbl>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一、总则</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1.1招标项目概况</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1.1.1根据《中华人民共和国政府采购法》、《中华人民共和国政府采购法实施条例》等有关法律、法规和规章的规定，本招标项目已具备招标条件，现进行招标。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1.1.2采购单位：见投标人须知前附表。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1.1.3采购代理机构：见投标人须知前附表。</w:t>
      </w:r>
    </w:p>
    <w:p>
      <w:pPr>
        <w:tabs>
          <w:tab w:val="left" w:pos="1740"/>
        </w:tabs>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1.1.4 投标人：是指响应招标、参加投标竞争的法人、其他组织或者自然人。潜在投标人：以招标文件规定的方式获取本项目招标文件的法人、其他组织或者自然人。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1.1.5项目名称：见投标人须知前附表。</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1.2项目采购内容</w:t>
      </w:r>
    </w:p>
    <w:p>
      <w:pPr>
        <w:spacing w:line="360" w:lineRule="auto"/>
        <w:ind w:firstLine="480" w:firstLineChars="200"/>
        <w:rPr>
          <w:rFonts w:hint="default" w:ascii="楷体" w:hAnsi="楷体" w:eastAsia="楷体" w:cs="楷体"/>
          <w:color w:val="auto"/>
          <w:sz w:val="24"/>
          <w:lang w:val="en-US"/>
        </w:rPr>
      </w:pPr>
      <w:r>
        <w:rPr>
          <w:rFonts w:hint="eastAsia" w:ascii="楷体" w:hAnsi="楷体" w:eastAsia="楷体" w:cs="楷体"/>
          <w:color w:val="auto"/>
          <w:sz w:val="24"/>
        </w:rPr>
        <w:t>招标内容：射频温控热凝器</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1.3交货期、交货地点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1.3.1交货期：见投标人须知前附表。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1.3.2交货地点：见投标人须知前附表。</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1.4投标人资格要求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1.4.1投标人应具备承担本项目资格条件：见投标须知前附表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1.4.2本项目不接受联合体投标。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如投标须知前附表中允许联合体投标，对联合体规定如下：</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①两个及以上供应商可以组成一个投标联合体，以一个投标人的身份投标。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②联合体各方均应符合本须知规定。</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③采购人根据采购项目对投标人的特殊要求，联合体中至少应当有一方符合相关规定。</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④联合体各方应签订共同投标协议，明确约定联合体各方承担的工作和相应的责任，并将共同投标协议作为投标文件第一部分的内容提交。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⑤大中型企业、其他自然人、法人或者其他组织与小型、微型企业组成联合体共同参加投标，共同投标协议中应写明小型、微型企业的协议合同金额占到共同投标协议投标总金额的比例。</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⑥以联合体形式参加政府采购活动的，联合体各方不得再单独参加或者与其他供应商另外组成联合体参加本项目同一合同项下的投标，否则相关投标将被认定为投标无效。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1.4.3</w:t>
      </w:r>
      <w:r>
        <w:rPr>
          <w:rFonts w:hint="eastAsia" w:ascii="楷体" w:hAnsi="楷体" w:eastAsia="楷体" w:cs="楷体"/>
          <w:color w:val="auto"/>
          <w:sz w:val="24"/>
        </w:rPr>
        <w:tab/>
      </w:r>
      <w:r>
        <w:rPr>
          <w:rFonts w:hint="eastAsia" w:ascii="楷体" w:hAnsi="楷体" w:eastAsia="楷体" w:cs="楷体"/>
          <w:color w:val="auto"/>
          <w:sz w:val="24"/>
        </w:rPr>
        <w:t>投标人不得存在下列情形之一：</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（1）与招标人存在利害关系且可能影响招标公正性；</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（2）与本招标项目的其他投标人为同一个单位负责人；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（3）与本招标项目的其他投标人存在控股、管理关系；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（4）为本招标项目提供过设计、编制技术规范和其他文件的咨询服务；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（5）被责令停产停业、暂扣或者吊销许可证、暂扣或者吊销执照；</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（6）法律法规或投标人须知前附表规定的其他情形。</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1.5费用承担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投标人准备和参加投标活动发生的费用自理。</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1.6保密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参与招标投标活动的各方应对招标文件和投标文件中的商业和技术等秘密保密，否则应承担相应的法律责任。</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1.7语言文字</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招标投标文件使用的语言文字为中文。专用术语使用外文的，应附有中文注释。</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1.8计量单位</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所有计量均采用中华人民共和国法定计量单位。</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1.9投标预备会及踏勘现场：不组织</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1.10分包：不允许</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1.10.1</w:t>
      </w:r>
      <w:r>
        <w:rPr>
          <w:rFonts w:hint="eastAsia" w:ascii="楷体" w:hAnsi="楷体" w:eastAsia="楷体" w:cs="楷体"/>
          <w:color w:val="auto"/>
          <w:sz w:val="24"/>
        </w:rPr>
        <w:tab/>
      </w:r>
      <w:r>
        <w:rPr>
          <w:rFonts w:hint="eastAsia" w:ascii="楷体" w:hAnsi="楷体" w:eastAsia="楷体" w:cs="楷体"/>
          <w:color w:val="auto"/>
          <w:sz w:val="24"/>
        </w:rPr>
        <w:t>投标人拟在中标后将中标项目的非主体设备进行分包的，应符合投标人须知前附表规定的分包内容、分包金额和资质要求等限制性条件，除投标人须知前附表规定的非主体设备外，其他工作不得分包。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1.10.2</w:t>
      </w:r>
      <w:r>
        <w:rPr>
          <w:rFonts w:hint="eastAsia" w:ascii="楷体" w:hAnsi="楷体" w:eastAsia="楷体" w:cs="楷体"/>
          <w:color w:val="auto"/>
          <w:sz w:val="24"/>
        </w:rPr>
        <w:tab/>
      </w:r>
      <w:r>
        <w:rPr>
          <w:rFonts w:hint="eastAsia" w:ascii="楷体" w:hAnsi="楷体" w:eastAsia="楷体" w:cs="楷体"/>
          <w:color w:val="auto"/>
          <w:sz w:val="24"/>
        </w:rPr>
        <w:t>中标人不得向他人转让中标项目，接受分包的人不得再次分包。中标人应当就分包项目向招标人负责，接受分包的人就分包项目承担连带责任。</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1.11响应和偏差</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1.11.1</w:t>
      </w:r>
      <w:r>
        <w:rPr>
          <w:rFonts w:hint="eastAsia" w:ascii="楷体" w:hAnsi="楷体" w:eastAsia="楷体" w:cs="楷体"/>
          <w:color w:val="auto"/>
          <w:sz w:val="24"/>
        </w:rPr>
        <w:tab/>
      </w:r>
      <w:r>
        <w:rPr>
          <w:rFonts w:hint="eastAsia" w:ascii="楷体" w:hAnsi="楷体" w:eastAsia="楷体" w:cs="楷体"/>
          <w:color w:val="auto"/>
          <w:sz w:val="24"/>
        </w:rPr>
        <w:t>投标人应根据招标文件的要求提供投标设备技术性能指标的详细描述、技术支持资料及技术服务和质保期服务计划等内容以对招标文件作出响应。</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1.11.2</w:t>
      </w:r>
      <w:r>
        <w:rPr>
          <w:rFonts w:hint="eastAsia" w:ascii="楷体" w:hAnsi="楷体" w:eastAsia="楷体" w:cs="楷体"/>
          <w:color w:val="auto"/>
          <w:sz w:val="24"/>
        </w:rPr>
        <w:tab/>
      </w:r>
      <w:r>
        <w:rPr>
          <w:rFonts w:hint="eastAsia" w:ascii="楷体" w:hAnsi="楷体" w:eastAsia="楷体" w:cs="楷体"/>
          <w:color w:val="auto"/>
          <w:sz w:val="24"/>
        </w:rPr>
        <w:t>投标文件中应针对实质性要求和条件中列明的技术要求提供技术支持资料。技术支持资料以制造商公开发布的印刷资料，或检测机构出具的检测报告或其他形式为准。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1.11.3</w:t>
      </w:r>
      <w:r>
        <w:rPr>
          <w:rFonts w:hint="eastAsia" w:ascii="楷体" w:hAnsi="楷体" w:eastAsia="楷体" w:cs="楷体"/>
          <w:color w:val="auto"/>
          <w:sz w:val="24"/>
        </w:rPr>
        <w:tab/>
      </w:r>
      <w:r>
        <w:rPr>
          <w:rFonts w:hint="eastAsia" w:ascii="楷体" w:hAnsi="楷体" w:eastAsia="楷体" w:cs="楷体"/>
          <w:color w:val="auto"/>
          <w:sz w:val="24"/>
        </w:rPr>
        <w:t>投标文件对招标文件的全部偏差，均应在投标文件的商务和技术偏差表中列明。</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二、招标文件</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2.1招标文件的组成</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本招标文件包括：</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（1）招标公告（或投标邀请书）；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（2）投标人须知；</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（3）商务条款及合同格式；</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（4）用户需求书；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（5）投标文件格式；</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（6）评标办法；</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投标人应认真阅读招标文件所有的事项、格式、条款和技术规范等。如投标人没有按照招标文件要求提交全部资料，或者投标文件没有对招标文件的实质性要求做出响应，其投标将被认定为投标无效。</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2.2招标文件的澄清与修改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2.2.1提交投标文件截止时间前，采购人、招标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2.2.2投标人若对招标文件有任何疑问要求澄清，投标人在投标截止时间5日前，可致电或以书面形式向采购代理机构提出，招标代理机构以予以答复，在此之后提出的无效，因此带来的一切不利后果由投标人自负。</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2.2.4在投标截止时间前，根据招标工作进展实际情况，采购人可酌情延长递交投标文件的截止时间，若延长将另行以书面形式通知各投标人。招标代理机构和投标人的权利和义务将受到新的截止期的约束。</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2.2.5投标人必须从采购代理机构购买招标文件，投标人自行转让或复制招标文件视为无效。</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2.3招标文件的质疑</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投标人认为招标文件、招标过程和中标结果使自己的权益受到损害的，可以根据《中华人民共和国政府采购法》、中华人民共和国财政部令第94号《政府采购质疑和投诉办法》的有关规定，依法向采购人或其委托的采购代理机构提出质疑。</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2.3.2质疑供应商应按照《政府采购质疑函范本》格式（财政部官方网站下载）和《政府采购质疑和投诉办法》的要求，在法定质疑期内以书面形式提出质疑，针对同一采购程序环节的质疑应一次性提出。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超出法定质疑期提交的质疑将被拒绝。</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2.3.3供应商提交质疑函的要求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2.3.3.1 供应商提出质疑时，应提交质疑函和必要的证明材料。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2.3.3.2 质疑供应商若委托代理人进行质疑的，质疑函应按要求列明“授权代表”的有关内容，并在附件中提交由质疑供应商签署的授权委托书。授权委托书应载明代理人的姓名、代理事项、具体权限、期限和相关事项。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2.3.3.3 质疑供应商若对项目的某一分包进行质疑，质疑函中应列明具体分包号。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2.3.3.4 质疑函的质疑请求应与质疑事项相关。</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2.3.3.5 质疑函的质疑事项应具体、明确，并有必要的事实依据。</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2.3.3.6 质疑供应商为自然人的，质疑函应由本人签字，质疑供应商为法人或其他组织的，质疑函应由法定代表人、主要负责人，或者其授权代表签字或盖章，并加盖公章。授权代表签字的需提供相应的授权书。</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三、投标文件</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3.1投标文件的组成</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3.1.1 投标文件应包括下列内容：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（1）投标函；</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（2）法定代表人（单位负责人）身份证明或授权委托书；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（3）投标报价表（开标一览表）；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（4）分项报价表；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（5）商务和技术偏离表；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（6）资格审查资料；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（7）投标设备技术性能指标的详细描述；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（8）技术支持资料；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（9）售后服务、及培训计划承诺书；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（10）投标人提供的其他资料；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投标人在评标过程中作出的符合法律法规和招标文件规定的澄清确认，构成投标文件的组成部分。</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3.2投标报价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3.2.1 投标报价应包括国家规定的增值税税金，除投标人须知前附表另有规定外，增值税税金按一般计税方法计算。。</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3.2.2 投标人应充分了解该项目的总体情况以及影响投标报价的其他要素。</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3.2.3 投标报价为各分项报价金额之和，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3.2.4 招标人设有最高投标限价的，投标人的投标报价不得超过最高投标限价，最高投标限价在投标人须知前附表中载明。</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3.2.5 投标报价的其他要求:</w:t>
      </w:r>
      <w:r>
        <w:rPr>
          <w:rFonts w:hint="eastAsia" w:ascii="楷体" w:hAnsi="楷体" w:eastAsia="楷体" w:cs="楷体"/>
          <w:color w:val="auto"/>
        </w:rPr>
        <w:t xml:space="preserve"> </w:t>
      </w:r>
      <w:r>
        <w:rPr>
          <w:rFonts w:hint="eastAsia" w:ascii="楷体" w:hAnsi="楷体" w:eastAsia="楷体" w:cs="楷体"/>
          <w:color w:val="auto"/>
          <w:kern w:val="0"/>
          <w:sz w:val="24"/>
        </w:rPr>
        <w:t>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color w:val="auto"/>
          <w:kern w:val="0"/>
          <w:sz w:val="24"/>
        </w:rPr>
        <w:t>相关费用</w:t>
      </w:r>
      <w:r>
        <w:rPr>
          <w:rFonts w:hint="eastAsia" w:ascii="楷体" w:hAnsi="楷体" w:eastAsia="楷体" w:cs="楷体"/>
          <w:color w:val="auto"/>
          <w:kern w:val="0"/>
          <w:sz w:val="24"/>
        </w:rPr>
        <w:t>及不可预见费等完成本招标内容所需的一切费用。</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3.3投标有效期</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3.3.1投标有效期为提交投标文件截止</w:t>
      </w:r>
      <w:r>
        <w:rPr>
          <w:rFonts w:hint="eastAsia" w:ascii="楷体" w:hAnsi="楷体" w:eastAsia="楷体" w:cs="楷体"/>
          <w:color w:val="auto"/>
          <w:sz w:val="24"/>
          <w:highlight w:val="none"/>
        </w:rPr>
        <w:t>之日起</w:t>
      </w:r>
      <w:r>
        <w:rPr>
          <w:rFonts w:hint="eastAsia" w:ascii="楷体" w:hAnsi="楷体" w:eastAsia="楷体" w:cs="楷体"/>
          <w:color w:val="auto"/>
          <w:sz w:val="24"/>
          <w:highlight w:val="none"/>
          <w:lang w:val="en-US" w:eastAsia="zh-CN"/>
        </w:rPr>
        <w:t>90</w:t>
      </w:r>
      <w:r>
        <w:rPr>
          <w:rFonts w:hint="eastAsia" w:ascii="楷体" w:hAnsi="楷体" w:eastAsia="楷体" w:cs="楷体"/>
          <w:color w:val="auto"/>
          <w:sz w:val="24"/>
          <w:highlight w:val="none"/>
        </w:rPr>
        <w:t>个日历日，投标应在投标有效期内保持有效。投标有效期不满足要求的投标，其投标将被</w:t>
      </w:r>
      <w:r>
        <w:rPr>
          <w:rFonts w:hint="eastAsia" w:ascii="楷体" w:hAnsi="楷体" w:eastAsia="楷体" w:cs="楷体"/>
          <w:color w:val="auto"/>
          <w:sz w:val="24"/>
        </w:rPr>
        <w:t>认定为投标无效。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82" w:firstLineChars="200"/>
        <w:rPr>
          <w:rFonts w:hint="eastAsia" w:ascii="楷体" w:hAnsi="楷体" w:eastAsia="楷体" w:cs="楷体"/>
          <w:color w:val="auto"/>
          <w:sz w:val="24"/>
          <w:lang w:eastAsia="zh-CN"/>
        </w:rPr>
      </w:pPr>
      <w:r>
        <w:rPr>
          <w:rFonts w:hint="eastAsia" w:ascii="楷体" w:hAnsi="楷体" w:eastAsia="楷体" w:cs="楷体"/>
          <w:b/>
          <w:color w:val="auto"/>
          <w:sz w:val="24"/>
        </w:rPr>
        <w:t>3</w:t>
      </w:r>
      <w:r>
        <w:rPr>
          <w:rFonts w:hint="eastAsia" w:ascii="楷体" w:hAnsi="楷体" w:eastAsia="楷体" w:cs="楷体"/>
          <w:b/>
          <w:color w:val="auto"/>
          <w:sz w:val="24"/>
          <w:lang w:eastAsia="zh-CN"/>
        </w:rPr>
        <w:t>.</w:t>
      </w:r>
      <w:r>
        <w:rPr>
          <w:rFonts w:hint="eastAsia" w:ascii="楷体" w:hAnsi="楷体" w:eastAsia="楷体" w:cs="楷体"/>
          <w:b/>
          <w:color w:val="auto"/>
          <w:sz w:val="24"/>
          <w:highlight w:val="none"/>
        </w:rPr>
        <w:t>4投标保证金:本项目不缴纳.</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3.5 投标文件的编制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3.5.1电子投标文件（*.SXSTF）需要使用专用制作软件——“新点投标文件制作软件（陕西公共资源）”进行编制。软件下载地址及操作手册：见</w:t>
      </w:r>
      <w:r>
        <w:rPr>
          <w:rFonts w:hint="eastAsia" w:ascii="楷体" w:hAnsi="楷体" w:eastAsia="楷体" w:cs="楷体"/>
          <w:bCs/>
          <w:color w:val="auto"/>
          <w:sz w:val="24"/>
          <w:highlight w:val="none"/>
          <w:lang w:eastAsia="zh-CN"/>
        </w:rPr>
        <w:t>安康</w:t>
      </w:r>
      <w:r>
        <w:rPr>
          <w:rFonts w:hint="eastAsia" w:ascii="楷体" w:hAnsi="楷体" w:eastAsia="楷体" w:cs="楷体"/>
          <w:bCs/>
          <w:color w:val="auto"/>
          <w:sz w:val="24"/>
          <w:highlight w:val="none"/>
        </w:rPr>
        <w:t>市公共资源交易平台〖首页〉服务指南〉下载专区〗中的《政府采购项目投标文件制作软件及操作手册》。</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链接地址：</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fldChar w:fldCharType="begin"/>
      </w:r>
      <w:r>
        <w:rPr>
          <w:rFonts w:hint="eastAsia" w:ascii="楷体" w:hAnsi="楷体" w:eastAsia="楷体" w:cs="楷体"/>
          <w:bCs/>
          <w:color w:val="auto"/>
          <w:sz w:val="24"/>
          <w:highlight w:val="none"/>
        </w:rPr>
        <w:instrText xml:space="preserve"> HYPERLINK "http://sxggzyjy.xa.gov.cn/fwzn/004003/20181115/4d59c184-e8f6-4d5a-a416-c2f6b0601e66.html" </w:instrText>
      </w:r>
      <w:r>
        <w:rPr>
          <w:rFonts w:hint="eastAsia" w:ascii="楷体" w:hAnsi="楷体" w:eastAsia="楷体" w:cs="楷体"/>
          <w:bCs/>
          <w:color w:val="auto"/>
          <w:sz w:val="24"/>
          <w:highlight w:val="none"/>
        </w:rPr>
        <w:fldChar w:fldCharType="separate"/>
      </w:r>
      <w:r>
        <w:rPr>
          <w:rFonts w:hint="eastAsia" w:ascii="楷体" w:hAnsi="楷体" w:eastAsia="楷体" w:cs="楷体"/>
          <w:bCs/>
          <w:color w:val="auto"/>
          <w:sz w:val="24"/>
          <w:highlight w:val="none"/>
        </w:rPr>
        <w:t>http://sxggzyjy.xa.gov.cn/fwzn/004003/20181115/4d59c184-e8f6-4d5a-a416-c2f6b0601e66.html</w:t>
      </w:r>
      <w:r>
        <w:rPr>
          <w:rFonts w:hint="eastAsia" w:ascii="楷体" w:hAnsi="楷体" w:eastAsia="楷体" w:cs="楷体"/>
          <w:bCs/>
          <w:color w:val="auto"/>
          <w:sz w:val="24"/>
          <w:highlight w:val="none"/>
        </w:rPr>
        <w:fldChar w:fldCharType="end"/>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3.5.3电子投标文件制作过程中，需要法定代表人签字或盖章的地方，请使用“法人CA锁”进行签章；需要加盖供应商公章的地方，请使用“企业CA锁”进行签章。</w:t>
      </w:r>
    </w:p>
    <w:p>
      <w:pPr>
        <w:spacing w:line="360" w:lineRule="auto"/>
        <w:ind w:firstLine="480" w:firstLineChars="200"/>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2" w:firstLineChars="20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rPr>
        <w:t>3.6、</w:t>
      </w:r>
      <w:r>
        <w:rPr>
          <w:rFonts w:hint="eastAsia" w:ascii="楷体" w:hAnsi="楷体" w:eastAsia="楷体" w:cs="楷体"/>
          <w:b/>
          <w:color w:val="auto"/>
          <w:sz w:val="24"/>
          <w:highlight w:val="none"/>
        </w:rPr>
        <w:t>投标文件的加密和提交</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3.6.1在生成电子投标文件时，需要使用CA锁对投标文件进行加密。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注意：加密投标文件和开标时解密投标文件应当使用同一CA，否则将会导致解密失败。</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3.6.2电子投标文件可于提交投标文件截止时间前任意时段，登录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市公共资源交易平台〖首页·〉电子交易平台·〉企业端〗，登录后切换到〖我的项目〗模块下，依次点选〖项目流程·〉项目管理·〉上传响应文件〗，上传加密后的电子投标文件（*.SXSTF）。上传成功后，</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市公共资源交易平台政府采购系统将予以记录。</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3.6.3上传文件有误或需要重新提交的，可先撤销已经上传的文件，然后重新上传新文件。</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3.7、投标文件的补充、修改和撤回</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3.7.2供应商在提交投标文件截止时间后，撤回投标文件的，投标保证金不予退还。</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3.7.3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3.8、关于投标文件的雷同性分析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若“文件创建标识码”一致，则表示不同投标供应商使用投标文件制作软件时，使用同一源工程文件，该情形建议由评标委员会结合项目情况综合判定。</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3.9、投标文件被拒绝接收的情形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3.9.1误投的或采用旧版电子招标文件制作的；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3.9.2逾期提交电子投标文件的。</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3.10供应商投标流程</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使用电子交易系统的采购项目（即线上项目），将同时提供WORD\PDF格式（仅用于预览）和SXSZF格式（用于制作电子投标文件）两个版本，文件内容一致。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1．预览采购文件：打开</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市公共资源交易平台〖首页•〉交易大厅•〉政府采购〗栏目，下载和阅读本项目采购文件的预览版本（WORD\PDF格式）；</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2．办理注册登记（针对初次使用电子交易系统的用户）：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（1）办理诚信入库注册：在决定参加本项目采购活动后，供应商应先在</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市公共资源交易平台上完成“诚信入库登记”；</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办理须知：</w:t>
      </w:r>
      <w:r>
        <w:rPr>
          <w:rFonts w:ascii="楷体" w:hAnsi="楷体" w:eastAsia="楷体" w:cs="楷体"/>
          <w:color w:val="auto"/>
          <w:sz w:val="24"/>
          <w:highlight w:val="none"/>
        </w:rPr>
        <w:t>http://www.snca.com.cn/channel/show/27.html</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（3）绑定和激活CA：将数字证书与诚信库中的供应商账户进行绑定。</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3．下载电子招标文件：供应商应登录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4．制作电子投标文件：需要使用专用制作软件“新点投 标文件制作软件（陕西公共资源）”进行编制，编制完成后使用CA锁对电子投标文件进行签章、加密。详见本章中的“投标文件”相关内容。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5．提交电子投标文件：在提交投标文件截止时间前及时提交加密后电子投标文件，逾期提交的，系统将会拒收；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rPr>
          <w:rFonts w:hint="eastAsia" w:ascii="楷体" w:hAnsi="楷体" w:eastAsia="楷体" w:cs="楷体"/>
          <w:b/>
          <w:bCs/>
          <w:color w:val="auto"/>
          <w:sz w:val="24"/>
        </w:rPr>
      </w:pPr>
      <w:r>
        <w:rPr>
          <w:rFonts w:hint="eastAsia" w:ascii="楷体" w:hAnsi="楷体" w:eastAsia="楷体" w:cs="楷体"/>
          <w:color w:val="auto"/>
          <w:sz w:val="24"/>
          <w:highlight w:val="none"/>
        </w:rPr>
        <w:t>8．中标供应商注册：按照陕西省政府采购监管部门的要求，采购代理机构在发布中标公告前，应由中标供应商在陕西省政府采购网上完成注册。</w:t>
      </w:r>
    </w:p>
    <w:p>
      <w:pPr>
        <w:spacing w:line="36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rPr>
        <w:t>四、投标</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4.</w:t>
      </w:r>
      <w:r>
        <w:rPr>
          <w:rFonts w:hint="eastAsia" w:ascii="楷体" w:hAnsi="楷体" w:eastAsia="楷体" w:cs="楷体"/>
          <w:b/>
          <w:color w:val="auto"/>
          <w:sz w:val="24"/>
          <w:lang w:val="en-US" w:eastAsia="zh-CN"/>
        </w:rPr>
        <w:t>1</w:t>
      </w:r>
      <w:r>
        <w:rPr>
          <w:rFonts w:hint="eastAsia" w:ascii="楷体" w:hAnsi="楷体" w:eastAsia="楷体" w:cs="楷体"/>
          <w:b/>
          <w:color w:val="auto"/>
          <w:sz w:val="24"/>
        </w:rPr>
        <w:t>投标文件的递交</w:t>
      </w:r>
    </w:p>
    <w:p>
      <w:pPr>
        <w:spacing w:line="36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五、开标</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开标工作由采购代理机构组织实施，整个过程受同级政府采购监管机构的监督、管理。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“不见面开标”是依托政府采购云平台实现的供应商在线参与开标的一种组织形式。供应商无需抵达开标现场，即可在线实现开标、解密、澄清等操作。</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1．供应商签到：开标前，请各供应商至少提前半小时登录</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市公共资源交易平台〖首页</w:t>
      </w:r>
      <w:r>
        <w:rPr>
          <w:rFonts w:hint="eastAsia" w:ascii="宋体" w:hAnsi="宋体" w:cs="宋体"/>
          <w:color w:val="auto"/>
          <w:sz w:val="24"/>
          <w:highlight w:val="none"/>
        </w:rPr>
        <w:t>•</w:t>
      </w:r>
      <w:r>
        <w:rPr>
          <w:rFonts w:hint="eastAsia" w:ascii="楷体" w:hAnsi="楷体" w:eastAsia="楷体" w:cs="楷体"/>
          <w:color w:val="auto"/>
          <w:sz w:val="24"/>
          <w:highlight w:val="none"/>
        </w:rPr>
        <w:t>〉不见面开标〗系统。</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2．主持人宣布开标：提交投标文件截止时间过后，系统将不再接收任何投标文件。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3．解密投标文件：供应商在收到主持人“开始解密”指令后，应使用“加密该投标文件的CA锁（必须是同一把锁）”在线完成投标文件解密。除因【</w:t>
      </w:r>
      <w:r>
        <w:rPr>
          <w:rFonts w:hint="eastAsia" w:ascii="楷体" w:hAnsi="楷体" w:eastAsia="楷体" w:cs="楷体"/>
          <w:color w:val="auto"/>
          <w:sz w:val="24"/>
          <w:highlight w:val="none"/>
          <w:lang w:eastAsia="zh-CN"/>
        </w:rPr>
        <w:t>安康</w:t>
      </w:r>
      <w:r>
        <w:rPr>
          <w:rFonts w:hint="eastAsia" w:ascii="楷体" w:hAnsi="楷体" w:eastAsia="楷体" w:cs="楷体"/>
          <w:color w:val="auto"/>
          <w:sz w:val="24"/>
          <w:highlight w:val="none"/>
        </w:rPr>
        <w:t>市公共资源交易中心】断电、断网、系统故障及其他不可抗力等因素，导致“不见面开标”系统无法正常运行外，供应商应在规定的解密时间内完成解密。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4．唱标：对于公开招标项目，“不见面开标”系统将自动展示供应商名单及其投标报价。</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5．开标结束：进入评审环节。供应商请保持在线，评审期间评标委员会可能会要求供应商做相应的澄清。因供应商擅自离席造成的不利后果，由供应商自行承担。</w:t>
      </w:r>
    </w:p>
    <w:p>
      <w:pPr>
        <w:pStyle w:val="10"/>
        <w:ind w:left="0" w:leftChars="0" w:firstLine="480" w:firstLineChars="200"/>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6、无效情形：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1．供应商放弃或拒绝对电子投标文件进行解密的；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2．因供应商自身原因，导致未在规定的解密时限内完整解密的，如忘带CA锁、或携带的CA锁与加密文件的CA锁不同、或使用旧版招标文件编制投标文件等情形；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3．上传的电子投标文件无法正常打开的；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4．政府采购法律法规规定的其他无效情形。</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六、评标</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6.1评标原则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评标活动遵循公平、公正、科学和择优的原则。</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6.2评标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评标委员会按照第六章“评标办法”规定的方法、评审因素、标准和程序对投标文件进行评审。第六章“评标办法”没有规定的方法、评审因素和标准，不作为评标依据。</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七、合同授予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7.1定标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7.1.1评标委员会依据评标办法，经过初审、澄清、比较与评价等程序后，在最大限度满足招标文件实质性要求前提下进行综合评审，以评标总得分最高到低的顺序推荐3名以上中标候选人，并编写评标报告。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7.1.2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7.1.3采购代理机构应当自评审结束之日起2个工作日内将评审报告送交采购人。采购人在收到评审报告5个工作日内，从评审报告推荐的中标候选人中，确定中标人，向采购代理机构出具《定标复函》；逾期未确定中标单位且不提出异议的，视为确定评标报告推荐的评标得分最高的投标人为中标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7.1.4采购代理机构接到的《定标复函》后，在2个工作日内，将中标结果在陕西省政府采购网上进行公告。</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7.2发出中标通知书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中标人确定后，采购人或者采购代理机构发布中标公告。在公告中标结果的同时，向中标人发出中标通知书，中标通知书是合同的组成部分。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7.3告知招标结果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在公告中标结果的同时，告知未通过资格审查投标人未通过的原因；采用综合评分法评审的，还将告知未中标人本人的评审得分和排序。</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7.4签订合同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7.4.1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7.4.2 发出中标通知书后，招标人无正当理由拒签合同，或者在签订合同时向中标人提出附加条件的，招标人向中标人退还投标保证金；给中标人造成损失的，还应当赔偿损失。</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7.4.3 联合体中标的，联合体各方应当共同与招标人签订合同，就中标项目向招标人承担连带责任。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7.4.4当出现法规规定的中标无效或中标结果无效情形时，采购人可与排名下一位的中标候选人另行签订合同，或依法重新开展采购活动。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7.4.5采购人需追加与合同标的相同的货物、工程或服务的，在不改变合同其他条款的前提下，可以与中标人协商签订补充合同，但所有补充合同的采购金额不得超过原合同采购金额的百分之十。</w:t>
      </w:r>
    </w:p>
    <w:p>
      <w:pPr>
        <w:spacing w:line="360" w:lineRule="auto"/>
        <w:ind w:firstLine="480" w:firstLineChars="200"/>
        <w:rPr>
          <w:rFonts w:hint="default" w:ascii="楷体" w:hAnsi="楷体" w:eastAsia="楷体" w:cs="楷体"/>
          <w:color w:val="auto"/>
          <w:sz w:val="24"/>
          <w:lang w:val="en-US" w:eastAsia="zh-CN"/>
        </w:rPr>
      </w:pPr>
      <w:r>
        <w:rPr>
          <w:rFonts w:hint="eastAsia" w:ascii="楷体" w:hAnsi="楷体" w:eastAsia="楷体" w:cs="楷体"/>
          <w:color w:val="auto"/>
          <w:sz w:val="24"/>
        </w:rPr>
        <w:t>7.5履约保证金</w:t>
      </w: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八、纪律与监督</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8.1 对招标人的纪律要求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招标人不得泄露招标投标活动中应当保密的情况和资料，不得与投标人串通损害国家利益、社会公共利益或者他人合法权益。</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8.2 对投标人的纪律要求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8.3 对评标委员会成员的纪律要求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8.4 对与评标活动有关的工作人员的纪律要求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九、招标代理服务费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经协商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代理服务费由中标单位在领取中标通知书前，向中海建国际建设咨询集团有限责任公司支付。</w:t>
      </w:r>
    </w:p>
    <w:p>
      <w:pPr>
        <w:spacing w:line="360" w:lineRule="auto"/>
        <w:ind w:firstLine="480" w:firstLineChars="200"/>
        <w:rPr>
          <w:rFonts w:hint="eastAsia" w:ascii="楷体" w:hAnsi="楷体" w:eastAsia="楷体" w:cs="楷体"/>
          <w:b/>
          <w:bCs/>
          <w:color w:val="auto"/>
          <w:sz w:val="24"/>
        </w:rPr>
      </w:pPr>
      <w:r>
        <w:rPr>
          <w:rFonts w:hint="eastAsia" w:ascii="楷体" w:hAnsi="楷体" w:eastAsia="楷体" w:cs="楷体"/>
          <w:color w:val="auto"/>
          <w:sz w:val="24"/>
        </w:rPr>
        <w:t>2、招标服务费应采用转账、刷卡、现金形式缴纳，不得用投标保证金冲抵。</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rPr>
          <w:rFonts w:hint="eastAsia" w:ascii="楷体" w:hAnsi="楷体" w:eastAsia="楷体" w:cs="楷体"/>
          <w:color w:val="auto"/>
          <w:sz w:val="36"/>
        </w:rPr>
      </w:pPr>
      <w:bookmarkStart w:id="3" w:name="_Toc85463479"/>
      <w:r>
        <w:rPr>
          <w:rFonts w:hint="eastAsia" w:ascii="楷体" w:hAnsi="楷体" w:eastAsia="楷体" w:cs="楷体"/>
          <w:color w:val="auto"/>
          <w:sz w:val="36"/>
        </w:rPr>
        <w:br w:type="page"/>
      </w:r>
    </w:p>
    <w:p>
      <w:pPr>
        <w:pStyle w:val="3"/>
        <w:spacing w:line="360" w:lineRule="auto"/>
        <w:jc w:val="center"/>
        <w:rPr>
          <w:rFonts w:hint="eastAsia" w:ascii="楷体" w:hAnsi="楷体" w:eastAsia="楷体" w:cs="楷体"/>
          <w:color w:val="auto"/>
          <w:sz w:val="36"/>
        </w:rPr>
      </w:pPr>
      <w:r>
        <w:rPr>
          <w:rFonts w:hint="eastAsia" w:ascii="楷体" w:hAnsi="楷体" w:eastAsia="楷体" w:cs="楷体"/>
          <w:color w:val="auto"/>
          <w:sz w:val="36"/>
        </w:rPr>
        <w:t>第三章  商务部分（合同条款及合同格式）</w:t>
      </w:r>
      <w:bookmarkEnd w:id="3"/>
    </w:p>
    <w:p>
      <w:pPr>
        <w:spacing w:line="360" w:lineRule="auto"/>
        <w:ind w:firstLine="420" w:firstLineChars="200"/>
        <w:rPr>
          <w:rFonts w:hint="eastAsia" w:ascii="楷体" w:hAnsi="楷体" w:eastAsia="楷体" w:cs="楷体"/>
          <w:bCs/>
          <w:color w:val="auto"/>
        </w:rPr>
      </w:pPr>
      <w:r>
        <w:rPr>
          <w:rFonts w:hint="eastAsia" w:ascii="楷体" w:hAnsi="楷体" w:eastAsia="楷体" w:cs="楷体"/>
          <w:bCs/>
          <w:color w:val="auto"/>
        </w:rPr>
        <w:t>（说明：本合同作为合同的基本格式，不作为最终合同，甲方有权在签订合同时对合同的相关条款及内容作进一步的细化和修改。）</w:t>
      </w:r>
    </w:p>
    <w:p>
      <w:pPr>
        <w:widowControl/>
        <w:spacing w:before="156" w:beforeLines="50" w:after="156" w:afterLines="50" w:line="360" w:lineRule="auto"/>
        <w:ind w:firstLine="482" w:firstLineChars="200"/>
        <w:jc w:val="left"/>
        <w:rPr>
          <w:rFonts w:hint="eastAsia" w:ascii="楷体" w:hAnsi="楷体" w:eastAsia="楷体" w:cs="楷体"/>
          <w:b/>
          <w:bCs/>
          <w:color w:val="auto"/>
          <w:sz w:val="24"/>
        </w:rPr>
      </w:pPr>
      <w:r>
        <w:rPr>
          <w:rFonts w:hint="eastAsia" w:ascii="楷体" w:hAnsi="楷体" w:eastAsia="楷体" w:cs="楷体"/>
          <w:b/>
          <w:bCs/>
          <w:color w:val="auto"/>
          <w:sz w:val="24"/>
        </w:rPr>
        <w:t>一、</w:t>
      </w:r>
      <w:bookmarkStart w:id="4" w:name="_Toc427681333"/>
      <w:bookmarkEnd w:id="4"/>
      <w:r>
        <w:rPr>
          <w:rFonts w:hint="eastAsia" w:ascii="楷体" w:hAnsi="楷体" w:eastAsia="楷体" w:cs="楷体"/>
          <w:b/>
          <w:bCs/>
          <w:color w:val="auto"/>
          <w:sz w:val="24"/>
        </w:rPr>
        <w:t>合同专用条款</w:t>
      </w:r>
    </w:p>
    <w:tbl>
      <w:tblPr>
        <w:tblStyle w:val="17"/>
        <w:tblW w:w="9038" w:type="dxa"/>
        <w:tblInd w:w="12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499"/>
        <w:gridCol w:w="5425"/>
        <w:gridCol w:w="14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需求名称</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需求说明</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偏离选项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报价要求</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投标报价应包括：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color w:val="auto"/>
                <w:kern w:val="0"/>
                <w:sz w:val="24"/>
              </w:rPr>
              <w:t>相关费用</w:t>
            </w:r>
            <w:r>
              <w:rPr>
                <w:rFonts w:hint="eastAsia" w:ascii="楷体" w:hAnsi="楷体" w:eastAsia="楷体" w:cs="楷体"/>
                <w:color w:val="auto"/>
                <w:kern w:val="0"/>
                <w:sz w:val="24"/>
              </w:rPr>
              <w:t>及不可预见费等完成本招标内容所需的一切费用。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1.1</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sz w:val="24"/>
                <w:highlight w:val="none"/>
              </w:rPr>
            </w:pPr>
            <w:r>
              <w:rPr>
                <w:rFonts w:hint="eastAsia" w:ascii="楷体" w:hAnsi="楷体" w:eastAsia="楷体" w:cs="楷体"/>
                <w:color w:val="auto"/>
                <w:sz w:val="24"/>
              </w:rPr>
              <w:t>相关费用</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highlight w:val="none"/>
              </w:rPr>
            </w:pPr>
            <w:r>
              <w:rPr>
                <w:rFonts w:hint="eastAsia" w:ascii="楷体" w:hAnsi="楷体" w:eastAsia="楷体" w:cs="楷体"/>
                <w:color w:val="auto"/>
                <w:sz w:val="24"/>
              </w:rPr>
              <w:t>质保期内设备装卸、安装、调试费用以及保证设备连续正常运行所需各种易损件、备品备件和专用维修工具等费用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2</w:t>
            </w:r>
          </w:p>
        </w:tc>
        <w:tc>
          <w:tcPr>
            <w:tcW w:w="1499"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sz w:val="24"/>
                <w:highlight w:val="none"/>
              </w:rPr>
            </w:pPr>
            <w:r>
              <w:rPr>
                <w:rFonts w:hint="eastAsia" w:ascii="楷体" w:hAnsi="楷体" w:eastAsia="楷体" w:cs="楷体"/>
                <w:color w:val="auto"/>
                <w:sz w:val="24"/>
              </w:rPr>
              <w:t>付款方式和条件</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sz w:val="24"/>
                <w:highlight w:val="none"/>
                <w:lang w:val="en-US" w:eastAsia="zh-CN"/>
              </w:rPr>
            </w:pPr>
            <w:r>
              <w:rPr>
                <w:rFonts w:hint="eastAsia" w:ascii="楷体" w:hAnsi="楷体" w:eastAsia="楷体" w:cs="楷体"/>
                <w:b w:val="0"/>
                <w:bCs w:val="0"/>
                <w:color w:val="auto"/>
                <w:sz w:val="24"/>
                <w:highlight w:val="none"/>
                <w:lang w:val="en-US" w:eastAsia="zh-CN"/>
              </w:rPr>
              <w:t>1 全部安装、调试完成，验收合格交付使用，乙方开具正式发票后，三个月内甲方支付给乙方合同总价的40%。</w:t>
            </w:r>
          </w:p>
          <w:p>
            <w:pPr>
              <w:widowControl/>
              <w:jc w:val="left"/>
              <w:rPr>
                <w:rFonts w:hint="eastAsia" w:ascii="楷体" w:hAnsi="楷体" w:eastAsia="楷体" w:cs="楷体"/>
                <w:b w:val="0"/>
                <w:bCs w:val="0"/>
                <w:color w:val="auto"/>
                <w:sz w:val="24"/>
                <w:highlight w:val="none"/>
                <w:lang w:val="en-US" w:eastAsia="zh-CN"/>
              </w:rPr>
            </w:pPr>
            <w:r>
              <w:rPr>
                <w:rFonts w:hint="eastAsia" w:ascii="楷体" w:hAnsi="楷体" w:eastAsia="楷体" w:cs="楷体"/>
                <w:b w:val="0"/>
                <w:bCs w:val="0"/>
                <w:color w:val="auto"/>
                <w:sz w:val="24"/>
                <w:highlight w:val="none"/>
                <w:lang w:val="en-US" w:eastAsia="zh-CN"/>
              </w:rPr>
              <w:t>2 剩余未付款项按月支付，在此之后的六个月内支付合同总价的50%</w:t>
            </w:r>
          </w:p>
          <w:p>
            <w:pPr>
              <w:widowControl/>
              <w:jc w:val="left"/>
              <w:rPr>
                <w:rFonts w:hint="eastAsia" w:ascii="楷体" w:hAnsi="楷体" w:eastAsia="楷体" w:cs="楷体"/>
                <w:b w:val="0"/>
                <w:bCs w:val="0"/>
                <w:color w:val="auto"/>
                <w:sz w:val="24"/>
                <w:highlight w:val="none"/>
              </w:rPr>
            </w:pPr>
            <w:r>
              <w:rPr>
                <w:rFonts w:hint="eastAsia" w:ascii="楷体" w:hAnsi="楷体" w:eastAsia="楷体" w:cs="楷体"/>
                <w:b w:val="0"/>
                <w:bCs w:val="0"/>
                <w:color w:val="auto"/>
                <w:sz w:val="24"/>
                <w:highlight w:val="none"/>
                <w:lang w:val="en-US" w:eastAsia="zh-CN"/>
              </w:rPr>
              <w:t>3 剩余10%无遗留问题后一次性支付。</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vMerge w:val="restart"/>
            <w:tcBorders>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3</w:t>
            </w:r>
          </w:p>
        </w:tc>
        <w:tc>
          <w:tcPr>
            <w:tcW w:w="1499" w:type="dxa"/>
            <w:vMerge w:val="restart"/>
            <w:tcBorders>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sz w:val="24"/>
                <w:highlight w:val="none"/>
              </w:rPr>
            </w:pPr>
            <w:r>
              <w:rPr>
                <w:rFonts w:hint="eastAsia" w:ascii="楷体" w:hAnsi="楷体" w:eastAsia="楷体" w:cs="楷体"/>
                <w:color w:val="auto"/>
                <w:kern w:val="0"/>
                <w:sz w:val="24"/>
              </w:rPr>
              <w:t>交货要求</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楷体" w:hAnsi="楷体" w:eastAsia="楷体" w:cs="楷体"/>
                <w:b w:val="0"/>
                <w:bCs w:val="0"/>
                <w:color w:val="auto"/>
                <w:sz w:val="24"/>
                <w:highlight w:val="none"/>
              </w:rPr>
            </w:pPr>
            <w:r>
              <w:rPr>
                <w:rFonts w:hint="eastAsia" w:ascii="楷体" w:hAnsi="楷体" w:eastAsia="楷体" w:cs="楷体"/>
                <w:color w:val="auto"/>
                <w:sz w:val="24"/>
                <w:highlight w:val="none"/>
              </w:rPr>
              <w:t>交货期：乙方于合同签订的</w:t>
            </w:r>
            <w:r>
              <w:rPr>
                <w:rFonts w:hint="eastAsia" w:ascii="楷体" w:hAnsi="楷体" w:eastAsia="楷体" w:cs="楷体"/>
                <w:color w:val="auto"/>
                <w:sz w:val="24"/>
                <w:highlight w:val="none"/>
                <w:lang w:val="en-US" w:eastAsia="zh-CN"/>
              </w:rPr>
              <w:t>30</w:t>
            </w:r>
            <w:r>
              <w:rPr>
                <w:rFonts w:hint="eastAsia" w:ascii="楷体" w:hAnsi="楷体" w:eastAsia="楷体" w:cs="楷体"/>
                <w:color w:val="auto"/>
                <w:sz w:val="24"/>
                <w:highlight w:val="none"/>
              </w:rPr>
              <w:t>个</w:t>
            </w:r>
            <w:r>
              <w:rPr>
                <w:rFonts w:hint="eastAsia" w:ascii="楷体" w:hAnsi="楷体" w:eastAsia="楷体" w:cs="楷体"/>
                <w:color w:val="auto"/>
                <w:sz w:val="24"/>
                <w:highlight w:val="none"/>
                <w:lang w:val="en-US" w:eastAsia="zh-CN"/>
              </w:rPr>
              <w:t>日历</w:t>
            </w:r>
            <w:r>
              <w:rPr>
                <w:rFonts w:hint="eastAsia" w:ascii="楷体" w:hAnsi="楷体" w:eastAsia="楷体" w:cs="楷体"/>
                <w:color w:val="auto"/>
                <w:sz w:val="24"/>
                <w:highlight w:val="none"/>
              </w:rPr>
              <w:t>日内完成所有的供货；在具备安装条件之后，于3个工作日内完成所有设备的安装、调试工作</w:t>
            </w:r>
          </w:p>
        </w:tc>
        <w:tc>
          <w:tcPr>
            <w:tcW w:w="1448" w:type="dxa"/>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666"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p>
        </w:tc>
        <w:tc>
          <w:tcPr>
            <w:tcW w:w="1499" w:type="dxa"/>
            <w:vMerge w:val="continue"/>
            <w:tcBorders>
              <w:top w:val="single" w:color="auto" w:sz="4" w:space="0"/>
              <w:left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p>
        </w:tc>
        <w:tc>
          <w:tcPr>
            <w:tcW w:w="5425" w:type="dxa"/>
            <w:tcBorders>
              <w:top w:val="single" w:color="auto" w:sz="4" w:space="0"/>
              <w:left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招标人指定地点（包括安装至指定位置）</w:t>
            </w:r>
          </w:p>
        </w:tc>
        <w:tc>
          <w:tcPr>
            <w:tcW w:w="1448" w:type="dxa"/>
            <w:tcBorders>
              <w:top w:val="single" w:color="auto" w:sz="4" w:space="0"/>
              <w:left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4</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包装</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货物为原厂商未启封全新包装，具出厂合格证，序列号、包装箱号与出厂批号一致，并可追索查阅。所有随设备的附件必须齐全。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5</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安装调试与验收</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楷体" w:hAnsi="楷体" w:eastAsia="楷体" w:cs="楷体"/>
                <w:b w:val="0"/>
                <w:bCs w:val="0"/>
                <w:color w:val="auto"/>
                <w:kern w:val="0"/>
                <w:sz w:val="24"/>
                <w:highlight w:val="none"/>
                <w:lang w:eastAsia="zh-CN"/>
              </w:rPr>
            </w:pPr>
            <w:r>
              <w:rPr>
                <w:rFonts w:hint="eastAsia" w:ascii="楷体" w:hAnsi="楷体" w:eastAsia="楷体" w:cs="楷体"/>
                <w:color w:val="auto"/>
                <w:kern w:val="0"/>
                <w:sz w:val="24"/>
              </w:rPr>
              <w:t>买方有权委托相关专业人士对采购产品按照招标参数逐一进行测试和验收，如发现有不符合的技术指标将无条件退货，按虚假应标处理，并将虚假情况上报上级主管部门，且支付买方由此产生的一切检测费。</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6</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培训</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中标人须派遣有经验的工程师，到使用单位对其进行优质的培训服务。对设备的使用、操作、维修进行免费培训，并提供安装使用维护说明书，以确保相关操作人员能够对设备有足够的了解和熟悉，能够独立进行设备的日常维护、保养和管理。培训所需一切资料由中标人免费提供。</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7</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质保期内服务</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质量保证期：</w:t>
            </w:r>
            <w:r>
              <w:rPr>
                <w:rFonts w:hint="eastAsia" w:ascii="楷体" w:hAnsi="楷体" w:eastAsia="楷体" w:cs="楷体"/>
                <w:color w:val="auto"/>
                <w:kern w:val="0"/>
                <w:sz w:val="24"/>
                <w:lang w:eastAsia="zh-CN"/>
              </w:rPr>
              <w:t>≥</w:t>
            </w:r>
            <w:r>
              <w:rPr>
                <w:rFonts w:hint="eastAsia" w:ascii="楷体" w:hAnsi="楷体" w:eastAsia="楷体" w:cs="楷体"/>
                <w:color w:val="auto"/>
                <w:kern w:val="0"/>
                <w:sz w:val="24"/>
                <w:lang w:val="en-US" w:eastAsia="zh-CN"/>
              </w:rPr>
              <w:t>3年。</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1） 质量保证期内发生的质量问题，由中标人负责免费解决（因招标人使用不当或其他人为因素造成的故障外）；</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rPr>
              <w:t>2） 任何时候，中标人均不能免除因设备本身的缺陷所应付的责任中标人有义务对所提供的货物实行终生维护和对设备进行定期的检测和维修；</w:t>
            </w:r>
          </w:p>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3）质保期后，中标人须为使用单位提供终身的维护，如须更换故障零部件，则只收取优惠的零件费。</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8</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技术服务条件</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highlight w:val="yellow"/>
              </w:rPr>
            </w:pPr>
            <w:r>
              <w:rPr>
                <w:rFonts w:hint="eastAsia" w:ascii="楷体" w:hAnsi="楷体" w:eastAsia="楷体" w:cs="楷体"/>
                <w:color w:val="auto"/>
                <w:kern w:val="0"/>
                <w:sz w:val="24"/>
              </w:rPr>
              <w:t>1）合同签订后30天内，卖方应提供安装、调试、维修和操作所需技术文件的复印件，并派工程师与买方共同商讨场地的设计，并提供设备安装的规划设计说明。</w:t>
            </w:r>
          </w:p>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2）卖方应向买方提供投标项目必要的技术文件（原版中文或英文技术文件，电子文档2套）</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b w:val="0"/>
                <w:bCs w:val="0"/>
                <w:color w:val="auto"/>
                <w:kern w:val="0"/>
                <w:sz w:val="24"/>
                <w:highlight w:val="none"/>
              </w:rPr>
            </w:pPr>
            <w:r>
              <w:rPr>
                <w:rFonts w:hint="eastAsia" w:ascii="楷体" w:hAnsi="楷体" w:eastAsia="楷体" w:cs="楷体"/>
                <w:color w:val="auto"/>
                <w:kern w:val="0"/>
                <w:sz w:val="24"/>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highlight w:val="none"/>
              </w:rPr>
              <w:t>9</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highlight w:val="none"/>
              </w:rPr>
              <w:t>售后服务</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一）在质保期内，凡由于产品制造、组装而造成的质量问题，由卖方负责，并承担一切返修费用；所有外购件若在质保期内出现质量问题，卖方应及时免费更换；对更换件、修理件的质保期自修理或更换之日重新开始计算。（卖方负责设备安装调试及应用培训。）</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highlight w:val="none"/>
              </w:rPr>
              <w:t>（二）由生产厂家或负责售后服务的总代理出具售后服务保证函，包含售后服务公司名称联系人及地址电话等信息，并提供设备出保后的设备保修费、常用耗材、常用维修配件及维修费的最低报价。</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highlight w:val="none"/>
              </w:rPr>
              <w:t>不可负偏离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highlight w:val="none"/>
              </w:rPr>
              <w:t>10</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highlight w:val="none"/>
              </w:rPr>
              <w:t>应提供的伴随服务</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货物抵达后，卖方接到买方通知后，在3日内抵达到货现场，卖方与买方按合同要求中卖方出具的货物清单及资料，会同中国海关、商检部门一起开箱检验，检查设备及随机附件是否完好无损，齐备，技术资料是否与用户要求相符。如有损坏，缺件等情况，应分析原因落实索赔事宜。</w:t>
            </w:r>
          </w:p>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2）卖方负责设备安装调试及应用培训。</w:t>
            </w:r>
          </w:p>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3）卖方必须有可靠的售后服务保障，在中国设有固定的维修服务点，能提供正常的技术、备品备件服务，卖方在投标文件中应提供详细、明确的售后服务承诺和售后服务计划。</w:t>
            </w:r>
          </w:p>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4）卖方应列出工程师名单、联系电话、通讯地址及备件库地址和备件的详细目录。</w:t>
            </w:r>
          </w:p>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5）卖方应设有24小时服务热线，在质保期内若发生故障，售后服务响应时间为报修后两小时内，到现场时间为 12小时内，免费维修与更换缺陷设备及部件并解决问题的期限为卖方收到买方通知后24小时内。</w:t>
            </w:r>
            <w:r>
              <w:rPr>
                <w:rFonts w:hint="eastAsia" w:ascii="楷体" w:hAnsi="楷体" w:eastAsia="楷体" w:cs="楷体"/>
                <w:b/>
                <w:bCs/>
                <w:color w:val="auto"/>
                <w:kern w:val="0"/>
                <w:sz w:val="24"/>
                <w:highlight w:val="none"/>
                <w:lang w:eastAsia="zh-CN"/>
              </w:rPr>
              <w:t>（注：与技术参数要求不一致时，以技术参数为准）</w:t>
            </w:r>
          </w:p>
          <w:p>
            <w:pPr>
              <w:widowControl/>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6）在质保期内，凡由于产品制造、组装而造成的质量问题，由卖方负责，并承担一切返修费用；所有外购件若在质保期内出现质量问题，卖方应及时免费更换；对更换件、修理件的质保期自修理或更换之日重新开始计算。</w:t>
            </w:r>
          </w:p>
          <w:p>
            <w:pPr>
              <w:widowControl/>
              <w:jc w:val="left"/>
              <w:rPr>
                <w:rFonts w:hint="eastAsia" w:ascii="楷体" w:hAnsi="楷体" w:eastAsia="楷体" w:cs="楷体"/>
                <w:color w:val="auto"/>
                <w:kern w:val="0"/>
                <w:sz w:val="24"/>
              </w:rPr>
            </w:pPr>
            <w:r>
              <w:rPr>
                <w:rFonts w:hint="eastAsia" w:ascii="楷体" w:hAnsi="楷体" w:eastAsia="楷体" w:cs="楷体"/>
                <w:color w:val="auto"/>
                <w:kern w:val="0"/>
                <w:sz w:val="24"/>
                <w:highlight w:val="none"/>
              </w:rPr>
              <w:t>7）质量保证期内卖方应委派有关专家到工厂进行技术服务,服务周期不少于2次,保修期满后,卖方服务工程师应定期对用户进行回访。</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color w:val="auto"/>
                <w:kern w:val="0"/>
                <w:sz w:val="24"/>
              </w:rPr>
            </w:pPr>
            <w:r>
              <w:rPr>
                <w:rFonts w:hint="eastAsia" w:ascii="楷体" w:hAnsi="楷体" w:eastAsia="楷体" w:cs="楷体"/>
                <w:color w:val="auto"/>
                <w:kern w:val="0"/>
                <w:sz w:val="24"/>
                <w:highlight w:val="none"/>
              </w:rPr>
              <w:t>不可负偏离</w:t>
            </w:r>
          </w:p>
        </w:tc>
      </w:tr>
    </w:tbl>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kern w:val="0"/>
          <w:sz w:val="24"/>
        </w:rPr>
        <w:t xml:space="preserve">注：上表中的偏离选项，“不可偏离”选项为不可更改招标要求的条款；“不可负偏离”选项为不得低于招标要求的条款；否则其投标被拒绝。“可偏离”选项为可正偏离或负偏离的条款，投标商在投标承诺时必须说明。  </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二、合同条款</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2.1定义</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2.1.1  本合同下列术语应解释为: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1)“合同”系指买卖双方签署的、合同格式中载明的买卖双方所达成的协议，包括所有的附件、附录和上述文件所提到的构成合同的所有文件。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2）“合同价”系指根据本合同规定卖方在正确地完全履行合同义务后买方应支付给卖方的价款。</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3）“货物”系指卖方根据本合同规定须向买方提供的一切产品、硬件设备、软件和其它材料。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4）“服务”系指根据本合同规定卖方承担与工程及供货有关的辅助服务。如运输、保险以及其它的伴随服务，例如安装、调试、提供技术援助、培训和合同中规定卖方应承担的其他义务。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5）“合同条款”系指本合同条款。</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6）“采购方”系指在合同专用条款中指明的购买货物和服务的单位。</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7）“供货方”系指在合同专用条款中指明的提供合同项下货物和服务的公司或其他实体。</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8）“项目现场”系指本合同项下货物安装、运行的现场，其名称在合同专用条款中指明。</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9）“天”之日历天数。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2.2适用性</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2.2.1 本合同条款适用于没有被本合同其他部分的条款所取代的范围。</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2.3.1本合同下交付的货物应符合“用户需求书（技术参数要求）”要求所述的标准。如果没有提及使用标准，则应符合中华人民共和国有关机构发布的最新版本的标准。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2.3.2 除非技术规格中另有规定，计量单位均采用中华人民共和国法定计量单位。</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2.4使用合同文件和资料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2.4.1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2.4.2没有买方事先书面同意，除了履行本合同外，卖方不应使用合同条款4.1条所列举的任何文件和资料。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2.4.3除了合同本身以外，合同条款第4.1条所列举的任何文件是买方的财产.如果买方有要求,卖方在完成合同后应将这些文件及全部复制件还给买方。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2.5专利权</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2.5.1卖方应保证，买方使用该货物或货物的任何一部分时，免受第三方提出的侵犯其专利权、商标权、著作权或其它知识产权的起诉。</w:t>
      </w:r>
    </w:p>
    <w:p>
      <w:pPr>
        <w:spacing w:line="360" w:lineRule="auto"/>
        <w:ind w:firstLine="480" w:firstLineChars="200"/>
        <w:rPr>
          <w:rFonts w:hint="eastAsia" w:ascii="楷体" w:hAnsi="楷体" w:eastAsia="楷体" w:cs="楷体"/>
          <w:color w:val="auto"/>
          <w:sz w:val="24"/>
          <w:lang w:eastAsia="zh-CN"/>
        </w:rPr>
      </w:pPr>
      <w:r>
        <w:rPr>
          <w:rFonts w:hint="eastAsia" w:ascii="楷体" w:hAnsi="楷体" w:eastAsia="楷体" w:cs="楷体"/>
          <w:color w:val="auto"/>
          <w:sz w:val="24"/>
        </w:rPr>
        <w:t>2.6质量保证金：</w:t>
      </w:r>
      <w:r>
        <w:rPr>
          <w:rFonts w:hint="eastAsia" w:ascii="楷体" w:hAnsi="楷体" w:eastAsia="楷体" w:cs="楷体"/>
          <w:color w:val="auto"/>
          <w:sz w:val="24"/>
          <w:lang w:val="en-US" w:eastAsia="zh-CN"/>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2.7检验和验收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2.7.1供货验收：所有系统设备、材料到达施工现场 2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设备，一切责任由乙方自行承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2.7.2乙方交付时应向甲方提交以下证明材料和文件：产品合格证、原厂证明、产品出厂检测报告等质量证明文件。进口产品须提供商检及报关证明材料，生产厂家提供针对本项目的产品售后服务承诺书。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2.7.3争议解决：双方对系统设备、材料是否符合约定标准产生争议时，送相关质检部门检测，检测结果将作为裁决依据送仲裁部门进行仲裁。检测费、裁决费用由乙方预付，裁决符合约定标准的，由甲方承担；不符合标准的，由乙方承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2.7.4设备的调试、验收：全部系统安装完毕后，乙方进行各项调试。调试符合要求的，通知甲方组织验收。因系统设备、材料质量导致调试不符合要求的，乙方应免费更换，使之达到技术规范要求，同时承担拆除、重新安装的费用和本合同约定的违约责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2.7.5所有设备在免费保修期内(  年)，如出现5次（含）以上因质量问题引起的故障，影响甲方使用，乙方负责在10个工作日内免费更换相同新设备。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2.7.6如因设备质量或原始标（警）示不清等原因，导致甲方损失，或造成甲方操作人员、第三方人员人身伤害，乙方应依法予以赔偿。</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2.8包装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2.8.1供货方应提供货物运至合同规定的最终目的地所需要的包装，以防止货物在转运中损坏或变质。这类包装应采取防潮、防晒、防锈、防腐蚀、防震动及防止其它损坏的必要保护措施，从而保护货物能够经受多次搬运、装卸及长途运输。卖方应承担由于其包装或其防护措施不妥而引起的货物锈蚀、损坏和丢失的任何损失的责任或费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2.9装运标记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2.9.1供货方应在每一包装箱相邻的四面用不可擦除的油漆和明显的中文字样做出以下标记：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1）收货人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2）合同号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3）发货标记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4）收货人编号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5）目的地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6）货物名称、品目号和箱号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7）毛重/净重（用公斤表示）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8）尺寸（以长×宽×高用厘米表示）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2.9.2如果单件包装箱的重量在2吨或2吨以上，卖方应在包装箱两侧有中文和适当的运输标记注“重心”和“起吊点”以便装卸和搬运。根据货物的特点和运输的不同要求，卖方应在包装箱上清楚地标注（小心轻放）、“此端朝上，请勿倒置、保持干燥” 等字样和其他适当标记。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2.10运输和保险</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2.10.1供货方负责办理将货物运抵招标文件规定的交货地点的一切运输事项，相关费用应包括在合同总价中。</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2.10.2供货方应向保险公司以买方为受益人投保发运合同设备价格110%的运输一切险。</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2.11服务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2.11.1质量保证期内的服务： 提供技术支持；进行系统免费升级；更换非人为因素损坏的零配件。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2.12伴随服务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2.12.1供货方可能被要求提供下列服务中的所有服务，包括“合同专用条款”与“用户需求书（技术参数要求）”规定的附加服务：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（1）实施所供货物的系统集成和试运行；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（2）提供货物组装和维修所需的工具；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（3）为所供货物的每一适当的单台货物提供详细的操作和维护手册；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（4）在双方商定的一定期限内对所供货物实施运行维护和修理，但前提条件是该服务并不能免除卖方在合同质量保证期内所承担的义务；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（5）免费现场培训买方使用单位1-2名设备操作人员。</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2.12.2供货方提供的上述伴随服务均应含在合同总价中，买方不再为其单独一项或数项另外支付费用。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2.12.3供货方应提供“合同专用条款”和“用户需求书（技术参数要求）”中规定的所有服务。为履行要求的伴随服务的报价或双方商定的费用应包括在合同价中。</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2.13备品备件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2.13.1正如合同条款所规定，供货方可能被要求提供下列与备品备件有关的材料、通知和资料：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（1）采购方从供货方选购备品备件，但前提条件是该选择并不能免除供货方在合同保证期内所承担的义务；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（2）在备品备件停止生产的情况下，供货方应事先将要停止生产的计划通知买方使买方有足够的时间采购所需的备品备件；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（3）在备品备件停止生产后，如果买方要求，卖方应免费向买方提供备品备件的蓝图、图纸和规格。</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2.13.2供货方应按照“合同专用条款”/“用户需求书（技术参数要求）”中的规定提供所需的备品备件及其价格。</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2.14保证</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2.14.1供货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2.14.2本保证应在合同货物及工程最终验收后的12个月内保持有效。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2.14.3买方应尽快以书面方式通知卖方质量保证期内所发现的缺陷。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2.14.4卖方收到通知后应在（合同专用条款）规定的时间内以合理的速度免费维修或更换有缺陷的设备或部件，在三日内故障不能排除的，必须无条件予以更换。</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2.14.5如果卖方收到通知后在合同规定的时间内没有以合理的速度弥补缺陷，买方可采取必要的补救措施，但其风险和费用将由卖方承担，买方根据合同规定对卖方行使的其他权力不受影响。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2.14.6卖方对故障或缺陷的处理结果应使买方满意。</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2.14.7交货时间：乙方于合同签订的30个日历日内完成所有的供货；在具备安装条件之后，于</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个工作日内完成所有设备的安装、调试工作。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2.15索赔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2.15.1如果卖方对偏差负有责任，而买方在合同条款第13条、第14条或合同的其他条款规定的检验、安装、调试、验收和质量保证期内提出了索赔，卖方应按照买方同意的下列一种或几种方式结合起来解决索赔事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（2）根据货物的偏差情况、损坏程度、以及买方所遭受损失的金额，经买卖双方商定降低货物的价格。</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用符合合同规定的品牌、规格、质量和性能要求的新零件、部件和/或设备来更换有缺陷的部分和/或修补缺陷部分，卖方应承担一节费用和风险并负担买方蒙受的全部直接损失费用。同时，卖方应按合同条款第13条规定，相应延长所更换货物的质量保证期。</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2.15.2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2.16付款</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2.16.1本合同项下的付款方法和条件在“合同专用条款”中有规定。</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2.17价格</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2.17.1卖方在本合同项下提交货物和履行服务的价格在合同中给出。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2.18变更指令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2.18.1买方可以在任何时候书面向卖方发出指令，在本合同的一般范围内变更下述一项或几项：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（1）本合同项下提供的货物是专为买方制造时，变更图纸、设计或规格；</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（2）运输或包装的方法；</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（3）交货地点；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（4）卖方提供的服务。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2.18.2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2.19．合同修改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2.19.1除了合同条款第17条的情况，不应对合同条款进行任何变更或修改，除非双方同意并签订书面的合同修改书。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2.20转让</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2.20.1未经买方事先书面同意，卖方不得部分转让或全部转让其应履行的合同义务。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2.21分包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2.21.1对招标文件中没有明确分包的内容，卖方在未取得买方书面同意的通知，不得擅自进行分包，但分包通知并不能解除卖方履行本合同的任何责任和义务。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2.22卖方履约延误：依照甲乙双方签订的合同执行。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2.23不可抗力</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2.23.1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2.23.2受影响一方应在不可抗力事件发生后尽快用书面形式通知对方，并于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2.23.3因合同一方迟延履行合同后发生不可抗力的，不能免除迟延履行方的相应责任。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2.24因破产而终止合同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2.24.1如果卖方破产或无清偿能力，买方可在任何时候以书面形式通知卖方，提出终止合同而不给卖方补偿。该合同的终止将不损害或影响买方已经采取或将要采取的任何行动或补救措施的权力。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2.25因买方的便利而终止合同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2.25.1买方可在任何时候出于自身的便利向卖方发出书面通知全部或部分终止合同，终止通知应明确该终止合同是出于买方的便利，并明确合同终止的程度，以及终止的生效日期。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2.25.2对卖方收到终止通知后十五（15）天内已完成并准备装运的货物，买方应按原合同价格和条款予以接收，对于剩下的货物，买方可：</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（1）仅对部分货物按照原来的合同价格和条款予以接受。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（2）取消对所剩货物的采购，并按双方商定的金额向卖方支付部分完成的货物和服务以及卖方以前已采购的材料和部件的费用。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2.26争议的解决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2.26.1因执行本合同所发生的或与本合同有关的一切争议，双方应通过友好协商解决。如果协商开始后三十（30）天还不能解决，任何一方均可按中华人民共和国有关法律的规定提交仲裁。仲裁地点为安康市仲裁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2.26.2仲裁裁决应为最终裁决，对双方均具有约束力。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2.26.3仲裁费除仲裁机关另有裁决外均应由败诉方负担。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2.26.4在仲裁期间，除正在进行仲裁的部分外，本合同其它部分应继续执行。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2.27合同语言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2.27.1本合同语言为中文。双方交换的与合同有关的信函均用中文书写。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2.28适用法律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2.28.1本合同应按照中华人民共和国的法律进行解释。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2.29通知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2.29.1本合同一方给对方的通知应用书面形式传真送到“合同专用条款”中规定的对方的地址。传真需经书面确认。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2.29.2通知以送到日期或通知书的生效日期为生效日期，两者中以晚的一个日期为准。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2.30税款</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2.30.1按照中华人民共和国税法和有关部门的规定，买方需交纳的与本合同有关的一切税旨均应由买方负担。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2.30.2按照中华人民共和国税法和有关部门的规定，卖方需交纳的与本合同有关的一切税旨均应由卖方负担。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2.31合同生效及其他</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2.31.1本合同经买卖双方及招标单位授权代表签字盖章后生效。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2.31.2如需修改合同内容，双方应签署书面修改或补充协议，该修改协议作为本合同的一个组成部分。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2.31.3本合同具有法律效力，受国家法律保护。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2.31.4本合同一式伍份，买方(使用单位)叁份，卖方贰份，招标代理机构合同复印件壹份。</w:t>
      </w:r>
    </w:p>
    <w:p>
      <w:pPr>
        <w:spacing w:line="560" w:lineRule="exact"/>
        <w:rPr>
          <w:rFonts w:hint="eastAsia" w:ascii="楷体" w:hAnsi="楷体" w:eastAsia="楷体" w:cs="楷体"/>
          <w:color w:val="auto"/>
          <w:sz w:val="28"/>
        </w:rPr>
      </w:pPr>
      <w:r>
        <w:rPr>
          <w:rFonts w:hint="eastAsia" w:ascii="楷体" w:hAnsi="楷体" w:eastAsia="楷体" w:cs="楷体"/>
          <w:color w:val="auto"/>
          <w:sz w:val="28"/>
        </w:rPr>
        <w:t>三、医疗设备采购合同</w:t>
      </w:r>
    </w:p>
    <w:p>
      <w:pPr>
        <w:spacing w:line="360" w:lineRule="auto"/>
        <w:ind w:right="-1"/>
        <w:jc w:val="center"/>
        <w:outlineLvl w:val="0"/>
        <w:rPr>
          <w:rFonts w:hint="eastAsia" w:ascii="楷体" w:hAnsi="楷体" w:eastAsia="楷体" w:cs="楷体"/>
          <w:b/>
          <w:bCs w:val="0"/>
          <w:color w:val="auto"/>
          <w:sz w:val="28"/>
          <w:szCs w:val="28"/>
        </w:rPr>
      </w:pPr>
      <w:r>
        <w:rPr>
          <w:rFonts w:hint="eastAsia" w:ascii="楷体" w:hAnsi="楷体" w:eastAsia="楷体" w:cs="楷体"/>
          <w:b/>
          <w:bCs w:val="0"/>
          <w:color w:val="auto"/>
          <w:sz w:val="28"/>
          <w:szCs w:val="28"/>
        </w:rPr>
        <w:t xml:space="preserve"> 医疗设备买卖合同</w:t>
      </w:r>
    </w:p>
    <w:p>
      <w:pPr>
        <w:spacing w:line="360" w:lineRule="auto"/>
        <w:ind w:right="-1"/>
        <w:outlineLvl w:val="0"/>
        <w:rPr>
          <w:rFonts w:hint="eastAsia" w:ascii="楷体" w:hAnsi="楷体" w:eastAsia="楷体" w:cs="楷体"/>
          <w:b/>
          <w:color w:val="auto"/>
          <w:sz w:val="24"/>
          <w:szCs w:val="24"/>
        </w:rPr>
      </w:pPr>
      <w:r>
        <w:rPr>
          <w:rFonts w:hint="eastAsia" w:ascii="楷体" w:hAnsi="楷体" w:eastAsia="楷体" w:cs="楷体"/>
          <w:b/>
          <w:color w:val="auto"/>
          <w:sz w:val="24"/>
          <w:szCs w:val="24"/>
        </w:rPr>
        <w:t>合 同 编 号</w:t>
      </w:r>
      <w:r>
        <w:rPr>
          <w:rFonts w:hint="eastAsia" w:ascii="楷体" w:hAnsi="楷体" w:eastAsia="楷体" w:cs="楷体"/>
          <w:b/>
          <w:color w:val="auto"/>
          <w:sz w:val="24"/>
          <w:szCs w:val="24"/>
          <w:u w:val="single"/>
        </w:rPr>
        <w:t xml:space="preserve">          提示：合同编号暂不填写，拟定合同时请删除此提示。</w:t>
      </w:r>
    </w:p>
    <w:p>
      <w:pPr>
        <w:spacing w:line="360" w:lineRule="auto"/>
        <w:ind w:right="-1"/>
        <w:outlineLvl w:val="0"/>
        <w:rPr>
          <w:rFonts w:hint="eastAsia" w:ascii="楷体" w:hAnsi="楷体" w:eastAsia="楷体" w:cs="楷体"/>
          <w:b/>
          <w:color w:val="auto"/>
          <w:sz w:val="24"/>
          <w:szCs w:val="24"/>
        </w:rPr>
      </w:pPr>
      <w:r>
        <w:rPr>
          <w:rFonts w:hint="eastAsia" w:ascii="楷体" w:hAnsi="楷体" w:eastAsia="楷体" w:cs="楷体"/>
          <w:b/>
          <w:color w:val="auto"/>
          <w:sz w:val="24"/>
          <w:szCs w:val="24"/>
        </w:rPr>
        <w:t xml:space="preserve">甲方（买方）：安康市中心医院       </w:t>
      </w:r>
    </w:p>
    <w:p>
      <w:pPr>
        <w:snapToGrid w:val="0"/>
        <w:spacing w:line="360" w:lineRule="auto"/>
        <w:rPr>
          <w:rFonts w:hint="eastAsia" w:ascii="楷体" w:hAnsi="楷体" w:eastAsia="楷体" w:cs="楷体"/>
          <w:b/>
          <w:color w:val="auto"/>
          <w:sz w:val="24"/>
          <w:szCs w:val="24"/>
          <w:u w:val="single"/>
        </w:rPr>
      </w:pPr>
      <w:r>
        <w:rPr>
          <w:rFonts w:hint="eastAsia" w:ascii="楷体" w:hAnsi="楷体" w:eastAsia="楷体" w:cs="楷体"/>
          <w:b/>
          <w:color w:val="auto"/>
          <w:sz w:val="24"/>
          <w:szCs w:val="24"/>
        </w:rPr>
        <w:t>乙方（卖方）：</w:t>
      </w:r>
      <w:r>
        <w:rPr>
          <w:rFonts w:hint="eastAsia" w:ascii="楷体" w:hAnsi="楷体" w:eastAsia="楷体" w:cs="楷体"/>
          <w:b/>
          <w:color w:val="auto"/>
          <w:sz w:val="24"/>
          <w:szCs w:val="24"/>
          <w:u w:val="single"/>
        </w:rPr>
        <w:t xml:space="preserve">                </w:t>
      </w:r>
    </w:p>
    <w:p>
      <w:pPr>
        <w:spacing w:line="360" w:lineRule="auto"/>
        <w:ind w:right="-1" w:firstLine="480" w:firstLineChars="200"/>
        <w:outlineLvl w:val="0"/>
        <w:rPr>
          <w:rFonts w:hint="eastAsia" w:ascii="楷体" w:hAnsi="楷体" w:eastAsia="楷体" w:cs="楷体"/>
          <w:color w:val="auto"/>
          <w:sz w:val="24"/>
          <w:szCs w:val="24"/>
        </w:rPr>
      </w:pPr>
      <w:bookmarkStart w:id="5" w:name="_Toc341030114"/>
      <w:r>
        <w:rPr>
          <w:rFonts w:hint="eastAsia" w:ascii="楷体" w:hAnsi="楷体" w:eastAsia="楷体" w:cs="楷体"/>
          <w:color w:val="auto"/>
          <w:sz w:val="24"/>
          <w:szCs w:val="24"/>
        </w:rPr>
        <w:t>依据《中华人民共和国政府采购法》、《中华人民共和国合同法》及其他有关法律、法规之规定，以及采购文件、投标（响应）文件规定条款和中标（成交）供应商承诺书、中标通知书等，甲、乙双方同意签订</w:t>
      </w:r>
      <w:r>
        <w:rPr>
          <w:rFonts w:hint="eastAsia" w:ascii="楷体" w:hAnsi="楷体" w:eastAsia="楷体" w:cs="楷体"/>
          <w:color w:val="auto"/>
          <w:sz w:val="24"/>
          <w:szCs w:val="24"/>
          <w:u w:val="single"/>
        </w:rPr>
        <w:t>××××</w:t>
      </w:r>
      <w:r>
        <w:rPr>
          <w:rFonts w:hint="eastAsia" w:ascii="楷体" w:hAnsi="楷体" w:eastAsia="楷体" w:cs="楷体"/>
          <w:b/>
          <w:color w:val="auto"/>
          <w:sz w:val="24"/>
          <w:szCs w:val="24"/>
          <w:u w:val="single"/>
        </w:rPr>
        <w:t>（采购项目名称+编号，拟定合同时请删除此提示）</w:t>
      </w:r>
      <w:r>
        <w:rPr>
          <w:rFonts w:hint="eastAsia" w:ascii="楷体" w:hAnsi="楷体" w:eastAsia="楷体" w:cs="楷体"/>
          <w:color w:val="auto"/>
          <w:sz w:val="24"/>
          <w:szCs w:val="24"/>
          <w:u w:val="single"/>
        </w:rPr>
        <w:t>第×标段供应合同</w:t>
      </w:r>
      <w:r>
        <w:rPr>
          <w:rFonts w:hint="eastAsia" w:ascii="楷体" w:hAnsi="楷体" w:eastAsia="楷体" w:cs="楷体"/>
          <w:color w:val="auto"/>
          <w:sz w:val="24"/>
          <w:szCs w:val="24"/>
        </w:rPr>
        <w:t>。</w:t>
      </w:r>
    </w:p>
    <w:p>
      <w:pPr>
        <w:spacing w:line="360" w:lineRule="auto"/>
        <w:ind w:right="-1" w:firstLine="482" w:firstLineChars="200"/>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第一条 合同标的</w:t>
      </w:r>
    </w:p>
    <w:bookmarkEnd w:id="5"/>
    <w:tbl>
      <w:tblPr>
        <w:tblStyle w:val="18"/>
        <w:tblpPr w:leftFromText="180" w:rightFromText="180" w:vertAnchor="text" w:horzAnchor="page" w:tblpXSpec="center" w:tblpY="128"/>
        <w:tblOverlap w:val="never"/>
        <w:tblW w:w="82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560"/>
        <w:gridCol w:w="1026"/>
        <w:gridCol w:w="1067"/>
        <w:gridCol w:w="667"/>
        <w:gridCol w:w="653"/>
        <w:gridCol w:w="749"/>
        <w:gridCol w:w="864"/>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82" w:type="dxa"/>
            <w:noWrap w:val="0"/>
            <w:vAlign w:val="center"/>
          </w:tcPr>
          <w:p>
            <w:pPr>
              <w:spacing w:line="240" w:lineRule="auto"/>
              <w:ind w:right="-1"/>
              <w:jc w:val="center"/>
              <w:rPr>
                <w:rFonts w:hint="eastAsia" w:ascii="楷体" w:hAnsi="楷体" w:eastAsia="楷体" w:cs="楷体"/>
                <w:b/>
                <w:bCs/>
                <w:color w:val="auto"/>
                <w:sz w:val="20"/>
                <w:szCs w:val="20"/>
              </w:rPr>
            </w:pPr>
            <w:bookmarkStart w:id="6" w:name="_Toc341030115"/>
            <w:r>
              <w:rPr>
                <w:rFonts w:hint="eastAsia" w:ascii="楷体" w:hAnsi="楷体" w:eastAsia="楷体" w:cs="楷体"/>
                <w:b/>
                <w:bCs/>
                <w:color w:val="auto"/>
                <w:sz w:val="20"/>
                <w:szCs w:val="20"/>
              </w:rPr>
              <w:t>序号</w:t>
            </w:r>
          </w:p>
        </w:tc>
        <w:tc>
          <w:tcPr>
            <w:tcW w:w="1560"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货物名称</w:t>
            </w:r>
          </w:p>
        </w:tc>
        <w:tc>
          <w:tcPr>
            <w:tcW w:w="1026"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规格型号</w:t>
            </w:r>
          </w:p>
        </w:tc>
        <w:tc>
          <w:tcPr>
            <w:tcW w:w="1067"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生产厂家</w:t>
            </w:r>
          </w:p>
        </w:tc>
        <w:tc>
          <w:tcPr>
            <w:tcW w:w="667"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单位</w:t>
            </w:r>
          </w:p>
        </w:tc>
        <w:tc>
          <w:tcPr>
            <w:tcW w:w="653"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数量</w:t>
            </w:r>
          </w:p>
        </w:tc>
        <w:tc>
          <w:tcPr>
            <w:tcW w:w="749"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质保年限</w:t>
            </w:r>
          </w:p>
        </w:tc>
        <w:tc>
          <w:tcPr>
            <w:tcW w:w="864"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单价（元）</w:t>
            </w:r>
          </w:p>
        </w:tc>
        <w:tc>
          <w:tcPr>
            <w:tcW w:w="877" w:type="dxa"/>
            <w:noWrap w:val="0"/>
            <w:vAlign w:val="center"/>
          </w:tcPr>
          <w:p>
            <w:pPr>
              <w:spacing w:line="240" w:lineRule="auto"/>
              <w:ind w:right="-1"/>
              <w:jc w:val="center"/>
              <w:rPr>
                <w:rFonts w:hint="eastAsia" w:ascii="楷体" w:hAnsi="楷体" w:eastAsia="楷体" w:cs="楷体"/>
                <w:b/>
                <w:bCs/>
                <w:color w:val="auto"/>
                <w:sz w:val="20"/>
                <w:szCs w:val="20"/>
              </w:rPr>
            </w:pPr>
            <w:r>
              <w:rPr>
                <w:rFonts w:hint="eastAsia" w:ascii="楷体" w:hAnsi="楷体" w:eastAsia="楷体" w:cs="楷体"/>
                <w:b/>
                <w:bCs/>
                <w:color w:val="auto"/>
                <w:sz w:val="20"/>
                <w:szCs w:val="20"/>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82" w:type="dxa"/>
            <w:noWrap w:val="0"/>
            <w:vAlign w:val="center"/>
          </w:tcPr>
          <w:p>
            <w:pPr>
              <w:spacing w:line="360" w:lineRule="auto"/>
              <w:ind w:right="-1"/>
              <w:jc w:val="center"/>
              <w:rPr>
                <w:rFonts w:hint="eastAsia" w:ascii="楷体" w:hAnsi="楷体" w:eastAsia="楷体" w:cs="楷体"/>
                <w:color w:val="auto"/>
                <w:sz w:val="20"/>
                <w:szCs w:val="20"/>
              </w:rPr>
            </w:pPr>
            <w:r>
              <w:rPr>
                <w:rFonts w:hint="eastAsia" w:ascii="楷体" w:hAnsi="楷体" w:eastAsia="楷体" w:cs="楷体"/>
                <w:color w:val="auto"/>
                <w:sz w:val="20"/>
                <w:szCs w:val="20"/>
              </w:rPr>
              <w:t>1</w:t>
            </w:r>
          </w:p>
        </w:tc>
        <w:tc>
          <w:tcPr>
            <w:tcW w:w="1560" w:type="dxa"/>
            <w:noWrap w:val="0"/>
            <w:vAlign w:val="center"/>
          </w:tcPr>
          <w:p>
            <w:pPr>
              <w:spacing w:line="360" w:lineRule="auto"/>
              <w:ind w:right="-1"/>
              <w:jc w:val="center"/>
              <w:rPr>
                <w:rFonts w:hint="eastAsia" w:ascii="楷体" w:hAnsi="楷体" w:eastAsia="楷体" w:cs="楷体"/>
                <w:color w:val="auto"/>
                <w:sz w:val="20"/>
                <w:szCs w:val="20"/>
              </w:rPr>
            </w:pPr>
          </w:p>
        </w:tc>
        <w:tc>
          <w:tcPr>
            <w:tcW w:w="1026" w:type="dxa"/>
            <w:noWrap w:val="0"/>
            <w:vAlign w:val="center"/>
          </w:tcPr>
          <w:p>
            <w:pPr>
              <w:spacing w:line="360" w:lineRule="auto"/>
              <w:ind w:right="-1"/>
              <w:jc w:val="center"/>
              <w:rPr>
                <w:rFonts w:hint="eastAsia" w:ascii="楷体" w:hAnsi="楷体" w:eastAsia="楷体" w:cs="楷体"/>
                <w:color w:val="auto"/>
                <w:sz w:val="20"/>
                <w:szCs w:val="20"/>
              </w:rPr>
            </w:pPr>
          </w:p>
        </w:tc>
        <w:tc>
          <w:tcPr>
            <w:tcW w:w="1067" w:type="dxa"/>
            <w:noWrap w:val="0"/>
            <w:vAlign w:val="center"/>
          </w:tcPr>
          <w:p>
            <w:pPr>
              <w:spacing w:line="360" w:lineRule="auto"/>
              <w:ind w:right="-1"/>
              <w:jc w:val="center"/>
              <w:rPr>
                <w:rFonts w:hint="eastAsia" w:ascii="楷体" w:hAnsi="楷体" w:eastAsia="楷体" w:cs="楷体"/>
                <w:color w:val="auto"/>
                <w:sz w:val="20"/>
                <w:szCs w:val="20"/>
              </w:rPr>
            </w:pPr>
          </w:p>
        </w:tc>
        <w:tc>
          <w:tcPr>
            <w:tcW w:w="667" w:type="dxa"/>
            <w:noWrap w:val="0"/>
            <w:vAlign w:val="center"/>
          </w:tcPr>
          <w:p>
            <w:pPr>
              <w:spacing w:line="360" w:lineRule="auto"/>
              <w:ind w:right="-1"/>
              <w:jc w:val="center"/>
              <w:rPr>
                <w:rFonts w:hint="eastAsia" w:ascii="楷体" w:hAnsi="楷体" w:eastAsia="楷体" w:cs="楷体"/>
                <w:color w:val="auto"/>
                <w:sz w:val="20"/>
                <w:szCs w:val="20"/>
              </w:rPr>
            </w:pPr>
          </w:p>
        </w:tc>
        <w:tc>
          <w:tcPr>
            <w:tcW w:w="653" w:type="dxa"/>
            <w:noWrap w:val="0"/>
            <w:vAlign w:val="center"/>
          </w:tcPr>
          <w:p>
            <w:pPr>
              <w:spacing w:line="360" w:lineRule="auto"/>
              <w:ind w:right="-1"/>
              <w:jc w:val="center"/>
              <w:rPr>
                <w:rFonts w:hint="eastAsia" w:ascii="楷体" w:hAnsi="楷体" w:eastAsia="楷体" w:cs="楷体"/>
                <w:color w:val="auto"/>
                <w:sz w:val="20"/>
                <w:szCs w:val="20"/>
              </w:rPr>
            </w:pPr>
          </w:p>
        </w:tc>
        <w:tc>
          <w:tcPr>
            <w:tcW w:w="749" w:type="dxa"/>
            <w:noWrap w:val="0"/>
            <w:vAlign w:val="center"/>
          </w:tcPr>
          <w:p>
            <w:pPr>
              <w:spacing w:line="360" w:lineRule="auto"/>
              <w:ind w:right="-1"/>
              <w:jc w:val="center"/>
              <w:rPr>
                <w:rFonts w:hint="eastAsia" w:ascii="楷体" w:hAnsi="楷体" w:eastAsia="楷体" w:cs="楷体"/>
                <w:color w:val="auto"/>
                <w:sz w:val="20"/>
                <w:szCs w:val="20"/>
              </w:rPr>
            </w:pPr>
          </w:p>
        </w:tc>
        <w:tc>
          <w:tcPr>
            <w:tcW w:w="864" w:type="dxa"/>
            <w:noWrap w:val="0"/>
            <w:vAlign w:val="center"/>
          </w:tcPr>
          <w:p>
            <w:pPr>
              <w:spacing w:line="360" w:lineRule="auto"/>
              <w:ind w:right="-1"/>
              <w:jc w:val="center"/>
              <w:rPr>
                <w:rFonts w:hint="eastAsia" w:ascii="楷体" w:hAnsi="楷体" w:eastAsia="楷体" w:cs="楷体"/>
                <w:color w:val="auto"/>
                <w:sz w:val="20"/>
                <w:szCs w:val="20"/>
              </w:rPr>
            </w:pPr>
          </w:p>
        </w:tc>
        <w:tc>
          <w:tcPr>
            <w:tcW w:w="877" w:type="dxa"/>
            <w:noWrap w:val="0"/>
            <w:vAlign w:val="center"/>
          </w:tcPr>
          <w:p>
            <w:pPr>
              <w:spacing w:line="360" w:lineRule="auto"/>
              <w:ind w:right="-1"/>
              <w:jc w:val="center"/>
              <w:rPr>
                <w:rFonts w:hint="eastAsia" w:ascii="楷体" w:hAnsi="楷体" w:eastAsia="楷体" w:cs="楷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82" w:type="dxa"/>
            <w:noWrap w:val="0"/>
            <w:vAlign w:val="center"/>
          </w:tcPr>
          <w:p>
            <w:pPr>
              <w:spacing w:line="360" w:lineRule="auto"/>
              <w:ind w:right="-1"/>
              <w:jc w:val="center"/>
              <w:rPr>
                <w:rFonts w:hint="eastAsia" w:ascii="楷体" w:hAnsi="楷体" w:eastAsia="楷体" w:cs="楷体"/>
                <w:color w:val="auto"/>
                <w:sz w:val="20"/>
                <w:szCs w:val="20"/>
              </w:rPr>
            </w:pPr>
            <w:r>
              <w:rPr>
                <w:rFonts w:hint="eastAsia" w:ascii="楷体" w:hAnsi="楷体" w:eastAsia="楷体" w:cs="楷体"/>
                <w:color w:val="auto"/>
                <w:sz w:val="20"/>
                <w:szCs w:val="20"/>
              </w:rPr>
              <w:t>2</w:t>
            </w:r>
          </w:p>
        </w:tc>
        <w:tc>
          <w:tcPr>
            <w:tcW w:w="1560" w:type="dxa"/>
            <w:noWrap w:val="0"/>
            <w:vAlign w:val="center"/>
          </w:tcPr>
          <w:p>
            <w:pPr>
              <w:spacing w:line="360" w:lineRule="auto"/>
              <w:ind w:right="-1"/>
              <w:jc w:val="center"/>
              <w:rPr>
                <w:rFonts w:hint="eastAsia" w:ascii="楷体" w:hAnsi="楷体" w:eastAsia="楷体" w:cs="楷体"/>
                <w:color w:val="auto"/>
                <w:sz w:val="20"/>
                <w:szCs w:val="20"/>
              </w:rPr>
            </w:pPr>
          </w:p>
        </w:tc>
        <w:tc>
          <w:tcPr>
            <w:tcW w:w="1026" w:type="dxa"/>
            <w:noWrap w:val="0"/>
            <w:vAlign w:val="center"/>
          </w:tcPr>
          <w:p>
            <w:pPr>
              <w:spacing w:line="360" w:lineRule="auto"/>
              <w:ind w:right="-1"/>
              <w:jc w:val="center"/>
              <w:rPr>
                <w:rFonts w:hint="eastAsia" w:ascii="楷体" w:hAnsi="楷体" w:eastAsia="楷体" w:cs="楷体"/>
                <w:color w:val="auto"/>
                <w:sz w:val="20"/>
                <w:szCs w:val="20"/>
              </w:rPr>
            </w:pPr>
          </w:p>
        </w:tc>
        <w:tc>
          <w:tcPr>
            <w:tcW w:w="1067" w:type="dxa"/>
            <w:noWrap w:val="0"/>
            <w:vAlign w:val="center"/>
          </w:tcPr>
          <w:p>
            <w:pPr>
              <w:spacing w:line="360" w:lineRule="auto"/>
              <w:ind w:right="-1"/>
              <w:jc w:val="center"/>
              <w:rPr>
                <w:rFonts w:hint="eastAsia" w:ascii="楷体" w:hAnsi="楷体" w:eastAsia="楷体" w:cs="楷体"/>
                <w:color w:val="auto"/>
                <w:sz w:val="20"/>
                <w:szCs w:val="20"/>
              </w:rPr>
            </w:pPr>
          </w:p>
        </w:tc>
        <w:tc>
          <w:tcPr>
            <w:tcW w:w="667" w:type="dxa"/>
            <w:noWrap w:val="0"/>
            <w:vAlign w:val="center"/>
          </w:tcPr>
          <w:p>
            <w:pPr>
              <w:spacing w:line="360" w:lineRule="auto"/>
              <w:ind w:right="-1"/>
              <w:jc w:val="center"/>
              <w:rPr>
                <w:rFonts w:hint="eastAsia" w:ascii="楷体" w:hAnsi="楷体" w:eastAsia="楷体" w:cs="楷体"/>
                <w:color w:val="auto"/>
                <w:sz w:val="20"/>
                <w:szCs w:val="20"/>
              </w:rPr>
            </w:pPr>
          </w:p>
        </w:tc>
        <w:tc>
          <w:tcPr>
            <w:tcW w:w="653" w:type="dxa"/>
            <w:noWrap w:val="0"/>
            <w:vAlign w:val="center"/>
          </w:tcPr>
          <w:p>
            <w:pPr>
              <w:spacing w:line="360" w:lineRule="auto"/>
              <w:ind w:right="-1"/>
              <w:jc w:val="center"/>
              <w:rPr>
                <w:rFonts w:hint="eastAsia" w:ascii="楷体" w:hAnsi="楷体" w:eastAsia="楷体" w:cs="楷体"/>
                <w:color w:val="auto"/>
                <w:sz w:val="20"/>
                <w:szCs w:val="20"/>
              </w:rPr>
            </w:pPr>
          </w:p>
        </w:tc>
        <w:tc>
          <w:tcPr>
            <w:tcW w:w="749" w:type="dxa"/>
            <w:noWrap w:val="0"/>
            <w:vAlign w:val="center"/>
          </w:tcPr>
          <w:p>
            <w:pPr>
              <w:spacing w:line="360" w:lineRule="auto"/>
              <w:ind w:right="-1"/>
              <w:jc w:val="center"/>
              <w:rPr>
                <w:rFonts w:hint="eastAsia" w:ascii="楷体" w:hAnsi="楷体" w:eastAsia="楷体" w:cs="楷体"/>
                <w:color w:val="auto"/>
                <w:sz w:val="20"/>
                <w:szCs w:val="20"/>
              </w:rPr>
            </w:pPr>
          </w:p>
        </w:tc>
        <w:tc>
          <w:tcPr>
            <w:tcW w:w="864" w:type="dxa"/>
            <w:noWrap w:val="0"/>
            <w:vAlign w:val="center"/>
          </w:tcPr>
          <w:p>
            <w:pPr>
              <w:spacing w:line="360" w:lineRule="auto"/>
              <w:ind w:right="-1"/>
              <w:jc w:val="center"/>
              <w:rPr>
                <w:rFonts w:hint="eastAsia" w:ascii="楷体" w:hAnsi="楷体" w:eastAsia="楷体" w:cs="楷体"/>
                <w:color w:val="auto"/>
                <w:sz w:val="20"/>
                <w:szCs w:val="20"/>
              </w:rPr>
            </w:pPr>
          </w:p>
        </w:tc>
        <w:tc>
          <w:tcPr>
            <w:tcW w:w="877" w:type="dxa"/>
            <w:noWrap w:val="0"/>
            <w:vAlign w:val="center"/>
          </w:tcPr>
          <w:p>
            <w:pPr>
              <w:spacing w:line="360" w:lineRule="auto"/>
              <w:ind w:right="-1"/>
              <w:jc w:val="center"/>
              <w:rPr>
                <w:rFonts w:hint="eastAsia" w:ascii="楷体" w:hAnsi="楷体" w:eastAsia="楷体" w:cs="楷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82" w:type="dxa"/>
            <w:noWrap w:val="0"/>
            <w:vAlign w:val="center"/>
          </w:tcPr>
          <w:p>
            <w:pPr>
              <w:spacing w:line="360" w:lineRule="auto"/>
              <w:ind w:right="-1"/>
              <w:jc w:val="center"/>
              <w:rPr>
                <w:rFonts w:hint="eastAsia" w:ascii="楷体" w:hAnsi="楷体" w:eastAsia="楷体" w:cs="楷体"/>
                <w:color w:val="auto"/>
                <w:sz w:val="20"/>
                <w:szCs w:val="20"/>
              </w:rPr>
            </w:pPr>
            <w:r>
              <w:rPr>
                <w:rFonts w:hint="eastAsia" w:ascii="楷体" w:hAnsi="楷体" w:eastAsia="楷体" w:cs="楷体"/>
                <w:color w:val="auto"/>
                <w:sz w:val="20"/>
                <w:szCs w:val="20"/>
              </w:rPr>
              <w:t>3</w:t>
            </w:r>
          </w:p>
        </w:tc>
        <w:tc>
          <w:tcPr>
            <w:tcW w:w="1560" w:type="dxa"/>
            <w:noWrap w:val="0"/>
            <w:vAlign w:val="center"/>
          </w:tcPr>
          <w:p>
            <w:pPr>
              <w:spacing w:line="360" w:lineRule="auto"/>
              <w:ind w:right="-1"/>
              <w:jc w:val="center"/>
              <w:rPr>
                <w:rFonts w:hint="eastAsia" w:ascii="楷体" w:hAnsi="楷体" w:eastAsia="楷体" w:cs="楷体"/>
                <w:color w:val="auto"/>
                <w:sz w:val="20"/>
                <w:szCs w:val="20"/>
              </w:rPr>
            </w:pPr>
          </w:p>
        </w:tc>
        <w:tc>
          <w:tcPr>
            <w:tcW w:w="1026" w:type="dxa"/>
            <w:noWrap w:val="0"/>
            <w:vAlign w:val="center"/>
          </w:tcPr>
          <w:p>
            <w:pPr>
              <w:spacing w:line="360" w:lineRule="auto"/>
              <w:ind w:right="-1"/>
              <w:jc w:val="center"/>
              <w:rPr>
                <w:rFonts w:hint="eastAsia" w:ascii="楷体" w:hAnsi="楷体" w:eastAsia="楷体" w:cs="楷体"/>
                <w:color w:val="auto"/>
                <w:sz w:val="20"/>
                <w:szCs w:val="20"/>
              </w:rPr>
            </w:pPr>
          </w:p>
        </w:tc>
        <w:tc>
          <w:tcPr>
            <w:tcW w:w="1067" w:type="dxa"/>
            <w:noWrap w:val="0"/>
            <w:vAlign w:val="center"/>
          </w:tcPr>
          <w:p>
            <w:pPr>
              <w:spacing w:line="360" w:lineRule="auto"/>
              <w:ind w:right="-1"/>
              <w:jc w:val="center"/>
              <w:rPr>
                <w:rFonts w:hint="eastAsia" w:ascii="楷体" w:hAnsi="楷体" w:eastAsia="楷体" w:cs="楷体"/>
                <w:color w:val="auto"/>
                <w:sz w:val="20"/>
                <w:szCs w:val="20"/>
              </w:rPr>
            </w:pPr>
          </w:p>
        </w:tc>
        <w:tc>
          <w:tcPr>
            <w:tcW w:w="667" w:type="dxa"/>
            <w:noWrap w:val="0"/>
            <w:vAlign w:val="center"/>
          </w:tcPr>
          <w:p>
            <w:pPr>
              <w:spacing w:line="360" w:lineRule="auto"/>
              <w:ind w:right="-1"/>
              <w:jc w:val="center"/>
              <w:rPr>
                <w:rFonts w:hint="eastAsia" w:ascii="楷体" w:hAnsi="楷体" w:eastAsia="楷体" w:cs="楷体"/>
                <w:color w:val="auto"/>
                <w:sz w:val="20"/>
                <w:szCs w:val="20"/>
              </w:rPr>
            </w:pPr>
          </w:p>
        </w:tc>
        <w:tc>
          <w:tcPr>
            <w:tcW w:w="653" w:type="dxa"/>
            <w:noWrap w:val="0"/>
            <w:vAlign w:val="center"/>
          </w:tcPr>
          <w:p>
            <w:pPr>
              <w:spacing w:line="360" w:lineRule="auto"/>
              <w:ind w:right="-1"/>
              <w:jc w:val="center"/>
              <w:rPr>
                <w:rFonts w:hint="eastAsia" w:ascii="楷体" w:hAnsi="楷体" w:eastAsia="楷体" w:cs="楷体"/>
                <w:color w:val="auto"/>
                <w:sz w:val="20"/>
                <w:szCs w:val="20"/>
              </w:rPr>
            </w:pPr>
          </w:p>
        </w:tc>
        <w:tc>
          <w:tcPr>
            <w:tcW w:w="749" w:type="dxa"/>
            <w:noWrap w:val="0"/>
            <w:vAlign w:val="center"/>
          </w:tcPr>
          <w:p>
            <w:pPr>
              <w:spacing w:line="360" w:lineRule="auto"/>
              <w:ind w:right="-1"/>
              <w:jc w:val="center"/>
              <w:rPr>
                <w:rFonts w:hint="eastAsia" w:ascii="楷体" w:hAnsi="楷体" w:eastAsia="楷体" w:cs="楷体"/>
                <w:color w:val="auto"/>
                <w:sz w:val="20"/>
                <w:szCs w:val="20"/>
              </w:rPr>
            </w:pPr>
          </w:p>
        </w:tc>
        <w:tc>
          <w:tcPr>
            <w:tcW w:w="864" w:type="dxa"/>
            <w:noWrap w:val="0"/>
            <w:vAlign w:val="center"/>
          </w:tcPr>
          <w:p>
            <w:pPr>
              <w:spacing w:line="360" w:lineRule="auto"/>
              <w:ind w:right="-1"/>
              <w:jc w:val="center"/>
              <w:rPr>
                <w:rFonts w:hint="eastAsia" w:ascii="楷体" w:hAnsi="楷体" w:eastAsia="楷体" w:cs="楷体"/>
                <w:color w:val="auto"/>
                <w:sz w:val="20"/>
                <w:szCs w:val="20"/>
              </w:rPr>
            </w:pPr>
          </w:p>
        </w:tc>
        <w:tc>
          <w:tcPr>
            <w:tcW w:w="877" w:type="dxa"/>
            <w:noWrap w:val="0"/>
            <w:vAlign w:val="center"/>
          </w:tcPr>
          <w:p>
            <w:pPr>
              <w:spacing w:line="360" w:lineRule="auto"/>
              <w:ind w:right="-1"/>
              <w:jc w:val="center"/>
              <w:rPr>
                <w:rFonts w:hint="eastAsia" w:ascii="楷体" w:hAnsi="楷体" w:eastAsia="楷体" w:cs="楷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45" w:type="dxa"/>
            <w:gridSpan w:val="9"/>
            <w:noWrap w:val="0"/>
            <w:vAlign w:val="center"/>
          </w:tcPr>
          <w:p>
            <w:pPr>
              <w:spacing w:line="360" w:lineRule="auto"/>
              <w:ind w:right="-1"/>
              <w:jc w:val="left"/>
              <w:rPr>
                <w:rFonts w:hint="eastAsia" w:ascii="楷体" w:hAnsi="楷体" w:eastAsia="楷体" w:cs="楷体"/>
                <w:color w:val="auto"/>
                <w:sz w:val="20"/>
                <w:szCs w:val="20"/>
              </w:rPr>
            </w:pPr>
            <w:r>
              <w:rPr>
                <w:rFonts w:hint="eastAsia" w:ascii="楷体" w:hAnsi="楷体" w:eastAsia="楷体" w:cs="楷体"/>
                <w:color w:val="auto"/>
                <w:sz w:val="20"/>
                <w:szCs w:val="20"/>
              </w:rPr>
              <w:t xml:space="preserve">人民币合计金额（大写）：                                    （小写）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45" w:type="dxa"/>
            <w:gridSpan w:val="9"/>
            <w:noWrap w:val="0"/>
            <w:vAlign w:val="center"/>
          </w:tcPr>
          <w:p>
            <w:pPr>
              <w:spacing w:line="360" w:lineRule="auto"/>
              <w:rPr>
                <w:rFonts w:hint="eastAsia" w:ascii="楷体" w:hAnsi="楷体" w:eastAsia="楷体" w:cs="楷体"/>
                <w:color w:val="auto"/>
                <w:sz w:val="20"/>
                <w:szCs w:val="20"/>
              </w:rPr>
            </w:pPr>
            <w:r>
              <w:rPr>
                <w:rFonts w:hint="eastAsia" w:ascii="楷体" w:hAnsi="楷体" w:eastAsia="楷体" w:cs="楷体"/>
                <w:b/>
                <w:bCs/>
                <w:color w:val="auto"/>
                <w:sz w:val="20"/>
                <w:szCs w:val="20"/>
              </w:rPr>
              <w:t>说明：</w:t>
            </w:r>
            <w:r>
              <w:rPr>
                <w:rFonts w:hint="eastAsia" w:ascii="楷体" w:hAnsi="楷体" w:eastAsia="楷体" w:cs="楷体"/>
                <w:color w:val="auto"/>
                <w:sz w:val="20"/>
                <w:szCs w:val="20"/>
              </w:rPr>
              <w:t>合计金额包括货物价款、备件、专用工具、安装、调试、检验、技术培训及技术资料和包装、运输等全部费用，甲方不再支付任何费用。</w:t>
            </w:r>
          </w:p>
        </w:tc>
      </w:tr>
    </w:tbl>
    <w:p>
      <w:pPr>
        <w:spacing w:line="360" w:lineRule="auto"/>
        <w:ind w:right="-1" w:firstLine="482" w:firstLineChars="200"/>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第二条 质量</w:t>
      </w:r>
      <w:bookmarkEnd w:id="6"/>
      <w:r>
        <w:rPr>
          <w:rFonts w:hint="eastAsia" w:ascii="楷体" w:hAnsi="楷体" w:eastAsia="楷体" w:cs="楷体"/>
          <w:b/>
          <w:bCs/>
          <w:color w:val="auto"/>
          <w:sz w:val="24"/>
          <w:szCs w:val="24"/>
        </w:rPr>
        <w:t>保证</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2.1 乙方所提供的货物型号、技术规格、技术参数等质量，必须符合国家、行业现行的设计、安全、质量等相关标准规范要求，与采购文件、投标（响应）文件和承诺相一致。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2.2 乙方所提供的货物必须是全新、未使用的原装产品，且在正常安装、使用和保养条件下，其使用寿命期内各项指标均达到质量要求。</w:t>
      </w:r>
    </w:p>
    <w:p>
      <w:pPr>
        <w:spacing w:line="360" w:lineRule="auto"/>
        <w:ind w:right="-1" w:firstLine="482" w:firstLineChars="200"/>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第三条 知识版权</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乙方应保证所提供货物在使用时不会侵犯任何第三方的专利权、商标权、工业设计权或其他权利。</w:t>
      </w:r>
    </w:p>
    <w:p>
      <w:pPr>
        <w:spacing w:line="360" w:lineRule="auto"/>
        <w:ind w:right="-1" w:firstLine="482" w:firstLineChars="200"/>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第四条 包装和运输</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4.1 乙方采用包装方式必须符合包装和运输的有关标准，包装应为制造商出厂时的原包装（特殊约定除外），每一包装单元内应附详细的装箱单和质量合格证。</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4.2 运输方式及费用负担</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由乙方负责运输至交货地点或者甲方指定地点，运输费用及安全均由乙方负责承担。                           由乙方负责卸车及就位，费用及安全均由乙方负责承担。</w:t>
      </w:r>
    </w:p>
    <w:p>
      <w:pPr>
        <w:spacing w:line="360" w:lineRule="auto"/>
        <w:ind w:right="-1" w:firstLine="482" w:firstLineChars="200"/>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第五条 交付和验收</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 xml:space="preserve">5.1 </w:t>
      </w:r>
      <w:r>
        <w:rPr>
          <w:rFonts w:hint="eastAsia" w:ascii="楷体" w:hAnsi="楷体" w:eastAsia="楷体" w:cs="楷体"/>
          <w:b/>
          <w:bCs/>
          <w:color w:val="auto"/>
          <w:sz w:val="24"/>
          <w:szCs w:val="24"/>
        </w:rPr>
        <w:t>交货时间：</w:t>
      </w:r>
      <w:r>
        <w:rPr>
          <w:rFonts w:hint="eastAsia" w:ascii="楷体" w:hAnsi="楷体" w:eastAsia="楷体" w:cs="楷体"/>
          <w:color w:val="auto"/>
          <w:sz w:val="24"/>
          <w:szCs w:val="24"/>
        </w:rPr>
        <w:t>乙方于合同签订的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个工作日内完成所有的供货；在具备安装条件之后，于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个工作日内完成所有设备的安装、调试工作。</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5.2 </w:t>
      </w:r>
      <w:r>
        <w:rPr>
          <w:rFonts w:hint="eastAsia" w:ascii="楷体" w:hAnsi="楷体" w:eastAsia="楷体" w:cs="楷体"/>
          <w:b/>
          <w:bCs/>
          <w:color w:val="auto"/>
          <w:sz w:val="24"/>
          <w:szCs w:val="24"/>
        </w:rPr>
        <w:t>指定履约人员：</w:t>
      </w:r>
      <w:r>
        <w:rPr>
          <w:rFonts w:hint="eastAsia" w:ascii="楷体" w:hAnsi="楷体" w:eastAsia="楷体" w:cs="楷体"/>
          <w:color w:val="auto"/>
          <w:sz w:val="24"/>
          <w:szCs w:val="24"/>
        </w:rPr>
        <w:t>甲方指定</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为代表，组织甲方相关人员检验、接收货物，签收（或送达）合同履行资料。乙方指定</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代表乙方交付货物，签收（或送达）合同履行资料。上述指定人员如需变更，应以书面形式于变更之日通知对方。非指定人员签署的履行资料，在结算时甲方不予认可。</w:t>
      </w:r>
    </w:p>
    <w:p>
      <w:pPr>
        <w:spacing w:line="360" w:lineRule="auto"/>
        <w:ind w:firstLine="560"/>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安装调试：</w:t>
      </w:r>
      <w:r>
        <w:rPr>
          <w:rFonts w:hint="eastAsia" w:ascii="楷体" w:hAnsi="楷体" w:eastAsia="楷体" w:cs="楷体"/>
          <w:color w:val="auto"/>
          <w:sz w:val="24"/>
          <w:szCs w:val="24"/>
        </w:rPr>
        <w:t>乙方负责在货物到达甲方交货地点或者指定地点7日内到甲方现场调试服务，遵守安全、文明规定，服从项目管理单位的管理，承担安全文明施工责任和成品保护责任。安装调试期间，若发生任何不安全事件(人员、设备、设施)，乙方负责承担。</w:t>
      </w:r>
    </w:p>
    <w:p>
      <w:pPr>
        <w:pStyle w:val="22"/>
        <w:spacing w:line="360" w:lineRule="auto"/>
        <w:ind w:firstLine="480"/>
        <w:jc w:val="left"/>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验收标准：</w:t>
      </w:r>
      <w:r>
        <w:rPr>
          <w:rFonts w:hint="eastAsia" w:ascii="楷体" w:hAnsi="楷体" w:eastAsia="楷体" w:cs="楷体"/>
          <w:color w:val="auto"/>
          <w:sz w:val="24"/>
          <w:szCs w:val="24"/>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pPr>
        <w:spacing w:line="360" w:lineRule="auto"/>
        <w:ind w:right="-1"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.1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.2 乙方交付时应向甲方提交以下证明材料和文件：产品合格证、原厂证明、产品出厂检测报告、医疗器械注册证、卫生许可证等质量证明文件。进口产品还须提供商检及报关证明材料，生产厂家提供针对本项目的产品售后服务承诺书。</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pPr>
        <w:spacing w:line="360" w:lineRule="auto"/>
        <w:ind w:right="-1" w:firstLine="482" w:firstLineChars="200"/>
        <w:rPr>
          <w:rFonts w:hint="eastAsia" w:ascii="楷体" w:hAnsi="楷体" w:eastAsia="楷体" w:cs="楷体"/>
          <w:b/>
          <w:bCs/>
          <w:color w:val="auto"/>
          <w:kern w:val="0"/>
          <w:sz w:val="24"/>
          <w:szCs w:val="24"/>
        </w:rPr>
      </w:pPr>
      <w:r>
        <w:rPr>
          <w:rFonts w:hint="eastAsia" w:ascii="楷体" w:hAnsi="楷体" w:eastAsia="楷体" w:cs="楷体"/>
          <w:b/>
          <w:bCs/>
          <w:color w:val="auto"/>
          <w:sz w:val="24"/>
          <w:szCs w:val="24"/>
        </w:rPr>
        <w:t>5.</w:t>
      </w:r>
      <w:r>
        <w:rPr>
          <w:rFonts w:hint="eastAsia" w:ascii="楷体" w:hAnsi="楷体" w:eastAsia="楷体" w:cs="楷体"/>
          <w:b/>
          <w:bCs/>
          <w:color w:val="auto"/>
          <w:sz w:val="24"/>
          <w:szCs w:val="24"/>
          <w:lang w:val="en-US" w:eastAsia="zh-CN"/>
        </w:rPr>
        <w:t>5</w:t>
      </w:r>
      <w:r>
        <w:rPr>
          <w:rFonts w:hint="eastAsia" w:ascii="楷体" w:hAnsi="楷体" w:eastAsia="楷体" w:cs="楷体"/>
          <w:b/>
          <w:bCs/>
          <w:color w:val="auto"/>
          <w:sz w:val="24"/>
          <w:szCs w:val="24"/>
        </w:rPr>
        <w:t xml:space="preserve"> 技术培训</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乙方应在使用操作和维修技术方面及临床应用向甲方提供培训，直至正确使用、熟练操作；同时，乙方须于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内安排甲方指定人员</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人次在</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等地三级甲等医院或</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医院进行技术操作、维修维护学习，每人次学习时间不少于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，并承担培训所有费用。</w:t>
      </w:r>
    </w:p>
    <w:p>
      <w:pPr>
        <w:spacing w:line="360" w:lineRule="auto"/>
        <w:ind w:right="-1" w:firstLine="482" w:firstLineChars="200"/>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第六条 货款结算</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6.1 本合同以人民币付款。</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合同总价款：</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元，大写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；本合同执行期间合同总价不变，该价格已经包含本合同第一条约定的所有费用。</w:t>
      </w:r>
    </w:p>
    <w:p>
      <w:pPr>
        <w:adjustRightInd w:val="0"/>
        <w:snapToGrid w:val="0"/>
        <w:spacing w:line="360" w:lineRule="auto"/>
        <w:ind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6.2 结算方式：银行承兑汇票或电汇。</w:t>
      </w:r>
    </w:p>
    <w:p>
      <w:pPr>
        <w:spacing w:line="360" w:lineRule="auto"/>
        <w:ind w:right="-1" w:firstLine="480" w:firstLineChars="200"/>
        <w:rPr>
          <w:rFonts w:hint="eastAsia" w:ascii="楷体" w:hAnsi="楷体" w:eastAsia="楷体" w:cs="楷体"/>
          <w:b/>
          <w:bCs/>
          <w:color w:val="auto"/>
          <w:sz w:val="24"/>
          <w:szCs w:val="24"/>
          <w:u w:val="single"/>
        </w:rPr>
      </w:pPr>
      <w:r>
        <w:rPr>
          <w:rFonts w:hint="eastAsia" w:ascii="楷体" w:hAnsi="楷体" w:eastAsia="楷体" w:cs="楷体"/>
          <w:color w:val="auto"/>
          <w:sz w:val="24"/>
          <w:szCs w:val="24"/>
        </w:rPr>
        <w:t>6.3 付款条件与具体的付款金额：</w:t>
      </w:r>
      <w:r>
        <w:rPr>
          <w:rFonts w:hint="eastAsia" w:ascii="楷体" w:hAnsi="楷体" w:eastAsia="楷体" w:cs="楷体"/>
          <w:b/>
          <w:bCs/>
          <w:color w:val="auto"/>
          <w:sz w:val="24"/>
          <w:szCs w:val="24"/>
          <w:u w:val="single"/>
        </w:rPr>
        <w:t>（提示：请按合同金额保留相对应的付款条件，删除多余项及本条提示信息）</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auto"/>
          <w:sz w:val="24"/>
          <w:szCs w:val="24"/>
          <w:u w:val="single"/>
        </w:rPr>
      </w:pPr>
      <w:r>
        <w:rPr>
          <w:rFonts w:hint="eastAsia" w:ascii="楷体" w:hAnsi="楷体" w:eastAsia="楷体" w:cs="楷体"/>
          <w:b/>
          <w:color w:val="auto"/>
          <w:sz w:val="24"/>
          <w:szCs w:val="24"/>
          <w:u w:val="single"/>
        </w:rPr>
        <w:t>合同金额＜100万：</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6.3.1 全部安装、调试完成，验收合格交付使用，乙方开具正式发票后，三个月内甲方支付给乙方合同总价的40%。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6.3.2 剩余未付款项按月支付，在此之后的六个月内支付合同总价的50%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auto"/>
          <w:sz w:val="24"/>
          <w:szCs w:val="24"/>
          <w:u w:val="single"/>
        </w:rPr>
      </w:pPr>
      <w:r>
        <w:rPr>
          <w:rFonts w:hint="eastAsia" w:ascii="楷体" w:hAnsi="楷体" w:eastAsia="楷体" w:cs="楷体"/>
          <w:b/>
          <w:color w:val="auto"/>
          <w:sz w:val="24"/>
          <w:szCs w:val="24"/>
          <w:u w:val="single"/>
        </w:rPr>
        <w:t>100万≤合同金额＜300万：</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6.3.1 全部安装、调试完成，验收合格交付使用，乙方开具正式发票后，三个月内甲方支付给乙方合同总价的30%。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6.3.2 剩余未付款项按月支付，在此之后的九个月内支付合同总价的60%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auto"/>
          <w:sz w:val="24"/>
          <w:szCs w:val="24"/>
          <w:u w:val="single"/>
        </w:rPr>
      </w:pPr>
      <w:r>
        <w:rPr>
          <w:rFonts w:hint="eastAsia" w:ascii="楷体" w:hAnsi="楷体" w:eastAsia="楷体" w:cs="楷体"/>
          <w:b/>
          <w:color w:val="auto"/>
          <w:sz w:val="24"/>
          <w:szCs w:val="24"/>
          <w:u w:val="single"/>
        </w:rPr>
        <w:t>300万≤合同金额＜600万：</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6.3.1 全部安装、调试完成，验收合格交付使用，乙方开具正式发票后，三个月内甲方支付给乙方合同总价的20%。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6.3.2 剩余未付款项按月支付，在此之后的十二个月内支付合同总价的70%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auto"/>
          <w:sz w:val="24"/>
          <w:szCs w:val="24"/>
          <w:u w:val="single"/>
        </w:rPr>
      </w:pPr>
      <w:r>
        <w:rPr>
          <w:rFonts w:hint="eastAsia" w:ascii="楷体" w:hAnsi="楷体" w:eastAsia="楷体" w:cs="楷体"/>
          <w:b/>
          <w:color w:val="auto"/>
          <w:sz w:val="24"/>
          <w:szCs w:val="24"/>
          <w:u w:val="single"/>
        </w:rPr>
        <w:t>600万≤合同金额＜1000万：</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6.3.1 全部安装、调试完成，验收合格交付使用，乙方开具正式发票后，三个月内甲方支付给乙方合同总价的15%。</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6.3.2 剩余未付款项按月支付，在此之后的十五个月内支付合同总价的75%</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6.3.3 剩余10%无遗留问题后一次性支付。</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outlineLvl w:val="0"/>
        <w:rPr>
          <w:rFonts w:hint="eastAsia" w:ascii="楷体" w:hAnsi="楷体" w:eastAsia="楷体" w:cs="楷体"/>
          <w:b/>
          <w:color w:val="auto"/>
          <w:sz w:val="24"/>
          <w:szCs w:val="24"/>
          <w:u w:val="single"/>
        </w:rPr>
      </w:pPr>
      <w:r>
        <w:rPr>
          <w:rFonts w:hint="eastAsia" w:ascii="楷体" w:hAnsi="楷体" w:eastAsia="楷体" w:cs="楷体"/>
          <w:b/>
          <w:color w:val="auto"/>
          <w:sz w:val="24"/>
          <w:szCs w:val="24"/>
          <w:u w:val="single"/>
        </w:rPr>
        <w:t>合同金额≥1000万：</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6.3.1 全部安装、调试完成，验收合格交付使用，乙方开具正式发票后，三个月内甲方支付给乙方合同总价的10%。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6.3.2 剩余未付款项按月支付，在此之后的十八个月内支付合同总价的80%</w:t>
      </w:r>
    </w:p>
    <w:p>
      <w:pPr>
        <w:spacing w:line="360" w:lineRule="auto"/>
        <w:ind w:right="-1" w:firstLine="480" w:firstLineChars="200"/>
        <w:outlineLvl w:val="0"/>
        <w:rPr>
          <w:rFonts w:hint="eastAsia" w:ascii="楷体" w:hAnsi="楷体" w:eastAsia="楷体" w:cs="楷体"/>
          <w:color w:val="auto"/>
          <w:sz w:val="24"/>
          <w:szCs w:val="24"/>
        </w:rPr>
      </w:pPr>
      <w:r>
        <w:rPr>
          <w:rFonts w:hint="eastAsia" w:ascii="楷体" w:hAnsi="楷体" w:eastAsia="楷体" w:cs="楷体"/>
          <w:color w:val="auto"/>
          <w:sz w:val="24"/>
          <w:szCs w:val="24"/>
        </w:rPr>
        <w:t>6.3.3 剩余10%无遗留问题后一次性支付。</w:t>
      </w:r>
    </w:p>
    <w:p>
      <w:pPr>
        <w:spacing w:line="360" w:lineRule="auto"/>
        <w:ind w:right="-1" w:firstLine="482" w:firstLineChars="200"/>
        <w:outlineLvl w:val="0"/>
        <w:rPr>
          <w:rFonts w:hint="eastAsia" w:ascii="楷体" w:hAnsi="楷体" w:eastAsia="楷体" w:cs="楷体"/>
          <w:color w:val="auto"/>
          <w:sz w:val="24"/>
          <w:szCs w:val="24"/>
        </w:rPr>
      </w:pPr>
      <w:r>
        <w:rPr>
          <w:rFonts w:hint="eastAsia" w:ascii="楷体" w:hAnsi="楷体" w:eastAsia="楷体" w:cs="楷体"/>
          <w:b/>
          <w:bCs/>
          <w:color w:val="auto"/>
          <w:sz w:val="24"/>
          <w:szCs w:val="24"/>
        </w:rPr>
        <w:t>第七条 售后服务</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7.1乙方应按国家相关法规及采购文件、投标（响应）文件对售后服务的要求和响应提供服务，所有设备免费质保期为</w:t>
      </w:r>
      <w:r>
        <w:rPr>
          <w:rFonts w:hint="eastAsia" w:ascii="楷体" w:hAnsi="楷体" w:eastAsia="楷体" w:cs="楷体"/>
          <w:color w:val="auto"/>
          <w:sz w:val="24"/>
          <w:szCs w:val="24"/>
          <w:u w:val="single"/>
        </w:rPr>
        <w:t xml:space="preserve">        年</w:t>
      </w:r>
      <w:r>
        <w:rPr>
          <w:rFonts w:hint="eastAsia" w:ascii="楷体" w:hAnsi="楷体" w:eastAsia="楷体" w:cs="楷体"/>
          <w:color w:val="auto"/>
          <w:sz w:val="24"/>
          <w:szCs w:val="24"/>
        </w:rPr>
        <w:t>，自甲乙双方签署货物验收单的次日起算。</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7.2 质保期内，乙方将定期（≥   次/年）派员对甲方使用的货物进行检测，应保证货物处于正常使用状态；提供技术支持；进行系统免费升级；更换非人为因素损坏的零配件。</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7.3 质保期内，如出现</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次（含）以上非人为因素引起的故障或开机率＜95%，影响甲方使用，乙方负责在</w:t>
      </w:r>
      <w:r>
        <w:rPr>
          <w:rFonts w:hint="eastAsia" w:ascii="楷体" w:hAnsi="楷体" w:eastAsia="楷体" w:cs="楷体"/>
          <w:color w:val="auto"/>
          <w:sz w:val="24"/>
          <w:szCs w:val="24"/>
          <w:u w:val="single"/>
        </w:rPr>
        <w:t>10</w:t>
      </w:r>
      <w:r>
        <w:rPr>
          <w:rFonts w:hint="eastAsia" w:ascii="楷体" w:hAnsi="楷体" w:eastAsia="楷体" w:cs="楷体"/>
          <w:color w:val="auto"/>
          <w:sz w:val="24"/>
          <w:szCs w:val="24"/>
        </w:rPr>
        <w:t>个工作日内免费更换相同新设备。</w:t>
      </w:r>
    </w:p>
    <w:p>
      <w:pPr>
        <w:spacing w:line="360" w:lineRule="auto"/>
        <w:ind w:right="-1"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szCs w:val="24"/>
        </w:rPr>
        <w:t xml:space="preserve">7.4 如因设备质量或原始标（警）示不清等原因，导致甲方损失，或造成甲方操作人员、第三方人员人身伤害，乙方承担相关赔偿责任。                    </w:t>
      </w:r>
    </w:p>
    <w:p>
      <w:pPr>
        <w:spacing w:line="360" w:lineRule="auto"/>
        <w:ind w:right="-1" w:firstLine="482" w:firstLineChars="200"/>
        <w:outlineLvl w:val="0"/>
        <w:rPr>
          <w:rFonts w:hint="eastAsia" w:ascii="楷体" w:hAnsi="楷体" w:eastAsia="楷体" w:cs="楷体"/>
          <w:color w:val="auto"/>
          <w:sz w:val="24"/>
          <w:szCs w:val="24"/>
        </w:rPr>
      </w:pPr>
      <w:bookmarkStart w:id="7" w:name="_Toc341030123"/>
      <w:r>
        <w:rPr>
          <w:rFonts w:hint="eastAsia" w:ascii="楷体" w:hAnsi="楷体" w:eastAsia="楷体" w:cs="楷体"/>
          <w:b/>
          <w:bCs/>
          <w:color w:val="auto"/>
          <w:sz w:val="24"/>
          <w:szCs w:val="24"/>
        </w:rPr>
        <w:t>第八条 合同的变更、解除与转让</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8.1 甲乙双方除非事先得到对方的书面同意或本合同另有约定，任何一方不得将合同项下的任何权利、义务、责任转让给任何第三方，不得擅自变更、中止或终止本合同。</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8.2 乙方逾期未完成约定义务超过</w:t>
      </w:r>
      <w:r>
        <w:rPr>
          <w:rFonts w:hint="eastAsia" w:ascii="楷体" w:hAnsi="楷体" w:eastAsia="楷体" w:cs="楷体"/>
          <w:color w:val="auto"/>
          <w:sz w:val="24"/>
          <w:szCs w:val="24"/>
          <w:u w:val="single"/>
        </w:rPr>
        <w:t xml:space="preserve"> 5 </w:t>
      </w:r>
      <w:r>
        <w:rPr>
          <w:rFonts w:hint="eastAsia" w:ascii="楷体" w:hAnsi="楷体" w:eastAsia="楷体" w:cs="楷体"/>
          <w:color w:val="auto"/>
          <w:sz w:val="24"/>
          <w:szCs w:val="24"/>
        </w:rPr>
        <w:t>个工作日，甲方有权单方解除本合同。</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8.3 乙方履行本合同约定义务时，未达到甲方要求，修改或整改超过</w:t>
      </w:r>
      <w:r>
        <w:rPr>
          <w:rFonts w:hint="eastAsia" w:ascii="楷体" w:hAnsi="楷体" w:eastAsia="楷体" w:cs="楷体"/>
          <w:color w:val="auto"/>
          <w:sz w:val="24"/>
          <w:szCs w:val="24"/>
          <w:u w:val="single"/>
        </w:rPr>
        <w:t xml:space="preserve"> 2 </w:t>
      </w:r>
      <w:r>
        <w:rPr>
          <w:rFonts w:hint="eastAsia" w:ascii="楷体" w:hAnsi="楷体" w:eastAsia="楷体" w:cs="楷体"/>
          <w:color w:val="auto"/>
          <w:sz w:val="24"/>
          <w:szCs w:val="24"/>
        </w:rPr>
        <w:t>次，仍然无法达到甲方要求，甲方有权单方解除本合同。</w:t>
      </w:r>
    </w:p>
    <w:p>
      <w:pPr>
        <w:spacing w:line="360" w:lineRule="auto"/>
        <w:ind w:right="-1" w:firstLine="482" w:firstLineChars="200"/>
        <w:outlineLvl w:val="0"/>
        <w:rPr>
          <w:rFonts w:hint="eastAsia" w:ascii="楷体" w:hAnsi="楷体" w:eastAsia="楷体" w:cs="楷体"/>
          <w:color w:val="auto"/>
          <w:sz w:val="24"/>
          <w:szCs w:val="24"/>
        </w:rPr>
      </w:pPr>
      <w:r>
        <w:rPr>
          <w:rFonts w:hint="eastAsia" w:ascii="楷体" w:hAnsi="楷体" w:eastAsia="楷体" w:cs="楷体"/>
          <w:b/>
          <w:bCs/>
          <w:color w:val="auto"/>
          <w:sz w:val="24"/>
          <w:szCs w:val="24"/>
        </w:rPr>
        <w:t>第九条 违约责任</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9.1 甲方没有按本合同约定的时间和数额支付合同约定款项的，收到书面催付15日后按迟延支付金额的</w:t>
      </w:r>
      <w:r>
        <w:rPr>
          <w:rFonts w:hint="eastAsia" w:ascii="楷体" w:hAnsi="楷体" w:eastAsia="楷体" w:cs="楷体"/>
          <w:color w:val="auto"/>
          <w:sz w:val="24"/>
          <w:szCs w:val="24"/>
          <w:u w:val="single"/>
        </w:rPr>
        <w:t xml:space="preserve">1‰ </w:t>
      </w:r>
      <w:r>
        <w:rPr>
          <w:rFonts w:hint="eastAsia" w:ascii="楷体" w:hAnsi="楷体" w:eastAsia="楷体" w:cs="楷体"/>
          <w:color w:val="auto"/>
          <w:sz w:val="24"/>
          <w:szCs w:val="24"/>
        </w:rPr>
        <w:t>（日）的标准向乙方支付违约金。</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9.2 乙方逾期交付货物的，乙方应按逾期交货部分总价款每日1‰向甲方支付违约金，由甲方从待付价款中直接扣除；逾期超过约定日期15个工作日不能交货的，甲方可单方面解除本合同。</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9.3 乙方因逾期交货或因其他违约行为导致甲方解除合同的，乙方应向甲方支付本合同约定总价款10%的违约金，如造成甲方损失超过违约金的，超出部分由乙方继续承担赔偿责任。</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9.5 乙方提供的货物如侵犯了第三方合法权益而引发的任何纠纷或诉讼，均由乙方负责交涉并承担全部责任。</w:t>
      </w:r>
    </w:p>
    <w:bookmarkEnd w:id="7"/>
    <w:p>
      <w:pPr>
        <w:spacing w:line="360" w:lineRule="auto"/>
        <w:ind w:firstLine="482" w:firstLineChars="200"/>
        <w:jc w:val="left"/>
        <w:rPr>
          <w:rFonts w:hint="eastAsia" w:ascii="楷体" w:hAnsi="楷体" w:eastAsia="楷体" w:cs="楷体"/>
          <w:b/>
          <w:color w:val="auto"/>
          <w:sz w:val="24"/>
          <w:szCs w:val="24"/>
        </w:rPr>
      </w:pPr>
      <w:r>
        <w:rPr>
          <w:rFonts w:hint="eastAsia" w:ascii="楷体" w:hAnsi="楷体" w:eastAsia="楷体" w:cs="楷体"/>
          <w:b/>
          <w:bCs/>
          <w:color w:val="auto"/>
          <w:sz w:val="24"/>
          <w:szCs w:val="24"/>
        </w:rPr>
        <w:t>第十条</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不可抗力</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pPr>
        <w:spacing w:line="360" w:lineRule="auto"/>
        <w:ind w:firstLine="482" w:firstLineChars="200"/>
        <w:jc w:val="left"/>
        <w:rPr>
          <w:rFonts w:hint="eastAsia" w:ascii="楷体" w:hAnsi="楷体" w:eastAsia="楷体" w:cs="楷体"/>
          <w:b/>
          <w:bCs/>
          <w:color w:val="auto"/>
          <w:sz w:val="24"/>
          <w:szCs w:val="24"/>
        </w:rPr>
      </w:pPr>
      <w:r>
        <w:rPr>
          <w:rFonts w:hint="eastAsia" w:ascii="楷体" w:hAnsi="楷体" w:eastAsia="楷体" w:cs="楷体"/>
          <w:b/>
          <w:bCs/>
          <w:color w:val="auto"/>
          <w:sz w:val="24"/>
          <w:szCs w:val="24"/>
        </w:rPr>
        <w:t>第十一条 争议解决办法</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11.2 合同履行期间，若双方发生争议，可协商或由相关部门调解解决，协商或调解不成的，应向甲方所在地的人民法院提起诉讼。</w:t>
      </w:r>
    </w:p>
    <w:p>
      <w:pPr>
        <w:spacing w:line="360" w:lineRule="auto"/>
        <w:ind w:firstLine="482" w:firstLineChars="200"/>
        <w:jc w:val="left"/>
        <w:rPr>
          <w:rFonts w:hint="eastAsia" w:ascii="楷体" w:hAnsi="楷体" w:eastAsia="楷体" w:cs="楷体"/>
          <w:b/>
          <w:bCs/>
          <w:color w:val="auto"/>
          <w:sz w:val="24"/>
          <w:szCs w:val="24"/>
        </w:rPr>
      </w:pPr>
      <w:r>
        <w:rPr>
          <w:rFonts w:hint="eastAsia" w:ascii="楷体" w:hAnsi="楷体" w:eastAsia="楷体" w:cs="楷体"/>
          <w:b/>
          <w:bCs/>
          <w:color w:val="auto"/>
          <w:sz w:val="24"/>
          <w:szCs w:val="24"/>
        </w:rPr>
        <w:t xml:space="preserve">第十二条  其他   </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12.1 招投标文件、承诺书以及合同附件是本合同不可分割的组成部分，与本合同具有同等法律效力。</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12.2 本合同未尽事宜，由甲乙双方协商后产生书面文件，作为本合同的补充条款，具备与本合同同等法律效力。 </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12.3 对本合同内容的任何修改和变更需要用书面形式，并经双方签字盖章确认后生效。</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12.4 甲乙双方须共同遵守《医药购销廉洁协议书》的有关规定，诚信经营、合法经营。</w:t>
      </w:r>
    </w:p>
    <w:p>
      <w:pPr>
        <w:spacing w:line="360" w:lineRule="auto"/>
        <w:ind w:right="-1"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12.5 本合同一式五份，甲方肆份，乙方壹份。本合同自甲乙双方签字盖章后生效。</w:t>
      </w:r>
    </w:p>
    <w:p>
      <w:pPr>
        <w:keepNext w:val="0"/>
        <w:keepLines w:val="0"/>
        <w:pageBreakBefore w:val="0"/>
        <w:widowControl w:val="0"/>
        <w:kinsoku/>
        <w:wordWrap/>
        <w:overflowPunct/>
        <w:topLinePunct w:val="0"/>
        <w:autoSpaceDE/>
        <w:autoSpaceDN/>
        <w:bidi w:val="0"/>
        <w:adjustRightInd/>
        <w:snapToGrid/>
        <w:spacing w:line="360" w:lineRule="auto"/>
        <w:ind w:right="-1"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附件：1.设备整套完整资质文件</w:t>
      </w:r>
    </w:p>
    <w:p>
      <w:pPr>
        <w:keepNext w:val="0"/>
        <w:keepLines w:val="0"/>
        <w:pageBreakBefore w:val="0"/>
        <w:widowControl w:val="0"/>
        <w:kinsoku/>
        <w:wordWrap/>
        <w:overflowPunct/>
        <w:topLinePunct w:val="0"/>
        <w:autoSpaceDE/>
        <w:autoSpaceDN/>
        <w:bidi w:val="0"/>
        <w:adjustRightInd/>
        <w:snapToGrid/>
        <w:spacing w:line="360" w:lineRule="auto"/>
        <w:ind w:right="-1" w:firstLine="1192" w:firstLineChars="497"/>
        <w:textAlignment w:val="auto"/>
        <w:outlineLvl w:val="0"/>
        <w:rPr>
          <w:rFonts w:hint="eastAsia" w:ascii="楷体" w:hAnsi="楷体" w:eastAsia="楷体" w:cs="楷体"/>
          <w:color w:val="auto"/>
          <w:sz w:val="24"/>
          <w:szCs w:val="24"/>
        </w:rPr>
      </w:pPr>
      <w:r>
        <w:rPr>
          <w:rFonts w:hint="eastAsia" w:ascii="楷体" w:hAnsi="楷体" w:eastAsia="楷体" w:cs="楷体"/>
          <w:color w:val="auto"/>
          <w:sz w:val="24"/>
          <w:szCs w:val="24"/>
        </w:rPr>
        <w:t>2.法人授权(含身份证正面复印件)</w:t>
      </w:r>
    </w:p>
    <w:p>
      <w:pPr>
        <w:keepNext w:val="0"/>
        <w:keepLines w:val="0"/>
        <w:pageBreakBefore w:val="0"/>
        <w:widowControl w:val="0"/>
        <w:kinsoku/>
        <w:wordWrap/>
        <w:overflowPunct/>
        <w:topLinePunct w:val="0"/>
        <w:autoSpaceDE/>
        <w:autoSpaceDN/>
        <w:bidi w:val="0"/>
        <w:adjustRightInd/>
        <w:snapToGrid/>
        <w:spacing w:line="360" w:lineRule="auto"/>
        <w:ind w:right="-1" w:firstLine="1192" w:firstLineChars="497"/>
        <w:textAlignment w:val="auto"/>
        <w:outlineLvl w:val="0"/>
        <w:rPr>
          <w:rFonts w:hint="eastAsia" w:ascii="楷体" w:hAnsi="楷体" w:eastAsia="楷体" w:cs="楷体"/>
          <w:color w:val="auto"/>
          <w:sz w:val="24"/>
          <w:szCs w:val="24"/>
        </w:rPr>
      </w:pPr>
      <w:r>
        <w:rPr>
          <w:rFonts w:hint="eastAsia" w:ascii="楷体" w:hAnsi="楷体" w:eastAsia="楷体" w:cs="楷体"/>
          <w:color w:val="auto"/>
          <w:sz w:val="24"/>
          <w:szCs w:val="24"/>
        </w:rPr>
        <w:t>3.设备配置清单</w:t>
      </w:r>
    </w:p>
    <w:p>
      <w:pPr>
        <w:keepNext w:val="0"/>
        <w:keepLines w:val="0"/>
        <w:pageBreakBefore w:val="0"/>
        <w:widowControl w:val="0"/>
        <w:kinsoku/>
        <w:wordWrap/>
        <w:overflowPunct/>
        <w:topLinePunct w:val="0"/>
        <w:autoSpaceDE/>
        <w:autoSpaceDN/>
        <w:bidi w:val="0"/>
        <w:adjustRightInd/>
        <w:snapToGrid/>
        <w:spacing w:line="360" w:lineRule="auto"/>
        <w:ind w:right="-1" w:firstLine="1192" w:firstLineChars="497"/>
        <w:textAlignment w:val="auto"/>
        <w:outlineLvl w:val="0"/>
        <w:rPr>
          <w:rFonts w:hint="eastAsia" w:ascii="楷体" w:hAnsi="楷体" w:eastAsia="楷体" w:cs="楷体"/>
          <w:color w:val="auto"/>
          <w:sz w:val="24"/>
          <w:szCs w:val="24"/>
        </w:rPr>
      </w:pPr>
      <w:r>
        <w:rPr>
          <w:rFonts w:hint="eastAsia" w:ascii="楷体" w:hAnsi="楷体" w:eastAsia="楷体" w:cs="楷体"/>
          <w:color w:val="auto"/>
          <w:sz w:val="24"/>
          <w:szCs w:val="24"/>
        </w:rPr>
        <w:t>4.仪器设备技术参数响应偏离表</w:t>
      </w:r>
    </w:p>
    <w:p>
      <w:pPr>
        <w:keepNext w:val="0"/>
        <w:keepLines w:val="0"/>
        <w:pageBreakBefore w:val="0"/>
        <w:widowControl w:val="0"/>
        <w:kinsoku/>
        <w:wordWrap/>
        <w:overflowPunct/>
        <w:topLinePunct w:val="0"/>
        <w:autoSpaceDE/>
        <w:autoSpaceDN/>
        <w:bidi w:val="0"/>
        <w:adjustRightInd/>
        <w:snapToGrid/>
        <w:spacing w:line="360" w:lineRule="auto"/>
        <w:ind w:right="-1" w:firstLine="1192" w:firstLineChars="497"/>
        <w:textAlignment w:val="auto"/>
        <w:outlineLvl w:val="0"/>
        <w:rPr>
          <w:rFonts w:hint="eastAsia" w:ascii="楷体" w:hAnsi="楷体" w:eastAsia="楷体" w:cs="楷体"/>
          <w:color w:val="auto"/>
          <w:sz w:val="24"/>
          <w:szCs w:val="24"/>
        </w:rPr>
      </w:pPr>
      <w:r>
        <w:rPr>
          <w:rFonts w:hint="eastAsia" w:ascii="楷体" w:hAnsi="楷体" w:eastAsia="楷体" w:cs="楷体"/>
          <w:color w:val="auto"/>
          <w:sz w:val="24"/>
          <w:szCs w:val="24"/>
        </w:rPr>
        <w:t>5.售后服务承诺</w:t>
      </w:r>
    </w:p>
    <w:p>
      <w:pPr>
        <w:keepNext w:val="0"/>
        <w:keepLines w:val="0"/>
        <w:pageBreakBefore w:val="0"/>
        <w:widowControl w:val="0"/>
        <w:kinsoku/>
        <w:wordWrap/>
        <w:overflowPunct/>
        <w:topLinePunct w:val="0"/>
        <w:autoSpaceDE/>
        <w:autoSpaceDN/>
        <w:bidi w:val="0"/>
        <w:adjustRightInd/>
        <w:snapToGrid/>
        <w:spacing w:line="360" w:lineRule="auto"/>
        <w:ind w:right="-1" w:firstLine="1192" w:firstLineChars="497"/>
        <w:textAlignment w:val="auto"/>
        <w:outlineLvl w:val="0"/>
        <w:rPr>
          <w:rFonts w:hint="eastAsia" w:ascii="楷体" w:hAnsi="楷体" w:eastAsia="楷体" w:cs="楷体"/>
          <w:color w:val="auto"/>
          <w:sz w:val="24"/>
          <w:szCs w:val="24"/>
        </w:rPr>
      </w:pPr>
      <w:r>
        <w:rPr>
          <w:rFonts w:hint="eastAsia" w:ascii="楷体" w:hAnsi="楷体" w:eastAsia="楷体" w:cs="楷体"/>
          <w:color w:val="auto"/>
          <w:sz w:val="24"/>
          <w:szCs w:val="24"/>
        </w:rPr>
        <w:t>6.中标通知书</w:t>
      </w:r>
    </w:p>
    <w:p>
      <w:pPr>
        <w:keepNext w:val="0"/>
        <w:keepLines w:val="0"/>
        <w:pageBreakBefore w:val="0"/>
        <w:widowControl w:val="0"/>
        <w:numPr>
          <w:ilvl w:val="0"/>
          <w:numId w:val="0"/>
        </w:numPr>
        <w:tabs>
          <w:tab w:val="left" w:pos="1440"/>
        </w:tabs>
        <w:kinsoku/>
        <w:wordWrap/>
        <w:overflowPunct/>
        <w:topLinePunct w:val="0"/>
        <w:autoSpaceDE/>
        <w:autoSpaceDN/>
        <w:bidi w:val="0"/>
        <w:adjustRightInd/>
        <w:snapToGrid/>
        <w:spacing w:line="360" w:lineRule="auto"/>
        <w:ind w:firstLine="1200" w:firstLineChars="5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7.《医药购销廉洁协议书》</w:t>
      </w:r>
    </w:p>
    <w:p>
      <w:pPr>
        <w:pStyle w:val="2"/>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tbl>
      <w:tblPr>
        <w:tblStyle w:val="1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甲方（章）</w:t>
            </w: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 xml:space="preserve">        </w:t>
            </w: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年   月   日</w:t>
            </w:r>
          </w:p>
        </w:tc>
        <w:tc>
          <w:tcPr>
            <w:tcW w:w="4160" w:type="dxa"/>
            <w:vAlign w:val="center"/>
          </w:tcPr>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乙方（章）</w:t>
            </w:r>
          </w:p>
          <w:p>
            <w:pPr>
              <w:rPr>
                <w:rFonts w:hint="eastAsia" w:ascii="楷体" w:hAnsi="楷体" w:eastAsia="楷体" w:cs="楷体"/>
                <w:color w:val="auto"/>
                <w:kern w:val="2"/>
                <w:sz w:val="24"/>
                <w:szCs w:val="24"/>
              </w:rPr>
            </w:pPr>
          </w:p>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 xml:space="preserve">         </w:t>
            </w: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单位地址：陕西省安康市汉滨区金洲南路85号</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159" w:type="dxa"/>
            <w:vAlign w:val="top"/>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法定代表人（签字）：</w:t>
            </w:r>
          </w:p>
          <w:p>
            <w:pPr>
              <w:rPr>
                <w:rFonts w:hint="eastAsia" w:ascii="楷体" w:hAnsi="楷体" w:eastAsia="楷体" w:cs="楷体"/>
                <w:color w:val="auto"/>
                <w:kern w:val="2"/>
                <w:sz w:val="24"/>
                <w:szCs w:val="24"/>
              </w:rPr>
            </w:pPr>
          </w:p>
        </w:tc>
        <w:tc>
          <w:tcPr>
            <w:tcW w:w="4160" w:type="dxa"/>
            <w:vAlign w:val="top"/>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法定代表人（签字）：</w:t>
            </w:r>
          </w:p>
          <w:p>
            <w:pP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jc w:val="center"/>
        </w:trPr>
        <w:tc>
          <w:tcPr>
            <w:tcW w:w="4159" w:type="dxa"/>
            <w:vAlign w:val="top"/>
          </w:tcPr>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授权代表（签字）：</w:t>
            </w: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p>
            <w:pPr>
              <w:rPr>
                <w:rFonts w:hint="eastAsia" w:ascii="楷体" w:hAnsi="楷体" w:eastAsia="楷体" w:cs="楷体"/>
                <w:color w:val="auto"/>
                <w:kern w:val="2"/>
                <w:sz w:val="24"/>
                <w:szCs w:val="24"/>
              </w:rPr>
            </w:pPr>
          </w:p>
        </w:tc>
        <w:tc>
          <w:tcPr>
            <w:tcW w:w="4160" w:type="dxa"/>
            <w:vAlign w:val="top"/>
          </w:tcPr>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电话：0915-3284099/4305</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开户银行：农行安康江北支行营业部</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159"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账号：26730101040002100</w:t>
            </w:r>
          </w:p>
        </w:tc>
        <w:tc>
          <w:tcPr>
            <w:tcW w:w="4160" w:type="dxa"/>
            <w:vAlign w:val="center"/>
          </w:tcPr>
          <w:p>
            <w:pPr>
              <w:ind w:left="0" w:leftChars="0" w:firstLine="0" w:firstLineChars="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账号：</w:t>
            </w:r>
          </w:p>
        </w:tc>
      </w:tr>
    </w:tbl>
    <w:p>
      <w:pPr>
        <w:ind w:left="0" w:leftChars="0" w:firstLine="0" w:firstLineChars="0"/>
        <w:rPr>
          <w:rFonts w:hint="eastAsia" w:ascii="楷体" w:hAnsi="楷体" w:eastAsia="楷体" w:cs="楷体"/>
          <w:b/>
          <w:color w:val="auto"/>
          <w:kern w:val="2"/>
          <w:sz w:val="24"/>
          <w:szCs w:val="24"/>
        </w:rPr>
      </w:pPr>
    </w:p>
    <w:p>
      <w:pPr>
        <w:pStyle w:val="4"/>
        <w:numPr>
          <w:ilvl w:val="1"/>
          <w:numId w:val="0"/>
        </w:numPr>
        <w:tabs>
          <w:tab w:val="left" w:pos="1440"/>
        </w:tabs>
        <w:ind w:leftChars="0"/>
        <w:rPr>
          <w:rFonts w:hint="eastAsia" w:ascii="楷体" w:hAnsi="楷体" w:eastAsia="楷体" w:cs="楷体"/>
          <w:color w:val="auto"/>
          <w:sz w:val="24"/>
          <w:szCs w:val="24"/>
        </w:rPr>
      </w:pPr>
    </w:p>
    <w:p>
      <w:pPr>
        <w:rPr>
          <w:rFonts w:hint="eastAsia" w:ascii="楷体" w:hAnsi="楷体" w:eastAsia="楷体" w:cs="楷体"/>
          <w:b/>
          <w:color w:val="auto"/>
          <w:kern w:val="2"/>
          <w:sz w:val="24"/>
          <w:szCs w:val="24"/>
          <w:highlight w:val="red"/>
        </w:rPr>
      </w:pPr>
      <w:r>
        <w:rPr>
          <w:rFonts w:hint="eastAsia" w:ascii="楷体" w:hAnsi="楷体" w:eastAsia="楷体" w:cs="楷体"/>
          <w:b/>
          <w:color w:val="auto"/>
          <w:kern w:val="2"/>
          <w:sz w:val="24"/>
          <w:szCs w:val="24"/>
          <w:highlight w:val="red"/>
        </w:rPr>
        <w:br w:type="page"/>
      </w:r>
    </w:p>
    <w:p>
      <w:pPr>
        <w:ind w:firstLine="0"/>
        <w:rPr>
          <w:rFonts w:hint="eastAsia" w:ascii="楷体" w:hAnsi="楷体" w:eastAsia="楷体" w:cs="楷体"/>
          <w:b/>
          <w:color w:val="auto"/>
          <w:kern w:val="2"/>
          <w:sz w:val="24"/>
          <w:szCs w:val="24"/>
          <w:highlight w:val="none"/>
        </w:rPr>
      </w:pPr>
      <w:r>
        <w:rPr>
          <w:rFonts w:hint="eastAsia" w:ascii="楷体" w:hAnsi="楷体" w:eastAsia="楷体" w:cs="楷体"/>
          <w:b/>
          <w:color w:val="auto"/>
          <w:kern w:val="2"/>
          <w:sz w:val="24"/>
          <w:szCs w:val="24"/>
          <w:highlight w:val="none"/>
        </w:rPr>
        <w:t>附件</w:t>
      </w:r>
    </w:p>
    <w:p>
      <w:pPr>
        <w:ind w:firstLine="0"/>
        <w:rPr>
          <w:rFonts w:hint="eastAsia" w:ascii="楷体" w:hAnsi="楷体" w:eastAsia="楷体" w:cs="楷体"/>
          <w:b/>
          <w:bCs/>
          <w:color w:val="auto"/>
          <w:kern w:val="2"/>
          <w:sz w:val="24"/>
          <w:szCs w:val="24"/>
          <w:highlight w:val="none"/>
        </w:rPr>
      </w:pPr>
      <w:r>
        <w:rPr>
          <w:rFonts w:hint="eastAsia" w:ascii="楷体" w:hAnsi="楷体" w:eastAsia="楷体" w:cs="楷体"/>
          <w:b/>
          <w:bCs/>
          <w:color w:val="auto"/>
          <w:kern w:val="2"/>
          <w:sz w:val="24"/>
          <w:szCs w:val="24"/>
          <w:highlight w:val="none"/>
        </w:rPr>
        <w:t>一、设备整套完整资质文件</w:t>
      </w:r>
    </w:p>
    <w:p>
      <w:pPr>
        <w:rPr>
          <w:rFonts w:hint="eastAsia" w:ascii="楷体" w:hAnsi="楷体" w:eastAsia="楷体" w:cs="楷体"/>
          <w:b/>
          <w:bCs/>
          <w:color w:val="auto"/>
          <w:kern w:val="2"/>
          <w:sz w:val="24"/>
          <w:szCs w:val="24"/>
          <w:highlight w:val="none"/>
        </w:rPr>
      </w:pPr>
    </w:p>
    <w:p>
      <w:pPr>
        <w:snapToGrid w:val="0"/>
        <w:spacing w:before="0" w:after="0" w:line="360" w:lineRule="auto"/>
        <w:ind w:firstLine="0"/>
        <w:rPr>
          <w:rFonts w:hint="eastAsia" w:ascii="楷体" w:hAnsi="楷体" w:eastAsia="楷体" w:cs="楷体"/>
          <w:b/>
          <w:bCs/>
          <w:color w:val="auto"/>
          <w:kern w:val="2"/>
          <w:sz w:val="24"/>
          <w:szCs w:val="24"/>
          <w:highlight w:val="none"/>
        </w:rPr>
      </w:pPr>
      <w:r>
        <w:rPr>
          <w:rFonts w:hint="eastAsia" w:ascii="楷体" w:hAnsi="楷体" w:eastAsia="楷体" w:cs="楷体"/>
          <w:b/>
          <w:color w:val="auto"/>
          <w:kern w:val="2"/>
          <w:sz w:val="24"/>
          <w:szCs w:val="24"/>
          <w:highlight w:val="none"/>
        </w:rPr>
        <w:t>二、</w:t>
      </w:r>
      <w:r>
        <w:rPr>
          <w:rFonts w:hint="eastAsia" w:ascii="楷体" w:hAnsi="楷体" w:eastAsia="楷体" w:cs="楷体"/>
          <w:b/>
          <w:bCs/>
          <w:color w:val="auto"/>
          <w:kern w:val="2"/>
          <w:sz w:val="24"/>
          <w:szCs w:val="24"/>
          <w:highlight w:val="none"/>
        </w:rPr>
        <w:t>法定代表人授权书</w:t>
      </w:r>
    </w:p>
    <w:p>
      <w:pPr>
        <w:snapToGrid w:val="0"/>
        <w:spacing w:before="0" w:after="0" w:line="360" w:lineRule="auto"/>
        <w:ind w:firstLine="0"/>
        <w:jc w:val="center"/>
        <w:rPr>
          <w:rFonts w:hint="eastAsia" w:ascii="楷体" w:hAnsi="楷体" w:eastAsia="楷体" w:cs="楷体"/>
          <w:b/>
          <w:bCs/>
          <w:color w:val="auto"/>
          <w:kern w:val="2"/>
          <w:sz w:val="24"/>
          <w:szCs w:val="24"/>
          <w:u w:val="single"/>
        </w:rPr>
      </w:pPr>
    </w:p>
    <w:p>
      <w:pPr>
        <w:snapToGrid w:val="0"/>
        <w:spacing w:before="0" w:after="0" w:line="360" w:lineRule="auto"/>
        <w:ind w:firstLine="0"/>
        <w:rPr>
          <w:rFonts w:hint="eastAsia" w:ascii="楷体" w:hAnsi="楷体" w:eastAsia="楷体" w:cs="楷体"/>
          <w:b/>
          <w:bCs/>
          <w:color w:val="auto"/>
          <w:kern w:val="2"/>
          <w:sz w:val="24"/>
          <w:szCs w:val="24"/>
        </w:rPr>
      </w:pPr>
      <w:r>
        <w:rPr>
          <w:rFonts w:hint="eastAsia" w:ascii="楷体" w:hAnsi="楷体" w:eastAsia="楷体" w:cs="楷体"/>
          <w:b/>
          <w:bCs/>
          <w:color w:val="auto"/>
          <w:kern w:val="2"/>
          <w:sz w:val="24"/>
          <w:szCs w:val="24"/>
        </w:rPr>
        <w:t>致：</w:t>
      </w:r>
      <w:r>
        <w:rPr>
          <w:rFonts w:hint="eastAsia" w:ascii="楷体" w:hAnsi="楷体" w:eastAsia="楷体" w:cs="楷体"/>
          <w:b/>
          <w:color w:val="auto"/>
          <w:kern w:val="2"/>
          <w:sz w:val="24"/>
          <w:szCs w:val="24"/>
        </w:rPr>
        <w:t>安康市中心医院</w:t>
      </w:r>
    </w:p>
    <w:p>
      <w:pPr>
        <w:snapToGrid w:val="0"/>
        <w:spacing w:before="0" w:after="0" w:line="360" w:lineRule="auto"/>
        <w:ind w:firstLine="600"/>
        <w:rPr>
          <w:rFonts w:hint="eastAsia" w:ascii="楷体" w:hAnsi="楷体" w:eastAsia="楷体" w:cs="楷体"/>
          <w:bCs/>
          <w:color w:val="auto"/>
          <w:kern w:val="2"/>
          <w:sz w:val="24"/>
          <w:szCs w:val="24"/>
        </w:rPr>
      </w:pPr>
      <w:r>
        <w:rPr>
          <w:rFonts w:hint="eastAsia" w:ascii="楷体" w:hAnsi="楷体" w:eastAsia="楷体" w:cs="楷体"/>
          <w:color w:val="auto"/>
          <w:kern w:val="2"/>
          <w:sz w:val="24"/>
          <w:szCs w:val="24"/>
        </w:rPr>
        <w:t>本授权书声明：注册于</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（国家或地区）的</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（公司名称）的在下面签字的</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（法定代表人姓名、职务）代表本公司授权在下面签字的</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（被授权人的姓名、职务）为本公司的合法代表人，就</w:t>
      </w:r>
      <w:r>
        <w:rPr>
          <w:rFonts w:hint="eastAsia" w:ascii="楷体" w:hAnsi="楷体" w:eastAsia="楷体" w:cs="楷体"/>
          <w:b w:val="0"/>
          <w:bCs/>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采购项</w:t>
      </w:r>
      <w:r>
        <w:rPr>
          <w:rFonts w:hint="eastAsia" w:ascii="楷体" w:hAnsi="楷体" w:eastAsia="楷体" w:cs="楷体"/>
          <w:color w:val="auto"/>
          <w:kern w:val="2"/>
          <w:sz w:val="24"/>
          <w:szCs w:val="24"/>
        </w:rPr>
        <w:t>目的合同签订和执行，以我方的名义处理一切与之有关的事宜。</w:t>
      </w:r>
    </w:p>
    <w:p>
      <w:pPr>
        <w:snapToGrid w:val="0"/>
        <w:spacing w:before="0" w:after="0" w:line="360" w:lineRule="auto"/>
        <w:ind w:firstLine="48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本授权书于</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年</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月</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u w:val="single"/>
          <w:lang w:val="en-US" w:eastAsia="zh-CN"/>
        </w:rPr>
        <w:t xml:space="preserve">  </w:t>
      </w:r>
      <w:r>
        <w:rPr>
          <w:rFonts w:hint="eastAsia" w:ascii="楷体" w:hAnsi="楷体" w:eastAsia="楷体" w:cs="楷体"/>
          <w:color w:val="auto"/>
          <w:kern w:val="2"/>
          <w:sz w:val="24"/>
          <w:szCs w:val="24"/>
          <w:u w:val="single"/>
        </w:rPr>
        <w:t xml:space="preserve"> </w:t>
      </w:r>
      <w:r>
        <w:rPr>
          <w:rFonts w:hint="eastAsia" w:ascii="楷体" w:hAnsi="楷体" w:eastAsia="楷体" w:cs="楷体"/>
          <w:color w:val="auto"/>
          <w:kern w:val="2"/>
          <w:sz w:val="24"/>
          <w:szCs w:val="24"/>
        </w:rPr>
        <w:t>日签字生效，有效期至合同内容服务结束，特此声明。</w:t>
      </w:r>
    </w:p>
    <w:p>
      <w:pPr>
        <w:snapToGrid w:val="0"/>
        <w:spacing w:before="0" w:after="0" w:line="360" w:lineRule="auto"/>
        <w:ind w:firstLine="0"/>
        <w:rPr>
          <w:rFonts w:hint="eastAsia" w:ascii="楷体" w:hAnsi="楷体" w:eastAsia="楷体" w:cs="楷体"/>
          <w:color w:val="auto"/>
          <w:kern w:val="2"/>
          <w:sz w:val="24"/>
          <w:szCs w:val="24"/>
        </w:rPr>
      </w:pPr>
    </w:p>
    <w:p>
      <w:pPr>
        <w:snapToGrid w:val="0"/>
        <w:spacing w:before="0" w:after="0" w:line="360" w:lineRule="auto"/>
        <w:ind w:firstLine="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法定代表人（签名并盖章）：                  被授权人（签名并盖章）：</w:t>
      </w:r>
    </w:p>
    <w:p>
      <w:pPr>
        <w:spacing w:before="0" w:after="0" w:line="240" w:lineRule="auto"/>
        <w:ind w:firstLine="0"/>
        <w:rPr>
          <w:rFonts w:hint="eastAsia" w:ascii="楷体" w:hAnsi="楷体" w:eastAsia="楷体" w:cs="楷体"/>
          <w:color w:val="auto"/>
          <w:kern w:val="2"/>
          <w:sz w:val="24"/>
          <w:szCs w:val="24"/>
        </w:rPr>
      </w:pPr>
    </w:p>
    <w:p>
      <w:pPr>
        <w:spacing w:before="0" w:after="0" w:line="240" w:lineRule="auto"/>
        <w:ind w:firstLine="0"/>
        <w:rPr>
          <w:rFonts w:hint="eastAsia" w:ascii="楷体" w:hAnsi="楷体" w:eastAsia="楷体" w:cs="楷体"/>
          <w:b/>
          <w:color w:val="auto"/>
          <w:kern w:val="2"/>
          <w:sz w:val="24"/>
          <w:szCs w:val="24"/>
        </w:rPr>
      </w:pPr>
      <w:r>
        <w:rPr>
          <w:rFonts w:hint="eastAsia" w:ascii="楷体" w:hAnsi="楷体" w:eastAsia="楷体" w:cs="楷体"/>
          <w:color w:val="auto"/>
          <w:kern w:val="2"/>
          <w:sz w:val="24"/>
          <w:szCs w:val="24"/>
        </w:rPr>
        <w:t>法定代表人身份证复印件                     被授权人身份证复印件</w:t>
      </w:r>
    </w:p>
    <w:p>
      <w:pPr>
        <w:spacing w:before="0" w:after="0" w:line="240" w:lineRule="auto"/>
        <w:ind w:firstLine="0"/>
        <w:rPr>
          <w:rFonts w:hint="eastAsia" w:ascii="楷体" w:hAnsi="楷体" w:eastAsia="楷体" w:cs="楷体"/>
          <w:color w:val="auto"/>
          <w:kern w:val="2"/>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三、设备配置清单</w:t>
      </w: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四、设备技术参数响应偏离表</w:t>
      </w: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五、售后服务承诺</w:t>
      </w: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六、中标通知书</w:t>
      </w: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七、</w:t>
      </w:r>
      <w:r>
        <w:rPr>
          <w:rFonts w:hint="eastAsia" w:ascii="楷体" w:hAnsi="楷体" w:eastAsia="楷体" w:cs="楷体"/>
          <w:color w:val="auto"/>
          <w:sz w:val="24"/>
          <w:szCs w:val="24"/>
        </w:rPr>
        <w:t>《医药购销廉洁协议书》</w:t>
      </w:r>
    </w:p>
    <w:p>
      <w:pP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br w:type="page"/>
      </w:r>
    </w:p>
    <w:p>
      <w:pPr>
        <w:spacing w:before="0" w:after="0" w:line="240" w:lineRule="auto"/>
        <w:ind w:firstLine="0"/>
        <w:jc w:val="center"/>
        <w:rPr>
          <w:rFonts w:hint="eastAsia" w:ascii="楷体" w:hAnsi="楷体" w:eastAsia="楷体" w:cs="楷体"/>
          <w:b/>
          <w:bCs/>
          <w:color w:val="auto"/>
          <w:kern w:val="2"/>
          <w:sz w:val="24"/>
          <w:szCs w:val="24"/>
        </w:rPr>
      </w:pPr>
    </w:p>
    <w:p>
      <w:pPr>
        <w:spacing w:before="0" w:after="0" w:line="240" w:lineRule="auto"/>
        <w:ind w:firstLine="0"/>
        <w:jc w:val="center"/>
        <w:rPr>
          <w:rFonts w:hint="eastAsia" w:ascii="楷体" w:hAnsi="楷体" w:eastAsia="楷体" w:cs="楷体"/>
          <w:b/>
          <w:bCs/>
          <w:color w:val="auto"/>
          <w:kern w:val="2"/>
          <w:sz w:val="24"/>
          <w:szCs w:val="24"/>
        </w:rPr>
      </w:pPr>
      <w:r>
        <w:rPr>
          <w:rFonts w:hint="eastAsia" w:ascii="楷体" w:hAnsi="楷体" w:eastAsia="楷体" w:cs="楷体"/>
          <w:b/>
          <w:bCs/>
          <w:color w:val="auto"/>
          <w:kern w:val="2"/>
          <w:sz w:val="24"/>
          <w:szCs w:val="24"/>
        </w:rPr>
        <w:t>医药购销廉洁协议书</w:t>
      </w:r>
    </w:p>
    <w:p>
      <w:pPr>
        <w:spacing w:before="0" w:after="0" w:line="360" w:lineRule="auto"/>
        <w:ind w:firstLineChars="200"/>
        <w:rPr>
          <w:rFonts w:hint="eastAsia" w:ascii="楷体" w:hAnsi="楷体" w:eastAsia="楷体" w:cs="楷体"/>
          <w:b/>
          <w:bCs/>
          <w:color w:val="auto"/>
          <w:kern w:val="2"/>
          <w:sz w:val="24"/>
          <w:szCs w:val="24"/>
        </w:rPr>
      </w:pPr>
      <w:r>
        <w:rPr>
          <w:rFonts w:hint="eastAsia" w:ascii="楷体" w:hAnsi="楷体" w:eastAsia="楷体" w:cs="楷体"/>
          <w:b/>
          <w:bCs/>
          <w:color w:val="auto"/>
          <w:kern w:val="2"/>
          <w:sz w:val="24"/>
          <w:szCs w:val="24"/>
        </w:rPr>
        <w:t>甲方（买方）：安康市中心医院</w:t>
      </w:r>
    </w:p>
    <w:p>
      <w:pPr>
        <w:spacing w:before="0" w:after="0" w:line="360" w:lineRule="auto"/>
        <w:ind w:firstLineChars="200"/>
        <w:rPr>
          <w:rFonts w:hint="eastAsia" w:ascii="楷体" w:hAnsi="楷体" w:eastAsia="楷体" w:cs="楷体"/>
          <w:b/>
          <w:bCs/>
          <w:color w:val="auto"/>
          <w:kern w:val="2"/>
          <w:sz w:val="24"/>
          <w:szCs w:val="24"/>
        </w:rPr>
      </w:pPr>
      <w:r>
        <w:rPr>
          <w:rFonts w:hint="eastAsia" w:ascii="楷体" w:hAnsi="楷体" w:eastAsia="楷体" w:cs="楷体"/>
          <w:b/>
          <w:bCs/>
          <w:color w:val="auto"/>
          <w:kern w:val="2"/>
          <w:sz w:val="24"/>
          <w:szCs w:val="24"/>
        </w:rPr>
        <w:t>乙方（卖方）：</w:t>
      </w:r>
    </w:p>
    <w:p>
      <w:p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乙方在销售活动中，要自觉遵守国家和地方的有关法律、法规，严格执行合同条款，不以次充好，不降低产品质量，做到诚信经营。</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甲方购进医疗设备、医用耗材等医疗产品，不得以任何方式向乙方索取回扣，或者索要、接受乙方产品发票价以外的赞助，不得要求乙方代支任何费用开支。</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甲方工作人员不得以暗示或任何其它形式索要回扣、提成、有价证券、现金和购物卡等。如甲方工作人员暗示或索要，乙方应予以拒绝，并有责任如实向甲方纪检监察部门反映情况。</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甲方工作人员不得替乙方非法统计医用耗材销售数量等有关信息。</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乙方不得暗中给予甲方回扣，不得以提成和赠送有价证券、现金、购物卡、宴请、娱乐或提供国内或境外学术活动等手段进行医疗设备或医用耗材促销活动。</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乙方洽谈业务，必须在工作时间到甲方指定科室联系商谈，不得到临床科室推销医疗产品，不得借故到甲方相关工作人员的家中访谈或向介绍人提供任何好处费。</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乙方如违反以上条款，一经发现，甲方有权终止购销合同，列入不良行为记录，并在单位内通报，如涉嫌违法犯罪的，移交司法机关处理。</w:t>
      </w:r>
    </w:p>
    <w:p>
      <w:pPr>
        <w:numPr>
          <w:ilvl w:val="0"/>
          <w:numId w:val="4"/>
        </w:numPr>
        <w:spacing w:before="0" w:after="0" w:line="360" w:lineRule="auto"/>
        <w:ind w:firstLine="480" w:firstLineChars="200"/>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甲方工作人员如违反以上条款的，甲方按照国家有关法律、法规规定和有关廉政制度给予处理，如涉嫌违法犯罪的，移交司法机关处理。</w:t>
      </w:r>
    </w:p>
    <w:p>
      <w:pPr>
        <w:numPr>
          <w:ilvl w:val="0"/>
          <w:numId w:val="0"/>
        </w:numPr>
        <w:spacing w:before="0" w:after="0" w:line="360" w:lineRule="auto"/>
        <w:jc w:val="center"/>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t>本协议书为医疗产品购销合同的附件，与购销合同一并执行，具有同等法律效力。</w:t>
      </w:r>
    </w:p>
    <w:p>
      <w:pPr>
        <w:pStyle w:val="10"/>
        <w:ind w:left="0" w:leftChars="0" w:firstLine="0" w:firstLineChars="0"/>
        <w:rPr>
          <w:rFonts w:hint="eastAsia" w:asciiTheme="minorEastAsia" w:hAnsiTheme="minorEastAsia" w:eastAsiaTheme="minorEastAsia" w:cstheme="minorEastAsia"/>
          <w:color w:val="auto"/>
        </w:rPr>
      </w:pPr>
    </w:p>
    <w:p>
      <w:pPr>
        <w:pStyle w:val="10"/>
        <w:spacing w:line="360" w:lineRule="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  </w:t>
      </w:r>
    </w:p>
    <w:p>
      <w:pPr>
        <w:pStyle w:val="3"/>
        <w:numPr>
          <w:ilvl w:val="0"/>
          <w:numId w:val="5"/>
        </w:numPr>
        <w:jc w:val="center"/>
        <w:rPr>
          <w:rFonts w:hint="eastAsia" w:ascii="楷体" w:hAnsi="楷体" w:eastAsia="楷体" w:cs="楷体"/>
          <w:color w:val="auto"/>
          <w:sz w:val="36"/>
        </w:rPr>
      </w:pPr>
      <w:bookmarkStart w:id="8" w:name="_Toc85463481"/>
      <w:r>
        <w:rPr>
          <w:rFonts w:hint="eastAsia" w:ascii="楷体" w:hAnsi="楷体" w:eastAsia="楷体" w:cs="楷体"/>
          <w:color w:val="auto"/>
          <w:sz w:val="36"/>
        </w:rPr>
        <w:t xml:space="preserve"> 用户需求书</w:t>
      </w:r>
      <w:bookmarkEnd w:id="8"/>
      <w:bookmarkStart w:id="9" w:name="_Toc85463482"/>
    </w:p>
    <w:p>
      <w:pPr>
        <w:spacing w:line="360" w:lineRule="auto"/>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一、采购清单</w:t>
      </w:r>
    </w:p>
    <w:tbl>
      <w:tblPr>
        <w:tblStyle w:val="18"/>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478"/>
        <w:gridCol w:w="897"/>
        <w:gridCol w:w="1835"/>
        <w:gridCol w:w="166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序号</w:t>
            </w:r>
          </w:p>
        </w:tc>
        <w:tc>
          <w:tcPr>
            <w:tcW w:w="2478" w:type="dxa"/>
            <w:vAlign w:val="center"/>
          </w:tcPr>
          <w:p>
            <w:pPr>
              <w:spacing w:line="360" w:lineRule="auto"/>
              <w:jc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设备名称</w:t>
            </w:r>
          </w:p>
        </w:tc>
        <w:tc>
          <w:tcPr>
            <w:tcW w:w="897" w:type="dxa"/>
            <w:vAlign w:val="center"/>
          </w:tcPr>
          <w:p>
            <w:pPr>
              <w:spacing w:line="360" w:lineRule="auto"/>
              <w:jc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数量</w:t>
            </w:r>
          </w:p>
        </w:tc>
        <w:tc>
          <w:tcPr>
            <w:tcW w:w="1835" w:type="dxa"/>
            <w:vAlign w:val="center"/>
          </w:tcPr>
          <w:p>
            <w:pPr>
              <w:keepNext w:val="0"/>
              <w:keepLines w:val="0"/>
              <w:widowControl/>
              <w:suppressLineNumbers w:val="0"/>
              <w:spacing w:line="240" w:lineRule="auto"/>
              <w:jc w:val="center"/>
              <w:textAlignment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i w:val="0"/>
                <w:iCs w:val="0"/>
                <w:color w:val="auto"/>
                <w:kern w:val="0"/>
                <w:sz w:val="24"/>
                <w:szCs w:val="24"/>
                <w:u w:val="none"/>
                <w:lang w:val="en-US" w:eastAsia="zh-CN" w:bidi="ar"/>
              </w:rPr>
              <w:t>单价（万元）</w:t>
            </w:r>
          </w:p>
        </w:tc>
        <w:tc>
          <w:tcPr>
            <w:tcW w:w="1661" w:type="dxa"/>
            <w:vAlign w:val="center"/>
          </w:tcPr>
          <w:p>
            <w:pPr>
              <w:keepNext w:val="0"/>
              <w:keepLines w:val="0"/>
              <w:widowControl/>
              <w:suppressLineNumbers w:val="0"/>
              <w:spacing w:line="240" w:lineRule="auto"/>
              <w:jc w:val="center"/>
              <w:textAlignment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i w:val="0"/>
                <w:iCs w:val="0"/>
                <w:color w:val="auto"/>
                <w:kern w:val="0"/>
                <w:sz w:val="24"/>
                <w:szCs w:val="24"/>
                <w:u w:val="none"/>
                <w:lang w:val="en-US" w:eastAsia="zh-CN" w:bidi="ar"/>
              </w:rPr>
              <w:t>总价（万元）</w:t>
            </w:r>
          </w:p>
        </w:tc>
        <w:tc>
          <w:tcPr>
            <w:tcW w:w="879" w:type="dxa"/>
            <w:vAlign w:val="center"/>
          </w:tcPr>
          <w:p>
            <w:pPr>
              <w:spacing w:line="360" w:lineRule="auto"/>
              <w:jc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1</w:t>
            </w:r>
          </w:p>
        </w:tc>
        <w:tc>
          <w:tcPr>
            <w:tcW w:w="2478"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射频温控热凝器</w:t>
            </w:r>
          </w:p>
        </w:tc>
        <w:tc>
          <w:tcPr>
            <w:tcW w:w="897" w:type="dxa"/>
            <w:vAlign w:val="center"/>
          </w:tcPr>
          <w:p>
            <w:pPr>
              <w:spacing w:line="360" w:lineRule="auto"/>
              <w:jc w:val="center"/>
              <w:rPr>
                <w:rFonts w:hint="eastAsia"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1套</w:t>
            </w:r>
          </w:p>
        </w:tc>
        <w:tc>
          <w:tcPr>
            <w:tcW w:w="1835" w:type="dxa"/>
            <w:vAlign w:val="center"/>
          </w:tcPr>
          <w:p>
            <w:pPr>
              <w:keepNext w:val="0"/>
              <w:keepLines w:val="0"/>
              <w:widowControl/>
              <w:suppressLineNumbers w:val="0"/>
              <w:spacing w:line="240" w:lineRule="auto"/>
              <w:jc w:val="center"/>
              <w:textAlignment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i w:val="0"/>
                <w:iCs w:val="0"/>
                <w:color w:val="auto"/>
                <w:kern w:val="0"/>
                <w:sz w:val="24"/>
                <w:szCs w:val="24"/>
                <w:u w:val="none"/>
                <w:lang w:val="en-US" w:eastAsia="zh-CN" w:bidi="ar"/>
              </w:rPr>
              <w:t>40</w:t>
            </w:r>
          </w:p>
        </w:tc>
        <w:tc>
          <w:tcPr>
            <w:tcW w:w="1661" w:type="dxa"/>
            <w:vAlign w:val="center"/>
          </w:tcPr>
          <w:p>
            <w:pPr>
              <w:keepNext w:val="0"/>
              <w:keepLines w:val="0"/>
              <w:widowControl/>
              <w:suppressLineNumbers w:val="0"/>
              <w:spacing w:line="240" w:lineRule="auto"/>
              <w:jc w:val="center"/>
              <w:textAlignment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i w:val="0"/>
                <w:iCs w:val="0"/>
                <w:color w:val="auto"/>
                <w:kern w:val="0"/>
                <w:sz w:val="24"/>
                <w:szCs w:val="24"/>
                <w:u w:val="none"/>
                <w:lang w:val="en-US" w:eastAsia="zh-CN" w:bidi="ar"/>
              </w:rPr>
              <w:t>40</w:t>
            </w:r>
          </w:p>
        </w:tc>
        <w:tc>
          <w:tcPr>
            <w:tcW w:w="879" w:type="dxa"/>
            <w:vAlign w:val="center"/>
          </w:tcPr>
          <w:p>
            <w:pPr>
              <w:spacing w:line="360" w:lineRule="auto"/>
              <w:jc w:val="center"/>
              <w:rPr>
                <w:rFonts w:hint="default" w:ascii="楷体" w:hAnsi="楷体" w:eastAsia="楷体" w:cs="楷体"/>
                <w:b/>
                <w:bCs/>
                <w:color w:val="auto"/>
                <w:sz w:val="24"/>
                <w:szCs w:val="24"/>
                <w:vertAlign w:val="baseline"/>
                <w:lang w:val="en-US" w:eastAsia="zh-CN"/>
              </w:rPr>
            </w:pPr>
          </w:p>
        </w:tc>
      </w:tr>
    </w:tbl>
    <w:p>
      <w:pPr>
        <w:pStyle w:val="3"/>
        <w:jc w:val="center"/>
        <w:rPr>
          <w:rFonts w:hint="eastAsia" w:ascii="楷体" w:hAnsi="楷体" w:eastAsia="楷体" w:cs="楷体"/>
          <w:color w:val="auto"/>
          <w:sz w:val="36"/>
        </w:rPr>
      </w:pPr>
      <w:bookmarkStart w:id="11" w:name="_GoBack"/>
      <w:bookmarkEnd w:id="11"/>
      <w:r>
        <w:rPr>
          <w:rFonts w:hint="eastAsia" w:ascii="楷体" w:hAnsi="楷体" w:eastAsia="楷体" w:cs="楷体"/>
          <w:color w:val="auto"/>
          <w:sz w:val="36"/>
        </w:rPr>
        <w:t>第五章  投标文件格式</w:t>
      </w:r>
      <w:bookmarkEnd w:id="9"/>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（注：招标文件未给出固定格式的部分，供应商自行拟定格式。投标文件因格式问题造成缺项的，后果自负。）</w:t>
      </w:r>
    </w:p>
    <w:p>
      <w:pPr>
        <w:spacing w:line="360" w:lineRule="auto"/>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格式一、投标函</w:t>
      </w:r>
    </w:p>
    <w:p>
      <w:pPr>
        <w:spacing w:line="360" w:lineRule="auto"/>
        <w:ind w:firstLine="482" w:firstLineChars="200"/>
        <w:jc w:val="center"/>
        <w:rPr>
          <w:rFonts w:hint="eastAsia" w:ascii="楷体" w:hAnsi="楷体" w:eastAsia="楷体" w:cs="楷体"/>
          <w:b/>
          <w:bCs/>
          <w:color w:val="auto"/>
          <w:sz w:val="24"/>
          <w:szCs w:val="21"/>
        </w:rPr>
      </w:pPr>
      <w:r>
        <w:rPr>
          <w:rFonts w:hint="eastAsia" w:ascii="楷体" w:hAnsi="楷体" w:eastAsia="楷体" w:cs="楷体"/>
          <w:b/>
          <w:bCs/>
          <w:color w:val="auto"/>
          <w:sz w:val="24"/>
          <w:szCs w:val="21"/>
        </w:rPr>
        <w:t>投标函</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致：（采购人名称）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我方确认收到贵方提供的（采购项目名称）招标文件的全部内容，我方：（投标人名称）作为投标人正式授权（授权代表全名、职务）代表我方进行有关本投标的一切事宜。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在此提交的投标文件，包括如下等内容：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（1）投标函；</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（2）法定代表人（单位负责人）身份证明或授权委托书；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（3）投标报价表（开标一览表）；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（4）分项报价表；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（5）商务和技术偏离表；</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（6）资格审查资料；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（7）投标设备技术性能指标的详细描述；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（8）技术支持资料；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（9）售后服务、及培训计划承诺书；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（10）投标人提供的其他资料；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我方已完全明白招标文件的所有条款要求，并重申以下几点。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（一）</w:t>
      </w:r>
      <w:r>
        <w:rPr>
          <w:rFonts w:hint="eastAsia" w:ascii="楷体" w:hAnsi="楷体" w:eastAsia="楷体" w:cs="楷体"/>
          <w:color w:val="auto"/>
          <w:sz w:val="24"/>
        </w:rPr>
        <w:tab/>
      </w:r>
      <w:r>
        <w:rPr>
          <w:rFonts w:hint="eastAsia" w:ascii="楷体" w:hAnsi="楷体" w:eastAsia="楷体" w:cs="楷体"/>
          <w:color w:val="auto"/>
          <w:sz w:val="24"/>
        </w:rPr>
        <w:t>我方决定参加：</w:t>
      </w:r>
      <w:r>
        <w:rPr>
          <w:rFonts w:hint="eastAsia" w:ascii="楷体" w:hAnsi="楷体" w:eastAsia="楷体" w:cs="楷体"/>
          <w:color w:val="auto"/>
          <w:sz w:val="24"/>
          <w:u w:val="single"/>
        </w:rPr>
        <w:t>（项目名称）（招标编号）</w:t>
      </w:r>
      <w:r>
        <w:rPr>
          <w:rFonts w:hint="eastAsia" w:ascii="楷体" w:hAnsi="楷体" w:eastAsia="楷体" w:cs="楷体"/>
          <w:color w:val="auto"/>
          <w:sz w:val="24"/>
        </w:rPr>
        <w:t>的投标。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（二）</w:t>
      </w:r>
      <w:r>
        <w:rPr>
          <w:rFonts w:hint="eastAsia" w:ascii="楷体" w:hAnsi="楷体" w:eastAsia="楷体" w:cs="楷体"/>
          <w:color w:val="auto"/>
          <w:sz w:val="24"/>
        </w:rPr>
        <w:tab/>
      </w:r>
      <w:r>
        <w:rPr>
          <w:rFonts w:hint="eastAsia" w:ascii="楷体" w:hAnsi="楷体" w:eastAsia="楷体" w:cs="楷体"/>
          <w:color w:val="auto"/>
          <w:sz w:val="24"/>
        </w:rPr>
        <w:t>全部工程及货物供应和有关服务的投标总价为：               （大、小写）。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（三）</w:t>
      </w:r>
      <w:r>
        <w:rPr>
          <w:rFonts w:hint="eastAsia" w:ascii="楷体" w:hAnsi="楷体" w:eastAsia="楷体" w:cs="楷体"/>
          <w:color w:val="auto"/>
          <w:sz w:val="24"/>
        </w:rPr>
        <w:tab/>
      </w:r>
      <w:r>
        <w:rPr>
          <w:rFonts w:hint="eastAsia" w:ascii="楷体" w:hAnsi="楷体" w:eastAsia="楷体" w:cs="楷体"/>
          <w:color w:val="auto"/>
          <w:sz w:val="24"/>
        </w:rPr>
        <w:t>本投标文件的有效期在投标截止日后</w:t>
      </w:r>
      <w:r>
        <w:rPr>
          <w:rFonts w:hint="eastAsia" w:ascii="楷体" w:hAnsi="楷体" w:eastAsia="楷体" w:cs="楷体"/>
          <w:color w:val="auto"/>
          <w:sz w:val="24"/>
          <w:lang w:val="en-US" w:eastAsia="zh-CN"/>
        </w:rPr>
        <w:t>90</w:t>
      </w:r>
      <w:r>
        <w:rPr>
          <w:rFonts w:hint="eastAsia" w:ascii="楷体" w:hAnsi="楷体" w:eastAsia="楷体" w:cs="楷体"/>
          <w:color w:val="auto"/>
          <w:sz w:val="24"/>
        </w:rPr>
        <w:t>天有效，如中标，有效期将延至合同终止日为止。</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（四）</w:t>
      </w:r>
      <w:r>
        <w:rPr>
          <w:rFonts w:hint="eastAsia" w:ascii="楷体" w:hAnsi="楷体" w:eastAsia="楷体" w:cs="楷体"/>
          <w:color w:val="auto"/>
          <w:sz w:val="24"/>
        </w:rPr>
        <w:tab/>
      </w:r>
      <w:r>
        <w:rPr>
          <w:rFonts w:hint="eastAsia" w:ascii="楷体" w:hAnsi="楷体" w:eastAsia="楷体" w:cs="楷体"/>
          <w:color w:val="auto"/>
          <w:sz w:val="24"/>
        </w:rPr>
        <w:t>我方已详细研究了招标文件的所有内容包括修正文（如果有）和所有已提供的参考资料以及有关附件并完全明白，我方放弃在此方面提出含糊意见或误解的一切权力。</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（五）</w:t>
      </w:r>
      <w:r>
        <w:rPr>
          <w:rFonts w:hint="eastAsia" w:ascii="楷体" w:hAnsi="楷体" w:eastAsia="楷体" w:cs="楷体"/>
          <w:color w:val="auto"/>
          <w:sz w:val="24"/>
        </w:rPr>
        <w:tab/>
      </w:r>
      <w:r>
        <w:rPr>
          <w:rFonts w:hint="eastAsia" w:ascii="楷体" w:hAnsi="楷体" w:eastAsia="楷体" w:cs="楷体"/>
          <w:color w:val="auto"/>
          <w:sz w:val="24"/>
        </w:rPr>
        <w:t>我方同意按照贵方可能提出的要求而提供与投标有关的任何其它数据或信息。</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（六）</w:t>
      </w:r>
      <w:r>
        <w:rPr>
          <w:rFonts w:hint="eastAsia" w:ascii="楷体" w:hAnsi="楷体" w:eastAsia="楷体" w:cs="楷体"/>
          <w:color w:val="auto"/>
          <w:sz w:val="24"/>
        </w:rPr>
        <w:tab/>
      </w:r>
      <w:r>
        <w:rPr>
          <w:rFonts w:hint="eastAsia" w:ascii="楷体" w:hAnsi="楷体" w:eastAsia="楷体" w:cs="楷体"/>
          <w:color w:val="auto"/>
          <w:sz w:val="24"/>
        </w:rPr>
        <w:t>我方理解贵方不一定接受最低标价或任何贵方可能收到的投标。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（七）</w:t>
      </w:r>
      <w:r>
        <w:rPr>
          <w:rFonts w:hint="eastAsia" w:ascii="楷体" w:hAnsi="楷体" w:eastAsia="楷体" w:cs="楷体"/>
          <w:color w:val="auto"/>
          <w:sz w:val="24"/>
        </w:rPr>
        <w:tab/>
      </w:r>
      <w:r>
        <w:rPr>
          <w:rFonts w:hint="eastAsia" w:ascii="楷体" w:hAnsi="楷体" w:eastAsia="楷体" w:cs="楷体"/>
          <w:color w:val="auto"/>
          <w:sz w:val="24"/>
        </w:rPr>
        <w:t>我方如果中标，将保证履行招标文件及其补充文件中的全部责任和义务，按质、按量、按期完成《合同书》中的全部任务。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（八）</w:t>
      </w:r>
      <w:r>
        <w:rPr>
          <w:rFonts w:hint="eastAsia" w:ascii="楷体" w:hAnsi="楷体" w:eastAsia="楷体" w:cs="楷体"/>
          <w:color w:val="auto"/>
          <w:sz w:val="24"/>
        </w:rPr>
        <w:tab/>
      </w:r>
      <w:r>
        <w:rPr>
          <w:rFonts w:hint="eastAsia" w:ascii="楷体" w:hAnsi="楷体" w:eastAsia="楷体" w:cs="楷体"/>
          <w:color w:val="auto"/>
          <w:sz w:val="24"/>
        </w:rPr>
        <w:t>如我方中标，我方将在收到中标通知书之前，按规定标准向中海建国际建设咨询集团有限责任公司交纳中标服务费。</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 标 人： （盖单位章）</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法定代表人（单位负责人）或其委托代理人： （签字）</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地 址：</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网 址：</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电 话：</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传 真：</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邮政编码：</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pStyle w:val="1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pStyle w:val="10"/>
        <w:rPr>
          <w:rFonts w:hint="eastAsia"/>
          <w:color w:val="auto"/>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格式二、法定代表人（单位负责人）身份证明或授权委托书</w:t>
      </w:r>
    </w:p>
    <w:p>
      <w:pPr>
        <w:spacing w:line="360" w:lineRule="auto"/>
        <w:ind w:firstLine="480" w:firstLineChars="200"/>
        <w:rPr>
          <w:rFonts w:hint="eastAsia" w:ascii="楷体" w:hAnsi="楷体" w:eastAsia="楷体" w:cs="楷体"/>
          <w:color w:val="auto"/>
          <w:sz w:val="24"/>
        </w:rPr>
      </w:pPr>
    </w:p>
    <w:p>
      <w:pPr>
        <w:spacing w:line="360" w:lineRule="auto"/>
        <w:ind w:firstLine="482" w:firstLineChars="200"/>
        <w:jc w:val="center"/>
        <w:rPr>
          <w:rFonts w:hint="eastAsia" w:ascii="楷体" w:hAnsi="楷体" w:eastAsia="楷体" w:cs="楷体"/>
          <w:color w:val="auto"/>
          <w:sz w:val="28"/>
        </w:rPr>
      </w:pPr>
      <w:r>
        <w:rPr>
          <w:rFonts w:hint="eastAsia" w:ascii="楷体" w:hAnsi="楷体" w:eastAsia="楷体" w:cs="楷体"/>
          <w:b/>
          <w:bCs/>
          <w:color w:val="auto"/>
          <w:sz w:val="24"/>
          <w:szCs w:val="22"/>
        </w:rPr>
        <w:t>法定代表人（单位负责人）身份证明</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投标人名称：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姓名： 性别： 年龄： 职务：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系 （投标人名称）的法定代表人（单位负责人）。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特此证明。</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附：法定代表人（单位负责人）身份证复印件。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注：本身份证明需由投标人加盖单位公章。</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 （单位公章）</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7200" w:firstLineChars="30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2" w:firstLineChars="200"/>
        <w:jc w:val="center"/>
        <w:rPr>
          <w:rFonts w:hint="eastAsia" w:ascii="楷体" w:hAnsi="楷体" w:eastAsia="楷体" w:cs="楷体"/>
          <w:b/>
          <w:bCs/>
          <w:color w:val="auto"/>
          <w:sz w:val="24"/>
          <w:szCs w:val="22"/>
        </w:rPr>
      </w:pPr>
      <w:r>
        <w:rPr>
          <w:rFonts w:hint="eastAsia" w:ascii="楷体" w:hAnsi="楷体" w:eastAsia="楷体" w:cs="楷体"/>
          <w:b/>
          <w:bCs/>
          <w:color w:val="auto"/>
          <w:sz w:val="24"/>
          <w:szCs w:val="22"/>
        </w:rPr>
        <w:t>授权委托书</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本人 （姓名）系 （投标人名称）的法定代表人（单位负责人），现委托 （姓名）为我方代理人。代理人根据授权，以我方名义签署、澄清确认、递交、撤回、修改</w:t>
      </w:r>
      <w:r>
        <w:rPr>
          <w:rFonts w:hint="eastAsia" w:ascii="楷体" w:hAnsi="楷体" w:eastAsia="楷体" w:cs="楷体"/>
          <w:color w:val="auto"/>
          <w:sz w:val="24"/>
          <w:lang w:eastAsia="zh-CN"/>
        </w:rPr>
        <w:t>（</w:t>
      </w:r>
      <w:r>
        <w:rPr>
          <w:rFonts w:hint="eastAsia" w:ascii="楷体" w:hAnsi="楷体" w:eastAsia="楷体" w:cs="楷体"/>
          <w:color w:val="auto"/>
          <w:sz w:val="24"/>
        </w:rPr>
        <w:t>招标项目</w:t>
      </w:r>
      <w:r>
        <w:rPr>
          <w:rFonts w:hint="eastAsia" w:ascii="楷体" w:hAnsi="楷体" w:eastAsia="楷体" w:cs="楷体"/>
          <w:color w:val="auto"/>
          <w:sz w:val="24"/>
          <w:lang w:val="en-US" w:eastAsia="zh-CN"/>
        </w:rPr>
        <w:t>名称</w:t>
      </w: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的</w:t>
      </w:r>
      <w:r>
        <w:rPr>
          <w:rFonts w:hint="eastAsia" w:ascii="楷体" w:hAnsi="楷体" w:eastAsia="楷体" w:cs="楷体"/>
          <w:color w:val="auto"/>
          <w:sz w:val="24"/>
        </w:rPr>
        <w:t>投标文件、签订合同和处理有关事宜，其法律后果由我方承担。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委托期限：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代理人无转委托权。</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附：法定代表人（单位负责人）身份证复印件及委托代理人身份证复印件</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注：本授权委托书需由投标人加盖单位公章并由其法定代表人（单位负责人）和委托代理人签字。</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 标 人： （单位公章）</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法定代表人（单位负责人）： （签字）</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身份证号码：</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委托代理人： （签字）</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身份证号码：</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6240" w:firstLineChars="26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格式三、投标报价表（开标一览表）</w:t>
      </w:r>
    </w:p>
    <w:p>
      <w:pPr>
        <w:spacing w:line="360" w:lineRule="auto"/>
        <w:rPr>
          <w:rFonts w:hint="eastAsia" w:ascii="楷体" w:hAnsi="楷体" w:eastAsia="楷体" w:cs="楷体"/>
          <w:color w:val="auto"/>
          <w:sz w:val="24"/>
        </w:rPr>
      </w:pPr>
    </w:p>
    <w:p>
      <w:pPr>
        <w:pStyle w:val="15"/>
        <w:wordWrap w:val="0"/>
        <w:spacing w:before="0" w:beforeAutospacing="0" w:after="0" w:afterAutospacing="0"/>
        <w:jc w:val="center"/>
        <w:rPr>
          <w:rFonts w:hint="eastAsia" w:ascii="楷体" w:hAnsi="楷体" w:eastAsia="楷体" w:cs="楷体"/>
          <w:b/>
          <w:bCs w:val="0"/>
          <w:color w:val="auto"/>
          <w:sz w:val="24"/>
          <w:szCs w:val="24"/>
        </w:rPr>
      </w:pPr>
      <w:r>
        <w:rPr>
          <w:rFonts w:hint="eastAsia" w:ascii="楷体" w:hAnsi="楷体" w:eastAsia="楷体" w:cs="楷体"/>
          <w:b/>
          <w:bCs w:val="0"/>
          <w:color w:val="auto"/>
          <w:sz w:val="24"/>
          <w:szCs w:val="24"/>
          <w:shd w:val="clear" w:color="auto" w:fill="FFFFFF"/>
        </w:rPr>
        <w:t>开标一览表（格式）</w:t>
      </w:r>
    </w:p>
    <w:p>
      <w:pPr>
        <w:pStyle w:val="15"/>
        <w:wordWrap w:val="0"/>
        <w:spacing w:before="0" w:beforeAutospacing="0" w:after="0" w:afterAutospacing="0" w:line="360" w:lineRule="auto"/>
        <w:rPr>
          <w:rFonts w:hint="eastAsia" w:ascii="楷体" w:hAnsi="楷体" w:eastAsia="楷体" w:cs="楷体"/>
          <w:color w:val="auto"/>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color w:val="auto"/>
          <w:sz w:val="21"/>
          <w:szCs w:val="21"/>
          <w:shd w:val="clear" w:color="auto" w:fill="FFFFFF"/>
        </w:rPr>
      </w:pPr>
    </w:p>
    <w:p>
      <w:pPr>
        <w:pStyle w:val="15"/>
        <w:wordWrap w:val="0"/>
        <w:spacing w:before="0" w:beforeAutospacing="0" w:after="0" w:afterAutospacing="0" w:line="360" w:lineRule="auto"/>
        <w:rPr>
          <w:rFonts w:hint="eastAsia" w:ascii="楷体" w:hAnsi="楷体" w:eastAsia="楷体" w:cs="楷体"/>
          <w:color w:val="auto"/>
          <w:sz w:val="21"/>
          <w:szCs w:val="21"/>
        </w:rPr>
      </w:pPr>
      <w:r>
        <w:rPr>
          <w:rFonts w:hint="eastAsia" w:ascii="楷体" w:hAnsi="楷体" w:eastAsia="楷体" w:cs="楷体"/>
          <w:color w:val="auto"/>
          <w:sz w:val="21"/>
          <w:szCs w:val="21"/>
          <w:shd w:val="clear" w:color="auto" w:fill="FFFFFF"/>
        </w:rPr>
        <w:t xml:space="preserve">项目编号： </w:t>
      </w:r>
    </w:p>
    <w:p>
      <w:pPr>
        <w:pStyle w:val="15"/>
        <w:wordWrap w:val="0"/>
        <w:spacing w:before="0" w:beforeAutospacing="0" w:after="0" w:afterAutospacing="0" w:line="360" w:lineRule="auto"/>
        <w:rPr>
          <w:rFonts w:hint="eastAsia" w:ascii="楷体" w:hAnsi="楷体" w:eastAsia="楷体" w:cs="楷体"/>
          <w:color w:val="auto"/>
          <w:sz w:val="21"/>
          <w:szCs w:val="21"/>
        </w:rPr>
      </w:pPr>
      <w:r>
        <w:rPr>
          <w:rFonts w:hint="eastAsia" w:ascii="楷体" w:hAnsi="楷体" w:eastAsia="楷体" w:cs="楷体"/>
          <w:color w:val="auto"/>
          <w:sz w:val="21"/>
          <w:szCs w:val="21"/>
          <w:shd w:val="clear" w:color="auto" w:fill="FFFFFF"/>
        </w:rPr>
        <w:t xml:space="preserve">项目名称： </w:t>
      </w:r>
    </w:p>
    <w:p>
      <w:pPr>
        <w:pStyle w:val="15"/>
        <w:wordWrap w:val="0"/>
        <w:spacing w:before="0" w:beforeAutospacing="0" w:after="0" w:afterAutospacing="0" w:line="360" w:lineRule="auto"/>
        <w:rPr>
          <w:rFonts w:hint="eastAsia" w:ascii="楷体" w:hAnsi="楷体" w:eastAsia="楷体" w:cs="楷体"/>
          <w:color w:val="auto"/>
          <w:sz w:val="21"/>
          <w:szCs w:val="21"/>
          <w:shd w:val="clear" w:color="auto" w:fill="FFFFFF"/>
        </w:rPr>
      </w:pPr>
      <w:r>
        <w:rPr>
          <w:rFonts w:hint="eastAsia" w:ascii="楷体" w:hAnsi="楷体" w:eastAsia="楷体" w:cs="楷体"/>
          <w:color w:val="auto"/>
          <w:sz w:val="21"/>
          <w:szCs w:val="21"/>
          <w:shd w:val="clear" w:color="auto" w:fill="FFFFFF"/>
        </w:rPr>
        <w:t>标段编号：</w:t>
      </w:r>
    </w:p>
    <w:p>
      <w:pPr>
        <w:pStyle w:val="15"/>
        <w:wordWrap w:val="0"/>
        <w:spacing w:before="0" w:beforeAutospacing="0" w:after="0" w:afterAutospacing="0" w:line="360" w:lineRule="auto"/>
        <w:rPr>
          <w:rFonts w:hint="eastAsia" w:ascii="楷体" w:hAnsi="楷体" w:eastAsia="楷体" w:cs="楷体"/>
          <w:color w:val="auto"/>
          <w:sz w:val="21"/>
          <w:szCs w:val="21"/>
        </w:rPr>
      </w:pPr>
      <w:r>
        <w:rPr>
          <w:rFonts w:hint="eastAsia" w:ascii="楷体" w:hAnsi="楷体" w:eastAsia="楷体" w:cs="楷体"/>
          <w:color w:val="auto"/>
          <w:sz w:val="21"/>
          <w:szCs w:val="21"/>
          <w:shd w:val="clear" w:color="auto" w:fill="FFFFFF"/>
        </w:rPr>
        <w:t>标段名称：</w:t>
      </w:r>
    </w:p>
    <w:tbl>
      <w:tblPr>
        <w:tblStyle w:val="17"/>
        <w:tblW w:w="8308"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0" w:type="dxa"/>
          <w:bottom w:w="0" w:type="dxa"/>
          <w:right w:w="0" w:type="dxa"/>
        </w:tblCellMar>
      </w:tblPr>
      <w:tblGrid>
        <w:gridCol w:w="4382"/>
        <w:gridCol w:w="392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713"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标题  </w:t>
            </w:r>
          </w:p>
        </w:tc>
        <w:tc>
          <w:tcPr>
            <w:tcW w:w="3926"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内容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投标报价</w:t>
            </w:r>
          </w:p>
        </w:tc>
        <w:tc>
          <w:tcPr>
            <w:tcW w:w="3926" w:type="dxa"/>
            <w:noWrap w:val="0"/>
            <w:vAlign w:val="center"/>
          </w:tcPr>
          <w:p>
            <w:pPr>
              <w:spacing w:line="360" w:lineRule="auto"/>
              <w:jc w:val="center"/>
              <w:rPr>
                <w:rFonts w:hint="eastAsia" w:ascii="楷体" w:hAnsi="楷体" w:eastAsia="楷体" w:cs="楷体"/>
                <w:color w:val="auto"/>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4382"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交货期</w:t>
            </w:r>
          </w:p>
        </w:tc>
        <w:tc>
          <w:tcPr>
            <w:tcW w:w="3926" w:type="dxa"/>
            <w:noWrap w:val="0"/>
            <w:vAlign w:val="center"/>
          </w:tcPr>
          <w:p>
            <w:pPr>
              <w:spacing w:line="360" w:lineRule="auto"/>
              <w:jc w:val="center"/>
              <w:rPr>
                <w:rFonts w:hint="eastAsia" w:ascii="楷体" w:hAnsi="楷体" w:eastAsia="楷体" w:cs="楷体"/>
                <w:color w:val="auto"/>
                <w:kern w:val="2"/>
                <w:sz w:val="24"/>
                <w:szCs w:val="24"/>
                <w:lang w:val="en-US" w:eastAsia="zh-CN" w:bidi="ar-SA"/>
              </w:rPr>
            </w:pPr>
          </w:p>
        </w:tc>
      </w:tr>
    </w:tbl>
    <w:p>
      <w:pPr>
        <w:widowControl/>
        <w:spacing w:after="240"/>
        <w:jc w:val="left"/>
        <w:rPr>
          <w:rFonts w:hint="eastAsia" w:ascii="楷体" w:hAnsi="楷体" w:eastAsia="楷体" w:cs="楷体"/>
          <w:color w:val="auto"/>
          <w:sz w:val="24"/>
          <w:lang w:val="zh-CN"/>
        </w:rPr>
      </w:pPr>
    </w:p>
    <w:p>
      <w:pPr>
        <w:pStyle w:val="15"/>
        <w:wordWrap w:val="0"/>
        <w:spacing w:before="0" w:beforeAutospacing="0" w:after="0" w:afterAutospacing="0" w:line="360" w:lineRule="auto"/>
        <w:ind w:firstLine="960" w:firstLineChars="400"/>
        <w:rPr>
          <w:rFonts w:hint="eastAsia" w:ascii="楷体" w:hAnsi="楷体" w:eastAsia="楷体" w:cs="楷体"/>
          <w:color w:val="auto"/>
          <w:kern w:val="2"/>
          <w:sz w:val="24"/>
          <w:szCs w:val="24"/>
          <w:lang w:val="zh-CN"/>
        </w:rPr>
      </w:pPr>
      <w:r>
        <w:rPr>
          <w:rFonts w:hint="eastAsia" w:ascii="楷体" w:hAnsi="楷体" w:eastAsia="楷体" w:cs="楷体"/>
          <w:color w:val="auto"/>
          <w:kern w:val="2"/>
          <w:sz w:val="24"/>
          <w:szCs w:val="24"/>
          <w:lang w:val="zh-CN"/>
        </w:rPr>
        <w:t>供应商：（加盖公章）</w:t>
      </w:r>
    </w:p>
    <w:p>
      <w:pPr>
        <w:pStyle w:val="15"/>
        <w:wordWrap w:val="0"/>
        <w:spacing w:before="0" w:beforeAutospacing="0" w:after="0" w:afterAutospacing="0" w:line="360" w:lineRule="auto"/>
        <w:ind w:firstLine="960" w:firstLineChars="400"/>
        <w:rPr>
          <w:rFonts w:hint="eastAsia" w:ascii="楷体" w:hAnsi="楷体" w:eastAsia="楷体" w:cs="楷体"/>
          <w:color w:val="auto"/>
          <w:kern w:val="2"/>
          <w:sz w:val="24"/>
          <w:szCs w:val="24"/>
          <w:lang w:val="zh-CN"/>
        </w:rPr>
      </w:pPr>
      <w:r>
        <w:rPr>
          <w:rFonts w:hint="eastAsia" w:ascii="楷体" w:hAnsi="楷体" w:eastAsia="楷体" w:cs="楷体"/>
          <w:color w:val="auto"/>
          <w:kern w:val="2"/>
          <w:sz w:val="24"/>
          <w:szCs w:val="24"/>
          <w:lang w:val="zh-CN"/>
        </w:rPr>
        <w:t>日</w:t>
      </w:r>
      <w:r>
        <w:rPr>
          <w:rFonts w:hint="eastAsia" w:ascii="楷体" w:hAnsi="楷体" w:eastAsia="楷体" w:cs="楷体"/>
          <w:color w:val="auto"/>
          <w:kern w:val="2"/>
          <w:sz w:val="24"/>
          <w:szCs w:val="24"/>
          <w:lang w:val="en-US" w:eastAsia="zh-CN"/>
        </w:rPr>
        <w:t xml:space="preserve">  </w:t>
      </w:r>
      <w:r>
        <w:rPr>
          <w:rFonts w:hint="eastAsia" w:ascii="楷体" w:hAnsi="楷体" w:eastAsia="楷体" w:cs="楷体"/>
          <w:color w:val="auto"/>
          <w:kern w:val="2"/>
          <w:sz w:val="24"/>
          <w:szCs w:val="24"/>
          <w:lang w:val="zh-CN"/>
        </w:rPr>
        <w:t>期：</w:t>
      </w:r>
    </w:p>
    <w:p>
      <w:pPr>
        <w:rPr>
          <w:rFonts w:hint="eastAsia" w:ascii="楷体" w:hAnsi="楷体" w:eastAsia="楷体" w:cs="楷体"/>
          <w:color w:val="auto"/>
        </w:rPr>
      </w:pPr>
      <w:r>
        <w:rPr>
          <w:rFonts w:hint="eastAsia" w:ascii="楷体" w:hAnsi="楷体" w:eastAsia="楷体" w:cs="楷体"/>
          <w:color w:val="auto"/>
        </w:rPr>
        <w:t> </w:t>
      </w:r>
    </w:p>
    <w:p>
      <w:pPr>
        <w:spacing w:line="360" w:lineRule="auto"/>
        <w:rPr>
          <w:rFonts w:hint="eastAsia" w:ascii="楷体" w:hAnsi="楷体" w:eastAsia="楷体" w:cs="楷体"/>
          <w:color w:val="auto"/>
        </w:rPr>
      </w:pPr>
      <w:r>
        <w:rPr>
          <w:rFonts w:hint="eastAsia" w:ascii="楷体" w:hAnsi="楷体" w:eastAsia="楷体" w:cs="楷体"/>
          <w:color w:val="auto"/>
        </w:rPr>
        <w:t xml:space="preserve">备注: </w:t>
      </w:r>
    </w:p>
    <w:p>
      <w:pPr>
        <w:pStyle w:val="15"/>
        <w:wordWrap w:val="0"/>
        <w:spacing w:before="0" w:beforeAutospacing="0" w:after="0" w:afterAutospacing="0" w:line="360" w:lineRule="auto"/>
        <w:ind w:firstLine="315" w:firstLineChars="150"/>
        <w:rPr>
          <w:rFonts w:hint="eastAsia" w:ascii="楷体" w:hAnsi="楷体" w:eastAsia="楷体" w:cs="楷体"/>
          <w:color w:val="auto"/>
          <w:kern w:val="2"/>
          <w:sz w:val="21"/>
          <w:szCs w:val="24"/>
          <w:highlight w:val="yellow"/>
        </w:rPr>
      </w:pPr>
      <w:r>
        <w:rPr>
          <w:rFonts w:hint="eastAsia" w:ascii="楷体" w:hAnsi="楷体" w:eastAsia="楷体" w:cs="楷体"/>
          <w:color w:val="auto"/>
          <w:kern w:val="2"/>
          <w:sz w:val="21"/>
          <w:szCs w:val="24"/>
        </w:rPr>
        <w:t xml:space="preserve"> </w:t>
      </w:r>
      <w:r>
        <w:rPr>
          <w:rFonts w:hint="eastAsia" w:ascii="楷体" w:hAnsi="楷体" w:eastAsia="楷体" w:cs="楷体"/>
          <w:color w:val="auto"/>
          <w:kern w:val="2"/>
          <w:sz w:val="21"/>
          <w:szCs w:val="24"/>
          <w:lang w:val="zh-CN"/>
        </w:rPr>
        <w:t>1“投标报价”为投标总价。投标报价必须包括本项目所需全部费用；</w:t>
      </w:r>
    </w:p>
    <w:p>
      <w:pPr>
        <w:spacing w:line="360" w:lineRule="auto"/>
        <w:rPr>
          <w:rFonts w:hint="eastAsia" w:ascii="楷体" w:hAnsi="楷体" w:eastAsia="楷体" w:cs="楷体"/>
          <w:b/>
          <w:color w:val="auto"/>
          <w:sz w:val="24"/>
        </w:rPr>
      </w:pPr>
    </w:p>
    <w:p>
      <w:pPr>
        <w:pStyle w:val="4"/>
        <w:rPr>
          <w:rFonts w:hint="eastAsia"/>
          <w:color w:val="auto"/>
        </w:rPr>
      </w:pPr>
    </w:p>
    <w:p>
      <w:pPr>
        <w:spacing w:line="360" w:lineRule="auto"/>
        <w:ind w:firstLine="482" w:firstLineChars="200"/>
        <w:rPr>
          <w:rFonts w:hint="eastAsia" w:ascii="楷体" w:hAnsi="楷体" w:eastAsia="楷体" w:cs="楷体"/>
          <w:b/>
          <w:color w:val="auto"/>
          <w:sz w:val="24"/>
        </w:rPr>
      </w:pPr>
    </w:p>
    <w:p>
      <w:pPr>
        <w:spacing w:line="360" w:lineRule="auto"/>
        <w:ind w:firstLine="480" w:firstLineChars="200"/>
        <w:rPr>
          <w:rFonts w:hint="eastAsia" w:ascii="楷体" w:hAnsi="楷体" w:eastAsia="楷体" w:cs="楷体"/>
          <w:color w:val="auto"/>
          <w:sz w:val="24"/>
        </w:rPr>
      </w:pPr>
    </w:p>
    <w:p>
      <w:pPr>
        <w:spacing w:line="360" w:lineRule="auto"/>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br w:type="page"/>
      </w:r>
      <w:r>
        <w:rPr>
          <w:rFonts w:hint="eastAsia" w:ascii="楷体" w:hAnsi="楷体" w:eastAsia="楷体" w:cs="楷体"/>
          <w:b/>
          <w:color w:val="auto"/>
          <w:sz w:val="24"/>
        </w:rPr>
        <w:t>格式四、分项报价表</w:t>
      </w:r>
    </w:p>
    <w:p>
      <w:pPr>
        <w:spacing w:line="360" w:lineRule="auto"/>
        <w:ind w:firstLine="480" w:firstLineChars="200"/>
        <w:rPr>
          <w:rFonts w:hint="eastAsia" w:ascii="楷体" w:hAnsi="楷体" w:eastAsia="楷体" w:cs="楷体"/>
          <w:color w:val="auto"/>
          <w:sz w:val="24"/>
        </w:rPr>
      </w:pPr>
    </w:p>
    <w:p>
      <w:pPr>
        <w:spacing w:line="360" w:lineRule="auto"/>
        <w:ind w:firstLine="482" w:firstLineChars="200"/>
        <w:jc w:val="center"/>
        <w:rPr>
          <w:rFonts w:hint="eastAsia" w:ascii="楷体" w:hAnsi="楷体" w:eastAsia="楷体" w:cs="楷体"/>
          <w:color w:val="auto"/>
          <w:sz w:val="28"/>
        </w:rPr>
      </w:pPr>
      <w:r>
        <w:rPr>
          <w:rFonts w:hint="eastAsia" w:ascii="楷体" w:hAnsi="楷体" w:eastAsia="楷体" w:cs="楷体"/>
          <w:b/>
          <w:bCs/>
          <w:color w:val="auto"/>
          <w:sz w:val="24"/>
          <w:szCs w:val="22"/>
        </w:rPr>
        <w:t>分项报价表</w:t>
      </w:r>
    </w:p>
    <w:p>
      <w:pPr>
        <w:tabs>
          <w:tab w:val="left" w:pos="1800"/>
          <w:tab w:val="left" w:pos="5580"/>
        </w:tabs>
        <w:spacing w:line="360" w:lineRule="auto"/>
        <w:ind w:right="-867" w:rightChars="-413"/>
        <w:rPr>
          <w:rFonts w:hint="eastAsia" w:ascii="楷体" w:hAnsi="楷体" w:eastAsia="楷体" w:cs="楷体"/>
          <w:color w:val="auto"/>
          <w:sz w:val="24"/>
        </w:rPr>
      </w:pPr>
      <w:r>
        <w:rPr>
          <w:rFonts w:hint="eastAsia" w:ascii="楷体" w:hAnsi="楷体" w:eastAsia="楷体" w:cs="楷体"/>
          <w:color w:val="auto"/>
          <w:sz w:val="24"/>
        </w:rPr>
        <w:t>项目名称：</w:t>
      </w:r>
      <w:r>
        <w:rPr>
          <w:rFonts w:hint="eastAsia" w:ascii="楷体" w:hAnsi="楷体" w:eastAsia="楷体" w:cs="楷体"/>
          <w:color w:val="auto"/>
          <w:sz w:val="24"/>
          <w:u w:val="single"/>
        </w:rPr>
        <w:t xml:space="preserve">　                  </w:t>
      </w:r>
    </w:p>
    <w:p>
      <w:pPr>
        <w:tabs>
          <w:tab w:val="left" w:pos="1800"/>
          <w:tab w:val="left" w:pos="5580"/>
        </w:tabs>
        <w:spacing w:line="360" w:lineRule="auto"/>
        <w:ind w:right="-867" w:rightChars="-413"/>
        <w:rPr>
          <w:rFonts w:hint="eastAsia" w:ascii="楷体" w:hAnsi="楷体" w:eastAsia="楷体" w:cs="楷体"/>
          <w:color w:val="auto"/>
          <w:sz w:val="24"/>
        </w:rPr>
      </w:pPr>
      <w:r>
        <w:rPr>
          <w:rFonts w:hint="eastAsia" w:ascii="楷体" w:hAnsi="楷体" w:eastAsia="楷体" w:cs="楷体"/>
          <w:color w:val="auto"/>
          <w:sz w:val="24"/>
        </w:rPr>
        <w:t>采购项目编号：</w:t>
      </w:r>
      <w:r>
        <w:rPr>
          <w:rFonts w:hint="eastAsia" w:ascii="楷体" w:hAnsi="楷体" w:eastAsia="楷体" w:cs="楷体"/>
          <w:color w:val="auto"/>
          <w:sz w:val="24"/>
          <w:u w:val="single"/>
        </w:rPr>
        <w:t xml:space="preserve">                </w:t>
      </w:r>
    </w:p>
    <w:p>
      <w:pPr>
        <w:tabs>
          <w:tab w:val="left" w:pos="1800"/>
          <w:tab w:val="left" w:pos="5580"/>
        </w:tabs>
        <w:spacing w:line="360" w:lineRule="auto"/>
        <w:ind w:right="-867" w:rightChars="-413"/>
        <w:rPr>
          <w:rFonts w:hint="eastAsia" w:ascii="楷体" w:hAnsi="楷体" w:eastAsia="楷体" w:cs="楷体"/>
          <w:color w:val="auto"/>
          <w:sz w:val="24"/>
          <w:u w:val="single"/>
        </w:rPr>
      </w:pPr>
      <w:r>
        <w:rPr>
          <w:rFonts w:hint="eastAsia" w:ascii="楷体" w:hAnsi="楷体" w:eastAsia="楷体" w:cs="楷体"/>
          <w:color w:val="auto"/>
          <w:sz w:val="24"/>
        </w:rPr>
        <w:t>投标人名称：</w:t>
      </w:r>
      <w:r>
        <w:rPr>
          <w:rFonts w:hint="eastAsia" w:ascii="楷体" w:hAnsi="楷体" w:eastAsia="楷体" w:cs="楷体"/>
          <w:color w:val="auto"/>
          <w:sz w:val="24"/>
          <w:u w:val="single"/>
        </w:rPr>
        <w:t xml:space="preserve">                  </w:t>
      </w:r>
    </w:p>
    <w:tbl>
      <w:tblPr>
        <w:tblStyle w:val="17"/>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15"/>
        <w:gridCol w:w="1062"/>
        <w:gridCol w:w="1063"/>
        <w:gridCol w:w="677"/>
        <w:gridCol w:w="1312"/>
        <w:gridCol w:w="1354"/>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序号</w:t>
            </w: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产品名称</w:t>
            </w: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规格型号</w:t>
            </w: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制造厂家</w:t>
            </w: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数量</w:t>
            </w: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单价（元）</w:t>
            </w: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小计（元）</w:t>
            </w: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r>
              <w:rPr>
                <w:rFonts w:hint="eastAsia" w:ascii="楷体" w:hAnsi="楷体" w:eastAsia="楷体" w:cs="楷体"/>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115"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63"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677"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12"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354" w:type="dxa"/>
            <w:noWrap w:val="0"/>
            <w:vAlign w:val="bottom"/>
          </w:tcPr>
          <w:p>
            <w:pPr>
              <w:adjustRightInd w:val="0"/>
              <w:snapToGrid w:val="0"/>
              <w:spacing w:line="360" w:lineRule="auto"/>
              <w:jc w:val="center"/>
              <w:rPr>
                <w:rFonts w:hint="eastAsia" w:ascii="楷体" w:hAnsi="楷体" w:eastAsia="楷体" w:cs="楷体"/>
                <w:color w:val="auto"/>
                <w:szCs w:val="21"/>
              </w:rPr>
            </w:pPr>
          </w:p>
        </w:tc>
        <w:tc>
          <w:tcPr>
            <w:tcW w:w="1079" w:type="dxa"/>
            <w:noWrap w:val="0"/>
            <w:vAlign w:val="bottom"/>
          </w:tcPr>
          <w:p>
            <w:pPr>
              <w:adjustRightInd w:val="0"/>
              <w:snapToGrid w:val="0"/>
              <w:spacing w:line="360" w:lineRule="auto"/>
              <w:jc w:val="center"/>
              <w:rPr>
                <w:rFonts w:hint="eastAsia" w:ascii="楷体" w:hAnsi="楷体" w:eastAsia="楷体" w:cs="楷体"/>
                <w:color w:val="auto"/>
                <w:szCs w:val="21"/>
              </w:rPr>
            </w:pPr>
          </w:p>
        </w:tc>
      </w:tr>
    </w:tbl>
    <w:p>
      <w:pPr>
        <w:pStyle w:val="11"/>
        <w:tabs>
          <w:tab w:val="left" w:pos="5580"/>
        </w:tabs>
        <w:spacing w:line="360" w:lineRule="auto"/>
        <w:rPr>
          <w:rFonts w:hint="eastAsia" w:hAnsi="宋体" w:cs="宋体"/>
          <w:b/>
          <w:bCs/>
          <w:color w:val="auto"/>
          <w:kern w:val="0"/>
          <w:szCs w:val="21"/>
          <w:lang w:bidi="ar"/>
        </w:rPr>
      </w:pPr>
    </w:p>
    <w:p>
      <w:pPr>
        <w:pStyle w:val="11"/>
        <w:tabs>
          <w:tab w:val="left" w:pos="558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投标人（盖公章）：</w:t>
      </w:r>
      <w:r>
        <w:rPr>
          <w:rFonts w:hint="eastAsia" w:ascii="楷体" w:hAnsi="楷体" w:eastAsia="楷体" w:cs="楷体"/>
          <w:color w:val="auto"/>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法定代表人或授权代表(签字):</w:t>
      </w:r>
      <w:r>
        <w:rPr>
          <w:rFonts w:hint="eastAsia" w:ascii="楷体" w:hAnsi="楷体" w:eastAsia="楷体" w:cs="楷体"/>
          <w:color w:val="auto"/>
          <w:sz w:val="24"/>
          <w:szCs w:val="24"/>
          <w:u w:val="single"/>
        </w:rPr>
        <w:tab/>
      </w:r>
    </w:p>
    <w:p>
      <w:pPr>
        <w:pStyle w:val="11"/>
        <w:tabs>
          <w:tab w:val="left" w:pos="5580"/>
        </w:tabs>
        <w:spacing w:line="360" w:lineRule="auto"/>
        <w:ind w:left="1080" w:leftChars="257" w:hanging="540"/>
        <w:rPr>
          <w:rFonts w:hint="eastAsia" w:ascii="楷体" w:hAnsi="楷体" w:eastAsia="楷体" w:cs="楷体"/>
          <w:color w:val="auto"/>
          <w:sz w:val="24"/>
          <w:szCs w:val="24"/>
        </w:rPr>
      </w:pPr>
    </w:p>
    <w:p>
      <w:pPr>
        <w:spacing w:line="360" w:lineRule="auto"/>
        <w:ind w:firstLine="6240" w:firstLineChars="26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pStyle w:val="4"/>
        <w:rPr>
          <w:rFonts w:hint="eastAsia" w:ascii="楷体" w:hAnsi="楷体" w:eastAsia="楷体" w:cs="楷体"/>
          <w:color w:val="auto"/>
          <w:sz w:val="24"/>
        </w:rPr>
      </w:pPr>
    </w:p>
    <w:p>
      <w:pPr>
        <w:rPr>
          <w:rFonts w:hint="eastAsia"/>
          <w:color w:val="auto"/>
        </w:rPr>
      </w:pPr>
    </w:p>
    <w:p>
      <w:pPr>
        <w:spacing w:line="360" w:lineRule="auto"/>
        <w:ind w:firstLine="480" w:firstLineChars="200"/>
        <w:rPr>
          <w:rFonts w:hint="eastAsia" w:ascii="楷体" w:hAnsi="楷体" w:eastAsia="楷体" w:cs="楷体"/>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格式五、商务条款偏离表</w:t>
      </w:r>
    </w:p>
    <w:p>
      <w:pPr>
        <w:pStyle w:val="8"/>
        <w:spacing w:after="0"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〔说明〕投标人应根据其提供的货物和服务，对照招标文件“合同专用条款”的要求，有差异的，则在差异表中写明实际响应的具体内容。</w:t>
      </w:r>
    </w:p>
    <w:p>
      <w:pPr>
        <w:pStyle w:val="8"/>
        <w:spacing w:after="0" w:line="360" w:lineRule="auto"/>
        <w:rPr>
          <w:rFonts w:hint="eastAsia" w:ascii="楷体" w:hAnsi="楷体" w:eastAsia="楷体" w:cs="楷体"/>
          <w:color w:val="auto"/>
          <w:sz w:val="24"/>
          <w:u w:val="single"/>
        </w:rPr>
      </w:pPr>
      <w:r>
        <w:rPr>
          <w:rFonts w:hint="eastAsia" w:ascii="楷体" w:hAnsi="楷体" w:eastAsia="楷体" w:cs="楷体"/>
          <w:color w:val="auto"/>
          <w:sz w:val="24"/>
        </w:rPr>
        <w:t>投标人名称：</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招标编号：</w:t>
      </w:r>
      <w:r>
        <w:rPr>
          <w:rFonts w:hint="eastAsia" w:ascii="楷体" w:hAnsi="楷体" w:eastAsia="楷体" w:cs="楷体"/>
          <w:color w:val="auto"/>
          <w:sz w:val="24"/>
          <w:u w:val="single"/>
        </w:rPr>
        <w:t xml:space="preserve">               </w:t>
      </w:r>
      <w:r>
        <w:rPr>
          <w:rFonts w:hint="eastAsia" w:ascii="楷体" w:hAnsi="楷体" w:eastAsia="楷体" w:cs="楷体"/>
          <w:color w:val="auto"/>
          <w:sz w:val="24"/>
          <w:u w:val="none"/>
        </w:rPr>
        <w:t xml:space="preserve"> </w:t>
      </w:r>
      <w:r>
        <w:rPr>
          <w:rFonts w:hint="eastAsia" w:ascii="楷体" w:hAnsi="楷体" w:eastAsia="楷体" w:cs="楷体"/>
          <w:color w:val="auto"/>
          <w:sz w:val="24"/>
          <w:u w:val="none"/>
          <w:lang w:val="en-US" w:eastAsia="zh-CN"/>
        </w:rPr>
        <w:t>标段：</w:t>
      </w:r>
      <w:r>
        <w:rPr>
          <w:rFonts w:hint="eastAsia" w:ascii="楷体" w:hAnsi="楷体" w:eastAsia="楷体" w:cs="楷体"/>
          <w:color w:val="auto"/>
          <w:sz w:val="24"/>
          <w:u w:val="single"/>
          <w:lang w:val="en-US" w:eastAsia="zh-CN"/>
        </w:rPr>
        <w:t xml:space="preserve">          </w:t>
      </w:r>
    </w:p>
    <w:tbl>
      <w:tblPr>
        <w:tblStyle w:val="17"/>
        <w:tblW w:w="828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55"/>
        <w:gridCol w:w="2505"/>
        <w:gridCol w:w="123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8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color w:val="auto"/>
                <w:sz w:val="24"/>
              </w:rPr>
            </w:pPr>
            <w:r>
              <w:rPr>
                <w:rFonts w:hint="eastAsia" w:ascii="楷体" w:hAnsi="楷体" w:eastAsia="楷体" w:cs="楷体"/>
                <w:color w:val="auto"/>
                <w:sz w:val="24"/>
              </w:rPr>
              <w:t>序号</w:t>
            </w:r>
          </w:p>
        </w:tc>
        <w:tc>
          <w:tcPr>
            <w:tcW w:w="2455" w:type="dxa"/>
            <w:tcBorders>
              <w:top w:val="double" w:color="auto" w:sz="4" w:space="0"/>
            </w:tcBorders>
            <w:noWrap w:val="0"/>
            <w:vAlign w:val="center"/>
          </w:tcPr>
          <w:p>
            <w:pPr>
              <w:spacing w:line="360" w:lineRule="auto"/>
              <w:jc w:val="center"/>
              <w:rPr>
                <w:rFonts w:hint="eastAsia" w:ascii="楷体" w:hAnsi="楷体" w:eastAsia="楷体" w:cs="楷体"/>
                <w:color w:val="auto"/>
                <w:sz w:val="24"/>
              </w:rPr>
            </w:pPr>
            <w:r>
              <w:rPr>
                <w:rFonts w:hint="eastAsia" w:ascii="楷体" w:hAnsi="楷体" w:eastAsia="楷体" w:cs="楷体"/>
                <w:color w:val="auto"/>
                <w:sz w:val="24"/>
              </w:rPr>
              <w:t>招标文件要求</w:t>
            </w:r>
          </w:p>
        </w:tc>
        <w:tc>
          <w:tcPr>
            <w:tcW w:w="2505" w:type="dxa"/>
            <w:tcBorders>
              <w:top w:val="double" w:color="auto" w:sz="4" w:space="0"/>
            </w:tcBorders>
            <w:noWrap w:val="0"/>
            <w:vAlign w:val="center"/>
          </w:tcPr>
          <w:p>
            <w:pPr>
              <w:spacing w:line="360" w:lineRule="auto"/>
              <w:jc w:val="center"/>
              <w:rPr>
                <w:rFonts w:hint="eastAsia" w:ascii="楷体" w:hAnsi="楷体" w:eastAsia="楷体" w:cs="楷体"/>
                <w:b/>
                <w:bCs/>
                <w:color w:val="auto"/>
                <w:sz w:val="24"/>
              </w:rPr>
            </w:pPr>
            <w:r>
              <w:rPr>
                <w:rFonts w:hint="eastAsia" w:ascii="楷体" w:hAnsi="楷体" w:eastAsia="楷体" w:cs="楷体"/>
                <w:color w:val="auto"/>
                <w:sz w:val="24"/>
              </w:rPr>
              <w:t>投标文件响应内容</w:t>
            </w:r>
          </w:p>
        </w:tc>
        <w:tc>
          <w:tcPr>
            <w:tcW w:w="1230" w:type="dxa"/>
            <w:tcBorders>
              <w:top w:val="double" w:color="auto" w:sz="4" w:space="0"/>
            </w:tcBorders>
            <w:noWrap w:val="0"/>
            <w:vAlign w:val="center"/>
          </w:tcPr>
          <w:p>
            <w:pPr>
              <w:spacing w:line="360" w:lineRule="auto"/>
              <w:jc w:val="center"/>
              <w:rPr>
                <w:rFonts w:hint="eastAsia" w:ascii="楷体" w:hAnsi="楷体" w:eastAsia="楷体" w:cs="楷体"/>
                <w:color w:val="auto"/>
                <w:sz w:val="24"/>
              </w:rPr>
            </w:pPr>
            <w:r>
              <w:rPr>
                <w:rFonts w:hint="eastAsia" w:ascii="楷体" w:hAnsi="楷体" w:eastAsia="楷体" w:cs="楷体"/>
                <w:color w:val="auto"/>
                <w:sz w:val="24"/>
              </w:rPr>
              <w:t>偏离情况</w:t>
            </w:r>
          </w:p>
        </w:tc>
        <w:tc>
          <w:tcPr>
            <w:tcW w:w="1304"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color w:val="auto"/>
                <w:sz w:val="24"/>
                <w:lang w:eastAsia="zh-CN"/>
              </w:rPr>
            </w:pPr>
            <w:r>
              <w:rPr>
                <w:rFonts w:hint="eastAsia" w:ascii="楷体" w:hAnsi="楷体" w:eastAsia="楷体" w:cs="楷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noWrap w:val="0"/>
            <w:vAlign w:val="center"/>
          </w:tcPr>
          <w:p>
            <w:pPr>
              <w:spacing w:line="360" w:lineRule="auto"/>
              <w:jc w:val="center"/>
              <w:rPr>
                <w:rFonts w:hint="eastAsia" w:ascii="楷体" w:hAnsi="楷体" w:eastAsia="楷体" w:cs="楷体"/>
                <w:color w:val="auto"/>
                <w:sz w:val="24"/>
              </w:rPr>
            </w:pPr>
          </w:p>
        </w:tc>
        <w:tc>
          <w:tcPr>
            <w:tcW w:w="2505" w:type="dxa"/>
            <w:noWrap w:val="0"/>
            <w:vAlign w:val="center"/>
          </w:tcPr>
          <w:p>
            <w:pPr>
              <w:spacing w:line="360" w:lineRule="auto"/>
              <w:jc w:val="center"/>
              <w:rPr>
                <w:rFonts w:hint="eastAsia" w:ascii="楷体" w:hAnsi="楷体" w:eastAsia="楷体" w:cs="楷体"/>
                <w:color w:val="auto"/>
                <w:sz w:val="24"/>
              </w:rPr>
            </w:pPr>
          </w:p>
        </w:tc>
        <w:tc>
          <w:tcPr>
            <w:tcW w:w="1230" w:type="dxa"/>
            <w:noWrap w:val="0"/>
            <w:vAlign w:val="center"/>
          </w:tcPr>
          <w:p>
            <w:pPr>
              <w:spacing w:line="360" w:lineRule="auto"/>
              <w:jc w:val="center"/>
              <w:rPr>
                <w:rFonts w:hint="eastAsia" w:ascii="楷体" w:hAnsi="楷体" w:eastAsia="楷体" w:cs="楷体"/>
                <w:color w:val="auto"/>
                <w:sz w:val="24"/>
              </w:rPr>
            </w:pPr>
          </w:p>
        </w:tc>
        <w:tc>
          <w:tcPr>
            <w:tcW w:w="1304"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8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55" w:type="dxa"/>
            <w:tcBorders>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505" w:type="dxa"/>
            <w:tcBorders>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1230" w:type="dxa"/>
            <w:tcBorders>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1304"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color w:val="auto"/>
                <w:sz w:val="24"/>
              </w:rPr>
            </w:pPr>
          </w:p>
        </w:tc>
      </w:tr>
    </w:tbl>
    <w:p>
      <w:pPr>
        <w:spacing w:after="240" w:line="360" w:lineRule="auto"/>
        <w:rPr>
          <w:rFonts w:hint="eastAsia" w:ascii="楷体" w:hAnsi="楷体" w:eastAsia="楷体" w:cs="楷体"/>
          <w:color w:val="auto"/>
          <w:sz w:val="24"/>
        </w:rPr>
      </w:pPr>
      <w:r>
        <w:rPr>
          <w:rFonts w:hint="eastAsia" w:ascii="楷体" w:hAnsi="楷体" w:eastAsia="楷体" w:cs="楷体"/>
          <w:color w:val="auto"/>
          <w:sz w:val="24"/>
        </w:rPr>
        <w:t>注：请对招标文件商务要求内容逐条响应。（响应、正偏离、负偏离）</w:t>
      </w:r>
    </w:p>
    <w:p>
      <w:pPr>
        <w:pStyle w:val="11"/>
        <w:tabs>
          <w:tab w:val="left" w:pos="558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投标人（盖公章）：</w:t>
      </w:r>
      <w:r>
        <w:rPr>
          <w:rFonts w:hint="eastAsia" w:ascii="楷体" w:hAnsi="楷体" w:eastAsia="楷体" w:cs="楷体"/>
          <w:color w:val="auto"/>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法定代表人或授权代表(签字):</w:t>
      </w:r>
      <w:r>
        <w:rPr>
          <w:rFonts w:hint="eastAsia" w:ascii="楷体" w:hAnsi="楷体" w:eastAsia="楷体" w:cs="楷体"/>
          <w:color w:val="auto"/>
          <w:sz w:val="24"/>
          <w:szCs w:val="24"/>
          <w:u w:val="single"/>
        </w:rPr>
        <w:tab/>
      </w:r>
    </w:p>
    <w:p>
      <w:pPr>
        <w:pStyle w:val="11"/>
        <w:tabs>
          <w:tab w:val="left" w:pos="5580"/>
        </w:tabs>
        <w:spacing w:line="360" w:lineRule="auto"/>
        <w:ind w:left="1080" w:leftChars="257" w:hanging="540"/>
        <w:rPr>
          <w:rFonts w:hint="eastAsia" w:ascii="楷体" w:hAnsi="楷体" w:eastAsia="楷体" w:cs="楷体"/>
          <w:color w:val="auto"/>
          <w:sz w:val="24"/>
          <w:szCs w:val="24"/>
        </w:rPr>
      </w:pPr>
    </w:p>
    <w:p>
      <w:pPr>
        <w:spacing w:line="360" w:lineRule="auto"/>
        <w:ind w:firstLine="6240" w:firstLineChars="26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pStyle w:val="4"/>
        <w:rPr>
          <w:rFonts w:hint="eastAsia"/>
          <w:color w:val="auto"/>
        </w:rPr>
      </w:pPr>
    </w:p>
    <w:p>
      <w:pPr>
        <w:spacing w:line="360" w:lineRule="auto"/>
        <w:ind w:firstLine="480" w:firstLineChars="200"/>
        <w:rPr>
          <w:rFonts w:hint="eastAsia" w:ascii="楷体" w:hAnsi="楷体" w:eastAsia="楷体" w:cs="楷体"/>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格式六、技术规格偏离表</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〔说明〕投标人应按照招标文件要求，根据“用户需求书”内容做出全面响应。</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对响应有差异的，则说明差异的内容。</w:t>
      </w:r>
    </w:p>
    <w:p>
      <w:pPr>
        <w:pStyle w:val="8"/>
        <w:spacing w:line="360" w:lineRule="auto"/>
        <w:rPr>
          <w:rFonts w:hint="eastAsia" w:ascii="楷体" w:hAnsi="楷体" w:eastAsia="楷体" w:cs="楷体"/>
          <w:color w:val="auto"/>
          <w:sz w:val="24"/>
          <w:u w:val="single"/>
        </w:rPr>
      </w:pPr>
      <w:r>
        <w:rPr>
          <w:rFonts w:hint="eastAsia" w:ascii="楷体" w:hAnsi="楷体" w:eastAsia="楷体" w:cs="楷体"/>
          <w:color w:val="auto"/>
          <w:sz w:val="24"/>
        </w:rPr>
        <w:t>投标人名称：</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招标编号：</w:t>
      </w:r>
      <w:r>
        <w:rPr>
          <w:rFonts w:hint="eastAsia" w:ascii="楷体" w:hAnsi="楷体" w:eastAsia="楷体" w:cs="楷体"/>
          <w:color w:val="auto"/>
          <w:sz w:val="24"/>
          <w:u w:val="single"/>
        </w:rPr>
        <w:t xml:space="preserve">               </w:t>
      </w:r>
      <w:r>
        <w:rPr>
          <w:rFonts w:hint="eastAsia" w:ascii="楷体" w:hAnsi="楷体" w:eastAsia="楷体" w:cs="楷体"/>
          <w:color w:val="auto"/>
          <w:sz w:val="24"/>
          <w:u w:val="none"/>
        </w:rPr>
        <w:t xml:space="preserve"> </w:t>
      </w:r>
      <w:r>
        <w:rPr>
          <w:rFonts w:hint="eastAsia" w:ascii="楷体" w:hAnsi="楷体" w:eastAsia="楷体" w:cs="楷体"/>
          <w:color w:val="auto"/>
          <w:sz w:val="24"/>
          <w:u w:val="none"/>
          <w:lang w:val="en-US" w:eastAsia="zh-CN"/>
        </w:rPr>
        <w:t>标段</w:t>
      </w:r>
      <w:r>
        <w:rPr>
          <w:rFonts w:hint="eastAsia" w:ascii="楷体" w:hAnsi="楷体" w:eastAsia="楷体" w:cs="楷体"/>
          <w:color w:val="auto"/>
          <w:sz w:val="24"/>
          <w:u w:val="single"/>
          <w:lang w:val="en-US" w:eastAsia="zh-CN"/>
        </w:rPr>
        <w:t xml:space="preserve">：      </w:t>
      </w:r>
    </w:p>
    <w:tbl>
      <w:tblPr>
        <w:tblStyle w:val="17"/>
        <w:tblW w:w="829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23"/>
        <w:gridCol w:w="2410"/>
        <w:gridCol w:w="184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16" w:type="dxa"/>
            <w:tcBorders>
              <w:top w:val="double" w:color="auto" w:sz="4" w:space="0"/>
              <w:left w:val="double" w:color="auto" w:sz="4" w:space="0"/>
            </w:tcBorders>
            <w:noWrap w:val="0"/>
            <w:vAlign w:val="center"/>
          </w:tcPr>
          <w:p>
            <w:pPr>
              <w:spacing w:line="360" w:lineRule="auto"/>
              <w:jc w:val="center"/>
              <w:rPr>
                <w:rFonts w:hint="eastAsia" w:ascii="楷体" w:hAnsi="楷体" w:eastAsia="楷体" w:cs="楷体"/>
                <w:b/>
                <w:bCs/>
                <w:color w:val="auto"/>
                <w:sz w:val="24"/>
              </w:rPr>
            </w:pPr>
            <w:r>
              <w:rPr>
                <w:rFonts w:hint="eastAsia" w:ascii="楷体" w:hAnsi="楷体" w:eastAsia="楷体" w:cs="楷体"/>
                <w:color w:val="auto"/>
                <w:sz w:val="24"/>
              </w:rPr>
              <w:t>序号</w:t>
            </w:r>
          </w:p>
        </w:tc>
        <w:tc>
          <w:tcPr>
            <w:tcW w:w="2123" w:type="dxa"/>
            <w:tcBorders>
              <w:top w:val="double" w:color="auto" w:sz="4" w:space="0"/>
            </w:tcBorders>
            <w:noWrap w:val="0"/>
            <w:vAlign w:val="center"/>
          </w:tcPr>
          <w:p>
            <w:pPr>
              <w:spacing w:line="360" w:lineRule="auto"/>
              <w:jc w:val="center"/>
              <w:rPr>
                <w:rFonts w:hint="eastAsia" w:ascii="楷体" w:hAnsi="楷体" w:eastAsia="楷体" w:cs="楷体"/>
                <w:color w:val="auto"/>
                <w:sz w:val="24"/>
              </w:rPr>
            </w:pPr>
            <w:r>
              <w:rPr>
                <w:rFonts w:hint="eastAsia" w:ascii="楷体" w:hAnsi="楷体" w:eastAsia="楷体" w:cs="楷体"/>
                <w:color w:val="auto"/>
                <w:sz w:val="24"/>
              </w:rPr>
              <w:t>招标文件要求</w:t>
            </w:r>
          </w:p>
        </w:tc>
        <w:tc>
          <w:tcPr>
            <w:tcW w:w="2410" w:type="dxa"/>
            <w:tcBorders>
              <w:top w:val="double" w:color="auto" w:sz="4" w:space="0"/>
            </w:tcBorders>
            <w:noWrap w:val="0"/>
            <w:vAlign w:val="center"/>
          </w:tcPr>
          <w:p>
            <w:pPr>
              <w:spacing w:line="360" w:lineRule="auto"/>
              <w:jc w:val="center"/>
              <w:rPr>
                <w:rFonts w:hint="eastAsia" w:ascii="楷体" w:hAnsi="楷体" w:eastAsia="楷体" w:cs="楷体"/>
                <w:b/>
                <w:bCs/>
                <w:color w:val="auto"/>
                <w:sz w:val="24"/>
              </w:rPr>
            </w:pPr>
            <w:r>
              <w:rPr>
                <w:rFonts w:hint="eastAsia" w:ascii="楷体" w:hAnsi="楷体" w:eastAsia="楷体" w:cs="楷体"/>
                <w:color w:val="auto"/>
                <w:sz w:val="24"/>
              </w:rPr>
              <w:t>投标文件响应内容</w:t>
            </w:r>
          </w:p>
        </w:tc>
        <w:tc>
          <w:tcPr>
            <w:tcW w:w="1843" w:type="dxa"/>
            <w:tcBorders>
              <w:top w:val="double" w:color="auto" w:sz="4" w:space="0"/>
            </w:tcBorders>
            <w:noWrap w:val="0"/>
            <w:vAlign w:val="center"/>
          </w:tcPr>
          <w:p>
            <w:pPr>
              <w:spacing w:line="360" w:lineRule="auto"/>
              <w:jc w:val="center"/>
              <w:rPr>
                <w:rFonts w:hint="eastAsia" w:ascii="楷体" w:hAnsi="楷体" w:eastAsia="楷体" w:cs="楷体"/>
                <w:color w:val="auto"/>
                <w:sz w:val="24"/>
              </w:rPr>
            </w:pPr>
            <w:r>
              <w:rPr>
                <w:rFonts w:hint="eastAsia" w:ascii="楷体" w:hAnsi="楷体" w:eastAsia="楷体" w:cs="楷体"/>
                <w:color w:val="auto"/>
                <w:sz w:val="24"/>
              </w:rPr>
              <w:t>偏离情况</w:t>
            </w:r>
          </w:p>
        </w:tc>
        <w:tc>
          <w:tcPr>
            <w:tcW w:w="1200" w:type="dxa"/>
            <w:tcBorders>
              <w:top w:val="double" w:color="auto" w:sz="4" w:space="0"/>
              <w:right w:val="double" w:color="auto" w:sz="4" w:space="0"/>
            </w:tcBorders>
            <w:noWrap w:val="0"/>
            <w:vAlign w:val="center"/>
          </w:tcPr>
          <w:p>
            <w:pPr>
              <w:spacing w:line="360" w:lineRule="auto"/>
              <w:jc w:val="center"/>
              <w:rPr>
                <w:rFonts w:hint="eastAsia" w:ascii="楷体" w:hAnsi="楷体" w:eastAsia="楷体" w:cs="楷体"/>
                <w:color w:val="auto"/>
                <w:sz w:val="24"/>
              </w:rPr>
            </w:pPr>
            <w:r>
              <w:rPr>
                <w:rFonts w:hint="eastAsia" w:ascii="楷体" w:hAnsi="楷体" w:eastAsia="楷体" w:cs="楷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noWrap w:val="0"/>
            <w:vAlign w:val="center"/>
          </w:tcPr>
          <w:p>
            <w:pPr>
              <w:spacing w:line="360" w:lineRule="auto"/>
              <w:jc w:val="center"/>
              <w:rPr>
                <w:rFonts w:hint="eastAsia" w:ascii="楷体" w:hAnsi="楷体" w:eastAsia="楷体" w:cs="楷体"/>
                <w:color w:val="auto"/>
                <w:sz w:val="24"/>
              </w:rPr>
            </w:pPr>
          </w:p>
        </w:tc>
        <w:tc>
          <w:tcPr>
            <w:tcW w:w="2410" w:type="dxa"/>
            <w:noWrap w:val="0"/>
            <w:vAlign w:val="center"/>
          </w:tcPr>
          <w:p>
            <w:pPr>
              <w:spacing w:line="360" w:lineRule="auto"/>
              <w:jc w:val="center"/>
              <w:rPr>
                <w:rFonts w:hint="eastAsia" w:ascii="楷体" w:hAnsi="楷体" w:eastAsia="楷体" w:cs="楷体"/>
                <w:color w:val="auto"/>
                <w:sz w:val="24"/>
              </w:rPr>
            </w:pPr>
          </w:p>
        </w:tc>
        <w:tc>
          <w:tcPr>
            <w:tcW w:w="1843" w:type="dxa"/>
            <w:noWrap w:val="0"/>
            <w:vAlign w:val="center"/>
          </w:tcPr>
          <w:p>
            <w:pPr>
              <w:spacing w:line="360" w:lineRule="auto"/>
              <w:jc w:val="center"/>
              <w:rPr>
                <w:rFonts w:hint="eastAsia" w:ascii="楷体" w:hAnsi="楷体" w:eastAsia="楷体" w:cs="楷体"/>
                <w:color w:val="auto"/>
                <w:sz w:val="24"/>
              </w:rPr>
            </w:pPr>
          </w:p>
        </w:tc>
        <w:tc>
          <w:tcPr>
            <w:tcW w:w="1200" w:type="dxa"/>
            <w:tcBorders>
              <w:right w:val="double" w:color="auto" w:sz="4" w:space="0"/>
            </w:tcBorders>
            <w:noWrap w:val="0"/>
            <w:vAlign w:val="center"/>
          </w:tcPr>
          <w:p>
            <w:pPr>
              <w:spacing w:line="360" w:lineRule="auto"/>
              <w:jc w:val="center"/>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6" w:type="dxa"/>
            <w:tcBorders>
              <w:left w:val="double" w:color="auto" w:sz="4" w:space="0"/>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123" w:type="dxa"/>
            <w:tcBorders>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2410" w:type="dxa"/>
            <w:tcBorders>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1843" w:type="dxa"/>
            <w:tcBorders>
              <w:bottom w:val="double" w:color="auto" w:sz="4" w:space="0"/>
            </w:tcBorders>
            <w:noWrap w:val="0"/>
            <w:vAlign w:val="center"/>
          </w:tcPr>
          <w:p>
            <w:pPr>
              <w:spacing w:line="360" w:lineRule="auto"/>
              <w:jc w:val="center"/>
              <w:rPr>
                <w:rFonts w:hint="eastAsia" w:ascii="楷体" w:hAnsi="楷体" w:eastAsia="楷体" w:cs="楷体"/>
                <w:color w:val="auto"/>
                <w:sz w:val="24"/>
              </w:rPr>
            </w:pPr>
          </w:p>
        </w:tc>
        <w:tc>
          <w:tcPr>
            <w:tcW w:w="1200" w:type="dxa"/>
            <w:tcBorders>
              <w:bottom w:val="double" w:color="auto" w:sz="4" w:space="0"/>
              <w:right w:val="double" w:color="auto" w:sz="4" w:space="0"/>
            </w:tcBorders>
            <w:noWrap w:val="0"/>
            <w:vAlign w:val="center"/>
          </w:tcPr>
          <w:p>
            <w:pPr>
              <w:spacing w:line="360" w:lineRule="auto"/>
              <w:jc w:val="center"/>
              <w:rPr>
                <w:rFonts w:hint="eastAsia" w:ascii="楷体" w:hAnsi="楷体" w:eastAsia="楷体" w:cs="楷体"/>
                <w:color w:val="auto"/>
                <w:sz w:val="24"/>
              </w:rPr>
            </w:pPr>
          </w:p>
        </w:tc>
      </w:tr>
    </w:tbl>
    <w:p>
      <w:pPr>
        <w:spacing w:after="240" w:line="360" w:lineRule="auto"/>
        <w:rPr>
          <w:rFonts w:hint="eastAsia" w:ascii="楷体" w:hAnsi="楷体" w:eastAsia="楷体" w:cs="楷体"/>
          <w:color w:val="auto"/>
          <w:sz w:val="24"/>
        </w:rPr>
      </w:pPr>
      <w:r>
        <w:rPr>
          <w:rFonts w:hint="eastAsia" w:ascii="楷体" w:hAnsi="楷体" w:eastAsia="楷体" w:cs="楷体"/>
          <w:color w:val="auto"/>
          <w:sz w:val="24"/>
        </w:rPr>
        <w:t>注：请对招标文件技术规格书要求内容逐条响应。（响应、正偏离、负偏离）</w:t>
      </w:r>
    </w:p>
    <w:p>
      <w:pPr>
        <w:pStyle w:val="11"/>
        <w:tabs>
          <w:tab w:val="left" w:pos="558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投标人（盖公章）：</w:t>
      </w:r>
      <w:r>
        <w:rPr>
          <w:rFonts w:hint="eastAsia" w:ascii="楷体" w:hAnsi="楷体" w:eastAsia="楷体" w:cs="楷体"/>
          <w:color w:val="auto"/>
          <w:sz w:val="24"/>
          <w:szCs w:val="24"/>
          <w:u w:val="single"/>
        </w:rPr>
        <w:t xml:space="preserve">                          </w:t>
      </w:r>
    </w:p>
    <w:p>
      <w:pPr>
        <w:pStyle w:val="11"/>
        <w:tabs>
          <w:tab w:val="left" w:pos="570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法定代表人或授权代表(签字):</w:t>
      </w:r>
      <w:r>
        <w:rPr>
          <w:rFonts w:hint="eastAsia" w:ascii="楷体" w:hAnsi="楷体" w:eastAsia="楷体" w:cs="楷体"/>
          <w:color w:val="auto"/>
          <w:sz w:val="24"/>
          <w:szCs w:val="24"/>
          <w:u w:val="single"/>
        </w:rPr>
        <w:tab/>
      </w:r>
    </w:p>
    <w:p>
      <w:pPr>
        <w:pStyle w:val="11"/>
        <w:tabs>
          <w:tab w:val="left" w:pos="5580"/>
        </w:tabs>
        <w:spacing w:line="360" w:lineRule="auto"/>
        <w:ind w:left="1080" w:leftChars="257" w:hanging="540"/>
        <w:rPr>
          <w:rFonts w:hint="eastAsia" w:ascii="楷体" w:hAnsi="楷体" w:eastAsia="楷体" w:cs="楷体"/>
          <w:color w:val="auto"/>
          <w:sz w:val="24"/>
          <w:szCs w:val="24"/>
        </w:rPr>
      </w:pPr>
    </w:p>
    <w:p>
      <w:pPr>
        <w:spacing w:line="360" w:lineRule="auto"/>
        <w:ind w:firstLine="6240" w:firstLineChars="26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pStyle w:val="4"/>
        <w:rPr>
          <w:rFonts w:hint="eastAsia"/>
          <w:color w:val="auto"/>
        </w:rPr>
      </w:pPr>
    </w:p>
    <w:p>
      <w:pPr>
        <w:spacing w:line="360" w:lineRule="auto"/>
        <w:ind w:firstLine="480" w:firstLineChars="200"/>
        <w:rPr>
          <w:rFonts w:hint="eastAsia" w:ascii="楷体" w:hAnsi="楷体" w:eastAsia="楷体" w:cs="楷体"/>
          <w:color w:val="auto"/>
          <w:sz w:val="24"/>
        </w:rPr>
      </w:pP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格式七、资格审查资料</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格式八、投标设备技术性能指标的详细描述（格式自拟）；</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格式九、技术支持资料（格式自拟）；</w:t>
      </w:r>
    </w:p>
    <w:p>
      <w:pPr>
        <w:spacing w:line="360" w:lineRule="auto"/>
        <w:ind w:firstLine="480" w:firstLineChars="200"/>
        <w:rPr>
          <w:rFonts w:hint="eastAsia" w:ascii="楷体" w:hAnsi="楷体" w:eastAsia="楷体" w:cs="楷体"/>
          <w:b/>
          <w:color w:val="auto"/>
          <w:sz w:val="24"/>
        </w:rPr>
      </w:pPr>
      <w:r>
        <w:rPr>
          <w:rFonts w:hint="eastAsia" w:ascii="楷体" w:hAnsi="楷体" w:eastAsia="楷体" w:cs="楷体"/>
          <w:color w:val="auto"/>
          <w:sz w:val="24"/>
        </w:rPr>
        <w:t>产品技术说明书和彩页（彩页须是印刷版，要与所投产品型号、规格一致）。</w:t>
      </w: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ind w:firstLine="482" w:firstLineChars="200"/>
        <w:rPr>
          <w:rFonts w:hint="eastAsia" w:ascii="楷体" w:hAnsi="楷体" w:eastAsia="楷体" w:cs="楷体"/>
          <w:b/>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格式十、业绩（业绩要求详见评分细则）</w:t>
      </w:r>
    </w:p>
    <w:p>
      <w:pPr>
        <w:spacing w:line="360" w:lineRule="auto"/>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业绩</w:t>
      </w:r>
    </w:p>
    <w:tbl>
      <w:tblPr>
        <w:tblStyle w:val="17"/>
        <w:tblW w:w="8304" w:type="dxa"/>
        <w:tblInd w:w="6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56"/>
        <w:gridCol w:w="1435"/>
        <w:gridCol w:w="1316"/>
        <w:gridCol w:w="1157"/>
        <w:gridCol w:w="1256"/>
        <w:gridCol w:w="1624"/>
        <w:gridCol w:w="8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tcBorders>
              <w:top w:val="single" w:color="auto" w:sz="4" w:space="0"/>
            </w:tcBorders>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年份</w:t>
            </w:r>
          </w:p>
        </w:tc>
        <w:tc>
          <w:tcPr>
            <w:tcW w:w="1435" w:type="dxa"/>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用户名称</w:t>
            </w:r>
          </w:p>
        </w:tc>
        <w:tc>
          <w:tcPr>
            <w:tcW w:w="1316" w:type="dxa"/>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项目名称</w:t>
            </w:r>
          </w:p>
        </w:tc>
        <w:tc>
          <w:tcPr>
            <w:tcW w:w="1157" w:type="dxa"/>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完成时间</w:t>
            </w:r>
          </w:p>
        </w:tc>
        <w:tc>
          <w:tcPr>
            <w:tcW w:w="1256" w:type="dxa"/>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合同金额</w:t>
            </w: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是否通过验收</w:t>
            </w: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r>
              <w:rPr>
                <w:rFonts w:hint="eastAsia" w:ascii="楷体" w:hAnsi="楷体" w:eastAsia="楷体" w:cs="楷体"/>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noWrap w:val="0"/>
            <w:vAlign w:val="center"/>
          </w:tcPr>
          <w:p>
            <w:pPr>
              <w:spacing w:line="360" w:lineRule="auto"/>
              <w:jc w:val="center"/>
              <w:outlineLvl w:val="1"/>
              <w:rPr>
                <w:rFonts w:hint="eastAsia" w:ascii="楷体" w:hAnsi="楷体" w:eastAsia="楷体" w:cs="楷体"/>
                <w:color w:val="auto"/>
              </w:rPr>
            </w:pPr>
          </w:p>
        </w:tc>
        <w:tc>
          <w:tcPr>
            <w:tcW w:w="1316" w:type="dxa"/>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noWrap w:val="0"/>
            <w:vAlign w:val="center"/>
          </w:tcPr>
          <w:p>
            <w:pPr>
              <w:spacing w:line="360" w:lineRule="auto"/>
              <w:jc w:val="center"/>
              <w:outlineLvl w:val="1"/>
              <w:rPr>
                <w:rFonts w:hint="eastAsia" w:ascii="楷体" w:hAnsi="楷体" w:eastAsia="楷体" w:cs="楷体"/>
                <w:color w:val="auto"/>
              </w:rPr>
            </w:pPr>
          </w:p>
        </w:tc>
        <w:tc>
          <w:tcPr>
            <w:tcW w:w="1316" w:type="dxa"/>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noWrap w:val="0"/>
            <w:vAlign w:val="center"/>
          </w:tcPr>
          <w:p>
            <w:pPr>
              <w:spacing w:line="360" w:lineRule="auto"/>
              <w:jc w:val="center"/>
              <w:outlineLvl w:val="1"/>
              <w:rPr>
                <w:rFonts w:hint="eastAsia" w:ascii="楷体" w:hAnsi="楷体" w:eastAsia="楷体" w:cs="楷体"/>
                <w:color w:val="auto"/>
              </w:rPr>
            </w:pPr>
          </w:p>
        </w:tc>
        <w:tc>
          <w:tcPr>
            <w:tcW w:w="1316" w:type="dxa"/>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49" w:hRule="atLeast"/>
        </w:trPr>
        <w:tc>
          <w:tcPr>
            <w:tcW w:w="656" w:type="dxa"/>
            <w:noWrap w:val="0"/>
            <w:vAlign w:val="center"/>
          </w:tcPr>
          <w:p>
            <w:pPr>
              <w:spacing w:line="360" w:lineRule="auto"/>
              <w:jc w:val="center"/>
              <w:outlineLvl w:val="1"/>
              <w:rPr>
                <w:rFonts w:hint="eastAsia" w:ascii="楷体" w:hAnsi="楷体" w:eastAsia="楷体" w:cs="楷体"/>
                <w:color w:val="auto"/>
              </w:rPr>
            </w:pPr>
          </w:p>
        </w:tc>
        <w:tc>
          <w:tcPr>
            <w:tcW w:w="1435"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316"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1157" w:type="dxa"/>
            <w:noWrap w:val="0"/>
            <w:vAlign w:val="center"/>
          </w:tcPr>
          <w:p>
            <w:pPr>
              <w:spacing w:line="360" w:lineRule="auto"/>
              <w:jc w:val="center"/>
              <w:outlineLvl w:val="1"/>
              <w:rPr>
                <w:rFonts w:hint="eastAsia" w:ascii="楷体" w:hAnsi="楷体" w:eastAsia="楷体" w:cs="楷体"/>
                <w:color w:val="auto"/>
              </w:rPr>
            </w:pPr>
          </w:p>
        </w:tc>
        <w:tc>
          <w:tcPr>
            <w:tcW w:w="1256" w:type="dxa"/>
            <w:noWrap w:val="0"/>
            <w:vAlign w:val="center"/>
          </w:tcPr>
          <w:p>
            <w:pPr>
              <w:spacing w:line="360" w:lineRule="auto"/>
              <w:jc w:val="center"/>
              <w:outlineLvl w:val="1"/>
              <w:rPr>
                <w:rFonts w:hint="eastAsia" w:ascii="楷体" w:hAnsi="楷体" w:eastAsia="楷体" w:cs="楷体"/>
                <w:color w:val="auto"/>
              </w:rPr>
            </w:pPr>
          </w:p>
        </w:tc>
        <w:tc>
          <w:tcPr>
            <w:tcW w:w="1624" w:type="dxa"/>
            <w:tcBorders>
              <w:right w:val="single" w:color="auto" w:sz="4" w:space="0"/>
            </w:tcBorders>
            <w:noWrap w:val="0"/>
            <w:vAlign w:val="center"/>
          </w:tcPr>
          <w:p>
            <w:pPr>
              <w:spacing w:line="360" w:lineRule="auto"/>
              <w:jc w:val="center"/>
              <w:outlineLvl w:val="1"/>
              <w:rPr>
                <w:rFonts w:hint="eastAsia" w:ascii="楷体" w:hAnsi="楷体" w:eastAsia="楷体" w:cs="楷体"/>
                <w:color w:val="auto"/>
              </w:rPr>
            </w:pPr>
          </w:p>
        </w:tc>
        <w:tc>
          <w:tcPr>
            <w:tcW w:w="860" w:type="dxa"/>
            <w:tcBorders>
              <w:left w:val="single" w:color="auto" w:sz="4" w:space="0"/>
            </w:tcBorders>
            <w:noWrap w:val="0"/>
            <w:vAlign w:val="center"/>
          </w:tcPr>
          <w:p>
            <w:pPr>
              <w:spacing w:line="360" w:lineRule="auto"/>
              <w:jc w:val="center"/>
              <w:outlineLvl w:val="1"/>
              <w:rPr>
                <w:rFonts w:hint="eastAsia" w:ascii="楷体" w:hAnsi="楷体" w:eastAsia="楷体" w:cs="楷体"/>
                <w:color w:val="auto"/>
              </w:rPr>
            </w:pPr>
          </w:p>
        </w:tc>
      </w:tr>
    </w:tbl>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注：须提供业绩相应的证明材料（采购合同）。</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pStyle w:val="4"/>
        <w:rPr>
          <w:rFonts w:hint="eastAsia" w:ascii="楷体" w:hAnsi="楷体" w:eastAsia="楷体" w:cs="楷体"/>
          <w:color w:val="auto"/>
          <w:sz w:val="24"/>
        </w:rPr>
      </w:pPr>
    </w:p>
    <w:p>
      <w:pPr>
        <w:rPr>
          <w:rFonts w:hint="eastAsia"/>
          <w:color w:val="auto"/>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格式十一、售后服务、及培训计划承诺书；</w:t>
      </w:r>
    </w:p>
    <w:p>
      <w:pPr>
        <w:spacing w:line="360" w:lineRule="auto"/>
        <w:jc w:val="center"/>
        <w:rPr>
          <w:rFonts w:hint="eastAsia" w:ascii="楷体" w:hAnsi="楷体" w:eastAsia="楷体" w:cs="楷体"/>
          <w:b/>
          <w:bCs/>
          <w:color w:val="auto"/>
          <w:sz w:val="24"/>
          <w:szCs w:val="22"/>
        </w:rPr>
      </w:pPr>
      <w:r>
        <w:rPr>
          <w:rFonts w:hint="eastAsia" w:ascii="楷体" w:hAnsi="楷体" w:eastAsia="楷体" w:cs="楷体"/>
          <w:b/>
          <w:bCs/>
          <w:color w:val="auto"/>
          <w:sz w:val="24"/>
          <w:szCs w:val="22"/>
        </w:rPr>
        <w:t>11.1培训计划承诺</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致：</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经仔细阅读你们的招标文件，我们同意招标文件中有关培训计划的要求，对所投标项目向贵单位特作如下培训计划承诺：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特此承诺！</w:t>
      </w:r>
    </w:p>
    <w:p>
      <w:pPr>
        <w:spacing w:line="360" w:lineRule="auto"/>
        <w:ind w:firstLine="480" w:firstLineChars="200"/>
        <w:rPr>
          <w:rFonts w:hint="eastAsia" w:ascii="楷体" w:hAnsi="楷体" w:eastAsia="楷体" w:cs="楷体"/>
          <w:color w:val="auto"/>
          <w:sz w:val="24"/>
        </w:rPr>
      </w:pPr>
    </w:p>
    <w:p>
      <w:pPr>
        <w:pStyle w:val="11"/>
        <w:tabs>
          <w:tab w:val="left" w:pos="5580"/>
        </w:tabs>
        <w:spacing w:line="360" w:lineRule="auto"/>
        <w:ind w:left="1080" w:leftChars="257" w:hanging="540"/>
        <w:rPr>
          <w:rFonts w:hint="eastAsia" w:ascii="楷体" w:hAnsi="楷体" w:eastAsia="楷体" w:cs="楷体"/>
          <w:color w:val="auto"/>
          <w:sz w:val="24"/>
          <w:szCs w:val="24"/>
          <w:u w:val="single"/>
        </w:rPr>
      </w:pPr>
      <w:r>
        <w:rPr>
          <w:rFonts w:hint="eastAsia" w:ascii="楷体" w:hAnsi="楷体" w:eastAsia="楷体" w:cs="楷体"/>
          <w:color w:val="auto"/>
          <w:sz w:val="24"/>
          <w:szCs w:val="24"/>
        </w:rPr>
        <w:t>投标人（盖公章）：</w:t>
      </w:r>
      <w:r>
        <w:rPr>
          <w:rFonts w:hint="eastAsia" w:ascii="楷体" w:hAnsi="楷体" w:eastAsia="楷体" w:cs="楷体"/>
          <w:color w:val="auto"/>
          <w:sz w:val="24"/>
          <w:szCs w:val="24"/>
          <w:u w:val="single"/>
        </w:rPr>
        <w:t xml:space="preserve">                          </w:t>
      </w:r>
    </w:p>
    <w:p>
      <w:pPr>
        <w:pStyle w:val="11"/>
        <w:tabs>
          <w:tab w:val="left" w:pos="5580"/>
        </w:tabs>
        <w:spacing w:line="360" w:lineRule="auto"/>
        <w:ind w:left="1080" w:leftChars="257" w:hanging="540"/>
        <w:rPr>
          <w:rFonts w:hint="eastAsia" w:ascii="楷体" w:hAnsi="楷体" w:eastAsia="楷体" w:cs="楷体"/>
          <w:color w:val="auto"/>
          <w:sz w:val="24"/>
          <w:szCs w:val="24"/>
        </w:rPr>
      </w:pPr>
    </w:p>
    <w:p>
      <w:pPr>
        <w:pStyle w:val="11"/>
        <w:tabs>
          <w:tab w:val="left" w:pos="570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法定代表人或授权代表(签字):</w:t>
      </w:r>
      <w:r>
        <w:rPr>
          <w:rFonts w:hint="eastAsia" w:ascii="楷体" w:hAnsi="楷体" w:eastAsia="楷体" w:cs="楷体"/>
          <w:color w:val="auto"/>
          <w:sz w:val="24"/>
          <w:szCs w:val="24"/>
          <w:u w:val="single"/>
        </w:rPr>
        <w:tab/>
      </w:r>
    </w:p>
    <w:p>
      <w:pPr>
        <w:pStyle w:val="11"/>
        <w:tabs>
          <w:tab w:val="left" w:pos="5580"/>
        </w:tabs>
        <w:spacing w:line="360" w:lineRule="auto"/>
        <w:ind w:left="1080" w:leftChars="257" w:hanging="540"/>
        <w:rPr>
          <w:rFonts w:hint="eastAsia" w:ascii="楷体" w:hAnsi="楷体" w:eastAsia="楷体" w:cs="楷体"/>
          <w:color w:val="auto"/>
          <w:sz w:val="24"/>
          <w:szCs w:val="24"/>
        </w:rPr>
      </w:pPr>
    </w:p>
    <w:p>
      <w:pPr>
        <w:spacing w:line="360" w:lineRule="auto"/>
        <w:ind w:firstLine="6240" w:firstLineChars="26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2" w:firstLineChars="200"/>
        <w:jc w:val="center"/>
        <w:rPr>
          <w:rFonts w:hint="eastAsia" w:ascii="楷体" w:hAnsi="楷体" w:eastAsia="楷体" w:cs="楷体"/>
          <w:b/>
          <w:bCs/>
          <w:color w:val="auto"/>
          <w:sz w:val="24"/>
          <w:szCs w:val="22"/>
        </w:rPr>
      </w:pPr>
      <w:r>
        <w:rPr>
          <w:rFonts w:hint="eastAsia" w:ascii="楷体" w:hAnsi="楷体" w:eastAsia="楷体" w:cs="楷体"/>
          <w:b/>
          <w:bCs/>
          <w:color w:val="auto"/>
          <w:sz w:val="24"/>
          <w:szCs w:val="22"/>
        </w:rPr>
        <w:t>11.2售后服务承诺</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致：</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报价人应详细说明售后服务保证内容，备品备件供应情况，出现故障响应时间及售后服务人员情况</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特此承诺！</w:t>
      </w:r>
    </w:p>
    <w:p>
      <w:pPr>
        <w:spacing w:line="360" w:lineRule="auto"/>
        <w:ind w:firstLine="480" w:firstLineChars="200"/>
        <w:rPr>
          <w:rFonts w:hint="eastAsia" w:ascii="楷体" w:hAnsi="楷体" w:eastAsia="楷体" w:cs="楷体"/>
          <w:color w:val="auto"/>
          <w:sz w:val="24"/>
        </w:rPr>
      </w:pPr>
    </w:p>
    <w:p>
      <w:pPr>
        <w:pStyle w:val="11"/>
        <w:tabs>
          <w:tab w:val="left" w:pos="5580"/>
        </w:tabs>
        <w:spacing w:line="360" w:lineRule="auto"/>
        <w:ind w:left="1080" w:leftChars="257" w:hanging="540"/>
        <w:rPr>
          <w:rFonts w:hint="eastAsia" w:ascii="楷体" w:hAnsi="楷体" w:eastAsia="楷体" w:cs="楷体"/>
          <w:color w:val="auto"/>
          <w:sz w:val="24"/>
          <w:szCs w:val="24"/>
          <w:u w:val="single"/>
        </w:rPr>
      </w:pPr>
      <w:r>
        <w:rPr>
          <w:rFonts w:hint="eastAsia" w:ascii="楷体" w:hAnsi="楷体" w:eastAsia="楷体" w:cs="楷体"/>
          <w:color w:val="auto"/>
          <w:sz w:val="24"/>
          <w:szCs w:val="24"/>
        </w:rPr>
        <w:t>投标人（盖公章）：</w:t>
      </w:r>
      <w:r>
        <w:rPr>
          <w:rFonts w:hint="eastAsia" w:ascii="楷体" w:hAnsi="楷体" w:eastAsia="楷体" w:cs="楷体"/>
          <w:color w:val="auto"/>
          <w:sz w:val="24"/>
          <w:szCs w:val="24"/>
          <w:u w:val="single"/>
        </w:rPr>
        <w:t xml:space="preserve">                          </w:t>
      </w:r>
    </w:p>
    <w:p>
      <w:pPr>
        <w:pStyle w:val="11"/>
        <w:tabs>
          <w:tab w:val="left" w:pos="5580"/>
        </w:tabs>
        <w:spacing w:line="360" w:lineRule="auto"/>
        <w:ind w:left="1080" w:leftChars="257" w:hanging="540"/>
        <w:rPr>
          <w:rFonts w:hint="eastAsia" w:ascii="楷体" w:hAnsi="楷体" w:eastAsia="楷体" w:cs="楷体"/>
          <w:color w:val="auto"/>
          <w:sz w:val="24"/>
          <w:szCs w:val="24"/>
        </w:rPr>
      </w:pPr>
    </w:p>
    <w:p>
      <w:pPr>
        <w:pStyle w:val="11"/>
        <w:tabs>
          <w:tab w:val="left" w:pos="5700"/>
        </w:tabs>
        <w:spacing w:line="360" w:lineRule="auto"/>
        <w:ind w:left="1080" w:leftChars="257" w:hanging="540"/>
        <w:rPr>
          <w:rFonts w:hint="eastAsia" w:ascii="楷体" w:hAnsi="楷体" w:eastAsia="楷体" w:cs="楷体"/>
          <w:color w:val="auto"/>
          <w:sz w:val="24"/>
          <w:szCs w:val="24"/>
        </w:rPr>
      </w:pPr>
      <w:r>
        <w:rPr>
          <w:rFonts w:hint="eastAsia" w:ascii="楷体" w:hAnsi="楷体" w:eastAsia="楷体" w:cs="楷体"/>
          <w:color w:val="auto"/>
          <w:sz w:val="24"/>
          <w:szCs w:val="24"/>
        </w:rPr>
        <w:t>法定代表人或授权代表(签字):</w:t>
      </w:r>
      <w:r>
        <w:rPr>
          <w:rFonts w:hint="eastAsia" w:ascii="楷体" w:hAnsi="楷体" w:eastAsia="楷体" w:cs="楷体"/>
          <w:color w:val="auto"/>
          <w:sz w:val="24"/>
          <w:szCs w:val="24"/>
          <w:u w:val="single"/>
        </w:rPr>
        <w:tab/>
      </w:r>
    </w:p>
    <w:p>
      <w:pPr>
        <w:pStyle w:val="11"/>
        <w:tabs>
          <w:tab w:val="left" w:pos="5580"/>
        </w:tabs>
        <w:spacing w:line="360" w:lineRule="auto"/>
        <w:ind w:left="1080" w:leftChars="257" w:hanging="540"/>
        <w:rPr>
          <w:rFonts w:hint="eastAsia" w:ascii="楷体" w:hAnsi="楷体" w:eastAsia="楷体" w:cs="楷体"/>
          <w:color w:val="auto"/>
          <w:sz w:val="24"/>
          <w:szCs w:val="24"/>
        </w:rPr>
      </w:pPr>
    </w:p>
    <w:p>
      <w:pPr>
        <w:spacing w:line="360" w:lineRule="auto"/>
        <w:ind w:firstLine="6240" w:firstLineChars="2600"/>
        <w:rPr>
          <w:rFonts w:hint="eastAsia" w:ascii="楷体" w:hAnsi="楷体" w:eastAsia="楷体" w:cs="楷体"/>
          <w:color w:val="auto"/>
          <w:sz w:val="24"/>
        </w:rPr>
      </w:pPr>
      <w:r>
        <w:rPr>
          <w:rFonts w:hint="eastAsia" w:ascii="楷体" w:hAnsi="楷体" w:eastAsia="楷体" w:cs="楷体"/>
          <w:color w:val="auto"/>
          <w:sz w:val="24"/>
        </w:rPr>
        <w:t>年    月    日</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pStyle w:val="4"/>
        <w:rPr>
          <w:rFonts w:hint="eastAsia" w:ascii="楷体" w:hAnsi="楷体" w:eastAsia="楷体" w:cs="楷体"/>
          <w:color w:val="auto"/>
          <w:sz w:val="24"/>
        </w:rPr>
      </w:pPr>
    </w:p>
    <w:p>
      <w:pPr>
        <w:rPr>
          <w:rFonts w:hint="eastAsia"/>
          <w:color w:val="auto"/>
        </w:rPr>
      </w:pPr>
    </w:p>
    <w:p>
      <w:pPr>
        <w:spacing w:line="360" w:lineRule="auto"/>
        <w:ind w:firstLine="480" w:firstLineChars="200"/>
        <w:rPr>
          <w:rFonts w:hint="eastAsia" w:ascii="楷体" w:hAnsi="楷体" w:eastAsia="楷体" w:cs="楷体"/>
          <w:color w:val="auto"/>
          <w:sz w:val="24"/>
        </w:rPr>
      </w:pPr>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格式十二、投标人提供的其他资料。</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.1投标人简介。</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投标人觉得有必要提供的其它证明材料。</w:t>
      </w: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p>
    <w:p>
      <w:pPr>
        <w:pStyle w:val="10"/>
        <w:rPr>
          <w:rFonts w:hint="eastAsia"/>
          <w:color w:val="auto"/>
        </w:rPr>
      </w:pPr>
    </w:p>
    <w:p>
      <w:pPr>
        <w:pStyle w:val="10"/>
        <w:rPr>
          <w:rFonts w:hint="eastAsia"/>
          <w:color w:val="auto"/>
        </w:rPr>
      </w:pPr>
    </w:p>
    <w:p>
      <w:pPr>
        <w:pStyle w:val="10"/>
        <w:rPr>
          <w:rFonts w:hint="eastAsia"/>
          <w:color w:val="auto"/>
        </w:rPr>
      </w:pPr>
    </w:p>
    <w:p>
      <w:pPr>
        <w:spacing w:line="360" w:lineRule="auto"/>
        <w:ind w:firstLine="480" w:firstLineChars="200"/>
        <w:rPr>
          <w:rFonts w:hint="eastAsia" w:ascii="楷体" w:hAnsi="楷体" w:eastAsia="楷体" w:cs="楷体"/>
          <w:color w:val="auto"/>
          <w:sz w:val="24"/>
        </w:rPr>
      </w:pPr>
    </w:p>
    <w:p>
      <w:pPr>
        <w:pStyle w:val="3"/>
        <w:jc w:val="center"/>
        <w:rPr>
          <w:rFonts w:hint="eastAsia" w:ascii="楷体" w:hAnsi="楷体" w:eastAsia="楷体" w:cs="楷体"/>
          <w:color w:val="auto"/>
          <w:sz w:val="36"/>
        </w:rPr>
      </w:pPr>
      <w:bookmarkStart w:id="10" w:name="_Toc85463483"/>
      <w:r>
        <w:rPr>
          <w:rFonts w:hint="eastAsia" w:ascii="楷体" w:hAnsi="楷体" w:eastAsia="楷体" w:cs="楷体"/>
          <w:color w:val="auto"/>
          <w:sz w:val="36"/>
        </w:rPr>
        <w:t>第六章  评标办法</w:t>
      </w:r>
      <w:bookmarkEnd w:id="10"/>
    </w:p>
    <w:p>
      <w:pPr>
        <w:spacing w:line="360" w:lineRule="auto"/>
        <w:rPr>
          <w:rFonts w:hint="eastAsia" w:ascii="楷体" w:hAnsi="楷体" w:eastAsia="楷体" w:cs="楷体"/>
          <w:b/>
          <w:color w:val="auto"/>
          <w:sz w:val="24"/>
        </w:rPr>
      </w:pPr>
      <w:r>
        <w:rPr>
          <w:rFonts w:hint="eastAsia" w:ascii="楷体" w:hAnsi="楷体" w:eastAsia="楷体" w:cs="楷体"/>
          <w:b/>
          <w:color w:val="auto"/>
          <w:sz w:val="24"/>
        </w:rPr>
        <w:t>一、评标委员会</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1.1.1采购代理机构将按照《中华人民共和国政府采购法》、《中华人民共和国政府采购法实施条例》及有关规定组建评标委员会。评标由依法组建的评标委员会负责。评标委员会由招标人或其委托的招标代理机构熟悉相关业务的代表，以及有关技术、经济等方面的专家组成。评标委员会成员人数为5人以上单数。</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1.1.2 评标委员会成员有下列情形之一的，应当回避：</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（1）投标人或投标人主要负责人的近亲属；</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（2）项目主管部门或者行政监督部门的人员；</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（3）与投标人有经济利益关系，可能影响对投标公正评审的；</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（4）曾因在招标、评标以及其他与招标投标有关活动中从事违法行为而受过行政处罚或刑事处罚的；</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（5）与投标人有其他利害关系。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1.1.4评标方法：综合评分法。</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二、投标文件的初审（资格审查、符合性审查）</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2.1资格审查</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开标结束后，采购人或采购代理机构依据法律法规和招标文件中规定的内容，对投标人及其投标货物的资格进行审查，未通过资格审查的投标人不进入评标，投标将被认定为投标无效；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通过资格审查的投标人不足三家的，不得评标。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投标人在</w:t>
      </w:r>
      <w:r>
        <w:rPr>
          <w:rFonts w:hint="eastAsia" w:ascii="楷体" w:hAnsi="楷体" w:eastAsia="楷体" w:cs="楷体"/>
          <w:color w:val="auto"/>
          <w:sz w:val="24"/>
          <w:lang w:eastAsia="zh-CN"/>
        </w:rPr>
        <w:t>“</w:t>
      </w:r>
      <w:r>
        <w:rPr>
          <w:rFonts w:hint="eastAsia" w:ascii="楷体" w:hAnsi="楷体" w:eastAsia="楷体" w:cs="楷体"/>
          <w:color w:val="auto"/>
          <w:sz w:val="24"/>
        </w:rPr>
        <w:t>中国政府采购网</w:t>
      </w:r>
      <w:r>
        <w:rPr>
          <w:rFonts w:hint="eastAsia" w:ascii="楷体" w:hAnsi="楷体" w:eastAsia="楷体" w:cs="楷体"/>
          <w:color w:val="auto"/>
          <w:sz w:val="24"/>
          <w:lang w:eastAsia="zh-CN"/>
        </w:rPr>
        <w:t>”</w:t>
      </w:r>
      <w:r>
        <w:rPr>
          <w:rFonts w:hint="eastAsia" w:ascii="楷体" w:hAnsi="楷体" w:eastAsia="楷体" w:cs="楷体"/>
          <w:color w:val="auto"/>
          <w:sz w:val="24"/>
        </w:rPr>
        <w:t>（www.ccgp.gov.cn）被列入政府采购严重违法失信行为记录名单，或在“信用中国”网站（www.creditchina.gov.cn）被列入失信被执行人、重大税收违法</w:t>
      </w:r>
      <w:r>
        <w:rPr>
          <w:rFonts w:hint="eastAsia" w:ascii="楷体" w:hAnsi="楷体" w:eastAsia="楷体" w:cs="楷体"/>
          <w:color w:val="auto"/>
          <w:sz w:val="24"/>
          <w:lang w:val="en-US" w:eastAsia="zh-CN"/>
        </w:rPr>
        <w:t>失信主体</w:t>
      </w:r>
      <w:r>
        <w:rPr>
          <w:rFonts w:hint="eastAsia" w:ascii="楷体" w:hAnsi="楷体" w:eastAsia="楷体" w:cs="楷体"/>
          <w:color w:val="auto"/>
          <w:sz w:val="24"/>
        </w:rPr>
        <w:t>，以及存在《中华人民共和国政府采购法实施条例》第十九条规定的行政处罚记录，投标将被认定为投标无效。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以联合体形式参加投标的，联合体任何成员存在以上不良信用记录的，联合体投标将被认定为投标无效。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2.2符合性审查</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依据招标文件的规定，对资格合格者投标文件的完整性、有效性和对招标文件的响应程度进行审查，以确定是否对招标文件的实质性内容做出响应，包含但不限于以下内容：</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（1）投标人名称是否与购买招标文件的单位名称一致；</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（2）除明确允许投标人可以自行编写的外，投标文件是否按照招标文件要求的格式编制； </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（3）投标文件是否按照招标文件的要求盖章签字；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（4）投标内容是否有重大缺漏项；</w:t>
      </w:r>
    </w:p>
    <w:p>
      <w:pPr>
        <w:spacing w:line="360" w:lineRule="auto"/>
        <w:ind w:firstLine="480" w:firstLineChars="200"/>
        <w:rPr>
          <w:rFonts w:hint="eastAsia" w:ascii="楷体" w:hAnsi="楷体" w:eastAsia="楷体" w:cs="楷体"/>
          <w:color w:val="auto"/>
          <w:sz w:val="24"/>
          <w:highlight w:val="yellow"/>
        </w:rPr>
      </w:pPr>
      <w:r>
        <w:rPr>
          <w:rFonts w:hint="eastAsia" w:ascii="楷体" w:hAnsi="楷体" w:eastAsia="楷体" w:cs="楷体"/>
          <w:color w:val="auto"/>
          <w:sz w:val="24"/>
          <w:highlight w:val="none"/>
        </w:rPr>
        <w:t>（5）是否针对同一项目提交两份或多份内容不同的投标文件，未书面声明哪一份是有效的或出现选择性报价的；</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（6）投标报价是否超过采购预算；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（7）投标有效期是否符合招标文件的要求；</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（8）对招标文件商务要求是否作了明确且实质性响应；</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（9）对招标文件技术要求是否作了明确响应，对不得偏离的要求是否作了实质性响应； </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（10）投标文件是否含有采购人不能接受的附件条件；</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（11）是否符合法律、法规和招标文件规定的其他无效投标情形。</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2.3投标文件的澄清</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（2）书写错误的评审标准：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评标委员会在评标过程中，发现投标文件出现下列情况之一者，按以下原则修正：</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a、投标文件中开标一览表（报价表）内容与投标文件中相应内容不一致的，以开标一览表（报价表）为准；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b、大写金额和小写金额不一致的，以大写金额为准；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c、单价金额小数点或者百分比有明显错位的，以开标一览表的总价为准，并修改单价；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d、总价金额与按单价汇总金额不一致的，以单价金额计算结果为准。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e、投标文件图表与文字不符时，以文字为准；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f、投标文件正本与副本不符时，以正本为准；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g、对不同文字文本投标文件的解释发生异议的，以中文文本为准；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h、多处内容交叉不符时，以评标委员会评审结果为准。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注：按上述方法修正的内容（其中，同时出现上述a至d两种以上不一致的，按上述规定的顺序修正），经投标人确认后产生约束力，投标人不确认的，其投标无效。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2.4评审</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经符合性审查合格的投标文件，评标委员会将根据招标文件确定的评标方法和标准，对其技术部分和商务部分作进一步的比较和评价。</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公开招标的采购项目，招标过程中提交投标文件或者经评审实质性响应招标文件要求的供应商只有2家时，招标过程中提交投标文件或者经评审实质性响应招标文件要求的供应商只有两家时，采购人依据《政府采购非招标采购方式管理办法》（财政部令第74号）第二十七条第二款规定并经本级财政部门批准后可以与该两家供应商进行竞争性谈判采购，具体程序参考财政部74号令竞争性谈判程序组织。否则，按废标处理，重新开展采购活动；招标过程中，提交投标文件或者经评审实质性响应招标文件要求的供应商只有1家时，按废标处理，重新开展采购活动。采购人如需申请转为单一来源采购方式的，按单一来源采购程序进行。</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2.5无效投标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如发现下列情况之一的，其投标将被认定为投标无效：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（1）未按照招标文件规定要求签署、盖章的；</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（2）未满足招标文件中商务和技术条款的实质性要求；</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（3）属于串通投标，或者依法被视为串通投标；</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（4）评标委员会认为投标人的报价明显低于其他通过符合性审查投标人的报价，有可能影响履约的，且投标人未按照规定证明其报价合理性的；</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（5）投标文件含有采购人不能接受的附加条件的；</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（6）属于招标文件规定的其他投标无效情形；</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（7）不符合法规和招标文件中规定的其他实质性要求的。</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三、投标文件详细评审</w:t>
      </w:r>
    </w:p>
    <w:p>
      <w:pPr>
        <w:spacing w:line="360" w:lineRule="auto"/>
        <w:ind w:firstLine="480" w:firstLineChars="200"/>
        <w:rPr>
          <w:rFonts w:hint="eastAsia" w:ascii="楷体" w:hAnsi="楷体" w:eastAsia="楷体" w:cs="楷体"/>
          <w:b/>
          <w:color w:val="auto"/>
          <w:sz w:val="24"/>
        </w:rPr>
      </w:pPr>
      <w:r>
        <w:rPr>
          <w:rFonts w:hint="eastAsia" w:ascii="楷体" w:hAnsi="楷体" w:eastAsia="楷体" w:cs="楷体"/>
          <w:color w:val="auto"/>
          <w:sz w:val="24"/>
        </w:rPr>
        <w:t>3.1评标委员会只对确定为实质上响应招标文件要求的投标进行详细评审。</w:t>
      </w:r>
    </w:p>
    <w:tbl>
      <w:tblPr>
        <w:tblStyle w:val="17"/>
        <w:tblW w:w="9079"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857"/>
        <w:gridCol w:w="7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报价</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30分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lang w:val="zh-CN"/>
              </w:rPr>
              <w:t>按照财政部《政府采购货物和服务招标投标管理办法》（财政部令第87号）的有关规定：价格分采用低价优先法计算</w:t>
            </w:r>
          </w:p>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lang w:val="zh-CN"/>
              </w:rPr>
              <w:t>即满足招标文件要求且投标价格最低的投标报价为评标基准价，其价格分为满分。其他投标人的价格分统一按照下列公式计算：投标报价得分=（评标基准价/投标报价）×价格权值</w:t>
            </w:r>
          </w:p>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lang w:val="zh-CN"/>
              </w:rPr>
              <w:t>（因落实政府采购政策进行价格调整的，以调整后的价格计算评标基准价和投标报价，符合招标文件规定的小微企业、监狱企业、残疾人福利性单位优惠条件的投标人，价格给予</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商务</w:t>
            </w:r>
          </w:p>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响应</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投标文件对交货期、质保期、付款方式、验收等商务要求进行详细说明，完全响应招标文件的计</w:t>
            </w:r>
            <w:r>
              <w:rPr>
                <w:rFonts w:hint="eastAsia" w:ascii="楷体" w:hAnsi="楷体" w:eastAsia="楷体" w:cs="楷体"/>
                <w:color w:val="auto"/>
                <w:sz w:val="24"/>
                <w:highlight w:val="none"/>
              </w:rPr>
              <w:t>5</w:t>
            </w:r>
            <w:r>
              <w:rPr>
                <w:rFonts w:hint="eastAsia" w:ascii="楷体" w:hAnsi="楷体" w:eastAsia="楷体" w:cs="楷体"/>
                <w:color w:val="auto"/>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技术</w:t>
            </w:r>
          </w:p>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响应</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color w:val="auto"/>
                <w:sz w:val="24"/>
                <w:highlight w:val="none"/>
                <w:lang w:val="zh-CN"/>
              </w:rPr>
            </w:pPr>
            <w:r>
              <w:rPr>
                <w:rFonts w:hint="eastAsia" w:ascii="楷体" w:hAnsi="楷体" w:eastAsia="楷体" w:cs="楷体"/>
                <w:b/>
                <w:bCs/>
                <w:color w:val="auto"/>
                <w:sz w:val="24"/>
                <w:highlight w:val="none"/>
                <w:lang w:val="zh-CN"/>
              </w:rPr>
              <w:t>35分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lang w:val="zh-CN"/>
              </w:rPr>
              <w:t>投标产品技术参数清晰、明确，满足或优于招标要求。根据技术参数响应程度（提供投标产品技术白皮书、使用说明书、生产厂商公开发布的产品彩页、检测报告等作为技术条款的证明文件），由评标委员综合评审，每偏离一个“*”项扣3分；非“*”项，每偏离一项扣1分，扣完为止。</w:t>
            </w:r>
          </w:p>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b/>
                <w:bCs/>
                <w:color w:val="auto"/>
                <w:sz w:val="24"/>
                <w:highlight w:val="none"/>
                <w:lang w:val="zh-CN" w:eastAsia="zh-CN"/>
              </w:rPr>
              <w:t>备注：技术指标未附证明文件视同为负偏离。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r>
              <w:rPr>
                <w:rFonts w:hint="eastAsia" w:ascii="楷体" w:hAnsi="楷体" w:eastAsia="楷体" w:cs="楷体"/>
                <w:b/>
                <w:bCs/>
                <w:color w:val="auto"/>
                <w:sz w:val="24"/>
                <w:szCs w:val="22"/>
                <w:highlight w:val="none"/>
                <w:lang w:val="zh-CN"/>
              </w:rPr>
              <w:t>产品选型、功能配置等</w:t>
            </w:r>
          </w:p>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r>
              <w:rPr>
                <w:rFonts w:hint="eastAsia" w:ascii="楷体" w:hAnsi="楷体" w:eastAsia="楷体" w:cs="楷体"/>
                <w:b/>
                <w:bCs/>
                <w:color w:val="auto"/>
                <w:sz w:val="24"/>
                <w:szCs w:val="22"/>
                <w:highlight w:val="none"/>
                <w:lang w:val="zh-CN"/>
              </w:rPr>
              <w:t>10分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1、所响应产品选型合理、配置齐全，整体功能完备且满足使用要求、提供了响应产品技术支持文件（提供生产厂家确认的、相应的功能证明材料），有“详细的生产厂家及产地配置清单”，根据响应情况得</w:t>
            </w:r>
            <w:r>
              <w:rPr>
                <w:rFonts w:hint="eastAsia" w:ascii="楷体" w:hAnsi="楷体" w:eastAsia="楷体" w:cs="楷体"/>
                <w:color w:val="auto"/>
                <w:sz w:val="24"/>
                <w:szCs w:val="22"/>
                <w:highlight w:val="none"/>
              </w:rPr>
              <w:t>8</w:t>
            </w:r>
            <w:r>
              <w:rPr>
                <w:rFonts w:hint="eastAsia" w:ascii="楷体" w:hAnsi="楷体" w:eastAsia="楷体" w:cs="楷体"/>
                <w:color w:val="auto"/>
                <w:sz w:val="24"/>
                <w:szCs w:val="22"/>
                <w:highlight w:val="none"/>
                <w:lang w:val="zh-CN"/>
              </w:rPr>
              <w:t>～</w:t>
            </w:r>
            <w:r>
              <w:rPr>
                <w:rFonts w:hint="eastAsia" w:ascii="楷体" w:hAnsi="楷体" w:eastAsia="楷体" w:cs="楷体"/>
                <w:color w:val="auto"/>
                <w:sz w:val="24"/>
                <w:szCs w:val="22"/>
                <w:highlight w:val="none"/>
              </w:rPr>
              <w:t>10</w:t>
            </w:r>
            <w:r>
              <w:rPr>
                <w:rFonts w:hint="eastAsia" w:ascii="楷体" w:hAnsi="楷体" w:eastAsia="楷体" w:cs="楷体"/>
                <w:color w:val="auto"/>
                <w:sz w:val="24"/>
                <w:szCs w:val="22"/>
                <w:highlight w:val="none"/>
                <w:lang w:val="zh-CN"/>
              </w:rPr>
              <w:t>分。</w:t>
            </w:r>
          </w:p>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2、所响应产品选型较为合理，配置较齐全，整体功能基本满足使用要求、提供了响应产品技术支持文件（提供生产厂家确认的、相应的功能证明材料），有“详细的生产厂家及产地配置清单”，根据响应情况得</w:t>
            </w:r>
            <w:r>
              <w:rPr>
                <w:rFonts w:hint="eastAsia" w:ascii="楷体" w:hAnsi="楷体" w:eastAsia="楷体" w:cs="楷体"/>
                <w:color w:val="auto"/>
                <w:sz w:val="24"/>
                <w:szCs w:val="22"/>
                <w:highlight w:val="none"/>
              </w:rPr>
              <w:t>4</w:t>
            </w:r>
            <w:r>
              <w:rPr>
                <w:rFonts w:hint="eastAsia" w:ascii="楷体" w:hAnsi="楷体" w:eastAsia="楷体" w:cs="楷体"/>
                <w:color w:val="auto"/>
                <w:sz w:val="24"/>
                <w:szCs w:val="22"/>
                <w:highlight w:val="none"/>
                <w:lang w:val="zh-CN"/>
              </w:rPr>
              <w:t>～</w:t>
            </w:r>
            <w:r>
              <w:rPr>
                <w:rFonts w:hint="eastAsia" w:ascii="楷体" w:hAnsi="楷体" w:eastAsia="楷体" w:cs="楷体"/>
                <w:color w:val="auto"/>
                <w:sz w:val="24"/>
                <w:szCs w:val="22"/>
                <w:highlight w:val="none"/>
              </w:rPr>
              <w:t>7</w:t>
            </w:r>
            <w:r>
              <w:rPr>
                <w:rFonts w:hint="eastAsia" w:ascii="楷体" w:hAnsi="楷体" w:eastAsia="楷体" w:cs="楷体"/>
                <w:color w:val="auto"/>
                <w:sz w:val="24"/>
                <w:szCs w:val="22"/>
                <w:highlight w:val="none"/>
                <w:lang w:val="zh-CN"/>
              </w:rPr>
              <w:t>分。</w:t>
            </w:r>
          </w:p>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3、选型配置差，产品功能较难满足招标文件要求得</w:t>
            </w:r>
            <w:r>
              <w:rPr>
                <w:rFonts w:hint="eastAsia" w:ascii="楷体" w:hAnsi="楷体" w:eastAsia="楷体" w:cs="楷体"/>
                <w:color w:val="auto"/>
                <w:sz w:val="24"/>
                <w:szCs w:val="22"/>
                <w:highlight w:val="none"/>
              </w:rPr>
              <w:t>0</w:t>
            </w:r>
            <w:r>
              <w:rPr>
                <w:rFonts w:hint="eastAsia" w:ascii="楷体" w:hAnsi="楷体" w:eastAsia="楷体" w:cs="楷体"/>
                <w:color w:val="auto"/>
                <w:sz w:val="24"/>
                <w:szCs w:val="22"/>
                <w:highlight w:val="none"/>
                <w:lang w:val="zh-CN"/>
              </w:rPr>
              <w:t>～</w:t>
            </w:r>
            <w:r>
              <w:rPr>
                <w:rFonts w:hint="eastAsia" w:ascii="楷体" w:hAnsi="楷体" w:eastAsia="楷体" w:cs="楷体"/>
                <w:color w:val="auto"/>
                <w:sz w:val="24"/>
                <w:szCs w:val="22"/>
                <w:highlight w:val="none"/>
              </w:rPr>
              <w:t>3</w:t>
            </w:r>
            <w:r>
              <w:rPr>
                <w:rFonts w:hint="eastAsia" w:ascii="楷体" w:hAnsi="楷体" w:eastAsia="楷体" w:cs="楷体"/>
                <w:color w:val="auto"/>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r>
              <w:rPr>
                <w:rFonts w:hint="eastAsia" w:ascii="楷体" w:hAnsi="楷体" w:eastAsia="楷体" w:cs="楷体"/>
                <w:b/>
                <w:bCs/>
                <w:color w:val="auto"/>
                <w:sz w:val="24"/>
                <w:szCs w:val="22"/>
                <w:highlight w:val="none"/>
                <w:lang w:val="zh-CN"/>
              </w:rPr>
              <w:t>质量</w:t>
            </w:r>
          </w:p>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szCs w:val="22"/>
                <w:highlight w:val="none"/>
                <w:lang w:val="zh-CN"/>
              </w:rPr>
              <w:t>保证</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r>
              <w:rPr>
                <w:rFonts w:hint="eastAsia" w:ascii="楷体" w:hAnsi="楷体" w:eastAsia="楷体" w:cs="楷体"/>
                <w:b/>
                <w:bCs/>
                <w:color w:val="auto"/>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zh-CN"/>
              </w:rPr>
              <w:t>提供所投产品</w:t>
            </w:r>
            <w:r>
              <w:rPr>
                <w:rFonts w:hint="eastAsia" w:ascii="楷体" w:hAnsi="楷体" w:eastAsia="楷体" w:cs="楷体"/>
                <w:color w:val="auto"/>
                <w:sz w:val="24"/>
                <w:highlight w:val="none"/>
              </w:rPr>
              <w:t>或</w:t>
            </w:r>
            <w:r>
              <w:rPr>
                <w:rFonts w:hint="eastAsia" w:ascii="楷体" w:hAnsi="楷体" w:eastAsia="楷体" w:cs="楷体"/>
                <w:color w:val="auto"/>
                <w:sz w:val="24"/>
                <w:highlight w:val="none"/>
                <w:lang w:val="zh-CN"/>
              </w:rPr>
              <w:t>生产厂家，</w:t>
            </w:r>
            <w:r>
              <w:rPr>
                <w:rFonts w:hint="eastAsia" w:ascii="楷体" w:hAnsi="楷体" w:eastAsia="楷体" w:cs="楷体"/>
                <w:color w:val="auto"/>
                <w:sz w:val="24"/>
                <w:highlight w:val="none"/>
              </w:rPr>
              <w:t>第三方检验、评价、认证</w:t>
            </w:r>
            <w:r>
              <w:rPr>
                <w:rFonts w:hint="eastAsia" w:ascii="楷体" w:hAnsi="楷体" w:eastAsia="楷体" w:cs="楷体"/>
                <w:color w:val="auto"/>
                <w:sz w:val="24"/>
                <w:highlight w:val="none"/>
                <w:lang w:val="zh-CN"/>
              </w:rPr>
              <w:t>的</w:t>
            </w:r>
            <w:r>
              <w:rPr>
                <w:rFonts w:hint="eastAsia" w:ascii="楷体" w:hAnsi="楷体" w:eastAsia="楷体" w:cs="楷体"/>
                <w:color w:val="auto"/>
                <w:sz w:val="24"/>
                <w:highlight w:val="none"/>
              </w:rPr>
              <w:t>产品性能、产品</w:t>
            </w:r>
            <w:r>
              <w:rPr>
                <w:rFonts w:hint="eastAsia" w:ascii="楷体" w:hAnsi="楷体" w:eastAsia="楷体" w:cs="楷体"/>
                <w:color w:val="auto"/>
                <w:sz w:val="24"/>
                <w:highlight w:val="none"/>
                <w:lang w:val="zh-CN"/>
              </w:rPr>
              <w:t>功能、</w:t>
            </w:r>
            <w:r>
              <w:rPr>
                <w:rFonts w:hint="eastAsia" w:ascii="楷体" w:hAnsi="楷体" w:eastAsia="楷体" w:cs="楷体"/>
                <w:color w:val="auto"/>
                <w:sz w:val="24"/>
                <w:highlight w:val="none"/>
              </w:rPr>
              <w:t>产品生产质量管理</w:t>
            </w:r>
            <w:r>
              <w:rPr>
                <w:rFonts w:hint="eastAsia" w:ascii="楷体" w:hAnsi="楷体" w:eastAsia="楷体" w:cs="楷体"/>
                <w:color w:val="auto"/>
                <w:sz w:val="24"/>
                <w:highlight w:val="none"/>
                <w:lang w:val="zh-CN"/>
              </w:rPr>
              <w:t>证明材料、来源渠道合法证明文件计0～</w:t>
            </w:r>
            <w:r>
              <w:rPr>
                <w:rFonts w:hint="eastAsia" w:ascii="楷体" w:hAnsi="楷体" w:eastAsia="楷体" w:cs="楷体"/>
                <w:color w:val="auto"/>
                <w:sz w:val="24"/>
                <w:highlight w:val="none"/>
              </w:rPr>
              <w:t>3</w:t>
            </w:r>
            <w:r>
              <w:rPr>
                <w:rFonts w:hint="eastAsia" w:ascii="楷体" w:hAnsi="楷体" w:eastAsia="楷体" w:cs="楷体"/>
                <w:color w:val="auto"/>
                <w:sz w:val="24"/>
                <w:highlight w:val="none"/>
                <w:lang w:val="zh-CN"/>
              </w:rPr>
              <w:t>分；</w:t>
            </w:r>
          </w:p>
          <w:p>
            <w:pPr>
              <w:autoSpaceDE w:val="0"/>
              <w:autoSpaceDN w:val="0"/>
              <w:adjustRightInd w:val="0"/>
              <w:snapToGrid w:val="0"/>
              <w:spacing w:line="240" w:lineRule="auto"/>
              <w:rPr>
                <w:rFonts w:hint="eastAsia" w:ascii="楷体" w:hAnsi="楷体" w:eastAsia="楷体" w:cs="楷体"/>
                <w:color w:val="auto"/>
                <w:highlight w:val="none"/>
                <w:lang w:val="zh-CN"/>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zh-CN"/>
              </w:rPr>
              <w:t>质量保证期过后有完善的维保服务，维保价格、配套零配件或相关耗材或主要易损零配件价格合理，</w:t>
            </w:r>
            <w:r>
              <w:rPr>
                <w:rFonts w:hint="eastAsia" w:ascii="楷体" w:hAnsi="楷体" w:eastAsia="楷体" w:cs="楷体"/>
                <w:color w:val="auto"/>
                <w:sz w:val="24"/>
                <w:highlight w:val="none"/>
              </w:rPr>
              <w:t>并</w:t>
            </w:r>
            <w:r>
              <w:rPr>
                <w:rFonts w:hint="eastAsia" w:ascii="楷体" w:hAnsi="楷体" w:eastAsia="楷体" w:cs="楷体"/>
                <w:color w:val="auto"/>
                <w:sz w:val="24"/>
                <w:highlight w:val="none"/>
                <w:lang w:val="zh-CN"/>
              </w:rPr>
              <w:t>以用户反馈意见表或评价书的形式提供投标产品运行评价，按设备的性能稳定，使用效果。按其响应程度计0～</w:t>
            </w: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业绩</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r>
              <w:rPr>
                <w:rFonts w:hint="eastAsia" w:ascii="楷体" w:hAnsi="楷体" w:eastAsia="楷体" w:cs="楷体"/>
                <w:b/>
                <w:bCs/>
                <w:color w:val="auto"/>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highlight w:val="none"/>
                <w:lang w:val="zh-CN"/>
              </w:rPr>
              <w:t>提供所投产品近三年（截止开标时间前）的销售业绩，以合同文件为依据（合同复印件加盖公章），每提供一份得1分，最高5分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履约</w:t>
            </w:r>
          </w:p>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能力</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szCs w:val="22"/>
                <w:highlight w:val="none"/>
                <w:lang w:val="zh-CN"/>
              </w:rPr>
            </w:pPr>
            <w:r>
              <w:rPr>
                <w:rFonts w:hint="eastAsia" w:ascii="楷体" w:hAnsi="楷体" w:eastAsia="楷体" w:cs="楷体"/>
                <w:b/>
                <w:bCs/>
                <w:color w:val="auto"/>
                <w:sz w:val="24"/>
                <w:szCs w:val="22"/>
                <w:highlight w:val="none"/>
                <w:lang w:val="zh-CN"/>
              </w:rPr>
              <w:t>5分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由评标委员会综合评审（履约能力承诺详细具体，包括但不限于资金筹措、仓储设施、运输工具、人员素质、管理水平等方面）：</w:t>
            </w:r>
          </w:p>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rPr>
              <w:t>1、</w:t>
            </w:r>
            <w:r>
              <w:rPr>
                <w:rFonts w:hint="eastAsia" w:ascii="楷体" w:hAnsi="楷体" w:eastAsia="楷体" w:cs="楷体"/>
                <w:color w:val="auto"/>
                <w:sz w:val="24"/>
                <w:szCs w:val="22"/>
                <w:highlight w:val="none"/>
                <w:lang w:val="zh-CN"/>
              </w:rPr>
              <w:t>备货、供货进度及保证措施，拟投入本项目的人员安排合理及责任制度明确，并提供相关人员资质证书，根据响应情况得</w:t>
            </w:r>
            <w:r>
              <w:rPr>
                <w:rFonts w:hint="eastAsia" w:ascii="楷体" w:hAnsi="楷体" w:eastAsia="楷体" w:cs="楷体"/>
                <w:color w:val="auto"/>
                <w:sz w:val="24"/>
                <w:szCs w:val="22"/>
                <w:highlight w:val="none"/>
              </w:rPr>
              <w:t>0</w:t>
            </w:r>
            <w:r>
              <w:rPr>
                <w:rFonts w:hint="eastAsia" w:ascii="楷体" w:hAnsi="楷体" w:eastAsia="楷体" w:cs="楷体"/>
                <w:color w:val="auto"/>
                <w:sz w:val="24"/>
                <w:szCs w:val="22"/>
                <w:highlight w:val="none"/>
                <w:lang w:val="zh-CN"/>
              </w:rPr>
              <w:t>～</w:t>
            </w:r>
            <w:r>
              <w:rPr>
                <w:rFonts w:hint="eastAsia" w:ascii="楷体" w:hAnsi="楷体" w:eastAsia="楷体" w:cs="楷体"/>
                <w:color w:val="auto"/>
                <w:sz w:val="24"/>
                <w:szCs w:val="22"/>
                <w:highlight w:val="none"/>
              </w:rPr>
              <w:t>3</w:t>
            </w:r>
            <w:r>
              <w:rPr>
                <w:rFonts w:hint="eastAsia" w:ascii="楷体" w:hAnsi="楷体" w:eastAsia="楷体" w:cs="楷体"/>
                <w:color w:val="auto"/>
                <w:sz w:val="24"/>
                <w:szCs w:val="22"/>
                <w:highlight w:val="none"/>
                <w:lang w:val="zh-CN"/>
              </w:rPr>
              <w:t>分；</w:t>
            </w:r>
          </w:p>
          <w:p>
            <w:pPr>
              <w:autoSpaceDE w:val="0"/>
              <w:autoSpaceDN w:val="0"/>
              <w:adjustRightInd w:val="0"/>
              <w:snapToGrid w:val="0"/>
              <w:spacing w:line="240" w:lineRule="auto"/>
              <w:rPr>
                <w:rFonts w:hint="eastAsia" w:ascii="楷体" w:hAnsi="楷体" w:eastAsia="楷体" w:cs="楷体"/>
                <w:color w:val="auto"/>
                <w:sz w:val="24"/>
                <w:highlight w:val="none"/>
                <w:lang w:val="zh-CN"/>
              </w:rPr>
            </w:pPr>
            <w:r>
              <w:rPr>
                <w:rFonts w:hint="eastAsia" w:ascii="楷体" w:hAnsi="楷体" w:eastAsia="楷体" w:cs="楷体"/>
                <w:color w:val="auto"/>
                <w:sz w:val="24"/>
                <w:szCs w:val="22"/>
                <w:highlight w:val="none"/>
              </w:rPr>
              <w:t>2、</w:t>
            </w:r>
            <w:r>
              <w:rPr>
                <w:rFonts w:hint="eastAsia" w:ascii="楷体" w:hAnsi="楷体" w:eastAsia="楷体" w:cs="楷体"/>
                <w:color w:val="auto"/>
                <w:sz w:val="24"/>
                <w:szCs w:val="22"/>
                <w:highlight w:val="none"/>
                <w:lang w:val="zh-CN"/>
              </w:rPr>
              <w:t>产品安装、检测、调试等方面保证措施，根据响应情况得</w:t>
            </w:r>
            <w:r>
              <w:rPr>
                <w:rFonts w:hint="eastAsia" w:ascii="楷体" w:hAnsi="楷体" w:eastAsia="楷体" w:cs="楷体"/>
                <w:color w:val="auto"/>
                <w:sz w:val="24"/>
                <w:szCs w:val="22"/>
                <w:highlight w:val="none"/>
              </w:rPr>
              <w:t>0</w:t>
            </w:r>
            <w:r>
              <w:rPr>
                <w:rFonts w:hint="eastAsia" w:ascii="楷体" w:hAnsi="楷体" w:eastAsia="楷体" w:cs="楷体"/>
                <w:color w:val="auto"/>
                <w:sz w:val="24"/>
                <w:szCs w:val="22"/>
                <w:highlight w:val="none"/>
                <w:lang w:val="zh-CN"/>
              </w:rPr>
              <w:t>～</w:t>
            </w:r>
            <w:r>
              <w:rPr>
                <w:rFonts w:hint="eastAsia" w:ascii="楷体" w:hAnsi="楷体" w:eastAsia="楷体" w:cs="楷体"/>
                <w:color w:val="auto"/>
                <w:sz w:val="24"/>
                <w:szCs w:val="22"/>
                <w:highlight w:val="none"/>
              </w:rPr>
              <w:t>2</w:t>
            </w:r>
            <w:r>
              <w:rPr>
                <w:rFonts w:hint="eastAsia" w:ascii="楷体" w:hAnsi="楷体" w:eastAsia="楷体" w:cs="楷体"/>
                <w:color w:val="auto"/>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1098"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售 后</w:t>
            </w:r>
          </w:p>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lang w:val="zh-CN"/>
              </w:rPr>
              <w:t>服 务</w:t>
            </w:r>
          </w:p>
        </w:tc>
        <w:tc>
          <w:tcPr>
            <w:tcW w:w="857" w:type="dxa"/>
            <w:noWrap/>
            <w:vAlign w:val="center"/>
          </w:tcPr>
          <w:p>
            <w:pPr>
              <w:autoSpaceDE w:val="0"/>
              <w:autoSpaceDN w:val="0"/>
              <w:adjustRightInd w:val="0"/>
              <w:snapToGrid w:val="0"/>
              <w:spacing w:line="240" w:lineRule="auto"/>
              <w:jc w:val="center"/>
              <w:rPr>
                <w:rFonts w:hint="eastAsia" w:ascii="楷体" w:hAnsi="楷体" w:eastAsia="楷体" w:cs="楷体"/>
                <w:b/>
                <w:bCs/>
                <w:color w:val="auto"/>
                <w:sz w:val="24"/>
                <w:highlight w:val="none"/>
                <w:lang w:val="zh-CN"/>
              </w:rPr>
            </w:pPr>
            <w:r>
              <w:rPr>
                <w:rFonts w:hint="eastAsia" w:ascii="楷体" w:hAnsi="楷体" w:eastAsia="楷体" w:cs="楷体"/>
                <w:b/>
                <w:bCs/>
                <w:color w:val="auto"/>
                <w:sz w:val="24"/>
                <w:highlight w:val="none"/>
              </w:rPr>
              <w:t>4</w:t>
            </w:r>
            <w:r>
              <w:rPr>
                <w:rFonts w:hint="eastAsia" w:ascii="楷体" w:hAnsi="楷体" w:eastAsia="楷体" w:cs="楷体"/>
                <w:b/>
                <w:bCs/>
                <w:color w:val="auto"/>
                <w:sz w:val="24"/>
                <w:highlight w:val="none"/>
                <w:lang w:val="zh-CN"/>
              </w:rPr>
              <w:t>分</w:t>
            </w:r>
          </w:p>
        </w:tc>
        <w:tc>
          <w:tcPr>
            <w:tcW w:w="7124" w:type="dxa"/>
            <w:noWrap/>
            <w:vAlign w:val="center"/>
          </w:tcPr>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由评标委员会综合评审：</w:t>
            </w:r>
          </w:p>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rPr>
              <w:t>1</w:t>
            </w:r>
            <w:r>
              <w:rPr>
                <w:rFonts w:hint="eastAsia" w:ascii="楷体" w:hAnsi="楷体" w:eastAsia="楷体" w:cs="楷体"/>
                <w:color w:val="auto"/>
                <w:sz w:val="24"/>
                <w:szCs w:val="22"/>
                <w:highlight w:val="none"/>
                <w:lang w:val="zh-CN"/>
              </w:rPr>
              <w:t>、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在0～</w:t>
            </w:r>
            <w:r>
              <w:rPr>
                <w:rFonts w:hint="eastAsia" w:ascii="楷体" w:hAnsi="楷体" w:eastAsia="楷体" w:cs="楷体"/>
                <w:color w:val="auto"/>
                <w:sz w:val="24"/>
                <w:szCs w:val="22"/>
                <w:highlight w:val="none"/>
              </w:rPr>
              <w:t>2</w:t>
            </w:r>
            <w:r>
              <w:rPr>
                <w:rFonts w:hint="eastAsia" w:ascii="楷体" w:hAnsi="楷体" w:eastAsia="楷体" w:cs="楷体"/>
                <w:color w:val="auto"/>
                <w:sz w:val="24"/>
                <w:szCs w:val="22"/>
                <w:highlight w:val="none"/>
                <w:lang w:val="zh-CN"/>
              </w:rPr>
              <w:t>分之间赋分；</w:t>
            </w:r>
          </w:p>
          <w:p>
            <w:pPr>
              <w:autoSpaceDE w:val="0"/>
              <w:autoSpaceDN w:val="0"/>
              <w:adjustRightInd w:val="0"/>
              <w:snapToGrid w:val="0"/>
              <w:spacing w:line="240" w:lineRule="auto"/>
              <w:rPr>
                <w:rFonts w:hint="eastAsia" w:ascii="楷体" w:hAnsi="楷体" w:eastAsia="楷体" w:cs="楷体"/>
                <w:color w:val="auto"/>
                <w:highlight w:val="none"/>
              </w:rPr>
            </w:pPr>
            <w:r>
              <w:rPr>
                <w:rFonts w:hint="eastAsia" w:ascii="楷体" w:hAnsi="楷体" w:eastAsia="楷体" w:cs="楷体"/>
                <w:color w:val="auto"/>
                <w:sz w:val="24"/>
                <w:szCs w:val="22"/>
                <w:highlight w:val="none"/>
              </w:rPr>
              <w:t>2、</w:t>
            </w:r>
            <w:r>
              <w:rPr>
                <w:rFonts w:hint="eastAsia" w:ascii="楷体" w:hAnsi="楷体" w:eastAsia="楷体" w:cs="楷体"/>
                <w:color w:val="auto"/>
                <w:sz w:val="24"/>
                <w:szCs w:val="22"/>
                <w:highlight w:val="none"/>
                <w:lang w:val="zh-CN"/>
              </w:rPr>
              <w:t>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培训人数、培训时间、培训内容等），根据优劣计0～</w:t>
            </w:r>
            <w:r>
              <w:rPr>
                <w:rFonts w:hint="eastAsia" w:ascii="楷体" w:hAnsi="楷体" w:eastAsia="楷体" w:cs="楷体"/>
                <w:color w:val="auto"/>
                <w:sz w:val="24"/>
                <w:szCs w:val="22"/>
                <w:highlight w:val="none"/>
              </w:rPr>
              <w:t>2</w:t>
            </w:r>
            <w:r>
              <w:rPr>
                <w:rFonts w:hint="eastAsia" w:ascii="楷体" w:hAnsi="楷体" w:eastAsia="楷体" w:cs="楷体"/>
                <w:color w:val="auto"/>
                <w:sz w:val="24"/>
                <w:szCs w:val="22"/>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8" w:type="dxa"/>
            <w:vMerge w:val="restart"/>
            <w:noWrap/>
            <w:vAlign w:val="center"/>
          </w:tcPr>
          <w:p>
            <w:pPr>
              <w:autoSpaceDE w:val="0"/>
              <w:autoSpaceDN w:val="0"/>
              <w:adjustRightInd w:val="0"/>
              <w:snapToGrid w:val="0"/>
              <w:spacing w:line="240" w:lineRule="auto"/>
              <w:jc w:val="center"/>
              <w:rPr>
                <w:rFonts w:hint="eastAsia" w:ascii="楷体" w:hAnsi="楷体" w:eastAsia="楷体" w:cs="楷体"/>
                <w:b/>
                <w:bCs/>
                <w:color w:val="auto"/>
                <w:sz w:val="22"/>
                <w:szCs w:val="22"/>
                <w:highlight w:val="none"/>
                <w:lang w:val="zh-CN"/>
              </w:rPr>
            </w:pPr>
            <w:r>
              <w:rPr>
                <w:rFonts w:hint="eastAsia" w:ascii="楷体" w:hAnsi="楷体" w:eastAsia="楷体" w:cs="楷体"/>
                <w:b/>
                <w:bCs/>
                <w:color w:val="auto"/>
                <w:sz w:val="22"/>
                <w:szCs w:val="22"/>
                <w:highlight w:val="none"/>
                <w:lang w:val="zh-CN"/>
              </w:rPr>
              <w:t>节能环保产品</w:t>
            </w:r>
          </w:p>
        </w:tc>
        <w:tc>
          <w:tcPr>
            <w:tcW w:w="857" w:type="dxa"/>
            <w:vMerge w:val="restart"/>
            <w:noWrap w:val="0"/>
            <w:vAlign w:val="center"/>
          </w:tcPr>
          <w:p>
            <w:pPr>
              <w:autoSpaceDE w:val="0"/>
              <w:autoSpaceDN w:val="0"/>
              <w:adjustRightInd w:val="0"/>
              <w:snapToGrid w:val="0"/>
              <w:spacing w:line="240" w:lineRule="auto"/>
              <w:jc w:val="center"/>
              <w:rPr>
                <w:rFonts w:hint="eastAsia" w:ascii="楷体" w:hAnsi="楷体" w:eastAsia="楷体" w:cs="楷体"/>
                <w:color w:val="auto"/>
                <w:sz w:val="24"/>
                <w:szCs w:val="22"/>
                <w:highlight w:val="none"/>
              </w:rPr>
            </w:pPr>
            <w:r>
              <w:rPr>
                <w:rFonts w:hint="eastAsia" w:ascii="楷体" w:hAnsi="楷体" w:eastAsia="楷体" w:cs="楷体"/>
                <w:b/>
                <w:bCs/>
                <w:color w:val="auto"/>
                <w:sz w:val="24"/>
                <w:highlight w:val="none"/>
              </w:rPr>
              <w:t>1分</w:t>
            </w:r>
          </w:p>
        </w:tc>
        <w:tc>
          <w:tcPr>
            <w:tcW w:w="7124" w:type="dxa"/>
            <w:noWrap w:val="0"/>
            <w:vAlign w:val="bottom"/>
          </w:tcPr>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lang w:val="zh-CN"/>
              </w:rPr>
              <w:t>所投设备为节能产品（以《节能产品政府采购清单》为准），并提供相应证明，</w:t>
            </w:r>
            <w:r>
              <w:rPr>
                <w:rFonts w:hint="eastAsia" w:ascii="楷体" w:hAnsi="楷体" w:eastAsia="楷体" w:cs="楷体"/>
                <w:color w:val="auto"/>
                <w:sz w:val="24"/>
                <w:szCs w:val="22"/>
                <w:highlight w:val="none"/>
                <w:lang w:val="zh-CN"/>
              </w:rPr>
              <w:t>由评标委员会综合评审</w:t>
            </w:r>
            <w:r>
              <w:rPr>
                <w:rFonts w:hint="eastAsia" w:ascii="楷体" w:hAnsi="楷体" w:eastAsia="楷体" w:cs="楷体"/>
                <w:color w:val="auto"/>
                <w:sz w:val="24"/>
                <w:szCs w:val="22"/>
                <w:lang w:val="zh-CN"/>
              </w:rPr>
              <w:t>得</w:t>
            </w:r>
            <w:r>
              <w:rPr>
                <w:rFonts w:hint="eastAsia" w:ascii="楷体" w:hAnsi="楷体" w:eastAsia="楷体" w:cs="楷体"/>
                <w:color w:val="auto"/>
                <w:sz w:val="24"/>
                <w:szCs w:val="22"/>
                <w:lang w:val="en-US" w:eastAsia="zh-CN"/>
              </w:rPr>
              <w:t>0-</w:t>
            </w:r>
            <w:r>
              <w:rPr>
                <w:rFonts w:hint="eastAsia" w:ascii="楷体" w:hAnsi="楷体" w:eastAsia="楷体" w:cs="楷体"/>
                <w:color w:val="auto"/>
                <w:sz w:val="24"/>
                <w:szCs w:val="22"/>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98" w:type="dxa"/>
            <w:vMerge w:val="continue"/>
            <w:noWrap/>
            <w:vAlign w:val="center"/>
          </w:tcPr>
          <w:p>
            <w:pPr>
              <w:autoSpaceDE w:val="0"/>
              <w:autoSpaceDN w:val="0"/>
              <w:adjustRightInd w:val="0"/>
              <w:snapToGrid w:val="0"/>
              <w:spacing w:line="240" w:lineRule="auto"/>
              <w:jc w:val="center"/>
              <w:rPr>
                <w:rFonts w:hint="eastAsia" w:ascii="楷体" w:hAnsi="楷体" w:eastAsia="楷体" w:cs="楷体"/>
                <w:b/>
                <w:bCs/>
                <w:color w:val="auto"/>
                <w:sz w:val="22"/>
                <w:szCs w:val="22"/>
                <w:highlight w:val="none"/>
                <w:lang w:val="zh-CN"/>
              </w:rPr>
            </w:pPr>
          </w:p>
        </w:tc>
        <w:tc>
          <w:tcPr>
            <w:tcW w:w="857" w:type="dxa"/>
            <w:vMerge w:val="continue"/>
            <w:noWrap w:val="0"/>
            <w:vAlign w:val="center"/>
          </w:tcPr>
          <w:p>
            <w:pPr>
              <w:autoSpaceDE w:val="0"/>
              <w:autoSpaceDN w:val="0"/>
              <w:adjustRightInd w:val="0"/>
              <w:snapToGrid w:val="0"/>
              <w:spacing w:line="240" w:lineRule="auto"/>
              <w:jc w:val="center"/>
              <w:rPr>
                <w:rFonts w:hint="eastAsia" w:ascii="楷体" w:hAnsi="楷体" w:eastAsia="楷体" w:cs="楷体"/>
                <w:color w:val="auto"/>
                <w:sz w:val="24"/>
                <w:szCs w:val="22"/>
                <w:highlight w:val="none"/>
              </w:rPr>
            </w:pPr>
          </w:p>
        </w:tc>
        <w:tc>
          <w:tcPr>
            <w:tcW w:w="7124" w:type="dxa"/>
            <w:noWrap w:val="0"/>
            <w:vAlign w:val="bottom"/>
          </w:tcPr>
          <w:p>
            <w:pPr>
              <w:autoSpaceDE w:val="0"/>
              <w:autoSpaceDN w:val="0"/>
              <w:adjustRightInd w:val="0"/>
              <w:snapToGrid w:val="0"/>
              <w:spacing w:line="240" w:lineRule="auto"/>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lang w:val="zh-CN"/>
              </w:rPr>
              <w:t>所投设备为环保产品（以《环境标志产品政府采购清单》为准），并提供相应证明，</w:t>
            </w:r>
            <w:r>
              <w:rPr>
                <w:rFonts w:hint="eastAsia" w:ascii="楷体" w:hAnsi="楷体" w:eastAsia="楷体" w:cs="楷体"/>
                <w:color w:val="auto"/>
                <w:sz w:val="24"/>
                <w:szCs w:val="22"/>
                <w:highlight w:val="none"/>
                <w:lang w:val="zh-CN"/>
              </w:rPr>
              <w:t>由评标委员会综合评审</w:t>
            </w:r>
            <w:r>
              <w:rPr>
                <w:rFonts w:hint="eastAsia" w:ascii="楷体" w:hAnsi="楷体" w:eastAsia="楷体" w:cs="楷体"/>
                <w:color w:val="auto"/>
                <w:sz w:val="24"/>
                <w:szCs w:val="22"/>
                <w:lang w:val="zh-CN"/>
              </w:rPr>
              <w:t>得</w:t>
            </w:r>
            <w:r>
              <w:rPr>
                <w:rFonts w:hint="eastAsia" w:ascii="楷体" w:hAnsi="楷体" w:eastAsia="楷体" w:cs="楷体"/>
                <w:color w:val="auto"/>
                <w:sz w:val="24"/>
                <w:szCs w:val="22"/>
                <w:lang w:val="en-US" w:eastAsia="zh-CN"/>
              </w:rPr>
              <w:t>0-</w:t>
            </w:r>
            <w:r>
              <w:rPr>
                <w:rFonts w:hint="eastAsia" w:ascii="楷体" w:hAnsi="楷体" w:eastAsia="楷体" w:cs="楷体"/>
                <w:color w:val="auto"/>
                <w:sz w:val="24"/>
                <w:szCs w:val="22"/>
                <w:lang w:val="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79" w:type="dxa"/>
            <w:gridSpan w:val="3"/>
            <w:noWrap/>
            <w:vAlign w:val="center"/>
          </w:tcPr>
          <w:p>
            <w:pPr>
              <w:autoSpaceDE w:val="0"/>
              <w:autoSpaceDN w:val="0"/>
              <w:adjustRightInd w:val="0"/>
              <w:snapToGrid w:val="0"/>
              <w:spacing w:line="240" w:lineRule="auto"/>
              <w:ind w:firstLine="480" w:firstLineChars="200"/>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1）各评委独立打分。</w:t>
            </w:r>
          </w:p>
          <w:p>
            <w:pPr>
              <w:autoSpaceDE w:val="0"/>
              <w:autoSpaceDN w:val="0"/>
              <w:adjustRightInd w:val="0"/>
              <w:snapToGrid w:val="0"/>
              <w:spacing w:line="240" w:lineRule="auto"/>
              <w:ind w:firstLine="480" w:firstLineChars="200"/>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2）评委打分超过得分界限或未按本表规定赋分时，该评委的打分无效，不计入汇总分。</w:t>
            </w:r>
          </w:p>
          <w:p>
            <w:pPr>
              <w:autoSpaceDE w:val="0"/>
              <w:autoSpaceDN w:val="0"/>
              <w:adjustRightInd w:val="0"/>
              <w:snapToGrid w:val="0"/>
              <w:spacing w:line="240" w:lineRule="auto"/>
              <w:ind w:firstLine="480" w:firstLineChars="200"/>
              <w:rPr>
                <w:rFonts w:hint="eastAsia" w:ascii="楷体" w:hAnsi="楷体" w:eastAsia="楷体" w:cs="楷体"/>
                <w:color w:val="auto"/>
                <w:sz w:val="24"/>
                <w:szCs w:val="22"/>
                <w:highlight w:val="none"/>
                <w:lang w:val="zh-CN"/>
              </w:rPr>
            </w:pPr>
            <w:r>
              <w:rPr>
                <w:rFonts w:hint="eastAsia" w:ascii="楷体" w:hAnsi="楷体" w:eastAsia="楷体" w:cs="楷体"/>
                <w:color w:val="auto"/>
                <w:sz w:val="24"/>
                <w:szCs w:val="22"/>
                <w:highlight w:val="none"/>
                <w:lang w:val="zh-CN"/>
              </w:rPr>
              <w:t>3）各种计算采用插入法，最终结果数字保留二位小数，第三位“四舍五入”。</w:t>
            </w:r>
          </w:p>
        </w:tc>
      </w:tr>
    </w:tbl>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四、中标人的确定</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中标候选人推荐不少于3家。</w:t>
      </w:r>
    </w:p>
    <w:p>
      <w:pPr>
        <w:spacing w:line="360" w:lineRule="auto"/>
        <w:ind w:firstLine="482"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五、特殊情形</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a、当供应商某评分项出现未报、漏报或零报价时，该分项得零分，并不参与该投标报价分的计算。</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b、相同品牌产品</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单一产品采购项目，提供相同品牌产品且通过资格审查、符合性审查的不同供应商参加同一合同项下投标的，按一家供应商计算，评审后得分最高的同品牌供应商获得中标人推荐资格；评审得分相同的，投标报价低的获得中标供应商推荐资格，若投标报价得分相同，技术得分高者获得中标供应商推荐资格，若上述两项得分相同，则由全体评标委员会成员无记名投票，得票高者获得中标供应商推荐资格，其他同品牌供应商不作为推荐中标供应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非单一产品采购项目，多家供应商提供的核心产品品牌相同的，按照前款规定处理。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c、若出现综合得分相同的，投标报价低的为第一推荐中标供应商，若综合评分和投标报价的得分均相同的，技术得分高者为第一推荐中标供应商，若上述两项得分相同，则由全体评标委员会成员无记名投票，得票高者为第一推荐中标供应商。</w:t>
      </w:r>
    </w:p>
    <w:p>
      <w:pPr>
        <w:spacing w:line="360" w:lineRule="auto"/>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d、评议过程中，若出现本评分方法以外的特殊情况时，将暂停评审，待评标委员会商榷后再进行复会。</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六</w:t>
      </w:r>
      <w:r>
        <w:rPr>
          <w:rFonts w:hint="eastAsia" w:ascii="楷体" w:hAnsi="楷体" w:eastAsia="楷体" w:cs="楷体"/>
          <w:b/>
          <w:bCs/>
          <w:color w:val="auto"/>
          <w:sz w:val="24"/>
          <w:highlight w:val="none"/>
        </w:rPr>
        <w:t>、政府采购政策相关要求</w:t>
      </w:r>
    </w:p>
    <w:p>
      <w:pPr>
        <w:spacing w:line="360" w:lineRule="auto"/>
        <w:ind w:firstLine="420"/>
        <w:rPr>
          <w:rFonts w:hint="eastAsia" w:ascii="楷体" w:hAnsi="楷体" w:eastAsia="楷体" w:cs="楷体"/>
          <w:b/>
          <w:bCs/>
          <w:color w:val="auto"/>
          <w:sz w:val="24"/>
          <w:highlight w:val="none"/>
          <w:lang w:val="en-US" w:eastAsia="zh-CN"/>
        </w:rPr>
      </w:pPr>
      <w:r>
        <w:rPr>
          <w:rFonts w:hint="eastAsia" w:ascii="楷体" w:hAnsi="楷体" w:eastAsia="楷体" w:cs="楷体"/>
          <w:b/>
          <w:bCs/>
          <w:color w:val="auto"/>
          <w:sz w:val="24"/>
          <w:highlight w:val="none"/>
          <w:lang w:val="en-US" w:eastAsia="zh-CN"/>
        </w:rPr>
        <w:t>6.1、政府采购政策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）供应商对其是否属于小型、微型企业真实性负责。</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bCs/>
          <w:color w:val="auto"/>
          <w:sz w:val="24"/>
          <w:highlight w:val="none"/>
          <w:lang w:val="en-US" w:eastAsia="zh-CN"/>
        </w:rPr>
        <w:t>6.1.1</w:t>
      </w:r>
      <w:r>
        <w:rPr>
          <w:rFonts w:hint="eastAsia" w:ascii="楷体" w:hAnsi="楷体" w:eastAsia="楷体" w:cs="楷体"/>
          <w:b/>
          <w:color w:val="auto"/>
          <w:sz w:val="24"/>
        </w:rPr>
        <w:t>小微企业的价格评分标准</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（1）根据《政府采购促进中小企业发展管理办法》（财库〔2020〕46号）的办法，对于非专门面向中小企业的项目，对小型、微型企业产品的价格给予10%的扣除。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（2）联合体共同参加非专门面向中小企业的政府采购活动，联合协议中约定，小型和微型企业的协议合同金额占到联合体协议合同金额的30%以上的，可给予联合体</w:t>
      </w:r>
      <w:r>
        <w:rPr>
          <w:rFonts w:hint="eastAsia" w:ascii="楷体" w:hAnsi="楷体" w:eastAsia="楷体" w:cs="楷体"/>
          <w:color w:val="auto"/>
          <w:sz w:val="24"/>
          <w:lang w:val="en-US" w:eastAsia="zh-CN"/>
        </w:rPr>
        <w:t>4</w:t>
      </w:r>
      <w:r>
        <w:rPr>
          <w:rFonts w:hint="eastAsia" w:ascii="楷体" w:hAnsi="楷体" w:eastAsia="楷体" w:cs="楷体"/>
          <w:color w:val="auto"/>
          <w:sz w:val="24"/>
        </w:rPr>
        <w:t>%的价格扣除。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rPr>
          <w:rFonts w:hint="eastAsia"/>
          <w:color w:val="auto"/>
        </w:rPr>
      </w:pPr>
      <w:r>
        <w:rPr>
          <w:rFonts w:hint="eastAsia" w:ascii="楷体" w:hAnsi="楷体" w:eastAsia="楷体" w:cs="楷体"/>
          <w:color w:val="auto"/>
          <w:sz w:val="24"/>
        </w:rPr>
        <w:t>（5）供应商对其是否属于小型、微型企业真实性负责。</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.2、监狱企业的价格评分标准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（1）在政府采购活动中，监狱企业视同小型、微型企业，享受预留份额、评审中价格扣除等政府采购促进中小企业发展的政府采购政策。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（2）监狱企业属于小型、微型企业的，不重复享受政策。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（3）监狱企业参加政府采购活动时，应当提供由省级以上监狱管理局、戒毒管理局（含新疆生产建设兵团）出具的属于监狱企业的证明文件。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（4）监狱企业按《财政部、司法部关于政府采购支持监狱企业发展有关问题的通知》（财库〔2014〕68号）文件规定标准执行。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.3、残疾人福利性单位的价格评分标准</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（1）在政府采购活动中，残疾人福利性单位视同小型、微型企业，享受预留份额、评审中价格扣除等政府采购促进中小企业发展的政府采购政策。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.4节能产品、环境标志产品政策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.5政府采购信用担保及信用融资政策：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中标人如果需要融资贷款服务的，可凭中标通知书、政府采购合同等相关资料，按照文件规定的程序申请办理，具体规定可登陆陕西省政府采购网(www.ccgp-shaanxi.gov.cn/)重要通知专栏中查询了解。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rPr>
          <w:rFonts w:hint="eastAsia" w:ascii="楷体" w:hAnsi="楷体" w:eastAsia="楷体" w:cs="楷体"/>
          <w:color w:val="auto"/>
          <w:szCs w:val="21"/>
          <w:highlight w:val="none"/>
        </w:rPr>
      </w:pPr>
      <w:r>
        <w:rPr>
          <w:rFonts w:hint="eastAsia" w:ascii="楷体" w:hAnsi="楷体" w:eastAsia="楷体" w:cs="楷体"/>
          <w:color w:val="auto"/>
          <w:szCs w:val="21"/>
          <w:highlight w:val="none"/>
        </w:rPr>
        <w:drawing>
          <wp:inline distT="0" distB="0" distL="114300" distR="114300">
            <wp:extent cx="4775835" cy="3712210"/>
            <wp:effectExtent l="0" t="0" r="952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4775835" cy="3712210"/>
                    </a:xfrm>
                    <a:prstGeom prst="rect">
                      <a:avLst/>
                    </a:prstGeom>
                    <a:noFill/>
                    <a:ln>
                      <a:noFill/>
                    </a:ln>
                  </pic:spPr>
                </pic:pic>
              </a:graphicData>
            </a:graphic>
          </wp:inline>
        </w:drawing>
      </w:r>
    </w:p>
    <w:p>
      <w:pPr>
        <w:spacing w:line="360" w:lineRule="auto"/>
        <w:ind w:firstLine="420"/>
        <w:rPr>
          <w:rFonts w:hint="eastAsia"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6</w:t>
      </w:r>
      <w:r>
        <w:rPr>
          <w:rFonts w:hint="eastAsia" w:ascii="楷体" w:hAnsi="楷体" w:eastAsia="楷体" w:cs="楷体"/>
          <w:b/>
          <w:bCs/>
          <w:color w:val="auto"/>
          <w:sz w:val="24"/>
          <w:highlight w:val="none"/>
        </w:rPr>
        <w:t>.6 政府采购相关政策格式</w:t>
      </w: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中小企业声明函（货物）（格式）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本公司（联合体）郑重声明，根据《政府采购促进中小企业发展管理办法》（财库﹝2020﹞46 号）的规定，本公司（联合体） 参加（单位名称）的（项目名称）采购活动，提供的货物全部由符合政策要求的中小企业制造。相关企业（含联合体中的中小企业、签订分包意向协议的中小企业）的具体情况如下：</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 （标的名称） ，属于（采购文件中明确的所属行业）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 （标的名称） ，属于 （采购文件中明确的所属行业） 行业；制造商为（企业名称），从业人员    人，营业收入为    万元，资产总额为    万元，属于（中型企业、小型企业、微型企业）；</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以上企业，不属于大企业的分支机构，不存在控股股东为大企业的情形，也不存在与大企业的负责人为同一人的情形。</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本企业对上述声明内容的真实性负责。如有虚假，将依法承担相应责任。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企业名称（盖章）：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注：1.供应商为非中小微企业的，可不提供此声明。</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2.从业人员、营业收入、资产总额填报上一年度数据，无上一年度数据的新成立企业可不填报。</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pStyle w:val="7"/>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残疾人福利性单位声明函（格式）</w:t>
      </w:r>
    </w:p>
    <w:p>
      <w:pPr>
        <w:spacing w:line="360" w:lineRule="auto"/>
        <w:rPr>
          <w:rFonts w:hint="eastAsia" w:ascii="楷体" w:hAnsi="楷体" w:eastAsia="楷体" w:cs="楷体"/>
          <w:color w:val="auto"/>
          <w:sz w:val="24"/>
          <w:highlight w:val="none"/>
        </w:rPr>
      </w:pPr>
      <w:r>
        <w:rPr>
          <w:rFonts w:hint="eastAsia" w:ascii="楷体" w:hAnsi="楷体" w:eastAsia="楷体" w:cs="楷体"/>
          <w:color w:val="auto"/>
          <w:sz w:val="24"/>
          <w:highlight w:val="none"/>
        </w:rPr>
        <w:t>致：</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单位名称（盖章）：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2、供应商为非残疾人福利性单位的，可不提供此声明。</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投标人监狱企业声明函（格式）</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本单位郑重声明下列事项（按照实际情况勾选或填空）：</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本单位为直接投标人提供本单位制造的货物。</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（1）本企业（单位）        （请填写：是、不是）监狱企业。如果是，后附省级以上监狱管理局、戒毒管理局（含新疆生产建设兵团）出具的属于监狱企业的证明文件。</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（2）本企业（单位）        （请填写：是、不是）为联合体一方，提供本企业（单位）制造的货物，由本企业（单位）承担工程、提供服务。本企业（单位）提供协议合同金额占到共同投标协议合同总金额的比例为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本企业（单位）对上述声明的真实性负责。如有虚假，将依法承担相应责任。</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投标人（盖公章）：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法定代表人或授权代表（签字）:                        </w:t>
      </w: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日　         期：             </w:t>
      </w: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p>
    <w:p>
      <w:pPr>
        <w:spacing w:line="360" w:lineRule="auto"/>
        <w:ind w:firstLine="420"/>
        <w:rPr>
          <w:rFonts w:hint="eastAsia" w:ascii="楷体" w:hAnsi="楷体" w:eastAsia="楷体" w:cs="楷体"/>
          <w:color w:val="auto"/>
          <w:sz w:val="24"/>
          <w:highlight w:val="none"/>
        </w:rPr>
      </w:pPr>
      <w:r>
        <w:rPr>
          <w:rFonts w:hint="eastAsia" w:ascii="楷体" w:hAnsi="楷体" w:eastAsia="楷体" w:cs="楷体"/>
          <w:color w:val="auto"/>
          <w:sz w:val="24"/>
          <w:highlight w:val="none"/>
        </w:rPr>
        <w:t>注：符合《关于政府采购支持监狱企业发展有关问题的通知》价格扣减条件的供应商须提交。</w:t>
      </w:r>
    </w:p>
    <w:p>
      <w:pPr>
        <w:rPr>
          <w:color w:val="auto"/>
        </w:rPr>
      </w:pPr>
    </w:p>
    <w:sectPr>
      <w:headerReference r:id="rId5" w:type="default"/>
      <w:footerReference r:id="rId6" w:type="default"/>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amp;#23435;&amp;#20307;">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drawing>
        <wp:inline distT="0" distB="0" distL="114300" distR="114300">
          <wp:extent cx="977900" cy="311150"/>
          <wp:effectExtent l="0" t="0" r="12700" b="12700"/>
          <wp:docPr id="1" name="图片 1"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drawing>
        <wp:inline distT="0" distB="0" distL="114300" distR="114300">
          <wp:extent cx="977900" cy="311150"/>
          <wp:effectExtent l="0" t="0" r="12700" b="12700"/>
          <wp:docPr id="3" name="图片 2" descr="微信截图_20210507160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截图_20210507160957.png"/>
                  <pic:cNvPicPr>
                    <a:picLocks noChangeAspect="1"/>
                  </pic:cNvPicPr>
                </pic:nvPicPr>
                <pic:blipFill>
                  <a:blip r:embed="rId1"/>
                  <a:stretch>
                    <a:fillRect/>
                  </a:stretch>
                </pic:blipFill>
                <pic:spPr>
                  <a:xfrm>
                    <a:off x="0" y="0"/>
                    <a:ext cx="97790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464B4"/>
    <w:multiLevelType w:val="singleLevel"/>
    <w:tmpl w:val="862464B4"/>
    <w:lvl w:ilvl="0" w:tentative="0">
      <w:start w:val="2"/>
      <w:numFmt w:val="decimal"/>
      <w:suff w:val="nothing"/>
      <w:lvlText w:val="（%1）"/>
      <w:lvlJc w:val="left"/>
    </w:lvl>
  </w:abstractNum>
  <w:abstractNum w:abstractNumId="1">
    <w:nsid w:val="D0866A3F"/>
    <w:multiLevelType w:val="singleLevel"/>
    <w:tmpl w:val="D0866A3F"/>
    <w:lvl w:ilvl="0" w:tentative="0">
      <w:start w:val="1"/>
      <w:numFmt w:val="decimal"/>
      <w:suff w:val="nothing"/>
      <w:lvlText w:val="（%1）"/>
      <w:lvlJc w:val="left"/>
    </w:lvl>
  </w:abstractNum>
  <w:abstractNum w:abstractNumId="2">
    <w:nsid w:val="5440B547"/>
    <w:multiLevelType w:val="singleLevel"/>
    <w:tmpl w:val="5440B547"/>
    <w:lvl w:ilvl="0" w:tentative="0">
      <w:start w:val="1"/>
      <w:numFmt w:val="chineseCounting"/>
      <w:suff w:val="nothing"/>
      <w:lvlText w:val="%1、"/>
      <w:lvlJc w:val="left"/>
    </w:lvl>
  </w:abstractNum>
  <w:abstractNum w:abstractNumId="3">
    <w:nsid w:val="59E99F38"/>
    <w:multiLevelType w:val="singleLevel"/>
    <w:tmpl w:val="59E99F38"/>
    <w:lvl w:ilvl="0" w:tentative="0">
      <w:start w:val="1"/>
      <w:numFmt w:val="decimal"/>
      <w:suff w:val="nothing"/>
      <w:lvlText w:val="（%1）"/>
      <w:lvlJc w:val="left"/>
    </w:lvl>
  </w:abstractNum>
  <w:abstractNum w:abstractNumId="4">
    <w:nsid w:val="77898BA8"/>
    <w:multiLevelType w:val="singleLevel"/>
    <w:tmpl w:val="77898BA8"/>
    <w:lvl w:ilvl="0" w:tentative="0">
      <w:start w:val="4"/>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NjI3M2RiMjZhNDY3ZDFhZjNmOGQ5ZTY4MTRjZDMifQ=="/>
  </w:docVars>
  <w:rsids>
    <w:rsidRoot w:val="1DFC5601"/>
    <w:rsid w:val="01556EA4"/>
    <w:rsid w:val="024372CE"/>
    <w:rsid w:val="071D05A1"/>
    <w:rsid w:val="07BD1D9D"/>
    <w:rsid w:val="08C54644"/>
    <w:rsid w:val="0BB9711E"/>
    <w:rsid w:val="0D977999"/>
    <w:rsid w:val="0DE54D2A"/>
    <w:rsid w:val="0E0D65D6"/>
    <w:rsid w:val="10BD17B3"/>
    <w:rsid w:val="11717F0E"/>
    <w:rsid w:val="13531FC1"/>
    <w:rsid w:val="155C0EB1"/>
    <w:rsid w:val="192817FA"/>
    <w:rsid w:val="19573AF2"/>
    <w:rsid w:val="1BAD71F1"/>
    <w:rsid w:val="1C6D39AD"/>
    <w:rsid w:val="1DFC5601"/>
    <w:rsid w:val="209F3092"/>
    <w:rsid w:val="2AFD7FBE"/>
    <w:rsid w:val="2B5A5E57"/>
    <w:rsid w:val="2D4B55F6"/>
    <w:rsid w:val="30471746"/>
    <w:rsid w:val="3B4E0FF5"/>
    <w:rsid w:val="3F886E96"/>
    <w:rsid w:val="416827AB"/>
    <w:rsid w:val="449C2849"/>
    <w:rsid w:val="4B426921"/>
    <w:rsid w:val="52BA17FF"/>
    <w:rsid w:val="54402104"/>
    <w:rsid w:val="63DD6662"/>
    <w:rsid w:val="69A51678"/>
    <w:rsid w:val="6B3978CE"/>
    <w:rsid w:val="718E49C2"/>
    <w:rsid w:val="73F53B62"/>
    <w:rsid w:val="74942A15"/>
    <w:rsid w:val="78063C29"/>
    <w:rsid w:val="7AA3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6">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楷体_GB2312" w:hAnsi="Copperplate Gothic Bold" w:eastAsia="楷体_GB2312"/>
      <w:sz w:val="28"/>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1"/>
    <w:unhideWhenUsed/>
    <w:qFormat/>
    <w:uiPriority w:val="0"/>
    <w:pPr>
      <w:spacing w:after="120"/>
    </w:p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
    <w:unhideWhenUsed/>
    <w:qFormat/>
    <w:uiPriority w:val="0"/>
    <w:pPr>
      <w:ind w:firstLine="420" w:firstLineChars="200"/>
    </w:pPr>
    <w:rPr>
      <w:rFonts w:ascii="Times New Roman"/>
    </w:rPr>
  </w:style>
  <w:style w:type="paragraph" w:styleId="11">
    <w:name w:val="Plain Text"/>
    <w:basedOn w:val="1"/>
    <w:qFormat/>
    <w:uiPriority w:val="0"/>
    <w:rPr>
      <w:rFonts w:ascii="宋体" w:hAnsi="Courier New"/>
      <w:szCs w:val="20"/>
    </w:rPr>
  </w:style>
  <w:style w:type="paragraph" w:styleId="1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6">
    <w:name w:val="Body Text First Indent"/>
    <w:basedOn w:val="8"/>
    <w:qFormat/>
    <w:uiPriority w:val="0"/>
    <w:pPr>
      <w:spacing w:line="312" w:lineRule="auto"/>
      <w:ind w:firstLine="420"/>
    </w:pPr>
  </w:style>
  <w:style w:type="table" w:styleId="18">
    <w:name w:val="Table Grid"/>
    <w:basedOn w:val="17"/>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basedOn w:val="19"/>
    <w:unhideWhenUsed/>
    <w:qFormat/>
    <w:uiPriority w:val="99"/>
    <w:rPr>
      <w:color w:val="0000FF"/>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35708</Words>
  <Characters>37926</Characters>
  <Lines>0</Lines>
  <Paragraphs>0</Paragraphs>
  <TotalTime>7</TotalTime>
  <ScaleCrop>false</ScaleCrop>
  <LinksUpToDate>false</LinksUpToDate>
  <CharactersWithSpaces>39237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2022-02-22T03:36:00Z</dcterms:created>
  <dc:creator>Qu</dc:creator>
  <cp:lastModifiedBy>Miki</cp:lastModifiedBy>
  <dcterms:modified xsi:type="dcterms:W3CDTF">2023-02-10T03:12:42Z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026B2F6DE159454C89D9B38604AF0669</vt:lpwstr>
  </property>
</Properties>
</file>