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楷体" w:hAnsi="楷体" w:eastAsia="楷体" w:cs="楷体"/>
          <w:b/>
          <w:sz w:val="28"/>
          <w:szCs w:val="44"/>
          <w:bdr w:val="single" w:color="auto" w:sz="4" w:space="0"/>
        </w:rPr>
      </w:pPr>
      <w:r>
        <w:rPr>
          <w:rFonts w:hint="eastAsia" w:ascii="楷体" w:hAnsi="楷体" w:eastAsia="楷体" w:cs="楷体"/>
          <w:b/>
          <w:sz w:val="28"/>
          <w:szCs w:val="44"/>
          <w:bdr w:val="single" w:color="auto" w:sz="4" w:space="0"/>
        </w:rPr>
        <w:t>政府采购项目</w:t>
      </w:r>
    </w:p>
    <w:p>
      <w:pPr>
        <w:jc w:val="center"/>
        <w:rPr>
          <w:rFonts w:hint="eastAsia" w:ascii="楷体" w:hAnsi="楷体" w:eastAsia="楷体" w:cs="楷体"/>
          <w:b/>
          <w:sz w:val="44"/>
          <w:szCs w:val="44"/>
        </w:rPr>
      </w:pPr>
    </w:p>
    <w:p>
      <w:pPr>
        <w:spacing w:line="360" w:lineRule="auto"/>
        <w:rPr>
          <w:rFonts w:hint="eastAsia" w:ascii="楷体" w:hAnsi="楷体" w:eastAsia="楷体" w:cs="楷体"/>
          <w:b/>
          <w:bCs/>
          <w:sz w:val="48"/>
          <w:szCs w:val="48"/>
        </w:rPr>
      </w:pPr>
    </w:p>
    <w:p>
      <w:pPr>
        <w:spacing w:line="600" w:lineRule="auto"/>
        <w:jc w:val="center"/>
        <w:rPr>
          <w:rFonts w:hint="eastAsia" w:ascii="楷体" w:hAnsi="楷体" w:eastAsia="楷体" w:cs="楷体"/>
          <w:b/>
          <w:bCs/>
          <w:sz w:val="42"/>
          <w:szCs w:val="42"/>
          <w:lang w:val="en-US" w:eastAsia="zh-CN"/>
        </w:rPr>
      </w:pPr>
      <w:r>
        <w:rPr>
          <w:rFonts w:hint="eastAsia" w:ascii="楷体" w:hAnsi="楷体" w:eastAsia="楷体" w:cs="楷体"/>
          <w:b/>
          <w:bCs/>
          <w:sz w:val="42"/>
          <w:szCs w:val="42"/>
          <w:lang w:val="en-US" w:eastAsia="zh-CN"/>
        </w:rPr>
        <w:t>安康市中心医院</w:t>
      </w:r>
    </w:p>
    <w:p>
      <w:pPr>
        <w:spacing w:line="600" w:lineRule="auto"/>
        <w:jc w:val="center"/>
        <w:rPr>
          <w:rFonts w:hint="eastAsia" w:ascii="楷体" w:hAnsi="楷体" w:eastAsia="楷体" w:cs="楷体"/>
          <w:b/>
          <w:bCs/>
          <w:sz w:val="42"/>
          <w:szCs w:val="42"/>
        </w:rPr>
      </w:pPr>
      <w:r>
        <w:rPr>
          <w:rFonts w:hint="eastAsia" w:ascii="楷体" w:hAnsi="楷体" w:eastAsia="楷体" w:cs="楷体"/>
          <w:b/>
          <w:bCs/>
          <w:sz w:val="42"/>
          <w:szCs w:val="42"/>
          <w:lang w:val="en-US" w:eastAsia="zh-CN"/>
        </w:rPr>
        <w:t>全自动核型分析工作站等医疗设备采购项目</w:t>
      </w:r>
    </w:p>
    <w:p>
      <w:pPr>
        <w:pStyle w:val="8"/>
        <w:rPr>
          <w:rFonts w:hint="eastAsia" w:ascii="楷体" w:hAnsi="楷体" w:eastAsia="楷体" w:cs="楷体"/>
        </w:rPr>
      </w:pPr>
    </w:p>
    <w:p>
      <w:pPr>
        <w:snapToGrid w:val="0"/>
        <w:jc w:val="center"/>
        <w:rPr>
          <w:rFonts w:hint="eastAsia" w:ascii="楷体" w:hAnsi="楷体" w:eastAsia="楷体" w:cs="楷体"/>
          <w:b/>
          <w:bCs/>
          <w:color w:val="000000"/>
          <w:kern w:val="36"/>
          <w:sz w:val="36"/>
          <w:szCs w:val="36"/>
          <w:highlight w:val="yellow"/>
        </w:rPr>
      </w:pPr>
    </w:p>
    <w:p>
      <w:pPr>
        <w:jc w:val="center"/>
        <w:rPr>
          <w:rFonts w:hint="eastAsia" w:ascii="楷体" w:hAnsi="楷体" w:eastAsia="楷体" w:cs="楷体"/>
          <w:b/>
          <w:bCs/>
          <w:sz w:val="42"/>
          <w:szCs w:val="42"/>
          <w:lang w:val="en-US" w:eastAsia="zh-CN"/>
        </w:rPr>
      </w:pPr>
      <w:r>
        <w:rPr>
          <w:rFonts w:hint="eastAsia" w:ascii="楷体" w:hAnsi="楷体" w:eastAsia="楷体" w:cs="楷体"/>
          <w:b/>
          <w:bCs/>
          <w:sz w:val="42"/>
          <w:szCs w:val="42"/>
          <w:lang w:val="en-US" w:eastAsia="zh-CN"/>
        </w:rPr>
        <w:t>（项目编号：COCICC-ZAKYA-221133)</w:t>
      </w:r>
    </w:p>
    <w:p>
      <w:pPr>
        <w:jc w:val="both"/>
        <w:rPr>
          <w:rFonts w:hint="eastAsia" w:ascii="楷体" w:hAnsi="楷体" w:eastAsia="楷体" w:cs="楷体"/>
          <w:b/>
          <w:sz w:val="52"/>
          <w:szCs w:val="52"/>
        </w:rPr>
      </w:pPr>
    </w:p>
    <w:p>
      <w:pPr>
        <w:spacing w:line="360" w:lineRule="auto"/>
        <w:jc w:val="center"/>
        <w:rPr>
          <w:rFonts w:hint="default" w:ascii="楷体" w:hAnsi="楷体" w:eastAsia="楷体" w:cs="楷体"/>
          <w:b/>
          <w:sz w:val="72"/>
          <w:szCs w:val="72"/>
          <w:lang w:val="en-US" w:eastAsia="zh-CN"/>
        </w:rPr>
      </w:pPr>
      <w:r>
        <w:rPr>
          <w:rFonts w:hint="eastAsia" w:ascii="楷体" w:hAnsi="楷体" w:eastAsia="楷体" w:cs="楷体"/>
          <w:b/>
          <w:sz w:val="72"/>
          <w:szCs w:val="72"/>
        </w:rPr>
        <w:t>招标文件</w:t>
      </w:r>
      <w:r>
        <w:rPr>
          <w:rFonts w:hint="eastAsia" w:ascii="楷体" w:hAnsi="楷体" w:eastAsia="楷体" w:cs="楷体"/>
          <w:b/>
          <w:sz w:val="72"/>
          <w:szCs w:val="72"/>
          <w:lang w:val="en-US" w:eastAsia="zh-CN"/>
        </w:rPr>
        <w:t>（第二包）</w:t>
      </w:r>
    </w:p>
    <w:p>
      <w:pPr>
        <w:rPr>
          <w:rFonts w:hint="eastAsia" w:ascii="楷体" w:hAnsi="楷体" w:eastAsia="楷体" w:cs="楷体"/>
        </w:rPr>
      </w:pPr>
    </w:p>
    <w:p>
      <w:pPr>
        <w:pStyle w:val="10"/>
        <w:rPr>
          <w:rFonts w:hint="eastAsia"/>
        </w:rPr>
      </w:pPr>
    </w:p>
    <w:p>
      <w:pPr>
        <w:pStyle w:val="8"/>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b/>
          <w:sz w:val="30"/>
          <w:szCs w:val="30"/>
        </w:rPr>
      </w:pPr>
    </w:p>
    <w:p>
      <w:pPr>
        <w:pStyle w:val="10"/>
        <w:rPr>
          <w:rFonts w:hint="eastAsia" w:ascii="楷体" w:hAnsi="楷体" w:eastAsia="楷体" w:cs="楷体"/>
          <w:b/>
          <w:sz w:val="30"/>
          <w:szCs w:val="30"/>
        </w:rPr>
      </w:pPr>
    </w:p>
    <w:p>
      <w:pPr>
        <w:pStyle w:val="10"/>
        <w:ind w:left="0" w:leftChars="0" w:firstLine="0" w:firstLineChars="0"/>
        <w:rPr>
          <w:rFonts w:hint="eastAsia"/>
        </w:rPr>
      </w:pPr>
    </w:p>
    <w:p>
      <w:pPr>
        <w:rPr>
          <w:rFonts w:hint="eastAsia" w:ascii="楷体" w:hAnsi="楷体" w:eastAsia="楷体" w:cs="楷体"/>
        </w:rPr>
      </w:pPr>
    </w:p>
    <w:p>
      <w:pPr>
        <w:pStyle w:val="10"/>
        <w:rPr>
          <w:rFonts w:hint="eastAsia"/>
        </w:rPr>
      </w:pPr>
    </w:p>
    <w:p>
      <w:pPr>
        <w:pStyle w:val="10"/>
        <w:rPr>
          <w:rFonts w:hint="eastAsia"/>
        </w:rPr>
      </w:pPr>
      <w:r>
        <w:drawing>
          <wp:anchor distT="0" distB="0" distL="114300" distR="114300" simplePos="0" relativeHeight="251659264" behindDoc="0" locked="0" layoutInCell="1" allowOverlap="1">
            <wp:simplePos x="0" y="0"/>
            <wp:positionH relativeFrom="column">
              <wp:posOffset>1830705</wp:posOffset>
            </wp:positionH>
            <wp:positionV relativeFrom="paragraph">
              <wp:posOffset>55245</wp:posOffset>
            </wp:positionV>
            <wp:extent cx="1524000" cy="1524000"/>
            <wp:effectExtent l="0" t="0" r="0" b="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1524000" cy="1524000"/>
                    </a:xfrm>
                    <a:prstGeom prst="rect">
                      <a:avLst/>
                    </a:prstGeom>
                    <a:noFill/>
                    <a:ln>
                      <a:noFill/>
                    </a:ln>
                  </pic:spPr>
                </pic:pic>
              </a:graphicData>
            </a:graphic>
          </wp:anchor>
        </w:drawing>
      </w:r>
    </w:p>
    <w:p>
      <w:pPr>
        <w:rPr>
          <w:rFonts w:hint="eastAsia" w:ascii="楷体" w:hAnsi="楷体" w:eastAsia="楷体" w:cs="楷体"/>
          <w:b/>
          <w:sz w:val="30"/>
          <w:szCs w:val="30"/>
        </w:rPr>
      </w:pPr>
    </w:p>
    <w:p>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中海建国际建设咨询集团有限责任公司</w:t>
      </w:r>
    </w:p>
    <w:p>
      <w:pPr>
        <w:jc w:val="center"/>
        <w:rPr>
          <w:rFonts w:hint="eastAsia" w:ascii="楷体" w:hAnsi="楷体" w:eastAsia="楷体" w:cs="楷体"/>
        </w:rPr>
        <w:sectPr>
          <w:headerReference r:id="rId3" w:type="default"/>
          <w:footerReference r:id="rId4" w:type="default"/>
          <w:pgSz w:w="11906" w:h="16838"/>
          <w:pgMar w:top="1440" w:right="1800" w:bottom="1440" w:left="1800" w:header="851" w:footer="992" w:gutter="0"/>
          <w:pgNumType w:fmt="decimal" w:start="0"/>
          <w:cols w:space="720" w:num="1"/>
          <w:docGrid w:type="lines" w:linePitch="312" w:charSpace="0"/>
        </w:sectPr>
      </w:pPr>
      <w:r>
        <w:rPr>
          <w:rFonts w:hint="eastAsia" w:ascii="楷体" w:hAnsi="楷体" w:eastAsia="楷体" w:cs="楷体"/>
          <w:b/>
          <w:sz w:val="32"/>
          <w:szCs w:val="36"/>
        </w:rPr>
        <w:t>202</w:t>
      </w:r>
      <w:r>
        <w:rPr>
          <w:rFonts w:hint="eastAsia" w:ascii="楷体" w:hAnsi="楷体" w:eastAsia="楷体" w:cs="楷体"/>
          <w:b/>
          <w:sz w:val="32"/>
          <w:szCs w:val="36"/>
          <w:lang w:val="en-US" w:eastAsia="zh-CN"/>
        </w:rPr>
        <w:t>2</w:t>
      </w:r>
      <w:r>
        <w:rPr>
          <w:rFonts w:hint="eastAsia" w:ascii="楷体" w:hAnsi="楷体" w:eastAsia="楷体" w:cs="楷体"/>
          <w:b/>
          <w:sz w:val="32"/>
          <w:szCs w:val="36"/>
        </w:rPr>
        <w:t>年</w:t>
      </w:r>
      <w:r>
        <w:rPr>
          <w:rFonts w:hint="eastAsia" w:ascii="楷体" w:hAnsi="楷体" w:eastAsia="楷体" w:cs="楷体"/>
          <w:b/>
          <w:sz w:val="32"/>
          <w:szCs w:val="36"/>
          <w:lang w:val="en-US" w:eastAsia="zh-CN"/>
        </w:rPr>
        <w:t>12</w:t>
      </w:r>
      <w:r>
        <w:rPr>
          <w:rFonts w:hint="eastAsia" w:ascii="楷体" w:hAnsi="楷体" w:eastAsia="楷体" w:cs="楷体"/>
          <w:b/>
          <w:sz w:val="32"/>
          <w:szCs w:val="36"/>
        </w:rPr>
        <w:t>月</w:t>
      </w:r>
    </w:p>
    <w:p>
      <w:pPr>
        <w:spacing w:line="560" w:lineRule="exact"/>
        <w:jc w:val="both"/>
        <w:outlineLvl w:val="0"/>
        <w:rPr>
          <w:rFonts w:hint="eastAsia" w:ascii="楷体" w:hAnsi="楷体" w:eastAsia="楷体" w:cs="楷体"/>
          <w:b/>
          <w:sz w:val="32"/>
        </w:rPr>
      </w:pPr>
    </w:p>
    <w:p>
      <w:pPr>
        <w:spacing w:line="560" w:lineRule="exact"/>
        <w:jc w:val="center"/>
        <w:outlineLvl w:val="0"/>
        <w:rPr>
          <w:rFonts w:hint="eastAsia" w:ascii="楷体" w:hAnsi="楷体" w:eastAsia="楷体" w:cs="楷体"/>
          <w:b/>
          <w:sz w:val="32"/>
        </w:rPr>
      </w:pPr>
      <w:r>
        <w:rPr>
          <w:rFonts w:hint="eastAsia" w:ascii="楷体" w:hAnsi="楷体" w:eastAsia="楷体" w:cs="楷体"/>
          <w:b/>
          <w:sz w:val="32"/>
        </w:rPr>
        <w:t>提    示</w:t>
      </w:r>
    </w:p>
    <w:p>
      <w:pPr>
        <w:spacing w:line="560" w:lineRule="exact"/>
        <w:ind w:firstLine="482" w:firstLineChars="200"/>
        <w:rPr>
          <w:rFonts w:hint="eastAsia" w:ascii="楷体" w:hAnsi="楷体" w:eastAsia="楷体" w:cs="楷体"/>
          <w:b/>
          <w:bCs/>
          <w:snapToGrid w:val="0"/>
          <w:sz w:val="24"/>
        </w:rPr>
      </w:pP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1、本项目采用</w:t>
      </w:r>
      <w:r>
        <w:rPr>
          <w:rFonts w:hint="eastAsia" w:ascii="楷体" w:hAnsi="楷体" w:eastAsia="楷体" w:cs="楷体"/>
          <w:b/>
          <w:bCs/>
          <w:snapToGrid w:val="0"/>
          <w:sz w:val="24"/>
          <w:lang w:eastAsia="zh-CN"/>
        </w:rPr>
        <w:t>不见面</w:t>
      </w:r>
      <w:r>
        <w:rPr>
          <w:rFonts w:hint="eastAsia" w:ascii="楷体" w:hAnsi="楷体" w:eastAsia="楷体" w:cs="楷体"/>
          <w:b/>
          <w:bCs/>
          <w:snapToGrid w:val="0"/>
          <w:sz w:val="24"/>
        </w:rPr>
        <w:t>电子化投标的方式投标，供应商须使用数字认证证书（CA锁）对电子投标文件进行签章、加密、递交及开标时解密等相关招投标事宜。开标时供应商须携带数字认证证书（CA锁），如因供应商自身原因未携带数字认证证书（CA锁）造成无法解密投标文件，按无效投标对待。</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2、制作电子投标文件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制作扩展名为“.SXSTF”的电子投标文件。”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lang w:val="en-US" w:eastAsia="zh-CN"/>
        </w:rPr>
        <w:t>3</w:t>
      </w:r>
      <w:r>
        <w:rPr>
          <w:rFonts w:hint="eastAsia" w:ascii="楷体" w:hAnsi="楷体" w:eastAsia="楷体" w:cs="楷体"/>
          <w:b/>
          <w:bCs/>
          <w:snapToGrid w:val="0"/>
          <w:sz w:val="24"/>
        </w:rPr>
        <w:t>、递交电子投标文件</w:t>
      </w:r>
    </w:p>
    <w:p>
      <w:pPr>
        <w:spacing w:line="560" w:lineRule="exact"/>
        <w:ind w:firstLine="482" w:firstLineChars="200"/>
        <w:rPr>
          <w:rFonts w:hint="eastAsia" w:ascii="楷体" w:hAnsi="楷体" w:eastAsia="楷体" w:cs="楷体"/>
          <w:sz w:val="40"/>
        </w:rPr>
      </w:pPr>
      <w:r>
        <w:rPr>
          <w:rFonts w:hint="eastAsia" w:ascii="楷体" w:hAnsi="楷体" w:eastAsia="楷体" w:cs="楷体"/>
          <w:b/>
          <w:bCs/>
          <w:snapToGrid w:val="0"/>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t>4、不见面开标大厅：</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fldChar w:fldCharType="begin"/>
      </w:r>
      <w:r>
        <w:rPr>
          <w:rFonts w:hint="eastAsia" w:ascii="楷体" w:hAnsi="楷体" w:eastAsia="楷体" w:cs="楷体"/>
          <w:b/>
          <w:bCs/>
          <w:snapToGrid w:val="0"/>
          <w:color w:val="auto"/>
          <w:sz w:val="24"/>
          <w:highlight w:val="none"/>
          <w:lang w:val="en-US" w:eastAsia="zh-CN"/>
        </w:rPr>
        <w:instrText xml:space="preserve"> HYPERLINK "http://219.145.206.209/BidOpeningHall/bidopeninghallaction/hall/login" </w:instrText>
      </w:r>
      <w:r>
        <w:rPr>
          <w:rFonts w:hint="eastAsia" w:ascii="楷体" w:hAnsi="楷体" w:eastAsia="楷体" w:cs="楷体"/>
          <w:b/>
          <w:bCs/>
          <w:snapToGrid w:val="0"/>
          <w:color w:val="auto"/>
          <w:sz w:val="24"/>
          <w:highlight w:val="none"/>
          <w:lang w:val="en-US" w:eastAsia="zh-CN"/>
        </w:rPr>
        <w:fldChar w:fldCharType="separate"/>
      </w:r>
      <w:r>
        <w:rPr>
          <w:rStyle w:val="21"/>
          <w:rFonts w:hint="eastAsia" w:ascii="楷体" w:hAnsi="楷体" w:eastAsia="楷体" w:cs="楷体"/>
          <w:b/>
          <w:bCs/>
          <w:snapToGrid w:val="0"/>
          <w:color w:val="auto"/>
          <w:sz w:val="24"/>
          <w:highlight w:val="none"/>
          <w:lang w:val="en-US" w:eastAsia="zh-CN"/>
        </w:rPr>
        <w:t>http://219.145.206.209/BidOpeningHall/bidopeninghallaction/hall/login</w:t>
      </w:r>
      <w:r>
        <w:rPr>
          <w:rFonts w:hint="eastAsia" w:ascii="楷体" w:hAnsi="楷体" w:eastAsia="楷体" w:cs="楷体"/>
          <w:b/>
          <w:bCs/>
          <w:snapToGrid w:val="0"/>
          <w:color w:val="auto"/>
          <w:sz w:val="24"/>
          <w:highlight w:val="none"/>
          <w:lang w:val="en-US" w:eastAsia="zh-CN"/>
        </w:rPr>
        <w:fldChar w:fldCharType="end"/>
      </w:r>
    </w:p>
    <w:p>
      <w:pPr>
        <w:spacing w:line="560" w:lineRule="exact"/>
        <w:ind w:firstLine="482" w:firstLineChars="200"/>
        <w:rPr>
          <w:rFonts w:hint="eastAsia" w:ascii="楷体" w:hAnsi="楷体" w:eastAsia="楷体" w:cs="楷体"/>
          <w:b/>
          <w:bCs/>
          <w:snapToGrid w:val="0"/>
          <w:color w:val="auto"/>
          <w:sz w:val="24"/>
          <w:highlight w:val="none"/>
        </w:rPr>
      </w:pPr>
      <w:r>
        <w:rPr>
          <w:rFonts w:hint="eastAsia" w:ascii="楷体" w:hAnsi="楷体" w:eastAsia="楷体" w:cs="楷体"/>
          <w:b/>
          <w:bCs/>
          <w:snapToGrid w:val="0"/>
          <w:color w:val="auto"/>
          <w:sz w:val="24"/>
          <w:highlight w:val="none"/>
        </w:rPr>
        <w:t>软件下载地址及操作手册：见</w:t>
      </w:r>
      <w:r>
        <w:rPr>
          <w:rFonts w:hint="eastAsia" w:ascii="楷体" w:hAnsi="楷体" w:eastAsia="楷体" w:cs="楷体"/>
          <w:b/>
          <w:bCs/>
          <w:snapToGrid w:val="0"/>
          <w:color w:val="auto"/>
          <w:sz w:val="24"/>
          <w:highlight w:val="none"/>
          <w:lang w:eastAsia="zh-CN"/>
        </w:rPr>
        <w:t>安康</w:t>
      </w:r>
      <w:r>
        <w:rPr>
          <w:rFonts w:hint="eastAsia" w:ascii="楷体" w:hAnsi="楷体" w:eastAsia="楷体" w:cs="楷体"/>
          <w:b/>
          <w:bCs/>
          <w:snapToGrid w:val="0"/>
          <w:color w:val="auto"/>
          <w:sz w:val="24"/>
          <w:highlight w:val="none"/>
        </w:rPr>
        <w:t>市公共资源交易平台〖首页〉服务指南〉下载专区〗中。</w:t>
      </w:r>
    </w:p>
    <w:p>
      <w:pPr>
        <w:pStyle w:val="10"/>
        <w:rPr>
          <w:rFonts w:hint="eastAsia"/>
          <w:color w:val="auto"/>
          <w:highlight w:val="none"/>
          <w:lang w:val="en-US" w:eastAsia="zh-CN"/>
        </w:rPr>
      </w:pPr>
    </w:p>
    <w:p>
      <w:pPr>
        <w:jc w:val="center"/>
        <w:rPr>
          <w:rFonts w:hint="eastAsia" w:ascii="楷体" w:hAnsi="楷体" w:eastAsia="楷体" w:cs="楷体"/>
          <w:b/>
          <w:bCs/>
          <w:sz w:val="40"/>
        </w:rPr>
      </w:pPr>
    </w:p>
    <w:p>
      <w:pPr>
        <w:jc w:val="both"/>
        <w:rPr>
          <w:rFonts w:hint="eastAsia" w:ascii="楷体" w:hAnsi="楷体" w:eastAsia="楷体" w:cs="楷体"/>
          <w:b/>
          <w:bCs/>
          <w:sz w:val="40"/>
        </w:rPr>
      </w:pPr>
    </w:p>
    <w:p>
      <w:pPr>
        <w:jc w:val="center"/>
        <w:rPr>
          <w:rFonts w:hint="eastAsia" w:ascii="楷体" w:hAnsi="楷体" w:eastAsia="楷体" w:cs="楷体"/>
          <w:b/>
          <w:bCs/>
          <w:sz w:val="40"/>
        </w:rPr>
      </w:pPr>
    </w:p>
    <w:p>
      <w:pPr>
        <w:jc w:val="center"/>
        <w:rPr>
          <w:rFonts w:hint="eastAsia" w:ascii="楷体" w:hAnsi="楷体" w:eastAsia="楷体" w:cs="楷体"/>
          <w:sz w:val="40"/>
        </w:rPr>
      </w:pPr>
      <w:r>
        <w:rPr>
          <w:rFonts w:hint="eastAsia" w:ascii="楷体" w:hAnsi="楷体" w:eastAsia="楷体" w:cs="楷体"/>
          <w:b/>
          <w:bCs/>
          <w:sz w:val="40"/>
        </w:rPr>
        <w:t>目   录</w:t>
      </w:r>
    </w:p>
    <w:p>
      <w:pPr>
        <w:pStyle w:val="14"/>
        <w:tabs>
          <w:tab w:val="right" w:leader="dot" w:pos="8296"/>
        </w:tabs>
        <w:rPr>
          <w:kern w:val="2"/>
          <w:sz w:val="21"/>
        </w:rPr>
      </w:pPr>
      <w:r>
        <w:rPr>
          <w:rFonts w:hint="eastAsia" w:ascii="楷体" w:hAnsi="楷体" w:eastAsia="楷体" w:cs="楷体"/>
        </w:rPr>
        <w:fldChar w:fldCharType="begin"/>
      </w:r>
      <w:r>
        <w:rPr>
          <w:rFonts w:hint="eastAsia" w:ascii="楷体" w:hAnsi="楷体" w:eastAsia="楷体" w:cs="楷体"/>
        </w:rPr>
        <w:instrText xml:space="preserve"> TOC \o "1-1" \h \z \u </w:instrText>
      </w:r>
      <w:r>
        <w:rPr>
          <w:rFonts w:hint="eastAsia" w:ascii="楷体" w:hAnsi="楷体" w:eastAsia="楷体" w:cs="楷体"/>
        </w:rPr>
        <w:fldChar w:fldCharType="separate"/>
      </w:r>
    </w:p>
    <w:p>
      <w:pPr>
        <w:pStyle w:val="14"/>
        <w:tabs>
          <w:tab w:val="left" w:pos="940"/>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"_Toc85463477"</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第一章</w:t>
      </w:r>
      <w:r>
        <w:rPr>
          <w:kern w:val="2"/>
          <w:sz w:val="24"/>
        </w:rPr>
        <w:tab/>
      </w:r>
      <w:r>
        <w:rPr>
          <w:rFonts w:hint="eastAsia"/>
          <w:kern w:val="2"/>
          <w:sz w:val="24"/>
          <w:lang w:val="en-US" w:eastAsia="zh-CN"/>
        </w:rPr>
        <w:t xml:space="preserve">  </w:t>
      </w:r>
      <w:r>
        <w:rPr>
          <w:rStyle w:val="21"/>
          <w:rFonts w:hint="eastAsia" w:ascii="楷体" w:hAnsi="楷体" w:eastAsia="楷体" w:cs="楷体"/>
          <w:sz w:val="28"/>
        </w:rPr>
        <w:t>招标公告</w:t>
      </w:r>
      <w:r>
        <w:rPr>
          <w:sz w:val="28"/>
        </w:rPr>
        <w:tab/>
      </w:r>
      <w:r>
        <w:rPr>
          <w:sz w:val="28"/>
        </w:rPr>
        <w:fldChar w:fldCharType="begin"/>
      </w:r>
      <w:r>
        <w:rPr>
          <w:sz w:val="28"/>
        </w:rPr>
        <w:instrText xml:space="preserve"> PAGEREF _Toc85463477 \h </w:instrText>
      </w:r>
      <w:r>
        <w:rPr>
          <w:sz w:val="28"/>
        </w:rPr>
        <w:fldChar w:fldCharType="separate"/>
      </w:r>
      <w:r>
        <w:rPr>
          <w:sz w:val="28"/>
        </w:rPr>
        <w:t>4</w:t>
      </w:r>
      <w:r>
        <w:rPr>
          <w:sz w:val="28"/>
        </w:rPr>
        <w:fldChar w:fldCharType="end"/>
      </w:r>
      <w:r>
        <w:rPr>
          <w:rStyle w:val="21"/>
          <w:sz w:val="28"/>
        </w:rPr>
        <w:fldChar w:fldCharType="end"/>
      </w:r>
    </w:p>
    <w:p>
      <w:pPr>
        <w:pStyle w:val="14"/>
        <w:tabs>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"_Toc85463478"</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第二章</w:t>
      </w:r>
      <w:r>
        <w:rPr>
          <w:rStyle w:val="21"/>
          <w:rFonts w:ascii="楷体" w:hAnsi="楷体" w:eastAsia="楷体" w:cs="楷体"/>
          <w:sz w:val="28"/>
        </w:rPr>
        <w:t xml:space="preserve"> </w:t>
      </w:r>
      <w:r>
        <w:rPr>
          <w:rStyle w:val="21"/>
          <w:rFonts w:hint="eastAsia" w:ascii="楷体" w:hAnsi="楷体" w:eastAsia="楷体" w:cs="楷体"/>
          <w:sz w:val="28"/>
        </w:rPr>
        <w:t xml:space="preserve"> 投标人须知</w:t>
      </w:r>
      <w:r>
        <w:rPr>
          <w:sz w:val="28"/>
        </w:rPr>
        <w:tab/>
      </w:r>
      <w:r>
        <w:rPr>
          <w:rFonts w:hint="eastAsia"/>
          <w:sz w:val="28"/>
          <w:lang w:val="en-US" w:eastAsia="zh-CN"/>
        </w:rPr>
        <w:t>6</w:t>
      </w:r>
      <w:r>
        <w:rPr>
          <w:rStyle w:val="21"/>
          <w:sz w:val="28"/>
        </w:rPr>
        <w:fldChar w:fldCharType="end"/>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"_Toc85463479"</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第三章</w:t>
      </w:r>
      <w:r>
        <w:rPr>
          <w:rStyle w:val="21"/>
          <w:rFonts w:ascii="楷体" w:hAnsi="楷体" w:eastAsia="楷体" w:cs="楷体"/>
          <w:sz w:val="28"/>
        </w:rPr>
        <w:t xml:space="preserve">  </w:t>
      </w:r>
      <w:r>
        <w:rPr>
          <w:rStyle w:val="21"/>
          <w:rFonts w:hint="eastAsia" w:ascii="楷体" w:hAnsi="楷体" w:eastAsia="楷体" w:cs="楷体"/>
          <w:sz w:val="28"/>
        </w:rPr>
        <w:t>商务部分（合同条款及合同格式）</w:t>
      </w:r>
      <w:r>
        <w:rPr>
          <w:sz w:val="28"/>
        </w:rPr>
        <w:tab/>
      </w:r>
      <w:r>
        <w:rPr>
          <w:rFonts w:hint="eastAsia"/>
          <w:sz w:val="28"/>
          <w:lang w:val="en-US" w:eastAsia="zh-CN"/>
        </w:rPr>
        <w:t>1</w:t>
      </w:r>
      <w:r>
        <w:rPr>
          <w:rStyle w:val="21"/>
          <w:sz w:val="28"/>
        </w:rPr>
        <w:fldChar w:fldCharType="end"/>
      </w:r>
      <w:r>
        <w:rPr>
          <w:rStyle w:val="21"/>
          <w:rFonts w:hint="eastAsia"/>
          <w:sz w:val="28"/>
          <w:lang w:val="en-US" w:eastAsia="zh-CN"/>
        </w:rPr>
        <w:t>9</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"_Toc85463481"</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第四章</w:t>
      </w:r>
      <w:r>
        <w:rPr>
          <w:rStyle w:val="21"/>
          <w:rFonts w:ascii="楷体" w:hAnsi="楷体" w:eastAsia="楷体" w:cs="楷体"/>
          <w:sz w:val="28"/>
        </w:rPr>
        <w:t xml:space="preserve">  </w:t>
      </w:r>
      <w:r>
        <w:rPr>
          <w:rStyle w:val="21"/>
          <w:rFonts w:hint="eastAsia" w:ascii="楷体" w:hAnsi="楷体" w:eastAsia="楷体" w:cs="楷体"/>
          <w:sz w:val="28"/>
        </w:rPr>
        <w:t>用户需求书</w:t>
      </w:r>
      <w:r>
        <w:rPr>
          <w:sz w:val="28"/>
        </w:rPr>
        <w:tab/>
      </w:r>
      <w:r>
        <w:rPr>
          <w:rFonts w:hint="eastAsia"/>
          <w:sz w:val="28"/>
          <w:lang w:val="en-US" w:eastAsia="zh-CN"/>
        </w:rPr>
        <w:t>3</w:t>
      </w:r>
      <w:r>
        <w:rPr>
          <w:rStyle w:val="21"/>
          <w:sz w:val="28"/>
        </w:rPr>
        <w:fldChar w:fldCharType="end"/>
      </w:r>
      <w:r>
        <w:rPr>
          <w:rStyle w:val="21"/>
          <w:rFonts w:hint="eastAsia"/>
          <w:sz w:val="28"/>
          <w:lang w:val="en-US" w:eastAsia="zh-CN"/>
        </w:rPr>
        <w:t>9</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"_Toc85463482"</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第五章</w:t>
      </w:r>
      <w:r>
        <w:rPr>
          <w:rStyle w:val="21"/>
          <w:rFonts w:ascii="楷体" w:hAnsi="楷体" w:eastAsia="楷体" w:cs="楷体"/>
          <w:sz w:val="28"/>
        </w:rPr>
        <w:t xml:space="preserve">  </w:t>
      </w:r>
      <w:r>
        <w:rPr>
          <w:rStyle w:val="21"/>
          <w:rFonts w:hint="eastAsia" w:ascii="楷体" w:hAnsi="楷体" w:eastAsia="楷体" w:cs="楷体"/>
          <w:sz w:val="28"/>
        </w:rPr>
        <w:t>投标文件格式</w:t>
      </w:r>
      <w:r>
        <w:rPr>
          <w:sz w:val="28"/>
        </w:rPr>
        <w:tab/>
      </w:r>
      <w:r>
        <w:rPr>
          <w:rFonts w:hint="eastAsia"/>
          <w:sz w:val="28"/>
          <w:lang w:val="en-US" w:eastAsia="zh-CN"/>
        </w:rPr>
        <w:t>4</w:t>
      </w:r>
      <w:r>
        <w:rPr>
          <w:rStyle w:val="21"/>
          <w:sz w:val="28"/>
        </w:rPr>
        <w:fldChar w:fldCharType="end"/>
      </w:r>
      <w:r>
        <w:rPr>
          <w:rStyle w:val="21"/>
          <w:rFonts w:hint="eastAsia"/>
          <w:sz w:val="28"/>
          <w:lang w:val="en-US" w:eastAsia="zh-CN"/>
        </w:rPr>
        <w:t>3</w:t>
      </w:r>
    </w:p>
    <w:p>
      <w:pPr>
        <w:pStyle w:val="14"/>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"_Toc85463483"</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第六章</w:t>
      </w:r>
      <w:r>
        <w:rPr>
          <w:rStyle w:val="21"/>
          <w:rFonts w:ascii="楷体" w:hAnsi="楷体" w:eastAsia="楷体" w:cs="楷体"/>
          <w:sz w:val="28"/>
        </w:rPr>
        <w:t xml:space="preserve">  </w:t>
      </w:r>
      <w:r>
        <w:rPr>
          <w:rStyle w:val="21"/>
          <w:rFonts w:hint="eastAsia" w:ascii="楷体" w:hAnsi="楷体" w:eastAsia="楷体" w:cs="楷体"/>
          <w:sz w:val="28"/>
        </w:rPr>
        <w:t>评标办法</w:t>
      </w:r>
      <w:r>
        <w:rPr>
          <w:sz w:val="28"/>
        </w:rPr>
        <w:tab/>
      </w:r>
      <w:r>
        <w:rPr>
          <w:rFonts w:hint="eastAsia"/>
          <w:sz w:val="28"/>
          <w:lang w:val="en-US" w:eastAsia="zh-CN"/>
        </w:rPr>
        <w:t>5</w:t>
      </w:r>
      <w:r>
        <w:rPr>
          <w:rStyle w:val="21"/>
          <w:sz w:val="28"/>
        </w:rPr>
        <w:fldChar w:fldCharType="end"/>
      </w:r>
      <w:r>
        <w:rPr>
          <w:rStyle w:val="21"/>
          <w:rFonts w:hint="eastAsia"/>
          <w:sz w:val="28"/>
          <w:lang w:val="en-US" w:eastAsia="zh-CN"/>
        </w:rPr>
        <w:t>6</w:t>
      </w:r>
    </w:p>
    <w:p>
      <w:pPr>
        <w:rPr>
          <w:rFonts w:hint="eastAsia" w:ascii="楷体" w:hAnsi="楷体" w:eastAsia="楷体" w:cs="楷体"/>
        </w:rPr>
      </w:pPr>
      <w:r>
        <w:rPr>
          <w:rFonts w:hint="eastAsia" w:ascii="楷体" w:hAnsi="楷体" w:eastAsia="楷体" w:cs="楷体"/>
        </w:rPr>
        <w:fldChar w:fldCharType="end"/>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3"/>
        <w:spacing w:before="0" w:after="0" w:line="360" w:lineRule="auto"/>
        <w:jc w:val="both"/>
        <w:rPr>
          <w:rFonts w:hint="eastAsia" w:ascii="楷体" w:hAnsi="楷体" w:eastAsia="楷体" w:cs="楷体"/>
          <w:sz w:val="36"/>
        </w:rPr>
      </w:pPr>
      <w:bookmarkStart w:id="0" w:name="_Toc85463477"/>
    </w:p>
    <w:p>
      <w:pPr>
        <w:pStyle w:val="3"/>
        <w:spacing w:before="0" w:after="0" w:line="360" w:lineRule="auto"/>
        <w:jc w:val="both"/>
        <w:rPr>
          <w:rFonts w:hint="eastAsia" w:ascii="楷体" w:hAnsi="楷体" w:eastAsia="楷体" w:cs="楷体"/>
          <w:sz w:val="36"/>
        </w:rPr>
      </w:pPr>
    </w:p>
    <w:p>
      <w:pPr>
        <w:pStyle w:val="3"/>
        <w:spacing w:before="0" w:after="0" w:line="360" w:lineRule="auto"/>
        <w:ind w:firstLine="723" w:firstLineChars="200"/>
        <w:jc w:val="center"/>
        <w:rPr>
          <w:rFonts w:hint="eastAsia" w:ascii="楷体" w:hAnsi="楷体" w:eastAsia="楷体" w:cs="楷体"/>
          <w:b w:val="0"/>
          <w:bCs w:val="0"/>
          <w:sz w:val="36"/>
        </w:rPr>
      </w:pPr>
      <w:r>
        <w:rPr>
          <w:rFonts w:hint="eastAsia" w:ascii="楷体" w:hAnsi="楷体" w:eastAsia="楷体" w:cs="楷体"/>
          <w:sz w:val="36"/>
        </w:rPr>
        <w:br w:type="page"/>
      </w:r>
      <w:r>
        <w:rPr>
          <w:rFonts w:hint="eastAsia" w:ascii="楷体" w:hAnsi="楷体" w:eastAsia="楷体" w:cs="楷体"/>
          <w:sz w:val="36"/>
        </w:rPr>
        <w:t>第一章</w:t>
      </w:r>
      <w:r>
        <w:rPr>
          <w:rFonts w:hint="eastAsia" w:ascii="楷体" w:hAnsi="楷体" w:eastAsia="楷体" w:cs="楷体"/>
          <w:sz w:val="36"/>
        </w:rPr>
        <w:tab/>
      </w:r>
      <w:r>
        <w:rPr>
          <w:rFonts w:hint="eastAsia" w:ascii="楷体" w:hAnsi="楷体" w:eastAsia="楷体" w:cs="楷体"/>
          <w:sz w:val="36"/>
        </w:rPr>
        <w:t>招标公告</w:t>
      </w:r>
      <w:bookmarkEnd w:id="0"/>
      <w:bookmarkStart w:id="1" w:name="_Toc62194294"/>
    </w:p>
    <w:p>
      <w:pPr>
        <w:pStyle w:val="15"/>
        <w:spacing w:before="0" w:beforeAutospacing="0" w:after="0" w:afterAutospacing="0" w:line="360" w:lineRule="auto"/>
        <w:jc w:val="center"/>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lang w:val="en-US" w:eastAsia="zh-CN"/>
        </w:rPr>
        <w:t>安康市中心医院全自动核型分析工作站等医疗设备采购项目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bCs/>
          <w:i w:val="0"/>
          <w:iCs w:val="0"/>
          <w:caps w:val="0"/>
          <w:color w:val="auto"/>
          <w:spacing w:val="0"/>
          <w:sz w:val="24"/>
          <w:szCs w:val="24"/>
          <w:highlight w:val="none"/>
        </w:rPr>
        <w:t>项目概况</w:t>
      </w:r>
    </w:p>
    <w:p>
      <w:pPr>
        <w:pStyle w:val="15"/>
        <w:spacing w:before="0" w:beforeAutospacing="0" w:after="0" w:afterAutospacing="0" w:line="360" w:lineRule="auto"/>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lang w:val="en-US" w:eastAsia="zh-CN"/>
        </w:rPr>
        <w:t>全自动核型分析工作站等医疗设备采购项目招标项目的潜在投标人应在西安市雁塔区南二环西段154号易和蓝钻23楼西2304（高新路与二环十字东南角大香港酒楼东侧100米红色写字楼，楼西侧电梯直达）获取招标文件，并于 2023年02月07日 09时00分 （北京时间）前递交投标文件。</w:t>
      </w:r>
      <w:r>
        <w:rPr>
          <w:rStyle w:val="20"/>
          <w:rFonts w:hint="eastAsia" w:ascii="楷体" w:hAnsi="楷体" w:eastAsia="楷体" w:cs="楷体"/>
          <w:b w:val="0"/>
          <w:bCs w:val="0"/>
          <w:i w:val="0"/>
          <w:iCs w:val="0"/>
          <w:color w:val="auto"/>
          <w:sz w:val="24"/>
          <w:szCs w:val="24"/>
        </w:rPr>
        <w:t xml:space="preserve"> </w:t>
      </w:r>
    </w:p>
    <w:p>
      <w:pPr>
        <w:pStyle w:val="15"/>
        <w:spacing w:before="0" w:beforeAutospacing="0" w:after="0" w:afterAutospacing="0" w:line="360" w:lineRule="auto"/>
        <w:ind w:firstLine="482" w:firstLineChars="200"/>
        <w:jc w:val="both"/>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项目编号：</w:t>
      </w:r>
      <w:r>
        <w:rPr>
          <w:rFonts w:hint="eastAsia" w:ascii="楷体" w:hAnsi="楷体" w:eastAsia="楷体" w:cs="楷体"/>
          <w:i w:val="0"/>
          <w:iCs w:val="0"/>
          <w:caps w:val="0"/>
          <w:color w:val="auto"/>
          <w:spacing w:val="0"/>
          <w:sz w:val="24"/>
          <w:szCs w:val="24"/>
          <w:highlight w:val="none"/>
          <w:lang w:val="en-US" w:eastAsia="zh-CN"/>
        </w:rPr>
        <w:t>COCICC-ZAKYA-221133</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项目名称：全自动核型分析工作站等医疗设备采购项目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预算金额：2,4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合同包1(射频温控热凝器):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50"/>
        <w:gridCol w:w="1860"/>
        <w:gridCol w:w="1410"/>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物理治疗、康复及体育治疗仪器设备</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400000</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default" w:ascii="楷体" w:hAnsi="楷体" w:eastAsia="楷体" w:cs="楷体"/>
                <w:color w:val="auto"/>
                <w:sz w:val="22"/>
                <w:szCs w:val="22"/>
                <w:highlight w:val="none"/>
                <w:lang w:val="en-US"/>
              </w:rPr>
            </w:pPr>
            <w:r>
              <w:rPr>
                <w:rFonts w:hint="eastAsia" w:ascii="楷体" w:hAnsi="楷体" w:eastAsia="楷体" w:cs="楷体"/>
                <w:color w:val="auto"/>
                <w:sz w:val="22"/>
                <w:szCs w:val="22"/>
                <w:highlight w:val="none"/>
                <w:lang w:val="en-US" w:eastAsia="zh-CN"/>
              </w:rPr>
              <w:t>1台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详见采购文件</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楷体" w:hAnsi="楷体" w:eastAsia="楷体" w:cs="楷体"/>
                <w:color w:val="auto"/>
                <w:sz w:val="22"/>
                <w:szCs w:val="22"/>
                <w:highlight w:val="none"/>
              </w:rPr>
            </w:pPr>
            <w:r>
              <w:rPr>
                <w:rFonts w:hint="eastAsia" w:ascii="楷体" w:hAnsi="楷体" w:eastAsia="楷体" w:cs="楷体"/>
                <w:i w:val="0"/>
                <w:iCs w:val="0"/>
                <w:caps w:val="0"/>
                <w:color w:val="auto"/>
                <w:spacing w:val="0"/>
                <w:sz w:val="22"/>
                <w:szCs w:val="22"/>
                <w:highlight w:val="none"/>
              </w:rPr>
              <w:t>4</w:t>
            </w:r>
            <w:r>
              <w:rPr>
                <w:rFonts w:hint="eastAsia" w:ascii="楷体" w:hAnsi="楷体" w:eastAsia="楷体" w:cs="楷体"/>
                <w:i w:val="0"/>
                <w:iCs w:val="0"/>
                <w:caps w:val="0"/>
                <w:color w:val="auto"/>
                <w:spacing w:val="0"/>
                <w:sz w:val="22"/>
                <w:szCs w:val="22"/>
                <w:highlight w:val="none"/>
                <w:lang w:val="en-US" w:eastAsia="zh-CN"/>
              </w:rPr>
              <w:t>00</w:t>
            </w:r>
            <w:r>
              <w:rPr>
                <w:rFonts w:hint="eastAsia" w:ascii="楷体" w:hAnsi="楷体" w:eastAsia="楷体" w:cs="楷体"/>
                <w:i w:val="0"/>
                <w:iCs w:val="0"/>
                <w:caps w:val="0"/>
                <w:color w:val="auto"/>
                <w:spacing w:val="0"/>
                <w:sz w:val="22"/>
                <w:szCs w:val="22"/>
                <w:highlight w:val="none"/>
              </w:rPr>
              <w:t>,000.00</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楷体" w:hAnsi="楷体" w:eastAsia="楷体" w:cs="楷体"/>
                <w:color w:val="auto"/>
                <w:kern w:val="0"/>
                <w:sz w:val="22"/>
                <w:szCs w:val="22"/>
                <w:highlight w:val="none"/>
                <w:lang w:val="en-US" w:eastAsia="zh-CN" w:bidi="ar"/>
              </w:rPr>
            </w:pPr>
            <w:r>
              <w:rPr>
                <w:rFonts w:hint="eastAsia" w:ascii="楷体" w:hAnsi="楷体" w:eastAsia="楷体" w:cs="楷体"/>
                <w:i w:val="0"/>
                <w:iCs w:val="0"/>
                <w:caps w:val="0"/>
                <w:color w:val="auto"/>
                <w:spacing w:val="0"/>
                <w:sz w:val="22"/>
                <w:szCs w:val="22"/>
                <w:highlight w:val="none"/>
              </w:rPr>
              <w:t>4</w:t>
            </w:r>
            <w:r>
              <w:rPr>
                <w:rFonts w:hint="eastAsia" w:ascii="楷体" w:hAnsi="楷体" w:eastAsia="楷体" w:cs="楷体"/>
                <w:i w:val="0"/>
                <w:iCs w:val="0"/>
                <w:caps w:val="0"/>
                <w:color w:val="auto"/>
                <w:spacing w:val="0"/>
                <w:sz w:val="22"/>
                <w:szCs w:val="22"/>
                <w:highlight w:val="none"/>
                <w:lang w:val="en-US" w:eastAsia="zh-CN"/>
              </w:rPr>
              <w:t>00</w:t>
            </w:r>
            <w:r>
              <w:rPr>
                <w:rFonts w:hint="eastAsia" w:ascii="楷体" w:hAnsi="楷体" w:eastAsia="楷体" w:cs="楷体"/>
                <w:i w:val="0"/>
                <w:iCs w:val="0"/>
                <w:caps w:val="0"/>
                <w:color w:val="auto"/>
                <w:spacing w:val="0"/>
                <w:sz w:val="22"/>
                <w:szCs w:val="22"/>
                <w:highlight w:val="none"/>
              </w:rPr>
              <w:t>,000.00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3</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合同包预算金额：2,</w:t>
      </w:r>
      <w:r>
        <w:rPr>
          <w:rFonts w:hint="eastAsia" w:ascii="楷体" w:hAnsi="楷体" w:eastAsia="楷体" w:cs="楷体"/>
          <w:i w:val="0"/>
          <w:iCs w:val="0"/>
          <w:caps w:val="0"/>
          <w:color w:val="auto"/>
          <w:spacing w:val="0"/>
          <w:sz w:val="24"/>
          <w:szCs w:val="24"/>
          <w:highlight w:val="none"/>
          <w:lang w:val="en-US" w:eastAsia="zh-CN"/>
        </w:rPr>
        <w:t>000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合同包最高限价：2,</w:t>
      </w:r>
      <w:r>
        <w:rPr>
          <w:rFonts w:hint="eastAsia" w:ascii="楷体" w:hAnsi="楷体" w:eastAsia="楷体" w:cs="楷体"/>
          <w:i w:val="0"/>
          <w:iCs w:val="0"/>
          <w:caps w:val="0"/>
          <w:color w:val="auto"/>
          <w:spacing w:val="0"/>
          <w:sz w:val="24"/>
          <w:szCs w:val="24"/>
          <w:highlight w:val="none"/>
          <w:lang w:val="en-US" w:eastAsia="zh-CN"/>
        </w:rPr>
        <w:t>000</w:t>
      </w:r>
      <w:r>
        <w:rPr>
          <w:rFonts w:hint="eastAsia" w:ascii="楷体" w:hAnsi="楷体" w:eastAsia="楷体" w:cs="楷体"/>
          <w:i w:val="0"/>
          <w:iCs w:val="0"/>
          <w:caps w:val="0"/>
          <w:color w:val="auto"/>
          <w:spacing w:val="0"/>
          <w:sz w:val="24"/>
          <w:szCs w:val="24"/>
          <w:highlight w:val="none"/>
        </w:rPr>
        <w:t>,000.00元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80"/>
        <w:gridCol w:w="1515"/>
        <w:gridCol w:w="1575"/>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2-1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临床检验设备</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1台</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详见</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采购文件</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2,000,000.00</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3</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spacing w:before="0" w:beforeAutospacing="0" w:after="0" w:afterAutospacing="0" w:line="360" w:lineRule="auto"/>
        <w:ind w:firstLine="482" w:firstLineChars="200"/>
        <w:jc w:val="both"/>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 xml:space="preserve">二、投标人的资格要求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合同包1(射频温控热凝器)落实政府采购政策需满足的资格要求如下: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 （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11）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(全自动核型分析工作站)落实政府采购政策需满足的资格要求如下:</w:t>
      </w: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Style w:val="20"/>
          <w:rFonts w:hint="eastAsia" w:ascii="楷体" w:hAnsi="楷体" w:eastAsia="楷体" w:cs="楷体"/>
          <w:b w:val="0"/>
          <w:bCs w:val="0"/>
          <w:i w:val="0"/>
          <w:iCs w:val="0"/>
          <w:color w:val="auto"/>
          <w:sz w:val="24"/>
          <w:szCs w:val="24"/>
          <w:highlight w:val="none"/>
        </w:rPr>
      </w:pPr>
      <w:r>
        <w:rPr>
          <w:rStyle w:val="20"/>
          <w:rFonts w:hint="eastAsia" w:ascii="楷体" w:hAnsi="楷体" w:eastAsia="楷体" w:cs="楷体"/>
          <w:b w:val="0"/>
          <w:bCs w:val="0"/>
          <w:i w:val="0"/>
          <w:iCs w:val="0"/>
          <w:color w:val="auto"/>
          <w:sz w:val="24"/>
          <w:szCs w:val="24"/>
          <w:highlight w:val="none"/>
        </w:rPr>
        <w:t>《政府采购促进中小企业发展管理办法》（财库〔2020〕46号）；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 （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11）其他需要落实的政府采购政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楷体" w:hAnsi="楷体" w:eastAsia="楷体" w:cs="楷体"/>
          <w:color w:val="auto"/>
          <w:sz w:val="24"/>
          <w:szCs w:val="24"/>
          <w:highlight w:val="none"/>
        </w:rPr>
      </w:pPr>
      <w:r>
        <w:rPr>
          <w:rStyle w:val="20"/>
          <w:rFonts w:hint="eastAsia" w:ascii="楷体" w:hAnsi="楷体" w:eastAsia="楷体" w:cs="楷体"/>
          <w:b w:val="0"/>
          <w:bCs w:val="0"/>
          <w:i w:val="0"/>
          <w:iCs w:val="0"/>
          <w:color w:val="auto"/>
          <w:sz w:val="24"/>
          <w:szCs w:val="24"/>
          <w:highlight w:val="none"/>
        </w:rPr>
        <w:t>3、</w:t>
      </w:r>
      <w:r>
        <w:rPr>
          <w:rFonts w:hint="eastAsia" w:ascii="楷体" w:hAnsi="楷体" w:eastAsia="楷体" w:cs="楷体"/>
          <w:i w:val="0"/>
          <w:iCs w:val="0"/>
          <w:caps w:val="0"/>
          <w:color w:val="auto"/>
          <w:spacing w:val="0"/>
          <w:sz w:val="24"/>
          <w:szCs w:val="24"/>
          <w:highlight w:val="none"/>
        </w:rPr>
        <w:t>本项目的特定资格要求：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合同包1(射频温控热凝器)特定资格要求如下: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2021年完整的财务审计报告）；（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(全自动核型分析工作站)特定资格要求如下:</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2021年完整的财务审计报告）；（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时间： 2023年01月03日 至 2023年01月09日 ，每天上午 09:00:00 至 12:00:00 ，下午 14:00:00 至 17:00:00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途径：西安市雁塔区南二环西段154号易和蓝钻23楼西2304（高新路与二环十字东南角大香港酒楼东侧100米红色写字楼，楼西侧电梯直达）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售价：</w:t>
      </w:r>
      <w:r>
        <w:rPr>
          <w:rFonts w:hint="eastAsia" w:ascii="楷体" w:hAnsi="楷体" w:eastAsia="楷体" w:cs="楷体"/>
          <w:i w:val="0"/>
          <w:iCs w:val="0"/>
          <w:caps w:val="0"/>
          <w:color w:val="auto"/>
          <w:spacing w:val="0"/>
          <w:sz w:val="24"/>
          <w:szCs w:val="24"/>
          <w:highlight w:val="none"/>
          <w:lang w:val="en-US" w:eastAsia="zh-CN"/>
        </w:rPr>
        <w:t>300</w:t>
      </w:r>
      <w:r>
        <w:rPr>
          <w:rFonts w:hint="eastAsia" w:ascii="楷体" w:hAnsi="楷体" w:eastAsia="楷体" w:cs="楷体"/>
          <w:i w:val="0"/>
          <w:iCs w:val="0"/>
          <w:caps w:val="0"/>
          <w:color w:val="auto"/>
          <w:spacing w:val="0"/>
          <w:sz w:val="24"/>
          <w:szCs w:val="24"/>
          <w:highlight w:val="no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时间： 2023年02月07日 09时00分00秒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提交投标文件地点：安康市公共资源交易中心407开标室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开标地点： 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注：1）使用捆绑省交易平台的CA锁登录电子交易平台，通过政府采购系统企业端进入，点击我要投标，完善相关投标信息； 2）线下报名缴费：报名成功后持报名回执、介绍信（或授权书）及标书款于中海建国际建设咨询集团有限责任公司西安分公司获取招标文件；3）未完成网上投标成功的或未经采购代理公司缴费确认或未在网站上下载招标文件的，无法完成后续流程。4）本项目采用“不见面开标”方式。不见面开标大厅登录方式为：全国公共资源交易平台（陕西省•安康市）→不见面开标系统。相关操作流程详见全国公共资源交易平台（安康市）网站〖首页•〉服务指南•〉下载专区〗中的《西安公共资源交易不见面开标大厅供应商操作手册》。因供应商自身设施故障或自身原因导致无法完成签到或解密的，由供应商自行承担后果。文件技术支持：4009280095、4009980000。 5）请各投标人购买招标文件后，按照陕西省财政厅《关于政府采供应商注册登记有关事项的通知》要求，通过陕西省政府采购网注册登记加入陕西省政府采购供应商库。售后不退,谢绝邮购。6）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w:t>
      </w:r>
    </w:p>
    <w:p>
      <w:pPr>
        <w:pStyle w:val="15"/>
        <w:spacing w:before="0" w:beforeAutospacing="0" w:after="0" w:afterAutospacing="0" w:line="360" w:lineRule="auto"/>
        <w:ind w:firstLine="482" w:firstLineChars="200"/>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bCs/>
          <w:i w:val="0"/>
          <w:iCs w:val="0"/>
          <w:color w:val="auto"/>
          <w:sz w:val="24"/>
          <w:szCs w:val="24"/>
        </w:rPr>
        <w:t>七、</w:t>
      </w:r>
      <w:r>
        <w:rPr>
          <w:rStyle w:val="20"/>
          <w:rFonts w:hint="eastAsia" w:ascii="楷体" w:hAnsi="楷体" w:eastAsia="楷体" w:cs="楷体"/>
          <w:b/>
          <w:bCs/>
          <w:i w:val="0"/>
          <w:iCs w:val="0"/>
          <w:caps w:val="0"/>
          <w:color w:val="auto"/>
          <w:spacing w:val="0"/>
          <w:sz w:val="24"/>
          <w:szCs w:val="24"/>
          <w:highlight w:val="none"/>
        </w:rPr>
        <w:t>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w:t>
      </w:r>
      <w:r>
        <w:rPr>
          <w:rStyle w:val="20"/>
          <w:rFonts w:hint="eastAsia" w:ascii="楷体" w:hAnsi="楷体" w:eastAsia="楷体" w:cs="楷体"/>
          <w:b w:val="0"/>
          <w:bCs w:val="0"/>
          <w:i w:val="0"/>
          <w:iCs w:val="0"/>
          <w:color w:val="auto"/>
          <w:sz w:val="24"/>
          <w:szCs w:val="24"/>
        </w:rPr>
        <w:t>安康市中心医院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w:t>
      </w:r>
      <w:r>
        <w:rPr>
          <w:rStyle w:val="20"/>
          <w:rFonts w:hint="eastAsia" w:ascii="楷体" w:hAnsi="楷体" w:eastAsia="楷体" w:cs="楷体"/>
          <w:b w:val="0"/>
          <w:bCs w:val="0"/>
          <w:i w:val="0"/>
          <w:iCs w:val="0"/>
          <w:color w:val="auto"/>
          <w:sz w:val="24"/>
          <w:szCs w:val="24"/>
        </w:rPr>
        <w:t>金州南路185号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w:t>
      </w:r>
      <w:r>
        <w:rPr>
          <w:rStyle w:val="20"/>
          <w:rFonts w:hint="eastAsia" w:ascii="楷体" w:hAnsi="楷体" w:eastAsia="楷体" w:cs="楷体"/>
          <w:b w:val="0"/>
          <w:bCs w:val="0"/>
          <w:i w:val="0"/>
          <w:iCs w:val="0"/>
          <w:color w:val="auto"/>
          <w:sz w:val="24"/>
          <w:szCs w:val="24"/>
        </w:rPr>
        <w:t>0915-3284303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名称：中海建国际建设咨询集团有限责任公司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地址：西安市雁塔区南二环西段154号易和蓝钻23楼西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联系方式：029-88852536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项目联系人：</w:t>
      </w:r>
      <w:r>
        <w:rPr>
          <w:rStyle w:val="20"/>
          <w:rFonts w:hint="eastAsia" w:ascii="楷体" w:hAnsi="楷体" w:eastAsia="楷体" w:cs="楷体"/>
          <w:b w:val="0"/>
          <w:bCs w:val="0"/>
          <w:i w:val="0"/>
          <w:iCs w:val="0"/>
          <w:color w:val="auto"/>
          <w:sz w:val="24"/>
          <w:szCs w:val="24"/>
          <w:lang w:eastAsia="zh-CN"/>
        </w:rPr>
        <w:t>董文剑、</w:t>
      </w:r>
      <w:r>
        <w:rPr>
          <w:rStyle w:val="20"/>
          <w:rFonts w:hint="eastAsia" w:ascii="楷体" w:hAnsi="楷体" w:eastAsia="楷体" w:cs="楷体"/>
          <w:b w:val="0"/>
          <w:bCs w:val="0"/>
          <w:i w:val="0"/>
          <w:iCs w:val="0"/>
          <w:color w:val="auto"/>
          <w:sz w:val="24"/>
          <w:szCs w:val="24"/>
          <w:lang w:val="en-US" w:eastAsia="zh-CN"/>
        </w:rPr>
        <w:t>邓敏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电话：</w:t>
      </w:r>
      <w:r>
        <w:rPr>
          <w:rStyle w:val="20"/>
          <w:rFonts w:hint="eastAsia" w:ascii="楷体" w:hAnsi="楷体" w:eastAsia="楷体" w:cs="楷体"/>
          <w:b w:val="0"/>
          <w:bCs w:val="0"/>
          <w:i w:val="0"/>
          <w:iCs w:val="0"/>
          <w:color w:val="auto"/>
          <w:sz w:val="24"/>
          <w:szCs w:val="24"/>
        </w:rPr>
        <w:t>029-88852536-</w:t>
      </w:r>
      <w:r>
        <w:rPr>
          <w:rStyle w:val="20"/>
          <w:rFonts w:hint="eastAsia" w:ascii="楷体" w:hAnsi="楷体" w:eastAsia="楷体" w:cs="楷体"/>
          <w:b w:val="0"/>
          <w:bCs w:val="0"/>
          <w:i w:val="0"/>
          <w:iCs w:val="0"/>
          <w:color w:val="auto"/>
          <w:sz w:val="24"/>
          <w:szCs w:val="24"/>
          <w:lang w:val="en-US" w:eastAsia="zh-CN"/>
        </w:rPr>
        <w:t>6009</w:t>
      </w:r>
    </w:p>
    <w:p>
      <w:pPr>
        <w:pStyle w:val="15"/>
        <w:spacing w:before="0" w:beforeAutospacing="0" w:after="0" w:afterAutospacing="0" w:line="360" w:lineRule="auto"/>
        <w:jc w:val="right"/>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rPr>
        <w:t>中海建国际建设咨询集团有限责任公司</w:t>
      </w:r>
    </w:p>
    <w:p>
      <w:pPr>
        <w:pStyle w:val="15"/>
        <w:spacing w:before="0" w:beforeAutospacing="0" w:after="0" w:afterAutospacing="0" w:line="360" w:lineRule="auto"/>
        <w:ind w:firstLine="5520" w:firstLineChars="2300"/>
        <w:jc w:val="both"/>
        <w:rPr>
          <w:color w:val="auto"/>
          <w:highlight w:val="none"/>
          <w:u w:val="none"/>
        </w:rPr>
      </w:pPr>
      <w:r>
        <w:rPr>
          <w:rStyle w:val="20"/>
          <w:rFonts w:hint="eastAsia" w:ascii="楷体" w:hAnsi="楷体" w:eastAsia="楷体" w:cs="楷体"/>
          <w:b w:val="0"/>
          <w:bCs w:val="0"/>
          <w:i w:val="0"/>
          <w:iCs w:val="0"/>
          <w:color w:val="auto"/>
          <w:sz w:val="24"/>
          <w:szCs w:val="24"/>
          <w:highlight w:val="none"/>
          <w:u w:val="none"/>
          <w:lang w:val="en-US" w:eastAsia="zh-CN"/>
        </w:rPr>
        <w:t xml:space="preserve"> 2022</w:t>
      </w:r>
      <w:r>
        <w:rPr>
          <w:rFonts w:hint="eastAsia" w:ascii="楷体" w:hAnsi="楷体" w:eastAsia="楷体" w:cs="楷体"/>
          <w:i w:val="0"/>
          <w:iCs w:val="0"/>
          <w:caps w:val="0"/>
          <w:color w:val="auto"/>
          <w:spacing w:val="0"/>
          <w:sz w:val="24"/>
          <w:szCs w:val="24"/>
          <w:highlight w:val="none"/>
        </w:rPr>
        <w:t>年</w:t>
      </w:r>
      <w:r>
        <w:rPr>
          <w:rFonts w:hint="eastAsia" w:ascii="楷体" w:hAnsi="楷体" w:eastAsia="楷体" w:cs="楷体"/>
          <w:i w:val="0"/>
          <w:iCs w:val="0"/>
          <w:caps w:val="0"/>
          <w:color w:val="auto"/>
          <w:spacing w:val="0"/>
          <w:sz w:val="24"/>
          <w:szCs w:val="24"/>
          <w:highlight w:val="none"/>
          <w:u w:val="single"/>
          <w:lang w:val="en-US" w:eastAsia="zh-CN"/>
        </w:rPr>
        <w:t>12</w:t>
      </w:r>
      <w:r>
        <w:rPr>
          <w:rFonts w:hint="eastAsia" w:ascii="楷体" w:hAnsi="楷体" w:eastAsia="楷体" w:cs="楷体"/>
          <w:i w:val="0"/>
          <w:iCs w:val="0"/>
          <w:caps w:val="0"/>
          <w:color w:val="auto"/>
          <w:spacing w:val="0"/>
          <w:sz w:val="24"/>
          <w:szCs w:val="24"/>
          <w:highlight w:val="none"/>
        </w:rPr>
        <w:t>月</w:t>
      </w:r>
      <w:r>
        <w:rPr>
          <w:rFonts w:hint="eastAsia" w:ascii="楷体" w:hAnsi="楷体" w:eastAsia="楷体" w:cs="楷体"/>
          <w:i w:val="0"/>
          <w:iCs w:val="0"/>
          <w:caps w:val="0"/>
          <w:color w:val="auto"/>
          <w:spacing w:val="0"/>
          <w:sz w:val="24"/>
          <w:szCs w:val="24"/>
          <w:highlight w:val="none"/>
          <w:u w:val="single"/>
          <w:lang w:val="en-US" w:eastAsia="zh-CN"/>
        </w:rPr>
        <w:t>30</w:t>
      </w:r>
      <w:r>
        <w:rPr>
          <w:rFonts w:hint="eastAsia" w:ascii="楷体" w:hAnsi="楷体" w:eastAsia="楷体" w:cs="楷体"/>
          <w:i w:val="0"/>
          <w:iCs w:val="0"/>
          <w:caps w:val="0"/>
          <w:color w:val="auto"/>
          <w:spacing w:val="0"/>
          <w:sz w:val="24"/>
          <w:szCs w:val="24"/>
          <w:highlight w:val="none"/>
        </w:rPr>
        <w:t>日 </w:t>
      </w:r>
    </w:p>
    <w:p>
      <w:pPr>
        <w:rPr>
          <w:rFonts w:hint="eastAsia" w:ascii="楷体" w:hAnsi="楷体" w:eastAsia="楷体" w:cs="楷体"/>
          <w:sz w:val="36"/>
        </w:rPr>
      </w:pPr>
      <w:bookmarkStart w:id="2" w:name="_Toc85463478"/>
      <w:r>
        <w:rPr>
          <w:rFonts w:hint="eastAsia" w:ascii="楷体" w:hAnsi="楷体" w:eastAsia="楷体" w:cs="楷体"/>
          <w:sz w:val="36"/>
        </w:rPr>
        <w:br w:type="page"/>
      </w:r>
    </w:p>
    <w:p>
      <w:pPr>
        <w:pStyle w:val="3"/>
        <w:spacing w:before="0" w:after="0" w:line="360" w:lineRule="auto"/>
        <w:jc w:val="center"/>
        <w:rPr>
          <w:rFonts w:hint="eastAsia" w:ascii="楷体" w:hAnsi="楷体" w:eastAsia="楷体" w:cs="楷体"/>
          <w:sz w:val="36"/>
        </w:rPr>
      </w:pPr>
      <w:r>
        <w:rPr>
          <w:rFonts w:hint="eastAsia" w:ascii="楷体" w:hAnsi="楷体" w:eastAsia="楷体" w:cs="楷体"/>
          <w:sz w:val="36"/>
        </w:rPr>
        <w:t>第二章 投标人须知</w:t>
      </w:r>
      <w:bookmarkEnd w:id="2"/>
    </w:p>
    <w:p>
      <w:pPr>
        <w:spacing w:line="360" w:lineRule="auto"/>
        <w:rPr>
          <w:rFonts w:hint="eastAsia" w:ascii="楷体" w:hAnsi="楷体" w:eastAsia="楷体" w:cs="楷体"/>
          <w:b/>
          <w:sz w:val="24"/>
        </w:rPr>
      </w:pPr>
      <w:r>
        <w:rPr>
          <w:rFonts w:hint="eastAsia" w:ascii="楷体" w:hAnsi="楷体" w:eastAsia="楷体" w:cs="楷体"/>
          <w:b/>
          <w:sz w:val="24"/>
        </w:rPr>
        <w:t>一、投标人须知前附表</w:t>
      </w:r>
      <w:bookmarkEnd w:id="1"/>
    </w:p>
    <w:p>
      <w:pPr>
        <w:rPr>
          <w:rFonts w:hint="eastAsia" w:ascii="楷体" w:hAnsi="楷体" w:eastAsia="楷体" w:cs="楷体"/>
          <w:sz w:val="24"/>
        </w:rPr>
      </w:pPr>
      <w:r>
        <w:rPr>
          <w:rFonts w:hint="eastAsia" w:ascii="楷体" w:hAnsi="楷体" w:eastAsia="楷体" w:cs="楷体"/>
          <w:sz w:val="24"/>
        </w:rPr>
        <w:t>本表是对投标人须知的具体补充和修改，如有矛盾，应以本表为准。</w:t>
      </w:r>
    </w:p>
    <w:tbl>
      <w:tblPr>
        <w:tblStyle w:val="17"/>
        <w:tblW w:w="83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序号</w:t>
            </w:r>
          </w:p>
        </w:tc>
        <w:tc>
          <w:tcPr>
            <w:tcW w:w="7483"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1</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采购单位：安康市中心医院</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地址：金州南路185号</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联系方式：0915-328</w:t>
            </w:r>
            <w:r>
              <w:rPr>
                <w:rFonts w:hint="eastAsia" w:ascii="楷体" w:hAnsi="楷体" w:eastAsia="楷体" w:cs="楷体"/>
                <w:color w:val="auto"/>
                <w:sz w:val="24"/>
                <w:lang w:val="en-US" w:eastAsia="zh-CN"/>
              </w:rPr>
              <w:t>4099</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丁</w:t>
            </w:r>
            <w:r>
              <w:rPr>
                <w:rFonts w:hint="eastAsia" w:ascii="楷体" w:hAnsi="楷体" w:eastAsia="楷体" w:cs="楷体"/>
                <w:color w:val="auto"/>
                <w:sz w:val="24"/>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采购代理机构：中海建国际建设咨询集团有限责任公司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地址：西安市雁塔区二环南路西段154号易和蓝钻23楼西</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eastAsia="zh-CN"/>
              </w:rPr>
            </w:pPr>
            <w:r>
              <w:rPr>
                <w:rFonts w:hint="eastAsia" w:ascii="楷体" w:hAnsi="楷体" w:eastAsia="楷体" w:cs="楷体"/>
                <w:color w:val="auto"/>
                <w:sz w:val="24"/>
              </w:rPr>
              <w:t>联系方式：029-88852536-60</w:t>
            </w:r>
            <w:r>
              <w:rPr>
                <w:rFonts w:hint="eastAsia" w:ascii="楷体" w:hAnsi="楷体" w:eastAsia="楷体" w:cs="楷体"/>
                <w:color w:val="auto"/>
                <w:sz w:val="24"/>
                <w:lang w:val="en-US" w:eastAsia="zh-CN"/>
              </w:rPr>
              <w:t>08</w:t>
            </w:r>
          </w:p>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董文剑、康艳容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val="0"/>
                <w:color w:val="auto"/>
                <w:sz w:val="24"/>
                <w:szCs w:val="24"/>
              </w:rPr>
              <w:t>项目名称：全自动核型分析工作站等医疗设备采购项目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lang w:val="en-US" w:eastAsia="zh-CN"/>
              </w:rPr>
              <w:t>本标段</w:t>
            </w:r>
            <w:r>
              <w:rPr>
                <w:rFonts w:hint="eastAsia" w:ascii="楷体" w:hAnsi="楷体" w:eastAsia="楷体" w:cs="楷体"/>
                <w:color w:val="000000"/>
                <w:sz w:val="24"/>
                <w:highlight w:val="none"/>
              </w:rPr>
              <w:t>项目预</w:t>
            </w:r>
            <w:r>
              <w:rPr>
                <w:rFonts w:hint="eastAsia" w:ascii="楷体" w:hAnsi="楷体" w:eastAsia="楷体" w:cs="楷体"/>
                <w:b w:val="0"/>
                <w:color w:val="auto"/>
                <w:sz w:val="24"/>
                <w:szCs w:val="24"/>
              </w:rPr>
              <w:t>算金额：</w:t>
            </w:r>
            <w:r>
              <w:rPr>
                <w:rFonts w:hint="eastAsia" w:ascii="楷体" w:hAnsi="楷体" w:eastAsia="楷体" w:cs="楷体"/>
                <w:b w:val="0"/>
                <w:color w:val="auto"/>
                <w:sz w:val="24"/>
                <w:szCs w:val="24"/>
                <w:lang w:val="en-US" w:eastAsia="zh-CN"/>
              </w:rPr>
              <w:t>人民币200万元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rPr>
            </w:pPr>
            <w:r>
              <w:rPr>
                <w:rFonts w:hint="eastAsia" w:ascii="楷体" w:hAnsi="楷体" w:eastAsia="楷体" w:cs="楷体"/>
                <w:color w:val="000000"/>
                <w:sz w:val="24"/>
              </w:rPr>
              <w:t>5</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color w:val="000000"/>
                <w:sz w:val="24"/>
                <w:szCs w:val="24"/>
                <w:lang w:val="en-US" w:eastAsia="zh-CN"/>
              </w:rPr>
            </w:pPr>
            <w:r>
              <w:rPr>
                <w:rFonts w:hint="eastAsia" w:ascii="楷体" w:hAnsi="楷体" w:eastAsia="楷体" w:cs="楷体"/>
                <w:color w:val="000000"/>
                <w:sz w:val="24"/>
              </w:rPr>
              <w:t>采购内容：全自动核型分析工作站</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000000"/>
                <w:sz w:val="24"/>
                <w:lang w:val="en-US" w:eastAsia="zh-CN"/>
              </w:rPr>
            </w:pPr>
            <w:r>
              <w:rPr>
                <w:rFonts w:hint="eastAsia" w:ascii="楷体" w:hAnsi="楷体" w:eastAsia="楷体" w:cs="楷体"/>
                <w:b w:val="0"/>
                <w:color w:val="000000"/>
                <w:sz w:val="24"/>
                <w:szCs w:val="24"/>
                <w:lang w:val="en-US" w:eastAsia="zh-CN"/>
              </w:rPr>
              <w:t>数量：1套（具体内容详见采购清单）</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rPr>
            </w:pPr>
            <w:r>
              <w:rPr>
                <w:rFonts w:hint="eastAsia" w:ascii="楷体" w:hAnsi="楷体" w:eastAsia="楷体" w:cs="楷体"/>
                <w:b/>
                <w:bCs/>
                <w:color w:val="000000"/>
                <w:sz w:val="24"/>
              </w:rPr>
              <w:t>（投标报价不得超过采购预算，否则视为无效投标。）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rPr>
            </w:pPr>
            <w:r>
              <w:rPr>
                <w:rFonts w:hint="eastAsia" w:ascii="楷体" w:hAnsi="楷体" w:eastAsia="楷体" w:cs="楷体"/>
                <w:color w:val="000000"/>
                <w:sz w:val="24"/>
              </w:rPr>
              <w:t>6</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交货期：乙方于合同签订的</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0个</w:t>
            </w:r>
            <w:r>
              <w:rPr>
                <w:rFonts w:hint="eastAsia" w:ascii="楷体" w:hAnsi="楷体" w:eastAsia="楷体" w:cs="楷体"/>
                <w:sz w:val="24"/>
                <w:highlight w:val="none"/>
                <w:lang w:val="en-US" w:eastAsia="zh-CN"/>
              </w:rPr>
              <w:t>日历</w:t>
            </w:r>
            <w:r>
              <w:rPr>
                <w:rFonts w:hint="eastAsia" w:ascii="楷体" w:hAnsi="楷体" w:eastAsia="楷体" w:cs="楷体"/>
                <w:sz w:val="24"/>
                <w:highlight w:val="none"/>
              </w:rPr>
              <w:t>日</w:t>
            </w:r>
            <w:r>
              <w:rPr>
                <w:rFonts w:hint="eastAsia" w:ascii="楷体" w:hAnsi="楷体" w:eastAsia="楷体" w:cs="楷体"/>
                <w:color w:val="auto"/>
                <w:sz w:val="24"/>
                <w:highlight w:val="none"/>
              </w:rPr>
              <w:t>内完成所有的供货；在具备安装条件之后，于</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个工作日内完成所有设备的安装、调试工作。</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sz w:val="24"/>
              </w:rPr>
            </w:pPr>
            <w:r>
              <w:rPr>
                <w:rFonts w:hint="eastAsia" w:ascii="楷体" w:hAnsi="楷体" w:eastAsia="楷体" w:cs="楷体"/>
                <w:color w:val="000000"/>
                <w:sz w:val="24"/>
              </w:rPr>
              <w:t>交货地点：安康市中心医院指定地点。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供应商资格要求：</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）供应商必须是具有独立承担民事责任能力的法人、其他组织或自然人，并出具合法有效的营业执照或事业单位法人证书等国家规定的相关证明，自然人参与的提供其身份证明； </w:t>
            </w:r>
          </w:p>
          <w:p>
            <w:pPr>
              <w:pageBreakBefore w:val="0"/>
              <w:numPr>
                <w:ilvl w:val="0"/>
                <w:numId w:val="3"/>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法定代表人委托授权书（法定代表人参加不需提供，但需要提供法定代表人身份证）及被授权人身份证；</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3）如投标产品属于医疗器械的，提供投标产品的医疗器械注册证或备案凭证、医疗器械生产许可证（投标产品须在生产企业生产范围内），投标供应商的医疗器械经营许可或备案凭证（投标产品须在投标人经营范围内）；</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（4）供应商必须拥有良好的商业信誉（截止开标前三个月内的资信证明或2021年完整的财务审计报告）；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（5）提供投标截止日前一年内已缴纳的至少三个月的纳税证明或完税证明（任意税种），依法免税的单位应提供相关证明材料；</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（6）提供投标截止日前一年内已缴存的至少三个月的社会保障资金缴存单据或社保机构开具的社会保险参保缴费情况证明，依法不需要缴纳社会保障资金的单位应提供相关证明材料；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（7）提供参加政府采购活动前三年内，在经营活动中没有重大违法记录书面声明；</w:t>
            </w:r>
          </w:p>
          <w:p>
            <w:pPr>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lang w:eastAsia="zh-CN"/>
              </w:rPr>
              <w:t>（8）提供具有履行合同所必需的设备和专业技术能力的承诺书；</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（9）本项目不接受联合体投标。</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备注：以上资格条件为必备资格条件，缺一项或某项达不到要求，按无效文件处理。</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1、分支机构参与投标时，投标文件中应附法人出具的授权书。法人只能授权一家分支机构参与投标，且不能与分支机构同时参与投标。分支机构须提供自己的资格要求证明文件。</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2、事业单位法人参与投标可不提供财务状况报告、社会保障资金缴纳证明及税收缴纳证明。 </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bCs/>
                <w:color w:val="auto"/>
                <w:sz w:val="21"/>
                <w:szCs w:val="21"/>
              </w:rPr>
              <w:t>3、单位负责人为同一人或存在直接控股、管理关系的不同单位，不得参加本项目投标活动。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8</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Cs w:val="21"/>
                <w:u w:val="single"/>
              </w:rPr>
            </w:pPr>
            <w:r>
              <w:rPr>
                <w:rFonts w:hint="eastAsia" w:ascii="楷体" w:hAnsi="楷体" w:eastAsia="楷体" w:cs="楷体"/>
                <w:color w:val="auto"/>
                <w:sz w:val="24"/>
                <w:highlight w:val="none"/>
              </w:rPr>
              <w:t>本项目以上传电子文件为准，</w:t>
            </w:r>
            <w:r>
              <w:rPr>
                <w:rFonts w:hint="eastAsia" w:ascii="楷体" w:hAnsi="楷体" w:eastAsia="楷体" w:cs="楷体"/>
                <w:sz w:val="24"/>
              </w:rPr>
              <w:t>纸质版文档</w:t>
            </w:r>
            <w:r>
              <w:rPr>
                <w:rFonts w:hint="eastAsia" w:ascii="楷体" w:hAnsi="楷体" w:eastAsia="楷体" w:cs="楷体"/>
                <w:sz w:val="24"/>
                <w:lang w:eastAsia="zh-CN"/>
              </w:rPr>
              <w:t>（</w:t>
            </w:r>
            <w:r>
              <w:rPr>
                <w:rFonts w:hint="eastAsia" w:ascii="楷体" w:hAnsi="楷体" w:eastAsia="楷体" w:cs="楷体"/>
                <w:sz w:val="24"/>
                <w:lang w:val="en-US" w:eastAsia="zh-CN"/>
              </w:rPr>
              <w:t>资料归档使用</w:t>
            </w:r>
            <w:r>
              <w:rPr>
                <w:rFonts w:hint="eastAsia" w:ascii="楷体" w:hAnsi="楷体" w:eastAsia="楷体" w:cs="楷体"/>
                <w:sz w:val="24"/>
                <w:lang w:eastAsia="zh-CN"/>
              </w:rPr>
              <w:t>）</w:t>
            </w:r>
            <w:r>
              <w:rPr>
                <w:rFonts w:hint="eastAsia" w:ascii="楷体" w:hAnsi="楷体" w:eastAsia="楷体" w:cs="楷体"/>
                <w:sz w:val="24"/>
              </w:rPr>
              <w:t>：正本一套，副本</w:t>
            </w:r>
            <w:r>
              <w:rPr>
                <w:rFonts w:hint="eastAsia" w:ascii="楷体" w:hAnsi="楷体" w:eastAsia="楷体" w:cs="楷体"/>
                <w:sz w:val="24"/>
                <w:lang w:val="en-US" w:eastAsia="zh-CN"/>
              </w:rPr>
              <w:t>一</w:t>
            </w:r>
            <w:r>
              <w:rPr>
                <w:rFonts w:hint="eastAsia" w:ascii="楷体" w:hAnsi="楷体" w:eastAsia="楷体" w:cs="楷体"/>
                <w:sz w:val="24"/>
              </w:rPr>
              <w:t>套，开标后</w:t>
            </w:r>
            <w:r>
              <w:rPr>
                <w:rFonts w:hint="eastAsia" w:ascii="楷体" w:hAnsi="楷体" w:eastAsia="楷体" w:cs="楷体"/>
                <w:sz w:val="24"/>
                <w:lang w:val="en-US" w:eastAsia="zh-CN"/>
              </w:rPr>
              <w:t>三</w:t>
            </w:r>
            <w:r>
              <w:rPr>
                <w:rFonts w:hint="eastAsia" w:ascii="楷体" w:hAnsi="楷体" w:eastAsia="楷体" w:cs="楷体"/>
                <w:sz w:val="24"/>
              </w:rPr>
              <w:t>个工作日内</w:t>
            </w:r>
            <w:r>
              <w:rPr>
                <w:rFonts w:hint="eastAsia" w:ascii="楷体" w:hAnsi="楷体" w:eastAsia="楷体" w:cs="楷体"/>
                <w:b/>
                <w:bCs/>
                <w:sz w:val="24"/>
              </w:rPr>
              <w:t>所有参与本项目的供应商</w:t>
            </w:r>
            <w:r>
              <w:rPr>
                <w:rFonts w:hint="eastAsia" w:ascii="楷体" w:hAnsi="楷体" w:eastAsia="楷体" w:cs="楷体"/>
                <w:sz w:val="24"/>
              </w:rPr>
              <w:t>需将投标文件</w:t>
            </w:r>
            <w:r>
              <w:rPr>
                <w:rFonts w:hint="eastAsia" w:ascii="楷体" w:hAnsi="楷体" w:eastAsia="楷体" w:cs="楷体"/>
                <w:sz w:val="24"/>
                <w:lang w:val="en-US" w:eastAsia="zh-CN"/>
              </w:rPr>
              <w:t>邮寄</w:t>
            </w:r>
            <w:r>
              <w:rPr>
                <w:rFonts w:hint="eastAsia" w:ascii="楷体" w:hAnsi="楷体" w:eastAsia="楷体" w:cs="楷体"/>
                <w:sz w:val="24"/>
              </w:rPr>
              <w:t>至中海建国际建设咨询集团有限责任公司（</w:t>
            </w:r>
            <w:r>
              <w:rPr>
                <w:rFonts w:hint="eastAsia" w:ascii="楷体" w:hAnsi="楷体" w:eastAsia="楷体" w:cs="楷体"/>
                <w:sz w:val="24"/>
                <w:lang w:val="en-US" w:eastAsia="zh-CN"/>
              </w:rPr>
              <w:t>地址：</w:t>
            </w:r>
            <w:r>
              <w:rPr>
                <w:rFonts w:hint="eastAsia" w:ascii="楷体" w:hAnsi="楷体" w:eastAsia="楷体" w:cs="楷体"/>
                <w:sz w:val="24"/>
              </w:rPr>
              <w:t>西安市二环南路西段154号易和蓝钻西侧23楼</w:t>
            </w:r>
            <w:r>
              <w:rPr>
                <w:rFonts w:hint="eastAsia" w:ascii="楷体" w:hAnsi="楷体" w:eastAsia="楷体" w:cs="楷体"/>
                <w:sz w:val="24"/>
                <w:lang w:eastAsia="zh-CN"/>
              </w:rPr>
              <w:t>，</w:t>
            </w:r>
            <w:r>
              <w:rPr>
                <w:rFonts w:hint="eastAsia" w:ascii="楷体" w:hAnsi="楷体" w:eastAsia="楷体" w:cs="楷体"/>
                <w:sz w:val="24"/>
                <w:lang w:val="en-US" w:eastAsia="zh-CN"/>
              </w:rPr>
              <w:t>联系人：邓敏</w:t>
            </w:r>
            <w:r>
              <w:rPr>
                <w:rFonts w:hint="eastAsia" w:ascii="楷体" w:hAnsi="楷体" w:eastAsia="楷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9</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投标保证金：本项目不缴纳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10</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投标有效期：自开标之日起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11</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是否为专门面向中小企业采购：否</w:t>
            </w:r>
            <w:r>
              <w:rPr>
                <w:rFonts w:hint="eastAsia" w:ascii="楷体" w:hAnsi="楷体" w:eastAsia="楷体" w:cs="楷体"/>
                <w:color w:val="auto"/>
                <w:sz w:val="24"/>
                <w:highlight w:val="none"/>
                <w:lang w:eastAsia="zh-CN"/>
              </w:rPr>
              <w:t>，本项目所属行业：工业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是否</w:t>
            </w:r>
            <w:r>
              <w:rPr>
                <w:rFonts w:hint="eastAsia" w:ascii="楷体" w:hAnsi="楷体" w:eastAsia="楷体" w:cs="楷体"/>
                <w:color w:val="auto"/>
                <w:sz w:val="24"/>
                <w:highlight w:val="none"/>
                <w:lang w:val="en-US" w:eastAsia="zh-CN"/>
              </w:rPr>
              <w:t>允许进口产品投标：否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rPr>
            </w:pPr>
            <w:r>
              <w:rPr>
                <w:rFonts w:hint="eastAsia" w:ascii="楷体" w:hAnsi="楷体" w:eastAsia="楷体" w:cs="楷体"/>
                <w:color w:val="auto"/>
                <w:sz w:val="24"/>
              </w:rPr>
              <w:t>是否允许联合体投标：</w:t>
            </w:r>
            <w:r>
              <w:rPr>
                <w:rFonts w:hint="eastAsia" w:ascii="楷体" w:hAnsi="楷体" w:eastAsia="楷体" w:cs="楷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4"/>
                <w:szCs w:val="18"/>
                <w:highlight w:val="none"/>
                <w:lang w:val="en-US" w:eastAsia="zh-CN" w:bidi="ar-SA"/>
              </w:rPr>
            </w:pPr>
            <w:r>
              <w:rPr>
                <w:rFonts w:hint="eastAsia" w:ascii="楷体" w:hAnsi="楷体" w:eastAsia="楷体" w:cs="楷体"/>
                <w:color w:val="auto"/>
                <w:kern w:val="0"/>
                <w:sz w:val="24"/>
                <w:szCs w:val="18"/>
                <w:highlight w:val="none"/>
              </w:rPr>
              <w:t>15</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投标截止时间</w:t>
            </w:r>
            <w:r>
              <w:rPr>
                <w:rFonts w:hint="eastAsia" w:ascii="楷体" w:hAnsi="楷体" w:eastAsia="楷体" w:cs="楷体"/>
                <w:color w:val="auto"/>
                <w:sz w:val="24"/>
                <w:highlight w:val="none"/>
                <w:lang w:val="en-US" w:eastAsia="zh-CN"/>
              </w:rPr>
              <w:t xml:space="preserve">:2023-02-07 </w:t>
            </w:r>
            <w:r>
              <w:rPr>
                <w:rFonts w:hint="eastAsia" w:ascii="楷体" w:hAnsi="楷体" w:eastAsia="楷体" w:cs="楷体"/>
                <w:color w:val="auto"/>
                <w:sz w:val="24"/>
                <w:highlight w:val="none"/>
                <w:u w:val="single"/>
                <w:lang w:val="en-US" w:eastAsia="zh-CN"/>
              </w:rPr>
              <w:t>09</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16</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lang w:val="en-US" w:eastAsia="zh-CN"/>
              </w:rPr>
              <w:t xml:space="preserve">2023-02-07 </w:t>
            </w:r>
            <w:r>
              <w:rPr>
                <w:rFonts w:hint="eastAsia" w:ascii="楷体" w:hAnsi="楷体" w:eastAsia="楷体" w:cs="楷体"/>
                <w:color w:val="auto"/>
                <w:sz w:val="24"/>
                <w:highlight w:val="none"/>
                <w:u w:val="single"/>
                <w:lang w:val="en-US" w:eastAsia="zh-CN"/>
              </w:rPr>
              <w:t>09</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yellow"/>
              </w:rPr>
            </w:pPr>
            <w:r>
              <w:rPr>
                <w:rFonts w:hint="eastAsia" w:ascii="楷体" w:hAnsi="楷体" w:eastAsia="楷体" w:cs="楷体"/>
                <w:color w:val="auto"/>
                <w:sz w:val="24"/>
                <w:highlight w:val="none"/>
              </w:rPr>
              <w:t>开标地点：安康市公共资源交易中心</w:t>
            </w:r>
            <w:r>
              <w:rPr>
                <w:rFonts w:hint="eastAsia" w:ascii="楷体" w:hAnsi="楷体" w:eastAsia="楷体" w:cs="楷体"/>
                <w:color w:val="auto"/>
                <w:sz w:val="24"/>
                <w:highlight w:val="none"/>
                <w:u w:val="single"/>
                <w:lang w:val="en-US" w:eastAsia="zh-CN"/>
              </w:rPr>
              <w:t>407</w:t>
            </w:r>
            <w:r>
              <w:rPr>
                <w:rFonts w:hint="eastAsia" w:ascii="楷体" w:hAnsi="楷体" w:eastAsia="楷体" w:cs="楷体"/>
                <w:color w:val="auto"/>
                <w:sz w:val="24"/>
                <w:highlight w:val="non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招标代理服务费由中标人支付：</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rPr>
              <w:t>参照原国家计委计价格【2002】1980号文和国家发改委发改办价格【2003】857号文的计算方法（按标段）收取，中标单位的招标代理服务费交纳信息</w:t>
            </w:r>
            <w:r>
              <w:rPr>
                <w:rFonts w:hint="eastAsia" w:ascii="楷体" w:hAnsi="楷体" w:eastAsia="楷体" w:cs="楷体"/>
                <w:color w:val="auto"/>
                <w:sz w:val="24"/>
                <w:lang w:eastAsia="zh-CN"/>
              </w:rPr>
              <w:t>：</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银行户名：中海建国际建设咨询集团有限责任公司西安分公司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开户银行：西安银行高新支行</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账    号：9010 1151 0000 0774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18</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rPr>
              <w:t>需要补充的其他内容：</w:t>
            </w:r>
            <w:r>
              <w:rPr>
                <w:rFonts w:hint="eastAsia" w:ascii="楷体" w:hAnsi="楷体" w:eastAsia="楷体" w:cs="楷体"/>
                <w:color w:val="auto"/>
                <w:sz w:val="24"/>
                <w:lang w:val="en-US" w:eastAsia="zh-CN"/>
              </w:rPr>
              <w:t>/</w:t>
            </w:r>
          </w:p>
        </w:tc>
      </w:tr>
    </w:tbl>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一、总则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1.1招标项目概况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1.1.1根据《中华人民共和国政府采购法》、《中华人民共和国政府采购法实施条例》等有关法律、法规和规章的规定，本招标项目已具备招标条件，现进行招标。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1.1.2采购单位：见投标人须知前附表。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1.1.3采购代理机构：见投标人须知前附表。</w:t>
      </w:r>
    </w:p>
    <w:p>
      <w:pPr>
        <w:tabs>
          <w:tab w:val="left" w:pos="1740"/>
        </w:tabs>
        <w:spacing w:line="360" w:lineRule="auto"/>
        <w:ind w:firstLine="480" w:firstLineChars="200"/>
        <w:rPr>
          <w:rFonts w:hint="eastAsia" w:ascii="楷体" w:hAnsi="楷体" w:eastAsia="楷体" w:cs="楷体"/>
          <w:sz w:val="24"/>
        </w:rPr>
      </w:pPr>
      <w:r>
        <w:rPr>
          <w:rFonts w:hint="eastAsia" w:ascii="楷体" w:hAnsi="楷体" w:eastAsia="楷体" w:cs="楷体"/>
          <w:sz w:val="24"/>
        </w:rPr>
        <w:t>1.1.4 投标人：是指响应招标、参加投标竞争的法人、其他组织或者自然人。潜在投标人：以招标文件规定的方式获取本项目招标文件的法人、其他组织或者自然人。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1.1.5项目名称：见投标人须知前附表。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1.2项目采购内容</w:t>
      </w:r>
    </w:p>
    <w:p>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招标内容：全自动核型分析工作站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1.3交货期、交货地点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1.3.1交货期：见投标人须知前附表。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1.3.2交货地点：见投标人须知前附表。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1.4投标人资格要求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1.4.1投标人应具备承担本项目资格条件：见投标须知前附表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1.4.2本项目不接受联合体投标。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如投标须知前附表中允许联合体投标，对联合体规定如下：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①两个及以上供应商可以组成一个投标联合体，以一个投标人的身份投标。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②联合体各方均应符合本须知规定。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③采购人根据采购项目对投标人的特殊要求，联合体中至少应当有一方符合相关规定。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④联合体各方应签订共同投标协议，明确约定联合体各方承担的工作和相应的责任，并将共同投标协议作为投标文件第一部分的内容提交。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⑤大中型企业、其他自然人、法人或者其他组织与小型、微型企业组成联合体共同参加投标，共同投标协议中应写明小型、微型企业的协议合同金额占到共同投标协议投标总金额的比例。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⑥以联合体形式参加政府采购活动的，联合体各方不得再单独参加或者与其他供应商另外组成联合体参加本项目同一合同项下的投标，否则相关投标将被认定为投标无效。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1.4.3</w:t>
      </w:r>
      <w:r>
        <w:rPr>
          <w:rFonts w:hint="eastAsia" w:ascii="楷体" w:hAnsi="楷体" w:eastAsia="楷体" w:cs="楷体"/>
          <w:sz w:val="24"/>
        </w:rPr>
        <w:tab/>
      </w:r>
      <w:r>
        <w:rPr>
          <w:rFonts w:hint="eastAsia" w:ascii="楷体" w:hAnsi="楷体" w:eastAsia="楷体" w:cs="楷体"/>
          <w:sz w:val="24"/>
        </w:rPr>
        <w:t>投标人不得存在下列情形之一：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（1）与招标人存在利害关系且可能影响招标公正性；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（2）与本招标项目的其他投标人为同一个单位负责人；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（3）与本招标项目的其他投标人存在控股、管理关系；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（4）为本招标项目提供过设计、编制技术规范和其他文件的咨询服务；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（5）被责令停产停业、暂扣或者吊销许可证、暂扣或者吊销执照；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（6）法律法规或投标人须知前附表规定的其他情形。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1.5费用承担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投标人准备和参加投标活动发生的费用自理。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1.6保密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参与招标投标活动的各方应对招标文件和投标文件中的商业和技术等秘密保密，否则应承担相应的法律责任。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1.7语言文字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招标投标文件使用的语言文字为中文。专用术语使用外文的，应附有中文注释。</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1.8计量单位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所有计量均采用中华人民共和国法定计量单位。</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1.9投标预备会及踏勘现场：不组织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1.10分包：不允许</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1.10.1</w:t>
      </w:r>
      <w:r>
        <w:rPr>
          <w:rFonts w:hint="eastAsia" w:ascii="楷体" w:hAnsi="楷体" w:eastAsia="楷体" w:cs="楷体"/>
          <w:sz w:val="24"/>
        </w:rPr>
        <w:tab/>
      </w:r>
      <w:r>
        <w:rPr>
          <w:rFonts w:hint="eastAsia" w:ascii="楷体" w:hAnsi="楷体" w:eastAsia="楷体" w:cs="楷体"/>
          <w:sz w:val="24"/>
        </w:rPr>
        <w:t>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1.10.2</w:t>
      </w:r>
      <w:r>
        <w:rPr>
          <w:rFonts w:hint="eastAsia" w:ascii="楷体" w:hAnsi="楷体" w:eastAsia="楷体" w:cs="楷体"/>
          <w:sz w:val="24"/>
        </w:rPr>
        <w:tab/>
      </w:r>
      <w:r>
        <w:rPr>
          <w:rFonts w:hint="eastAsia" w:ascii="楷体" w:hAnsi="楷体" w:eastAsia="楷体" w:cs="楷体"/>
          <w:sz w:val="24"/>
        </w:rPr>
        <w:t>中标人不得向他人转让中标项目，接受分包的人不得再次分包。中标人应当就分包项目向招标人负责，接受分包的人就分包项目承担连带责任。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1.11响应和偏差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1.11.1</w:t>
      </w:r>
      <w:r>
        <w:rPr>
          <w:rFonts w:hint="eastAsia" w:ascii="楷体" w:hAnsi="楷体" w:eastAsia="楷体" w:cs="楷体"/>
          <w:sz w:val="24"/>
        </w:rPr>
        <w:tab/>
      </w:r>
      <w:r>
        <w:rPr>
          <w:rFonts w:hint="eastAsia" w:ascii="楷体" w:hAnsi="楷体" w:eastAsia="楷体" w:cs="楷体"/>
          <w:sz w:val="24"/>
        </w:rPr>
        <w:t>投标人应根据招标文件的要求提供投标设备技术性能指标的详细描述、技术支持资料及技术服务和质保期服务计划等内容以对招标文件作出响应。</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1.11.2</w:t>
      </w:r>
      <w:r>
        <w:rPr>
          <w:rFonts w:hint="eastAsia" w:ascii="楷体" w:hAnsi="楷体" w:eastAsia="楷体" w:cs="楷体"/>
          <w:sz w:val="24"/>
        </w:rPr>
        <w:tab/>
      </w:r>
      <w:r>
        <w:rPr>
          <w:rFonts w:hint="eastAsia" w:ascii="楷体" w:hAnsi="楷体" w:eastAsia="楷体" w:cs="楷体"/>
          <w:sz w:val="24"/>
        </w:rPr>
        <w:t>投标文件中应针对实质性要求和条件中列明的技术要求提供技术支持资料。技术支持资料以制造商公开发布的印刷资料，或检测机构出具的检测报告或其他形式为准。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1.11.3</w:t>
      </w:r>
      <w:r>
        <w:rPr>
          <w:rFonts w:hint="eastAsia" w:ascii="楷体" w:hAnsi="楷体" w:eastAsia="楷体" w:cs="楷体"/>
          <w:sz w:val="24"/>
        </w:rPr>
        <w:tab/>
      </w:r>
      <w:r>
        <w:rPr>
          <w:rFonts w:hint="eastAsia" w:ascii="楷体" w:hAnsi="楷体" w:eastAsia="楷体" w:cs="楷体"/>
          <w:sz w:val="24"/>
        </w:rPr>
        <w:t>投标文件对招标文件的全部偏差，均应在投标文件的商务和技术偏差表中列明。</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二、招标文件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2.1招标文件的组成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本招标文件包括：</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（1）招标公告（或投标邀请书）；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（2）投标人须知；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（3）商务条款及合同格式；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（4）用户需求书；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（6）评标办法；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投标人应认真阅读招标文件所有的事项、格式、条款和技术规范等。如投标人没有按照招标文件要求提交全部资料，或者投标文件没有对招标文件的实质性要求做出响应，其投标将被认定为投标无效。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2.2招标文件的澄清与修改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2.2.4在投标截止时间前，根据招标工作进展实际情况，采购人可酌情延长递交投标文件的截止时间，若延长将另行以书面形式通知各投标人。招标代理机构和投标人的权利和义务将受到新的截止期的约束。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2.2.5投标人必须从采购代理机构购买招标文件，投标人自行转让或复制招标文件视为无效。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2.3招标文件的质疑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2.3.2质疑供应商应按照《政府采购质疑函范本》格式（财政部官方网站下载）和《政府采购质疑和投诉办法》的要求，在法定质疑期内以书面形式提出质疑，针对同一采购程序环节的质疑应一次性提出。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超出法定质疑期提交的质疑将被拒绝。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2.3.3供应商提交质疑函的要求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2.3.3.1 供应商提出质疑时，应提交质疑函和必要的证明材料。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2.3.3.3 质疑供应商若对项目的某一分包进行质疑，质疑函中应列明具体分包号。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2.3.3.4 质疑函的质疑请求应与质疑事项相关。</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2.3.3.5 质疑函的质疑事项应具体、明确，并有必要的事实依据。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3.1投标文件的组成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3.1.1 投标文件应包括下列内容：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投标人在评标过程中作出的符合法律法规和招标文件规定的澄清确认，构成投标文件的组成部分。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3.2投标报价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3.2.1 投标报价应包括国家规定的增值税税金，除投标人须知前附表另有规定外，增值税税金按一般计税方法计算。。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3.2.2 投标人应充分了解该项目的总体情况以及影响投标报价的其他要素。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3.2.3 投标报价为各分项报价金额之和，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3.2.4 招标人设有最高投标限价的，投标人的投标报价不得超过最高投标限价，最高投标限价在投标人须知前附表中载明。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3.2.5 投标报价的其他要求:</w:t>
      </w:r>
      <w:r>
        <w:rPr>
          <w:rFonts w:hint="eastAsia" w:ascii="楷体" w:hAnsi="楷体" w:eastAsia="楷体" w:cs="楷体"/>
        </w:rPr>
        <w:t xml:space="preserve"> </w:t>
      </w:r>
      <w:r>
        <w:rPr>
          <w:rFonts w:hint="eastAsia" w:ascii="楷体" w:hAnsi="楷体" w:eastAsia="楷体" w:cs="楷体"/>
          <w:kern w:val="0"/>
          <w:sz w:val="24"/>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rPr>
        <w:t>相关费用</w:t>
      </w:r>
      <w:r>
        <w:rPr>
          <w:rFonts w:hint="eastAsia" w:ascii="楷体" w:hAnsi="楷体" w:eastAsia="楷体" w:cs="楷体"/>
          <w:kern w:val="0"/>
          <w:sz w:val="24"/>
        </w:rPr>
        <w:t>及不可预见费等完成本招标内容所需的一切费用。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3.3投标有效期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3.3.1投标有效期为提交投标文件</w:t>
      </w:r>
      <w:r>
        <w:rPr>
          <w:rFonts w:hint="eastAsia" w:ascii="楷体" w:hAnsi="楷体" w:eastAsia="楷体" w:cs="楷体"/>
          <w:color w:val="auto"/>
          <w:sz w:val="24"/>
        </w:rPr>
        <w:t>截止</w:t>
      </w:r>
      <w:r>
        <w:rPr>
          <w:rFonts w:hint="eastAsia" w:ascii="楷体" w:hAnsi="楷体" w:eastAsia="楷体" w:cs="楷体"/>
          <w:color w:val="auto"/>
          <w:sz w:val="24"/>
          <w:highlight w:val="none"/>
        </w:rPr>
        <w:t>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w:t>
      </w:r>
      <w:r>
        <w:rPr>
          <w:rFonts w:hint="eastAsia" w:ascii="楷体" w:hAnsi="楷体" w:eastAsia="楷体" w:cs="楷体"/>
          <w:sz w:val="24"/>
          <w:highlight w:val="none"/>
        </w:rPr>
        <w:t>投标应在投标有效期内保持有效。投标有效期不满足要求的投标，其投标将被</w:t>
      </w:r>
      <w:r>
        <w:rPr>
          <w:rFonts w:hint="eastAsia" w:ascii="楷体" w:hAnsi="楷体" w:eastAsia="楷体" w:cs="楷体"/>
          <w:sz w:val="24"/>
        </w:rPr>
        <w:t>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82" w:firstLineChars="200"/>
        <w:rPr>
          <w:rFonts w:hint="eastAsia" w:ascii="楷体" w:hAnsi="楷体" w:eastAsia="楷体" w:cs="楷体"/>
          <w:sz w:val="24"/>
          <w:lang w:eastAsia="zh-CN"/>
        </w:rPr>
      </w:pPr>
      <w:r>
        <w:rPr>
          <w:rFonts w:hint="eastAsia" w:ascii="楷体" w:hAnsi="楷体" w:eastAsia="楷体" w:cs="楷体"/>
          <w:b/>
          <w:sz w:val="24"/>
        </w:rPr>
        <w:t>3</w:t>
      </w:r>
      <w:r>
        <w:rPr>
          <w:rFonts w:hint="eastAsia" w:ascii="楷体" w:hAnsi="楷体" w:eastAsia="楷体" w:cs="楷体"/>
          <w:b/>
          <w:sz w:val="24"/>
          <w:lang w:eastAsia="zh-CN"/>
        </w:rPr>
        <w:t>.</w:t>
      </w:r>
      <w:r>
        <w:rPr>
          <w:rFonts w:hint="eastAsia" w:ascii="楷体" w:hAnsi="楷体" w:eastAsia="楷体" w:cs="楷体"/>
          <w:b/>
          <w:color w:val="auto"/>
          <w:sz w:val="24"/>
          <w:highlight w:val="none"/>
        </w:rPr>
        <w:t>4投标保证金:本项目不缴纳.</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3.5 投标文件的编制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3.5.1电子投标文件（*.SXSTF）需要使用专用制作软件——“新点投标文件制作软件（陕西公共资源）”进行编制。软件下载地址及操作手册：见</w:t>
      </w:r>
      <w:r>
        <w:rPr>
          <w:rFonts w:hint="eastAsia" w:ascii="楷体" w:hAnsi="楷体" w:eastAsia="楷体" w:cs="楷体"/>
          <w:bCs/>
          <w:color w:val="auto"/>
          <w:sz w:val="24"/>
          <w:highlight w:val="none"/>
          <w:lang w:eastAsia="zh-CN"/>
        </w:rPr>
        <w:t>安康</w:t>
      </w:r>
      <w:r>
        <w:rPr>
          <w:rFonts w:hint="eastAsia" w:ascii="楷体" w:hAnsi="楷体" w:eastAsia="楷体" w:cs="楷体"/>
          <w:bCs/>
          <w:color w:val="auto"/>
          <w:sz w:val="24"/>
          <w:highlight w:val="none"/>
        </w:rPr>
        <w:t>市公共资源交易平台〖首页〉服务指南〉下载专区〗中的《政府采购项目投标文件制作软件及操作手册》。</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链接地址：</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fldChar w:fldCharType="begin"/>
      </w:r>
      <w:r>
        <w:rPr>
          <w:rFonts w:hint="eastAsia" w:ascii="楷体" w:hAnsi="楷体" w:eastAsia="楷体" w:cs="楷体"/>
          <w:bCs/>
          <w:color w:val="auto"/>
          <w:sz w:val="24"/>
          <w:highlight w:val="none"/>
        </w:rPr>
        <w:instrText xml:space="preserve"> HYPERLINK "http://sxggzyjy.xa.gov.cn/fwzn/004003/20181115/4d59c184-e8f6-4d5a-a416-c2f6b0601e66.html" </w:instrText>
      </w:r>
      <w:r>
        <w:rPr>
          <w:rFonts w:hint="eastAsia" w:ascii="楷体" w:hAnsi="楷体" w:eastAsia="楷体" w:cs="楷体"/>
          <w:bCs/>
          <w:color w:val="auto"/>
          <w:sz w:val="24"/>
          <w:highlight w:val="none"/>
        </w:rPr>
        <w:fldChar w:fldCharType="separate"/>
      </w:r>
      <w:r>
        <w:rPr>
          <w:rFonts w:hint="eastAsia" w:ascii="楷体" w:hAnsi="楷体" w:eastAsia="楷体" w:cs="楷体"/>
          <w:bCs/>
          <w:color w:val="auto"/>
          <w:sz w:val="24"/>
          <w:highlight w:val="none"/>
        </w:rPr>
        <w:t>http://sxggzyjy.xa.gov.cn/fwzn/004003/20181115/4d59c184-e8f6-4d5a-a416-c2f6b0601e66.html</w:t>
      </w:r>
      <w:r>
        <w:rPr>
          <w:rFonts w:hint="eastAsia" w:ascii="楷体" w:hAnsi="楷体" w:eastAsia="楷体" w:cs="楷体"/>
          <w:bCs/>
          <w:color w:val="auto"/>
          <w:sz w:val="24"/>
          <w:highlight w:val="none"/>
        </w:rPr>
        <w:fldChar w:fldCharType="end"/>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2" w:firstLineChars="20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3.6、</w:t>
      </w:r>
      <w:r>
        <w:rPr>
          <w:rFonts w:hint="eastAsia" w:ascii="楷体" w:hAnsi="楷体" w:eastAsia="楷体" w:cs="楷体"/>
          <w:b/>
          <w:color w:val="auto"/>
          <w:sz w:val="24"/>
          <w:highlight w:val="none"/>
        </w:rPr>
        <w:t>投标文件的加密和提交</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3.6.1在生成电子投标文件时，需要使用CA锁对投标文件进行加密。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注意：加密投标文件和开标时解密投标文件应当使用同一CA，否则将会导致解密失败。</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3.6.2电子投标文件可于提交投标文件截止时间前任意时段，登录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市公共资源交易平台政府采购系统将予以记录。</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3.6.3上传文件有误或需要重新提交的，可先撤销已经上传的文件，然后重新上传新文件。</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3.7、投标文件的补充、修改和撤回</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3.7.2供应商在提交投标文件截止时间后，撤回投标文件的，投标保证金不予退还。</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3.8、关于投标文件的雷同性分析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3.9、投标文件被拒绝接收的情形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3.9.1误投的或采用旧版电子招标文件制作的；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3.9.2逾期提交电子投标文件的。</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3.10供应商投标流程</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使用电子交易系统的采购项目（即线上项目），将同时提供WORD\PDF格式（仅用于预览）和SXSZF格式（用于制作电子投标文件）两个版本，文件内容一致。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1．预览采购文件：打开</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市公共资源交易平台〖首页•〉交易大厅•〉政府采购〗栏目，下载和阅读本项目采购文件的预览版本（WORD\PDF格式）；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2．办理注册登记（针对初次使用电子交易系统的用户）：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（1）办理诚信入库注册：在决定参加本项目采购活动后，供应商应先在</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市公共资源交易平台上完成“诚信入库登记”；</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办理须知：</w:t>
      </w:r>
      <w:r>
        <w:rPr>
          <w:rFonts w:ascii="楷体" w:hAnsi="楷体" w:eastAsia="楷体" w:cs="楷体"/>
          <w:color w:val="auto"/>
          <w:sz w:val="24"/>
          <w:highlight w:val="none"/>
        </w:rPr>
        <w:t>http://www.snca.com.cn/channel/show/27.html</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（3）绑定和激活CA：将数字证书与诚信库中的供应商账户进行绑定。</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3．下载电子招标文件：供应商应登录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5．提交电子投标文件：在提交投标文件截止时间前及时提交加密后电子投标文件，逾期提交的，系统将会拒收；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适用于不见面开标项目]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rPr>
          <w:rFonts w:hint="eastAsia" w:ascii="楷体" w:hAnsi="楷体" w:eastAsia="楷体" w:cs="楷体"/>
          <w:b/>
          <w:bCs/>
          <w:sz w:val="24"/>
        </w:rPr>
      </w:pPr>
      <w:r>
        <w:rPr>
          <w:rFonts w:hint="eastAsia" w:ascii="楷体" w:hAnsi="楷体" w:eastAsia="楷体" w:cs="楷体"/>
          <w:color w:val="auto"/>
          <w:sz w:val="24"/>
          <w:highlight w:val="none"/>
        </w:rPr>
        <w:t>8．中标供应商注册：按照陕西省政府采购监管部门的要求，采购代理机构在发布中标公告前，应由中标供应商在陕西省政府采购网上完成注册。</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sz w:val="24"/>
        </w:rPr>
        <w:t>四、投标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4.</w:t>
      </w:r>
      <w:r>
        <w:rPr>
          <w:rFonts w:hint="eastAsia" w:ascii="楷体" w:hAnsi="楷体" w:eastAsia="楷体" w:cs="楷体"/>
          <w:b/>
          <w:sz w:val="24"/>
          <w:lang w:val="en-US" w:eastAsia="zh-CN"/>
        </w:rPr>
        <w:t>1</w:t>
      </w:r>
      <w:r>
        <w:rPr>
          <w:rFonts w:hint="eastAsia" w:ascii="楷体" w:hAnsi="楷体" w:eastAsia="楷体" w:cs="楷体"/>
          <w:b/>
          <w:sz w:val="24"/>
        </w:rPr>
        <w:t>投标文件的递交</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五、开标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开标工作由采购代理机构组织实施，整个过程受同级政府采购监管机构的监督、管理。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1．供应商签到：开标前，请各供应商至少提前半小时登录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w:t>
      </w:r>
      <w:r>
        <w:rPr>
          <w:rFonts w:hint="eastAsia" w:ascii="宋体" w:hAnsi="宋体" w:cs="宋体"/>
          <w:color w:val="auto"/>
          <w:sz w:val="24"/>
          <w:highlight w:val="none"/>
        </w:rPr>
        <w:t>•</w:t>
      </w:r>
      <w:r>
        <w:rPr>
          <w:rFonts w:hint="eastAsia" w:ascii="楷体" w:hAnsi="楷体" w:eastAsia="楷体" w:cs="楷体"/>
          <w:color w:val="auto"/>
          <w:sz w:val="24"/>
          <w:highlight w:val="none"/>
        </w:rPr>
        <w:t>〉不见面开标〗系统。</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3．解密投标文件：供应商在收到主持人“开始解密”指令后，应使用“加密该投标文件的CA锁（必须是同一把锁）”在线完成投标文件解密。除因【</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4．唱标：对于公开招标项目，“不见面开标”系统将自动展示供应商名单及其投标报价。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5．开标结束：进入评审环节。供应商请保持在线，评审期间评标委员会可能会要求供应商做相应的澄清。因供应商擅自离席造成的不利后果，由供应商自行承担。</w:t>
      </w:r>
    </w:p>
    <w:p>
      <w:pPr>
        <w:pStyle w:val="10"/>
        <w:ind w:left="0" w:leftChars="0"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6、无效情形：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1．供应商放弃或拒绝对电子投标文件进行解密的；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2．因供应商自身原因，导致未在规定的解密时限内完整解密的，如忘带CA锁、或携带的CA锁与加密文件的CA锁不同、或使用旧版招标文件编制投标文件等情形；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3．上传的电子投标文件无法正常打开的；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4．政府采购法律法规规定的其他无效情形。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六、评标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6.1评标原则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评标活动遵循公平、公正、科学和择优的原则。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6.2评标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评标委员会按照第六章“评标办法”规定的方法、评审因素、标准和程序对投标文件进行评审。第六章“评标办法”没有规定的方法、评审因素和标准，不作为评标依据。</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七、合同授予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7.1定标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7.1.1评标委员会依据评标办法，经过初审、澄清、比较与评价等程序后，在最大限度满足招标文件实质性要求前提下进行综合评审，以评标总得分最高到低的顺序推荐3名以上中标候选人，并编写评标报告。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7.1.4采购代理机构接到的《定标复函》后，在2个工作日内，将中标结果在陕西省政府采购网上进行公告。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7.2发出中标通知书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中标人确定后，采购人或者采购代理机构发布中标公告。在公告中标结果的同时，向中标人发出中标通知书，中标通知书是合同的组成部分。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7.3告知招标结果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在公告中标结果的同时，告知未通过资格审查投标人未通过的原因；采用综合评分法评审的，还将告知未中标人本人的评审得分和排序。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7.4签订合同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7.4.3 联合体中标的，联合体各方应当共同与招标人签订合同，就中标项目向招标人承担连带责任。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7.4.4当出现法规规定的中标无效或中标结果无效情形时，采购人可与排名下一位的中标候选人另行签订合同，或依法重新开展采购活动。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7.4.5采购人需追加与合同标的相同的货物、工程或服务的，在不改变合同其他条款的前提下，可以与中标人协商签订补充合同，但所有补充合同的采购金额不得超过原合同采购金额的百分之十。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7.5履约保证金</w:t>
      </w:r>
      <w:r>
        <w:rPr>
          <w:rFonts w:hint="eastAsia" w:ascii="楷体" w:hAnsi="楷体" w:eastAsia="楷体" w:cs="楷体"/>
          <w:sz w:val="24"/>
          <w:lang w:eastAsia="zh-CN"/>
        </w:rPr>
        <w:t>：</w:t>
      </w:r>
      <w:r>
        <w:rPr>
          <w:rFonts w:hint="eastAsia" w:ascii="楷体" w:hAnsi="楷体" w:eastAsia="楷体" w:cs="楷体"/>
          <w:sz w:val="24"/>
          <w:lang w:val="en-US" w:eastAsia="zh-CN"/>
        </w:rPr>
        <w:t>/</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八、纪律与监督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8.1 对招标人的纪律要求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招标人不得泄露招标投标活动中应当保密的情况和资料，不得与投标人串通损害国家利益、社会公共利益或者他人合法权益。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8.2 对投标人的纪律要求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8.3 对评标委员会成员的纪律要求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8.4 对与评标活动有关的工作人员的纪律要求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九、招标代理服务费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代理服务费由中标单位在领取中标通知书前，向中海建国际建设咨询集团有限责任公司支付。</w:t>
      </w:r>
    </w:p>
    <w:p>
      <w:pPr>
        <w:spacing w:line="360" w:lineRule="auto"/>
        <w:ind w:firstLine="480" w:firstLineChars="200"/>
        <w:rPr>
          <w:rFonts w:hint="eastAsia" w:ascii="楷体" w:hAnsi="楷体" w:eastAsia="楷体" w:cs="楷体"/>
          <w:b/>
          <w:bCs/>
          <w:sz w:val="24"/>
        </w:rPr>
      </w:pPr>
      <w:r>
        <w:rPr>
          <w:rFonts w:hint="eastAsia" w:ascii="楷体" w:hAnsi="楷体" w:eastAsia="楷体" w:cs="楷体"/>
          <w:sz w:val="24"/>
        </w:rPr>
        <w:t>2、招标服务费应采用转账、刷卡、现金形式缴纳，不得用投标保证金冲抵。</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rPr>
          <w:rFonts w:hint="eastAsia" w:ascii="楷体" w:hAnsi="楷体" w:eastAsia="楷体" w:cs="楷体"/>
          <w:sz w:val="36"/>
        </w:rPr>
      </w:pPr>
      <w:bookmarkStart w:id="3" w:name="_Toc85463479"/>
      <w:r>
        <w:rPr>
          <w:rFonts w:hint="eastAsia" w:ascii="楷体" w:hAnsi="楷体" w:eastAsia="楷体" w:cs="楷体"/>
          <w:sz w:val="36"/>
        </w:rPr>
        <w:br w:type="page"/>
      </w:r>
    </w:p>
    <w:p>
      <w:pPr>
        <w:pStyle w:val="3"/>
        <w:spacing w:line="360" w:lineRule="auto"/>
        <w:jc w:val="center"/>
        <w:rPr>
          <w:rFonts w:hint="eastAsia" w:ascii="楷体" w:hAnsi="楷体" w:eastAsia="楷体" w:cs="楷体"/>
          <w:sz w:val="36"/>
        </w:rPr>
      </w:pPr>
      <w:r>
        <w:rPr>
          <w:rFonts w:hint="eastAsia" w:ascii="楷体" w:hAnsi="楷体" w:eastAsia="楷体" w:cs="楷体"/>
          <w:sz w:val="36"/>
        </w:rPr>
        <w:t>第三章  商务部分（合同条款及合同格式）</w:t>
      </w:r>
      <w:bookmarkEnd w:id="3"/>
    </w:p>
    <w:p>
      <w:pPr>
        <w:spacing w:line="360" w:lineRule="auto"/>
        <w:ind w:firstLine="420" w:firstLineChars="200"/>
        <w:rPr>
          <w:rFonts w:hint="eastAsia" w:ascii="楷体" w:hAnsi="楷体" w:eastAsia="楷体" w:cs="楷体"/>
          <w:bCs/>
        </w:rPr>
      </w:pPr>
      <w:r>
        <w:rPr>
          <w:rFonts w:hint="eastAsia" w:ascii="楷体" w:hAnsi="楷体" w:eastAsia="楷体" w:cs="楷体"/>
          <w:bCs/>
        </w:rPr>
        <w:t>（说明：本合同作为合同的基本格式，不作为最终合同，甲方有权在签订合同时对合同的相关条款及内容作进一步的细化和修改。）</w:t>
      </w:r>
    </w:p>
    <w:p>
      <w:pPr>
        <w:widowControl/>
        <w:spacing w:before="156" w:beforeLines="50" w:after="156" w:afterLines="50" w:line="360" w:lineRule="auto"/>
        <w:ind w:firstLine="482" w:firstLineChars="200"/>
        <w:jc w:val="left"/>
        <w:rPr>
          <w:rFonts w:hint="eastAsia" w:ascii="楷体" w:hAnsi="楷体" w:eastAsia="楷体" w:cs="楷体"/>
          <w:b/>
          <w:bCs/>
          <w:sz w:val="24"/>
        </w:rPr>
      </w:pPr>
      <w:r>
        <w:rPr>
          <w:rFonts w:hint="eastAsia" w:ascii="楷体" w:hAnsi="楷体" w:eastAsia="楷体" w:cs="楷体"/>
          <w:b/>
          <w:bCs/>
          <w:sz w:val="24"/>
        </w:rPr>
        <w:t>一、</w:t>
      </w:r>
      <w:bookmarkStart w:id="4" w:name="_Toc427681333"/>
      <w:bookmarkEnd w:id="4"/>
      <w:r>
        <w:rPr>
          <w:rFonts w:hint="eastAsia" w:ascii="楷体" w:hAnsi="楷体" w:eastAsia="楷体" w:cs="楷体"/>
          <w:b/>
          <w:bCs/>
          <w:sz w:val="24"/>
        </w:rPr>
        <w:t>合同专用条款</w:t>
      </w:r>
    </w:p>
    <w:tbl>
      <w:tblPr>
        <w:tblStyle w:val="17"/>
        <w:tblW w:w="9038" w:type="dxa"/>
        <w:tblInd w:w="12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499"/>
        <w:gridCol w:w="5425"/>
        <w:gridCol w:w="14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需求名称</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需求说明</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偏离选项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报价要求</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kern w:val="0"/>
                <w:sz w:val="24"/>
              </w:rPr>
              <w:t>投标报价应包括：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rPr>
              <w:t>相关费用</w:t>
            </w:r>
            <w:r>
              <w:rPr>
                <w:rFonts w:hint="eastAsia" w:ascii="楷体" w:hAnsi="楷体" w:eastAsia="楷体" w:cs="楷体"/>
                <w:kern w:val="0"/>
                <w:sz w:val="24"/>
              </w:rPr>
              <w:t>及不可预见费等完成本招标内容所需的一切费用。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1.1</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sz w:val="24"/>
                <w:highlight w:val="none"/>
              </w:rPr>
            </w:pPr>
            <w:r>
              <w:rPr>
                <w:rFonts w:hint="eastAsia" w:ascii="楷体" w:hAnsi="楷体" w:eastAsia="楷体" w:cs="楷体"/>
                <w:sz w:val="24"/>
              </w:rPr>
              <w:t>相关费用</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highlight w:val="none"/>
              </w:rPr>
            </w:pPr>
            <w:r>
              <w:rPr>
                <w:rFonts w:hint="eastAsia" w:ascii="楷体" w:hAnsi="楷体" w:eastAsia="楷体" w:cs="楷体"/>
                <w:sz w:val="24"/>
              </w:rPr>
              <w:t>质保期内设备装卸、安装、调试费用以及保证设备连续正常运行所需各种易损件、备品备件和专用维修工具等费用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2</w:t>
            </w:r>
          </w:p>
        </w:tc>
        <w:tc>
          <w:tcPr>
            <w:tcW w:w="1499"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sz w:val="24"/>
                <w:highlight w:val="none"/>
              </w:rPr>
            </w:pPr>
            <w:r>
              <w:rPr>
                <w:rFonts w:hint="eastAsia" w:ascii="楷体" w:hAnsi="楷体" w:eastAsia="楷体" w:cs="楷体"/>
                <w:sz w:val="24"/>
              </w:rPr>
              <w:t>付款方式和条件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sz w:val="24"/>
                <w:highlight w:val="none"/>
                <w:lang w:val="en-US" w:eastAsia="zh-CN"/>
              </w:rPr>
            </w:pPr>
            <w:r>
              <w:rPr>
                <w:rFonts w:hint="eastAsia" w:ascii="楷体" w:hAnsi="楷体" w:eastAsia="楷体" w:cs="楷体"/>
                <w:b w:val="0"/>
                <w:bCs w:val="0"/>
                <w:color w:val="auto"/>
                <w:sz w:val="24"/>
                <w:highlight w:val="none"/>
                <w:lang w:val="en-US" w:eastAsia="zh-CN"/>
              </w:rPr>
              <w:t>1 全部安装、调试完成，验收合格交付使用，乙方开具正式发票后，三个月内甲方支付给乙方合同总价的30%。</w:t>
            </w:r>
          </w:p>
          <w:p>
            <w:pPr>
              <w:widowControl/>
              <w:jc w:val="left"/>
              <w:rPr>
                <w:rFonts w:hint="eastAsia" w:ascii="楷体" w:hAnsi="楷体" w:eastAsia="楷体" w:cs="楷体"/>
                <w:b w:val="0"/>
                <w:bCs w:val="0"/>
                <w:color w:val="auto"/>
                <w:sz w:val="24"/>
                <w:highlight w:val="none"/>
                <w:lang w:val="en-US" w:eastAsia="zh-CN"/>
              </w:rPr>
            </w:pPr>
            <w:r>
              <w:rPr>
                <w:rFonts w:hint="eastAsia" w:ascii="楷体" w:hAnsi="楷体" w:eastAsia="楷体" w:cs="楷体"/>
                <w:b w:val="0"/>
                <w:bCs w:val="0"/>
                <w:color w:val="auto"/>
                <w:sz w:val="24"/>
                <w:highlight w:val="none"/>
                <w:lang w:val="en-US" w:eastAsia="zh-CN"/>
              </w:rPr>
              <w:t>2 剩余未付款项按月支付，在此之后的九个月内支付合同总价的60%</w:t>
            </w:r>
          </w:p>
          <w:p>
            <w:pPr>
              <w:widowControl/>
              <w:jc w:val="left"/>
              <w:rPr>
                <w:rFonts w:hint="eastAsia" w:ascii="楷体" w:hAnsi="楷体" w:eastAsia="楷体" w:cs="楷体"/>
                <w:b w:val="0"/>
                <w:bCs w:val="0"/>
                <w:color w:val="auto"/>
                <w:sz w:val="24"/>
                <w:highlight w:val="none"/>
              </w:rPr>
            </w:pPr>
            <w:r>
              <w:rPr>
                <w:rFonts w:hint="eastAsia" w:ascii="楷体" w:hAnsi="楷体" w:eastAsia="楷体" w:cs="楷体"/>
                <w:b w:val="0"/>
                <w:bCs w:val="0"/>
                <w:color w:val="auto"/>
                <w:sz w:val="24"/>
                <w:highlight w:val="none"/>
                <w:lang w:val="en-US" w:eastAsia="zh-CN"/>
              </w:rPr>
              <w:t>3 剩余10%无遗留问题后一次性支付。</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vMerge w:val="restart"/>
            <w:tcBorders>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3</w:t>
            </w:r>
          </w:p>
        </w:tc>
        <w:tc>
          <w:tcPr>
            <w:tcW w:w="1499" w:type="dxa"/>
            <w:vMerge w:val="restart"/>
            <w:tcBorders>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sz w:val="24"/>
                <w:highlight w:val="none"/>
              </w:rPr>
            </w:pPr>
            <w:r>
              <w:rPr>
                <w:rFonts w:hint="eastAsia" w:ascii="楷体" w:hAnsi="楷体" w:eastAsia="楷体" w:cs="楷体"/>
                <w:color w:val="000000"/>
                <w:kern w:val="0"/>
                <w:sz w:val="24"/>
              </w:rPr>
              <w:t>交货要求</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楷体" w:hAnsi="楷体" w:eastAsia="楷体" w:cs="楷体"/>
                <w:b w:val="0"/>
                <w:bCs w:val="0"/>
                <w:color w:val="auto"/>
                <w:sz w:val="24"/>
                <w:highlight w:val="none"/>
              </w:rPr>
            </w:pPr>
            <w:r>
              <w:rPr>
                <w:rFonts w:hint="eastAsia" w:ascii="楷体" w:hAnsi="楷体" w:eastAsia="楷体" w:cs="楷体"/>
                <w:color w:val="auto"/>
                <w:sz w:val="24"/>
                <w:highlight w:val="none"/>
              </w:rPr>
              <w:t>交货期</w:t>
            </w:r>
            <w:r>
              <w:rPr>
                <w:rFonts w:hint="eastAsia" w:ascii="楷体" w:hAnsi="楷体" w:eastAsia="楷体" w:cs="楷体"/>
                <w:sz w:val="24"/>
                <w:highlight w:val="none"/>
              </w:rPr>
              <w:t>：乙方于合同签订的</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0个</w:t>
            </w:r>
            <w:r>
              <w:rPr>
                <w:rFonts w:hint="eastAsia" w:ascii="楷体" w:hAnsi="楷体" w:eastAsia="楷体" w:cs="楷体"/>
                <w:sz w:val="24"/>
                <w:highlight w:val="none"/>
                <w:lang w:val="en-US" w:eastAsia="zh-CN"/>
              </w:rPr>
              <w:t>日历</w:t>
            </w:r>
            <w:r>
              <w:rPr>
                <w:rFonts w:hint="eastAsia" w:ascii="楷体" w:hAnsi="楷体" w:eastAsia="楷体" w:cs="楷体"/>
                <w:sz w:val="24"/>
                <w:highlight w:val="none"/>
              </w:rPr>
              <w:t>日内完成所有的供货；在具备安装条件之后，于3个工作日内完成所有设备的安装、调试工作</w:t>
            </w:r>
          </w:p>
        </w:tc>
        <w:tc>
          <w:tcPr>
            <w:tcW w:w="1448" w:type="dxa"/>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666"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p>
        </w:tc>
        <w:tc>
          <w:tcPr>
            <w:tcW w:w="1499" w:type="dxa"/>
            <w:vMerge w:val="continue"/>
            <w:tcBorders>
              <w:top w:val="single" w:color="auto" w:sz="4" w:space="0"/>
              <w:left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p>
        </w:tc>
        <w:tc>
          <w:tcPr>
            <w:tcW w:w="5425" w:type="dxa"/>
            <w:tcBorders>
              <w:top w:val="single" w:color="auto" w:sz="4" w:space="0"/>
              <w:left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招标人指定地点（包括安装至指定位置）</w:t>
            </w:r>
          </w:p>
        </w:tc>
        <w:tc>
          <w:tcPr>
            <w:tcW w:w="1448"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包装</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货物为原厂商未启封全新包装，具出厂合格证，序列号、包装箱号与出厂批号一致，并可追索查阅。所有随设备的附件必须齐全。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安装调试与验收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楷体" w:hAnsi="楷体" w:eastAsia="楷体" w:cs="楷体"/>
                <w:b w:val="0"/>
                <w:bCs w:val="0"/>
                <w:color w:val="auto"/>
                <w:kern w:val="0"/>
                <w:sz w:val="24"/>
                <w:highlight w:val="none"/>
                <w:lang w:eastAsia="zh-CN"/>
              </w:rPr>
            </w:pPr>
            <w:r>
              <w:rPr>
                <w:rFonts w:hint="eastAsia" w:ascii="楷体" w:hAnsi="楷体" w:eastAsia="楷体" w:cs="楷体"/>
                <w:color w:val="000000"/>
                <w:kern w:val="0"/>
                <w:sz w:val="24"/>
              </w:rPr>
              <w:t>买方有权委托相关专业人士对采购产品按照招标参数逐一进行测试和验收，如发现有不符合的技术指标将无条件退货，按虚假应标处理，并将虚假情况上报上级主管部门，且支付买方由此产生的一切检测费。</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培训</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中标人须派遣有经验的工程师，到使用单位对其进行优质的培训服务。对设备的使用、操作、维修进行免费培训，并提供安装使用维护说明书，以确保相关操作人员能够对设备有足够的了解和熟悉，能够独立进行设备的日常维护、保养和管理。培训所需一切资料由中标人免费提供。</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7</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质保期内服务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质量保证期：</w:t>
            </w:r>
            <w:r>
              <w:rPr>
                <w:rFonts w:hint="eastAsia" w:ascii="楷体" w:hAnsi="楷体" w:eastAsia="楷体" w:cs="楷体"/>
                <w:color w:val="000000"/>
                <w:kern w:val="0"/>
                <w:sz w:val="24"/>
                <w:lang w:eastAsia="zh-CN"/>
              </w:rPr>
              <w:t>≥</w:t>
            </w:r>
            <w:r>
              <w:rPr>
                <w:rFonts w:hint="eastAsia" w:ascii="楷体" w:hAnsi="楷体" w:eastAsia="楷体" w:cs="楷体"/>
                <w:color w:val="000000"/>
                <w:kern w:val="0"/>
                <w:sz w:val="24"/>
                <w:lang w:val="en-US" w:eastAsia="zh-CN"/>
              </w:rPr>
              <w:t>3年。</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1） 质量保证期内发生的质量问题，由中标人负责免费解决（因招标人使用不当或其他人为因素造成的故障外）；</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2） 任何时候，中标人均不能免除因设备本身的缺陷所应付的责任中标人有义务对所提供的货物实行终生维护和对设备进行定期的检测和维修；</w:t>
            </w:r>
          </w:p>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3）质保期后，中标人须为使用单位提供终身的维护，如须更换故障零部件，则只收取优惠的零件费。</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8</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技术服务条件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highlight w:val="yellow"/>
              </w:rPr>
            </w:pPr>
            <w:r>
              <w:rPr>
                <w:rFonts w:hint="eastAsia" w:ascii="楷体" w:hAnsi="楷体" w:eastAsia="楷体" w:cs="楷体"/>
                <w:color w:val="000000"/>
                <w:kern w:val="0"/>
                <w:sz w:val="24"/>
              </w:rPr>
              <w:t>1）合同签订后30天内，卖方应提供安装、调试、维修和操作所需技术文件的复印件，并派工程师与买方共同商讨场地的设计，并提供设备安装的规划设计说明。</w:t>
            </w:r>
          </w:p>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2）卖方应向买方提供投标项目必要的技术文件（原版中文或英文技术文件，电子文档2套）</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000000"/>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9</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售后服务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一）在质保期内，凡由于产品制造、组装而造成的质量问题，由卖方负责，并承担一切返修费用；所有外购件若在质保期内出现质量问题，卖方应及时免费更换；对更换件、修理件的质保期自修理或更换之日重新开始计算。（卖方负责设备安装调试及应用培训。）</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（二）由生产厂家或负责售后服务的总代理出具售后服务保证函，包含售后服务公司名称联系人及地址电话等信息，并提供设备出保后的设备保修费、常用耗材、常用维修配件及维修费的最低报价。</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10</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应提供的伴随服务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1）货物抵达后，卖方接到买方通知后，在3日内抵达到货现场，卖方与买方按合同要求中卖方出具的货物清单及资料，会同中国海关、商检部门一起开箱检验，检查设备及随机附件是否完好无损，齐备，技术资料是否与用户要求相符。如有损坏，缺件等情况，应分析原因落实索赔事宜。</w:t>
            </w:r>
          </w:p>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2）卖方负责设备安装调试及应用培训。</w:t>
            </w:r>
          </w:p>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3）卖方必须有可靠的售后服务保障，在中国设有固定的维修服务点，能提供正常的技术、备品备件服务，卖方在投标文件中应提供详细、明确的售后服务承诺和售后服务计划。</w:t>
            </w:r>
          </w:p>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4）卖方应列出工程师名单、联系电话、通讯地址及备件库地址和备件的详细目录。</w:t>
            </w:r>
          </w:p>
          <w:p>
            <w:pPr>
              <w:widowControl/>
              <w:jc w:val="left"/>
              <w:rPr>
                <w:rFonts w:hint="eastAsia" w:ascii="楷体" w:hAnsi="楷体" w:eastAsia="楷体" w:cs="楷体"/>
                <w:kern w:val="0"/>
                <w:sz w:val="24"/>
                <w:highlight w:val="none"/>
              </w:rPr>
            </w:pPr>
            <w:r>
              <w:rPr>
                <w:rFonts w:hint="eastAsia" w:ascii="楷体" w:hAnsi="楷体" w:eastAsia="楷体" w:cs="楷体"/>
                <w:color w:val="000000"/>
                <w:kern w:val="0"/>
                <w:sz w:val="24"/>
                <w:highlight w:val="none"/>
              </w:rPr>
              <w:t>5）</w:t>
            </w:r>
            <w:r>
              <w:rPr>
                <w:rFonts w:hint="eastAsia" w:ascii="楷体" w:hAnsi="楷体" w:eastAsia="楷体" w:cs="楷体"/>
                <w:kern w:val="0"/>
                <w:sz w:val="24"/>
                <w:highlight w:val="none"/>
              </w:rPr>
              <w:t>卖方应设有24小时服务热线，在质保期内若发生故障，售后服务响应时间为报修后两小时内，到现场时间为 12小时内，免费维修与更换缺陷设备及部件并解决问题的期限为卖方收到买方通知后24小时内。</w:t>
            </w:r>
            <w:r>
              <w:rPr>
                <w:rFonts w:hint="eastAsia" w:ascii="楷体" w:hAnsi="楷体" w:eastAsia="楷体" w:cs="楷体"/>
                <w:b/>
                <w:bCs/>
                <w:kern w:val="0"/>
                <w:sz w:val="24"/>
                <w:highlight w:val="none"/>
                <w:lang w:eastAsia="zh-CN"/>
              </w:rPr>
              <w:t>（注：与技术参数要求不一致时，以技术参数为准）</w:t>
            </w:r>
          </w:p>
          <w:p>
            <w:pPr>
              <w:widowControl/>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6）在质保期内，凡由于产品制造、组装而造成的质量问题，由卖方负责，并承担一切返修费用；所有外购件若在质保期内出现质量问题，卖方应及时免费更换；对更换件、修理件的质保期自修理或更换之日重新开始计算。</w:t>
            </w:r>
          </w:p>
          <w:p>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7）质量保证期内卖方应委派有关专家到工厂进行技术服务,服务周期不少于2次,保修期满后,卖方服务工程师应定期对用户进行回访。</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highlight w:val="none"/>
              </w:rPr>
              <w:t>不可负偏离</w:t>
            </w:r>
          </w:p>
        </w:tc>
      </w:tr>
    </w:tbl>
    <w:p>
      <w:pPr>
        <w:spacing w:line="360" w:lineRule="auto"/>
        <w:ind w:firstLine="480" w:firstLineChars="200"/>
        <w:rPr>
          <w:rFonts w:hint="eastAsia" w:ascii="楷体" w:hAnsi="楷体" w:eastAsia="楷体" w:cs="楷体"/>
          <w:sz w:val="24"/>
        </w:rPr>
      </w:pPr>
      <w:r>
        <w:rPr>
          <w:rFonts w:hint="eastAsia" w:ascii="楷体" w:hAnsi="楷体" w:eastAsia="楷体" w:cs="楷体"/>
          <w:color w:val="000000"/>
          <w:kern w:val="0"/>
          <w:sz w:val="24"/>
        </w:rPr>
        <w:t xml:space="preserve">注：上表中的偏离选项，“不可偏离”选项为不可更改招标要求的条款；“不可负偏离”选项为不得低于招标要求的条款；否则其投标被拒绝。“可偏离”选项为可正偏离或负偏离的条款，投标商在投标承诺时必须说明。 </w:t>
      </w:r>
      <w:r>
        <w:rPr>
          <w:rFonts w:hint="eastAsia" w:ascii="楷体" w:hAnsi="楷体" w:eastAsia="楷体" w:cs="楷体"/>
          <w:kern w:val="0"/>
          <w:sz w:val="24"/>
        </w:rPr>
        <w:t xml:space="preserve"> </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2.1定义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  本合同下列术语应解释为: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1)“合同”系指买卖双方签署的、合同格式中载明的买卖双方所达成的协议，包括所有的附件、附录和上述文件所提到的构成合同的所有文件。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2）“合同价”系指根据本合同规定卖方在正确地完全履行合同义务后买方应支付给卖方的价款。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3）“货物”系指卖方根据本合同规定须向买方提供的一切产品、硬件设备、软件和其它材料。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4）“服务”系指根据本合同规定卖方承担与工程及供货有关的辅助服务。如运输、保险以及其它的伴随服务，例如安装、调试、提供技术援助、培训和合同中规定卖方应承担的其他义务。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5）“合同条款”系指本合同条款。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6）“采购方”系指在合同专用条款中指明的购买货物和服务的单位。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7）“供货方”系指在合同专用条款中指明的提供合同项下货物和服务的公司或其他实体。</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8）“项目现场”系指本合同项下货物安装、运行的现场，其名称在合同专用条款中指明。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9）“天”之日历天数。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2.2适用性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 本合同条款适用于没有被本合同其他部分的条款所取代的范围。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2.3.1本合同下交付的货物应符合“用户需求书（技术参数要求）”要求所述的标准。如果没有提及使用标准，则应符合中华人民共和国有关机构发布的最新版本的标准。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 除非技术规格中另有规定，计量单位均采用中华人民共和国法定计量单位。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2.4使用合同文件和资料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2.4.2没有买方事先书面同意，除了履行本合同外，卖方不应使用合同条款4.1条所列举的任何文件和资料。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2.4.3除了合同本身以外，合同条款第4.1条所列举的任何文件是买方的财产.如果买方有要求,卖方在完成合同后应将这些文件及全部复制件还给买方。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2.5专利权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2.5.1卖方应保证，买方使用该货物或货物的任何一部分时，免受第三方提出的侵犯其专利权、商标权、著作权或其它知识产权的起诉。</w:t>
      </w:r>
    </w:p>
    <w:p>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rPr>
        <w:t>2.6质量保证金：</w:t>
      </w:r>
      <w:r>
        <w:rPr>
          <w:rFonts w:hint="eastAsia" w:ascii="楷体" w:hAnsi="楷体" w:eastAsia="楷体" w:cs="楷体"/>
          <w:sz w:val="24"/>
          <w:lang w:val="en-US" w:eastAsia="zh-CN"/>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2.7检验和验收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2.7.1供货验收：所有系统设备、材料到达施工现场 2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设备，一切责任由乙方自行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2.7.2乙方交付时应向甲方提交以下证明材料和文件：产品合格证、原厂证明、产品出厂检测报告等质量证明文件。进口产品须提供商检及报关证明材料，生产厂家提供针对本项目的产品售后服务承诺书。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2.7.3争议解决：双方对系统设备、材料是否符合约定标准产生争议时，送相关质检部门检测，检测结果将作为裁决依据送仲裁部门进行仲裁。检测费、裁决费用由乙方预付，裁决符合约定标准的，由甲方承担；不符合标准的，由乙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2.7.4设备的调试、验收：全部系统安装完毕后，乙方进行各项调试。调试符合要求的，通知甲方组织验收。因系统设备、材料质量导致调试不符合要求的，乙方应免费更换，使之达到技术规范要求，同时承担拆除、重新安装的费用和本合同约定的违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2.7.5所有设备在免费保修期内(  年)，如出现5次（含）以上因质量问题引起的故障，影响甲方使用，乙方负责在10个工作日内免费更换相同新设备。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2.7.6如因设备质量或原始标（警）示不清等原因，导致甲方损失，或造成甲方操作人员、第三方人员人身伤害，乙方应依法予以赔偿。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2.8包装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2.8.1供货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的货物锈蚀、损坏和丢失的任何损失的责任或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2.9装运标记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2.9.1供货方应在每一包装箱相邻的四面用不可擦除的油漆和明显的中文字样做出以下标记：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1）收货人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3）发货标记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4）收货人编号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5）目的地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6）货物名称、品目号和箱号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7）毛重/净重（用公斤表示）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8）尺寸（以长×宽×高用厘米表示）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2.9.2如果单件包装箱的重量在2吨或2吨以上，卖方应在包装箱两侧有中文和适当的运输标记注“重心”和“起吊点”以便装卸和搬运。根据货物的特点和运输的不同要求，卖方应在包装箱上清楚地标注（小心轻放）、“此端朝上，请勿倒置、保持干燥” 等字样和其他适当标记。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2.10运输和保险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2.10.1供货方负责办理将货物运抵招标文件规定的交货地点的一切运输事项，相关费用应包括在合同总价中。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2.10.2供货方应向保险公司以买方为受益人投保发运合同设备价格110%的运输一切险。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2.11.1质量保证期内的服务： 提供技术支持；进行系统免费升级；更换非人为因素损坏的零配件。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2.12伴随服务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2.12.1供货方可能被要求提供下列服务中的所有服务，包括“合同专用条款”与“用户需求书（技术参数要求）”规定的附加服务：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（1）实施所供货物的系统集成和试运行；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（2）提供货物组装和维修所需的工具；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（3）为所供货物的每一适当的单台货物提供详细的操作和维护手册；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（4）在双方商定的一定期限内对所供货物实施运行维护和修理，但前提条件是该服务并不能免除卖方在合同质量保证期内所承担的义务；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（5）免费现场培训买方使用单位1-2名设备操作人员。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2.12.2供货方提供的上述伴随服务均应含在合同总价中，买方不再为其单独一项或数项另外支付费用。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2.12.3供货方应提供“合同专用条款”和“用户需求书（技术参数要求）”中规定的所有服务。为履行要求的伴随服务的报价或双方商定的费用应包括在合同价中。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2.13.1正如合同条款所规定，供货方可能被要求提供下列与备品备件有关的材料、通知和资料：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（1）采购方从供货方选购备品备件，但前提条件是该选择并不能免除供货方在合同保证期内所承担的义务；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（2）在备品备件停止生产的情况下，供货方应事先将要停止生产的计划通知买方使买方有足够的时间采购所需的备品备件；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（3）在备品备件停止生产后，如果买方要求，卖方应免费向买方提供备品备件的蓝图、图纸和规格。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2.13.2供货方应按照“合同专用条款”/“用户需求书（技术参数要求）”中的规定提供所需的备品备件及其价格。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2.14保证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2.14.1供货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2.14.2本保证应在合同货物及工程最终验收后的12个月内保持有效。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2.14.3买方应尽快以书面方式通知卖方质量保证期内所发现的缺陷。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2.14.4卖方收到通知后应在（合同专用条款）规定的时间内以合理的速度免费维修或更换有缺陷的设备或部件，在三日内故障不能排除的，必须无条件予以更换。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2.14.5如果卖方收到通知后在合同规定的时间内没有以合理的速度弥补缺陷，买方可采取必要的补救措施，但其风险和费用将由卖方承担，买方根据合同规定对卖方行使的其他权力不受影响。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2.14.6卖方对故障或缺陷的处理结果应使买方满意。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2.14.7交货时间：乙方于合同签订的</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0个</w:t>
      </w:r>
      <w:r>
        <w:rPr>
          <w:rFonts w:hint="eastAsia" w:ascii="楷体" w:hAnsi="楷体" w:eastAsia="楷体" w:cs="楷体"/>
          <w:sz w:val="24"/>
          <w:highlight w:val="none"/>
          <w:lang w:val="en-US" w:eastAsia="zh-CN"/>
        </w:rPr>
        <w:t>日历</w:t>
      </w:r>
      <w:r>
        <w:rPr>
          <w:rFonts w:hint="eastAsia" w:ascii="楷体" w:hAnsi="楷体" w:eastAsia="楷体" w:cs="楷体"/>
          <w:sz w:val="24"/>
          <w:highlight w:val="none"/>
        </w:rPr>
        <w:t>日</w:t>
      </w:r>
      <w:r>
        <w:rPr>
          <w:rFonts w:hint="eastAsia" w:ascii="楷体" w:hAnsi="楷体" w:eastAsia="楷体" w:cs="楷体"/>
          <w:color w:val="auto"/>
          <w:sz w:val="24"/>
          <w:highlight w:val="none"/>
        </w:rPr>
        <w:t>内完成所有的供货；在具备安装条件之后，于</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个工作日内完成所有设备的安装、调试工作。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2.15索赔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2.15.1如果卖方对偏差负有责任，而买方在合同条款第13条、第14条或合同的其他条款规定的检验、安装、调试、验收和质量保证期内提出了索赔，卖方应按照买方同意的下列一种或几种方式结合起来解决索赔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（2）根据货物的偏差情况、损坏程度、以及买方所遭受损失的金额，经买卖双方商定降低货物的价格。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用符合合同规定的品牌、规格、质量和性能要求的新零件、部件和/或设备来更换有缺陷的部分和/或修补缺陷部分，卖方应承担一节费用和风险并负担买方蒙受的全部直接损失费用。同时，卖方应按合同条款第13条规定，相应延长所更换货物的质量保证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2.16付款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2.16.1本合同项下的付款方法和条件在“合同专用条款”中有规定。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2.17.1卖方在本合同项下提交货物和履行服务的价格在合同中给出。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2.18变更指令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2.18.1买方可以在任何时候书面向卖方发出指令，在本合同的一般范围内变更下述一项或几项：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（1）本合同项下提供的货物是专为买方制造时，变更图纸、设计或规格；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（2）运输或包装的方法；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（4）卖方提供的服务。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2.19．合同修改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2.19.1除了合同条款第17条的情况，不应对合同条款进行任何变更或修改，除非双方同意并签订书面的合同修改书。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2.20转让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2.20.1未经买方事先书面同意，卖方不得部分转让或全部转让其应履行的合同义务。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2.21.1对招标文件中没有明确分包的内容，卖方在未取得买方书面同意的通知，不得擅自进行分包，但分包通知并不能解除卖方履行本合同的任何责任和义务。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2.22卖方履约延误：依照甲乙双方签订的合同执行。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2.23不可抗力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2.23.3因合同一方迟延履行合同后发生不可抗力的，不能免除迟延履行方的相应责任。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2.24因破产而终止合同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2.24.1如果卖方破产或无清偿能力，买方可在任何时候以书面形式通知卖方，提出终止合同而不给卖方补偿。该合同的终止将不损害或影响买方已经采取或将要采取的任何行动或补救措施的权力。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2.25因买方的便利而终止合同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2.25.2对卖方收到终止通知后十五（15）天内已完成并准备装运的货物，买方应按原合同价格和条款予以接收，对于剩下的货物，买方可：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（1）仅对部分货物按照原来的合同价格和条款予以接受。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（2）取消对所剩货物的采购，并按双方商定的金额向卖方支付部分完成的货物和服务以及卖方以前已采购的材料和部件的费用。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2.26争议的解决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2.26.1因执行本合同所发生的或与本合同有关的一切争议，双方应通过友好协商解决。如果协商开始后三十（30）天还不能解决，任何一方均可按中华人民共和国有关法律的规定提交仲裁。仲裁地点为安康市仲裁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2.26.2仲裁裁决应为最终裁决，对双方均具有约束力。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2.26.3仲裁费除仲裁机关另有裁决外均应由败诉方负担。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2.26.4在仲裁期间，除正在进行仲裁的部分外，本合同其它部分应继续执行。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2.27合同语言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2.27.1本合同语言为中文。双方交换的与合同有关的信函均用中文书写。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2.28适用法律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2.28.1本合同应按照中华人民共和国的法律进行解释。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2.29通知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2.29.1本合同一方给对方的通知应用书面形式传真送到“合同专用条款”中规定的对方的地址。传真需经书面确认。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2.29.2通知以送到日期或通知书的生效日期为生效日期，两者中以晚的一个日期为准。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2.30税款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2.30.1按照中华人民共和国税法和有关部门的规定，买方需交纳的与本合同有关的一切税旨均应由买方负担。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2.30.2按照中华人民共和国税法和有关部门的规定，卖方需交纳的与本合同有关的一切税旨均应由卖方负担。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2.31合同生效及其他</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2.31.1本合同经买卖双方及招标单位授权代表签字盖章后生效。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2.31.2如需修改合同内容，双方应签署书面修改或补充协议，该修改协议作为本合同的一个组成部分。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2.31.3本合同具有法律效力，受国家法律保护。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2.31.4本合同一式伍份，买方(使用单位)叁份，卖方贰份，招标代理机构合同复印件壹份。</w:t>
      </w:r>
    </w:p>
    <w:p>
      <w:pPr>
        <w:rPr>
          <w:rFonts w:hint="eastAsia" w:ascii="楷体" w:hAnsi="楷体" w:eastAsia="楷体" w:cs="楷体"/>
          <w:sz w:val="28"/>
        </w:rPr>
      </w:pPr>
      <w:r>
        <w:rPr>
          <w:rFonts w:hint="eastAsia" w:ascii="楷体" w:hAnsi="楷体" w:eastAsia="楷体" w:cs="楷体"/>
          <w:sz w:val="28"/>
        </w:rPr>
        <w:t>三、医疗设备采购合同</w:t>
      </w:r>
    </w:p>
    <w:p>
      <w:pPr>
        <w:spacing w:line="360" w:lineRule="auto"/>
        <w:ind w:right="-1"/>
        <w:jc w:val="center"/>
        <w:outlineLvl w:val="0"/>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 xml:space="preserve"> 医疗设备买卖合同</w:t>
      </w:r>
    </w:p>
    <w:p>
      <w:pPr>
        <w:spacing w:line="360" w:lineRule="auto"/>
        <w:ind w:right="-1"/>
        <w:outlineLvl w:val="0"/>
        <w:rPr>
          <w:rFonts w:hint="eastAsia" w:ascii="楷体" w:hAnsi="楷体" w:eastAsia="楷体" w:cs="楷体"/>
          <w:b/>
          <w:sz w:val="24"/>
          <w:szCs w:val="24"/>
        </w:rPr>
      </w:pPr>
      <w:r>
        <w:rPr>
          <w:rFonts w:hint="eastAsia" w:ascii="楷体" w:hAnsi="楷体" w:eastAsia="楷体" w:cs="楷体"/>
          <w:b/>
          <w:sz w:val="24"/>
          <w:szCs w:val="24"/>
        </w:rPr>
        <w:t>合 同 编 号</w:t>
      </w:r>
      <w:r>
        <w:rPr>
          <w:rFonts w:hint="eastAsia" w:ascii="楷体" w:hAnsi="楷体" w:eastAsia="楷体" w:cs="楷体"/>
          <w:b/>
          <w:sz w:val="24"/>
          <w:szCs w:val="24"/>
          <w:u w:val="single"/>
        </w:rPr>
        <w:t xml:space="preserve">          </w:t>
      </w:r>
      <w:r>
        <w:rPr>
          <w:rFonts w:hint="eastAsia" w:ascii="楷体" w:hAnsi="楷体" w:eastAsia="楷体" w:cs="楷体"/>
          <w:b/>
          <w:color w:val="FF0000"/>
          <w:sz w:val="24"/>
          <w:szCs w:val="24"/>
          <w:u w:val="single"/>
        </w:rPr>
        <w:t>提示：合同编号暂不填写，拟定合同时请删除此提示。</w:t>
      </w:r>
    </w:p>
    <w:p>
      <w:pPr>
        <w:spacing w:line="360" w:lineRule="auto"/>
        <w:ind w:right="-1"/>
        <w:outlineLvl w:val="0"/>
        <w:rPr>
          <w:rFonts w:hint="eastAsia" w:ascii="楷体" w:hAnsi="楷体" w:eastAsia="楷体" w:cs="楷体"/>
          <w:b/>
          <w:sz w:val="24"/>
          <w:szCs w:val="24"/>
        </w:rPr>
      </w:pPr>
      <w:r>
        <w:rPr>
          <w:rFonts w:hint="eastAsia" w:ascii="楷体" w:hAnsi="楷体" w:eastAsia="楷体" w:cs="楷体"/>
          <w:b/>
          <w:sz w:val="24"/>
          <w:szCs w:val="24"/>
        </w:rPr>
        <w:t xml:space="preserve">甲方（买方）：安康市中心医院       </w:t>
      </w:r>
    </w:p>
    <w:p>
      <w:pPr>
        <w:snapToGrid w:val="0"/>
        <w:spacing w:line="360" w:lineRule="auto"/>
        <w:rPr>
          <w:rFonts w:hint="eastAsia" w:ascii="楷体" w:hAnsi="楷体" w:eastAsia="楷体" w:cs="楷体"/>
          <w:b/>
          <w:sz w:val="24"/>
          <w:szCs w:val="24"/>
          <w:u w:val="single"/>
        </w:rPr>
      </w:pPr>
      <w:r>
        <w:rPr>
          <w:rFonts w:hint="eastAsia" w:ascii="楷体" w:hAnsi="楷体" w:eastAsia="楷体" w:cs="楷体"/>
          <w:b/>
          <w:sz w:val="24"/>
          <w:szCs w:val="24"/>
        </w:rPr>
        <w:t>乙方（卖方）：</w:t>
      </w:r>
      <w:r>
        <w:rPr>
          <w:rFonts w:hint="eastAsia" w:ascii="楷体" w:hAnsi="楷体" w:eastAsia="楷体" w:cs="楷体"/>
          <w:b/>
          <w:sz w:val="24"/>
          <w:szCs w:val="24"/>
          <w:u w:val="single"/>
        </w:rPr>
        <w:t xml:space="preserve">                </w:t>
      </w:r>
    </w:p>
    <w:p>
      <w:pPr>
        <w:spacing w:line="360" w:lineRule="auto"/>
        <w:ind w:right="-1" w:firstLine="480" w:firstLineChars="200"/>
        <w:outlineLvl w:val="0"/>
        <w:rPr>
          <w:rFonts w:hint="eastAsia" w:ascii="楷体" w:hAnsi="楷体" w:eastAsia="楷体" w:cs="楷体"/>
          <w:color w:val="000000"/>
          <w:sz w:val="24"/>
          <w:szCs w:val="24"/>
        </w:rPr>
      </w:pPr>
      <w:bookmarkStart w:id="5" w:name="_Toc341030114"/>
      <w:r>
        <w:rPr>
          <w:rFonts w:hint="eastAsia" w:ascii="楷体" w:hAnsi="楷体" w:eastAsia="楷体" w:cs="楷体"/>
          <w:sz w:val="24"/>
          <w:szCs w:val="24"/>
        </w:rPr>
        <w:t>依据《中华人民共和国政府采购法》、《中华人民共和国合同法》及其他有关法律、法规之规定，以及采购文件、投标（响应）文件规定条款和中标（成交）供应商承诺书、中标通知书等</w:t>
      </w:r>
      <w:r>
        <w:rPr>
          <w:rFonts w:hint="eastAsia" w:ascii="楷体" w:hAnsi="楷体" w:eastAsia="楷体" w:cs="楷体"/>
          <w:color w:val="000000"/>
          <w:sz w:val="24"/>
          <w:szCs w:val="24"/>
        </w:rPr>
        <w:t>，甲、乙双方同意签订</w:t>
      </w:r>
      <w:r>
        <w:rPr>
          <w:rFonts w:hint="eastAsia" w:ascii="楷体" w:hAnsi="楷体" w:eastAsia="楷体" w:cs="楷体"/>
          <w:color w:val="000000"/>
          <w:sz w:val="24"/>
          <w:szCs w:val="24"/>
          <w:u w:val="single"/>
        </w:rPr>
        <w:t>××××</w:t>
      </w:r>
      <w:r>
        <w:rPr>
          <w:rFonts w:hint="eastAsia" w:ascii="楷体" w:hAnsi="楷体" w:eastAsia="楷体" w:cs="楷体"/>
          <w:b/>
          <w:color w:val="FF0000"/>
          <w:sz w:val="24"/>
          <w:szCs w:val="24"/>
          <w:u w:val="single"/>
        </w:rPr>
        <w:t>（采购项目名称+编号，拟定合同时请删除此提示）</w:t>
      </w:r>
      <w:r>
        <w:rPr>
          <w:rFonts w:hint="eastAsia" w:ascii="楷体" w:hAnsi="楷体" w:eastAsia="楷体" w:cs="楷体"/>
          <w:color w:val="000000"/>
          <w:sz w:val="24"/>
          <w:szCs w:val="24"/>
          <w:u w:val="single"/>
        </w:rPr>
        <w:t>第×标段供应合同</w:t>
      </w:r>
      <w:r>
        <w:rPr>
          <w:rFonts w:hint="eastAsia" w:ascii="楷体" w:hAnsi="楷体" w:eastAsia="楷体" w:cs="楷体"/>
          <w:color w:val="000000"/>
          <w:sz w:val="24"/>
          <w:szCs w:val="24"/>
        </w:rPr>
        <w:t>。</w:t>
      </w:r>
    </w:p>
    <w:p>
      <w:pPr>
        <w:spacing w:line="360" w:lineRule="auto"/>
        <w:ind w:right="-1" w:firstLine="482" w:firstLineChars="200"/>
        <w:outlineLvl w:val="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第一条 合同标的</w:t>
      </w:r>
    </w:p>
    <w:bookmarkEnd w:id="5"/>
    <w:tbl>
      <w:tblPr>
        <w:tblStyle w:val="18"/>
        <w:tblpPr w:leftFromText="180" w:rightFromText="180" w:vertAnchor="text" w:horzAnchor="page" w:tblpXSpec="center" w:tblpY="128"/>
        <w:tblOverlap w:val="never"/>
        <w:tblW w:w="82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560"/>
        <w:gridCol w:w="1026"/>
        <w:gridCol w:w="1067"/>
        <w:gridCol w:w="667"/>
        <w:gridCol w:w="653"/>
        <w:gridCol w:w="749"/>
        <w:gridCol w:w="864"/>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82" w:type="dxa"/>
            <w:noWrap w:val="0"/>
            <w:vAlign w:val="center"/>
          </w:tcPr>
          <w:p>
            <w:pPr>
              <w:spacing w:line="240" w:lineRule="auto"/>
              <w:ind w:right="-1"/>
              <w:jc w:val="center"/>
              <w:rPr>
                <w:rFonts w:hint="eastAsia" w:ascii="楷体" w:hAnsi="楷体" w:eastAsia="楷体" w:cs="楷体"/>
                <w:b/>
                <w:bCs/>
                <w:color w:val="000000"/>
                <w:sz w:val="20"/>
                <w:szCs w:val="20"/>
              </w:rPr>
            </w:pPr>
            <w:bookmarkStart w:id="6" w:name="_Toc341030115"/>
            <w:r>
              <w:rPr>
                <w:rFonts w:hint="eastAsia" w:ascii="楷体" w:hAnsi="楷体" w:eastAsia="楷体" w:cs="楷体"/>
                <w:b/>
                <w:bCs/>
                <w:color w:val="000000"/>
                <w:sz w:val="20"/>
                <w:szCs w:val="20"/>
              </w:rPr>
              <w:t>序号</w:t>
            </w:r>
          </w:p>
        </w:tc>
        <w:tc>
          <w:tcPr>
            <w:tcW w:w="1560"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货物名称</w:t>
            </w:r>
          </w:p>
        </w:tc>
        <w:tc>
          <w:tcPr>
            <w:tcW w:w="1026"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规格型号</w:t>
            </w:r>
          </w:p>
        </w:tc>
        <w:tc>
          <w:tcPr>
            <w:tcW w:w="106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生产厂家</w:t>
            </w:r>
          </w:p>
        </w:tc>
        <w:tc>
          <w:tcPr>
            <w:tcW w:w="66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单位</w:t>
            </w:r>
          </w:p>
        </w:tc>
        <w:tc>
          <w:tcPr>
            <w:tcW w:w="653"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数量</w:t>
            </w:r>
          </w:p>
        </w:tc>
        <w:tc>
          <w:tcPr>
            <w:tcW w:w="749"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质保年限</w:t>
            </w:r>
          </w:p>
        </w:tc>
        <w:tc>
          <w:tcPr>
            <w:tcW w:w="864"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单价（元）</w:t>
            </w:r>
          </w:p>
        </w:tc>
        <w:tc>
          <w:tcPr>
            <w:tcW w:w="877" w:type="dxa"/>
            <w:noWrap w:val="0"/>
            <w:vAlign w:val="center"/>
          </w:tcPr>
          <w:p>
            <w:pPr>
              <w:spacing w:line="240" w:lineRule="auto"/>
              <w:ind w:right="-1"/>
              <w:jc w:val="center"/>
              <w:rPr>
                <w:rFonts w:hint="eastAsia" w:ascii="楷体" w:hAnsi="楷体" w:eastAsia="楷体" w:cs="楷体"/>
                <w:b/>
                <w:bCs/>
                <w:color w:val="000000"/>
                <w:sz w:val="20"/>
                <w:szCs w:val="20"/>
              </w:rPr>
            </w:pPr>
            <w:r>
              <w:rPr>
                <w:rFonts w:hint="eastAsia" w:ascii="楷体" w:hAnsi="楷体" w:eastAsia="楷体" w:cs="楷体"/>
                <w:b/>
                <w:bCs/>
                <w:color w:val="000000"/>
                <w:sz w:val="20"/>
                <w:szCs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1</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2</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82" w:type="dxa"/>
            <w:noWrap w:val="0"/>
            <w:vAlign w:val="center"/>
          </w:tcPr>
          <w:p>
            <w:pPr>
              <w:spacing w:line="360" w:lineRule="auto"/>
              <w:ind w:right="-1"/>
              <w:jc w:val="center"/>
              <w:rPr>
                <w:rFonts w:hint="eastAsia" w:ascii="楷体" w:hAnsi="楷体" w:eastAsia="楷体" w:cs="楷体"/>
                <w:color w:val="000000"/>
                <w:sz w:val="20"/>
                <w:szCs w:val="20"/>
              </w:rPr>
            </w:pPr>
            <w:r>
              <w:rPr>
                <w:rFonts w:hint="eastAsia" w:ascii="楷体" w:hAnsi="楷体" w:eastAsia="楷体" w:cs="楷体"/>
                <w:color w:val="000000"/>
                <w:sz w:val="20"/>
                <w:szCs w:val="20"/>
              </w:rPr>
              <w:t>3</w:t>
            </w:r>
          </w:p>
        </w:tc>
        <w:tc>
          <w:tcPr>
            <w:tcW w:w="1560" w:type="dxa"/>
            <w:noWrap w:val="0"/>
            <w:vAlign w:val="center"/>
          </w:tcPr>
          <w:p>
            <w:pPr>
              <w:spacing w:line="360" w:lineRule="auto"/>
              <w:ind w:right="-1"/>
              <w:jc w:val="center"/>
              <w:rPr>
                <w:rFonts w:hint="eastAsia" w:ascii="楷体" w:hAnsi="楷体" w:eastAsia="楷体" w:cs="楷体"/>
                <w:color w:val="000000"/>
                <w:sz w:val="20"/>
                <w:szCs w:val="20"/>
              </w:rPr>
            </w:pPr>
          </w:p>
        </w:tc>
        <w:tc>
          <w:tcPr>
            <w:tcW w:w="1026" w:type="dxa"/>
            <w:noWrap w:val="0"/>
            <w:vAlign w:val="center"/>
          </w:tcPr>
          <w:p>
            <w:pPr>
              <w:spacing w:line="360" w:lineRule="auto"/>
              <w:ind w:right="-1"/>
              <w:jc w:val="center"/>
              <w:rPr>
                <w:rFonts w:hint="eastAsia" w:ascii="楷体" w:hAnsi="楷体" w:eastAsia="楷体" w:cs="楷体"/>
                <w:color w:val="000000"/>
                <w:sz w:val="20"/>
                <w:szCs w:val="20"/>
              </w:rPr>
            </w:pPr>
          </w:p>
        </w:tc>
        <w:tc>
          <w:tcPr>
            <w:tcW w:w="1067" w:type="dxa"/>
            <w:noWrap w:val="0"/>
            <w:vAlign w:val="center"/>
          </w:tcPr>
          <w:p>
            <w:pPr>
              <w:spacing w:line="360" w:lineRule="auto"/>
              <w:ind w:right="-1"/>
              <w:jc w:val="center"/>
              <w:rPr>
                <w:rFonts w:hint="eastAsia" w:ascii="楷体" w:hAnsi="楷体" w:eastAsia="楷体" w:cs="楷体"/>
                <w:color w:val="000000"/>
                <w:sz w:val="20"/>
                <w:szCs w:val="20"/>
              </w:rPr>
            </w:pPr>
          </w:p>
        </w:tc>
        <w:tc>
          <w:tcPr>
            <w:tcW w:w="667" w:type="dxa"/>
            <w:noWrap w:val="0"/>
            <w:vAlign w:val="center"/>
          </w:tcPr>
          <w:p>
            <w:pPr>
              <w:spacing w:line="360" w:lineRule="auto"/>
              <w:ind w:right="-1"/>
              <w:jc w:val="center"/>
              <w:rPr>
                <w:rFonts w:hint="eastAsia" w:ascii="楷体" w:hAnsi="楷体" w:eastAsia="楷体" w:cs="楷体"/>
                <w:color w:val="000000"/>
                <w:sz w:val="20"/>
                <w:szCs w:val="20"/>
              </w:rPr>
            </w:pPr>
          </w:p>
        </w:tc>
        <w:tc>
          <w:tcPr>
            <w:tcW w:w="653" w:type="dxa"/>
            <w:noWrap w:val="0"/>
            <w:vAlign w:val="center"/>
          </w:tcPr>
          <w:p>
            <w:pPr>
              <w:spacing w:line="360" w:lineRule="auto"/>
              <w:ind w:right="-1"/>
              <w:jc w:val="center"/>
              <w:rPr>
                <w:rFonts w:hint="eastAsia" w:ascii="楷体" w:hAnsi="楷体" w:eastAsia="楷体" w:cs="楷体"/>
                <w:color w:val="000000"/>
                <w:sz w:val="20"/>
                <w:szCs w:val="20"/>
              </w:rPr>
            </w:pPr>
          </w:p>
        </w:tc>
        <w:tc>
          <w:tcPr>
            <w:tcW w:w="749" w:type="dxa"/>
            <w:noWrap w:val="0"/>
            <w:vAlign w:val="center"/>
          </w:tcPr>
          <w:p>
            <w:pPr>
              <w:spacing w:line="360" w:lineRule="auto"/>
              <w:ind w:right="-1"/>
              <w:jc w:val="center"/>
              <w:rPr>
                <w:rFonts w:hint="eastAsia" w:ascii="楷体" w:hAnsi="楷体" w:eastAsia="楷体" w:cs="楷体"/>
                <w:color w:val="000000"/>
                <w:sz w:val="20"/>
                <w:szCs w:val="20"/>
              </w:rPr>
            </w:pPr>
          </w:p>
        </w:tc>
        <w:tc>
          <w:tcPr>
            <w:tcW w:w="864" w:type="dxa"/>
            <w:noWrap w:val="0"/>
            <w:vAlign w:val="center"/>
          </w:tcPr>
          <w:p>
            <w:pPr>
              <w:spacing w:line="360" w:lineRule="auto"/>
              <w:ind w:right="-1"/>
              <w:jc w:val="center"/>
              <w:rPr>
                <w:rFonts w:hint="eastAsia" w:ascii="楷体" w:hAnsi="楷体" w:eastAsia="楷体" w:cs="楷体"/>
                <w:color w:val="000000"/>
                <w:sz w:val="20"/>
                <w:szCs w:val="20"/>
              </w:rPr>
            </w:pPr>
          </w:p>
        </w:tc>
        <w:tc>
          <w:tcPr>
            <w:tcW w:w="877" w:type="dxa"/>
            <w:noWrap w:val="0"/>
            <w:vAlign w:val="center"/>
          </w:tcPr>
          <w:p>
            <w:pPr>
              <w:spacing w:line="360" w:lineRule="auto"/>
              <w:ind w:right="-1"/>
              <w:jc w:val="center"/>
              <w:rPr>
                <w:rFonts w:hint="eastAsia" w:ascii="楷体" w:hAnsi="楷体" w:eastAsia="楷体" w:cs="楷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ind w:right="-1"/>
              <w:jc w:val="left"/>
              <w:rPr>
                <w:rFonts w:hint="eastAsia" w:ascii="楷体" w:hAnsi="楷体" w:eastAsia="楷体" w:cs="楷体"/>
                <w:color w:val="000000"/>
                <w:sz w:val="20"/>
                <w:szCs w:val="20"/>
              </w:rPr>
            </w:pPr>
            <w:r>
              <w:rPr>
                <w:rFonts w:hint="eastAsia" w:ascii="楷体" w:hAnsi="楷体" w:eastAsia="楷体" w:cs="楷体"/>
                <w:sz w:val="20"/>
                <w:szCs w:val="20"/>
              </w:rPr>
              <w:t xml:space="preserve">人民币合计金额（大写）：                                    （小写）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rPr>
                <w:rFonts w:hint="eastAsia" w:ascii="楷体" w:hAnsi="楷体" w:eastAsia="楷体" w:cs="楷体"/>
                <w:sz w:val="20"/>
                <w:szCs w:val="20"/>
              </w:rPr>
            </w:pPr>
            <w:r>
              <w:rPr>
                <w:rFonts w:hint="eastAsia" w:ascii="楷体" w:hAnsi="楷体" w:eastAsia="楷体" w:cs="楷体"/>
                <w:b/>
                <w:bCs/>
                <w:sz w:val="20"/>
                <w:szCs w:val="20"/>
              </w:rPr>
              <w:t>说明：</w:t>
            </w:r>
            <w:r>
              <w:rPr>
                <w:rFonts w:hint="eastAsia" w:ascii="楷体" w:hAnsi="楷体" w:eastAsia="楷体" w:cs="楷体"/>
                <w:sz w:val="20"/>
                <w:szCs w:val="20"/>
              </w:rPr>
              <w:t>合计金额包括货物价款、备件、专用工具、安装、调试、检验、技术培训及技术资料和包装、运输等全部费用，甲方不再支付任何费用。</w:t>
            </w:r>
          </w:p>
        </w:tc>
      </w:tr>
    </w:tbl>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第二条 质量</w:t>
      </w:r>
      <w:bookmarkEnd w:id="6"/>
      <w:r>
        <w:rPr>
          <w:rFonts w:hint="eastAsia" w:ascii="楷体" w:hAnsi="楷体" w:eastAsia="楷体" w:cs="楷体"/>
          <w:b/>
          <w:bCs/>
          <w:sz w:val="24"/>
          <w:szCs w:val="24"/>
        </w:rPr>
        <w:t>保证</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2.1 乙方所提供的货物型号、技术规格、技术参数等质量，必须符合国家、行业现行的设计、安全、质量等相关标准规范要求，与采购文件、投标（响应）文件和承诺相一致。 </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2.2 乙方所提供的货物必须是全新、未使用的原装产品，且在正常安装、使用和保养条件下，其使用寿命期内各项指标均达到质量要求。</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第三条 知识版权</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乙方应保证所提供货物在使用时不会侵犯任何第三方的专利权、商标权、工业设计权或其他权利。</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第四条 包装和运输</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4.1 乙方采用包装方式必须符合包装和运输的有关标准，包装应为制造商出厂时的原包装（特殊约定除外），每一包装单元内应附详细的装箱单和质量合格证。</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4.2 运输方式及费用负担</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由乙方负责运输至交货地点或者甲方指定地点，运输费用及安全均由乙方负责承担。                           由乙方负责卸车及就位，费用及安全均由乙方负责承担。</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第五条 交付和验收</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 xml:space="preserve">5.1 </w:t>
      </w:r>
      <w:r>
        <w:rPr>
          <w:rFonts w:hint="eastAsia" w:ascii="楷体" w:hAnsi="楷体" w:eastAsia="楷体" w:cs="楷体"/>
          <w:b/>
          <w:bCs/>
          <w:sz w:val="24"/>
          <w:szCs w:val="24"/>
        </w:rPr>
        <w:t>交货时间：</w:t>
      </w:r>
      <w:r>
        <w:rPr>
          <w:rFonts w:hint="eastAsia" w:ascii="楷体" w:hAnsi="楷体" w:eastAsia="楷体" w:cs="楷体"/>
          <w:sz w:val="24"/>
          <w:szCs w:val="24"/>
        </w:rPr>
        <w:t>乙方于合同签订的</w:t>
      </w:r>
      <w:r>
        <w:rPr>
          <w:rFonts w:hint="eastAsia" w:ascii="楷体" w:hAnsi="楷体" w:eastAsia="楷体" w:cs="楷体"/>
          <w:sz w:val="24"/>
          <w:szCs w:val="24"/>
          <w:u w:val="single"/>
        </w:rPr>
        <w:t xml:space="preserve">     </w:t>
      </w:r>
      <w:r>
        <w:rPr>
          <w:rFonts w:hint="eastAsia" w:ascii="楷体" w:hAnsi="楷体" w:eastAsia="楷体" w:cs="楷体"/>
          <w:sz w:val="24"/>
          <w:szCs w:val="24"/>
        </w:rPr>
        <w:t>个工作日内完成所有的供货；在具备安装条件之后，于</w:t>
      </w:r>
      <w:r>
        <w:rPr>
          <w:rFonts w:hint="eastAsia" w:ascii="楷体" w:hAnsi="楷体" w:eastAsia="楷体" w:cs="楷体"/>
          <w:sz w:val="24"/>
          <w:szCs w:val="24"/>
          <w:u w:val="single"/>
        </w:rPr>
        <w:t xml:space="preserve">     </w:t>
      </w:r>
      <w:r>
        <w:rPr>
          <w:rFonts w:hint="eastAsia" w:ascii="楷体" w:hAnsi="楷体" w:eastAsia="楷体" w:cs="楷体"/>
          <w:sz w:val="24"/>
          <w:szCs w:val="24"/>
        </w:rPr>
        <w:t>个工作日内完成所有设备的安装、调试工作。</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 xml:space="preserve">5.2 </w:t>
      </w:r>
      <w:r>
        <w:rPr>
          <w:rFonts w:hint="eastAsia" w:ascii="楷体" w:hAnsi="楷体" w:eastAsia="楷体" w:cs="楷体"/>
          <w:b/>
          <w:bCs/>
          <w:sz w:val="24"/>
          <w:szCs w:val="24"/>
        </w:rPr>
        <w:t>指定履约人员：</w:t>
      </w:r>
      <w:r>
        <w:rPr>
          <w:rFonts w:hint="eastAsia" w:ascii="楷体" w:hAnsi="楷体" w:eastAsia="楷体" w:cs="楷体"/>
          <w:sz w:val="24"/>
          <w:szCs w:val="24"/>
        </w:rPr>
        <w:t>甲方指定</w:t>
      </w:r>
      <w:r>
        <w:rPr>
          <w:rFonts w:hint="eastAsia" w:ascii="楷体" w:hAnsi="楷体" w:eastAsia="楷体" w:cs="楷体"/>
          <w:sz w:val="24"/>
          <w:szCs w:val="24"/>
          <w:u w:val="single"/>
        </w:rPr>
        <w:t xml:space="preserve">        </w:t>
      </w:r>
      <w:r>
        <w:rPr>
          <w:rFonts w:hint="eastAsia" w:ascii="楷体" w:hAnsi="楷体" w:eastAsia="楷体" w:cs="楷体"/>
          <w:sz w:val="24"/>
          <w:szCs w:val="24"/>
        </w:rPr>
        <w:t>为代表，组织甲方相关人员检验、接收货物，签收（或送达）合同履行资料。乙方指定</w:t>
      </w:r>
      <w:r>
        <w:rPr>
          <w:rFonts w:hint="eastAsia" w:ascii="楷体" w:hAnsi="楷体" w:eastAsia="楷体" w:cs="楷体"/>
          <w:sz w:val="24"/>
          <w:szCs w:val="24"/>
          <w:u w:val="single"/>
        </w:rPr>
        <w:t xml:space="preserve">       </w:t>
      </w:r>
      <w:r>
        <w:rPr>
          <w:rFonts w:hint="eastAsia" w:ascii="楷体" w:hAnsi="楷体" w:eastAsia="楷体" w:cs="楷体"/>
          <w:sz w:val="24"/>
          <w:szCs w:val="24"/>
        </w:rPr>
        <w:t>代表乙方交付货物，签收（或送达）合同履行资料。上述指定人员如需变更，应以书面形式于变更之日通知对方。非指定人员签署的履行资料，在结算时甲方不予认可。</w:t>
      </w:r>
    </w:p>
    <w:p>
      <w:pPr>
        <w:spacing w:line="360" w:lineRule="auto"/>
        <w:ind w:firstLine="560"/>
        <w:rPr>
          <w:rFonts w:hint="eastAsia" w:ascii="楷体" w:hAnsi="楷体" w:eastAsia="楷体" w:cs="楷体"/>
          <w:color w:val="000000"/>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3</w:t>
      </w:r>
      <w:r>
        <w:rPr>
          <w:rFonts w:hint="eastAsia" w:ascii="楷体" w:hAnsi="楷体" w:eastAsia="楷体" w:cs="楷体"/>
          <w:sz w:val="24"/>
          <w:szCs w:val="24"/>
        </w:rPr>
        <w:t xml:space="preserve"> </w:t>
      </w:r>
      <w:r>
        <w:rPr>
          <w:rFonts w:hint="eastAsia" w:ascii="楷体" w:hAnsi="楷体" w:eastAsia="楷体" w:cs="楷体"/>
          <w:b/>
          <w:bCs/>
          <w:sz w:val="24"/>
          <w:szCs w:val="24"/>
        </w:rPr>
        <w:t>安装调试：</w:t>
      </w:r>
      <w:r>
        <w:rPr>
          <w:rFonts w:hint="eastAsia" w:ascii="楷体" w:hAnsi="楷体" w:eastAsia="楷体" w:cs="楷体"/>
          <w:sz w:val="24"/>
          <w:szCs w:val="24"/>
        </w:rPr>
        <w:t>乙方负责在货物到达甲方交货地点或者指定地点7日内到甲方现场调试服务，遵守安全、文明规定，服从项目管理单位的管理，承担安全文明施工责任和成品保护责任。安装调试期间，</w:t>
      </w:r>
      <w:r>
        <w:rPr>
          <w:rFonts w:hint="eastAsia" w:ascii="楷体" w:hAnsi="楷体" w:eastAsia="楷体" w:cs="楷体"/>
          <w:color w:val="000000"/>
          <w:sz w:val="24"/>
          <w:szCs w:val="24"/>
        </w:rPr>
        <w:t>若发生任何不安全事件(人员、设备、设施)，乙方负责承担。</w:t>
      </w:r>
    </w:p>
    <w:p>
      <w:pPr>
        <w:pStyle w:val="22"/>
        <w:spacing w:line="360" w:lineRule="auto"/>
        <w:ind w:firstLine="480"/>
        <w:jc w:val="left"/>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 xml:space="preserve"> </w:t>
      </w:r>
      <w:r>
        <w:rPr>
          <w:rFonts w:hint="eastAsia" w:ascii="楷体" w:hAnsi="楷体" w:eastAsia="楷体" w:cs="楷体"/>
          <w:b/>
          <w:bCs/>
          <w:sz w:val="24"/>
          <w:szCs w:val="24"/>
        </w:rPr>
        <w:t>验收标准：</w:t>
      </w:r>
      <w:r>
        <w:rPr>
          <w:rFonts w:hint="eastAsia" w:ascii="楷体" w:hAnsi="楷体" w:eastAsia="楷体" w:cs="楷体"/>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pPr>
        <w:spacing w:line="360" w:lineRule="auto"/>
        <w:ind w:right="-1" w:firstLine="480" w:firstLineChars="200"/>
        <w:rPr>
          <w:rFonts w:hint="eastAsia" w:ascii="楷体" w:hAnsi="楷体" w:eastAsia="楷体" w:cs="楷体"/>
          <w:sz w:val="24"/>
          <w:szCs w:val="24"/>
          <w:u w:val="single"/>
        </w:rPr>
      </w:pPr>
      <w:r>
        <w:rPr>
          <w:rFonts w:hint="eastAsia" w:ascii="楷体" w:hAnsi="楷体" w:eastAsia="楷体" w:cs="楷体"/>
          <w:color w:val="000000"/>
          <w:sz w:val="24"/>
          <w:szCs w:val="24"/>
        </w:rPr>
        <w:t>5.</w:t>
      </w:r>
      <w:r>
        <w:rPr>
          <w:rFonts w:hint="eastAsia" w:ascii="楷体" w:hAnsi="楷体" w:eastAsia="楷体" w:cs="楷体"/>
          <w:color w:val="000000"/>
          <w:sz w:val="24"/>
          <w:szCs w:val="24"/>
          <w:lang w:val="en-US" w:eastAsia="zh-CN"/>
        </w:rPr>
        <w:t>4</w:t>
      </w:r>
      <w:r>
        <w:rPr>
          <w:rFonts w:hint="eastAsia" w:ascii="楷体" w:hAnsi="楷体" w:eastAsia="楷体" w:cs="楷体"/>
          <w:color w:val="000000"/>
          <w:sz w:val="24"/>
          <w:szCs w:val="24"/>
        </w:rPr>
        <w:t>.1</w:t>
      </w:r>
      <w:r>
        <w:rPr>
          <w:rFonts w:hint="eastAsia" w:ascii="楷体" w:hAnsi="楷体" w:eastAsia="楷体" w:cs="楷体"/>
          <w:sz w:val="24"/>
          <w:szCs w:val="24"/>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.2 乙方交付时应向甲方提交以下证明材料和文件：产品合格证、原厂证明、产品出厂检测报告、医疗器械注册证、卫生许可证等质量证明文件。进口</w:t>
      </w:r>
      <w:r>
        <w:rPr>
          <w:rFonts w:hint="eastAsia" w:ascii="楷体" w:hAnsi="楷体" w:eastAsia="楷体" w:cs="楷体"/>
          <w:color w:val="000000"/>
          <w:sz w:val="24"/>
          <w:szCs w:val="24"/>
        </w:rPr>
        <w:t>产品还须提供商检及报关证明材料，</w:t>
      </w:r>
      <w:r>
        <w:rPr>
          <w:rFonts w:hint="eastAsia" w:ascii="楷体" w:hAnsi="楷体" w:eastAsia="楷体" w:cs="楷体"/>
          <w:sz w:val="24"/>
          <w:szCs w:val="24"/>
        </w:rPr>
        <w:t>生产厂家提供针对本项目的产品售后服务承诺书。</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4</w:t>
      </w:r>
      <w:r>
        <w:rPr>
          <w:rFonts w:hint="eastAsia" w:ascii="楷体" w:hAnsi="楷体" w:eastAsia="楷体" w:cs="楷体"/>
          <w:sz w:val="24"/>
          <w:szCs w:val="24"/>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pPr>
        <w:spacing w:line="360" w:lineRule="auto"/>
        <w:ind w:right="-1" w:firstLine="482" w:firstLineChars="200"/>
        <w:rPr>
          <w:rFonts w:hint="eastAsia" w:ascii="楷体" w:hAnsi="楷体" w:eastAsia="楷体" w:cs="楷体"/>
          <w:b/>
          <w:bCs/>
          <w:kern w:val="0"/>
          <w:sz w:val="24"/>
          <w:szCs w:val="24"/>
        </w:rPr>
      </w:pPr>
      <w:r>
        <w:rPr>
          <w:rFonts w:hint="eastAsia" w:ascii="楷体" w:hAnsi="楷体" w:eastAsia="楷体" w:cs="楷体"/>
          <w:b/>
          <w:bCs/>
          <w:sz w:val="24"/>
          <w:szCs w:val="24"/>
        </w:rPr>
        <w:t>5.</w:t>
      </w:r>
      <w:r>
        <w:rPr>
          <w:rFonts w:hint="eastAsia" w:ascii="楷体" w:hAnsi="楷体" w:eastAsia="楷体" w:cs="楷体"/>
          <w:b/>
          <w:bCs/>
          <w:sz w:val="24"/>
          <w:szCs w:val="24"/>
          <w:lang w:val="en-US" w:eastAsia="zh-CN"/>
        </w:rPr>
        <w:t>5</w:t>
      </w:r>
      <w:r>
        <w:rPr>
          <w:rFonts w:hint="eastAsia" w:ascii="楷体" w:hAnsi="楷体" w:eastAsia="楷体" w:cs="楷体"/>
          <w:b/>
          <w:bCs/>
          <w:sz w:val="24"/>
          <w:szCs w:val="24"/>
        </w:rPr>
        <w:t xml:space="preserve"> 技术培训</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乙方应在使用操作和维修技术方面及临床应用向甲方提供培训，直至正确使用、熟练操作；同时，乙方须于</w:t>
      </w:r>
      <w:r>
        <w:rPr>
          <w:rFonts w:hint="eastAsia" w:ascii="楷体" w:hAnsi="楷体" w:eastAsia="楷体" w:cs="楷体"/>
          <w:sz w:val="24"/>
          <w:szCs w:val="24"/>
          <w:u w:val="single"/>
        </w:rPr>
        <w:t xml:space="preserve">   </w:t>
      </w:r>
      <w:r>
        <w:rPr>
          <w:rFonts w:hint="eastAsia" w:ascii="楷体" w:hAnsi="楷体" w:eastAsia="楷体" w:cs="楷体"/>
          <w:sz w:val="24"/>
          <w:szCs w:val="24"/>
        </w:rPr>
        <w:t>内安排甲方指定人员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人次在</w:t>
      </w:r>
      <w:r>
        <w:rPr>
          <w:rFonts w:hint="eastAsia" w:ascii="楷体" w:hAnsi="楷体" w:eastAsia="楷体" w:cs="楷体"/>
          <w:sz w:val="24"/>
          <w:szCs w:val="24"/>
          <w:u w:val="single"/>
        </w:rPr>
        <w:t xml:space="preserve">      </w:t>
      </w:r>
      <w:r>
        <w:rPr>
          <w:rFonts w:hint="eastAsia" w:ascii="楷体" w:hAnsi="楷体" w:eastAsia="楷体" w:cs="楷体"/>
          <w:sz w:val="24"/>
          <w:szCs w:val="24"/>
        </w:rPr>
        <w:t>等地三级甲等医院或</w:t>
      </w:r>
      <w:r>
        <w:rPr>
          <w:rFonts w:hint="eastAsia" w:ascii="楷体" w:hAnsi="楷体" w:eastAsia="楷体" w:cs="楷体"/>
          <w:sz w:val="24"/>
          <w:szCs w:val="24"/>
          <w:u w:val="single"/>
        </w:rPr>
        <w:t xml:space="preserve">      </w:t>
      </w:r>
      <w:r>
        <w:rPr>
          <w:rFonts w:hint="eastAsia" w:ascii="楷体" w:hAnsi="楷体" w:eastAsia="楷体" w:cs="楷体"/>
          <w:sz w:val="24"/>
          <w:szCs w:val="24"/>
        </w:rPr>
        <w:t>医院进行技术操作、维修维护学习，每人次学习时间不少于</w:t>
      </w:r>
      <w:r>
        <w:rPr>
          <w:rFonts w:hint="eastAsia" w:ascii="楷体" w:hAnsi="楷体" w:eastAsia="楷体" w:cs="楷体"/>
          <w:sz w:val="24"/>
          <w:szCs w:val="24"/>
          <w:u w:val="single"/>
        </w:rPr>
        <w:t xml:space="preserve">       </w:t>
      </w:r>
      <w:r>
        <w:rPr>
          <w:rFonts w:hint="eastAsia" w:ascii="楷体" w:hAnsi="楷体" w:eastAsia="楷体" w:cs="楷体"/>
          <w:sz w:val="24"/>
          <w:szCs w:val="24"/>
        </w:rPr>
        <w:t>，并承担培训所有费用。</w:t>
      </w:r>
    </w:p>
    <w:p>
      <w:pPr>
        <w:spacing w:line="360" w:lineRule="auto"/>
        <w:ind w:right="-1" w:firstLine="482" w:firstLineChars="200"/>
        <w:outlineLvl w:val="0"/>
        <w:rPr>
          <w:rFonts w:hint="eastAsia" w:ascii="楷体" w:hAnsi="楷体" w:eastAsia="楷体" w:cs="楷体"/>
          <w:b/>
          <w:bCs/>
          <w:sz w:val="24"/>
          <w:szCs w:val="24"/>
        </w:rPr>
      </w:pPr>
      <w:r>
        <w:rPr>
          <w:rFonts w:hint="eastAsia" w:ascii="楷体" w:hAnsi="楷体" w:eastAsia="楷体" w:cs="楷体"/>
          <w:b/>
          <w:bCs/>
          <w:sz w:val="24"/>
          <w:szCs w:val="24"/>
        </w:rPr>
        <w:t>第六条 货款结算</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6.1 本合同以人民币付款。</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合同总价款：</w:t>
      </w:r>
      <w:r>
        <w:rPr>
          <w:rFonts w:hint="eastAsia" w:ascii="楷体" w:hAnsi="楷体" w:eastAsia="楷体" w:cs="楷体"/>
          <w:sz w:val="24"/>
          <w:szCs w:val="24"/>
          <w:u w:val="single"/>
        </w:rPr>
        <w:t xml:space="preserve">         </w:t>
      </w:r>
      <w:r>
        <w:rPr>
          <w:rFonts w:hint="eastAsia" w:ascii="楷体" w:hAnsi="楷体" w:eastAsia="楷体" w:cs="楷体"/>
          <w:sz w:val="24"/>
          <w:szCs w:val="24"/>
        </w:rPr>
        <w:t>元，大写</w:t>
      </w:r>
      <w:r>
        <w:rPr>
          <w:rFonts w:hint="eastAsia" w:ascii="楷体" w:hAnsi="楷体" w:eastAsia="楷体" w:cs="楷体"/>
          <w:sz w:val="24"/>
          <w:szCs w:val="24"/>
          <w:u w:val="single"/>
        </w:rPr>
        <w:t xml:space="preserve">                     </w:t>
      </w:r>
      <w:r>
        <w:rPr>
          <w:rFonts w:hint="eastAsia" w:ascii="楷体" w:hAnsi="楷体" w:eastAsia="楷体" w:cs="楷体"/>
          <w:sz w:val="24"/>
          <w:szCs w:val="24"/>
        </w:rPr>
        <w:t>；本合同执行期间合同总价不变，该价格已经包含本合同第一条约定的所有费用。</w:t>
      </w:r>
    </w:p>
    <w:p>
      <w:pPr>
        <w:adjustRightInd w:val="0"/>
        <w:snapToGrid w:val="0"/>
        <w:spacing w:line="360" w:lineRule="auto"/>
        <w:ind w:firstLine="480" w:firstLineChars="200"/>
        <w:outlineLvl w:val="0"/>
        <w:rPr>
          <w:rFonts w:hint="eastAsia" w:ascii="楷体" w:hAnsi="楷体" w:eastAsia="楷体" w:cs="楷体"/>
          <w:sz w:val="24"/>
          <w:szCs w:val="24"/>
        </w:rPr>
      </w:pPr>
      <w:r>
        <w:rPr>
          <w:rFonts w:hint="eastAsia" w:ascii="楷体" w:hAnsi="楷体" w:eastAsia="楷体" w:cs="楷体"/>
          <w:sz w:val="24"/>
          <w:szCs w:val="24"/>
        </w:rPr>
        <w:t>6.2 结算方式：银行承兑汇票或电汇。</w:t>
      </w:r>
    </w:p>
    <w:p>
      <w:pPr>
        <w:spacing w:line="360" w:lineRule="auto"/>
        <w:ind w:right="-1" w:firstLine="480" w:firstLineChars="200"/>
        <w:rPr>
          <w:rFonts w:hint="eastAsia" w:ascii="楷体" w:hAnsi="楷体" w:eastAsia="楷体" w:cs="楷体"/>
          <w:b/>
          <w:bCs/>
          <w:color w:val="FF0000"/>
          <w:sz w:val="24"/>
          <w:szCs w:val="24"/>
          <w:u w:val="single"/>
        </w:rPr>
      </w:pPr>
      <w:r>
        <w:rPr>
          <w:rFonts w:hint="eastAsia" w:ascii="楷体" w:hAnsi="楷体" w:eastAsia="楷体" w:cs="楷体"/>
          <w:sz w:val="24"/>
          <w:szCs w:val="24"/>
        </w:rPr>
        <w:t>6.3 付款条件与具体的付款金额：</w:t>
      </w:r>
      <w:r>
        <w:rPr>
          <w:rFonts w:hint="eastAsia" w:ascii="楷体" w:hAnsi="楷体" w:eastAsia="楷体" w:cs="楷体"/>
          <w:b/>
          <w:bCs/>
          <w:color w:val="FF0000"/>
          <w:sz w:val="24"/>
          <w:szCs w:val="24"/>
          <w:u w:val="single"/>
        </w:rPr>
        <w:t>（提示：请按合同金额保留相对应的付款条件，删除多余项及本条提示信息）</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合同金额＜100万：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全部安装、调试完成，验收合格交付使用，乙方开具正式发票后，三个月内甲方支付给乙方合同总价的40%。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剩余未付款项按月支付，在此之后的六个月内支付合同总价的50%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100万≤合同金额＜300万：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全部安装、调试完成，验收合格交付使用，乙方开具正式发票后，三个月内甲方支付给乙方合同总价的30%。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剩余未付款项按月支付，在此之后的九个月内支付合同总价的60%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300万≤合同金额＜600万：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全部安装、调试完成，验收合格交付使用，乙方开具正式发票后，三个月内甲方支付给乙方合同总价的20%。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剩余未付款项按月支付，在此之后的十二个月内支付合同总价的70%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600万≤合同金额＜1000万：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全部安装、调试完成，验收合格交付使用，乙方开具正式发票后，三个月内甲方支付给乙方合同总价的15%。</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剩余未付款项按月支付，在此之后的十五个月内支付合同总价的75%</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FF0000"/>
          <w:sz w:val="24"/>
          <w:szCs w:val="24"/>
          <w:u w:val="single"/>
        </w:rPr>
      </w:pPr>
      <w:r>
        <w:rPr>
          <w:rFonts w:hint="eastAsia" w:ascii="楷体" w:hAnsi="楷体" w:eastAsia="楷体" w:cs="楷体"/>
          <w:b/>
          <w:color w:val="FF0000"/>
          <w:sz w:val="24"/>
          <w:szCs w:val="24"/>
          <w:u w:val="single"/>
        </w:rPr>
        <w:t>合同金额≥1000万：</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6.3.1 全部安装、调试完成，验收合格交付使用，乙方开具正式发票后，三个月内甲方支付给乙方合同总价的10%。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6.3.2 剩余未付款项按月支付，在此之后的十八个月内支付合同总价的80%</w:t>
      </w:r>
    </w:p>
    <w:p>
      <w:pPr>
        <w:spacing w:line="360" w:lineRule="auto"/>
        <w:ind w:right="-1" w:firstLine="480" w:firstLineChars="200"/>
        <w:outlineLvl w:val="0"/>
        <w:rPr>
          <w:rFonts w:hint="eastAsia" w:ascii="楷体" w:hAnsi="楷体" w:eastAsia="楷体" w:cs="楷体"/>
          <w:sz w:val="24"/>
          <w:szCs w:val="24"/>
        </w:rPr>
      </w:pPr>
      <w:r>
        <w:rPr>
          <w:rFonts w:hint="eastAsia" w:ascii="楷体" w:hAnsi="楷体" w:eastAsia="楷体" w:cs="楷体"/>
          <w:sz w:val="24"/>
          <w:szCs w:val="24"/>
        </w:rPr>
        <w:t>6.3.3 剩余10%无遗留问题后一次性支付。</w:t>
      </w:r>
    </w:p>
    <w:p>
      <w:pPr>
        <w:spacing w:line="360" w:lineRule="auto"/>
        <w:ind w:right="-1" w:firstLine="482" w:firstLineChars="200"/>
        <w:outlineLvl w:val="0"/>
        <w:rPr>
          <w:rFonts w:hint="eastAsia" w:ascii="楷体" w:hAnsi="楷体" w:eastAsia="楷体" w:cs="楷体"/>
          <w:sz w:val="24"/>
          <w:szCs w:val="24"/>
        </w:rPr>
      </w:pPr>
      <w:r>
        <w:rPr>
          <w:rFonts w:hint="eastAsia" w:ascii="楷体" w:hAnsi="楷体" w:eastAsia="楷体" w:cs="楷体"/>
          <w:b/>
          <w:bCs/>
          <w:sz w:val="24"/>
          <w:szCs w:val="24"/>
        </w:rPr>
        <w:t>第七条 售后服务</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7.1乙方应按国家相关法规及采购文件、投标（响应）文件对售后服务的要求和响应提供服务，所有设备免费质保期为</w:t>
      </w:r>
      <w:r>
        <w:rPr>
          <w:rFonts w:hint="eastAsia" w:ascii="楷体" w:hAnsi="楷体" w:eastAsia="楷体" w:cs="楷体"/>
          <w:sz w:val="24"/>
          <w:szCs w:val="24"/>
          <w:u w:val="single"/>
        </w:rPr>
        <w:t xml:space="preserve">        年</w:t>
      </w:r>
      <w:r>
        <w:rPr>
          <w:rFonts w:hint="eastAsia" w:ascii="楷体" w:hAnsi="楷体" w:eastAsia="楷体" w:cs="楷体"/>
          <w:sz w:val="24"/>
          <w:szCs w:val="24"/>
        </w:rPr>
        <w:t>，自甲乙双方签署货物验收单的次日起算。</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7.2 质保期内，乙方将定期（≥   次/年）派员对甲方使用的货物进行检测，应保证货物处于正常使用状态；提供技术支持；进行系统免费升级；更换非人为因素损坏的零配件。</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7.3 质保期内，如出现</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次（含）以上非人为因素引起的故障或开机率＜95%，影响甲方使用，乙方负责在</w:t>
      </w:r>
      <w:r>
        <w:rPr>
          <w:rFonts w:hint="eastAsia" w:ascii="楷体" w:hAnsi="楷体" w:eastAsia="楷体" w:cs="楷体"/>
          <w:sz w:val="24"/>
          <w:szCs w:val="24"/>
          <w:u w:val="single"/>
        </w:rPr>
        <w:t>10</w:t>
      </w:r>
      <w:r>
        <w:rPr>
          <w:rFonts w:hint="eastAsia" w:ascii="楷体" w:hAnsi="楷体" w:eastAsia="楷体" w:cs="楷体"/>
          <w:sz w:val="24"/>
          <w:szCs w:val="24"/>
        </w:rPr>
        <w:t>个工作日内免费更换相同新设备。</w:t>
      </w:r>
    </w:p>
    <w:p>
      <w:pPr>
        <w:spacing w:line="360" w:lineRule="auto"/>
        <w:ind w:right="-1" w:firstLine="480" w:firstLineChars="200"/>
        <w:rPr>
          <w:rFonts w:hint="eastAsia" w:ascii="楷体" w:hAnsi="楷体" w:eastAsia="楷体" w:cs="楷体"/>
          <w:sz w:val="24"/>
          <w:szCs w:val="24"/>
          <w:u w:val="single"/>
        </w:rPr>
      </w:pPr>
      <w:r>
        <w:rPr>
          <w:rFonts w:hint="eastAsia" w:ascii="楷体" w:hAnsi="楷体" w:eastAsia="楷体" w:cs="楷体"/>
          <w:sz w:val="24"/>
          <w:szCs w:val="24"/>
        </w:rPr>
        <w:t xml:space="preserve">7.4 如因设备质量或原始标（警）示不清等原因，导致甲方损失，或造成甲方操作人员、第三方人员人身伤害，乙方承担相关赔偿责任。                    </w:t>
      </w:r>
    </w:p>
    <w:p>
      <w:pPr>
        <w:spacing w:line="360" w:lineRule="auto"/>
        <w:ind w:right="-1" w:firstLine="482" w:firstLineChars="200"/>
        <w:outlineLvl w:val="0"/>
        <w:rPr>
          <w:rFonts w:hint="eastAsia" w:ascii="楷体" w:hAnsi="楷体" w:eastAsia="楷体" w:cs="楷体"/>
          <w:sz w:val="24"/>
          <w:szCs w:val="24"/>
        </w:rPr>
      </w:pPr>
      <w:bookmarkStart w:id="7" w:name="_Toc341030123"/>
      <w:r>
        <w:rPr>
          <w:rFonts w:hint="eastAsia" w:ascii="楷体" w:hAnsi="楷体" w:eastAsia="楷体" w:cs="楷体"/>
          <w:b/>
          <w:bCs/>
          <w:sz w:val="24"/>
          <w:szCs w:val="24"/>
        </w:rPr>
        <w:t>第八条 合同</w:t>
      </w:r>
      <w:r>
        <w:rPr>
          <w:rFonts w:hint="eastAsia" w:ascii="楷体" w:hAnsi="楷体" w:eastAsia="楷体" w:cs="楷体"/>
          <w:b/>
          <w:bCs/>
          <w:color w:val="auto"/>
          <w:sz w:val="24"/>
          <w:szCs w:val="24"/>
        </w:rPr>
        <w:t>的变更、解除与转</w:t>
      </w:r>
      <w:r>
        <w:rPr>
          <w:rFonts w:hint="eastAsia" w:ascii="楷体" w:hAnsi="楷体" w:eastAsia="楷体" w:cs="楷体"/>
          <w:b/>
          <w:bCs/>
          <w:sz w:val="24"/>
          <w:szCs w:val="24"/>
        </w:rPr>
        <w:t>让</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8.1 甲乙双方除非事先得到对方的书面同意或本合同另有约定，任何一方不得将合同项下的任何权利、义务、责任转让给任何第三方，不得擅自变更、中止或终止本合同。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8.2 乙方逾期未完成约定义务超过</w:t>
      </w:r>
      <w:r>
        <w:rPr>
          <w:rFonts w:hint="eastAsia" w:ascii="楷体" w:hAnsi="楷体" w:eastAsia="楷体" w:cs="楷体"/>
          <w:sz w:val="24"/>
          <w:szCs w:val="24"/>
          <w:u w:val="single"/>
        </w:rPr>
        <w:t xml:space="preserve"> 5 </w:t>
      </w:r>
      <w:r>
        <w:rPr>
          <w:rFonts w:hint="eastAsia" w:ascii="楷体" w:hAnsi="楷体" w:eastAsia="楷体" w:cs="楷体"/>
          <w:sz w:val="24"/>
          <w:szCs w:val="24"/>
        </w:rPr>
        <w:t>个工作日，甲方有权单方解除本合同。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8.3 乙方履行本合同约定义务时，未达到甲方要求，修改或整改超过</w:t>
      </w:r>
      <w:r>
        <w:rPr>
          <w:rFonts w:hint="eastAsia" w:ascii="楷体" w:hAnsi="楷体" w:eastAsia="楷体" w:cs="楷体"/>
          <w:sz w:val="24"/>
          <w:szCs w:val="24"/>
          <w:u w:val="single"/>
        </w:rPr>
        <w:t xml:space="preserve"> 2 </w:t>
      </w:r>
      <w:r>
        <w:rPr>
          <w:rFonts w:hint="eastAsia" w:ascii="楷体" w:hAnsi="楷体" w:eastAsia="楷体" w:cs="楷体"/>
          <w:sz w:val="24"/>
          <w:szCs w:val="24"/>
        </w:rPr>
        <w:t>次，仍然无法达到甲方要求，甲方有权单方解除本合同。</w:t>
      </w:r>
    </w:p>
    <w:p>
      <w:pPr>
        <w:spacing w:line="360" w:lineRule="auto"/>
        <w:ind w:right="-1" w:firstLine="482" w:firstLineChars="200"/>
        <w:outlineLvl w:val="0"/>
        <w:rPr>
          <w:rFonts w:hint="eastAsia" w:ascii="楷体" w:hAnsi="楷体" w:eastAsia="楷体" w:cs="楷体"/>
          <w:sz w:val="24"/>
          <w:szCs w:val="24"/>
        </w:rPr>
      </w:pPr>
      <w:r>
        <w:rPr>
          <w:rFonts w:hint="eastAsia" w:ascii="楷体" w:hAnsi="楷体" w:eastAsia="楷体" w:cs="楷体"/>
          <w:b/>
          <w:bCs/>
          <w:sz w:val="24"/>
          <w:szCs w:val="24"/>
        </w:rPr>
        <w:t>第九条 违约责任</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9.1 甲方没有按本合同约定的时间和数额支付合同约定款项的，收到书面催付15日后按迟延支付金额的</w:t>
      </w:r>
      <w:r>
        <w:rPr>
          <w:rFonts w:hint="eastAsia" w:ascii="楷体" w:hAnsi="楷体" w:eastAsia="楷体" w:cs="楷体"/>
          <w:sz w:val="24"/>
          <w:szCs w:val="24"/>
          <w:u w:val="single"/>
        </w:rPr>
        <w:t xml:space="preserve">1‰ </w:t>
      </w:r>
      <w:r>
        <w:rPr>
          <w:rFonts w:hint="eastAsia" w:ascii="楷体" w:hAnsi="楷体" w:eastAsia="楷体" w:cs="楷体"/>
          <w:sz w:val="24"/>
          <w:szCs w:val="24"/>
        </w:rPr>
        <w:t>（日）的标准向乙方支付违约金。</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9.2 乙方逾期交付货物的，乙方应按逾期交货部分总价款每日1‰向甲方支付违约金，由甲方从待付价款中直接扣除；逾期超过约定日期15个工作日不能交货的，甲方可单方面解除本合同。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9.3 乙方因逾期交货或因其他违约行为导致甲方解除合同的，乙方应向甲方支付本合同约定总价款10%的违约金，如造成甲方损失超过违约金的，超出部分由乙方继续承担赔偿责任。</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9.5 乙方提供的货物如侵犯了第三方合法权益而引发的任何纠纷或诉讼，均由乙方负责交涉并承担全部责任。</w:t>
      </w:r>
    </w:p>
    <w:bookmarkEnd w:id="7"/>
    <w:p>
      <w:pPr>
        <w:spacing w:line="360" w:lineRule="auto"/>
        <w:ind w:firstLine="482" w:firstLineChars="200"/>
        <w:jc w:val="left"/>
        <w:rPr>
          <w:rFonts w:hint="eastAsia" w:ascii="楷体" w:hAnsi="楷体" w:eastAsia="楷体" w:cs="楷体"/>
          <w:b/>
          <w:sz w:val="24"/>
          <w:szCs w:val="24"/>
        </w:rPr>
      </w:pPr>
      <w:r>
        <w:rPr>
          <w:rFonts w:hint="eastAsia" w:ascii="楷体" w:hAnsi="楷体" w:eastAsia="楷体" w:cs="楷体"/>
          <w:b/>
          <w:bCs/>
          <w:sz w:val="24"/>
          <w:szCs w:val="24"/>
        </w:rPr>
        <w:t>第十条</w:t>
      </w:r>
      <w:r>
        <w:rPr>
          <w:rFonts w:hint="eastAsia" w:ascii="楷体" w:hAnsi="楷体" w:eastAsia="楷体" w:cs="楷体"/>
          <w:sz w:val="24"/>
          <w:szCs w:val="24"/>
        </w:rPr>
        <w:t xml:space="preserve"> </w:t>
      </w:r>
      <w:r>
        <w:rPr>
          <w:rFonts w:hint="eastAsia" w:ascii="楷体" w:hAnsi="楷体" w:eastAsia="楷体" w:cs="楷体"/>
          <w:b/>
          <w:bCs/>
          <w:sz w:val="24"/>
          <w:szCs w:val="24"/>
        </w:rPr>
        <w:t>不可抗力</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第十一条 争议解决办法</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11.2 合同履行期间，若双方发生争议，可协商或由相关部门调解解决，协商或调解不成的，应向甲方所在地的人民法院提起诉讼。</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 xml:space="preserve">第十二条  其他   </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12.1 招投标文件、承诺书以及合同附件是本合同不可分割的组成部分，与本合同具有同等法律效力。</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 xml:space="preserve">12.2 本合同未尽事宜，由甲乙双方协商后产生书面文件，作为本合同的补充条款，具备与本合同同等法律效力。 </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12.3 对本合同内容的任何修改和变更需要用书面形式，并经双方签字盖章确认后生效。</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12.4 甲乙双方须共同遵守《医药购销廉洁协议书》的有关规定，诚信经营、合法经营。</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12.5 本合同一式五份，甲方肆份，乙方壹份。本合同自甲乙双方签字盖章后生效。</w:t>
      </w:r>
    </w:p>
    <w:p>
      <w:pPr>
        <w:spacing w:line="360" w:lineRule="auto"/>
        <w:ind w:right="-1" w:firstLine="480" w:firstLineChars="200"/>
        <w:rPr>
          <w:rFonts w:hint="eastAsia" w:ascii="楷体" w:hAnsi="楷体" w:eastAsia="楷体" w:cs="楷体"/>
          <w:sz w:val="24"/>
          <w:szCs w:val="24"/>
        </w:rPr>
      </w:pPr>
      <w:r>
        <w:rPr>
          <w:rFonts w:hint="eastAsia" w:ascii="楷体" w:hAnsi="楷体" w:eastAsia="楷体" w:cs="楷体"/>
          <w:sz w:val="24"/>
          <w:szCs w:val="24"/>
        </w:rPr>
        <w:t>附件：1.设备整套完整资质文件</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2.法人授权(含身份证正面复印件)</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3.设备配置清单</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4.仪器设备技术参数响应偏离表</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5.售后服务承诺</w:t>
      </w:r>
    </w:p>
    <w:p>
      <w:pPr>
        <w:spacing w:line="360" w:lineRule="auto"/>
        <w:ind w:right="-1" w:firstLine="1192" w:firstLineChars="497"/>
        <w:outlineLvl w:val="0"/>
        <w:rPr>
          <w:rFonts w:hint="eastAsia" w:ascii="楷体" w:hAnsi="楷体" w:eastAsia="楷体" w:cs="楷体"/>
          <w:sz w:val="24"/>
          <w:szCs w:val="24"/>
        </w:rPr>
      </w:pPr>
      <w:r>
        <w:rPr>
          <w:rFonts w:hint="eastAsia" w:ascii="楷体" w:hAnsi="楷体" w:eastAsia="楷体" w:cs="楷体"/>
          <w:sz w:val="24"/>
          <w:szCs w:val="24"/>
        </w:rPr>
        <w:t>6.中标通知书</w:t>
      </w:r>
    </w:p>
    <w:p>
      <w:pPr>
        <w:numPr>
          <w:ilvl w:val="0"/>
          <w:numId w:val="0"/>
        </w:numPr>
        <w:tabs>
          <w:tab w:val="left" w:pos="1440"/>
        </w:tabs>
        <w:ind w:firstLine="1200" w:firstLineChars="500"/>
        <w:rPr>
          <w:rFonts w:hint="eastAsia" w:ascii="楷体" w:hAnsi="楷体" w:eastAsia="楷体" w:cs="楷体"/>
          <w:sz w:val="24"/>
          <w:szCs w:val="24"/>
        </w:rPr>
      </w:pPr>
      <w:r>
        <w:rPr>
          <w:rFonts w:hint="eastAsia" w:ascii="楷体" w:hAnsi="楷体" w:eastAsia="楷体" w:cs="楷体"/>
          <w:sz w:val="24"/>
          <w:szCs w:val="24"/>
        </w:rPr>
        <w:t>7.《医药购销廉洁协议书》</w:t>
      </w: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p>
      <w:pPr>
        <w:pStyle w:val="2"/>
        <w:rPr>
          <w:rFonts w:hint="eastAsia" w:ascii="楷体" w:hAnsi="楷体" w:eastAsia="楷体" w:cs="楷体"/>
          <w:sz w:val="24"/>
          <w:szCs w:val="24"/>
        </w:rPr>
      </w:pPr>
    </w:p>
    <w:tbl>
      <w:tblPr>
        <w:tblStyle w:val="1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甲方（章）</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w:t>
            </w: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年   月   日</w:t>
            </w:r>
          </w:p>
        </w:tc>
        <w:tc>
          <w:tcPr>
            <w:tcW w:w="4160" w:type="dxa"/>
            <w:vAlign w:val="center"/>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乙方（章）</w:t>
            </w:r>
          </w:p>
          <w:p>
            <w:pPr>
              <w:rPr>
                <w:rFonts w:hint="eastAsia" w:ascii="楷体" w:hAnsi="楷体" w:eastAsia="楷体" w:cs="楷体"/>
                <w:color w:val="auto"/>
                <w:kern w:val="2"/>
                <w:sz w:val="24"/>
                <w:szCs w:val="24"/>
              </w:rPr>
            </w:pPr>
          </w:p>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单位地址：陕西省安康市汉滨区金洲南路85号</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159" w:type="dxa"/>
            <w:vAlign w:val="top"/>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法定代表人（签字）：</w:t>
            </w:r>
          </w:p>
          <w:p>
            <w:pPr>
              <w:rPr>
                <w:rFonts w:hint="eastAsia" w:ascii="楷体" w:hAnsi="楷体" w:eastAsia="楷体" w:cs="楷体"/>
                <w:color w:val="auto"/>
                <w:kern w:val="2"/>
                <w:sz w:val="24"/>
                <w:szCs w:val="24"/>
              </w:rPr>
            </w:pPr>
          </w:p>
        </w:tc>
        <w:tc>
          <w:tcPr>
            <w:tcW w:w="4160" w:type="dxa"/>
            <w:vAlign w:val="top"/>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法定代表人（签字）：</w:t>
            </w:r>
          </w:p>
          <w:p>
            <w:pP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4159" w:type="dxa"/>
            <w:vAlign w:val="top"/>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授权代表（签字）：</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tc>
        <w:tc>
          <w:tcPr>
            <w:tcW w:w="4160" w:type="dxa"/>
            <w:vAlign w:val="top"/>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电话：0915-3284099/4305</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开户银行：农行安康江北支行营业部</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账号：26730101040002100</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账号：</w:t>
            </w:r>
          </w:p>
        </w:tc>
      </w:tr>
    </w:tbl>
    <w:p>
      <w:pPr>
        <w:ind w:left="0" w:leftChars="0" w:firstLine="0" w:firstLineChars="0"/>
        <w:rPr>
          <w:rFonts w:hint="eastAsia" w:ascii="楷体" w:hAnsi="楷体" w:eastAsia="楷体" w:cs="楷体"/>
          <w:b/>
          <w:color w:val="auto"/>
          <w:kern w:val="2"/>
          <w:sz w:val="24"/>
          <w:szCs w:val="24"/>
        </w:rPr>
      </w:pPr>
    </w:p>
    <w:p>
      <w:pPr>
        <w:pStyle w:val="4"/>
        <w:numPr>
          <w:ilvl w:val="1"/>
          <w:numId w:val="0"/>
        </w:numPr>
        <w:tabs>
          <w:tab w:val="left" w:pos="1440"/>
        </w:tabs>
        <w:ind w:leftChars="0"/>
        <w:rPr>
          <w:rFonts w:hint="eastAsia" w:ascii="楷体" w:hAnsi="楷体" w:eastAsia="楷体" w:cs="楷体"/>
          <w:sz w:val="24"/>
          <w:szCs w:val="24"/>
        </w:rPr>
      </w:pPr>
    </w:p>
    <w:p>
      <w:pPr>
        <w:rPr>
          <w:rFonts w:hint="eastAsia" w:ascii="楷体" w:hAnsi="楷体" w:eastAsia="楷体" w:cs="楷体"/>
          <w:b/>
          <w:color w:val="auto"/>
          <w:kern w:val="2"/>
          <w:sz w:val="24"/>
          <w:szCs w:val="24"/>
          <w:highlight w:val="red"/>
        </w:rPr>
      </w:pPr>
      <w:r>
        <w:rPr>
          <w:rFonts w:hint="eastAsia" w:ascii="楷体" w:hAnsi="楷体" w:eastAsia="楷体" w:cs="楷体"/>
          <w:b/>
          <w:color w:val="auto"/>
          <w:kern w:val="2"/>
          <w:sz w:val="24"/>
          <w:szCs w:val="24"/>
          <w:highlight w:val="red"/>
        </w:rPr>
        <w:br w:type="page"/>
      </w:r>
    </w:p>
    <w:p>
      <w:pPr>
        <w:ind w:firstLine="0"/>
        <w:rPr>
          <w:rFonts w:hint="eastAsia" w:ascii="楷体" w:hAnsi="楷体" w:eastAsia="楷体" w:cs="楷体"/>
          <w:b/>
          <w:color w:val="auto"/>
          <w:kern w:val="2"/>
          <w:sz w:val="24"/>
          <w:szCs w:val="24"/>
          <w:highlight w:val="none"/>
        </w:rPr>
      </w:pPr>
      <w:r>
        <w:rPr>
          <w:rFonts w:hint="eastAsia" w:ascii="楷体" w:hAnsi="楷体" w:eastAsia="楷体" w:cs="楷体"/>
          <w:b/>
          <w:color w:val="auto"/>
          <w:kern w:val="2"/>
          <w:sz w:val="24"/>
          <w:szCs w:val="24"/>
          <w:highlight w:val="none"/>
        </w:rPr>
        <w:t>附件</w:t>
      </w:r>
    </w:p>
    <w:p>
      <w:pPr>
        <w:ind w:firstLine="0"/>
        <w:rPr>
          <w:rFonts w:hint="eastAsia" w:ascii="楷体" w:hAnsi="楷体" w:eastAsia="楷体" w:cs="楷体"/>
          <w:b/>
          <w:bCs/>
          <w:color w:val="auto"/>
          <w:kern w:val="2"/>
          <w:sz w:val="24"/>
          <w:szCs w:val="24"/>
          <w:highlight w:val="none"/>
        </w:rPr>
      </w:pPr>
      <w:r>
        <w:rPr>
          <w:rFonts w:hint="eastAsia" w:ascii="楷体" w:hAnsi="楷体" w:eastAsia="楷体" w:cs="楷体"/>
          <w:b/>
          <w:bCs/>
          <w:color w:val="auto"/>
          <w:kern w:val="2"/>
          <w:sz w:val="24"/>
          <w:szCs w:val="24"/>
          <w:highlight w:val="none"/>
        </w:rPr>
        <w:t>一、设备整套完整资质文件</w:t>
      </w:r>
    </w:p>
    <w:p>
      <w:pPr>
        <w:rPr>
          <w:rFonts w:hint="eastAsia" w:ascii="楷体" w:hAnsi="楷体" w:eastAsia="楷体" w:cs="楷体"/>
          <w:b/>
          <w:bCs/>
          <w:color w:val="auto"/>
          <w:kern w:val="2"/>
          <w:sz w:val="24"/>
          <w:szCs w:val="24"/>
          <w:highlight w:val="none"/>
        </w:rPr>
      </w:pPr>
    </w:p>
    <w:p>
      <w:pPr>
        <w:snapToGrid w:val="0"/>
        <w:spacing w:before="0" w:after="0" w:line="360" w:lineRule="auto"/>
        <w:ind w:firstLine="0"/>
        <w:rPr>
          <w:rFonts w:hint="eastAsia" w:ascii="楷体" w:hAnsi="楷体" w:eastAsia="楷体" w:cs="楷体"/>
          <w:b/>
          <w:bCs/>
          <w:kern w:val="2"/>
          <w:sz w:val="24"/>
          <w:szCs w:val="24"/>
          <w:highlight w:val="none"/>
        </w:rPr>
      </w:pPr>
      <w:r>
        <w:rPr>
          <w:rFonts w:hint="eastAsia" w:ascii="楷体" w:hAnsi="楷体" w:eastAsia="楷体" w:cs="楷体"/>
          <w:b/>
          <w:kern w:val="2"/>
          <w:sz w:val="24"/>
          <w:szCs w:val="24"/>
          <w:highlight w:val="none"/>
        </w:rPr>
        <w:t>二、</w:t>
      </w:r>
      <w:r>
        <w:rPr>
          <w:rFonts w:hint="eastAsia" w:ascii="楷体" w:hAnsi="楷体" w:eastAsia="楷体" w:cs="楷体"/>
          <w:b/>
          <w:bCs/>
          <w:kern w:val="2"/>
          <w:sz w:val="24"/>
          <w:szCs w:val="24"/>
          <w:highlight w:val="none"/>
        </w:rPr>
        <w:t>法定代表人授权书</w:t>
      </w:r>
    </w:p>
    <w:p>
      <w:pPr>
        <w:snapToGrid w:val="0"/>
        <w:spacing w:before="0" w:after="0" w:line="360" w:lineRule="auto"/>
        <w:ind w:firstLine="0"/>
        <w:jc w:val="center"/>
        <w:rPr>
          <w:rFonts w:hint="eastAsia" w:ascii="楷体" w:hAnsi="楷体" w:eastAsia="楷体" w:cs="楷体"/>
          <w:b/>
          <w:bCs/>
          <w:kern w:val="2"/>
          <w:sz w:val="24"/>
          <w:szCs w:val="24"/>
          <w:u w:val="single"/>
        </w:rPr>
      </w:pPr>
    </w:p>
    <w:p>
      <w:pPr>
        <w:snapToGrid w:val="0"/>
        <w:spacing w:before="0" w:after="0" w:line="360" w:lineRule="auto"/>
        <w:ind w:firstLine="0"/>
        <w:rPr>
          <w:rFonts w:hint="eastAsia" w:ascii="楷体" w:hAnsi="楷体" w:eastAsia="楷体" w:cs="楷体"/>
          <w:b/>
          <w:bCs/>
          <w:kern w:val="2"/>
          <w:sz w:val="24"/>
          <w:szCs w:val="24"/>
        </w:rPr>
      </w:pPr>
      <w:r>
        <w:rPr>
          <w:rFonts w:hint="eastAsia" w:ascii="楷体" w:hAnsi="楷体" w:eastAsia="楷体" w:cs="楷体"/>
          <w:b/>
          <w:bCs/>
          <w:kern w:val="2"/>
          <w:sz w:val="24"/>
          <w:szCs w:val="24"/>
        </w:rPr>
        <w:t>致：</w:t>
      </w:r>
      <w:r>
        <w:rPr>
          <w:rFonts w:hint="eastAsia" w:ascii="楷体" w:hAnsi="楷体" w:eastAsia="楷体" w:cs="楷体"/>
          <w:b/>
          <w:kern w:val="2"/>
          <w:sz w:val="24"/>
          <w:szCs w:val="24"/>
        </w:rPr>
        <w:t>安康市中心医院</w:t>
      </w:r>
    </w:p>
    <w:p>
      <w:pPr>
        <w:snapToGrid w:val="0"/>
        <w:spacing w:before="0" w:after="0" w:line="360" w:lineRule="auto"/>
        <w:ind w:firstLine="600"/>
        <w:rPr>
          <w:rFonts w:hint="eastAsia" w:ascii="楷体" w:hAnsi="楷体" w:eastAsia="楷体" w:cs="楷体"/>
          <w:bCs/>
          <w:kern w:val="2"/>
          <w:sz w:val="24"/>
          <w:szCs w:val="24"/>
        </w:rPr>
      </w:pPr>
      <w:r>
        <w:rPr>
          <w:rFonts w:hint="eastAsia" w:ascii="楷体" w:hAnsi="楷体" w:eastAsia="楷体" w:cs="楷体"/>
          <w:kern w:val="2"/>
          <w:sz w:val="24"/>
          <w:szCs w:val="24"/>
        </w:rPr>
        <w:t>本授权书声明：注册于</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（国家或地区）的</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（公司名称）的在下面签字的</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（法定代表人姓名、职务）代表本公司授权在下面签字的</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（被授权人的姓名、职务）为本公司的合法代表人，就</w:t>
      </w:r>
      <w:r>
        <w:rPr>
          <w:rFonts w:hint="eastAsia" w:ascii="楷体" w:hAnsi="楷体" w:eastAsia="楷体" w:cs="楷体"/>
          <w:b w:val="0"/>
          <w:bCs/>
          <w:kern w:val="2"/>
          <w:sz w:val="24"/>
          <w:szCs w:val="24"/>
          <w:u w:val="single"/>
          <w:lang w:val="en-US" w:eastAsia="zh-CN"/>
        </w:rPr>
        <w:t xml:space="preserve">                       </w:t>
      </w:r>
      <w:r>
        <w:rPr>
          <w:rFonts w:hint="eastAsia" w:ascii="楷体" w:hAnsi="楷体" w:eastAsia="楷体" w:cs="楷体"/>
          <w:kern w:val="2"/>
          <w:sz w:val="24"/>
          <w:szCs w:val="24"/>
          <w:u w:val="single"/>
        </w:rPr>
        <w:t>采购项</w:t>
      </w:r>
      <w:r>
        <w:rPr>
          <w:rFonts w:hint="eastAsia" w:ascii="楷体" w:hAnsi="楷体" w:eastAsia="楷体" w:cs="楷体"/>
          <w:kern w:val="2"/>
          <w:sz w:val="24"/>
          <w:szCs w:val="24"/>
        </w:rPr>
        <w:t>目的合同签订和执行，以我方的名义处理一切与之有关的事宜。</w:t>
      </w:r>
    </w:p>
    <w:p>
      <w:pPr>
        <w:snapToGrid w:val="0"/>
        <w:spacing w:before="0" w:after="0" w:line="360" w:lineRule="auto"/>
        <w:ind w:firstLine="480"/>
        <w:rPr>
          <w:rFonts w:hint="eastAsia" w:ascii="楷体" w:hAnsi="楷体" w:eastAsia="楷体" w:cs="楷体"/>
          <w:kern w:val="2"/>
          <w:sz w:val="24"/>
          <w:szCs w:val="24"/>
        </w:rPr>
      </w:pPr>
      <w:r>
        <w:rPr>
          <w:rFonts w:hint="eastAsia" w:ascii="楷体" w:hAnsi="楷体" w:eastAsia="楷体" w:cs="楷体"/>
          <w:kern w:val="2"/>
          <w:sz w:val="24"/>
          <w:szCs w:val="24"/>
        </w:rPr>
        <w:t>本授权书于</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年</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月</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u w:val="single"/>
          <w:lang w:val="en-US" w:eastAsia="zh-CN"/>
        </w:rPr>
        <w:t xml:space="preserve">  </w:t>
      </w:r>
      <w:r>
        <w:rPr>
          <w:rFonts w:hint="eastAsia" w:ascii="楷体" w:hAnsi="楷体" w:eastAsia="楷体" w:cs="楷体"/>
          <w:kern w:val="2"/>
          <w:sz w:val="24"/>
          <w:szCs w:val="24"/>
          <w:u w:val="single"/>
        </w:rPr>
        <w:t xml:space="preserve"> </w:t>
      </w:r>
      <w:r>
        <w:rPr>
          <w:rFonts w:hint="eastAsia" w:ascii="楷体" w:hAnsi="楷体" w:eastAsia="楷体" w:cs="楷体"/>
          <w:kern w:val="2"/>
          <w:sz w:val="24"/>
          <w:szCs w:val="24"/>
        </w:rPr>
        <w:t>日签字生效，有效期至合同内容服务结束，特此声明。</w:t>
      </w:r>
    </w:p>
    <w:p>
      <w:pPr>
        <w:snapToGrid w:val="0"/>
        <w:spacing w:before="0" w:after="0" w:line="360" w:lineRule="auto"/>
        <w:ind w:firstLine="0"/>
        <w:rPr>
          <w:rFonts w:hint="eastAsia" w:ascii="楷体" w:hAnsi="楷体" w:eastAsia="楷体" w:cs="楷体"/>
          <w:kern w:val="2"/>
          <w:sz w:val="24"/>
          <w:szCs w:val="24"/>
        </w:rPr>
      </w:pPr>
    </w:p>
    <w:p>
      <w:pPr>
        <w:snapToGrid w:val="0"/>
        <w:spacing w:before="0" w:after="0" w:line="360" w:lineRule="auto"/>
        <w:ind w:firstLine="0"/>
        <w:rPr>
          <w:rFonts w:hint="eastAsia" w:ascii="楷体" w:hAnsi="楷体" w:eastAsia="楷体" w:cs="楷体"/>
          <w:kern w:val="2"/>
          <w:sz w:val="24"/>
          <w:szCs w:val="24"/>
        </w:rPr>
      </w:pPr>
      <w:r>
        <w:rPr>
          <w:rFonts w:hint="eastAsia" w:ascii="楷体" w:hAnsi="楷体" w:eastAsia="楷体" w:cs="楷体"/>
          <w:kern w:val="2"/>
          <w:sz w:val="24"/>
          <w:szCs w:val="24"/>
        </w:rPr>
        <w:t>法定代表人（签名并盖章）：                  被授权人（签名并盖章）：</w:t>
      </w:r>
    </w:p>
    <w:p>
      <w:pPr>
        <w:spacing w:before="0" w:after="0" w:line="240" w:lineRule="auto"/>
        <w:ind w:firstLine="0"/>
        <w:rPr>
          <w:rFonts w:hint="eastAsia" w:ascii="楷体" w:hAnsi="楷体" w:eastAsia="楷体" w:cs="楷体"/>
          <w:kern w:val="2"/>
          <w:sz w:val="24"/>
          <w:szCs w:val="24"/>
        </w:rPr>
      </w:pPr>
    </w:p>
    <w:p>
      <w:pPr>
        <w:spacing w:before="0" w:after="0" w:line="240" w:lineRule="auto"/>
        <w:ind w:firstLine="0"/>
        <w:rPr>
          <w:rFonts w:hint="eastAsia" w:ascii="楷体" w:hAnsi="楷体" w:eastAsia="楷体" w:cs="楷体"/>
          <w:b/>
          <w:kern w:val="2"/>
          <w:sz w:val="24"/>
          <w:szCs w:val="24"/>
        </w:rPr>
      </w:pPr>
      <w:r>
        <w:rPr>
          <w:rFonts w:hint="eastAsia" w:ascii="楷体" w:hAnsi="楷体" w:eastAsia="楷体" w:cs="楷体"/>
          <w:kern w:val="2"/>
          <w:sz w:val="24"/>
          <w:szCs w:val="24"/>
        </w:rPr>
        <w:t>法定代表人身份证复印件                     被授权人身份证复印件</w:t>
      </w:r>
    </w:p>
    <w:p>
      <w:pPr>
        <w:spacing w:before="0" w:after="0" w:line="240" w:lineRule="auto"/>
        <w:ind w:firstLine="0"/>
        <w:rPr>
          <w:rFonts w:hint="eastAsia" w:ascii="楷体" w:hAnsi="楷体" w:eastAsia="楷体" w:cs="楷体"/>
          <w:kern w:val="2"/>
          <w:sz w:val="24"/>
          <w:szCs w:val="24"/>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三、设备配置清单</w:t>
      </w:r>
    </w:p>
    <w:p>
      <w:pPr>
        <w:spacing w:line="360" w:lineRule="auto"/>
        <w:rPr>
          <w:rFonts w:hint="eastAsia" w:ascii="楷体" w:hAnsi="楷体" w:eastAsia="楷体" w:cs="楷体"/>
          <w:sz w:val="24"/>
          <w:szCs w:val="24"/>
        </w:rPr>
      </w:pPr>
      <w:r>
        <w:rPr>
          <w:rFonts w:hint="eastAsia" w:ascii="楷体" w:hAnsi="楷体" w:eastAsia="楷体" w:cs="楷体"/>
          <w:sz w:val="24"/>
          <w:szCs w:val="24"/>
        </w:rPr>
        <w:t>四、设备技术参数响应偏离表</w:t>
      </w:r>
    </w:p>
    <w:p>
      <w:pPr>
        <w:spacing w:line="360" w:lineRule="auto"/>
        <w:rPr>
          <w:rFonts w:hint="eastAsia" w:ascii="楷体" w:hAnsi="楷体" w:eastAsia="楷体" w:cs="楷体"/>
          <w:sz w:val="24"/>
          <w:szCs w:val="24"/>
        </w:rPr>
      </w:pPr>
      <w:r>
        <w:rPr>
          <w:rFonts w:hint="eastAsia" w:ascii="楷体" w:hAnsi="楷体" w:eastAsia="楷体" w:cs="楷体"/>
          <w:sz w:val="24"/>
          <w:szCs w:val="24"/>
        </w:rPr>
        <w:t>五、售后服务承诺</w:t>
      </w:r>
    </w:p>
    <w:p>
      <w:pPr>
        <w:spacing w:line="360" w:lineRule="auto"/>
        <w:rPr>
          <w:rFonts w:hint="eastAsia" w:ascii="楷体" w:hAnsi="楷体" w:eastAsia="楷体" w:cs="楷体"/>
          <w:sz w:val="24"/>
          <w:szCs w:val="24"/>
        </w:rPr>
      </w:pPr>
      <w:r>
        <w:rPr>
          <w:rFonts w:hint="eastAsia" w:ascii="楷体" w:hAnsi="楷体" w:eastAsia="楷体" w:cs="楷体"/>
          <w:sz w:val="24"/>
          <w:szCs w:val="24"/>
        </w:rPr>
        <w:t>六、中标通知书</w:t>
      </w:r>
    </w:p>
    <w:p>
      <w:pPr>
        <w:spacing w:line="360" w:lineRule="auto"/>
        <w:rPr>
          <w:rFonts w:hint="eastAsia" w:ascii="楷体" w:hAnsi="楷体" w:eastAsia="楷体" w:cs="楷体"/>
          <w:sz w:val="24"/>
          <w:szCs w:val="24"/>
        </w:rPr>
      </w:pPr>
      <w:r>
        <w:rPr>
          <w:rFonts w:hint="eastAsia" w:ascii="楷体" w:hAnsi="楷体" w:eastAsia="楷体" w:cs="楷体"/>
          <w:sz w:val="24"/>
          <w:szCs w:val="24"/>
          <w:lang w:eastAsia="zh-CN"/>
        </w:rPr>
        <w:t>七、</w:t>
      </w:r>
      <w:r>
        <w:rPr>
          <w:rFonts w:hint="eastAsia" w:ascii="楷体" w:hAnsi="楷体" w:eastAsia="楷体" w:cs="楷体"/>
          <w:sz w:val="24"/>
          <w:szCs w:val="24"/>
        </w:rPr>
        <w:t>《医药购销廉洁协议书》</w:t>
      </w:r>
    </w:p>
    <w:p>
      <w:pPr>
        <w:rPr>
          <w:rFonts w:hint="eastAsia" w:ascii="楷体" w:hAnsi="楷体" w:eastAsia="楷体" w:cs="楷体"/>
          <w:kern w:val="2"/>
          <w:sz w:val="24"/>
          <w:szCs w:val="24"/>
        </w:rPr>
      </w:pPr>
      <w:r>
        <w:rPr>
          <w:rFonts w:hint="eastAsia" w:ascii="楷体" w:hAnsi="楷体" w:eastAsia="楷体" w:cs="楷体"/>
          <w:kern w:val="2"/>
          <w:sz w:val="24"/>
          <w:szCs w:val="24"/>
        </w:rPr>
        <w:br w:type="page"/>
      </w:r>
    </w:p>
    <w:p>
      <w:pPr>
        <w:spacing w:before="0" w:after="0" w:line="240" w:lineRule="auto"/>
        <w:ind w:firstLine="0"/>
        <w:jc w:val="center"/>
        <w:rPr>
          <w:rFonts w:hint="eastAsia" w:ascii="楷体" w:hAnsi="楷体" w:eastAsia="楷体" w:cs="楷体"/>
          <w:b/>
          <w:bCs/>
          <w:kern w:val="2"/>
          <w:sz w:val="24"/>
          <w:szCs w:val="24"/>
        </w:rPr>
      </w:pPr>
    </w:p>
    <w:p>
      <w:pPr>
        <w:spacing w:before="0" w:after="0" w:line="240" w:lineRule="auto"/>
        <w:ind w:firstLine="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医药购销廉洁协议书</w:t>
      </w:r>
    </w:p>
    <w:p>
      <w:pPr>
        <w:spacing w:before="0" w:after="0" w:line="360" w:lineRule="auto"/>
        <w:ind w:firstLineChars="200"/>
        <w:rPr>
          <w:rFonts w:hint="eastAsia" w:ascii="楷体" w:hAnsi="楷体" w:eastAsia="楷体" w:cs="楷体"/>
          <w:b/>
          <w:bCs/>
          <w:kern w:val="2"/>
          <w:sz w:val="24"/>
          <w:szCs w:val="24"/>
        </w:rPr>
      </w:pPr>
      <w:r>
        <w:rPr>
          <w:rFonts w:hint="eastAsia" w:ascii="楷体" w:hAnsi="楷体" w:eastAsia="楷体" w:cs="楷体"/>
          <w:b/>
          <w:bCs/>
          <w:kern w:val="2"/>
          <w:sz w:val="24"/>
          <w:szCs w:val="24"/>
        </w:rPr>
        <w:t>甲方（买方）：安康市中心医院</w:t>
      </w:r>
    </w:p>
    <w:p>
      <w:pPr>
        <w:spacing w:before="0" w:after="0" w:line="360" w:lineRule="auto"/>
        <w:ind w:firstLineChars="200"/>
        <w:rPr>
          <w:rFonts w:hint="eastAsia" w:ascii="楷体" w:hAnsi="楷体" w:eastAsia="楷体" w:cs="楷体"/>
          <w:b/>
          <w:bCs/>
          <w:kern w:val="2"/>
          <w:sz w:val="24"/>
          <w:szCs w:val="24"/>
        </w:rPr>
      </w:pPr>
      <w:r>
        <w:rPr>
          <w:rFonts w:hint="eastAsia" w:ascii="楷体" w:hAnsi="楷体" w:eastAsia="楷体" w:cs="楷体"/>
          <w:b/>
          <w:bCs/>
          <w:kern w:val="2"/>
          <w:sz w:val="24"/>
          <w:szCs w:val="24"/>
        </w:rPr>
        <w:t>乙方（卖方）：</w:t>
      </w:r>
    </w:p>
    <w:p>
      <w:p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乙方在销售活动中，要自觉遵守国家和地方的有关法律、法规，严格执行合同条款，不以次充好，不降低产品质量，做到诚信经营。</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甲方购进医疗设备、医用耗材等医疗产品，不得以任何方式向乙方索取回扣，或者索要、接受乙方产品发票价以外的赞助，不得要求乙方代支任何费用开支。</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甲方工作人员不得以暗示或任何其它形式索要回扣、提成、有价证券、现金和购物卡等。如甲方工作人员暗示或索要，乙方应予以拒绝，并有责任如实向甲方纪检监察部门反映情况。</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甲方工作人员不得替乙方非法统计医用耗材销售数量等有关信息。</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乙方不得暗中给予甲方回扣，不得以提成和赠送有价证券、现金、购物卡、宴请、娱乐或提供国内或境外学术活动等手段进行医疗设备或医用耗材促销活动。</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乙方洽谈业务，必须在工作时间到甲方指定科室联系商谈，不得到临床科室推销医疗产品，不得借故到甲方相关工作人员的家中访谈或向介绍人提供任何好处费。</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乙方如违反以上条款，一经发现，甲方有权终止购销合同，列入不良行为记录，并在单位内通报，如涉嫌违法犯罪的，移交司法机关处理。</w:t>
      </w:r>
    </w:p>
    <w:p>
      <w:pPr>
        <w:numPr>
          <w:ilvl w:val="0"/>
          <w:numId w:val="4"/>
        </w:numPr>
        <w:spacing w:before="0" w:after="0" w:line="360" w:lineRule="auto"/>
        <w:ind w:firstLine="480" w:firstLineChars="200"/>
        <w:rPr>
          <w:rFonts w:hint="eastAsia" w:ascii="楷体" w:hAnsi="楷体" w:eastAsia="楷体" w:cs="楷体"/>
          <w:kern w:val="2"/>
          <w:sz w:val="24"/>
          <w:szCs w:val="24"/>
        </w:rPr>
      </w:pPr>
      <w:r>
        <w:rPr>
          <w:rFonts w:hint="eastAsia" w:ascii="楷体" w:hAnsi="楷体" w:eastAsia="楷体" w:cs="楷体"/>
          <w:kern w:val="2"/>
          <w:sz w:val="24"/>
          <w:szCs w:val="24"/>
        </w:rPr>
        <w:t>甲方工作人员如违反以上条款的，甲方按照国家有关法律、法规规定和有关廉政制度给予处理，如涉嫌违法犯罪的，移交司法机关处理。</w:t>
      </w:r>
    </w:p>
    <w:p>
      <w:pPr>
        <w:numPr>
          <w:ilvl w:val="0"/>
          <w:numId w:val="0"/>
        </w:numPr>
        <w:spacing w:before="0" w:after="0" w:line="360" w:lineRule="auto"/>
        <w:jc w:val="center"/>
        <w:rPr>
          <w:rFonts w:hint="eastAsia" w:ascii="楷体" w:hAnsi="楷体" w:eastAsia="楷体" w:cs="楷体"/>
          <w:kern w:val="2"/>
          <w:sz w:val="24"/>
          <w:szCs w:val="24"/>
        </w:rPr>
      </w:pPr>
      <w:r>
        <w:rPr>
          <w:rFonts w:hint="eastAsia" w:ascii="楷体" w:hAnsi="楷体" w:eastAsia="楷体" w:cs="楷体"/>
          <w:kern w:val="2"/>
          <w:sz w:val="24"/>
          <w:szCs w:val="24"/>
        </w:rPr>
        <w:t>本协议书为医疗产品购销合同的附件，与购销合同一并执行，具有同等法律效力。</w:t>
      </w:r>
    </w:p>
    <w:p>
      <w:pPr>
        <w:pStyle w:val="10"/>
        <w:ind w:left="0" w:leftChars="0" w:firstLine="0" w:firstLineChars="0"/>
        <w:rPr>
          <w:rFonts w:hint="eastAsia" w:asciiTheme="minorEastAsia" w:hAnsiTheme="minorEastAsia" w:eastAsiaTheme="minorEastAsia" w:cstheme="minorEastAsia"/>
        </w:rPr>
      </w:pPr>
    </w:p>
    <w:p>
      <w:pPr>
        <w:pStyle w:val="10"/>
        <w:spacing w:line="360" w:lineRule="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pStyle w:val="3"/>
        <w:numPr>
          <w:ilvl w:val="0"/>
          <w:numId w:val="5"/>
        </w:numPr>
        <w:jc w:val="center"/>
        <w:rPr>
          <w:rFonts w:hint="eastAsia" w:ascii="楷体" w:hAnsi="楷体" w:eastAsia="楷体" w:cs="楷体"/>
          <w:sz w:val="36"/>
        </w:rPr>
      </w:pPr>
      <w:bookmarkStart w:id="8" w:name="_Toc85463481"/>
      <w:r>
        <w:rPr>
          <w:rFonts w:hint="eastAsia" w:ascii="楷体" w:hAnsi="楷体" w:eastAsia="楷体" w:cs="楷体"/>
          <w:sz w:val="36"/>
        </w:rPr>
        <w:t xml:space="preserve"> 用户需求书</w:t>
      </w:r>
      <w:bookmarkEnd w:id="8"/>
      <w:bookmarkStart w:id="9" w:name="_Toc85463482"/>
    </w:p>
    <w:p>
      <w:pPr>
        <w:spacing w:line="360" w:lineRule="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一、采购清单</w:t>
      </w:r>
    </w:p>
    <w:tbl>
      <w:tblPr>
        <w:tblStyle w:val="18"/>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78"/>
        <w:gridCol w:w="897"/>
        <w:gridCol w:w="1835"/>
        <w:gridCol w:w="166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247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设备名称</w:t>
            </w:r>
          </w:p>
        </w:tc>
        <w:tc>
          <w:tcPr>
            <w:tcW w:w="897"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数量</w:t>
            </w:r>
          </w:p>
        </w:tc>
        <w:tc>
          <w:tcPr>
            <w:tcW w:w="1835" w:type="dxa"/>
            <w:vAlign w:val="center"/>
          </w:tcPr>
          <w:p>
            <w:pPr>
              <w:keepNext w:val="0"/>
              <w:keepLines w:val="0"/>
              <w:widowControl/>
              <w:suppressLineNumbers w:val="0"/>
              <w:spacing w:line="240" w:lineRule="auto"/>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单价（万元）</w:t>
            </w:r>
          </w:p>
        </w:tc>
        <w:tc>
          <w:tcPr>
            <w:tcW w:w="1661" w:type="dxa"/>
            <w:vAlign w:val="center"/>
          </w:tcPr>
          <w:p>
            <w:pPr>
              <w:keepNext w:val="0"/>
              <w:keepLines w:val="0"/>
              <w:widowControl/>
              <w:suppressLineNumbers w:val="0"/>
              <w:spacing w:line="240" w:lineRule="auto"/>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总价（万元）</w:t>
            </w:r>
          </w:p>
        </w:tc>
        <w:tc>
          <w:tcPr>
            <w:tcW w:w="879" w:type="dxa"/>
            <w:vAlign w:val="center"/>
          </w:tcPr>
          <w:p>
            <w:pPr>
              <w:spacing w:line="360" w:lineRule="auto"/>
              <w:jc w:val="center"/>
              <w:rPr>
                <w:rFonts w:hint="default" w:ascii="楷体" w:hAnsi="楷体" w:eastAsia="楷体" w:cs="楷体"/>
                <w:b/>
                <w:bCs/>
                <w:color w:val="FF0000"/>
                <w:sz w:val="24"/>
                <w:szCs w:val="24"/>
                <w:vertAlign w:val="baseline"/>
                <w:lang w:val="en-US" w:eastAsia="zh-CN"/>
              </w:rPr>
            </w:pPr>
            <w:r>
              <w:rPr>
                <w:rFonts w:hint="eastAsia" w:ascii="楷体" w:hAnsi="楷体" w:eastAsia="楷体" w:cs="楷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1</w:t>
            </w:r>
          </w:p>
        </w:tc>
        <w:tc>
          <w:tcPr>
            <w:tcW w:w="2478" w:type="dxa"/>
            <w:vAlign w:val="center"/>
          </w:tcPr>
          <w:p>
            <w:p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全自动核型分析工作站</w:t>
            </w:r>
          </w:p>
        </w:tc>
        <w:tc>
          <w:tcPr>
            <w:tcW w:w="897" w:type="dxa"/>
            <w:vAlign w:val="center"/>
          </w:tcPr>
          <w:p>
            <w:p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1套</w:t>
            </w:r>
          </w:p>
        </w:tc>
        <w:tc>
          <w:tcPr>
            <w:tcW w:w="1835" w:type="dxa"/>
            <w:vAlign w:val="center"/>
          </w:tcPr>
          <w:p>
            <w:pPr>
              <w:keepNext w:val="0"/>
              <w:keepLines w:val="0"/>
              <w:widowControl/>
              <w:suppressLineNumbers w:val="0"/>
              <w:spacing w:line="240" w:lineRule="auto"/>
              <w:jc w:val="center"/>
              <w:textAlignment w:val="center"/>
              <w:rPr>
                <w:rFonts w:hint="default"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200</w:t>
            </w:r>
          </w:p>
        </w:tc>
        <w:tc>
          <w:tcPr>
            <w:tcW w:w="1661" w:type="dxa"/>
            <w:vAlign w:val="center"/>
          </w:tcPr>
          <w:p>
            <w:pPr>
              <w:keepNext w:val="0"/>
              <w:keepLines w:val="0"/>
              <w:widowControl/>
              <w:suppressLineNumbers w:val="0"/>
              <w:spacing w:line="240" w:lineRule="auto"/>
              <w:jc w:val="center"/>
              <w:textAlignment w:val="center"/>
              <w:rPr>
                <w:rFonts w:hint="default" w:ascii="楷体" w:hAnsi="楷体" w:eastAsia="楷体" w:cs="楷体"/>
                <w:b/>
                <w:bCs/>
                <w:sz w:val="24"/>
                <w:szCs w:val="24"/>
                <w:vertAlign w:val="baseline"/>
                <w:lang w:val="en-US" w:eastAsia="zh-CN"/>
              </w:rPr>
            </w:pPr>
            <w:r>
              <w:rPr>
                <w:rFonts w:hint="eastAsia" w:ascii="楷体" w:hAnsi="楷体" w:eastAsia="楷体" w:cs="楷体"/>
                <w:b/>
                <w:bCs/>
                <w:i w:val="0"/>
                <w:iCs w:val="0"/>
                <w:color w:val="000000"/>
                <w:kern w:val="0"/>
                <w:sz w:val="24"/>
                <w:szCs w:val="24"/>
                <w:u w:val="none"/>
                <w:lang w:val="en-US" w:eastAsia="zh-CN" w:bidi="ar"/>
              </w:rPr>
              <w:t>200</w:t>
            </w:r>
          </w:p>
        </w:tc>
        <w:tc>
          <w:tcPr>
            <w:tcW w:w="879" w:type="dxa"/>
            <w:vAlign w:val="center"/>
          </w:tcPr>
          <w:p>
            <w:pPr>
              <w:spacing w:line="360" w:lineRule="auto"/>
              <w:jc w:val="center"/>
              <w:rPr>
                <w:rFonts w:hint="default" w:ascii="楷体" w:hAnsi="楷体" w:eastAsia="楷体" w:cs="楷体"/>
                <w:b/>
                <w:bCs/>
                <w:color w:val="FF0000"/>
                <w:sz w:val="24"/>
                <w:szCs w:val="24"/>
                <w:vertAlign w:val="baseline"/>
                <w:lang w:val="en-US" w:eastAsia="zh-CN"/>
              </w:rPr>
            </w:pPr>
          </w:p>
        </w:tc>
      </w:tr>
    </w:tbl>
    <w:p>
      <w:pPr>
        <w:pStyle w:val="3"/>
        <w:jc w:val="center"/>
        <w:rPr>
          <w:rFonts w:hint="eastAsia" w:ascii="楷体" w:hAnsi="楷体" w:eastAsia="楷体" w:cs="楷体"/>
          <w:sz w:val="36"/>
        </w:rPr>
      </w:pPr>
      <w:bookmarkStart w:id="11" w:name="_GoBack"/>
      <w:bookmarkEnd w:id="11"/>
      <w:r>
        <w:rPr>
          <w:rFonts w:hint="eastAsia" w:ascii="楷体" w:hAnsi="楷体" w:eastAsia="楷体" w:cs="楷体"/>
          <w:sz w:val="36"/>
        </w:rPr>
        <w:t>第五章  投标文件格式</w:t>
      </w:r>
      <w:bookmarkEnd w:id="9"/>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（注：招标文件未给出固定格式的部分，供应商自行拟定格式。投标文件因格式问题造成缺项的，后果自负。）</w:t>
      </w: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格式一、投标函</w:t>
      </w:r>
    </w:p>
    <w:p>
      <w:pPr>
        <w:spacing w:line="360" w:lineRule="auto"/>
        <w:ind w:firstLine="482" w:firstLineChars="200"/>
        <w:jc w:val="center"/>
        <w:rPr>
          <w:rFonts w:hint="eastAsia" w:ascii="楷体" w:hAnsi="楷体" w:eastAsia="楷体" w:cs="楷体"/>
          <w:b/>
          <w:bCs/>
          <w:sz w:val="24"/>
          <w:szCs w:val="21"/>
        </w:rPr>
      </w:pPr>
      <w:r>
        <w:rPr>
          <w:rFonts w:hint="eastAsia" w:ascii="楷体" w:hAnsi="楷体" w:eastAsia="楷体" w:cs="楷体"/>
          <w:b/>
          <w:bCs/>
          <w:sz w:val="24"/>
          <w:szCs w:val="21"/>
        </w:rPr>
        <w:t>投标函</w:t>
      </w:r>
    </w:p>
    <w:p>
      <w:pPr>
        <w:spacing w:line="360" w:lineRule="auto"/>
        <w:rPr>
          <w:rFonts w:hint="eastAsia" w:ascii="楷体" w:hAnsi="楷体" w:eastAsia="楷体" w:cs="楷体"/>
          <w:sz w:val="24"/>
        </w:rPr>
      </w:pPr>
      <w:r>
        <w:rPr>
          <w:rFonts w:hint="eastAsia" w:ascii="楷体" w:hAnsi="楷体" w:eastAsia="楷体" w:cs="楷体"/>
          <w:sz w:val="24"/>
        </w:rPr>
        <w:t>致：（采购人名称）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我方确认收到贵方提供的（采购项目名称）招标文件的全部内容，我方：（投标人名称）作为投标人正式授权（授权代表全名、职务）代表我方进行有关本投标的一切事宜。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在此提交的投标文件，包括如下等内容：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我方已完全明白招标文件的所有条款要求，并重申以下几点。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（一）</w:t>
      </w:r>
      <w:r>
        <w:rPr>
          <w:rFonts w:hint="eastAsia" w:ascii="楷体" w:hAnsi="楷体" w:eastAsia="楷体" w:cs="楷体"/>
          <w:sz w:val="24"/>
        </w:rPr>
        <w:tab/>
      </w:r>
      <w:r>
        <w:rPr>
          <w:rFonts w:hint="eastAsia" w:ascii="楷体" w:hAnsi="楷体" w:eastAsia="楷体" w:cs="楷体"/>
          <w:sz w:val="24"/>
        </w:rPr>
        <w:t>我方决定参加：</w:t>
      </w:r>
      <w:r>
        <w:rPr>
          <w:rFonts w:hint="eastAsia" w:ascii="楷体" w:hAnsi="楷体" w:eastAsia="楷体" w:cs="楷体"/>
          <w:sz w:val="24"/>
          <w:u w:val="single"/>
        </w:rPr>
        <w:t>（项目名称）（招标编号）</w:t>
      </w:r>
      <w:r>
        <w:rPr>
          <w:rFonts w:hint="eastAsia" w:ascii="楷体" w:hAnsi="楷体" w:eastAsia="楷体" w:cs="楷体"/>
          <w:sz w:val="24"/>
        </w:rPr>
        <w:t>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（二）</w:t>
      </w:r>
      <w:r>
        <w:rPr>
          <w:rFonts w:hint="eastAsia" w:ascii="楷体" w:hAnsi="楷体" w:eastAsia="楷体" w:cs="楷体"/>
          <w:sz w:val="24"/>
        </w:rPr>
        <w:tab/>
      </w:r>
      <w:r>
        <w:rPr>
          <w:rFonts w:hint="eastAsia" w:ascii="楷体" w:hAnsi="楷体" w:eastAsia="楷体" w:cs="楷体"/>
          <w:sz w:val="24"/>
        </w:rPr>
        <w:t>全部工程及货物供应和有关服务的投标总价为：               （大、小写）。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（三）</w:t>
      </w:r>
      <w:r>
        <w:rPr>
          <w:rFonts w:hint="eastAsia" w:ascii="楷体" w:hAnsi="楷体" w:eastAsia="楷体" w:cs="楷体"/>
          <w:sz w:val="24"/>
        </w:rPr>
        <w:tab/>
      </w:r>
      <w:r>
        <w:rPr>
          <w:rFonts w:hint="eastAsia" w:ascii="楷体" w:hAnsi="楷体" w:eastAsia="楷体" w:cs="楷体"/>
          <w:sz w:val="24"/>
        </w:rPr>
        <w:t>本投标文件的有效期在投标截止日后</w:t>
      </w:r>
      <w:r>
        <w:rPr>
          <w:rFonts w:hint="eastAsia" w:ascii="楷体" w:hAnsi="楷体" w:eastAsia="楷体" w:cs="楷体"/>
          <w:sz w:val="24"/>
          <w:lang w:val="en-US" w:eastAsia="zh-CN"/>
        </w:rPr>
        <w:t>90</w:t>
      </w:r>
      <w:r>
        <w:rPr>
          <w:rFonts w:hint="eastAsia" w:ascii="楷体" w:hAnsi="楷体" w:eastAsia="楷体" w:cs="楷体"/>
          <w:sz w:val="24"/>
        </w:rPr>
        <w:t>天有效，如中标，有效期将延至合同终止日为止。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（四）</w:t>
      </w:r>
      <w:r>
        <w:rPr>
          <w:rFonts w:hint="eastAsia" w:ascii="楷体" w:hAnsi="楷体" w:eastAsia="楷体" w:cs="楷体"/>
          <w:sz w:val="24"/>
        </w:rPr>
        <w:tab/>
      </w:r>
      <w:r>
        <w:rPr>
          <w:rFonts w:hint="eastAsia" w:ascii="楷体" w:hAnsi="楷体" w:eastAsia="楷体" w:cs="楷体"/>
          <w:sz w:val="24"/>
        </w:rPr>
        <w:t>我方已详细研究了招标文件的所有内容包括修正文（如果有）和所有已提供的参考资料以及有关附件并完全明白，我方放弃在此方面提出含糊意见或误解的一切权力。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（五）</w:t>
      </w:r>
      <w:r>
        <w:rPr>
          <w:rFonts w:hint="eastAsia" w:ascii="楷体" w:hAnsi="楷体" w:eastAsia="楷体" w:cs="楷体"/>
          <w:sz w:val="24"/>
        </w:rPr>
        <w:tab/>
      </w:r>
      <w:r>
        <w:rPr>
          <w:rFonts w:hint="eastAsia" w:ascii="楷体" w:hAnsi="楷体" w:eastAsia="楷体" w:cs="楷体"/>
          <w:sz w:val="24"/>
        </w:rPr>
        <w:t>我方同意按照贵方可能提出的要求而提供与投标有关的任何其它数据或信息。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（六）</w:t>
      </w:r>
      <w:r>
        <w:rPr>
          <w:rFonts w:hint="eastAsia" w:ascii="楷体" w:hAnsi="楷体" w:eastAsia="楷体" w:cs="楷体"/>
          <w:sz w:val="24"/>
        </w:rPr>
        <w:tab/>
      </w:r>
      <w:r>
        <w:rPr>
          <w:rFonts w:hint="eastAsia" w:ascii="楷体" w:hAnsi="楷体" w:eastAsia="楷体" w:cs="楷体"/>
          <w:sz w:val="24"/>
        </w:rPr>
        <w:t>我方理解贵方不一定接受最低标价或任何贵方可能收到的投标。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（七）</w:t>
      </w:r>
      <w:r>
        <w:rPr>
          <w:rFonts w:hint="eastAsia" w:ascii="楷体" w:hAnsi="楷体" w:eastAsia="楷体" w:cs="楷体"/>
          <w:sz w:val="24"/>
        </w:rPr>
        <w:tab/>
      </w:r>
      <w:r>
        <w:rPr>
          <w:rFonts w:hint="eastAsia" w:ascii="楷体" w:hAnsi="楷体" w:eastAsia="楷体" w:cs="楷体"/>
          <w:sz w:val="24"/>
        </w:rPr>
        <w:t>我方如果中标，将保证履行招标文件及其补充文件中的全部责任和义务，按质、按量、按期完成《合同书》中的全部任务。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（八）</w:t>
      </w:r>
      <w:r>
        <w:rPr>
          <w:rFonts w:hint="eastAsia" w:ascii="楷体" w:hAnsi="楷体" w:eastAsia="楷体" w:cs="楷体"/>
          <w:sz w:val="24"/>
        </w:rPr>
        <w:tab/>
      </w:r>
      <w:r>
        <w:rPr>
          <w:rFonts w:hint="eastAsia" w:ascii="楷体" w:hAnsi="楷体" w:eastAsia="楷体" w:cs="楷体"/>
          <w:sz w:val="24"/>
        </w:rPr>
        <w:t>如我方中标，我方将在收到中标通知书之前，按规定标准向中海建国际建设咨询集团有限责任公司交纳中标服务费。</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（盖单位章）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法定代表人（单位负责人）或其委托代理人： （签字）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地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网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电 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传 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邮政编码：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10"/>
        <w:rPr>
          <w:rFonts w:hint="eastAsia"/>
        </w:rPr>
      </w:pPr>
    </w:p>
    <w:p>
      <w:pPr>
        <w:pStyle w:val="10"/>
        <w:rPr>
          <w:rFonts w:hint="eastAsia"/>
        </w:rPr>
      </w:pPr>
    </w:p>
    <w:p>
      <w:pPr>
        <w:rPr>
          <w:rFonts w:hint="eastAsia"/>
        </w:rPr>
      </w:pPr>
    </w:p>
    <w:p>
      <w:pPr>
        <w:pStyle w:val="2"/>
        <w:rPr>
          <w:rFonts w:hint="eastAsia"/>
        </w:rPr>
      </w:pPr>
    </w:p>
    <w:p>
      <w:pPr>
        <w:spacing w:line="360" w:lineRule="auto"/>
        <w:rPr>
          <w:rFonts w:hint="eastAsia" w:ascii="楷体" w:hAnsi="楷体" w:eastAsia="楷体" w:cs="楷体"/>
          <w:b/>
          <w:sz w:val="24"/>
        </w:rPr>
      </w:pPr>
      <w:r>
        <w:rPr>
          <w:rFonts w:hint="eastAsia" w:ascii="楷体" w:hAnsi="楷体" w:eastAsia="楷体" w:cs="楷体"/>
          <w:b/>
          <w:sz w:val="24"/>
        </w:rPr>
        <w:t>格式二、法定代表人（单位负责人）身份证明或授权委托书</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法定代表人（单位负责人）身份证明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姓名： 性别： 年龄： 职务：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系 （投标人名称）的法定代表人（单位负责人）。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注：本身份证明需由投标人加盖单位公章。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 （单位公章）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7200" w:firstLineChars="30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本人 （姓名）系 （投标人名称）的法定代表人（单位负责人），现委托 （姓名）为我方代理人。代理人根据授权，以我方名义签署、澄清确认、递交、撤回、修改</w:t>
      </w:r>
      <w:r>
        <w:rPr>
          <w:rFonts w:hint="eastAsia" w:ascii="楷体" w:hAnsi="楷体" w:eastAsia="楷体" w:cs="楷体"/>
          <w:sz w:val="24"/>
          <w:lang w:eastAsia="zh-CN"/>
        </w:rPr>
        <w:t>（</w:t>
      </w:r>
      <w:r>
        <w:rPr>
          <w:rFonts w:hint="eastAsia" w:ascii="楷体" w:hAnsi="楷体" w:eastAsia="楷体" w:cs="楷体"/>
          <w:sz w:val="24"/>
        </w:rPr>
        <w:t>招标项目</w:t>
      </w:r>
      <w:r>
        <w:rPr>
          <w:rFonts w:hint="eastAsia" w:ascii="楷体" w:hAnsi="楷体" w:eastAsia="楷体" w:cs="楷体"/>
          <w:sz w:val="24"/>
          <w:lang w:val="en-US" w:eastAsia="zh-CN"/>
        </w:rPr>
        <w:t>名称</w:t>
      </w:r>
      <w:r>
        <w:rPr>
          <w:rFonts w:hint="eastAsia" w:ascii="楷体" w:hAnsi="楷体" w:eastAsia="楷体" w:cs="楷体"/>
          <w:sz w:val="24"/>
          <w:lang w:eastAsia="zh-CN"/>
        </w:rPr>
        <w:t>）</w:t>
      </w:r>
      <w:r>
        <w:rPr>
          <w:rFonts w:hint="eastAsia" w:ascii="楷体" w:hAnsi="楷体" w:eastAsia="楷体" w:cs="楷体"/>
          <w:sz w:val="24"/>
          <w:lang w:val="en-US" w:eastAsia="zh-CN"/>
        </w:rPr>
        <w:t>的</w:t>
      </w:r>
      <w:r>
        <w:rPr>
          <w:rFonts w:hint="eastAsia" w:ascii="楷体" w:hAnsi="楷体" w:eastAsia="楷体" w:cs="楷体"/>
          <w:sz w:val="24"/>
        </w:rPr>
        <w:t>投标文件、签订合同和处理有关事宜，其法律后果由我方承担。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委托期限：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代理人无转委托权。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附：法定代表人（单位负责人）身份证复印件及委托代理人身份证复印件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注：本授权委托书需由投标人加盖单位公章并由其法定代表人（单位负责人）和委托代理人签字。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（单位公章）</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委托代理人：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格式三、投标报价表（开标一览表）</w:t>
      </w:r>
    </w:p>
    <w:p>
      <w:pPr>
        <w:spacing w:line="360" w:lineRule="auto"/>
        <w:rPr>
          <w:rFonts w:hint="eastAsia" w:ascii="楷体" w:hAnsi="楷体" w:eastAsia="楷体" w:cs="楷体"/>
          <w:sz w:val="24"/>
        </w:rPr>
      </w:pPr>
    </w:p>
    <w:p>
      <w:pPr>
        <w:pStyle w:val="15"/>
        <w:wordWrap w:val="0"/>
        <w:spacing w:before="0" w:beforeAutospacing="0" w:after="0" w:afterAutospacing="0"/>
        <w:jc w:val="center"/>
        <w:rPr>
          <w:rFonts w:hint="eastAsia" w:ascii="楷体" w:hAnsi="楷体" w:eastAsia="楷体" w:cs="楷体"/>
          <w:b/>
          <w:bCs w:val="0"/>
          <w:sz w:val="24"/>
          <w:szCs w:val="24"/>
        </w:rPr>
      </w:pPr>
      <w:r>
        <w:rPr>
          <w:rFonts w:hint="eastAsia" w:ascii="楷体" w:hAnsi="楷体" w:eastAsia="楷体" w:cs="楷体"/>
          <w:b/>
          <w:bCs w:val="0"/>
          <w:sz w:val="24"/>
          <w:szCs w:val="24"/>
          <w:shd w:val="clear" w:color="auto" w:fill="FFFFFF"/>
        </w:rPr>
        <w:t>开标一览表（格式）</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项目编号： </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项目名称： </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r>
        <w:rPr>
          <w:rFonts w:hint="eastAsia" w:ascii="楷体" w:hAnsi="楷体" w:eastAsia="楷体" w:cs="楷体"/>
          <w:sz w:val="21"/>
          <w:szCs w:val="21"/>
          <w:shd w:val="clear" w:color="auto" w:fill="FFFFFF"/>
        </w:rPr>
        <w:t>标段编号：</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标段名称：</w:t>
      </w:r>
    </w:p>
    <w:tbl>
      <w:tblPr>
        <w:tblStyle w:val="17"/>
        <w:tblW w:w="8308"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382"/>
        <w:gridCol w:w="392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标题  </w:t>
            </w:r>
          </w:p>
        </w:tc>
        <w:tc>
          <w:tcPr>
            <w:tcW w:w="3926"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内容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投标报价</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交货期</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bl>
    <w:p>
      <w:pPr>
        <w:widowControl/>
        <w:spacing w:after="240"/>
        <w:jc w:val="left"/>
        <w:rPr>
          <w:rFonts w:hint="eastAsia" w:ascii="楷体" w:hAnsi="楷体" w:eastAsia="楷体" w:cs="楷体"/>
          <w:sz w:val="24"/>
          <w:lang w:val="zh-CN"/>
        </w:rPr>
      </w:pP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供应商：（加盖公章）</w:t>
      </w: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日</w:t>
      </w:r>
      <w:r>
        <w:rPr>
          <w:rFonts w:hint="eastAsia" w:ascii="楷体" w:hAnsi="楷体" w:eastAsia="楷体" w:cs="楷体"/>
          <w:kern w:val="2"/>
          <w:sz w:val="24"/>
          <w:szCs w:val="24"/>
          <w:lang w:val="en-US" w:eastAsia="zh-CN"/>
        </w:rPr>
        <w:t xml:space="preserve">  </w:t>
      </w:r>
      <w:r>
        <w:rPr>
          <w:rFonts w:hint="eastAsia" w:ascii="楷体" w:hAnsi="楷体" w:eastAsia="楷体" w:cs="楷体"/>
          <w:kern w:val="2"/>
          <w:sz w:val="24"/>
          <w:szCs w:val="24"/>
          <w:lang w:val="zh-CN"/>
        </w:rPr>
        <w:t>期：</w:t>
      </w:r>
    </w:p>
    <w:p>
      <w:pPr>
        <w:rPr>
          <w:rFonts w:hint="eastAsia" w:ascii="楷体" w:hAnsi="楷体" w:eastAsia="楷体" w:cs="楷体"/>
        </w:rPr>
      </w:pPr>
      <w:r>
        <w:rPr>
          <w:rFonts w:hint="eastAsia" w:ascii="楷体" w:hAnsi="楷体" w:eastAsia="楷体" w:cs="楷体"/>
        </w:rPr>
        <w:t> </w:t>
      </w:r>
    </w:p>
    <w:p>
      <w:pPr>
        <w:spacing w:line="360" w:lineRule="auto"/>
        <w:rPr>
          <w:rFonts w:hint="eastAsia" w:ascii="楷体" w:hAnsi="楷体" w:eastAsia="楷体" w:cs="楷体"/>
        </w:rPr>
      </w:pPr>
      <w:r>
        <w:rPr>
          <w:rFonts w:hint="eastAsia" w:ascii="楷体" w:hAnsi="楷体" w:eastAsia="楷体" w:cs="楷体"/>
        </w:rPr>
        <w:t xml:space="preserve">备注: </w:t>
      </w:r>
    </w:p>
    <w:p>
      <w:pPr>
        <w:pStyle w:val="15"/>
        <w:wordWrap w:val="0"/>
        <w:spacing w:before="0" w:beforeAutospacing="0" w:after="0" w:afterAutospacing="0" w:line="360" w:lineRule="auto"/>
        <w:ind w:firstLine="315" w:firstLineChars="150"/>
        <w:rPr>
          <w:rFonts w:hint="eastAsia" w:ascii="楷体" w:hAnsi="楷体" w:eastAsia="楷体" w:cs="楷体"/>
          <w:kern w:val="2"/>
          <w:sz w:val="21"/>
          <w:szCs w:val="24"/>
          <w:highlight w:val="yellow"/>
        </w:rPr>
      </w:pPr>
      <w:r>
        <w:rPr>
          <w:rFonts w:hint="eastAsia" w:ascii="楷体" w:hAnsi="楷体" w:eastAsia="楷体" w:cs="楷体"/>
          <w:kern w:val="2"/>
          <w:sz w:val="21"/>
          <w:szCs w:val="24"/>
        </w:rPr>
        <w:t xml:space="preserve"> </w:t>
      </w:r>
      <w:r>
        <w:rPr>
          <w:rFonts w:hint="eastAsia" w:ascii="楷体" w:hAnsi="楷体" w:eastAsia="楷体" w:cs="楷体"/>
          <w:kern w:val="2"/>
          <w:sz w:val="21"/>
          <w:szCs w:val="24"/>
          <w:lang w:val="zh-CN"/>
        </w:rPr>
        <w:t>1“投标报价”为投标总价。投标报价必须包括本项目所需全部费用；</w:t>
      </w:r>
    </w:p>
    <w:p>
      <w:pPr>
        <w:spacing w:line="360" w:lineRule="auto"/>
        <w:rPr>
          <w:rFonts w:hint="eastAsia" w:ascii="楷体" w:hAnsi="楷体" w:eastAsia="楷体" w:cs="楷体"/>
          <w:b/>
          <w:sz w:val="24"/>
        </w:rPr>
      </w:pPr>
    </w:p>
    <w:p>
      <w:pPr>
        <w:pStyle w:val="4"/>
        <w:rPr>
          <w:rFonts w:hint="eastAsia"/>
        </w:rPr>
      </w:pPr>
    </w:p>
    <w:p>
      <w:pPr>
        <w:spacing w:line="360" w:lineRule="auto"/>
        <w:ind w:firstLine="482" w:firstLineChars="200"/>
        <w:rPr>
          <w:rFonts w:hint="eastAsia" w:ascii="楷体" w:hAnsi="楷体" w:eastAsia="楷体" w:cs="楷体"/>
          <w:b/>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br w:type="page"/>
      </w:r>
      <w:r>
        <w:rPr>
          <w:rFonts w:hint="eastAsia" w:ascii="楷体" w:hAnsi="楷体" w:eastAsia="楷体" w:cs="楷体"/>
          <w:b/>
          <w:sz w:val="24"/>
        </w:rPr>
        <w:t>格式四、分项报价表</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分项报价表</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采购项目编号：</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p>
    <w:tbl>
      <w:tblPr>
        <w:tblStyle w:val="1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15"/>
        <w:gridCol w:w="1062"/>
        <w:gridCol w:w="1063"/>
        <w:gridCol w:w="677"/>
        <w:gridCol w:w="1312"/>
        <w:gridCol w:w="1354"/>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序号</w:t>
            </w:r>
          </w:p>
        </w:tc>
        <w:tc>
          <w:tcPr>
            <w:tcW w:w="1115"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产品名称</w:t>
            </w:r>
          </w:p>
        </w:tc>
        <w:tc>
          <w:tcPr>
            <w:tcW w:w="106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规格型号</w:t>
            </w:r>
          </w:p>
        </w:tc>
        <w:tc>
          <w:tcPr>
            <w:tcW w:w="1063"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制造厂家</w:t>
            </w:r>
          </w:p>
        </w:tc>
        <w:tc>
          <w:tcPr>
            <w:tcW w:w="677"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数量</w:t>
            </w:r>
          </w:p>
        </w:tc>
        <w:tc>
          <w:tcPr>
            <w:tcW w:w="131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单价（元）</w:t>
            </w:r>
          </w:p>
        </w:tc>
        <w:tc>
          <w:tcPr>
            <w:tcW w:w="135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小计（元）</w:t>
            </w:r>
          </w:p>
        </w:tc>
        <w:tc>
          <w:tcPr>
            <w:tcW w:w="1079"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bl>
    <w:p>
      <w:pPr>
        <w:pStyle w:val="11"/>
        <w:tabs>
          <w:tab w:val="left" w:pos="5580"/>
        </w:tabs>
        <w:spacing w:line="360" w:lineRule="auto"/>
        <w:rPr>
          <w:rFonts w:hint="eastAsia" w:hAnsi="宋体" w:cs="宋体"/>
          <w:b/>
          <w:bCs/>
          <w:color w:val="000000"/>
          <w:kern w:val="0"/>
          <w:szCs w:val="21"/>
          <w:lang w:bidi="ar"/>
        </w:rPr>
      </w:pP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格式五、商务条款偏离表</w:t>
      </w:r>
    </w:p>
    <w:p>
      <w:pPr>
        <w:pStyle w:val="8"/>
        <w:spacing w:after="0" w:line="360" w:lineRule="auto"/>
        <w:ind w:firstLine="480" w:firstLineChars="200"/>
        <w:rPr>
          <w:rFonts w:hint="eastAsia" w:ascii="楷体" w:hAnsi="楷体" w:eastAsia="楷体" w:cs="楷体"/>
          <w:sz w:val="24"/>
        </w:rPr>
      </w:pPr>
      <w:r>
        <w:rPr>
          <w:rFonts w:hint="eastAsia" w:ascii="楷体" w:hAnsi="楷体" w:eastAsia="楷体" w:cs="楷体"/>
          <w:sz w:val="24"/>
        </w:rPr>
        <w:t>〔说明〕投标人应根据其提供的货物和服务，对照招标文件“合同专用条款”的要求，有差异的，则在差异表中写明实际响应的具体内容。</w:t>
      </w:r>
    </w:p>
    <w:p>
      <w:pPr>
        <w:pStyle w:val="8"/>
        <w:spacing w:after="0" w:line="360" w:lineRule="auto"/>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8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55"/>
        <w:gridCol w:w="2505"/>
        <w:gridCol w:w="123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8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455"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505"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230"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304"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lang w:eastAsia="zh-CN"/>
              </w:rPr>
            </w:pPr>
            <w:r>
              <w:rPr>
                <w:rFonts w:hint="eastAsia" w:ascii="楷体" w:hAnsi="楷体" w:eastAsia="楷体" w:cs="楷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50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3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304"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注：请对招标文件商务要求内容逐条响应。（响应、正偏离、负偏离）</w:t>
      </w: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格式六、技术规格偏离表</w:t>
      </w:r>
    </w:p>
    <w:p>
      <w:pPr>
        <w:spacing w:line="360" w:lineRule="auto"/>
        <w:rPr>
          <w:rFonts w:hint="eastAsia" w:ascii="楷体" w:hAnsi="楷体" w:eastAsia="楷体" w:cs="楷体"/>
          <w:sz w:val="24"/>
        </w:rPr>
      </w:pPr>
      <w:r>
        <w:rPr>
          <w:rFonts w:hint="eastAsia" w:ascii="楷体" w:hAnsi="楷体" w:eastAsia="楷体" w:cs="楷体"/>
          <w:sz w:val="24"/>
        </w:rPr>
        <w:t>〔说明〕投标人应按照招标文件要求，根据“用户需求书”内容做出全面响应。</w:t>
      </w:r>
    </w:p>
    <w:p>
      <w:pPr>
        <w:spacing w:line="360" w:lineRule="auto"/>
        <w:rPr>
          <w:rFonts w:hint="eastAsia" w:ascii="楷体" w:hAnsi="楷体" w:eastAsia="楷体" w:cs="楷体"/>
          <w:sz w:val="24"/>
        </w:rPr>
      </w:pPr>
      <w:r>
        <w:rPr>
          <w:rFonts w:hint="eastAsia" w:ascii="楷体" w:hAnsi="楷体" w:eastAsia="楷体" w:cs="楷体"/>
          <w:sz w:val="24"/>
        </w:rPr>
        <w:t>对响应有差异的，则说明差异的内容。</w:t>
      </w:r>
    </w:p>
    <w:p>
      <w:pPr>
        <w:pStyle w:val="8"/>
        <w:spacing w:line="360" w:lineRule="auto"/>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9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23"/>
        <w:gridCol w:w="2410"/>
        <w:gridCol w:w="184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1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12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410"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84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200"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41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84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00"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注：请对招标文件技术规格书要求内容逐条响应。（响应、正偏离、负偏离）</w:t>
      </w:r>
    </w:p>
    <w:p>
      <w:pPr>
        <w:pStyle w:val="11"/>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pStyle w:val="4"/>
        <w:rPr>
          <w:rFonts w:hint="eastAsia"/>
        </w:rPr>
      </w:pPr>
    </w:p>
    <w:p>
      <w:pPr>
        <w:spacing w:line="360" w:lineRule="auto"/>
        <w:ind w:firstLine="480" w:firstLineChars="200"/>
        <w:rPr>
          <w:rFonts w:hint="eastAsia" w:ascii="楷体" w:hAnsi="楷体" w:eastAsia="楷体" w:cs="楷体"/>
          <w:sz w:val="24"/>
        </w:rPr>
      </w:pP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格式七、资格审查资料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格式八、投标设备技术性能指标的详细描述（格式自拟）；</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格式九、技术支持资料（格式自拟）；</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产品技术说明书和彩页（彩页须是印刷版，要与所投产品型号、规格一致）。</w:t>
      </w: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格式十、业绩（业绩要求详见评分细则）</w:t>
      </w:r>
    </w:p>
    <w:p>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业绩</w:t>
      </w:r>
    </w:p>
    <w:tbl>
      <w:tblPr>
        <w:tblStyle w:val="17"/>
        <w:tblW w:w="8304" w:type="dxa"/>
        <w:tblInd w:w="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56"/>
        <w:gridCol w:w="1435"/>
        <w:gridCol w:w="1316"/>
        <w:gridCol w:w="1157"/>
        <w:gridCol w:w="1256"/>
        <w:gridCol w:w="1624"/>
        <w:gridCol w:w="8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tcBorders>
              <w:top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年份</w:t>
            </w:r>
          </w:p>
        </w:tc>
        <w:tc>
          <w:tcPr>
            <w:tcW w:w="1435"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用户名称</w:t>
            </w:r>
          </w:p>
        </w:tc>
        <w:tc>
          <w:tcPr>
            <w:tcW w:w="131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项目名称</w:t>
            </w:r>
          </w:p>
        </w:tc>
        <w:tc>
          <w:tcPr>
            <w:tcW w:w="1157"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完成时间</w:t>
            </w:r>
          </w:p>
        </w:tc>
        <w:tc>
          <w:tcPr>
            <w:tcW w:w="125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合同金额</w:t>
            </w: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是否通过验收</w:t>
            </w: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bl>
    <w:p>
      <w:pPr>
        <w:spacing w:line="360" w:lineRule="auto"/>
        <w:rPr>
          <w:rFonts w:hint="eastAsia" w:ascii="楷体" w:hAnsi="楷体" w:eastAsia="楷体" w:cs="楷体"/>
          <w:b/>
          <w:sz w:val="24"/>
        </w:rPr>
      </w:pPr>
      <w:r>
        <w:rPr>
          <w:rFonts w:hint="eastAsia" w:ascii="楷体" w:hAnsi="楷体" w:eastAsia="楷体" w:cs="楷体"/>
          <w:b/>
          <w:sz w:val="24"/>
        </w:rPr>
        <w:t>注：须提供业绩相应的证明材料（采购合同）。</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格式十一、售后服务、及培训计划承诺书；</w:t>
      </w:r>
    </w:p>
    <w:p>
      <w:pPr>
        <w:spacing w:line="360" w:lineRule="auto"/>
        <w:jc w:val="center"/>
        <w:rPr>
          <w:rFonts w:hint="eastAsia" w:ascii="楷体" w:hAnsi="楷体" w:eastAsia="楷体" w:cs="楷体"/>
          <w:b/>
          <w:bCs/>
          <w:sz w:val="24"/>
          <w:szCs w:val="22"/>
        </w:rPr>
      </w:pPr>
      <w:r>
        <w:rPr>
          <w:rFonts w:hint="eastAsia" w:ascii="楷体" w:hAnsi="楷体" w:eastAsia="楷体" w:cs="楷体"/>
          <w:b/>
          <w:bCs/>
          <w:sz w:val="24"/>
          <w:szCs w:val="22"/>
        </w:rPr>
        <w:t>11.1培训计划承诺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经仔细阅读你们的招标文件，我们同意招标文件中有关培训计划的要求，对所投标项目向贵单位特作如下培训计划承诺：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1"/>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sz w:val="24"/>
          <w:szCs w:val="24"/>
        </w:rPr>
      </w:pP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11.2售后服务承诺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报价人应详细说明售后服务保证内容，备品备件供应情况，出现故障响应时间及售后服务人员情况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1"/>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sz w:val="24"/>
          <w:szCs w:val="24"/>
        </w:rPr>
      </w:pPr>
    </w:p>
    <w:p>
      <w:pPr>
        <w:pStyle w:val="11"/>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1"/>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4"/>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格式十二、投标人提供的其他资料。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.1投标人简介。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w:t>
      </w:r>
      <w:r>
        <w:rPr>
          <w:rFonts w:hint="eastAsia" w:ascii="楷体" w:hAnsi="楷体" w:eastAsia="楷体" w:cs="楷体"/>
          <w:sz w:val="24"/>
          <w:lang w:val="en-US" w:eastAsia="zh-CN"/>
        </w:rPr>
        <w:t>2</w:t>
      </w:r>
      <w:r>
        <w:rPr>
          <w:rFonts w:hint="eastAsia" w:ascii="楷体" w:hAnsi="楷体" w:eastAsia="楷体" w:cs="楷体"/>
          <w:sz w:val="24"/>
        </w:rPr>
        <w:t>投标人觉得有必要提供的其它证明材料。</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10"/>
        <w:rPr>
          <w:rFonts w:hint="eastAsia"/>
        </w:rPr>
      </w:pPr>
    </w:p>
    <w:p>
      <w:pPr>
        <w:pStyle w:val="10"/>
        <w:rPr>
          <w:rFonts w:hint="eastAsia"/>
        </w:rPr>
      </w:pPr>
    </w:p>
    <w:p>
      <w:pPr>
        <w:pStyle w:val="10"/>
        <w:rPr>
          <w:rFonts w:hint="eastAsia"/>
        </w:rPr>
      </w:pPr>
    </w:p>
    <w:p>
      <w:pPr>
        <w:spacing w:line="360" w:lineRule="auto"/>
        <w:ind w:firstLine="480" w:firstLineChars="200"/>
        <w:rPr>
          <w:rFonts w:hint="eastAsia" w:ascii="楷体" w:hAnsi="楷体" w:eastAsia="楷体" w:cs="楷体"/>
          <w:sz w:val="24"/>
        </w:rPr>
      </w:pPr>
    </w:p>
    <w:p>
      <w:pPr>
        <w:pStyle w:val="3"/>
        <w:jc w:val="center"/>
        <w:rPr>
          <w:rFonts w:hint="eastAsia" w:ascii="楷体" w:hAnsi="楷体" w:eastAsia="楷体" w:cs="楷体"/>
          <w:sz w:val="36"/>
        </w:rPr>
      </w:pPr>
      <w:bookmarkStart w:id="10" w:name="_Toc85463483"/>
      <w:r>
        <w:rPr>
          <w:rFonts w:hint="eastAsia" w:ascii="楷体" w:hAnsi="楷体" w:eastAsia="楷体" w:cs="楷体"/>
          <w:sz w:val="36"/>
        </w:rPr>
        <w:t>第六章  评标办法</w:t>
      </w:r>
      <w:bookmarkEnd w:id="10"/>
    </w:p>
    <w:p>
      <w:pPr>
        <w:spacing w:line="360" w:lineRule="auto"/>
        <w:rPr>
          <w:rFonts w:hint="eastAsia" w:ascii="楷体" w:hAnsi="楷体" w:eastAsia="楷体" w:cs="楷体"/>
          <w:b/>
          <w:sz w:val="24"/>
        </w:rPr>
      </w:pPr>
      <w:r>
        <w:rPr>
          <w:rFonts w:hint="eastAsia" w:ascii="楷体" w:hAnsi="楷体" w:eastAsia="楷体" w:cs="楷体"/>
          <w:b/>
          <w:sz w:val="24"/>
        </w:rPr>
        <w:t>一、评标委员会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 评标委员会成员有下列情形之一的，应当回避：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（1）投标人或投标人主要负责人的近亲属；</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（2）项目主管部门或者行政监督部门的人员；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（3）与投标人有经济利益关系，可能影响对投标公正评审的；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（4）曾因在招标、评标以及其他与招标投标有关活动中从事违法行为而受过行政处罚或刑事处罚的；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（5）与投标人有其他利害关系。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1.1.4评标方法：综合评分法。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二、投标文件的初审（资格审查、符合性审查）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2.1资格审查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开标结束后，采购人或采购代理机构依据法律法规和招标文件中规定的内容，对投标人及其投标货物的资格进行审查，未通过资格审查的投标人不进入评标，投标将被认定为投标无效；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通过资格审查的投标人不足三家的，不得评标。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w:t>
      </w:r>
      <w:r>
        <w:rPr>
          <w:rFonts w:hint="eastAsia" w:ascii="楷体" w:hAnsi="楷体" w:eastAsia="楷体" w:cs="楷体"/>
          <w:sz w:val="24"/>
          <w:lang w:eastAsia="zh-CN"/>
        </w:rPr>
        <w:t>“</w:t>
      </w:r>
      <w:r>
        <w:rPr>
          <w:rFonts w:hint="eastAsia" w:ascii="楷体" w:hAnsi="楷体" w:eastAsia="楷体" w:cs="楷体"/>
          <w:sz w:val="24"/>
        </w:rPr>
        <w:t>中国政府采购网</w:t>
      </w:r>
      <w:r>
        <w:rPr>
          <w:rFonts w:hint="eastAsia" w:ascii="楷体" w:hAnsi="楷体" w:eastAsia="楷体" w:cs="楷体"/>
          <w:sz w:val="24"/>
          <w:lang w:eastAsia="zh-CN"/>
        </w:rPr>
        <w:t>”</w:t>
      </w:r>
      <w:r>
        <w:rPr>
          <w:rFonts w:hint="eastAsia" w:ascii="楷体" w:hAnsi="楷体" w:eastAsia="楷体" w:cs="楷体"/>
          <w:sz w:val="24"/>
        </w:rPr>
        <w:t>（www.ccgp.gov.cn）被列入政府采购严重违法失信行为记录名单，或在“信用中国”网站（www.creditchina.gov.cn）被列入失信被执行人、重大税收违法</w:t>
      </w:r>
      <w:r>
        <w:rPr>
          <w:rFonts w:hint="eastAsia" w:ascii="楷体" w:hAnsi="楷体" w:eastAsia="楷体" w:cs="楷体"/>
          <w:sz w:val="24"/>
          <w:lang w:val="en-US" w:eastAsia="zh-CN"/>
        </w:rPr>
        <w:t>失信主体</w:t>
      </w:r>
      <w:r>
        <w:rPr>
          <w:rFonts w:hint="eastAsia" w:ascii="楷体" w:hAnsi="楷体" w:eastAsia="楷体" w:cs="楷体"/>
          <w:sz w:val="24"/>
        </w:rPr>
        <w:t>，以及存在《中华人民共和国政府采购法实施条例》第十九条规定的行政处罚记录，投标将被认定为投标无效。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以联合体形式参加投标的，联合体任何成员存在以上不良信用记录的，联合体投标将被认定为投标无效。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依据招标文件的规定，对资格合格者投标文件的完整性、有效性和对招标文件的响应程度进行审查，以确定是否对招标文件的实质性内容做出响应，包含但不限于以下内容：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（1）投标人名称是否与购买招标文件的单位名称一致；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（2）除明确允许投标人可以自行编写的外，投标文件是否按照招标文件要求的格式编制；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（3）投标文件是否按照招标文件的要求盖章签字；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（4）投标内容是否有重大缺漏项；</w:t>
      </w:r>
    </w:p>
    <w:p>
      <w:pPr>
        <w:spacing w:line="360" w:lineRule="auto"/>
        <w:ind w:firstLine="480" w:firstLineChars="200"/>
        <w:rPr>
          <w:rFonts w:hint="eastAsia" w:ascii="楷体" w:hAnsi="楷体" w:eastAsia="楷体" w:cs="楷体"/>
          <w:color w:val="auto"/>
          <w:sz w:val="24"/>
          <w:highlight w:val="yellow"/>
        </w:rPr>
      </w:pPr>
      <w:r>
        <w:rPr>
          <w:rFonts w:hint="eastAsia" w:ascii="楷体" w:hAnsi="楷体" w:eastAsia="楷体" w:cs="楷体"/>
          <w:color w:val="auto"/>
          <w:sz w:val="24"/>
          <w:highlight w:val="none"/>
        </w:rPr>
        <w:t>（5）是否针对同一项目提交两份或多份内容不同的投标文件，未书面声明哪一份是有效的或出现选择性报价的；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（6）投标报价是否超过采购预算；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（7）投标有效期是否符合招标文件的要求；</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（8）对招标文件商务要求是否作了明确且实质性响应；</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（9）对招标文件技术要求是否作了明确响应，对不得偏离的要求是否作了实质性响应；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（10）投标文件是否含有采购人不能接受的附件条件；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（11）是否符合法律、法规和招标文件规定的其他无效投标情形。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2.3投标文件的澄清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（2）书写错误的评审标准：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评标委员会在评标过程中，发现投标文件出现下列情况之一者，按以下原则修正：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a、投标文件中开标一览表（报价表）内容与投标文件中相应内容不一致的，以开标一览表（报价表）为准；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b、大写金额和小写金额不一致的，以大写金额为准；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c、单价金额小数点或者百分比有明显错位的，以开标一览表的总价为准，并修改单价；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d、总价金额与按单价汇总金额不一致的，以单价金额计算结果为准。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e、投标文件图表与文字不符时，以文字为准；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f、投标文件正本与副本不符时，以正本为准；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g、对不同文字文本投标文件的解释发生异议的，以中文文本为准；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h、多处内容交叉不符时，以评标委员会评审结果为准。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注：按上述方法修正的内容（其中，同时出现上述a至d两种以上不一致的，按上述规定的顺序修正），经投标人确认后产生约束力，投标人不确认的，其投标无效。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经符合性审查合格的投标文件，评标委员会将根据招标文件确定的评标方法和标准，对其技术部分和商务部分作进一步的比较和评价。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2.5无效投标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如发现下列情况之一的，其投标将被认定为投标无效：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（1）未按照招标文件规定要求签署、盖章的；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（2）未满足招标文件中商务和技术条款的实质性要求；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（3）属于串通投标，或者依法被视为串通投标；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（4）评标委员会认为投标人的报价明显低于其他通过符合性审查投标人的报价，有可能影响履约的，且投标人未按照规定证明其报价合理性的；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（5）投标文件含有采购人不能接受的附加条件的；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（6）属于招标文件规定的其他投标无效情形；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（7）不符合法规和招标文件中规定的其他实质性要求的。</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三、投标文件详细评审</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3.1评标委员会只对确定为实质上响应招标文件要求的投标进行详细评审。</w:t>
      </w:r>
    </w:p>
    <w:tbl>
      <w:tblPr>
        <w:tblStyle w:val="17"/>
        <w:tblW w:w="9079"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57"/>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报价</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30分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按照财政部《政府采购货物和服务招标投标管理办法》（财政部令第87号）的有关规定：价格分采用低价优先法计算</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即满足招标文件要求且投标价格最低的投标报价为评标基准价，其价格分为满分。其他投标人的价格分统一按照下列公式计算：投标报价得分=（评标基准价/投标报价）×价格权值</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（因落实政府采购政策进行价格调整的，以调整后的价格计算评标基准价和投标报价，符合招标文件规定的小微企业、监狱企业、残疾人福利性单位优惠条件的投标人，价格给予</w:t>
            </w:r>
            <w:r>
              <w:rPr>
                <w:rFonts w:hint="eastAsia" w:ascii="楷体" w:hAnsi="楷体" w:eastAsia="楷体" w:cs="楷体"/>
                <w:sz w:val="24"/>
                <w:highlight w:val="none"/>
                <w:lang w:val="en-US" w:eastAsia="zh-CN"/>
              </w:rPr>
              <w:t>10</w:t>
            </w:r>
            <w:r>
              <w:rPr>
                <w:rFonts w:hint="eastAsia" w:ascii="楷体" w:hAnsi="楷体" w:eastAsia="楷体" w:cs="楷体"/>
                <w:sz w:val="24"/>
                <w:highlight w:val="none"/>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商务</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投标文件对交货期、质保期、付款方式、验收等商务要求进行详细说明，完全响应招标文件的计</w:t>
            </w:r>
            <w:r>
              <w:rPr>
                <w:rFonts w:hint="eastAsia" w:ascii="楷体" w:hAnsi="楷体" w:eastAsia="楷体" w:cs="楷体"/>
                <w:sz w:val="24"/>
                <w:highlight w:val="none"/>
              </w:rPr>
              <w:t>5</w:t>
            </w:r>
            <w:r>
              <w:rPr>
                <w:rFonts w:hint="eastAsia" w:ascii="楷体" w:hAnsi="楷体" w:eastAsia="楷体" w:cs="楷体"/>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技术</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sz w:val="24"/>
                <w:highlight w:val="none"/>
                <w:lang w:val="zh-CN"/>
              </w:rPr>
            </w:pPr>
            <w:r>
              <w:rPr>
                <w:rFonts w:hint="eastAsia" w:ascii="楷体" w:hAnsi="楷体" w:eastAsia="楷体" w:cs="楷体"/>
                <w:b/>
                <w:bCs/>
                <w:sz w:val="24"/>
                <w:highlight w:val="none"/>
                <w:lang w:val="zh-CN"/>
              </w:rPr>
              <w:t>35分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产品技术参数清晰、明确，满足或优于招标要求。根据技术参数响应程度（提供投标产品技术白皮书、使用说明书、生产厂商公开发布的产品彩页、检测报告等作为技术条款的证明文件），由评标委员综合评审，每偏离一个“*”项扣3分；非“*”项，每偏离一项扣1分，扣完为止。</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b/>
                <w:bCs/>
                <w:sz w:val="24"/>
                <w:highlight w:val="none"/>
                <w:lang w:val="zh-CN" w:eastAsia="zh-CN"/>
              </w:rPr>
              <w:t>备注：技术指标未附证明文件视同为负偏离。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产品选型、功能配置等</w:t>
            </w:r>
          </w:p>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10分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1、所响应产品选型合理、配置齐全，整体功能完备且满足使用要求、提供了响应产品技术支持文件（提供生产厂家确认的、相应的功能证明材料），有“详细的生产厂家及产地配置清单”，根据响应情况得</w:t>
            </w:r>
            <w:r>
              <w:rPr>
                <w:rFonts w:hint="eastAsia" w:ascii="楷体" w:hAnsi="楷体" w:eastAsia="楷体" w:cs="楷体"/>
                <w:sz w:val="24"/>
                <w:szCs w:val="22"/>
                <w:highlight w:val="none"/>
              </w:rPr>
              <w:t>8</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10</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2、所响应产品选型较为合理，配置较齐全，整体功能基本满足使用要求、提供了响应产品技术支持文件（提供生产厂家确认的、相应的功能证明材料），有“详细的生产厂家及产地配置清单”，根据响应情况得</w:t>
            </w:r>
            <w:r>
              <w:rPr>
                <w:rFonts w:hint="eastAsia" w:ascii="楷体" w:hAnsi="楷体" w:eastAsia="楷体" w:cs="楷体"/>
                <w:sz w:val="24"/>
                <w:szCs w:val="22"/>
                <w:highlight w:val="none"/>
              </w:rPr>
              <w:t>4</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7</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3、选型配置差，产品功能较难满足招标文件要求得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3</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质量</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szCs w:val="22"/>
                <w:highlight w:val="none"/>
                <w:lang w:val="zh-CN"/>
              </w:rPr>
              <w:t>保证</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rPr>
              <w:t>1、</w:t>
            </w:r>
            <w:r>
              <w:rPr>
                <w:rFonts w:hint="eastAsia" w:ascii="楷体" w:hAnsi="楷体" w:eastAsia="楷体" w:cs="楷体"/>
                <w:sz w:val="24"/>
                <w:highlight w:val="none"/>
                <w:lang w:val="zh-CN"/>
              </w:rPr>
              <w:t>提供所投产品</w:t>
            </w:r>
            <w:r>
              <w:rPr>
                <w:rFonts w:hint="eastAsia" w:ascii="楷体" w:hAnsi="楷体" w:eastAsia="楷体" w:cs="楷体"/>
                <w:sz w:val="24"/>
                <w:highlight w:val="none"/>
              </w:rPr>
              <w:t>或</w:t>
            </w:r>
            <w:r>
              <w:rPr>
                <w:rFonts w:hint="eastAsia" w:ascii="楷体" w:hAnsi="楷体" w:eastAsia="楷体" w:cs="楷体"/>
                <w:sz w:val="24"/>
                <w:highlight w:val="none"/>
                <w:lang w:val="zh-CN"/>
              </w:rPr>
              <w:t>生产厂家，</w:t>
            </w:r>
            <w:r>
              <w:rPr>
                <w:rFonts w:hint="eastAsia" w:ascii="楷体" w:hAnsi="楷体" w:eastAsia="楷体" w:cs="楷体"/>
                <w:sz w:val="24"/>
                <w:highlight w:val="none"/>
              </w:rPr>
              <w:t>第三方检验、评价、认证</w:t>
            </w:r>
            <w:r>
              <w:rPr>
                <w:rFonts w:hint="eastAsia" w:ascii="楷体" w:hAnsi="楷体" w:eastAsia="楷体" w:cs="楷体"/>
                <w:sz w:val="24"/>
                <w:highlight w:val="none"/>
                <w:lang w:val="zh-CN"/>
              </w:rPr>
              <w:t>的</w:t>
            </w:r>
            <w:r>
              <w:rPr>
                <w:rFonts w:hint="eastAsia" w:ascii="楷体" w:hAnsi="楷体" w:eastAsia="楷体" w:cs="楷体"/>
                <w:sz w:val="24"/>
                <w:highlight w:val="none"/>
              </w:rPr>
              <w:t>产品性能、产品</w:t>
            </w:r>
            <w:r>
              <w:rPr>
                <w:rFonts w:hint="eastAsia" w:ascii="楷体" w:hAnsi="楷体" w:eastAsia="楷体" w:cs="楷体"/>
                <w:sz w:val="24"/>
                <w:highlight w:val="none"/>
                <w:lang w:val="zh-CN"/>
              </w:rPr>
              <w:t>功能、</w:t>
            </w:r>
            <w:r>
              <w:rPr>
                <w:rFonts w:hint="eastAsia" w:ascii="楷体" w:hAnsi="楷体" w:eastAsia="楷体" w:cs="楷体"/>
                <w:sz w:val="24"/>
                <w:highlight w:val="none"/>
              </w:rPr>
              <w:t>产品生产质量管理</w:t>
            </w:r>
            <w:r>
              <w:rPr>
                <w:rFonts w:hint="eastAsia" w:ascii="楷体" w:hAnsi="楷体" w:eastAsia="楷体" w:cs="楷体"/>
                <w:sz w:val="24"/>
                <w:highlight w:val="none"/>
                <w:lang w:val="zh-CN"/>
              </w:rPr>
              <w:t>证明材料、来源渠道合法证明文件计0～</w:t>
            </w:r>
            <w:r>
              <w:rPr>
                <w:rFonts w:hint="eastAsia" w:ascii="楷体" w:hAnsi="楷体" w:eastAsia="楷体" w:cs="楷体"/>
                <w:sz w:val="24"/>
                <w:highlight w:val="none"/>
              </w:rPr>
              <w:t>3</w:t>
            </w:r>
            <w:r>
              <w:rPr>
                <w:rFonts w:hint="eastAsia" w:ascii="楷体" w:hAnsi="楷体" w:eastAsia="楷体" w:cs="楷体"/>
                <w:sz w:val="24"/>
                <w:highlight w:val="none"/>
                <w:lang w:val="zh-CN"/>
              </w:rPr>
              <w:t>分；</w:t>
            </w:r>
          </w:p>
          <w:p>
            <w:pPr>
              <w:autoSpaceDE w:val="0"/>
              <w:autoSpaceDN w:val="0"/>
              <w:adjustRightInd w:val="0"/>
              <w:snapToGrid w:val="0"/>
              <w:spacing w:line="240" w:lineRule="auto"/>
              <w:rPr>
                <w:rFonts w:hint="eastAsia" w:ascii="楷体" w:hAnsi="楷体" w:eastAsia="楷体" w:cs="楷体"/>
                <w:highlight w:val="none"/>
                <w:lang w:val="zh-CN"/>
              </w:rPr>
            </w:pPr>
            <w:r>
              <w:rPr>
                <w:rFonts w:hint="eastAsia" w:ascii="楷体" w:hAnsi="楷体" w:eastAsia="楷体" w:cs="楷体"/>
                <w:sz w:val="24"/>
                <w:highlight w:val="none"/>
              </w:rPr>
              <w:t>2、</w:t>
            </w:r>
            <w:r>
              <w:rPr>
                <w:rFonts w:hint="eastAsia" w:ascii="楷体" w:hAnsi="楷体" w:eastAsia="楷体" w:cs="楷体"/>
                <w:sz w:val="24"/>
                <w:highlight w:val="none"/>
                <w:lang w:val="zh-CN"/>
              </w:rPr>
              <w:t>质量保证期过后有完善的维保服务，维保价格、配套零配件或相关耗材或主要易损零配件价格合理，</w:t>
            </w:r>
            <w:r>
              <w:rPr>
                <w:rFonts w:hint="eastAsia" w:ascii="楷体" w:hAnsi="楷体" w:eastAsia="楷体" w:cs="楷体"/>
                <w:sz w:val="24"/>
                <w:highlight w:val="none"/>
              </w:rPr>
              <w:t>并</w:t>
            </w:r>
            <w:r>
              <w:rPr>
                <w:rFonts w:hint="eastAsia" w:ascii="楷体" w:hAnsi="楷体" w:eastAsia="楷体" w:cs="楷体"/>
                <w:sz w:val="24"/>
                <w:highlight w:val="none"/>
                <w:lang w:val="zh-CN"/>
              </w:rPr>
              <w:t>以用户反馈意见表或评价书的形式提供投标产品运行评价，按设备的性能稳定，使用效果。按其响应程度计0～</w:t>
            </w:r>
            <w:r>
              <w:rPr>
                <w:rFonts w:hint="eastAsia" w:ascii="楷体" w:hAnsi="楷体" w:eastAsia="楷体" w:cs="楷体"/>
                <w:sz w:val="24"/>
                <w:highlight w:val="none"/>
              </w:rPr>
              <w:t>2</w:t>
            </w:r>
            <w:r>
              <w:rPr>
                <w:rFonts w:hint="eastAsia" w:ascii="楷体" w:hAnsi="楷体" w:eastAsia="楷体" w:cs="楷体"/>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业绩</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提供所投产品近三年（截止开标时间前）的销售业绩，以合同文件为依据（合同复印件加盖公章），每提供一份得1分，最高5分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履约</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能力</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由评标委员会综合评审（履约能力承诺详细具体，包括但不限于资金筹措、仓储设施、运输工具、人员素质、管理水平等方面）：</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rPr>
              <w:t>1、</w:t>
            </w:r>
            <w:r>
              <w:rPr>
                <w:rFonts w:hint="eastAsia" w:ascii="楷体" w:hAnsi="楷体" w:eastAsia="楷体" w:cs="楷体"/>
                <w:sz w:val="24"/>
                <w:szCs w:val="22"/>
                <w:highlight w:val="none"/>
                <w:lang w:val="zh-CN"/>
              </w:rPr>
              <w:t>备货、供货进度及保证措施，拟投入本项目的人员安排合理及责任制度明确，并提供相关人员资质证书，根据响应情况得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3</w:t>
            </w:r>
            <w:r>
              <w:rPr>
                <w:rFonts w:hint="eastAsia" w:ascii="楷体" w:hAnsi="楷体" w:eastAsia="楷体" w:cs="楷体"/>
                <w:sz w:val="24"/>
                <w:szCs w:val="22"/>
                <w:highlight w:val="none"/>
                <w:lang w:val="zh-CN"/>
              </w:rPr>
              <w:t>分；</w:t>
            </w:r>
          </w:p>
          <w:p>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产品安装、检测、调试等方面保证措施，根据响应情况得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售 后</w:t>
            </w:r>
          </w:p>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服 务</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4</w:t>
            </w:r>
            <w:r>
              <w:rPr>
                <w:rFonts w:hint="eastAsia" w:ascii="楷体" w:hAnsi="楷体" w:eastAsia="楷体" w:cs="楷体"/>
                <w:b/>
                <w:bCs/>
                <w:sz w:val="24"/>
                <w:highlight w:val="none"/>
                <w:lang w:val="zh-CN"/>
              </w:rPr>
              <w:t>分</w:t>
            </w:r>
          </w:p>
        </w:tc>
        <w:tc>
          <w:tcPr>
            <w:tcW w:w="7124" w:type="dxa"/>
            <w:noWrap/>
            <w:vAlign w:val="center"/>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由评标委员会综合评审：</w:t>
            </w:r>
          </w:p>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rPr>
              <w:t>1</w:t>
            </w:r>
            <w:r>
              <w:rPr>
                <w:rFonts w:hint="eastAsia" w:ascii="楷体" w:hAnsi="楷体" w:eastAsia="楷体" w:cs="楷体"/>
                <w:sz w:val="24"/>
                <w:szCs w:val="22"/>
                <w:highlight w:val="none"/>
                <w:lang w:val="zh-CN"/>
              </w:rPr>
              <w:t>、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在0～</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分之间赋分；</w:t>
            </w:r>
          </w:p>
          <w:p>
            <w:pPr>
              <w:autoSpaceDE w:val="0"/>
              <w:autoSpaceDN w:val="0"/>
              <w:adjustRightInd w:val="0"/>
              <w:snapToGrid w:val="0"/>
              <w:spacing w:line="240" w:lineRule="auto"/>
              <w:rPr>
                <w:rFonts w:hint="eastAsia" w:ascii="楷体" w:hAnsi="楷体" w:eastAsia="楷体" w:cs="楷体"/>
                <w:highlight w:val="none"/>
              </w:rPr>
            </w:pP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培训人数、培训时间、培训内容等），根据优劣计0～</w:t>
            </w:r>
            <w:r>
              <w:rPr>
                <w:rFonts w:hint="eastAsia" w:ascii="楷体" w:hAnsi="楷体" w:eastAsia="楷体" w:cs="楷体"/>
                <w:sz w:val="24"/>
                <w:szCs w:val="22"/>
                <w:highlight w:val="none"/>
              </w:rPr>
              <w:t>2</w:t>
            </w:r>
            <w:r>
              <w:rPr>
                <w:rFonts w:hint="eastAsia" w:ascii="楷体" w:hAnsi="楷体" w:eastAsia="楷体" w:cs="楷体"/>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restart"/>
            <w:noWrap/>
            <w:vAlign w:val="center"/>
          </w:tcPr>
          <w:p>
            <w:pPr>
              <w:autoSpaceDE w:val="0"/>
              <w:autoSpaceDN w:val="0"/>
              <w:adjustRightInd w:val="0"/>
              <w:snapToGrid w:val="0"/>
              <w:spacing w:line="240" w:lineRule="auto"/>
              <w:jc w:val="center"/>
              <w:rPr>
                <w:rFonts w:hint="eastAsia" w:ascii="楷体" w:hAnsi="楷体" w:eastAsia="楷体" w:cs="楷体"/>
                <w:b/>
                <w:bCs/>
                <w:sz w:val="22"/>
                <w:szCs w:val="22"/>
                <w:highlight w:val="none"/>
                <w:lang w:val="zh-CN"/>
              </w:rPr>
            </w:pPr>
            <w:r>
              <w:rPr>
                <w:rFonts w:hint="eastAsia" w:ascii="楷体" w:hAnsi="楷体" w:eastAsia="楷体" w:cs="楷体"/>
                <w:b/>
                <w:bCs/>
                <w:sz w:val="22"/>
                <w:szCs w:val="22"/>
                <w:highlight w:val="none"/>
                <w:lang w:val="zh-CN"/>
              </w:rPr>
              <w:t>节能环保产品</w:t>
            </w:r>
          </w:p>
        </w:tc>
        <w:tc>
          <w:tcPr>
            <w:tcW w:w="857" w:type="dxa"/>
            <w:vMerge w:val="restart"/>
            <w:noWrap w:val="0"/>
            <w:vAlign w:val="center"/>
          </w:tcPr>
          <w:p>
            <w:pPr>
              <w:autoSpaceDE w:val="0"/>
              <w:autoSpaceDN w:val="0"/>
              <w:adjustRightInd w:val="0"/>
              <w:snapToGrid w:val="0"/>
              <w:spacing w:line="240" w:lineRule="auto"/>
              <w:jc w:val="center"/>
              <w:rPr>
                <w:rFonts w:hint="eastAsia" w:ascii="楷体" w:hAnsi="楷体" w:eastAsia="楷体" w:cs="楷体"/>
                <w:sz w:val="24"/>
                <w:szCs w:val="22"/>
                <w:highlight w:val="none"/>
              </w:rPr>
            </w:pPr>
            <w:r>
              <w:rPr>
                <w:rFonts w:hint="eastAsia" w:ascii="楷体" w:hAnsi="楷体" w:eastAsia="楷体" w:cs="楷体"/>
                <w:b/>
                <w:bCs/>
                <w:sz w:val="24"/>
                <w:highlight w:val="none"/>
              </w:rPr>
              <w:t>1分</w:t>
            </w:r>
          </w:p>
        </w:tc>
        <w:tc>
          <w:tcPr>
            <w:tcW w:w="7124" w:type="dxa"/>
            <w:noWrap w:val="0"/>
            <w:vAlign w:val="bottom"/>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lang w:val="zh-CN"/>
              </w:rPr>
              <w:t>所投设备为节能产品（以《节能产品政府采购清单》为准），并提供相应证明，</w:t>
            </w:r>
            <w:r>
              <w:rPr>
                <w:rFonts w:hint="eastAsia" w:ascii="楷体" w:hAnsi="楷体" w:eastAsia="楷体" w:cs="楷体"/>
                <w:sz w:val="24"/>
                <w:szCs w:val="22"/>
                <w:highlight w:val="none"/>
                <w:lang w:val="zh-CN"/>
              </w:rPr>
              <w:t>由评标委员会综合评审</w:t>
            </w:r>
            <w:r>
              <w:rPr>
                <w:rFonts w:hint="eastAsia" w:ascii="楷体" w:hAnsi="楷体" w:eastAsia="楷体" w:cs="楷体"/>
                <w:sz w:val="24"/>
                <w:szCs w:val="22"/>
                <w:lang w:val="zh-CN"/>
              </w:rPr>
              <w:t>得</w:t>
            </w:r>
            <w:r>
              <w:rPr>
                <w:rFonts w:hint="eastAsia" w:ascii="楷体" w:hAnsi="楷体" w:eastAsia="楷体" w:cs="楷体"/>
                <w:sz w:val="24"/>
                <w:szCs w:val="22"/>
                <w:lang w:val="en-US" w:eastAsia="zh-CN"/>
              </w:rPr>
              <w:t>0-</w:t>
            </w:r>
            <w:r>
              <w:rPr>
                <w:rFonts w:hint="eastAsia" w:ascii="楷体" w:hAnsi="楷体" w:eastAsia="楷体" w:cs="楷体"/>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continue"/>
            <w:noWrap/>
            <w:vAlign w:val="center"/>
          </w:tcPr>
          <w:p>
            <w:pPr>
              <w:autoSpaceDE w:val="0"/>
              <w:autoSpaceDN w:val="0"/>
              <w:adjustRightInd w:val="0"/>
              <w:snapToGrid w:val="0"/>
              <w:spacing w:line="240" w:lineRule="auto"/>
              <w:jc w:val="center"/>
              <w:rPr>
                <w:rFonts w:hint="eastAsia" w:ascii="楷体" w:hAnsi="楷体" w:eastAsia="楷体" w:cs="楷体"/>
                <w:b/>
                <w:bCs/>
                <w:sz w:val="22"/>
                <w:szCs w:val="22"/>
                <w:highlight w:val="none"/>
                <w:lang w:val="zh-CN"/>
              </w:rPr>
            </w:pPr>
          </w:p>
        </w:tc>
        <w:tc>
          <w:tcPr>
            <w:tcW w:w="857" w:type="dxa"/>
            <w:vMerge w:val="continue"/>
            <w:noWrap w:val="0"/>
            <w:vAlign w:val="center"/>
          </w:tcPr>
          <w:p>
            <w:pPr>
              <w:autoSpaceDE w:val="0"/>
              <w:autoSpaceDN w:val="0"/>
              <w:adjustRightInd w:val="0"/>
              <w:snapToGrid w:val="0"/>
              <w:spacing w:line="240" w:lineRule="auto"/>
              <w:jc w:val="center"/>
              <w:rPr>
                <w:rFonts w:hint="eastAsia" w:ascii="楷体" w:hAnsi="楷体" w:eastAsia="楷体" w:cs="楷体"/>
                <w:sz w:val="24"/>
                <w:szCs w:val="22"/>
                <w:highlight w:val="none"/>
              </w:rPr>
            </w:pPr>
          </w:p>
        </w:tc>
        <w:tc>
          <w:tcPr>
            <w:tcW w:w="7124" w:type="dxa"/>
            <w:noWrap w:val="0"/>
            <w:vAlign w:val="bottom"/>
          </w:tcPr>
          <w:p>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lang w:val="zh-CN"/>
              </w:rPr>
              <w:t>所投设备为环保产品（以《环境标志产品政府采购清单》为准），并提供相应证明，</w:t>
            </w:r>
            <w:r>
              <w:rPr>
                <w:rFonts w:hint="eastAsia" w:ascii="楷体" w:hAnsi="楷体" w:eastAsia="楷体" w:cs="楷体"/>
                <w:sz w:val="24"/>
                <w:szCs w:val="22"/>
                <w:highlight w:val="none"/>
                <w:lang w:val="zh-CN"/>
              </w:rPr>
              <w:t>由评标委员会综合评审</w:t>
            </w:r>
            <w:r>
              <w:rPr>
                <w:rFonts w:hint="eastAsia" w:ascii="楷体" w:hAnsi="楷体" w:eastAsia="楷体" w:cs="楷体"/>
                <w:sz w:val="24"/>
                <w:szCs w:val="22"/>
                <w:lang w:val="zh-CN"/>
              </w:rPr>
              <w:t>得</w:t>
            </w:r>
            <w:r>
              <w:rPr>
                <w:rFonts w:hint="eastAsia" w:ascii="楷体" w:hAnsi="楷体" w:eastAsia="楷体" w:cs="楷体"/>
                <w:sz w:val="24"/>
                <w:szCs w:val="22"/>
                <w:lang w:val="en-US" w:eastAsia="zh-CN"/>
              </w:rPr>
              <w:t>0-</w:t>
            </w:r>
            <w:r>
              <w:rPr>
                <w:rFonts w:hint="eastAsia" w:ascii="楷体" w:hAnsi="楷体" w:eastAsia="楷体" w:cs="楷体"/>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79" w:type="dxa"/>
            <w:gridSpan w:val="3"/>
            <w:noWrap/>
            <w:vAlign w:val="center"/>
          </w:tcPr>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1）各评委独立打分。</w:t>
            </w:r>
          </w:p>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2）评委打分超过得分界限或未按本表规定赋分时，该评委的打分无效，不计入汇总分。</w:t>
            </w:r>
          </w:p>
          <w:p>
            <w:pPr>
              <w:autoSpaceDE w:val="0"/>
              <w:autoSpaceDN w:val="0"/>
              <w:adjustRightInd w:val="0"/>
              <w:snapToGrid w:val="0"/>
              <w:spacing w:line="24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3）各种计算采用插入法，最终结果数字保留二位小数，第三位“四舍五入”。</w:t>
            </w:r>
          </w:p>
        </w:tc>
      </w:tr>
    </w:tbl>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四、中标人的确定</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中标候选人推荐不少于3家。</w:t>
      </w:r>
    </w:p>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五、特殊情形</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a、当供应商某评分项出现未报、漏报或零报价时，该分项得零分，并不参与该投标报价分的计算。</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b、相同品牌产品</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非单一产品采购项目，多家供应商提供的核心产品品牌相同的，按照前款规定处理。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d、评议过程中，若出现本评分方法以外的特殊情况时，将暂停评审，待评标委员会商榷后再进行复会。</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六</w:t>
      </w:r>
      <w:r>
        <w:rPr>
          <w:rFonts w:hint="eastAsia" w:ascii="楷体" w:hAnsi="楷体" w:eastAsia="楷体" w:cs="楷体"/>
          <w:b/>
          <w:bCs/>
          <w:color w:val="auto"/>
          <w:sz w:val="24"/>
          <w:highlight w:val="none"/>
        </w:rPr>
        <w:t>、政府采购政策相关要求</w:t>
      </w:r>
    </w:p>
    <w:p>
      <w:pPr>
        <w:spacing w:line="360" w:lineRule="auto"/>
        <w:ind w:firstLine="420"/>
        <w:rPr>
          <w:rFonts w:hint="eastAsia" w:ascii="楷体" w:hAnsi="楷体" w:eastAsia="楷体" w:cs="楷体"/>
          <w:b/>
          <w:bCs/>
          <w:color w:val="auto"/>
          <w:sz w:val="24"/>
          <w:highlight w:val="none"/>
          <w:lang w:val="en-US" w:eastAsia="zh-CN"/>
        </w:rPr>
      </w:pPr>
      <w:r>
        <w:rPr>
          <w:rFonts w:hint="eastAsia" w:ascii="楷体" w:hAnsi="楷体" w:eastAsia="楷体" w:cs="楷体"/>
          <w:b/>
          <w:bCs/>
          <w:color w:val="auto"/>
          <w:sz w:val="24"/>
          <w:highlight w:val="none"/>
          <w:lang w:val="en-US" w:eastAsia="zh-CN"/>
        </w:rPr>
        <w:t>6.1、政府采购政策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）供应商对其是否属于小型、微型企业真实性负责。</w:t>
      </w:r>
    </w:p>
    <w:p>
      <w:pPr>
        <w:spacing w:line="360" w:lineRule="auto"/>
        <w:ind w:firstLine="482" w:firstLineChars="200"/>
        <w:rPr>
          <w:rFonts w:hint="eastAsia" w:ascii="楷体" w:hAnsi="楷体" w:eastAsia="楷体" w:cs="楷体"/>
          <w:b/>
          <w:sz w:val="24"/>
        </w:rPr>
      </w:pPr>
      <w:r>
        <w:rPr>
          <w:rFonts w:hint="eastAsia" w:ascii="楷体" w:hAnsi="楷体" w:eastAsia="楷体" w:cs="楷体"/>
          <w:b/>
          <w:bCs/>
          <w:color w:val="auto"/>
          <w:sz w:val="24"/>
          <w:highlight w:val="none"/>
          <w:lang w:val="en-US" w:eastAsia="zh-CN"/>
        </w:rPr>
        <w:t>6.1.1</w:t>
      </w:r>
      <w:r>
        <w:rPr>
          <w:rFonts w:hint="eastAsia" w:ascii="楷体" w:hAnsi="楷体" w:eastAsia="楷体" w:cs="楷体"/>
          <w:b/>
          <w:sz w:val="24"/>
        </w:rPr>
        <w:t>小微企业的价格评分标准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（1）根据《政府采购促进中小企业发展管理办法》（财库〔2020〕46号）的办法，对于非专门面向中小企业的项目，对小型、微型企业产品的价格给予10%的扣除。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（2）联合体共同参加非专门面向中小企业的政府采购活动，联合协议中约定，小型和微型企业的协议合同金额占到联合体协议合同金额的30%以上的，可给予联合体</w:t>
      </w:r>
      <w:r>
        <w:rPr>
          <w:rFonts w:hint="eastAsia" w:ascii="楷体" w:hAnsi="楷体" w:eastAsia="楷体" w:cs="楷体"/>
          <w:sz w:val="24"/>
          <w:lang w:val="en-US" w:eastAsia="zh-CN"/>
        </w:rPr>
        <w:t>4</w:t>
      </w:r>
      <w:r>
        <w:rPr>
          <w:rFonts w:hint="eastAsia" w:ascii="楷体" w:hAnsi="楷体" w:eastAsia="楷体" w:cs="楷体"/>
          <w:sz w:val="24"/>
        </w:rPr>
        <w:t>%的价格扣除。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rPr>
      </w:pPr>
      <w:r>
        <w:rPr>
          <w:rFonts w:hint="eastAsia" w:ascii="楷体" w:hAnsi="楷体" w:eastAsia="楷体" w:cs="楷体"/>
          <w:sz w:val="24"/>
        </w:rPr>
        <w:t>（5）供应商对其是否属于小型、微型企业真实性负责。</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.2、监狱企业的价格评分标准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（1）在政府采购活动中，监狱企业视同小型、微型企业，享受预留份额、评审中价格扣除等政府采购促进中小企业发展的政府采购政策。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（2）监狱企业属于小型、微型企业的，不重复享受政策。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（3）监狱企业参加政府采购活动时，应当提供由省级以上监狱管理局、戒毒管理局（含新疆生产建设兵团）出具的属于监狱企业的证明文件。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（4）监狱企业按《财政部、司法部关于政府采购支持监狱企业发展有关问题的通知》（财库〔2014〕68号）文件规定标准执行。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.3、残疾人福利性单位的价格评分标准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（1）在政府采购活动中，残疾人福利性单位视同小型、微型企业，享受预留份额、评审中价格扣除等政府采购促进中小企业发展的政府采购政策。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.4节能产品、环境标志产品政策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.5政府采购信用担保及信用融资政策：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中标人如果需要融资贷款服务的，可凭中标通知书、政府采购合同等相关资料，按照文件规定的程序申请办理，具体规定可登陆陕西省政府采购网(www.ccgp-shaanxi.gov.cn/)重要通知专栏中查询了解。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rPr>
          <w:rFonts w:hint="eastAsia" w:ascii="楷体" w:hAnsi="楷体" w:eastAsia="楷体" w:cs="楷体"/>
          <w:color w:val="auto"/>
          <w:szCs w:val="21"/>
          <w:highlight w:val="none"/>
        </w:rPr>
      </w:pPr>
      <w:r>
        <w:rPr>
          <w:rFonts w:hint="eastAsia" w:ascii="楷体" w:hAnsi="楷体" w:eastAsia="楷体" w:cs="楷体"/>
          <w:color w:val="auto"/>
          <w:szCs w:val="21"/>
          <w:highlight w:val="none"/>
        </w:rPr>
        <w:drawing>
          <wp:inline distT="0" distB="0" distL="114300" distR="114300">
            <wp:extent cx="4775835" cy="3712210"/>
            <wp:effectExtent l="0" t="0" r="952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775835" cy="3712210"/>
                    </a:xfrm>
                    <a:prstGeom prst="rect">
                      <a:avLst/>
                    </a:prstGeom>
                    <a:noFill/>
                    <a:ln>
                      <a:noFill/>
                    </a:ln>
                  </pic:spPr>
                </pic:pic>
              </a:graphicData>
            </a:graphic>
          </wp:inline>
        </w:drawing>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.6 政府采购相关政策格式</w:t>
      </w: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中小企业声明函（货物）（格式）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 （标的名称） ，属于（采购文件中明确的所属行业）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 （标的名称） ，属于 （采购文件中明确的所属行业）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以上企业，不属于大企业的分支机构，不存在控股股东为大企业的情形，也不存在与大企业的负责人为同一人的情形。</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本企业对上述声明内容的真实性负责。如有虚假，将依法承担相应责任。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企业名称（盖章）：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注：1.供应商为非中小微企业的，可不提供此声明。</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2.从业人员、营业收入、资产总额填报上一年度数据，无上一年度数据的新成立企业可不填报。</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残疾人福利性单位声明函（格式）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单位名称（盖章）：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2、供应商为非残疾人福利性单位的，可不提供此声明。</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投标人监狱企业声明函（格式）</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本单位郑重声明下列事项（按照实际情况勾选或填空）：</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本单位为直接投标人提供本单位制造的货物。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（1）本企业（单位）        （请填写：是、不是）监狱企业。如果是，后附省级以上监狱管理局、戒毒管理局（含新疆生产建设兵团）出具的属于监狱企业的证明文件。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（2）本企业（单位）        （请填写：是、不是）为联合体一方，提供本企业（单位）制造的货物，由本企业（单位）承担工程、提供服务。本企业（单位）提供协议合同金额占到共同投标协议合同总金额的比例为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投标人（盖公章）：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注：符合《关于政府采购支持监狱企业发展有关问题的通知》价格扣减条件的供应商须提交。</w:t>
      </w:r>
    </w:p>
    <w:p/>
    <w:sectPr>
      <w:headerReference r:id="rId5" w:type="default"/>
      <w:footerReference r:id="rId6"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mp;#23435;&amp;#20307;">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1" name="图片 1"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3" name="图片 2"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464B4"/>
    <w:multiLevelType w:val="singleLevel"/>
    <w:tmpl w:val="862464B4"/>
    <w:lvl w:ilvl="0" w:tentative="0">
      <w:start w:val="2"/>
      <w:numFmt w:val="decimal"/>
      <w:suff w:val="nothing"/>
      <w:lvlText w:val="（%1）"/>
      <w:lvlJc w:val="left"/>
    </w:lvl>
  </w:abstractNum>
  <w:abstractNum w:abstractNumId="1">
    <w:nsid w:val="D0866A3F"/>
    <w:multiLevelType w:val="singleLevel"/>
    <w:tmpl w:val="D0866A3F"/>
    <w:lvl w:ilvl="0" w:tentative="0">
      <w:start w:val="1"/>
      <w:numFmt w:val="decimal"/>
      <w:suff w:val="nothing"/>
      <w:lvlText w:val="（%1）"/>
      <w:lvlJc w:val="left"/>
    </w:lvl>
  </w:abstractNum>
  <w:abstractNum w:abstractNumId="2">
    <w:nsid w:val="5440B547"/>
    <w:multiLevelType w:val="singleLevel"/>
    <w:tmpl w:val="5440B547"/>
    <w:lvl w:ilvl="0" w:tentative="0">
      <w:start w:val="1"/>
      <w:numFmt w:val="chineseCounting"/>
      <w:suff w:val="nothing"/>
      <w:lvlText w:val="%1、"/>
      <w:lvlJc w:val="left"/>
    </w:lvl>
  </w:abstractNum>
  <w:abstractNum w:abstractNumId="3">
    <w:nsid w:val="59E99F38"/>
    <w:multiLevelType w:val="singleLevel"/>
    <w:tmpl w:val="59E99F38"/>
    <w:lvl w:ilvl="0" w:tentative="0">
      <w:start w:val="1"/>
      <w:numFmt w:val="decimal"/>
      <w:suff w:val="nothing"/>
      <w:lvlText w:val="（%1）"/>
      <w:lvlJc w:val="left"/>
    </w:lvl>
  </w:abstractNum>
  <w:abstractNum w:abstractNumId="4">
    <w:nsid w:val="77898BA8"/>
    <w:multiLevelType w:val="singleLevel"/>
    <w:tmpl w:val="77898BA8"/>
    <w:lvl w:ilvl="0" w:tentative="0">
      <w:start w:val="4"/>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NjI3M2RiMjZhNDY3ZDFhZjNmOGQ5ZTY4MTRjZDMifQ=="/>
  </w:docVars>
  <w:rsids>
    <w:rsidRoot w:val="1DFC5601"/>
    <w:rsid w:val="00EC3D1E"/>
    <w:rsid w:val="017E74DF"/>
    <w:rsid w:val="01F71E54"/>
    <w:rsid w:val="01F96E79"/>
    <w:rsid w:val="07852E7B"/>
    <w:rsid w:val="08C54644"/>
    <w:rsid w:val="0BB9711E"/>
    <w:rsid w:val="0E0D65D6"/>
    <w:rsid w:val="0E6F20D1"/>
    <w:rsid w:val="11515ABE"/>
    <w:rsid w:val="11717F0E"/>
    <w:rsid w:val="15DD5B72"/>
    <w:rsid w:val="1B43291B"/>
    <w:rsid w:val="1B9C64CF"/>
    <w:rsid w:val="1C696674"/>
    <w:rsid w:val="1DFC5601"/>
    <w:rsid w:val="20147FEF"/>
    <w:rsid w:val="203F47C1"/>
    <w:rsid w:val="215F2F79"/>
    <w:rsid w:val="225E003A"/>
    <w:rsid w:val="24A43BA3"/>
    <w:rsid w:val="29B22559"/>
    <w:rsid w:val="2B5A5E57"/>
    <w:rsid w:val="2CBB2C3A"/>
    <w:rsid w:val="39A978C4"/>
    <w:rsid w:val="3CE75EFF"/>
    <w:rsid w:val="41C15D80"/>
    <w:rsid w:val="44A3316C"/>
    <w:rsid w:val="48A3477D"/>
    <w:rsid w:val="582556D5"/>
    <w:rsid w:val="5B8E675C"/>
    <w:rsid w:val="60EB150D"/>
    <w:rsid w:val="62061EB4"/>
    <w:rsid w:val="67AE26EC"/>
    <w:rsid w:val="6BA06E83"/>
    <w:rsid w:val="6BB77CE8"/>
    <w:rsid w:val="70923B1C"/>
    <w:rsid w:val="718E49C2"/>
    <w:rsid w:val="745368A0"/>
    <w:rsid w:val="78063C29"/>
    <w:rsid w:val="7883527A"/>
    <w:rsid w:val="78B62294"/>
    <w:rsid w:val="7AA37E55"/>
    <w:rsid w:val="7E10135E"/>
    <w:rsid w:val="7EBA7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6">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unhideWhenUsed/>
    <w:qFormat/>
    <w:uiPriority w:val="0"/>
    <w:pPr>
      <w:spacing w:after="120"/>
    </w:p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
    <w:unhideWhenUsed/>
    <w:qFormat/>
    <w:uiPriority w:val="0"/>
    <w:pPr>
      <w:ind w:firstLine="420" w:firstLineChars="200"/>
    </w:pPr>
    <w:rPr>
      <w:rFonts w:ascii="Times New Roman"/>
    </w:rPr>
  </w:style>
  <w:style w:type="paragraph" w:styleId="11">
    <w:name w:val="Plain Text"/>
    <w:basedOn w:val="1"/>
    <w:qFormat/>
    <w:uiPriority w:val="0"/>
    <w:rPr>
      <w:rFonts w:ascii="宋体" w:hAnsi="Courier New"/>
      <w:szCs w:val="20"/>
    </w:rPr>
  </w:style>
  <w:style w:type="paragraph" w:styleId="1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6">
    <w:name w:val="Body Text First Indent"/>
    <w:basedOn w:val="8"/>
    <w:qFormat/>
    <w:uiPriority w:val="0"/>
    <w:pPr>
      <w:spacing w:line="312" w:lineRule="auto"/>
      <w:ind w:firstLine="420"/>
    </w:pPr>
  </w:style>
  <w:style w:type="table" w:styleId="18">
    <w:name w:val="Table Grid"/>
    <w:basedOn w:val="17"/>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qFormat/>
    <w:uiPriority w:val="99"/>
    <w:rPr>
      <w:color w:val="0000FF"/>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36787</Words>
  <Characters>39291</Characters>
  <Lines>0</Lines>
  <Paragraphs>0</Paragraphs>
  <TotalTime>2</TotalTime>
  <ScaleCrop>false</ScaleCrop>
  <LinksUpToDate>false</LinksUpToDate>
  <CharactersWithSpaces>40632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2022-02-22T03:36:00Z</dcterms:created>
  <dc:creator>Qu</dc:creator>
  <cp:lastModifiedBy>Miki</cp:lastModifiedBy>
  <dcterms:modified xsi:type="dcterms:W3CDTF">2023-02-10T03:18:39Z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026B2F6DE159454C89D9B38604AF0669</vt:lpwstr>
  </property>
</Properties>
</file>