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textAlignment w:val="baseline"/>
        <w:outlineLvl w:val="9"/>
        <w:rPr>
          <w:rFonts w:hint="default" w:ascii="宋体" w:hAnsi="宋体" w:eastAsia="宋体" w:cs="宋体"/>
          <w:b/>
          <w:bCs/>
          <w:color w:val="auto"/>
          <w:kern w:val="0"/>
          <w:sz w:val="48"/>
          <w:szCs w:val="48"/>
          <w:lang w:val="en-US" w:eastAsia="zh-CN" w:bidi="ar-SA"/>
        </w:rPr>
      </w:pPr>
    </w:p>
    <w:p>
      <w:pPr>
        <w:rPr>
          <w:rFonts w:hint="eastAsia" w:ascii="宋体" w:hAnsi="宋体" w:eastAsia="宋体" w:cs="宋体"/>
          <w:b/>
          <w:bCs/>
          <w:color w:val="auto"/>
          <w:kern w:val="36"/>
          <w:sz w:val="36"/>
          <w:szCs w:val="36"/>
          <w:lang w:eastAsia="zh-CN"/>
        </w:rPr>
      </w:pPr>
      <w:r>
        <w:rPr>
          <w:rFonts w:hint="eastAsia" w:ascii="宋体" w:hAnsi="宋体" w:eastAsia="宋体" w:cs="宋体"/>
          <w:b/>
          <w:bCs/>
          <w:color w:val="auto"/>
          <w:kern w:val="0"/>
          <w:sz w:val="48"/>
          <w:szCs w:val="48"/>
          <w:lang w:val="en-US" w:eastAsia="zh-CN" w:bidi="ar-SA"/>
        </w:rPr>
        <w:t>安康市中心血站2022年度一次性血液成分分离管路及控制计数器采购项目</w:t>
      </w:r>
    </w:p>
    <w:p>
      <w:pPr>
        <w:ind w:firstLine="1807" w:firstLineChars="500"/>
        <w:jc w:val="both"/>
        <w:rPr>
          <w:rFonts w:hint="default" w:ascii="宋体" w:hAnsi="宋体" w:eastAsia="宋体" w:cs="宋体"/>
          <w:b/>
          <w:bCs/>
          <w:color w:val="auto"/>
          <w:kern w:val="36"/>
          <w:sz w:val="36"/>
          <w:szCs w:val="36"/>
          <w:u w:val="single"/>
          <w:lang w:val="en-US" w:eastAsia="zh-CN"/>
        </w:rPr>
      </w:pPr>
      <w:r>
        <w:rPr>
          <w:rFonts w:hint="eastAsia" w:ascii="宋体" w:hAnsi="宋体" w:eastAsia="宋体" w:cs="宋体"/>
          <w:b/>
          <w:bCs/>
          <w:color w:val="auto"/>
          <w:kern w:val="36"/>
          <w:sz w:val="36"/>
          <w:szCs w:val="36"/>
          <w:lang w:eastAsia="zh-CN"/>
        </w:rPr>
        <w:t>项目编号：DXZB-2022-0972</w:t>
      </w:r>
    </w:p>
    <w:p>
      <w:pPr>
        <w:jc w:val="center"/>
        <w:rPr>
          <w:rFonts w:ascii="宋体" w:hAnsi="宋体"/>
          <w:b/>
          <w:color w:val="auto"/>
          <w:sz w:val="36"/>
          <w:szCs w:val="36"/>
        </w:rPr>
      </w:pPr>
    </w:p>
    <w:p>
      <w:pPr>
        <w:jc w:val="both"/>
        <w:rPr>
          <w:rFonts w:ascii="宋体" w:hAnsi="宋体"/>
          <w:color w:val="auto"/>
          <w:sz w:val="44"/>
          <w:szCs w:val="44"/>
        </w:rPr>
      </w:pPr>
    </w:p>
    <w:p>
      <w:pPr>
        <w:pStyle w:val="2"/>
        <w:rPr>
          <w:color w:val="auto"/>
        </w:rPr>
      </w:pPr>
    </w:p>
    <w:p/>
    <w:p/>
    <w:p>
      <w:pPr>
        <w:jc w:val="center"/>
        <w:rPr>
          <w:rFonts w:ascii="宋体" w:hAnsi="宋体"/>
          <w:color w:val="auto"/>
          <w:sz w:val="44"/>
          <w:szCs w:val="44"/>
        </w:rPr>
      </w:pPr>
    </w:p>
    <w:p>
      <w:pPr>
        <w:jc w:val="center"/>
        <w:rPr>
          <w:rFonts w:hint="eastAsia" w:ascii="宋体" w:hAnsi="宋体" w:eastAsia="宋体" w:cs="宋体"/>
          <w:b/>
          <w:color w:val="auto"/>
          <w:kern w:val="0"/>
          <w:sz w:val="72"/>
          <w:szCs w:val="72"/>
          <w:lang w:eastAsia="zh-CN"/>
        </w:rPr>
      </w:pPr>
      <w:r>
        <w:rPr>
          <w:rFonts w:hint="eastAsia" w:ascii="宋体" w:hAnsi="宋体" w:eastAsia="宋体" w:cs="宋体"/>
          <w:b/>
          <w:color w:val="auto"/>
          <w:kern w:val="0"/>
          <w:sz w:val="72"/>
          <w:szCs w:val="72"/>
          <w:lang w:eastAsia="zh-CN"/>
        </w:rPr>
        <w:t>单一来源谈判文件</w:t>
      </w:r>
    </w:p>
    <w:p>
      <w:pPr>
        <w:jc w:val="center"/>
        <w:rPr>
          <w:rFonts w:ascii="宋体" w:hAnsi="宋体"/>
          <w:color w:val="auto"/>
          <w:sz w:val="44"/>
          <w:szCs w:val="44"/>
        </w:rPr>
      </w:pPr>
    </w:p>
    <w:p>
      <w:pPr>
        <w:jc w:val="center"/>
        <w:rPr>
          <w:rFonts w:ascii="宋体" w:hAnsi="宋体"/>
          <w:color w:val="auto"/>
          <w:sz w:val="44"/>
          <w:szCs w:val="44"/>
        </w:rPr>
      </w:pPr>
    </w:p>
    <w:p>
      <w:pPr>
        <w:pStyle w:val="45"/>
      </w:pPr>
    </w:p>
    <w:p>
      <w:pPr>
        <w:pStyle w:val="45"/>
      </w:pPr>
    </w:p>
    <w:p>
      <w:pPr>
        <w:rPr>
          <w:rFonts w:hint="eastAsia" w:ascii="宋体" w:hAnsi="宋体" w:eastAsiaTheme="minorEastAsia"/>
          <w:b/>
          <w:color w:val="auto"/>
          <w:sz w:val="30"/>
          <w:szCs w:val="30"/>
          <w:lang w:val="en-US" w:eastAsia="zh-CN"/>
        </w:rPr>
      </w:pPr>
    </w:p>
    <w:p>
      <w:pPr>
        <w:ind w:firstLine="720"/>
        <w:rPr>
          <w:rFonts w:hint="eastAsia" w:ascii="宋体" w:hAnsi="宋体" w:eastAsia="宋体" w:cs="宋体"/>
          <w:b/>
          <w:color w:val="auto"/>
          <w:kern w:val="0"/>
          <w:sz w:val="36"/>
          <w:szCs w:val="36"/>
        </w:rPr>
      </w:pPr>
    </w:p>
    <w:p>
      <w:pPr>
        <w:rPr>
          <w:rFonts w:hint="eastAsia" w:ascii="宋体" w:hAnsi="宋体" w:cs="宋体"/>
          <w:b/>
          <w:color w:val="auto"/>
          <w:sz w:val="30"/>
          <w:szCs w:val="30"/>
          <w:u w:val="single"/>
        </w:rPr>
      </w:pP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采购单位</w:t>
      </w:r>
      <w:r>
        <w:rPr>
          <w:rFonts w:hint="eastAsia" w:ascii="宋体" w:hAnsi="宋体" w:cs="宋体"/>
          <w:b/>
          <w:color w:val="auto"/>
          <w:sz w:val="36"/>
          <w:szCs w:val="36"/>
          <w:lang w:eastAsia="zh-CN"/>
        </w:rPr>
        <w:t>：安康市中心血站</w:t>
      </w:r>
    </w:p>
    <w:p>
      <w:pPr>
        <w:spacing w:line="360" w:lineRule="auto"/>
        <w:ind w:firstLine="720"/>
        <w:rPr>
          <w:rFonts w:hint="eastAsia" w:ascii="宋体" w:hAnsi="宋体" w:eastAsia="Times New Roman" w:cs="宋体"/>
          <w:b/>
          <w:color w:val="auto"/>
          <w:sz w:val="36"/>
          <w:szCs w:val="36"/>
        </w:rPr>
      </w:pPr>
      <w:r>
        <w:rPr>
          <w:rFonts w:hint="eastAsia" w:ascii="宋体" w:hAnsi="宋体" w:cs="宋体"/>
          <w:b/>
          <w:color w:val="auto"/>
          <w:sz w:val="36"/>
          <w:szCs w:val="36"/>
        </w:rPr>
        <w:t>代理机构</w:t>
      </w:r>
      <w:r>
        <w:rPr>
          <w:rFonts w:hint="eastAsia" w:ascii="宋体" w:hAnsi="宋体" w:cs="宋体"/>
          <w:b/>
          <w:color w:val="auto"/>
          <w:sz w:val="36"/>
          <w:szCs w:val="36"/>
          <w:lang w:eastAsia="zh-CN"/>
        </w:rPr>
        <w:t>：</w:t>
      </w:r>
      <w:r>
        <w:rPr>
          <w:rFonts w:hint="eastAsia" w:ascii="宋体" w:hAnsi="宋体" w:cs="宋体"/>
          <w:b/>
          <w:color w:val="auto"/>
          <w:sz w:val="36"/>
          <w:szCs w:val="36"/>
        </w:rPr>
        <w:t>陕西德信招标有限公司</w:t>
      </w:r>
    </w:p>
    <w:p>
      <w:pPr>
        <w:jc w:val="center"/>
        <w:rPr>
          <w:rFonts w:hint="eastAsia" w:ascii="宋体" w:hAnsi="宋体" w:cs="宋体"/>
          <w:b/>
          <w:color w:val="auto"/>
          <w:sz w:val="36"/>
          <w:szCs w:val="36"/>
        </w:rPr>
      </w:pPr>
    </w:p>
    <w:p>
      <w:pPr>
        <w:jc w:val="center"/>
        <w:rPr>
          <w:rFonts w:hint="eastAsia" w:ascii="宋体" w:hAnsi="宋体" w:cs="宋体"/>
          <w:b/>
          <w:color w:val="auto"/>
          <w:sz w:val="36"/>
          <w:szCs w:val="36"/>
          <w:u w:val="none"/>
        </w:rPr>
      </w:pPr>
      <w:r>
        <w:rPr>
          <w:rFonts w:hint="eastAsia" w:ascii="宋体" w:hAnsi="宋体" w:cs="宋体"/>
          <w:b/>
          <w:color w:val="auto"/>
          <w:sz w:val="36"/>
          <w:szCs w:val="36"/>
          <w:u w:val="none"/>
        </w:rPr>
        <w:t>20</w:t>
      </w:r>
      <w:r>
        <w:rPr>
          <w:rFonts w:hint="eastAsia" w:ascii="宋体" w:hAnsi="宋体" w:cs="宋体"/>
          <w:b/>
          <w:color w:val="auto"/>
          <w:sz w:val="36"/>
          <w:szCs w:val="36"/>
          <w:u w:val="none"/>
          <w:lang w:val="en-US" w:eastAsia="zh-CN"/>
        </w:rPr>
        <w:t>22</w:t>
      </w:r>
      <w:r>
        <w:rPr>
          <w:rFonts w:hint="eastAsia" w:ascii="宋体" w:hAnsi="宋体" w:cs="宋体"/>
          <w:b/>
          <w:color w:val="auto"/>
          <w:sz w:val="36"/>
          <w:szCs w:val="36"/>
          <w:u w:val="none"/>
        </w:rPr>
        <w:t>年</w:t>
      </w:r>
      <w:r>
        <w:rPr>
          <w:rFonts w:hint="eastAsia" w:ascii="宋体" w:hAnsi="宋体" w:cs="宋体"/>
          <w:b/>
          <w:color w:val="auto"/>
          <w:sz w:val="36"/>
          <w:szCs w:val="36"/>
          <w:u w:val="none"/>
          <w:lang w:val="en-US" w:eastAsia="zh-CN"/>
        </w:rPr>
        <w:t>11</w:t>
      </w:r>
      <w:r>
        <w:rPr>
          <w:rFonts w:hint="eastAsia" w:ascii="宋体" w:hAnsi="宋体" w:cs="宋体"/>
          <w:b/>
          <w:color w:val="auto"/>
          <w:sz w:val="36"/>
          <w:szCs w:val="36"/>
          <w:u w:val="none"/>
        </w:rPr>
        <w:t>月</w:t>
      </w:r>
    </w:p>
    <w:p>
      <w:pPr>
        <w:spacing w:line="360" w:lineRule="auto"/>
        <w:rPr>
          <w:rFonts w:hint="eastAsia" w:ascii="宋体" w:hAnsi="宋体" w:cs="宋体"/>
          <w:b/>
          <w:color w:val="auto"/>
          <w:sz w:val="36"/>
          <w:szCs w:val="36"/>
          <w:u w:val="none"/>
        </w:rPr>
        <w:sectPr>
          <w:headerReference r:id="rId4" w:type="first"/>
          <w:footerReference r:id="rId6" w:type="first"/>
          <w:headerReference r:id="rId3" w:type="default"/>
          <w:footerReference r:id="rId5" w:type="default"/>
          <w:type w:val="nextColumn"/>
          <w:pgSz w:w="11906" w:h="16838"/>
          <w:pgMar w:top="1440" w:right="1797" w:bottom="1440" w:left="1797" w:header="851" w:footer="992" w:gutter="0"/>
          <w:pgNumType w:fmt="decimal"/>
          <w:cols w:space="720" w:num="1"/>
          <w:titlePg/>
          <w:docGrid w:linePitch="286" w:charSpace="0"/>
        </w:sectPr>
      </w:pPr>
    </w:p>
    <w:p>
      <w:pPr>
        <w:pStyle w:val="3"/>
        <w:snapToGrid w:val="0"/>
        <w:spacing w:beforeLines="100" w:after="0" w:line="360" w:lineRule="auto"/>
        <w:jc w:val="both"/>
        <w:outlineLvl w:val="9"/>
        <w:rPr>
          <w:rFonts w:hint="eastAsia" w:ascii="宋体" w:hAnsi="宋体"/>
          <w:bCs w:val="0"/>
          <w:color w:val="auto"/>
          <w:sz w:val="48"/>
          <w:szCs w:val="48"/>
        </w:rPr>
      </w:pPr>
      <w:bookmarkStart w:id="0" w:name="_Toc409627226"/>
    </w:p>
    <w:bookmarkEnd w:id="0"/>
    <w:sdt>
      <w:sdtPr>
        <w:rPr>
          <w:rFonts w:ascii="宋体" w:hAnsi="宋体" w:eastAsia="宋体" w:cstheme="minorBidi"/>
          <w:color w:val="auto"/>
          <w:kern w:val="2"/>
          <w:sz w:val="21"/>
          <w:szCs w:val="22"/>
          <w:lang w:val="en-US" w:eastAsia="zh-CN" w:bidi="ar-SA"/>
        </w:rPr>
        <w:id w:val="147469371"/>
        <w15:color w:val="DBDBDB"/>
        <w:docPartObj>
          <w:docPartGallery w:val="Table of Contents"/>
          <w:docPartUnique/>
        </w:docPartObj>
      </w:sdtPr>
      <w:sdtEndPr>
        <w:rPr>
          <w:rFonts w:hint="eastAsia" w:ascii="宋体" w:hAnsi="宋体" w:eastAsia="宋体" w:cs="Times New Roman"/>
          <w:b/>
          <w:bCs w:val="0"/>
          <w:color w:val="auto"/>
          <w:kern w:val="44"/>
          <w:sz w:val="44"/>
          <w:szCs w:val="4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color w:val="auto"/>
              <w:sz w:val="32"/>
              <w:szCs w:val="36"/>
            </w:rPr>
          </w:pPr>
          <w:bookmarkStart w:id="1" w:name="_Toc369274601"/>
          <w:bookmarkStart w:id="2" w:name="_Toc409627227"/>
          <w:r>
            <w:rPr>
              <w:rFonts w:ascii="宋体" w:hAnsi="宋体" w:eastAsia="宋体"/>
              <w:b/>
              <w:bCs/>
              <w:color w:val="auto"/>
              <w:sz w:val="32"/>
              <w:szCs w:val="36"/>
            </w:rPr>
            <w:t>目</w:t>
          </w:r>
          <w:r>
            <w:rPr>
              <w:rFonts w:hint="eastAsia" w:ascii="宋体" w:hAnsi="宋体" w:eastAsia="宋体"/>
              <w:b/>
              <w:bCs/>
              <w:color w:val="auto"/>
              <w:sz w:val="32"/>
              <w:szCs w:val="36"/>
              <w:lang w:val="en-US" w:eastAsia="zh-CN"/>
            </w:rPr>
            <w:t xml:space="preserve">  </w:t>
          </w:r>
          <w:r>
            <w:rPr>
              <w:rFonts w:ascii="宋体" w:hAnsi="宋体" w:eastAsia="宋体"/>
              <w:b/>
              <w:bCs/>
              <w:color w:val="auto"/>
              <w:sz w:val="32"/>
              <w:szCs w:val="36"/>
            </w:rPr>
            <w:t>录</w:t>
          </w:r>
        </w:p>
        <w:p>
          <w:pPr>
            <w:outlineLvl w:val="9"/>
            <w:rPr>
              <w:b/>
              <w:bCs/>
              <w:color w:val="auto"/>
            </w:rPr>
          </w:pPr>
        </w:p>
        <w:p>
          <w:pPr>
            <w:pStyle w:val="93"/>
            <w:tabs>
              <w:tab w:val="right" w:leader="dot" w:pos="8730"/>
            </w:tabs>
            <w:rPr>
              <w:rFonts w:hint="eastAsia" w:ascii="宋体" w:hAnsi="宋体"/>
              <w:bCs w:val="0"/>
              <w:color w:val="auto"/>
              <w:sz w:val="96"/>
              <w:szCs w:val="96"/>
            </w:rPr>
          </w:pPr>
        </w:p>
        <w:p>
          <w:pPr>
            <w:pStyle w:val="25"/>
            <w:tabs>
              <w:tab w:val="right" w:leader="dot" w:pos="8730"/>
            </w:tabs>
            <w:spacing w:line="480" w:lineRule="auto"/>
            <w:rPr>
              <w:rFonts w:hint="eastAsia" w:ascii="宋体" w:hAnsi="宋体" w:eastAsia="宋体" w:cs="宋体"/>
              <w:sz w:val="32"/>
              <w:szCs w:val="32"/>
            </w:rPr>
          </w:pPr>
          <w:r>
            <w:fldChar w:fldCharType="begin"/>
          </w:r>
          <w:r>
            <w:instrText xml:space="preserve">TOC \o "1-1" \h \u </w:instrText>
          </w:r>
          <w: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_Toc9889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第一章  单一来源采购邀请函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_Toc9889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5"/>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_Toc6475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第二章  供应商须知及前附表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_Toc6475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5"/>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_Toc18130 </w:instrText>
          </w:r>
          <w:r>
            <w:rPr>
              <w:rFonts w:hint="eastAsia" w:ascii="宋体" w:hAnsi="宋体" w:eastAsia="宋体" w:cs="宋体"/>
              <w:sz w:val="32"/>
              <w:szCs w:val="32"/>
            </w:rPr>
            <w:fldChar w:fldCharType="separate"/>
          </w:r>
          <w:r>
            <w:rPr>
              <w:rFonts w:hint="eastAsia" w:ascii="宋体" w:hAnsi="宋体" w:eastAsia="宋体" w:cs="宋体"/>
              <w:bCs/>
              <w:sz w:val="32"/>
              <w:szCs w:val="32"/>
              <w:lang w:val="en-US" w:eastAsia="zh-CN"/>
            </w:rPr>
            <w:t xml:space="preserve">第三章  </w:t>
          </w:r>
          <w:r>
            <w:rPr>
              <w:rFonts w:hint="eastAsia" w:ascii="宋体" w:hAnsi="宋体" w:eastAsia="宋体" w:cs="宋体"/>
              <w:bCs/>
              <w:sz w:val="32"/>
              <w:szCs w:val="32"/>
              <w:lang w:eastAsia="zh-CN"/>
            </w:rPr>
            <w:t>商务部分</w:t>
          </w:r>
          <w:r>
            <w:rPr>
              <w:rFonts w:hint="eastAsia" w:ascii="宋体" w:hAnsi="宋体" w:eastAsia="宋体" w:cs="宋体"/>
              <w:bCs/>
              <w:sz w:val="32"/>
              <w:szCs w:val="32"/>
              <w:lang w:val="en-US" w:eastAsia="zh-CN"/>
            </w:rPr>
            <w:t>（合同条款及合同格式）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_Toc18130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5"/>
            <w:tabs>
              <w:tab w:val="right" w:leader="dot" w:pos="8730"/>
            </w:tabs>
            <w:spacing w:line="48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_Toc7006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w:t>
          </w:r>
          <w:r>
            <w:rPr>
              <w:rFonts w:hint="eastAsia" w:ascii="宋体" w:hAnsi="宋体" w:eastAsia="宋体" w:cs="宋体"/>
              <w:bCs w:val="0"/>
              <w:sz w:val="32"/>
              <w:szCs w:val="32"/>
              <w:lang w:eastAsia="zh-CN"/>
            </w:rPr>
            <w:t>四</w:t>
          </w:r>
          <w:r>
            <w:rPr>
              <w:rFonts w:hint="eastAsia" w:ascii="宋体" w:hAnsi="宋体" w:eastAsia="宋体" w:cs="宋体"/>
              <w:bCs w:val="0"/>
              <w:sz w:val="32"/>
              <w:szCs w:val="32"/>
            </w:rPr>
            <w:t xml:space="preserve">章  </w:t>
          </w:r>
          <w:r>
            <w:rPr>
              <w:rFonts w:hint="eastAsia" w:ascii="宋体" w:hAnsi="宋体" w:eastAsia="宋体" w:cs="宋体"/>
              <w:bCs w:val="0"/>
              <w:sz w:val="32"/>
              <w:szCs w:val="32"/>
              <w:lang w:eastAsia="zh-CN"/>
            </w:rPr>
            <w:t>采购需求（采购内容及要求）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_Toc7006 </w:instrText>
          </w:r>
          <w:r>
            <w:rPr>
              <w:rFonts w:hint="eastAsia" w:ascii="宋体" w:hAnsi="宋体" w:eastAsia="宋体" w:cs="宋体"/>
              <w:sz w:val="32"/>
              <w:szCs w:val="32"/>
            </w:rPr>
            <w:fldChar w:fldCharType="separate"/>
          </w:r>
          <w:r>
            <w:rPr>
              <w:rFonts w:hint="eastAsia" w:ascii="宋体" w:hAnsi="宋体" w:eastAsia="宋体" w:cs="宋体"/>
              <w:sz w:val="32"/>
              <w:szCs w:val="32"/>
            </w:rPr>
            <w:t>31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5"/>
            <w:tabs>
              <w:tab w:val="right" w:leader="dot" w:pos="8730"/>
            </w:tabs>
            <w:spacing w:line="480" w:lineRule="auto"/>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_Toc5670 </w:instrText>
          </w:r>
          <w:r>
            <w:rPr>
              <w:rFonts w:hint="eastAsia" w:ascii="宋体" w:hAnsi="宋体" w:eastAsia="宋体" w:cs="宋体"/>
              <w:sz w:val="32"/>
              <w:szCs w:val="32"/>
            </w:rPr>
            <w:fldChar w:fldCharType="separate"/>
          </w:r>
          <w:r>
            <w:rPr>
              <w:rFonts w:hint="eastAsia" w:ascii="宋体" w:hAnsi="宋体" w:eastAsia="宋体" w:cs="宋体"/>
              <w:bCs w:val="0"/>
              <w:sz w:val="32"/>
              <w:szCs w:val="32"/>
            </w:rPr>
            <w:t>第</w:t>
          </w:r>
          <w:r>
            <w:rPr>
              <w:rFonts w:hint="eastAsia" w:ascii="宋体" w:hAnsi="宋体" w:eastAsia="宋体" w:cs="宋体"/>
              <w:bCs w:val="0"/>
              <w:sz w:val="32"/>
              <w:szCs w:val="32"/>
              <w:lang w:eastAsia="zh-CN"/>
            </w:rPr>
            <w:t>五</w:t>
          </w:r>
          <w:r>
            <w:rPr>
              <w:rFonts w:hint="eastAsia" w:ascii="宋体" w:hAnsi="宋体" w:eastAsia="宋体" w:cs="宋体"/>
              <w:bCs w:val="0"/>
              <w:sz w:val="32"/>
              <w:szCs w:val="32"/>
            </w:rPr>
            <w:t>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w:t>
          </w:r>
          <w:r>
            <w:rPr>
              <w:rFonts w:hint="eastAsia" w:ascii="宋体" w:hAnsi="宋体" w:eastAsia="宋体" w:cs="宋体"/>
              <w:bCs w:val="0"/>
              <w:sz w:val="32"/>
              <w:szCs w:val="32"/>
              <w:lang w:eastAsia="zh-CN"/>
            </w:rPr>
            <w:t>单一来源谈判响应</w:t>
          </w:r>
          <w:r>
            <w:rPr>
              <w:rFonts w:hint="eastAsia" w:ascii="宋体" w:hAnsi="宋体" w:eastAsia="宋体" w:cs="宋体"/>
              <w:bCs w:val="0"/>
              <w:sz w:val="32"/>
              <w:szCs w:val="32"/>
            </w:rPr>
            <w:t>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_Toc5670 </w:instrText>
          </w:r>
          <w:r>
            <w:rPr>
              <w:rFonts w:hint="eastAsia" w:ascii="宋体" w:hAnsi="宋体" w:eastAsia="宋体" w:cs="宋体"/>
              <w:sz w:val="32"/>
              <w:szCs w:val="32"/>
            </w:rPr>
            <w:fldChar w:fldCharType="separate"/>
          </w:r>
          <w:r>
            <w:rPr>
              <w:rFonts w:hint="eastAsia" w:ascii="宋体" w:hAnsi="宋体" w:eastAsia="宋体" w:cs="宋体"/>
              <w:sz w:val="32"/>
              <w:szCs w:val="32"/>
            </w:rPr>
            <w:t>42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r>
            <w:fldChar w:fldCharType="end"/>
          </w:r>
        </w:p>
        <w:p>
          <w:pPr>
            <w:pStyle w:val="3"/>
            <w:snapToGrid w:val="0"/>
            <w:spacing w:beforeLines="100" w:after="0" w:line="360" w:lineRule="auto"/>
            <w:jc w:val="both"/>
            <w:outlineLvl w:val="9"/>
            <w:rPr>
              <w:rFonts w:hint="eastAsia" w:ascii="宋体" w:hAnsi="宋体"/>
              <w:bCs w:val="0"/>
              <w:color w:val="auto"/>
              <w:sz w:val="48"/>
              <w:szCs w:val="48"/>
            </w:rPr>
          </w:pPr>
        </w:p>
      </w:sdtContent>
    </w:sdt>
    <w:p>
      <w:pPr>
        <w:rPr>
          <w:rFonts w:hint="eastAsia" w:ascii="宋体" w:hAnsi="宋体"/>
          <w:bCs w:val="0"/>
          <w:color w:val="auto"/>
          <w:sz w:val="48"/>
          <w:szCs w:val="48"/>
        </w:rPr>
      </w:pPr>
    </w:p>
    <w:p>
      <w:pPr>
        <w:pStyle w:val="2"/>
        <w:rPr>
          <w:rFonts w:hint="eastAsia" w:ascii="宋体" w:hAnsi="宋体"/>
          <w:bCs w:val="0"/>
          <w:color w:val="auto"/>
          <w:sz w:val="48"/>
          <w:szCs w:val="48"/>
        </w:rPr>
      </w:pPr>
    </w:p>
    <w:p>
      <w:pPr>
        <w:rPr>
          <w:rFonts w:hint="eastAsia" w:ascii="宋体" w:hAnsi="宋体"/>
          <w:bCs w:val="0"/>
          <w:color w:val="auto"/>
          <w:sz w:val="48"/>
          <w:szCs w:val="48"/>
        </w:rPr>
      </w:pPr>
    </w:p>
    <w:p>
      <w:pPr>
        <w:pStyle w:val="2"/>
        <w:rPr>
          <w:rFonts w:hint="eastAsia" w:ascii="宋体" w:hAnsi="宋体"/>
          <w:bCs w:val="0"/>
          <w:color w:val="auto"/>
          <w:sz w:val="48"/>
          <w:szCs w:val="48"/>
        </w:rPr>
      </w:pPr>
    </w:p>
    <w:p>
      <w:pPr>
        <w:rPr>
          <w:rFonts w:hint="eastAsia" w:ascii="宋体" w:hAnsi="宋体"/>
          <w:bCs w:val="0"/>
          <w:color w:val="auto"/>
          <w:sz w:val="48"/>
          <w:szCs w:val="48"/>
        </w:rPr>
      </w:pPr>
    </w:p>
    <w:p>
      <w:pPr>
        <w:pStyle w:val="2"/>
        <w:rPr>
          <w:rFonts w:hint="eastAsia" w:ascii="宋体" w:hAnsi="宋体"/>
          <w:bCs w:val="0"/>
          <w:color w:val="auto"/>
          <w:sz w:val="48"/>
          <w:szCs w:val="48"/>
        </w:rPr>
        <w:sectPr>
          <w:footerReference r:id="rId7" w:type="default"/>
          <w:type w:val="nextColumn"/>
          <w:pgSz w:w="11906" w:h="16838"/>
          <w:pgMar w:top="1191" w:right="1588" w:bottom="1191" w:left="1588" w:header="851" w:footer="992" w:gutter="0"/>
          <w:pgNumType w:fmt="decimal"/>
          <w:cols w:space="720" w:num="1"/>
          <w:docGrid w:linePitch="286" w:charSpace="0"/>
        </w:sectPr>
      </w:pPr>
    </w:p>
    <w:p>
      <w:pPr>
        <w:rPr>
          <w:rFonts w:hint="eastAsia"/>
          <w:color w:val="auto"/>
        </w:rPr>
      </w:pPr>
    </w:p>
    <w:p>
      <w:pPr>
        <w:rPr>
          <w:rFonts w:hint="eastAsia" w:ascii="宋体" w:hAnsi="宋体"/>
          <w:bCs w:val="0"/>
          <w:color w:val="auto"/>
          <w:sz w:val="48"/>
          <w:szCs w:val="48"/>
        </w:rPr>
      </w:pPr>
    </w:p>
    <w:p>
      <w:pPr>
        <w:pStyle w:val="2"/>
        <w:rPr>
          <w:rFonts w:hint="eastAsia" w:ascii="宋体" w:hAnsi="宋体"/>
          <w:bCs w:val="0"/>
          <w:color w:val="auto"/>
          <w:sz w:val="48"/>
          <w:szCs w:val="48"/>
        </w:rPr>
      </w:pPr>
    </w:p>
    <w:p>
      <w:pPr>
        <w:rPr>
          <w:rFonts w:hint="eastAsia"/>
          <w:color w:val="auto"/>
        </w:rPr>
      </w:pPr>
    </w:p>
    <w:p>
      <w:pPr>
        <w:snapToGrid w:val="0"/>
        <w:spacing w:beforeLines="100" w:after="0" w:line="360" w:lineRule="auto"/>
        <w:jc w:val="center"/>
        <w:outlineLvl w:val="9"/>
        <w:rPr>
          <w:rFonts w:hint="eastAsia" w:ascii="宋体" w:hAnsi="宋体"/>
          <w:bCs w:val="0"/>
          <w:color w:val="auto"/>
          <w:sz w:val="48"/>
          <w:szCs w:val="48"/>
        </w:rPr>
      </w:pPr>
    </w:p>
    <w:p>
      <w:pPr>
        <w:outlineLvl w:val="9"/>
        <w:rPr>
          <w:rFonts w:hint="eastAsia" w:ascii="宋体" w:hAnsi="宋体"/>
          <w:bCs w:val="0"/>
          <w:color w:val="auto"/>
          <w:sz w:val="48"/>
          <w:szCs w:val="48"/>
        </w:rPr>
      </w:pPr>
    </w:p>
    <w:p>
      <w:pPr>
        <w:outlineLvl w:val="9"/>
        <w:rPr>
          <w:rFonts w:hint="eastAsia" w:ascii="宋体" w:hAnsi="宋体"/>
          <w:bCs w:val="0"/>
          <w:color w:val="auto"/>
          <w:sz w:val="48"/>
          <w:szCs w:val="48"/>
        </w:rPr>
      </w:pPr>
    </w:p>
    <w:p>
      <w:pPr>
        <w:rPr>
          <w:rFonts w:hint="eastAsia"/>
          <w:color w:val="auto"/>
        </w:rPr>
      </w:pPr>
    </w:p>
    <w:p>
      <w:pPr>
        <w:pStyle w:val="3"/>
        <w:snapToGrid w:val="0"/>
        <w:spacing w:beforeLines="100" w:after="0" w:line="360" w:lineRule="auto"/>
        <w:jc w:val="center"/>
        <w:outlineLvl w:val="0"/>
        <w:rPr>
          <w:rFonts w:ascii="宋体" w:hAnsi="宋体"/>
          <w:bCs w:val="0"/>
          <w:color w:val="auto"/>
          <w:sz w:val="48"/>
          <w:szCs w:val="48"/>
        </w:rPr>
      </w:pPr>
      <w:bookmarkStart w:id="3" w:name="_Toc9889"/>
      <w:bookmarkStart w:id="4" w:name="_Toc21414"/>
      <w:bookmarkStart w:id="5" w:name="_Toc18818"/>
      <w:r>
        <w:rPr>
          <w:rFonts w:hint="eastAsia" w:ascii="宋体" w:hAnsi="宋体"/>
          <w:bCs w:val="0"/>
          <w:color w:val="auto"/>
          <w:sz w:val="48"/>
          <w:szCs w:val="48"/>
        </w:rPr>
        <w:t xml:space="preserve">第一章  </w:t>
      </w:r>
      <w:bookmarkEnd w:id="1"/>
      <w:bookmarkEnd w:id="2"/>
      <w:r>
        <w:rPr>
          <w:rFonts w:hint="eastAsia" w:ascii="宋体" w:hAnsi="宋体" w:cs="Times New Roman"/>
          <w:bCs w:val="0"/>
          <w:color w:val="auto"/>
          <w:sz w:val="48"/>
          <w:szCs w:val="48"/>
        </w:rPr>
        <w:t>单一来源采购邀请函</w:t>
      </w:r>
      <w:bookmarkEnd w:id="3"/>
      <w:bookmarkEnd w:id="4"/>
      <w:bookmarkEnd w:id="5"/>
    </w:p>
    <w:p>
      <w:pPr>
        <w:pStyle w:val="3"/>
        <w:snapToGrid w:val="0"/>
        <w:spacing w:beforeLines="100" w:after="0" w:line="360" w:lineRule="auto"/>
        <w:jc w:val="center"/>
        <w:outlineLvl w:val="9"/>
        <w:rPr>
          <w:rFonts w:hint="eastAsia" w:ascii="宋体" w:hAnsi="宋体" w:eastAsia="宋体" w:cs="宋体"/>
          <w:b/>
          <w:bCs/>
          <w:color w:val="auto"/>
          <w:kern w:val="0"/>
          <w:sz w:val="36"/>
          <w:szCs w:val="36"/>
          <w:lang w:val="en-US" w:eastAsia="zh-CN" w:bidi="ar-SA"/>
        </w:rPr>
      </w:pPr>
      <w:r>
        <w:rPr>
          <w:rFonts w:ascii="宋体" w:hAnsi="宋体" w:cs="宋体"/>
          <w:b/>
          <w:color w:val="auto"/>
          <w:kern w:val="0"/>
          <w:sz w:val="28"/>
          <w:szCs w:val="28"/>
        </w:rPr>
        <w:br w:type="page"/>
      </w:r>
      <w:r>
        <w:rPr>
          <w:rFonts w:hint="eastAsia" w:ascii="宋体" w:hAnsi="宋体" w:cs="宋体"/>
          <w:b/>
          <w:bCs/>
          <w:color w:val="auto"/>
          <w:kern w:val="0"/>
          <w:sz w:val="32"/>
          <w:szCs w:val="32"/>
          <w:lang w:val="en-US" w:eastAsia="zh-CN" w:bidi="ar-SA"/>
        </w:rPr>
        <w:t>安康市中心血站2022年度一次性血液成分分离管路及控制计数器采购项目</w:t>
      </w: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32"/>
          <w:szCs w:val="32"/>
          <w:lang w:eastAsia="zh-CN"/>
        </w:rPr>
        <w:t>邀请函</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陕西德信招标有限公司受安康市中心血站的委托，按照政府采购程序，拟就</w:t>
      </w:r>
      <w:r>
        <w:rPr>
          <w:rFonts w:hint="eastAsia" w:ascii="宋体" w:hAnsi="宋体" w:eastAsia="宋体" w:cs="宋体"/>
          <w:color w:val="auto"/>
          <w:kern w:val="0"/>
          <w:sz w:val="24"/>
          <w:szCs w:val="24"/>
          <w:u w:val="single"/>
          <w:lang w:eastAsia="zh-CN"/>
        </w:rPr>
        <w:t>安康市中心血站2022年度一次性血液成分分离管路及控制计数器采购项目</w:t>
      </w:r>
      <w:r>
        <w:rPr>
          <w:rFonts w:hint="eastAsia" w:ascii="宋体" w:hAnsi="宋体" w:eastAsia="宋体" w:cs="宋体"/>
          <w:color w:val="auto"/>
          <w:kern w:val="0"/>
          <w:sz w:val="24"/>
          <w:szCs w:val="24"/>
          <w:lang w:eastAsia="zh-CN"/>
        </w:rPr>
        <w:t>进行采购，</w:t>
      </w:r>
      <w:r>
        <w:rPr>
          <w:rFonts w:hint="eastAsia" w:ascii="宋体" w:hAnsi="宋体" w:eastAsia="宋体" w:cs="宋体"/>
          <w:color w:val="auto"/>
          <w:kern w:val="0"/>
          <w:sz w:val="24"/>
          <w:szCs w:val="24"/>
          <w:lang w:val="en-US" w:eastAsia="zh-CN"/>
        </w:rPr>
        <w:t>现</w:t>
      </w:r>
      <w:r>
        <w:rPr>
          <w:rFonts w:hint="eastAsia" w:ascii="宋体" w:hAnsi="宋体" w:eastAsia="宋体" w:cs="宋体"/>
          <w:color w:val="auto"/>
          <w:kern w:val="0"/>
          <w:sz w:val="24"/>
          <w:szCs w:val="24"/>
          <w:lang w:eastAsia="zh-CN"/>
        </w:rPr>
        <w:t>邀请</w:t>
      </w:r>
      <w:r>
        <w:rPr>
          <w:rFonts w:hint="eastAsia" w:ascii="宋体" w:hAnsi="宋体" w:eastAsia="宋体" w:cs="宋体"/>
          <w:color w:val="auto"/>
          <w:kern w:val="0"/>
          <w:sz w:val="24"/>
          <w:szCs w:val="24"/>
          <w:u w:val="single"/>
          <w:lang w:eastAsia="zh-CN"/>
        </w:rPr>
        <w:t>陕西泽发商贸有限公司</w:t>
      </w:r>
      <w:r>
        <w:rPr>
          <w:rFonts w:hint="eastAsia" w:ascii="宋体" w:hAnsi="宋体" w:eastAsia="宋体" w:cs="宋体"/>
          <w:color w:val="auto"/>
          <w:kern w:val="0"/>
          <w:sz w:val="24"/>
          <w:szCs w:val="24"/>
          <w:lang w:val="en-US" w:eastAsia="zh-CN"/>
        </w:rPr>
        <w:t>参加谈判。</w:t>
      </w:r>
    </w:p>
    <w:p>
      <w:pPr>
        <w:pStyle w:val="3"/>
        <w:pageBreakBefore w:val="0"/>
        <w:kinsoku/>
        <w:wordWrap/>
        <w:overflowPunct/>
        <w:topLinePunct w:val="0"/>
        <w:autoSpaceDE/>
        <w:autoSpaceDN/>
        <w:bidi w:val="0"/>
        <w:adjustRightInd/>
        <w:snapToGrid w:val="0"/>
        <w:spacing w:beforeLines="100" w:after="0" w:line="360" w:lineRule="auto"/>
        <w:ind w:left="2159" w:leftChars="228" w:hanging="1680" w:hangingChars="700"/>
        <w:jc w:val="both"/>
        <w:textAlignment w:val="auto"/>
        <w:outlineLvl w:val="9"/>
        <w:rPr>
          <w:rFonts w:hint="eastAsia" w:ascii="宋体" w:hAnsi="宋体" w:eastAsia="宋体" w:cs="宋体"/>
          <w:b w:val="0"/>
          <w:bCs w:val="0"/>
          <w:color w:val="auto"/>
          <w:kern w:val="0"/>
          <w:sz w:val="24"/>
          <w:szCs w:val="24"/>
          <w:u w:val="single"/>
          <w:lang w:val="en-US" w:eastAsia="zh-CN" w:bidi="ar-SA"/>
        </w:rPr>
      </w:pPr>
      <w:bookmarkStart w:id="6" w:name="_Toc936"/>
      <w:r>
        <w:rPr>
          <w:rFonts w:hint="eastAsia" w:ascii="宋体" w:hAnsi="宋体" w:cs="宋体"/>
          <w:b w:val="0"/>
          <w:bCs w:val="0"/>
          <w:color w:val="auto"/>
          <w:kern w:val="0"/>
          <w:sz w:val="24"/>
          <w:szCs w:val="24"/>
          <w:lang w:eastAsia="zh-CN"/>
        </w:rPr>
        <w:t>一、</w:t>
      </w:r>
      <w:r>
        <w:rPr>
          <w:rFonts w:hint="eastAsia" w:ascii="宋体" w:hAnsi="宋体" w:eastAsia="宋体" w:cs="宋体"/>
          <w:b w:val="0"/>
          <w:bCs w:val="0"/>
          <w:color w:val="auto"/>
          <w:kern w:val="0"/>
          <w:sz w:val="24"/>
          <w:szCs w:val="24"/>
        </w:rPr>
        <w:t>项目名称</w:t>
      </w:r>
      <w:r>
        <w:rPr>
          <w:rFonts w:hint="eastAsia" w:ascii="宋体" w:hAnsi="宋体" w:eastAsia="宋体" w:cs="宋体"/>
          <w:b w:val="0"/>
          <w:bCs w:val="0"/>
          <w:color w:val="auto"/>
          <w:kern w:val="0"/>
          <w:sz w:val="24"/>
          <w:szCs w:val="24"/>
          <w:lang w:eastAsia="zh-CN"/>
        </w:rPr>
        <w:t>：</w:t>
      </w:r>
      <w:bookmarkEnd w:id="6"/>
      <w:r>
        <w:rPr>
          <w:rFonts w:hint="eastAsia" w:ascii="宋体" w:hAnsi="宋体" w:cs="宋体"/>
          <w:b w:val="0"/>
          <w:bCs w:val="0"/>
          <w:color w:val="auto"/>
          <w:kern w:val="0"/>
          <w:sz w:val="24"/>
          <w:szCs w:val="24"/>
          <w:lang w:eastAsia="zh-CN"/>
        </w:rPr>
        <w:t>安康市中心血站2022年度一次性血液成分分离管路及控制计数器采购项目</w:t>
      </w:r>
      <w:r>
        <w:rPr>
          <w:rFonts w:hint="eastAsia" w:ascii="宋体" w:hAnsi="宋体" w:eastAsia="宋体" w:cs="宋体"/>
          <w:b w:val="0"/>
          <w:bCs w:val="0"/>
          <w:color w:val="auto"/>
          <w:kern w:val="0"/>
          <w:sz w:val="24"/>
          <w:szCs w:val="24"/>
          <w:lang w:eastAsia="zh-CN"/>
        </w:rPr>
        <w:t xml:space="preserve"> </w:t>
      </w:r>
    </w:p>
    <w:p>
      <w:pPr>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二、项目编号：DXZB-2022-0972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kern w:val="0"/>
          <w:sz w:val="24"/>
          <w:szCs w:val="24"/>
        </w:rPr>
        <w:t>三、采购人名称</w:t>
      </w:r>
      <w:r>
        <w:rPr>
          <w:rFonts w:hint="eastAsia" w:ascii="宋体" w:hAnsi="宋体" w:eastAsia="宋体" w:cs="宋体"/>
          <w:b w:val="0"/>
          <w:bCs w:val="0"/>
          <w:color w:val="auto"/>
          <w:kern w:val="0"/>
          <w:sz w:val="24"/>
          <w:szCs w:val="24"/>
          <w:lang w:eastAsia="zh-CN"/>
        </w:rPr>
        <w:t>：</w:t>
      </w:r>
      <w:r>
        <w:rPr>
          <w:rFonts w:hint="eastAsia" w:ascii="宋体" w:hAnsi="宋体" w:eastAsia="宋体" w:cs="宋体"/>
          <w:sz w:val="24"/>
          <w:szCs w:val="24"/>
        </w:rPr>
        <w:t>安康市中心血站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    址：</w:t>
      </w:r>
      <w:r>
        <w:rPr>
          <w:rFonts w:hint="eastAsia" w:ascii="宋体" w:hAnsi="宋体" w:eastAsia="宋体" w:cs="宋体"/>
          <w:sz w:val="24"/>
          <w:szCs w:val="24"/>
          <w:lang w:eastAsia="zh-CN"/>
        </w:rPr>
        <w:t>安康市高新区花园大道公共卫生服务中心</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联系方式：0915-</w:t>
      </w:r>
      <w:r>
        <w:rPr>
          <w:rFonts w:hint="eastAsia" w:ascii="宋体" w:hAnsi="宋体" w:eastAsia="宋体" w:cs="宋体"/>
          <w:sz w:val="24"/>
          <w:szCs w:val="24"/>
          <w:lang w:val="en-US" w:eastAsia="zh-CN"/>
        </w:rPr>
        <w:t>3110485</w:t>
      </w:r>
    </w:p>
    <w:p>
      <w:pPr>
        <w:pStyle w:val="33"/>
        <w:ind w:firstLine="960" w:firstLineChars="400"/>
        <w:rPr>
          <w:rFonts w:hint="default"/>
          <w:lang w:val="en-US" w:eastAsia="zh-CN"/>
        </w:rPr>
      </w:pPr>
      <w:r>
        <w:rPr>
          <w:rFonts w:hint="eastAsia" w:ascii="宋体" w:hAnsi="宋体" w:cs="宋体"/>
          <w:sz w:val="24"/>
          <w:szCs w:val="24"/>
          <w:lang w:val="en-US" w:eastAsia="zh-CN"/>
        </w:rPr>
        <w:t>联系人：曹科长</w:t>
      </w:r>
    </w:p>
    <w:p>
      <w:pPr>
        <w:pageBreakBefore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采购代理机构名称</w:t>
      </w:r>
      <w:r>
        <w:rPr>
          <w:rFonts w:hint="eastAsia" w:ascii="宋体" w:hAnsi="宋体" w:eastAsia="宋体" w:cs="宋体"/>
          <w:color w:val="auto"/>
          <w:kern w:val="0"/>
          <w:sz w:val="24"/>
          <w:szCs w:val="24"/>
          <w:lang w:eastAsia="zh-CN"/>
        </w:rPr>
        <w:t>：陕西德信招标有限公司</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：陕西省</w:t>
      </w:r>
      <w:r>
        <w:rPr>
          <w:rFonts w:hint="eastAsia" w:ascii="宋体" w:hAnsi="宋体" w:eastAsia="宋体" w:cs="宋体"/>
          <w:color w:val="auto"/>
          <w:kern w:val="0"/>
          <w:sz w:val="24"/>
          <w:szCs w:val="24"/>
        </w:rPr>
        <w:t>西安市雁塔区南二环</w:t>
      </w:r>
      <w:r>
        <w:rPr>
          <w:rFonts w:hint="eastAsia" w:ascii="宋体" w:hAnsi="宋体" w:eastAsia="宋体" w:cs="宋体"/>
          <w:color w:val="auto"/>
          <w:kern w:val="0"/>
          <w:sz w:val="24"/>
          <w:szCs w:val="24"/>
          <w:lang w:eastAsia="zh-CN"/>
        </w:rPr>
        <w:t>东段凯</w:t>
      </w:r>
      <w:r>
        <w:rPr>
          <w:rFonts w:hint="eastAsia" w:ascii="宋体" w:hAnsi="宋体" w:eastAsia="宋体" w:cs="宋体"/>
          <w:color w:val="auto"/>
          <w:kern w:val="0"/>
          <w:sz w:val="24"/>
          <w:szCs w:val="24"/>
        </w:rPr>
        <w:t>森盛世一号A座五楼</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default" w:ascii="宋体" w:hAnsi="宋体" w:cs="宋体"/>
          <w:b w:val="0"/>
          <w:bCs w:val="0"/>
          <w:color w:val="auto"/>
          <w:kern w:val="0"/>
          <w:sz w:val="24"/>
          <w:szCs w:val="24"/>
          <w:u w:val="single"/>
          <w:lang w:val="en-US" w:eastAsia="zh-CN"/>
        </w:rPr>
      </w:pPr>
      <w:r>
        <w:rPr>
          <w:rFonts w:hint="eastAsia" w:ascii="宋体" w:hAnsi="宋体" w:eastAsia="宋体" w:cs="宋体"/>
          <w:color w:val="auto"/>
          <w:kern w:val="0"/>
          <w:sz w:val="24"/>
          <w:szCs w:val="24"/>
          <w:lang w:eastAsia="zh-CN"/>
        </w:rPr>
        <w:t>联系人</w:t>
      </w:r>
      <w:r>
        <w:rPr>
          <w:rFonts w:hint="eastAsia" w:ascii="宋体" w:hAnsi="宋体" w:eastAsia="宋体" w:cs="宋体"/>
          <w:color w:val="auto"/>
          <w:kern w:val="0"/>
          <w:sz w:val="24"/>
          <w:szCs w:val="24"/>
          <w:u w:val="none"/>
          <w:lang w:eastAsia="zh-CN"/>
        </w:rPr>
        <w:t>：</w:t>
      </w:r>
      <w:r>
        <w:rPr>
          <w:rFonts w:hint="eastAsia" w:ascii="宋体" w:hAnsi="宋体" w:cs="宋体"/>
          <w:b w:val="0"/>
          <w:bCs w:val="0"/>
          <w:color w:val="auto"/>
          <w:kern w:val="0"/>
          <w:sz w:val="24"/>
          <w:szCs w:val="24"/>
          <w:u w:val="none"/>
          <w:lang w:val="en-US" w:eastAsia="zh-CN"/>
        </w:rPr>
        <w:t>胡梦阳</w:t>
      </w: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029-8</w:t>
      </w:r>
      <w:r>
        <w:rPr>
          <w:rFonts w:hint="eastAsia" w:ascii="宋体" w:hAnsi="宋体" w:eastAsia="宋体" w:cs="宋体"/>
          <w:color w:val="auto"/>
          <w:kern w:val="0"/>
          <w:sz w:val="24"/>
          <w:szCs w:val="24"/>
          <w:lang w:val="en-US" w:eastAsia="zh-CN"/>
        </w:rPr>
        <w:t>2694900转</w:t>
      </w:r>
      <w:r>
        <w:rPr>
          <w:rFonts w:hint="eastAsia" w:ascii="宋体" w:hAnsi="宋体" w:cs="宋体"/>
          <w:b w:val="0"/>
          <w:bCs w:val="0"/>
          <w:color w:val="auto"/>
          <w:kern w:val="0"/>
          <w:sz w:val="24"/>
          <w:szCs w:val="24"/>
          <w:u w:val="none"/>
          <w:lang w:val="en-US" w:eastAsia="zh-CN"/>
        </w:rPr>
        <w:t>9021</w:t>
      </w:r>
    </w:p>
    <w:p>
      <w:pPr>
        <w:pageBreakBefore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采购内容和要求</w:t>
      </w:r>
      <w:r>
        <w:rPr>
          <w:rFonts w:hint="eastAsia" w:ascii="宋体" w:hAnsi="宋体" w:eastAsia="宋体" w:cs="宋体"/>
          <w:color w:val="auto"/>
          <w:kern w:val="0"/>
          <w:sz w:val="24"/>
          <w:szCs w:val="24"/>
          <w:lang w:eastAsia="zh-CN"/>
        </w:rPr>
        <w:t>：</w:t>
      </w:r>
    </w:p>
    <w:p>
      <w:pPr>
        <w:pageBreakBefore w:val="0"/>
        <w:numPr>
          <w:ilvl w:val="0"/>
          <w:numId w:val="0"/>
        </w:numPr>
        <w:kinsoku/>
        <w:wordWrap/>
        <w:overflowPunct/>
        <w:topLinePunct w:val="0"/>
        <w:autoSpaceDE/>
        <w:autoSpaceDN/>
        <w:bidi w:val="0"/>
        <w:adjustRightInd/>
        <w:spacing w:line="360" w:lineRule="auto"/>
        <w:ind w:left="899" w:leftChars="428" w:firstLine="0" w:firstLineChars="0"/>
        <w:textAlignment w:val="auto"/>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lang w:eastAsia="zh-CN"/>
        </w:rPr>
        <w:t>采购内容：</w:t>
      </w:r>
      <w:r>
        <w:rPr>
          <w:rFonts w:hint="eastAsia" w:ascii="宋体" w:hAnsi="宋体" w:eastAsia="宋体" w:cs="宋体"/>
          <w:color w:val="auto"/>
          <w:kern w:val="0"/>
          <w:sz w:val="24"/>
          <w:szCs w:val="24"/>
          <w:u w:val="none"/>
          <w:lang w:eastAsia="zh-CN"/>
        </w:rPr>
        <w:t>一次性血液成分分离管路及控制计数器</w:t>
      </w:r>
      <w:r>
        <w:rPr>
          <w:rFonts w:hint="eastAsia" w:ascii="宋体" w:hAnsi="宋体" w:eastAsia="宋体" w:cs="宋体"/>
          <w:color w:val="auto"/>
          <w:kern w:val="0"/>
          <w:sz w:val="24"/>
          <w:szCs w:val="24"/>
          <w:u w:val="none"/>
        </w:rPr>
        <w:t xml:space="preserve">  </w:t>
      </w:r>
    </w:p>
    <w:p>
      <w:pPr>
        <w:pageBreakBefore w:val="0"/>
        <w:numPr>
          <w:ilvl w:val="0"/>
          <w:numId w:val="0"/>
        </w:numPr>
        <w:kinsoku/>
        <w:wordWrap/>
        <w:overflowPunct/>
        <w:topLinePunct w:val="0"/>
        <w:autoSpaceDE/>
        <w:autoSpaceDN/>
        <w:bidi w:val="0"/>
        <w:adjustRightInd/>
        <w:spacing w:line="360" w:lineRule="auto"/>
        <w:ind w:left="899" w:leftChars="428" w:firstLine="0" w:firstLineChars="0"/>
        <w:textAlignment w:val="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rPr>
        <w:t>数量：1批</w:t>
      </w:r>
      <w:r>
        <w:rPr>
          <w:rFonts w:hint="eastAsia" w:ascii="宋体" w:hAnsi="宋体" w:eastAsia="宋体" w:cs="宋体"/>
          <w:color w:val="auto"/>
          <w:kern w:val="0"/>
          <w:sz w:val="24"/>
          <w:szCs w:val="24"/>
          <w:u w:val="none"/>
          <w:lang w:val="en-US" w:eastAsia="zh-CN"/>
        </w:rPr>
        <w:t xml:space="preserve"> </w:t>
      </w:r>
    </w:p>
    <w:p>
      <w:pPr>
        <w:pageBreakBefore w:val="0"/>
        <w:numPr>
          <w:ilvl w:val="0"/>
          <w:numId w:val="0"/>
        </w:numPr>
        <w:kinsoku/>
        <w:wordWrap/>
        <w:overflowPunct/>
        <w:topLinePunct w:val="0"/>
        <w:autoSpaceDE/>
        <w:autoSpaceDN/>
        <w:bidi w:val="0"/>
        <w:adjustRightInd/>
        <w:spacing w:line="360" w:lineRule="auto"/>
        <w:ind w:left="899" w:leftChars="428" w:firstLine="0" w:firstLineChars="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项目用途</w:t>
      </w:r>
      <w:r>
        <w:rPr>
          <w:rFonts w:hint="eastAsia" w:ascii="宋体" w:hAnsi="宋体" w:eastAsia="宋体" w:cs="宋体"/>
          <w:color w:val="auto"/>
          <w:kern w:val="0"/>
          <w:sz w:val="24"/>
          <w:szCs w:val="24"/>
          <w:lang w:eastAsia="zh-CN"/>
        </w:rPr>
        <w:t>：</w:t>
      </w:r>
      <w:r>
        <w:rPr>
          <w:rFonts w:hint="eastAsia" w:ascii="宋体" w:hAnsi="宋体" w:cs="宋体"/>
          <w:b w:val="0"/>
          <w:bCs w:val="0"/>
          <w:color w:val="auto"/>
          <w:kern w:val="0"/>
          <w:sz w:val="24"/>
          <w:szCs w:val="24"/>
          <w:u w:val="none"/>
          <w:lang w:val="en-US" w:eastAsia="zh-CN"/>
        </w:rPr>
        <w:t>自用</w:t>
      </w:r>
    </w:p>
    <w:p>
      <w:pPr>
        <w:pageBreakBefore w:val="0"/>
        <w:numPr>
          <w:ilvl w:val="0"/>
          <w:numId w:val="0"/>
        </w:numPr>
        <w:kinsoku/>
        <w:wordWrap/>
        <w:overflowPunct/>
        <w:topLinePunct w:val="0"/>
        <w:autoSpaceDE/>
        <w:autoSpaceDN/>
        <w:bidi w:val="0"/>
        <w:adjustRightInd/>
        <w:spacing w:line="360" w:lineRule="auto"/>
        <w:ind w:leftChars="20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采购预算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none"/>
          <w:lang w:val="en-US" w:eastAsia="zh-CN"/>
        </w:rPr>
        <w:t>人民币880500.00元</w:t>
      </w:r>
    </w:p>
    <w:p>
      <w:pPr>
        <w:pageBreakBefore w:val="0"/>
        <w:numPr>
          <w:ilvl w:val="0"/>
          <w:numId w:val="1"/>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投标人资格要求</w:t>
      </w:r>
      <w:r>
        <w:rPr>
          <w:rFonts w:hint="eastAsia" w:ascii="宋体" w:hAnsi="宋体" w:eastAsia="宋体" w:cs="宋体"/>
          <w:color w:val="auto"/>
          <w:ker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符合《中华人民共和国政府采购法》第二十二条之规定，有能力提供本</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r>
        <w:rPr>
          <w:rFonts w:hint="eastAsia" w:ascii="宋体" w:hAnsi="宋体" w:eastAsia="宋体" w:cs="宋体"/>
          <w:sz w:val="24"/>
          <w:szCs w:val="24"/>
        </w:rPr>
        <w:t>次采购货物和服务，符合下列条件的供应商：</w:t>
      </w:r>
    </w:p>
    <w:p>
      <w:pPr>
        <w:widowControl/>
        <w:spacing w:line="360" w:lineRule="auto"/>
        <w:ind w:firstLine="441" w:firstLineChars="184"/>
        <w:jc w:val="left"/>
        <w:rPr>
          <w:rFonts w:hint="eastAsia" w:ascii="宋体" w:hAnsi="宋体" w:cs="宋体" w:eastAsiaTheme="minorEastAsia"/>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w:t>
      </w:r>
      <w:r>
        <w:rPr>
          <w:rFonts w:hint="eastAsia" w:ascii="宋体" w:hAnsi="宋体" w:cs="宋体"/>
          <w:kern w:val="0"/>
          <w:sz w:val="24"/>
          <w:szCs w:val="22"/>
          <w:lang w:val="en-US" w:eastAsia="zh-CN"/>
        </w:rPr>
        <w:t>经审计的</w:t>
      </w:r>
      <w:r>
        <w:rPr>
          <w:rFonts w:hint="eastAsia" w:ascii="宋体" w:hAnsi="宋体" w:cs="宋体"/>
          <w:kern w:val="0"/>
          <w:sz w:val="24"/>
          <w:szCs w:val="22"/>
          <w:u w:val="none"/>
        </w:rPr>
        <w:t>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pStyle w:val="2"/>
        <w:numPr>
          <w:ilvl w:val="0"/>
          <w:numId w:val="0"/>
        </w:numPr>
        <w:spacing w:line="360" w:lineRule="auto"/>
        <w:ind w:firstLine="480" w:firstLineChars="200"/>
        <w:rPr>
          <w:rFonts w:hint="eastAsia" w:ascii="新宋体" w:hAnsi="新宋体" w:eastAsia="新宋体" w:cs="宋体"/>
          <w:color w:val="FF0000"/>
          <w:kern w:val="0"/>
          <w:sz w:val="24"/>
          <w:szCs w:val="24"/>
          <w:lang w:val="en-US" w:eastAsia="zh-CN" w:bidi="ar-SA"/>
        </w:rPr>
      </w:pPr>
      <w:r>
        <w:rPr>
          <w:rFonts w:hint="eastAsia" w:ascii="宋体" w:hAnsi="宋体" w:cs="宋体" w:eastAsiaTheme="minorEastAsia"/>
          <w:kern w:val="0"/>
          <w:sz w:val="24"/>
          <w:szCs w:val="22"/>
          <w:lang w:val="en-US" w:eastAsia="zh-CN" w:bidi="ar-SA"/>
        </w:rPr>
        <w:t>6、</w:t>
      </w:r>
      <w:r>
        <w:rPr>
          <w:rFonts w:hint="default" w:ascii="宋体" w:hAnsi="宋体" w:cs="宋体"/>
          <w:color w:val="auto"/>
          <w:sz w:val="24"/>
          <w:lang w:val="en-US" w:eastAsia="zh-CN"/>
        </w:rPr>
        <w:t>投标人为生产厂家的须提供医疗器械生产许可证（进口产品除外）；投标人为代理商的根据所投产品类别还需提供第二类医疗器械备案凭证或第三类医疗器械经营许可证；</w:t>
      </w:r>
    </w:p>
    <w:p>
      <w:pPr>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7、投标供应商必须执行医用耗材“两票制”，并提供执行两票制承诺书。</w:t>
      </w:r>
    </w:p>
    <w:p>
      <w:pPr>
        <w:pStyle w:val="45"/>
        <w:rPr>
          <w:rFonts w:hint="eastAsia"/>
          <w:color w:val="FF0000"/>
          <w:lang w:eastAsia="zh-CN"/>
        </w:rPr>
      </w:pP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8</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color w:val="auto"/>
          <w:kern w:val="0"/>
          <w:sz w:val="24"/>
          <w:szCs w:val="24"/>
        </w:rPr>
      </w:pP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七、单一来源谈判文件发售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1、文件售价：每套售价</w:t>
      </w:r>
      <w:r>
        <w:rPr>
          <w:rFonts w:hint="eastAsia" w:ascii="宋体" w:hAnsi="宋体" w:cs="宋体"/>
          <w:color w:val="000000" w:themeColor="text1"/>
          <w:kern w:val="0"/>
          <w:sz w:val="24"/>
          <w:u w:val="single"/>
          <w14:textFill>
            <w14:solidFill>
              <w14:schemeClr w14:val="tx1"/>
            </w14:solidFill>
          </w14:textFill>
        </w:rPr>
        <w:t>500</w:t>
      </w:r>
      <w:r>
        <w:rPr>
          <w:rFonts w:hint="eastAsia" w:ascii="宋体" w:hAnsi="宋体" w:cs="宋体"/>
          <w:color w:val="000000" w:themeColor="text1"/>
          <w:kern w:val="0"/>
          <w:sz w:val="24"/>
          <w14:textFill>
            <w14:solidFill>
              <w14:schemeClr w14:val="tx1"/>
            </w14:solidFill>
          </w14:textFill>
        </w:rPr>
        <w:t>元人民币，售后概不退还。</w:t>
      </w:r>
    </w:p>
    <w:p>
      <w:pPr>
        <w:widowControl/>
        <w:spacing w:line="360" w:lineRule="auto"/>
        <w:ind w:firstLine="681" w:firstLineChars="284"/>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3、缴纳时间：</w:t>
      </w:r>
      <w:r>
        <w:rPr>
          <w:rFonts w:hint="eastAsia" w:ascii="宋体" w:hAnsi="宋体" w:cs="宋体"/>
          <w:color w:val="000000" w:themeColor="text1"/>
          <w:kern w:val="0"/>
          <w:sz w:val="24"/>
          <w:u w:val="single"/>
          <w:lang w:val="en-US" w:eastAsia="zh-CN"/>
          <w14:textFill>
            <w14:solidFill>
              <w14:schemeClr w14:val="tx1"/>
            </w14:solidFill>
          </w14:textFill>
        </w:rPr>
        <w:t>2022</w:t>
      </w:r>
      <w:r>
        <w:rPr>
          <w:rFonts w:hint="eastAsia" w:ascii="宋体" w:hAnsi="宋体" w:cs="宋体"/>
          <w:color w:val="000000" w:themeColor="text1"/>
          <w:kern w:val="0"/>
          <w:sz w:val="24"/>
          <w:u w:val="none"/>
          <w:lang w:val="en-US" w:eastAsia="zh-CN"/>
          <w14:textFill>
            <w14:solidFill>
              <w14:schemeClr w14:val="tx1"/>
            </w14:solidFill>
          </w14:textFill>
        </w:rPr>
        <w:t>年</w:t>
      </w:r>
      <w:r>
        <w:rPr>
          <w:rFonts w:hint="eastAsia" w:ascii="宋体" w:hAnsi="宋体" w:cs="宋体"/>
          <w:color w:val="000000" w:themeColor="text1"/>
          <w:kern w:val="0"/>
          <w:sz w:val="24"/>
          <w:u w:val="single"/>
          <w:lang w:val="en-US" w:eastAsia="zh-CN"/>
          <w14:textFill>
            <w14:solidFill>
              <w14:schemeClr w14:val="tx1"/>
            </w14:solidFill>
          </w14:textFill>
        </w:rPr>
        <w:t>11</w:t>
      </w:r>
      <w:r>
        <w:rPr>
          <w:rFonts w:hint="eastAsia" w:ascii="宋体" w:hAnsi="宋体" w:cs="宋体"/>
          <w:color w:val="000000" w:themeColor="text1"/>
          <w:kern w:val="0"/>
          <w:sz w:val="24"/>
          <w:u w:val="none"/>
          <w:lang w:val="en-US" w:eastAsia="zh-CN"/>
          <w14:textFill>
            <w14:solidFill>
              <w14:schemeClr w14:val="tx1"/>
            </w14:solidFill>
          </w14:textFill>
        </w:rPr>
        <w:t>月</w:t>
      </w:r>
      <w:r>
        <w:rPr>
          <w:rFonts w:hint="eastAsia" w:ascii="宋体" w:hAnsi="宋体" w:cs="宋体"/>
          <w:color w:val="000000" w:themeColor="text1"/>
          <w:kern w:val="0"/>
          <w:sz w:val="24"/>
          <w:u w:val="single"/>
          <w:lang w:val="en-US" w:eastAsia="zh-CN"/>
          <w14:textFill>
            <w14:solidFill>
              <w14:schemeClr w14:val="tx1"/>
            </w14:solidFill>
          </w14:textFill>
        </w:rPr>
        <w:t>29</w:t>
      </w:r>
      <w:r>
        <w:rPr>
          <w:rFonts w:hint="eastAsia" w:ascii="宋体" w:hAnsi="宋体" w:cs="宋体"/>
          <w:color w:val="000000" w:themeColor="text1"/>
          <w:kern w:val="0"/>
          <w:sz w:val="24"/>
          <w:u w:val="none"/>
          <w:lang w:val="en-US" w:eastAsia="zh-CN"/>
          <w14:textFill>
            <w14:solidFill>
              <w14:schemeClr w14:val="tx1"/>
            </w14:solidFill>
          </w14:textFill>
        </w:rPr>
        <w:t>日</w:t>
      </w:r>
      <w:r>
        <w:rPr>
          <w:rFonts w:hint="eastAsia" w:ascii="宋体" w:hAnsi="宋体" w:cs="宋体"/>
          <w:color w:val="000000" w:themeColor="text1"/>
          <w:kern w:val="0"/>
          <w:sz w:val="24"/>
          <w14:textFill>
            <w14:solidFill>
              <w14:schemeClr w14:val="tx1"/>
            </w14:solidFill>
          </w14:textFill>
        </w:rPr>
        <w:t>至</w:t>
      </w:r>
      <w:r>
        <w:rPr>
          <w:rFonts w:hint="eastAsia" w:ascii="宋体" w:hAnsi="宋体" w:cs="宋体"/>
          <w:color w:val="000000" w:themeColor="text1"/>
          <w:kern w:val="0"/>
          <w:sz w:val="24"/>
          <w:u w:val="single"/>
          <w:lang w:val="en-US" w:eastAsia="zh-CN"/>
          <w14:textFill>
            <w14:solidFill>
              <w14:schemeClr w14:val="tx1"/>
            </w14:solidFill>
          </w14:textFill>
        </w:rPr>
        <w:t>2022</w:t>
      </w:r>
      <w:r>
        <w:rPr>
          <w:rFonts w:hint="eastAsia" w:ascii="宋体" w:hAnsi="宋体" w:cs="宋体"/>
          <w:color w:val="000000" w:themeColor="text1"/>
          <w:kern w:val="0"/>
          <w:sz w:val="24"/>
          <w:u w:val="none"/>
          <w:lang w:val="en-US" w:eastAsia="zh-CN"/>
          <w14:textFill>
            <w14:solidFill>
              <w14:schemeClr w14:val="tx1"/>
            </w14:solidFill>
          </w14:textFill>
        </w:rPr>
        <w:t>年</w:t>
      </w:r>
      <w:r>
        <w:rPr>
          <w:rFonts w:hint="eastAsia" w:ascii="宋体" w:hAnsi="宋体" w:cs="宋体"/>
          <w:color w:val="000000" w:themeColor="text1"/>
          <w:kern w:val="0"/>
          <w:sz w:val="24"/>
          <w:u w:val="single"/>
          <w:lang w:val="en-US" w:eastAsia="zh-CN"/>
          <w14:textFill>
            <w14:solidFill>
              <w14:schemeClr w14:val="tx1"/>
            </w14:solidFill>
          </w14:textFill>
        </w:rPr>
        <w:t>12</w:t>
      </w:r>
      <w:r>
        <w:rPr>
          <w:rFonts w:hint="eastAsia" w:ascii="宋体" w:hAnsi="宋体" w:cs="宋体"/>
          <w:color w:val="000000" w:themeColor="text1"/>
          <w:kern w:val="0"/>
          <w:sz w:val="24"/>
          <w:u w:val="none"/>
          <w:lang w:val="en-US" w:eastAsia="zh-CN"/>
          <w14:textFill>
            <w14:solidFill>
              <w14:schemeClr w14:val="tx1"/>
            </w14:solidFill>
          </w14:textFill>
        </w:rPr>
        <w:t>月</w:t>
      </w:r>
      <w:r>
        <w:rPr>
          <w:rFonts w:hint="eastAsia" w:ascii="宋体" w:hAnsi="宋体" w:cs="宋体"/>
          <w:color w:val="000000" w:themeColor="text1"/>
          <w:kern w:val="0"/>
          <w:sz w:val="24"/>
          <w:u w:val="single"/>
          <w:lang w:val="en-US" w:eastAsia="zh-CN"/>
          <w14:textFill>
            <w14:solidFill>
              <w14:schemeClr w14:val="tx1"/>
            </w14:solidFill>
          </w14:textFill>
        </w:rPr>
        <w:t>01</w:t>
      </w:r>
      <w:r>
        <w:rPr>
          <w:rFonts w:hint="eastAsia" w:ascii="宋体" w:hAnsi="宋体" w:cs="宋体"/>
          <w:color w:val="000000" w:themeColor="text1"/>
          <w:kern w:val="0"/>
          <w:sz w:val="24"/>
          <w:u w:val="none"/>
          <w:lang w:val="en-US" w:eastAsia="zh-CN"/>
          <w14:textFill>
            <w14:solidFill>
              <w14:schemeClr w14:val="tx1"/>
            </w14:solidFill>
          </w14:textFill>
        </w:rPr>
        <w:t xml:space="preserve">日 </w:t>
      </w:r>
      <w:r>
        <w:rPr>
          <w:rFonts w:hint="eastAsia" w:ascii="宋体" w:hAnsi="宋体" w:cs="宋体"/>
          <w:color w:val="000000" w:themeColor="text1"/>
          <w:kern w:val="0"/>
          <w:sz w:val="24"/>
          <w14:textFill>
            <w14:solidFill>
              <w14:schemeClr w14:val="tx1"/>
            </w14:solidFill>
          </w14:textFill>
        </w:rPr>
        <w:t>每天上午9</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00-12</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00，下午14</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00-17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00（双休日及法定节假日除外）</w:t>
      </w:r>
    </w:p>
    <w:p>
      <w:pP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供应商须在招标文件发售时间内携带介绍信和经办人身份证复印件（加盖公章）一套在陕西德信招标有限公司（陕西省西安市雁塔区南二环东段凯森盛世一号A座五楼）政府采购部进行缴费确认。</w:t>
      </w:r>
    </w:p>
    <w:p>
      <w:pPr>
        <w:widowControl/>
        <w:spacing w:line="360" w:lineRule="auto"/>
        <w:ind w:firstLine="681" w:firstLineChars="284"/>
        <w:jc w:val="both"/>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八、单一来源谈判文件截止时间及开标时间和地点：</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cs="宋体"/>
          <w:color w:val="000000" w:themeColor="text1"/>
          <w:kern w:val="0"/>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单一来源谈判文件截止时间：</w:t>
      </w:r>
      <w:r>
        <w:rPr>
          <w:rFonts w:hint="eastAsia" w:ascii="宋体" w:hAnsi="宋体" w:cs="宋体"/>
          <w:color w:val="000000" w:themeColor="text1"/>
          <w:kern w:val="0"/>
          <w:sz w:val="24"/>
          <w:highlight w:val="none"/>
          <w:u w:val="none"/>
          <w:lang w:val="en-US" w:eastAsia="zh-CN"/>
          <w14:textFill>
            <w14:solidFill>
              <w14:schemeClr w14:val="tx1"/>
            </w14:solidFill>
          </w14:textFill>
        </w:rPr>
        <w:t>2022年12月02日09：00点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整</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lang w:eastAsia="zh-CN"/>
          <w14:textFill>
            <w14:solidFill>
              <w14:schemeClr w14:val="tx1"/>
            </w14:solidFill>
          </w14:textFill>
        </w:rPr>
        <w:t>时间：</w:t>
      </w:r>
      <w:r>
        <w:rPr>
          <w:rFonts w:hint="eastAsia" w:ascii="宋体" w:hAnsi="宋体" w:cs="宋体"/>
          <w:color w:val="000000" w:themeColor="text1"/>
          <w:kern w:val="0"/>
          <w:sz w:val="24"/>
          <w:highlight w:val="none"/>
          <w:u w:val="none"/>
          <w:lang w:val="en-US" w:eastAsia="zh-CN"/>
          <w14:textFill>
            <w14:solidFill>
              <w14:schemeClr w14:val="tx1"/>
            </w14:solidFill>
          </w14:textFill>
        </w:rPr>
        <w:t>2022年12月02日09：00点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整</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default" w:eastAsia="宋体"/>
          <w:color w:val="FF0000"/>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lang w:eastAsia="zh-CN"/>
          <w14:textFill>
            <w14:solidFill>
              <w14:schemeClr w14:val="tx1"/>
            </w14:solidFill>
          </w14:textFill>
        </w:rPr>
        <w:t>地点：陕西省安康市汉滨区兴安中路61号 宜尚酒店(安康兴安中路店)5楼会议室。</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FF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九、采购项目需要落实的政府采购政策：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w:t>
      </w:r>
      <w:r>
        <w:rPr>
          <w:rFonts w:hint="eastAsia" w:ascii="宋体" w:hAnsi="宋体" w:cs="宋体"/>
          <w:color w:val="000000"/>
          <w:sz w:val="24"/>
          <w:lang w:eastAsia="zh-CN"/>
        </w:rPr>
        <w:t>谈判</w:t>
      </w:r>
      <w:r>
        <w:rPr>
          <w:rFonts w:hint="eastAsia" w:ascii="宋体" w:hAnsi="宋体" w:cs="宋体"/>
          <w:color w:val="000000"/>
          <w:sz w:val="24"/>
        </w:rPr>
        <w:t>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2、《财政部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5、《环境标志产品政府采购实施的意见》（财库〔2006〕90号）；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6、《三部门联合发布关于促进残疾人就业政府采购政策的通知》（财库〔2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w:t>
      </w:r>
      <w:r>
        <w:rPr>
          <w:rFonts w:hint="eastAsia" w:ascii="宋体" w:hAnsi="宋体" w:cs="宋体"/>
          <w:bCs/>
          <w:color w:val="000000"/>
          <w:sz w:val="24"/>
          <w:lang w:eastAsia="zh-CN"/>
        </w:rPr>
        <w:t>《关于运用政府采购政策支持乡村产业振兴的通知》（财库〔2021〕19号）</w:t>
      </w:r>
      <w:r>
        <w:rPr>
          <w:rFonts w:hint="eastAsia" w:ascii="宋体" w:hAnsi="宋体" w:cs="宋体"/>
          <w:bCs/>
          <w:color w:val="000000"/>
          <w:sz w:val="24"/>
        </w:rPr>
        <w:t>；</w:t>
      </w:r>
    </w:p>
    <w:p>
      <w:pPr>
        <w:pStyle w:val="17"/>
        <w:rPr>
          <w:rFonts w:hint="eastAsia" w:ascii="宋体" w:hAnsi="宋体" w:cs="宋体" w:eastAsiaTheme="minorEastAsia"/>
          <w:bCs/>
          <w:i w:val="0"/>
          <w:iCs w:val="0"/>
          <w:color w:val="000000"/>
          <w:kern w:val="2"/>
          <w:sz w:val="24"/>
          <w:szCs w:val="22"/>
          <w:lang w:val="en-US" w:eastAsia="zh-CN" w:bidi="ar-SA"/>
        </w:rPr>
      </w:pPr>
      <w:r>
        <w:rPr>
          <w:rFonts w:hint="eastAsia" w:cs="宋体"/>
          <w:bCs/>
          <w:i w:val="0"/>
          <w:iCs w:val="0"/>
          <w:kern w:val="2"/>
          <w:sz w:val="24"/>
        </w:rPr>
        <w:t>8、《国务院办公厅关于建立政府强制采购节能产品制度的通知》（国办发〔</w:t>
      </w:r>
      <w:r>
        <w:rPr>
          <w:rFonts w:hint="eastAsia" w:ascii="宋体" w:hAnsi="宋体" w:cs="宋体" w:eastAsiaTheme="minorEastAsia"/>
          <w:bCs/>
          <w:i w:val="0"/>
          <w:iCs w:val="0"/>
          <w:color w:val="000000"/>
          <w:kern w:val="2"/>
          <w:sz w:val="24"/>
          <w:szCs w:val="22"/>
          <w:lang w:val="en-US" w:eastAsia="zh-CN" w:bidi="ar-SA"/>
        </w:rPr>
        <w:t>2007〕51号）</w:t>
      </w:r>
      <w:r>
        <w:rPr>
          <w:rFonts w:hint="eastAsia" w:ascii="宋体" w:hAnsi="宋体" w:cs="宋体"/>
          <w:bCs/>
          <w:color w:val="000000"/>
          <w:sz w:val="24"/>
        </w:rPr>
        <w:t>；</w:t>
      </w:r>
    </w:p>
    <w:p>
      <w:pPr>
        <w:spacing w:line="360" w:lineRule="auto"/>
        <w:rPr>
          <w:rFonts w:hint="default" w:ascii="宋体" w:hAnsi="宋体" w:cs="宋体" w:eastAsiaTheme="minorEastAsia"/>
          <w:bCs/>
          <w:i w:val="0"/>
          <w:iCs w:val="0"/>
          <w:color w:val="000000"/>
          <w:kern w:val="2"/>
          <w:sz w:val="24"/>
          <w:szCs w:val="22"/>
          <w:lang w:val="en-US" w:eastAsia="zh-CN" w:bidi="ar-SA"/>
        </w:rPr>
      </w:pPr>
      <w:r>
        <w:rPr>
          <w:rFonts w:hint="eastAsia" w:ascii="宋体" w:hAnsi="宋体" w:cs="宋体" w:eastAsiaTheme="minorEastAsia"/>
          <w:bCs/>
          <w:i w:val="0"/>
          <w:iCs w:val="0"/>
          <w:color w:val="000000"/>
          <w:kern w:val="2"/>
          <w:sz w:val="24"/>
          <w:szCs w:val="22"/>
          <w:lang w:val="en-US" w:eastAsia="zh-CN" w:bidi="ar-SA"/>
        </w:rPr>
        <w:t xml:space="preserve">    9、陕西省财政厅关于印发《陕西省中小企业政府采购信用融资办法》（陕财办采〔2018〕23号）。</w:t>
      </w:r>
    </w:p>
    <w:p>
      <w:pPr>
        <w:pStyle w:val="45"/>
        <w:spacing w:line="360" w:lineRule="auto"/>
        <w:rPr>
          <w:rFonts w:hint="default"/>
          <w:lang w:val="en-US" w:eastAsia="zh-CN"/>
        </w:rPr>
      </w:pPr>
      <w:r>
        <w:rPr>
          <w:rFonts w:hint="eastAsia" w:ascii="宋体" w:hAnsi="宋体" w:eastAsia="宋体" w:cs="宋体"/>
          <w:bCs/>
          <w:i w:val="0"/>
          <w:iCs w:val="0"/>
          <w:color w:val="auto"/>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spacing w:line="360" w:lineRule="auto"/>
        <w:ind w:firstLine="480" w:firstLineChars="200"/>
        <w:rPr>
          <w:rFonts w:hint="eastAsia" w:ascii="宋体" w:hAnsi="宋体" w:cs="宋体" w:eastAsiaTheme="minorEastAsia"/>
          <w:bCs/>
          <w:i w:val="0"/>
          <w:iCs w:val="0"/>
          <w:color w:val="000000"/>
          <w:kern w:val="2"/>
          <w:sz w:val="24"/>
          <w:szCs w:val="22"/>
          <w:lang w:val="en-US" w:eastAsia="zh-CN" w:bidi="ar-SA"/>
        </w:rPr>
      </w:pPr>
      <w:r>
        <w:rPr>
          <w:rFonts w:hint="eastAsia" w:ascii="宋体" w:hAnsi="宋体" w:cs="宋体" w:eastAsiaTheme="minorEastAsia"/>
          <w:bCs/>
          <w:i w:val="0"/>
          <w:iCs w:val="0"/>
          <w:color w:val="000000"/>
          <w:kern w:val="2"/>
          <w:sz w:val="24"/>
          <w:szCs w:val="22"/>
          <w:lang w:val="en-US" w:eastAsia="zh-CN" w:bidi="ar-SA"/>
        </w:rPr>
        <w:t xml:space="preserve">十、其他应说明的事项： </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采购代理机构：陕西德信招标有限公司</w:t>
      </w:r>
    </w:p>
    <w:p>
      <w:pPr>
        <w:pageBreakBefore w:val="0"/>
        <w:numPr>
          <w:ilvl w:val="0"/>
          <w:numId w:val="0"/>
        </w:numPr>
        <w:kinsoku/>
        <w:wordWrap/>
        <w:overflowPunct/>
        <w:topLinePunct w:val="0"/>
        <w:autoSpaceDE/>
        <w:autoSpaceDN/>
        <w:bidi w:val="0"/>
        <w:adjustRightInd/>
        <w:spacing w:line="360" w:lineRule="auto"/>
        <w:ind w:firstLine="720" w:firstLineChars="300"/>
        <w:textAlignment w:val="auto"/>
        <w:rPr>
          <w:rFonts w:hint="eastAsia" w:ascii="宋体" w:hAnsi="宋体" w:cs="宋体"/>
          <w:b w:val="0"/>
          <w:bCs w:val="0"/>
          <w:color w:val="auto"/>
          <w:kern w:val="0"/>
          <w:sz w:val="24"/>
          <w:szCs w:val="24"/>
          <w:u w:val="single"/>
          <w:lang w:val="en-US" w:eastAsia="zh-CN"/>
        </w:rPr>
      </w:pPr>
      <w:r>
        <w:rPr>
          <w:rFonts w:hint="eastAsia" w:ascii="宋体" w:hAnsi="宋体" w:eastAsia="宋体" w:cs="宋体"/>
          <w:color w:val="auto"/>
          <w:kern w:val="0"/>
          <w:sz w:val="24"/>
          <w:szCs w:val="24"/>
          <w:lang w:eastAsia="zh-CN"/>
        </w:rPr>
        <w:t>联系人</w:t>
      </w:r>
      <w:r>
        <w:rPr>
          <w:rFonts w:hint="eastAsia" w:ascii="宋体" w:hAnsi="宋体" w:eastAsia="宋体" w:cs="宋体"/>
          <w:color w:val="auto"/>
          <w:kern w:val="0"/>
          <w:sz w:val="24"/>
          <w:szCs w:val="24"/>
          <w:u w:val="none"/>
          <w:lang w:eastAsia="zh-CN"/>
        </w:rPr>
        <w:t>：</w:t>
      </w:r>
      <w:r>
        <w:rPr>
          <w:rFonts w:hint="eastAsia" w:ascii="宋体" w:hAnsi="宋体" w:cs="宋体"/>
          <w:b w:val="0"/>
          <w:bCs w:val="0"/>
          <w:color w:val="auto"/>
          <w:kern w:val="0"/>
          <w:sz w:val="24"/>
          <w:szCs w:val="24"/>
          <w:u w:val="none"/>
          <w:lang w:val="en-US" w:eastAsia="zh-CN"/>
        </w:rPr>
        <w:t>胡梦阳</w:t>
      </w:r>
    </w:p>
    <w:p>
      <w:pPr>
        <w:pageBreakBefore w:val="0"/>
        <w:numPr>
          <w:ilvl w:val="0"/>
          <w:numId w:val="0"/>
        </w:numPr>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029-8</w:t>
      </w:r>
      <w:r>
        <w:rPr>
          <w:rFonts w:hint="eastAsia" w:ascii="宋体" w:hAnsi="宋体" w:eastAsia="宋体" w:cs="宋体"/>
          <w:color w:val="auto"/>
          <w:kern w:val="0"/>
          <w:sz w:val="24"/>
          <w:szCs w:val="24"/>
          <w:lang w:val="en-US" w:eastAsia="zh-CN"/>
        </w:rPr>
        <w:t>2694900转</w:t>
      </w:r>
      <w:r>
        <w:rPr>
          <w:rFonts w:hint="eastAsia" w:ascii="宋体" w:hAnsi="宋体" w:cs="宋体"/>
          <w:b w:val="0"/>
          <w:bCs w:val="0"/>
          <w:color w:val="auto"/>
          <w:kern w:val="0"/>
          <w:sz w:val="24"/>
          <w:szCs w:val="24"/>
          <w:u w:val="none"/>
          <w:lang w:val="en-US" w:eastAsia="zh-CN"/>
        </w:rPr>
        <w:t>9021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 xml:space="preserve">陕西德信招标有限公司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color w:val="auto"/>
        </w:rPr>
      </w:pP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2022</w:t>
      </w:r>
      <w:r>
        <w:rPr>
          <w:rFonts w:hint="eastAsia" w:ascii="宋体" w:hAnsi="宋体" w:eastAsia="宋体" w:cs="宋体"/>
          <w:color w:val="000000" w:themeColor="text1"/>
          <w:sz w:val="24"/>
          <w:szCs w:val="24"/>
          <w:u w:val="none"/>
          <w:lang w:eastAsia="zh-CN"/>
          <w14:textFill>
            <w14:solidFill>
              <w14:schemeClr w14:val="tx1"/>
            </w14:solidFill>
          </w14:textFill>
        </w:rPr>
        <w:t>年</w:t>
      </w:r>
      <w:r>
        <w:rPr>
          <w:rFonts w:hint="eastAsia" w:ascii="宋体" w:hAnsi="宋体" w:eastAsia="宋体" w:cs="宋体"/>
          <w:color w:val="000000" w:themeColor="text1"/>
          <w:sz w:val="24"/>
          <w:szCs w:val="24"/>
          <w:u w:val="none"/>
          <w:lang w:val="en-US" w:eastAsia="zh-CN"/>
          <w14:textFill>
            <w14:solidFill>
              <w14:schemeClr w14:val="tx1"/>
            </w14:solidFill>
          </w14:textFill>
        </w:rPr>
        <w:t>11月28日</w:t>
      </w:r>
      <w:r>
        <w:rPr>
          <w:color w:val="auto"/>
        </w:rPr>
        <w:br w:type="page"/>
      </w:r>
    </w:p>
    <w:p>
      <w:pPr>
        <w:pStyle w:val="45"/>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rPr>
      </w:pPr>
    </w:p>
    <w:p>
      <w:pPr>
        <w:widowControl/>
        <w:snapToGrid w:val="0"/>
        <w:spacing w:line="360" w:lineRule="auto"/>
        <w:ind w:right="480"/>
        <w:rPr>
          <w:rFonts w:ascii="宋体" w:hAnsi="宋体" w:cs="宋体"/>
          <w:color w:val="auto"/>
          <w:kern w:val="0"/>
          <w:sz w:val="24"/>
        </w:rPr>
      </w:pPr>
    </w:p>
    <w:p>
      <w:pPr>
        <w:widowControl/>
        <w:snapToGrid w:val="0"/>
        <w:spacing w:line="360" w:lineRule="auto"/>
        <w:ind w:right="480"/>
        <w:rPr>
          <w:rFonts w:ascii="宋体" w:hAnsi="宋体" w:cs="宋体"/>
          <w:color w:val="auto"/>
          <w:kern w:val="0"/>
          <w:sz w:val="24"/>
        </w:rPr>
      </w:pPr>
    </w:p>
    <w:p>
      <w:pPr>
        <w:outlineLvl w:val="9"/>
        <w:rPr>
          <w:rFonts w:hint="eastAsia" w:ascii="宋体" w:hAnsi="宋体"/>
          <w:bCs w:val="0"/>
          <w:color w:val="auto"/>
          <w:sz w:val="48"/>
          <w:szCs w:val="48"/>
        </w:rPr>
      </w:pPr>
      <w:bookmarkStart w:id="7" w:name="_Toc369274602"/>
      <w:bookmarkStart w:id="8" w:name="_Toc409627228"/>
    </w:p>
    <w:p>
      <w:pPr>
        <w:outlineLvl w:val="9"/>
        <w:rPr>
          <w:rFonts w:hint="eastAsia" w:ascii="宋体" w:hAnsi="宋体"/>
          <w:bCs w:val="0"/>
          <w:color w:val="auto"/>
          <w:sz w:val="48"/>
          <w:szCs w:val="48"/>
        </w:rPr>
      </w:pPr>
    </w:p>
    <w:p>
      <w:pPr>
        <w:outlineLvl w:val="9"/>
        <w:rPr>
          <w:rFonts w:hint="eastAsia"/>
          <w:color w:val="auto"/>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eastAsia="zh-CN"/>
        </w:rPr>
      </w:pPr>
    </w:p>
    <w:p>
      <w:pPr>
        <w:outlineLvl w:val="9"/>
        <w:rPr>
          <w:rFonts w:hint="eastAsia"/>
          <w:color w:val="auto"/>
          <w:lang w:eastAsia="zh-CN"/>
        </w:rPr>
      </w:pPr>
    </w:p>
    <w:p>
      <w:pPr>
        <w:outlineLvl w:val="9"/>
        <w:rPr>
          <w:rFonts w:hint="eastAsia"/>
          <w:color w:val="auto"/>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p>
    <w:p>
      <w:pPr>
        <w:outlineLvl w:val="9"/>
        <w:rPr>
          <w:rFonts w:hint="eastAsia" w:ascii="宋体" w:hAnsi="宋体" w:eastAsia="宋体" w:cs="宋体"/>
          <w:color w:val="auto"/>
          <w:sz w:val="24"/>
          <w:szCs w:val="24"/>
          <w:lang w:eastAsia="zh-CN"/>
        </w:rPr>
      </w:pPr>
    </w:p>
    <w:p>
      <w:pPr>
        <w:outlineLvl w:val="9"/>
        <w:rPr>
          <w:rFonts w:hint="eastAsia" w:ascii="宋体" w:hAnsi="宋体" w:eastAsia="宋体" w:cs="宋体"/>
          <w:color w:val="auto"/>
          <w:sz w:val="24"/>
          <w:szCs w:val="24"/>
          <w:lang w:eastAsia="zh-CN"/>
        </w:rPr>
      </w:pPr>
    </w:p>
    <w:p>
      <w:pPr>
        <w:outlineLvl w:val="9"/>
        <w:rPr>
          <w:rFonts w:hint="eastAsia"/>
          <w:color w:val="auto"/>
          <w:lang w:eastAsia="zh-CN"/>
        </w:rPr>
      </w:pPr>
    </w:p>
    <w:p>
      <w:pPr>
        <w:outlineLvl w:val="9"/>
        <w:rPr>
          <w:rFonts w:hint="eastAsia"/>
          <w:color w:val="auto"/>
        </w:rPr>
      </w:pPr>
    </w:p>
    <w:p>
      <w:pPr>
        <w:pStyle w:val="3"/>
        <w:snapToGrid w:val="0"/>
        <w:spacing w:beforeLines="100" w:after="0" w:line="360" w:lineRule="auto"/>
        <w:jc w:val="center"/>
        <w:rPr>
          <w:rFonts w:ascii="宋体" w:hAnsi="宋体"/>
          <w:bCs w:val="0"/>
          <w:color w:val="auto"/>
          <w:sz w:val="48"/>
          <w:szCs w:val="48"/>
        </w:rPr>
      </w:pPr>
      <w:bookmarkStart w:id="9" w:name="_Toc10629"/>
      <w:bookmarkStart w:id="10" w:name="_Toc6475"/>
      <w:bookmarkStart w:id="11" w:name="_Toc4565"/>
      <w:r>
        <w:rPr>
          <w:rFonts w:hint="eastAsia" w:ascii="宋体" w:hAnsi="宋体"/>
          <w:bCs w:val="0"/>
          <w:color w:val="auto"/>
          <w:sz w:val="48"/>
          <w:szCs w:val="48"/>
        </w:rPr>
        <w:t>第二章  供应商须知及前附表</w:t>
      </w:r>
      <w:bookmarkEnd w:id="7"/>
      <w:bookmarkEnd w:id="8"/>
      <w:bookmarkEnd w:id="9"/>
      <w:bookmarkEnd w:id="10"/>
      <w:bookmarkEnd w:id="11"/>
    </w:p>
    <w:p>
      <w:pPr>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88" w:rightChars="-42"/>
        <w:jc w:val="center"/>
        <w:textAlignment w:val="auto"/>
        <w:outlineLvl w:val="9"/>
        <w:rPr>
          <w:rFonts w:hint="eastAsia" w:ascii="宋体" w:hAnsi="宋体" w:eastAsia="宋体" w:cs="宋体"/>
          <w:b/>
          <w:bCs/>
          <w:color w:val="auto"/>
          <w:kern w:val="0"/>
          <w:sz w:val="32"/>
          <w:szCs w:val="32"/>
          <w:lang w:eastAsia="zh-CN"/>
        </w:rPr>
      </w:pPr>
      <w:r>
        <w:rPr>
          <w:color w:val="auto"/>
        </w:rPr>
        <w:br w:type="page"/>
      </w:r>
    </w:p>
    <w:p>
      <w:pPr>
        <w:jc w:val="center"/>
        <w:outlineLvl w:val="9"/>
        <w:rPr>
          <w:rFonts w:hint="default" w:ascii="宋体" w:hAnsi="宋体" w:eastAsia="宋体" w:cs="Times New Roman"/>
          <w:b/>
          <w:bCs/>
          <w:color w:val="auto"/>
          <w:kern w:val="2"/>
          <w:sz w:val="28"/>
          <w:szCs w:val="30"/>
          <w:lang w:val="en-US" w:eastAsia="zh-CN" w:bidi="ar-SA"/>
        </w:rPr>
      </w:pPr>
      <w:r>
        <w:rPr>
          <w:rFonts w:hint="eastAsia" w:ascii="宋体" w:hAnsi="宋体" w:eastAsia="宋体" w:cs="Times New Roman"/>
          <w:b/>
          <w:bCs/>
          <w:color w:val="auto"/>
          <w:kern w:val="2"/>
          <w:sz w:val="28"/>
          <w:szCs w:val="30"/>
          <w:lang w:val="en-US" w:eastAsia="zh-CN" w:bidi="ar-SA"/>
        </w:rPr>
        <w:t>一、供应商须知前附表</w:t>
      </w:r>
    </w:p>
    <w:tbl>
      <w:tblPr>
        <w:tblStyle w:val="35"/>
        <w:tblW w:w="88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2"/>
        <w:gridCol w:w="80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842" w:type="dxa"/>
            <w:noWrap w:val="0"/>
            <w:vAlign w:val="center"/>
          </w:tcPr>
          <w:p>
            <w:pPr>
              <w:spacing w:line="240" w:lineRule="auto"/>
              <w:jc w:val="center"/>
              <w:outlineLvl w:val="9"/>
              <w:rPr>
                <w:rFonts w:hint="eastAsia" w:ascii="宋体" w:hAnsi="宋体" w:eastAsia="宋体" w:cs="宋体"/>
                <w:b/>
                <w:bCs/>
                <w:color w:val="000000" w:themeColor="text1"/>
                <w:sz w:val="24"/>
                <w:szCs w:val="24"/>
                <w:lang w:eastAsia="zh-CN"/>
                <w14:textFill>
                  <w14:solidFill>
                    <w14:schemeClr w14:val="tx1"/>
                  </w14:solidFill>
                </w14:textFill>
              </w:rPr>
            </w:pPr>
            <w:bookmarkStart w:id="12" w:name="_Toc409627231"/>
            <w:bookmarkStart w:id="13" w:name="_Toc369274605"/>
            <w:r>
              <w:rPr>
                <w:rFonts w:hint="eastAsia" w:ascii="宋体" w:hAnsi="宋体" w:eastAsia="宋体" w:cs="宋体"/>
                <w:b/>
                <w:bCs/>
                <w:color w:val="000000" w:themeColor="text1"/>
                <w:sz w:val="24"/>
                <w:szCs w:val="24"/>
                <w:lang w:val="en-US" w:eastAsia="zh-CN"/>
                <w14:textFill>
                  <w14:solidFill>
                    <w14:schemeClr w14:val="tx1"/>
                  </w14:solidFill>
                </w14:textFill>
              </w:rPr>
              <w:t>序号</w:t>
            </w:r>
          </w:p>
        </w:tc>
        <w:tc>
          <w:tcPr>
            <w:tcW w:w="8051" w:type="dxa"/>
            <w:noWrap w:val="0"/>
            <w:vAlign w:val="center"/>
          </w:tcPr>
          <w:p>
            <w:pPr>
              <w:spacing w:line="240" w:lineRule="auto"/>
              <w:jc w:val="center"/>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8" w:hRule="atLeast"/>
          <w:jc w:val="center"/>
        </w:trPr>
        <w:tc>
          <w:tcPr>
            <w:tcW w:w="842" w:type="dxa"/>
            <w:noWrap w:val="0"/>
            <w:vAlign w:val="center"/>
          </w:tcPr>
          <w:p>
            <w:pPr>
              <w:spacing w:line="360" w:lineRule="auto"/>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8051" w:type="dxa"/>
            <w:noWrap w:val="0"/>
            <w:vAlign w:val="center"/>
          </w:tcPr>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买方名称：安康市中心血站</w:t>
            </w:r>
          </w:p>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买方地址：安康市高新区花园大道公共卫生服务中心</w:t>
            </w:r>
          </w:p>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联系方式：0915-3110485</w:t>
            </w:r>
          </w:p>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联系人：曹科长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8" w:hRule="atLeast"/>
          <w:jc w:val="center"/>
        </w:trPr>
        <w:tc>
          <w:tcPr>
            <w:tcW w:w="842" w:type="dxa"/>
            <w:noWrap w:val="0"/>
            <w:vAlign w:val="center"/>
          </w:tcPr>
          <w:p>
            <w:pPr>
              <w:spacing w:line="360" w:lineRule="auto"/>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8051" w:type="dxa"/>
            <w:noWrap w:val="0"/>
            <w:vAlign w:val="center"/>
          </w:tcPr>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陕西德信招标有限公司</w:t>
            </w:r>
          </w:p>
          <w:p>
            <w:pPr>
              <w:spacing w:line="360" w:lineRule="auto"/>
              <w:jc w:val="both"/>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lang w:eastAsia="zh-CN"/>
                <w14:textFill>
                  <w14:solidFill>
                    <w14:schemeClr w14:val="tx1"/>
                  </w14:solidFill>
                </w14:textFill>
              </w:rPr>
              <w:t>：陕西省</w:t>
            </w:r>
            <w:r>
              <w:rPr>
                <w:rFonts w:hint="eastAsia" w:ascii="宋体" w:hAnsi="宋体" w:eastAsia="宋体" w:cs="宋体"/>
                <w:color w:val="000000" w:themeColor="text1"/>
                <w:sz w:val="24"/>
                <w:szCs w:val="24"/>
                <w14:textFill>
                  <w14:solidFill>
                    <w14:schemeClr w14:val="tx1"/>
                  </w14:solidFill>
                </w14:textFill>
              </w:rPr>
              <w:t>西安市雁塔区南二环东段凯森盛世一号A座5层</w:t>
            </w:r>
          </w:p>
          <w:p>
            <w:pPr>
              <w:spacing w:line="360" w:lineRule="auto"/>
              <w:jc w:val="both"/>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胡梦阳</w:t>
            </w:r>
          </w:p>
          <w:p>
            <w:pPr>
              <w:spacing w:line="360" w:lineRule="auto"/>
              <w:jc w:val="both"/>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029-8</w:t>
            </w:r>
            <w:r>
              <w:rPr>
                <w:rFonts w:hint="eastAsia" w:ascii="宋体" w:hAnsi="宋体" w:eastAsia="宋体" w:cs="宋体"/>
                <w:color w:val="000000" w:themeColor="text1"/>
                <w:sz w:val="24"/>
                <w:szCs w:val="24"/>
                <w:lang w:val="en-US" w:eastAsia="zh-CN"/>
                <w14:textFill>
                  <w14:solidFill>
                    <w14:schemeClr w14:val="tx1"/>
                  </w14:solidFill>
                </w14:textFill>
              </w:rPr>
              <w:t>2694900转9021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360" w:lineRule="auto"/>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p>
        </w:tc>
        <w:tc>
          <w:tcPr>
            <w:tcW w:w="8051" w:type="dxa"/>
            <w:noWrap w:val="0"/>
            <w:vAlign w:val="center"/>
          </w:tcPr>
          <w:p>
            <w:pPr>
              <w:spacing w:line="360" w:lineRule="auto"/>
              <w:jc w:val="both"/>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采购内容：</w:t>
            </w:r>
            <w:r>
              <w:rPr>
                <w:rFonts w:hint="eastAsia" w:ascii="宋体" w:hAnsi="宋体" w:eastAsia="宋体" w:cs="宋体"/>
                <w:color w:val="000000" w:themeColor="text1"/>
                <w:sz w:val="24"/>
                <w:szCs w:val="24"/>
                <w:lang w:eastAsia="zh-CN"/>
                <w14:textFill>
                  <w14:solidFill>
                    <w14:schemeClr w14:val="tx1"/>
                  </w14:solidFill>
                </w14:textFill>
              </w:rPr>
              <w:t>一次性血液成分分离管路及控制计数器</w:t>
            </w:r>
          </w:p>
          <w:p>
            <w:pPr>
              <w:spacing w:line="360" w:lineRule="auto"/>
              <w:jc w:val="both"/>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采购预算：人民币880500.00元</w:t>
            </w:r>
          </w:p>
          <w:p>
            <w:pPr>
              <w:spacing w:line="360" w:lineRule="auto"/>
              <w:jc w:val="both"/>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供货期：壹年</w:t>
            </w:r>
          </w:p>
          <w:p>
            <w:pPr>
              <w:spacing w:line="360" w:lineRule="auto"/>
              <w:jc w:val="both"/>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数量：1批</w:t>
            </w:r>
          </w:p>
          <w:p>
            <w:pPr>
              <w:spacing w:line="360" w:lineRule="auto"/>
              <w:jc w:val="both"/>
              <w:outlineLvl w:val="9"/>
              <w:rPr>
                <w:rFonts w:hint="default"/>
                <w:lang w:val="en-US"/>
              </w:rPr>
            </w:pPr>
            <w:r>
              <w:rPr>
                <w:rFonts w:hint="eastAsia" w:ascii="宋体" w:hAnsi="宋体" w:eastAsia="宋体" w:cs="宋体"/>
                <w:color w:val="000000" w:themeColor="text1"/>
                <w:sz w:val="24"/>
                <w:szCs w:val="24"/>
                <w:lang w:val="en-US" w:eastAsia="zh-CN"/>
                <w14:textFill>
                  <w14:solidFill>
                    <w14:schemeClr w14:val="tx1"/>
                  </w14:solidFill>
                </w14:textFill>
              </w:rPr>
              <w:t>本次预算为概预算，以实际使用量为准。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7" w:hRule="atLeast"/>
          <w:jc w:val="center"/>
        </w:trPr>
        <w:tc>
          <w:tcPr>
            <w:tcW w:w="842" w:type="dxa"/>
            <w:noWrap w:val="0"/>
            <w:vAlign w:val="center"/>
          </w:tcPr>
          <w:p>
            <w:pPr>
              <w:spacing w:line="360" w:lineRule="auto"/>
              <w:jc w:val="both"/>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4</w:t>
            </w:r>
          </w:p>
        </w:tc>
        <w:tc>
          <w:tcPr>
            <w:tcW w:w="8051" w:type="dxa"/>
            <w:noWrap w:val="0"/>
            <w:vAlign w:val="center"/>
          </w:tcPr>
          <w:p>
            <w:pPr>
              <w:spacing w:line="360" w:lineRule="auto"/>
              <w:jc w:val="both"/>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842" w:type="dxa"/>
            <w:noWrap w:val="0"/>
            <w:vAlign w:val="center"/>
          </w:tcPr>
          <w:p>
            <w:pPr>
              <w:spacing w:line="360" w:lineRule="auto"/>
              <w:ind w:firstLine="241" w:firstLineChars="100"/>
              <w:jc w:val="both"/>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5</w:t>
            </w:r>
          </w:p>
        </w:tc>
        <w:tc>
          <w:tcPr>
            <w:tcW w:w="8051" w:type="dxa"/>
            <w:noWrap w:val="0"/>
            <w:vAlign w:val="center"/>
          </w:tcPr>
          <w:p>
            <w:pPr>
              <w:spacing w:line="360" w:lineRule="auto"/>
              <w:jc w:val="left"/>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该项目非专门面向中小企业采购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842" w:type="dxa"/>
            <w:noWrap w:val="0"/>
            <w:vAlign w:val="center"/>
          </w:tcPr>
          <w:p>
            <w:pPr>
              <w:spacing w:line="400" w:lineRule="exact"/>
              <w:jc w:val="center"/>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p>
        </w:tc>
        <w:tc>
          <w:tcPr>
            <w:tcW w:w="8051" w:type="dxa"/>
            <w:noWrap w:val="0"/>
            <w:vAlign w:val="center"/>
          </w:tcPr>
          <w:p>
            <w:pPr>
              <w:spacing w:line="400" w:lineRule="exac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投标语言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3" w:hRule="atLeast"/>
          <w:jc w:val="center"/>
        </w:trPr>
        <w:tc>
          <w:tcPr>
            <w:tcW w:w="842" w:type="dxa"/>
            <w:noWrap w:val="0"/>
            <w:vAlign w:val="center"/>
          </w:tcPr>
          <w:p>
            <w:pPr>
              <w:spacing w:line="400" w:lineRule="exact"/>
              <w:jc w:val="center"/>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w:t>
            </w:r>
          </w:p>
        </w:tc>
        <w:tc>
          <w:tcPr>
            <w:tcW w:w="8051" w:type="dxa"/>
            <w:noWrap w:val="0"/>
            <w:vAlign w:val="center"/>
          </w:tcPr>
          <w:p>
            <w:pPr>
              <w:spacing w:line="400" w:lineRule="exact"/>
              <w:jc w:val="left"/>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90 </w:t>
            </w:r>
            <w:r>
              <w:rPr>
                <w:rFonts w:hint="eastAsia" w:ascii="宋体" w:hAnsi="宋体" w:eastAsia="宋体" w:cs="宋体"/>
                <w:color w:val="000000" w:themeColor="text1"/>
                <w:sz w:val="24"/>
                <w:szCs w:val="24"/>
                <w14:textFill>
                  <w14:solidFill>
                    <w14:schemeClr w14:val="tx1"/>
                  </w14:solidFill>
                </w14:textFill>
              </w:rPr>
              <w:t>天</w:t>
            </w:r>
          </w:p>
          <w:p>
            <w:pPr>
              <w:spacing w:line="400" w:lineRule="exac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注：若成交，投标有效期自动延长至合同终止。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842" w:type="dxa"/>
            <w:noWrap w:val="0"/>
            <w:vAlign w:val="center"/>
          </w:tcPr>
          <w:p>
            <w:pPr>
              <w:spacing w:line="400" w:lineRule="exact"/>
              <w:jc w:val="center"/>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p>
        </w:tc>
        <w:tc>
          <w:tcPr>
            <w:tcW w:w="8051" w:type="dxa"/>
            <w:noWrap w:val="0"/>
            <w:vAlign w:val="center"/>
          </w:tcPr>
          <w:p>
            <w:pPr>
              <w:spacing w:line="400" w:lineRule="exac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人民币报价，最终目的地价</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exac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w:t>
            </w:r>
          </w:p>
        </w:tc>
        <w:tc>
          <w:tcPr>
            <w:tcW w:w="8051" w:type="dxa"/>
            <w:tcBorders>
              <w:top w:val="single" w:color="auto" w:sz="6" w:space="0"/>
              <w:bottom w:val="single" w:color="auto" w:sz="4" w:space="0"/>
            </w:tcBorders>
            <w:noWrap w:val="0"/>
            <w:vAlign w:val="center"/>
          </w:tcPr>
          <w:p>
            <w:pPr>
              <w:spacing w:line="400" w:lineRule="exact"/>
              <w:jc w:val="lef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谈判响应</w:t>
            </w: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b w:val="0"/>
                <w:bCs w:val="0"/>
                <w:color w:val="000000" w:themeColor="text1"/>
                <w:sz w:val="24"/>
                <w:szCs w:val="24"/>
                <w14:textFill>
                  <w14:solidFill>
                    <w14:schemeClr w14:val="tx1"/>
                  </w14:solidFill>
                </w14:textFill>
              </w:rPr>
              <w:t>份数</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正本</w:t>
            </w:r>
            <w:r>
              <w:rPr>
                <w:rFonts w:hint="eastAsia" w:ascii="宋体" w:hAnsi="宋体" w:eastAsia="宋体" w:cs="宋体"/>
                <w:b w:val="0"/>
                <w:bCs w:val="0"/>
                <w:color w:val="000000" w:themeColor="text1"/>
                <w:sz w:val="24"/>
                <w:szCs w:val="24"/>
                <w:lang w:val="en-US" w:eastAsia="zh-CN"/>
                <w14:textFill>
                  <w14:solidFill>
                    <w14:schemeClr w14:val="tx1"/>
                  </w14:solidFill>
                </w14:textFill>
              </w:rPr>
              <w:t>壹</w:t>
            </w:r>
            <w:r>
              <w:rPr>
                <w:rFonts w:hint="eastAsia" w:ascii="宋体" w:hAnsi="宋体" w:eastAsia="宋体" w:cs="宋体"/>
                <w:b w:val="0"/>
                <w:bCs w:val="0"/>
                <w:color w:val="000000" w:themeColor="text1"/>
                <w:sz w:val="24"/>
                <w:szCs w:val="24"/>
                <w14:textFill>
                  <w14:solidFill>
                    <w14:schemeClr w14:val="tx1"/>
                  </w14:solidFill>
                </w14:textFill>
              </w:rPr>
              <w:t>份，副本</w:t>
            </w:r>
            <w:r>
              <w:rPr>
                <w:rFonts w:hint="eastAsia" w:ascii="宋体" w:hAnsi="宋体" w:eastAsia="宋体" w:cs="宋体"/>
                <w:b w:val="0"/>
                <w:bCs w:val="0"/>
                <w:color w:val="000000" w:themeColor="text1"/>
                <w:sz w:val="24"/>
                <w:szCs w:val="24"/>
                <w:lang w:val="en-US" w:eastAsia="zh-CN"/>
                <w14:textFill>
                  <w14:solidFill>
                    <w14:schemeClr w14:val="tx1"/>
                  </w14:solidFill>
                </w14:textFill>
              </w:rPr>
              <w:t>贰</w:t>
            </w:r>
            <w:r>
              <w:rPr>
                <w:rFonts w:hint="eastAsia" w:ascii="宋体" w:hAnsi="宋体" w:eastAsia="宋体" w:cs="宋体"/>
                <w:b w:val="0"/>
                <w:bCs w:val="0"/>
                <w:color w:val="000000" w:themeColor="text1"/>
                <w:sz w:val="24"/>
                <w:szCs w:val="24"/>
                <w14:textFill>
                  <w14:solidFill>
                    <w14:schemeClr w14:val="tx1"/>
                  </w14:solidFill>
                </w14:textFill>
              </w:rPr>
              <w:t>份，</w:t>
            </w:r>
            <w:r>
              <w:rPr>
                <w:rFonts w:hint="eastAsia" w:ascii="宋体" w:hAnsi="宋体" w:eastAsia="宋体" w:cs="宋体"/>
                <w:b w:val="0"/>
                <w:bCs w:val="0"/>
                <w:color w:val="000000" w:themeColor="text1"/>
                <w:sz w:val="24"/>
                <w:szCs w:val="24"/>
                <w:lang w:eastAsia="zh-CN"/>
                <w14:textFill>
                  <w14:solidFill>
                    <w14:schemeClr w14:val="tx1"/>
                  </w14:solidFill>
                </w14:textFill>
              </w:rPr>
              <w:t>提交电子版Word及加盖公章PDF文档各一份（U盘）</w:t>
            </w:r>
            <w:r>
              <w:rPr>
                <w:rFonts w:hint="eastAsia" w:ascii="宋体" w:hAnsi="宋体" w:eastAsia="宋体" w:cs="宋体"/>
                <w:b w:val="0"/>
                <w:bCs w:val="0"/>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default"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10</w:t>
            </w:r>
          </w:p>
        </w:tc>
        <w:tc>
          <w:tcPr>
            <w:tcW w:w="8051" w:type="dxa"/>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bookmarkStart w:id="58" w:name="_GoBack"/>
            <w:r>
              <w:rPr>
                <w:rFonts w:hint="eastAsia" w:ascii="宋体" w:hAnsi="宋体" w:eastAsia="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响应文件递交</w:t>
            </w: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lang w:eastAsia="zh-CN"/>
                <w14:textFill>
                  <w14:solidFill>
                    <w14:schemeClr w14:val="tx1"/>
                  </w14:solidFill>
                </w14:textFill>
              </w:rPr>
              <w:t>：</w:t>
            </w:r>
            <w:bookmarkEnd w:id="58"/>
            <w:r>
              <w:rPr>
                <w:rFonts w:hint="eastAsia" w:ascii="宋体" w:hAnsi="宋体" w:cs="宋体"/>
                <w:color w:val="000000" w:themeColor="text1"/>
                <w:kern w:val="0"/>
                <w:sz w:val="24"/>
                <w:u w:val="none"/>
                <w:lang w:val="en-US" w:eastAsia="zh-CN"/>
                <w14:textFill>
                  <w14:solidFill>
                    <w14:schemeClr w14:val="tx1"/>
                  </w14:solidFill>
                </w14:textFill>
              </w:rPr>
              <w:t>2022年12月02日09:00点</w:t>
            </w:r>
            <w:r>
              <w:rPr>
                <w:rFonts w:hint="eastAsia" w:ascii="宋体" w:hAnsi="宋体" w:eastAsia="宋体" w:cs="宋体"/>
                <w:color w:val="000000" w:themeColor="text1"/>
                <w:sz w:val="24"/>
                <w:szCs w:val="24"/>
                <w:u w:val="none"/>
                <w:lang w:eastAsia="zh-CN"/>
                <w14:textFill>
                  <w14:solidFill>
                    <w14:schemeClr w14:val="tx1"/>
                  </w14:solidFill>
                </w14:textFill>
              </w:rPr>
              <w:t>整</w:t>
            </w:r>
          </w:p>
          <w:p>
            <w:pPr>
              <w:pStyle w:val="45"/>
              <w:spacing w:line="360" w:lineRule="auto"/>
              <w:rPr>
                <w:rFonts w:hint="default" w:ascii="宋体" w:hAnsi="宋体" w:eastAsia="宋体" w:cs="宋体"/>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陕西省安康市汉滨区兴安中路61号 宜尚酒店(安康兴安中路店)5楼会议室</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8"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w:t>
            </w:r>
          </w:p>
        </w:tc>
        <w:tc>
          <w:tcPr>
            <w:tcW w:w="8051" w:type="dxa"/>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cs="宋体"/>
                <w:color w:val="000000" w:themeColor="text1"/>
                <w:kern w:val="0"/>
                <w:sz w:val="24"/>
                <w:u w:val="none"/>
                <w:lang w:val="en-US" w:eastAsia="zh-CN"/>
                <w14:textFill>
                  <w14:solidFill>
                    <w14:schemeClr w14:val="tx1"/>
                  </w14:solidFill>
                </w14:textFill>
              </w:rPr>
              <w:t>2022年12月02日09:00点</w:t>
            </w:r>
            <w:r>
              <w:rPr>
                <w:rFonts w:hint="eastAsia" w:ascii="宋体" w:hAnsi="宋体" w:eastAsia="宋体" w:cs="宋体"/>
                <w:color w:val="000000" w:themeColor="text1"/>
                <w:sz w:val="24"/>
                <w:szCs w:val="24"/>
                <w:u w:val="none"/>
                <w:lang w:eastAsia="zh-CN"/>
                <w14:textFill>
                  <w14:solidFill>
                    <w14:schemeClr w14:val="tx1"/>
                  </w14:solidFill>
                </w14:textFill>
              </w:rPr>
              <w:t>整</w:t>
            </w:r>
          </w:p>
          <w:p>
            <w:pPr>
              <w:pStyle w:val="45"/>
              <w:spacing w:line="360" w:lineRule="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陕西省安康市汉滨区兴安中路61号 宜尚酒店(安康兴安中路店)5楼会议室</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jc w:val="center"/>
        </w:trPr>
        <w:tc>
          <w:tcPr>
            <w:tcW w:w="842" w:type="dxa"/>
            <w:tcBorders>
              <w:top w:val="single" w:color="auto" w:sz="6" w:space="0"/>
              <w:bottom w:val="single" w:color="auto" w:sz="4" w:space="0"/>
            </w:tcBorders>
            <w:noWrap w:val="0"/>
            <w:vAlign w:val="center"/>
          </w:tcPr>
          <w:p>
            <w:pPr>
              <w:spacing w:line="400" w:lineRule="exact"/>
              <w:jc w:val="center"/>
              <w:outlineLvl w:val="9"/>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w:t>
            </w:r>
          </w:p>
        </w:tc>
        <w:tc>
          <w:tcPr>
            <w:tcW w:w="8051" w:type="dxa"/>
            <w:tcBorders>
              <w:top w:val="single" w:color="auto" w:sz="6" w:space="0"/>
              <w:bottom w:val="single" w:color="auto" w:sz="4" w:space="0"/>
            </w:tcBorders>
            <w:noWrap w:val="0"/>
            <w:vAlign w:val="center"/>
          </w:tcPr>
          <w:p>
            <w:pPr>
              <w:spacing w:line="360" w:lineRule="auto"/>
              <w:jc w:val="both"/>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成交服务费账户：</w:t>
            </w:r>
          </w:p>
          <w:p>
            <w:pPr>
              <w:spacing w:line="360" w:lineRule="auto"/>
              <w:jc w:val="both"/>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开户名称：陕西德信招标有限公司</w:t>
            </w:r>
          </w:p>
          <w:p>
            <w:pPr>
              <w:spacing w:line="360" w:lineRule="auto"/>
              <w:jc w:val="both"/>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开户行名称：西安银行东二环南段支行</w:t>
            </w:r>
          </w:p>
          <w:p>
            <w:pPr>
              <w:spacing w:line="360" w:lineRule="auto"/>
              <w:jc w:val="both"/>
              <w:outlineLvl w:val="9"/>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账 号： 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7" w:hRule="atLeast"/>
          <w:jc w:val="center"/>
        </w:trPr>
        <w:tc>
          <w:tcPr>
            <w:tcW w:w="842" w:type="dxa"/>
            <w:tcBorders>
              <w:top w:val="single" w:color="auto" w:sz="4" w:space="0"/>
            </w:tcBorders>
            <w:noWrap w:val="0"/>
            <w:vAlign w:val="center"/>
          </w:tcPr>
          <w:p>
            <w:pPr>
              <w:spacing w:line="400" w:lineRule="exact"/>
              <w:jc w:val="center"/>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w:t>
            </w:r>
          </w:p>
        </w:tc>
        <w:tc>
          <w:tcPr>
            <w:tcW w:w="8051" w:type="dxa"/>
            <w:tcBorders>
              <w:top w:val="single" w:color="auto" w:sz="4" w:space="0"/>
            </w:tcBorders>
            <w:noWrap w:val="0"/>
            <w:vAlign w:val="center"/>
          </w:tcPr>
          <w:p>
            <w:pPr>
              <w:pStyle w:val="95"/>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
                <w:color w:val="auto"/>
                <w:sz w:val="24"/>
                <w:szCs w:val="24"/>
                <w:lang w:val="en-US" w:bidi="ar-SA"/>
              </w:rPr>
              <w:t>供应商注册登记提醒</w:t>
            </w:r>
            <w:r>
              <w:rPr>
                <w:rFonts w:hint="eastAsia" w:ascii="宋体" w:hAnsi="宋体" w:eastAsia="宋体" w:cs="宋体"/>
                <w:bCs/>
                <w:color w:val="auto"/>
                <w:sz w:val="24"/>
                <w:szCs w:val="24"/>
                <w:lang w:val="en-US" w:eastAsia="zh-CN" w:bidi="ar-SA"/>
              </w:rPr>
              <w:t>：</w:t>
            </w:r>
          </w:p>
          <w:p>
            <w:pPr>
              <w:keepNext w:val="0"/>
              <w:keepLines w:val="0"/>
              <w:pageBreakBefore w:val="0"/>
              <w:tabs>
                <w:tab w:val="left" w:pos="360"/>
              </w:tabs>
              <w:kinsoku/>
              <w:topLinePunct w:val="0"/>
              <w:autoSpaceDE/>
              <w:autoSpaceDN/>
              <w:bidi w:val="0"/>
              <w:spacing w:line="360" w:lineRule="auto"/>
              <w:ind w:firstLine="480" w:firstLineChars="200"/>
              <w:jc w:val="left"/>
              <w:textAlignment w:val="auto"/>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auto"/>
                <w:sz w:val="24"/>
                <w:szCs w:val="24"/>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\h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val="en-US" w:bidi="ar-SA"/>
              </w:rPr>
              <w:t>http</w:t>
            </w:r>
            <w:r>
              <w:rPr>
                <w:rFonts w:hint="eastAsia" w:ascii="宋体" w:hAnsi="宋体" w:eastAsia="宋体" w:cs="宋体"/>
                <w:bCs/>
                <w:color w:val="auto"/>
                <w:sz w:val="24"/>
                <w:szCs w:val="24"/>
                <w:lang w:val="en-US" w:eastAsia="zh-CN" w:bidi="ar-SA"/>
              </w:rPr>
              <w:t>：</w:t>
            </w:r>
            <w:r>
              <w:rPr>
                <w:rFonts w:hint="eastAsia" w:ascii="宋体" w:hAnsi="宋体" w:eastAsia="宋体" w:cs="宋体"/>
                <w:bCs/>
                <w:color w:val="auto"/>
                <w:sz w:val="24"/>
                <w:szCs w:val="24"/>
                <w:lang w:val="en-US" w:bidi="ar-SA"/>
              </w:rPr>
              <w:t>//www.ccgp-shaanxi.gov.cn/</w:t>
            </w:r>
            <w:r>
              <w:rPr>
                <w:rFonts w:hint="eastAsia" w:ascii="宋体" w:hAnsi="宋体" w:eastAsia="宋体" w:cs="宋体"/>
                <w:bCs/>
                <w:color w:val="auto"/>
                <w:sz w:val="24"/>
                <w:szCs w:val="24"/>
                <w:lang w:val="en-US" w:bidi="ar-SA"/>
              </w:rPr>
              <w:fldChar w:fldCharType="end"/>
            </w:r>
            <w:r>
              <w:rPr>
                <w:rFonts w:hint="eastAsia" w:ascii="宋体" w:hAnsi="宋体" w:eastAsia="宋体" w:cs="宋体"/>
                <w:bCs/>
                <w:color w:val="auto"/>
                <w:sz w:val="24"/>
                <w:szCs w:val="24"/>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7" w:hRule="atLeast"/>
          <w:jc w:val="center"/>
        </w:trPr>
        <w:tc>
          <w:tcPr>
            <w:tcW w:w="842" w:type="dxa"/>
            <w:tcBorders>
              <w:top w:val="single" w:color="auto" w:sz="4" w:space="0"/>
            </w:tcBorders>
            <w:noWrap w:val="0"/>
            <w:vAlign w:val="center"/>
          </w:tcPr>
          <w:p>
            <w:pPr>
              <w:spacing w:line="400" w:lineRule="exact"/>
              <w:jc w:val="center"/>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w:t>
            </w:r>
          </w:p>
        </w:tc>
        <w:tc>
          <w:tcPr>
            <w:tcW w:w="8051"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80" w:firstLineChars="200"/>
              <w:jc w:val="left"/>
              <w:textAlignment w:val="auto"/>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auto"/>
                <w:sz w:val="24"/>
                <w:szCs w:val="24"/>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查询供应商信用是否合格并记录，将查询网页、内容截图或拍照，留档保存。次查询信息仅作为本项目使用。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1" w:hRule="atLeast"/>
          <w:jc w:val="center"/>
        </w:trPr>
        <w:tc>
          <w:tcPr>
            <w:tcW w:w="842" w:type="dxa"/>
            <w:tcBorders>
              <w:top w:val="single" w:color="auto" w:sz="4" w:space="0"/>
            </w:tcBorders>
            <w:noWrap w:val="0"/>
            <w:vAlign w:val="center"/>
          </w:tcPr>
          <w:p>
            <w:pPr>
              <w:spacing w:line="400" w:lineRule="exact"/>
              <w:jc w:val="center"/>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8051" w:type="dxa"/>
            <w:tcBorders>
              <w:top w:val="single" w:color="auto" w:sz="4" w:space="0"/>
            </w:tcBorders>
            <w:noWrap w:val="0"/>
            <w:vAlign w:val="center"/>
          </w:tcPr>
          <w:p>
            <w:pPr>
              <w:spacing w:line="360" w:lineRule="auto"/>
              <w:ind w:firstLine="482" w:firstLineChars="200"/>
              <w:jc w:val="both"/>
              <w:outlineLvl w:val="9"/>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供应商如放弃本项目投标，应在递交谈判响应文件截止时间前一日以电子邮件形式发送至1030410958@qq.com告知采购代理机构，否则采购代理机构可向财政部门反映情况并提供相应佐证。供应商一年内累计出现三次该情形，将被监管部门记录为失信行为。</w:t>
            </w:r>
          </w:p>
        </w:tc>
      </w:tr>
    </w:tbl>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spacing w:line="360" w:lineRule="auto"/>
        <w:jc w:val="center"/>
        <w:outlineLvl w:val="9"/>
        <w:rPr>
          <w:rFonts w:hint="eastAsia" w:ascii="宋体" w:hAnsi="宋体" w:eastAsia="宋体" w:cs="宋体"/>
          <w:b/>
          <w:bCs/>
          <w:color w:val="auto"/>
          <w:kern w:val="2"/>
          <w:sz w:val="28"/>
          <w:szCs w:val="30"/>
          <w:lang w:val="en-US" w:eastAsia="zh-CN" w:bidi="ar-SA"/>
        </w:rPr>
      </w:pPr>
      <w:r>
        <w:rPr>
          <w:rFonts w:hint="eastAsia" w:ascii="宋体" w:hAnsi="宋体" w:eastAsia="宋体" w:cs="宋体"/>
          <w:color w:val="auto"/>
          <w:sz w:val="32"/>
          <w:szCs w:val="32"/>
          <w:lang w:eastAsia="zh-CN"/>
        </w:rPr>
        <w:t>二</w:t>
      </w:r>
      <w:r>
        <w:rPr>
          <w:rFonts w:hint="eastAsia" w:ascii="宋体" w:hAnsi="宋体" w:eastAsia="宋体" w:cs="宋体"/>
          <w:b/>
          <w:bCs/>
          <w:color w:val="auto"/>
          <w:kern w:val="2"/>
          <w:sz w:val="28"/>
          <w:szCs w:val="30"/>
          <w:lang w:val="en-US" w:eastAsia="zh-CN" w:bidi="ar-SA"/>
        </w:rPr>
        <w:t>、供应商须知</w:t>
      </w:r>
    </w:p>
    <w:p>
      <w:pPr>
        <w:snapToGrid w:val="0"/>
        <w:spacing w:before="0" w:after="0" w:line="360" w:lineRule="auto"/>
        <w:jc w:val="both"/>
        <w:outlineLvl w:val="9"/>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（一）说  明</w:t>
      </w:r>
      <w:bookmarkEnd w:id="12"/>
      <w:bookmarkEnd w:id="13"/>
    </w:p>
    <w:p>
      <w:pPr>
        <w:snapToGrid w:val="0"/>
        <w:spacing w:before="0" w:after="0" w:line="360" w:lineRule="auto"/>
        <w:jc w:val="both"/>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1、定义</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1.1“买方”系指安康市中心血站。</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1.2“供应商”系指向买方提交单一来源谈判响应文件的投标商。</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1.3“招标代理机构”系指陕西德信招标有限公司。</w:t>
      </w:r>
    </w:p>
    <w:p>
      <w:pPr>
        <w:widowControl/>
        <w:spacing w:line="360" w:lineRule="auto"/>
        <w:ind w:firstLine="681" w:firstLineChars="284"/>
        <w:jc w:val="left"/>
        <w:outlineLvl w:val="9"/>
        <w:rPr>
          <w:rFonts w:hint="eastAsia" w:ascii="宋体" w:hAnsi="宋体" w:cs="宋体"/>
          <w:color w:val="000000" w:themeColor="text1"/>
          <w:kern w:val="1"/>
          <w:sz w:val="24"/>
          <w14:textFill>
            <w14:solidFill>
              <w14:schemeClr w14:val="tx1"/>
            </w14:solidFill>
          </w14:textFill>
        </w:rPr>
      </w:pPr>
      <w:r>
        <w:rPr>
          <w:rFonts w:hint="eastAsia" w:ascii="新宋体" w:hAnsi="新宋体" w:eastAsia="新宋体" w:cs="宋体"/>
          <w:color w:val="000000" w:themeColor="text1"/>
          <w:kern w:val="0"/>
          <w:sz w:val="24"/>
          <w:lang w:val="en-US" w:eastAsia="zh-CN"/>
          <w14:textFill>
            <w14:solidFill>
              <w14:schemeClr w14:val="tx1"/>
            </w14:solidFill>
          </w14:textFill>
        </w:rPr>
        <w:t>1.4</w:t>
      </w:r>
      <w:r>
        <w:rPr>
          <w:rFonts w:hint="eastAsia" w:ascii="宋体" w:hAnsi="宋体" w:cs="宋体"/>
          <w:color w:val="000000" w:themeColor="text1"/>
          <w:kern w:val="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监督管理机构”系指</w:t>
      </w:r>
      <w:r>
        <w:rPr>
          <w:rFonts w:hint="eastAsia" w:ascii="宋体" w:hAnsi="宋体" w:cs="宋体"/>
          <w:color w:val="000000" w:themeColor="text1"/>
          <w:sz w:val="24"/>
          <w:lang w:val="en-US" w:eastAsia="zh-CN"/>
          <w14:textFill>
            <w14:solidFill>
              <w14:schemeClr w14:val="tx1"/>
            </w14:solidFill>
          </w14:textFill>
        </w:rPr>
        <w:t>安康市财政局</w:t>
      </w:r>
      <w:r>
        <w:rPr>
          <w:rFonts w:hint="eastAsia" w:ascii="宋体" w:hAnsi="宋体" w:cs="宋体"/>
          <w:color w:val="000000" w:themeColor="text1"/>
          <w:sz w:val="24"/>
          <w14:textFill>
            <w14:solidFill>
              <w14:schemeClr w14:val="tx1"/>
            </w14:solidFill>
          </w14:textFill>
        </w:rPr>
        <w:t>。</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1.5 “服务”指投标人成交后根据招标文件和合同的规定承担与供货、安装有关的服务，包括运输、仓储、保险以及其它的伴随服务，如售后、维修、更换和应承担的其它义务。</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1.6“货物”系指卖方按合同要求，向买方提供的一切货物及有关资料和材料。</w:t>
      </w:r>
    </w:p>
    <w:p>
      <w:pPr>
        <w:widowControl/>
        <w:spacing w:line="360" w:lineRule="auto"/>
        <w:ind w:firstLine="681" w:firstLineChars="284"/>
        <w:jc w:val="left"/>
        <w:outlineLvl w:val="9"/>
        <w:rPr>
          <w:rFonts w:hint="eastAsia" w:ascii="新宋体" w:hAnsi="新宋体" w:eastAsia="新宋体" w:cs="宋体"/>
          <w:color w:val="auto"/>
          <w:kern w:val="0"/>
          <w:sz w:val="24"/>
          <w:lang w:val="en-US" w:eastAsia="zh-CN"/>
        </w:rPr>
      </w:pPr>
      <w:r>
        <w:rPr>
          <w:rFonts w:hint="eastAsia" w:ascii="新宋体" w:hAnsi="新宋体" w:eastAsia="新宋体" w:cs="宋体"/>
          <w:color w:val="auto"/>
          <w:kern w:val="0"/>
          <w:sz w:val="24"/>
          <w:lang w:val="en-US" w:eastAsia="zh-CN"/>
        </w:rPr>
        <w:t>1.7 “卖方”系指提供合同服务的法人或自然人或非法人组织。</w:t>
      </w:r>
    </w:p>
    <w:p>
      <w:pPr>
        <w:widowControl/>
        <w:spacing w:line="360" w:lineRule="auto"/>
        <w:jc w:val="left"/>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2、合格的供应商</w:t>
      </w:r>
    </w:p>
    <w:p>
      <w:pPr>
        <w:widowControl/>
        <w:spacing w:line="360" w:lineRule="auto"/>
        <w:ind w:firstLine="441" w:firstLineChars="184"/>
        <w:jc w:val="left"/>
        <w:rPr>
          <w:rFonts w:hint="eastAsia" w:ascii="宋体" w:hAnsi="宋体" w:cs="宋体" w:eastAsiaTheme="minorEastAsia"/>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w:t>
      </w:r>
      <w:r>
        <w:rPr>
          <w:rFonts w:hint="eastAsia" w:ascii="宋体" w:hAnsi="宋体" w:cs="宋体"/>
          <w:kern w:val="0"/>
          <w:sz w:val="24"/>
          <w:szCs w:val="22"/>
          <w:lang w:val="en-US" w:eastAsia="zh-CN"/>
        </w:rPr>
        <w:t>经审计的</w:t>
      </w:r>
      <w:r>
        <w:rPr>
          <w:rFonts w:hint="eastAsia" w:ascii="宋体" w:hAnsi="宋体" w:cs="宋体"/>
          <w:kern w:val="0"/>
          <w:sz w:val="24"/>
          <w:szCs w:val="22"/>
          <w:u w:val="none"/>
        </w:rPr>
        <w:t>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pStyle w:val="2"/>
        <w:numPr>
          <w:ilvl w:val="0"/>
          <w:numId w:val="0"/>
        </w:numPr>
        <w:spacing w:line="360" w:lineRule="auto"/>
        <w:ind w:firstLine="480" w:firstLineChars="200"/>
        <w:rPr>
          <w:rFonts w:hint="eastAsia" w:ascii="新宋体" w:hAnsi="新宋体" w:eastAsia="新宋体" w:cs="宋体"/>
          <w:color w:val="FF0000"/>
          <w:kern w:val="0"/>
          <w:sz w:val="24"/>
          <w:szCs w:val="24"/>
          <w:lang w:val="en-US" w:eastAsia="zh-CN" w:bidi="ar-SA"/>
        </w:rPr>
      </w:pPr>
      <w:r>
        <w:rPr>
          <w:rFonts w:hint="eastAsia" w:ascii="宋体" w:hAnsi="宋体" w:cs="宋体" w:eastAsiaTheme="minorEastAsia"/>
          <w:kern w:val="0"/>
          <w:sz w:val="24"/>
          <w:szCs w:val="22"/>
          <w:lang w:val="en-US" w:eastAsia="zh-CN" w:bidi="ar-SA"/>
        </w:rPr>
        <w:t>6、</w:t>
      </w:r>
      <w:r>
        <w:rPr>
          <w:rFonts w:hint="default" w:ascii="宋体" w:hAnsi="宋体" w:cs="宋体"/>
          <w:color w:val="auto"/>
          <w:sz w:val="24"/>
          <w:lang w:val="en-US" w:eastAsia="zh-CN"/>
        </w:rPr>
        <w:t>投标人为生产厂家的须提供医疗器械生产许可证（进口产品除外）；投标人为代理商的根据所投产品类别还需提供第二类医疗器械备案凭证或第三类医疗器械经营许可证；</w:t>
      </w:r>
    </w:p>
    <w:p>
      <w:pPr>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7、投标供应商必须执行医用耗材“两票制”，并提供执行两票制承诺书。</w:t>
      </w:r>
    </w:p>
    <w:p>
      <w:pPr>
        <w:pStyle w:val="45"/>
        <w:rPr>
          <w:rFonts w:hint="eastAsia"/>
          <w:color w:val="FF0000"/>
          <w:lang w:eastAsia="zh-CN"/>
        </w:rPr>
      </w:pP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8</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color w:val="auto"/>
          <w:kern w:val="0"/>
          <w:sz w:val="24"/>
          <w:szCs w:val="24"/>
        </w:rPr>
      </w:pP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jc w:val="left"/>
        <w:outlineLvl w:val="9"/>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3、投标费用</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3.1供应商应承担所有与编写和提交</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有关的费用，不论投标的结果如何，招标代理机构和买方在任何情况下均无义务和责任承担这些费用。</w:t>
      </w:r>
    </w:p>
    <w:p>
      <w:pPr>
        <w:snapToGrid w:val="0"/>
        <w:spacing w:before="0" w:after="0" w:line="360" w:lineRule="auto"/>
        <w:jc w:val="both"/>
        <w:outlineLvl w:val="9"/>
        <w:rPr>
          <w:rFonts w:ascii="宋体" w:hAnsi="宋体"/>
          <w:b/>
          <w:bCs/>
          <w:color w:val="auto"/>
          <w:sz w:val="28"/>
          <w:szCs w:val="28"/>
        </w:rPr>
      </w:pPr>
      <w:bookmarkStart w:id="14" w:name="_Toc369274606"/>
      <w:bookmarkStart w:id="15" w:name="_Toc409627232"/>
      <w:r>
        <w:rPr>
          <w:rFonts w:hint="eastAsia" w:ascii="宋体" w:hAnsi="宋体"/>
          <w:b/>
          <w:bCs/>
          <w:color w:val="auto"/>
          <w:sz w:val="28"/>
          <w:szCs w:val="28"/>
        </w:rPr>
        <w:t>（二）</w:t>
      </w:r>
      <w:bookmarkEnd w:id="14"/>
      <w:bookmarkEnd w:id="15"/>
      <w:r>
        <w:rPr>
          <w:rFonts w:hint="eastAsia" w:ascii="宋体" w:hAnsi="宋体"/>
          <w:b/>
          <w:bCs/>
          <w:color w:val="auto"/>
          <w:sz w:val="28"/>
          <w:szCs w:val="28"/>
          <w:lang w:eastAsia="zh-CN"/>
        </w:rPr>
        <w:t>单一来源谈判文件</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构成</w:t>
      </w:r>
    </w:p>
    <w:p>
      <w:pPr>
        <w:spacing w:line="360" w:lineRule="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包括</w:t>
      </w:r>
      <w:r>
        <w:rPr>
          <w:rFonts w:hint="eastAsia" w:ascii="宋体" w:hAnsi="宋体" w:eastAsia="宋体" w:cs="宋体"/>
          <w:color w:val="auto"/>
          <w:kern w:val="0"/>
          <w:sz w:val="24"/>
          <w:szCs w:val="24"/>
          <w:lang w:eastAsia="zh-CN"/>
        </w:rPr>
        <w:t>：</w:t>
      </w:r>
    </w:p>
    <w:p>
      <w:pPr>
        <w:spacing w:line="360" w:lineRule="auto"/>
        <w:ind w:firstLine="600" w:firstLineChars="25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单一来源采购邀请函</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(2)供应商须知及前附表</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商务部分</w:t>
      </w:r>
      <w:r>
        <w:rPr>
          <w:rFonts w:hint="eastAsia" w:ascii="宋体" w:hAnsi="宋体" w:eastAsia="宋体" w:cs="宋体"/>
          <w:color w:val="auto"/>
          <w:kern w:val="0"/>
          <w:sz w:val="24"/>
          <w:szCs w:val="24"/>
          <w:lang w:val="en-US" w:eastAsia="zh-CN"/>
        </w:rPr>
        <w:t>(合同条款及合同格式）</w:t>
      </w:r>
    </w:p>
    <w:p>
      <w:pPr>
        <w:spacing w:line="360" w:lineRule="auto"/>
        <w:ind w:firstLine="600" w:firstLineChars="25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采购需求（采购内容及要求）</w:t>
      </w:r>
    </w:p>
    <w:p>
      <w:pPr>
        <w:spacing w:line="360" w:lineRule="auto"/>
        <w:ind w:firstLine="600" w:firstLineChars="250"/>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eastAsia="zh-CN"/>
        </w:rPr>
        <w:t>单一来源谈判响应文件格式</w:t>
      </w:r>
    </w:p>
    <w:p>
      <w:pPr>
        <w:spacing w:line="360" w:lineRule="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.2  供应商应仔细阅读</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中的所有内容。如果供应商未按</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要求提供全部资料或提交的</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没有对</w:t>
      </w:r>
      <w:r>
        <w:rPr>
          <w:rFonts w:hint="eastAsia" w:ascii="宋体" w:hAnsi="宋体" w:eastAsia="宋体" w:cs="宋体"/>
          <w:color w:val="auto"/>
          <w:kern w:val="0"/>
          <w:sz w:val="24"/>
          <w:szCs w:val="24"/>
          <w:lang w:eastAsia="zh-CN"/>
        </w:rPr>
        <w:t>单一来源谈判文件</w:t>
      </w:r>
      <w:r>
        <w:rPr>
          <w:rFonts w:hint="eastAsia" w:ascii="宋体" w:hAnsi="宋体" w:eastAsia="宋体" w:cs="宋体"/>
          <w:color w:val="auto"/>
          <w:kern w:val="0"/>
          <w:sz w:val="24"/>
          <w:szCs w:val="24"/>
        </w:rPr>
        <w:t>做出实质性响应，那么供应商将承担其风险，并有可能导致</w:t>
      </w:r>
      <w:r>
        <w:rPr>
          <w:rFonts w:hint="eastAsia" w:ascii="宋体" w:hAnsi="宋体" w:eastAsia="宋体" w:cs="宋体"/>
          <w:color w:val="auto"/>
          <w:kern w:val="0"/>
          <w:sz w:val="24"/>
          <w:szCs w:val="24"/>
          <w:lang w:eastAsia="zh-CN"/>
        </w:rPr>
        <w:t>单一来源谈判响应文件</w:t>
      </w:r>
      <w:r>
        <w:rPr>
          <w:rFonts w:hint="eastAsia" w:ascii="宋体" w:hAnsi="宋体" w:eastAsia="宋体" w:cs="宋体"/>
          <w:color w:val="auto"/>
          <w:kern w:val="0"/>
          <w:sz w:val="24"/>
          <w:szCs w:val="24"/>
        </w:rPr>
        <w:t>被拒绝。</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的澄清</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任何要求对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进行澄清的供应商，均应在投标截止日期三天前按招标代理机构的通讯地址以书面形式如信函、电报、电传、传真等通知招标代理机构，招标代理机构对投标截止日期前三天收到的任何澄清要求将以书面形式予以答复，同时将书面答复寄送每个购买</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的供应商，答复中包括所问问题，但不包括问题的来源。</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单一来源谈判文件</w:t>
      </w:r>
      <w:r>
        <w:rPr>
          <w:rFonts w:hint="eastAsia" w:ascii="宋体" w:hAnsi="宋体" w:eastAsia="宋体" w:cs="宋体"/>
          <w:b/>
          <w:bCs/>
          <w:color w:val="auto"/>
          <w:sz w:val="24"/>
          <w:szCs w:val="24"/>
        </w:rPr>
        <w:t>的修改</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在投标截止期前的任何时候，无论出于何种原因，招标代理机构可主动地或在解答供应商提出的澄清问题时对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进行修改。</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的修改将以书面形式包括传真和电传，通知所有购买</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的供应商，并对其具有约束力，供应商应立即以电报、电传、传真形式确认已收到修改文件。</w:t>
      </w:r>
    </w:p>
    <w:p>
      <w:pPr>
        <w:spacing w:line="360" w:lineRule="auto"/>
        <w:ind w:firstLine="560"/>
        <w:outlineLvl w:val="9"/>
        <w:rPr>
          <w:rFonts w:hint="eastAsia" w:ascii="宋体" w:hAnsi="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为使供应商编写投标书时有充分时间对</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的修改部分进行研究，招标代理机构可酌情延长投标截止日期，并通知每一个供应商。</w:t>
      </w:r>
      <w:bookmarkStart w:id="16" w:name="_Toc369274607"/>
      <w:bookmarkStart w:id="17" w:name="_Toc409627233"/>
    </w:p>
    <w:p>
      <w:pPr>
        <w:snapToGrid w:val="0"/>
        <w:spacing w:before="0" w:after="0" w:line="360" w:lineRule="auto"/>
        <w:jc w:val="both"/>
        <w:outlineLvl w:val="9"/>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（三）</w:t>
      </w:r>
      <w:r>
        <w:rPr>
          <w:rFonts w:hint="eastAsia" w:ascii="宋体" w:hAnsi="宋体" w:eastAsia="宋体" w:cs="宋体"/>
          <w:b/>
          <w:bCs/>
          <w:color w:val="auto"/>
          <w:sz w:val="24"/>
          <w:szCs w:val="24"/>
          <w:lang w:eastAsia="zh-CN"/>
        </w:rPr>
        <w:t>单一来源谈判响应文件</w:t>
      </w:r>
      <w:r>
        <w:rPr>
          <w:rFonts w:hint="eastAsia" w:ascii="宋体" w:hAnsi="宋体" w:eastAsia="宋体" w:cs="宋体"/>
          <w:b/>
          <w:bCs/>
          <w:color w:val="auto"/>
          <w:sz w:val="24"/>
          <w:szCs w:val="24"/>
        </w:rPr>
        <w:t>的编制</w:t>
      </w:r>
      <w:bookmarkEnd w:id="16"/>
      <w:bookmarkEnd w:id="17"/>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、投标的语言及度量衡</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供应商提交的</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以及供应商和招标代理机构就投标交换的文件和来往信件均应使用中文。</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除在技术文件中另有规定外，度量衡单位应使用公制单位。</w:t>
      </w:r>
    </w:p>
    <w:p>
      <w:pPr>
        <w:spacing w:line="360" w:lineRule="auto"/>
        <w:outlineLvl w:val="1"/>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2、单一来源谈判响应文件的组成</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2.1供应商编写的单一来源谈判响应文件应包括(但不限于)下列部分：</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投标函；</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投标报价表；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投标报价明细表；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商务条款偏离表；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技术规格偏离表；</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法定代表人证明书或授权书；</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资格证明文件；</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参加政府采购活动前三年内，在经营活动中没有重大违法记录书面声明；</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陕西省政府采购供应商拒绝政府采购领域商业贿赂承诺书；</w:t>
      </w:r>
    </w:p>
    <w:p>
      <w:pPr>
        <w:numPr>
          <w:ilvl w:val="0"/>
          <w:numId w:val="2"/>
        </w:numPr>
        <w:spacing w:line="360" w:lineRule="auto"/>
        <w:ind w:left="425" w:leftChars="0" w:hanging="5" w:firstLineChars="0"/>
        <w:rPr>
          <w:rFonts w:hint="eastAsia" w:ascii="宋体" w:hAnsi="宋体" w:cs="宋体"/>
          <w:sz w:val="24"/>
          <w:lang w:eastAsia="zh-CN"/>
        </w:rPr>
      </w:pPr>
      <w:r>
        <w:rPr>
          <w:rFonts w:hint="eastAsia" w:ascii="宋体" w:hAnsi="宋体" w:cs="宋体"/>
          <w:sz w:val="24"/>
          <w:lang w:eastAsia="zh-CN"/>
        </w:rPr>
        <w:t>项目业绩表；</w:t>
      </w:r>
    </w:p>
    <w:p>
      <w:pPr>
        <w:pStyle w:val="45"/>
        <w:numPr>
          <w:ilvl w:val="0"/>
          <w:numId w:val="0"/>
        </w:numPr>
        <w:spacing w:line="360" w:lineRule="auto"/>
        <w:ind w:left="240" w:leftChars="0"/>
        <w:rPr>
          <w:rFonts w:hint="eastAsia" w:ascii="宋体" w:hAnsi="宋体" w:cs="宋体"/>
          <w:sz w:val="24"/>
          <w:lang w:val="en-US" w:eastAsia="zh-CN"/>
        </w:rPr>
      </w:pPr>
      <w:r>
        <w:rPr>
          <w:rFonts w:hint="eastAsia" w:ascii="宋体" w:hAnsi="宋体" w:cs="宋体"/>
          <w:sz w:val="24"/>
          <w:lang w:val="en-US" w:eastAsia="zh-CN"/>
        </w:rPr>
        <w:t>（12）售后服务承诺</w:t>
      </w:r>
    </w:p>
    <w:p>
      <w:pPr>
        <w:numPr>
          <w:ilvl w:val="0"/>
          <w:numId w:val="0"/>
        </w:numPr>
        <w:spacing w:line="360" w:lineRule="auto"/>
        <w:ind w:firstLine="240" w:firstLineChars="1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其他证明材料；</w:t>
      </w:r>
    </w:p>
    <w:p>
      <w:pPr>
        <w:numPr>
          <w:ilvl w:val="0"/>
          <w:numId w:val="0"/>
        </w:numPr>
        <w:spacing w:line="360" w:lineRule="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3、单一来源谈判响应文件格式</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.1供应商应按</w:t>
      </w:r>
      <w:r>
        <w:rPr>
          <w:rFonts w:hint="eastAsia" w:ascii="宋体" w:hAnsi="宋体" w:eastAsia="宋体" w:cs="宋体"/>
          <w:color w:val="auto"/>
          <w:sz w:val="24"/>
          <w:szCs w:val="24"/>
          <w:lang w:eastAsia="zh-CN"/>
        </w:rPr>
        <w:t>单一来源谈判文件所提供的第二章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供应商须知及前附表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、供应商须知-</w:t>
      </w:r>
      <w:r>
        <w:rPr>
          <w:rFonts w:hint="eastAsia" w:ascii="宋体" w:hAnsi="宋体" w:eastAsia="宋体" w:cs="宋体"/>
          <w:color w:val="auto"/>
          <w:sz w:val="24"/>
          <w:szCs w:val="24"/>
          <w:lang w:eastAsia="zh-CN"/>
        </w:rPr>
        <w:t>（三）单一来源谈判响应文件的编制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条内容与要求和第五章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单一来源谈判响应</w:t>
      </w:r>
      <w:r>
        <w:rPr>
          <w:rFonts w:hint="eastAsia" w:ascii="宋体" w:hAnsi="宋体" w:eastAsia="宋体" w:cs="宋体"/>
          <w:color w:val="auto"/>
          <w:sz w:val="24"/>
          <w:szCs w:val="24"/>
        </w:rPr>
        <w:t>文件格式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编写其</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，供应商不得缺少或留空任何</w:t>
      </w:r>
      <w:r>
        <w:rPr>
          <w:rFonts w:hint="eastAsia" w:ascii="宋体" w:hAnsi="宋体" w:eastAsia="宋体" w:cs="宋体"/>
          <w:color w:val="auto"/>
          <w:sz w:val="24"/>
          <w:szCs w:val="24"/>
          <w:lang w:eastAsia="zh-CN"/>
        </w:rPr>
        <w:t>单一来源谈判文件</w:t>
      </w:r>
      <w:r>
        <w:rPr>
          <w:rFonts w:hint="eastAsia" w:ascii="宋体" w:hAnsi="宋体" w:eastAsia="宋体" w:cs="宋体"/>
          <w:color w:val="auto"/>
          <w:sz w:val="24"/>
          <w:szCs w:val="24"/>
        </w:rPr>
        <w:t>要求填写的表格或提交的资料。</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.2供应商应将</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按第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条规定的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编排并编制</w:t>
      </w:r>
      <w:r>
        <w:rPr>
          <w:rFonts w:hint="eastAsia" w:ascii="宋体" w:hAnsi="宋体" w:eastAsia="宋体" w:cs="宋体"/>
          <w:color w:val="auto"/>
          <w:sz w:val="24"/>
          <w:szCs w:val="24"/>
          <w:lang w:eastAsia="zh-CN"/>
        </w:rPr>
        <w:t>对应</w:t>
      </w:r>
      <w:r>
        <w:rPr>
          <w:rFonts w:hint="eastAsia" w:ascii="宋体" w:hAnsi="宋体" w:eastAsia="宋体" w:cs="宋体"/>
          <w:color w:val="auto"/>
          <w:sz w:val="24"/>
          <w:szCs w:val="24"/>
        </w:rPr>
        <w:t>目录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逐页标注连续页码，装订成册。</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4、投标报价</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供应商应在</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中的投标报价表上表明，本合同拟提供货物的单价和总价。每种货物只允许有一种报价。如果单价与总价有出入，以单价为准。</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.2投标价为目的地</w:t>
      </w:r>
      <w:r>
        <w:rPr>
          <w:rFonts w:hint="eastAsia" w:ascii="宋体" w:hAnsi="宋体" w:eastAsia="宋体" w:cs="宋体"/>
          <w:color w:val="auto"/>
          <w:sz w:val="24"/>
          <w:szCs w:val="24"/>
          <w:lang w:eastAsia="zh-CN"/>
        </w:rPr>
        <w:t>最终交付</w:t>
      </w:r>
      <w:r>
        <w:rPr>
          <w:rFonts w:hint="eastAsia" w:ascii="宋体" w:hAnsi="宋体" w:eastAsia="宋体" w:cs="宋体"/>
          <w:color w:val="auto"/>
          <w:sz w:val="24"/>
          <w:szCs w:val="24"/>
        </w:rPr>
        <w:t>价。</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.3供应商按照上述要求分类报价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其目的是便于买方评标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但在任何情况下并不限制买方以任何条款签订合同的权利。</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5、投标货币</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投标应以人民币报价。</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6、投标有效期</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单一来源采购响应文件有效期为自谈判之日起</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个日历日，成交供应商的单一来源采购响应文件有效期自动延长至合同执行完毕。</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7、 投标书的式样和签署</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 供应商应准备一份</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正本和“供应商须知前附表”中规定数目的副本</w:t>
      </w:r>
      <w:r>
        <w:rPr>
          <w:rFonts w:hint="eastAsia" w:ascii="宋体" w:hAnsi="宋体" w:eastAsia="宋体" w:cs="宋体"/>
          <w:color w:val="auto"/>
          <w:sz w:val="24"/>
          <w:szCs w:val="24"/>
          <w:lang w:eastAsia="zh-CN"/>
        </w:rPr>
        <w:t>、投标报价表、谈判响应文件电子版本</w:t>
      </w:r>
      <w:r>
        <w:rPr>
          <w:rFonts w:hint="eastAsia" w:ascii="宋体" w:hAnsi="宋体" w:eastAsia="宋体" w:cs="宋体"/>
          <w:color w:val="auto"/>
          <w:sz w:val="24"/>
          <w:szCs w:val="24"/>
          <w:lang w:val="en-US" w:eastAsia="zh-CN"/>
        </w:rPr>
        <w:t>U盘</w:t>
      </w:r>
      <w:r>
        <w:rPr>
          <w:rFonts w:hint="eastAsia" w:ascii="宋体" w:hAnsi="宋体" w:cs="宋体"/>
          <w:b/>
          <w:sz w:val="24"/>
          <w:lang w:val="en-US" w:eastAsia="zh-CN"/>
        </w:rPr>
        <w:t>（谈判响应文件电子版Word及加盖公章PDF文档各一份（U盘），将其作为谈判文件的一部分</w:t>
      </w:r>
      <w:r>
        <w:rPr>
          <w:rFonts w:hint="eastAsia" w:ascii="宋体" w:hAnsi="宋体" w:cs="宋体"/>
          <w:b/>
          <w:sz w:val="24"/>
        </w:rPr>
        <w:t>，不予退</w:t>
      </w:r>
      <w:r>
        <w:rPr>
          <w:rFonts w:hint="eastAsia" w:ascii="宋体" w:hAnsi="宋体" w:cs="宋体"/>
          <w:b/>
          <w:sz w:val="24"/>
          <w:lang w:eastAsia="zh-CN"/>
        </w:rPr>
        <w:t>还</w:t>
      </w:r>
      <w:r>
        <w:rPr>
          <w:rFonts w:hint="eastAsia" w:ascii="宋体" w:hAnsi="宋体" w:cs="宋体"/>
          <w:b/>
          <w:sz w:val="24"/>
          <w:lang w:val="en-US" w:eastAsia="zh-CN"/>
        </w:rPr>
        <w:t>。）</w:t>
      </w:r>
      <w:r>
        <w:rPr>
          <w:rFonts w:hint="eastAsia" w:ascii="宋体" w:hAnsi="宋体" w:eastAsia="宋体" w:cs="宋体"/>
          <w:color w:val="auto"/>
          <w:sz w:val="24"/>
          <w:szCs w:val="24"/>
        </w:rPr>
        <w:t>并以恰当方式将每份清楚标以“正本”、“副本”、“</w:t>
      </w:r>
      <w:r>
        <w:rPr>
          <w:rFonts w:hint="eastAsia" w:ascii="宋体" w:hAnsi="宋体" w:eastAsia="宋体" w:cs="宋体"/>
          <w:color w:val="auto"/>
          <w:sz w:val="24"/>
          <w:szCs w:val="24"/>
          <w:lang w:eastAsia="zh-CN"/>
        </w:rPr>
        <w:t>投标报价表、谈判响应文件电子版本</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”等。若正本和副本不符，以正本为准，电子版与纸制文件不符，以纸制文件为准。</w:t>
      </w:r>
    </w:p>
    <w:p>
      <w:pPr>
        <w:spacing w:line="360" w:lineRule="auto"/>
        <w:ind w:firstLine="480" w:firstLineChars="200"/>
        <w:outlineLvl w:val="9"/>
        <w:rPr>
          <w:rFonts w:hint="default" w:ascii="宋体" w:hAnsi="宋体" w:eastAsia="宋体"/>
          <w:color w:val="auto"/>
          <w:szCs w:val="21"/>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任何行间插字、涂改和增删，必须由</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法定代表人或被授权代表在旁边签字才有效。</w:t>
      </w:r>
      <w:r>
        <w:rPr>
          <w:rFonts w:hint="eastAsia" w:ascii="宋体" w:hAnsi="宋体" w:eastAsia="宋体" w:cs="宋体"/>
          <w:color w:val="auto"/>
          <w:sz w:val="24"/>
          <w:szCs w:val="24"/>
          <w:lang w:val="en-US" w:eastAsia="zh-CN"/>
        </w:rPr>
        <w:t xml:space="preserve">  </w:t>
      </w:r>
    </w:p>
    <w:p>
      <w:pPr>
        <w:snapToGrid w:val="0"/>
        <w:spacing w:before="0" w:after="0" w:line="360" w:lineRule="auto"/>
        <w:jc w:val="both"/>
        <w:outlineLvl w:val="1"/>
        <w:rPr>
          <w:rFonts w:ascii="宋体" w:hAnsi="宋体"/>
          <w:b/>
          <w:bCs/>
          <w:color w:val="auto"/>
          <w:sz w:val="24"/>
          <w:szCs w:val="24"/>
        </w:rPr>
      </w:pPr>
      <w:bookmarkStart w:id="18" w:name="_Toc369274608"/>
      <w:bookmarkStart w:id="19" w:name="_Toc409627234"/>
      <w:r>
        <w:rPr>
          <w:rFonts w:hint="eastAsia" w:ascii="宋体" w:hAnsi="宋体" w:eastAsia="宋体" w:cs="Times New Roman"/>
          <w:b/>
          <w:bCs/>
          <w:color w:val="auto"/>
          <w:sz w:val="28"/>
          <w:szCs w:val="28"/>
        </w:rPr>
        <w:t>（四）</w:t>
      </w:r>
      <w:r>
        <w:rPr>
          <w:rFonts w:hint="eastAsia" w:ascii="宋体" w:hAnsi="宋体" w:eastAsia="宋体" w:cs="Times New Roman"/>
          <w:b/>
          <w:bCs/>
          <w:color w:val="auto"/>
          <w:sz w:val="28"/>
          <w:szCs w:val="28"/>
          <w:lang w:eastAsia="zh-CN"/>
        </w:rPr>
        <w:t>单一来源谈判响应文件</w:t>
      </w:r>
      <w:r>
        <w:rPr>
          <w:rFonts w:hint="eastAsia" w:ascii="宋体" w:hAnsi="宋体" w:eastAsia="宋体" w:cs="Times New Roman"/>
          <w:b/>
          <w:bCs/>
          <w:color w:val="auto"/>
          <w:sz w:val="28"/>
          <w:szCs w:val="28"/>
        </w:rPr>
        <w:t>的密封和递交</w:t>
      </w:r>
      <w:bookmarkEnd w:id="18"/>
      <w:bookmarkEnd w:id="19"/>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1、单一来源谈判响应文件的密封和标记</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供应商应将</w:t>
      </w:r>
      <w:r>
        <w:rPr>
          <w:rFonts w:hint="eastAsia" w:ascii="宋体" w:hAnsi="宋体" w:eastAsia="宋体" w:cs="宋体"/>
          <w:color w:val="auto"/>
          <w:sz w:val="24"/>
          <w:szCs w:val="24"/>
          <w:lang w:eastAsia="zh-CN"/>
        </w:rPr>
        <w:t>投标报价表、谈判响应文件电子版本</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密封</w:t>
      </w:r>
      <w:r>
        <w:rPr>
          <w:rFonts w:hint="eastAsia" w:ascii="宋体" w:hAnsi="宋体" w:eastAsia="宋体" w:cs="宋体"/>
          <w:color w:val="auto"/>
          <w:sz w:val="24"/>
          <w:szCs w:val="24"/>
          <w:lang w:eastAsia="zh-CN"/>
        </w:rPr>
        <w:t>一个信封</w:t>
      </w:r>
      <w:r>
        <w:rPr>
          <w:rFonts w:hint="eastAsia" w:ascii="宋体" w:hAnsi="宋体" w:eastAsia="宋体" w:cs="宋体"/>
          <w:color w:val="auto"/>
          <w:sz w:val="24"/>
          <w:szCs w:val="24"/>
        </w:rPr>
        <w:t>提交，并在信封上标明“</w:t>
      </w:r>
      <w:r>
        <w:rPr>
          <w:rFonts w:hint="eastAsia" w:ascii="宋体" w:hAnsi="宋体" w:eastAsia="宋体" w:cs="宋体"/>
          <w:color w:val="auto"/>
          <w:sz w:val="24"/>
          <w:szCs w:val="24"/>
          <w:lang w:eastAsia="zh-CN"/>
        </w:rPr>
        <w:t>投标报价表、谈判响应文件电子版本</w:t>
      </w:r>
      <w:r>
        <w:rPr>
          <w:rFonts w:hint="eastAsia" w:ascii="宋体" w:hAnsi="宋体" w:eastAsia="宋体" w:cs="宋体"/>
          <w:color w:val="auto"/>
          <w:sz w:val="24"/>
          <w:szCs w:val="24"/>
          <w:lang w:val="en-US" w:eastAsia="zh-CN"/>
        </w:rPr>
        <w:t>U盘</w:t>
      </w:r>
      <w:r>
        <w:rPr>
          <w:rFonts w:hint="eastAsia" w:ascii="宋体" w:hAnsi="宋体" w:eastAsia="宋体" w:cs="宋体"/>
          <w:color w:val="auto"/>
          <w:sz w:val="24"/>
          <w:szCs w:val="24"/>
        </w:rPr>
        <w:t>”字样（见附件）。</w:t>
      </w:r>
    </w:p>
    <w:p>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.2供应商应将</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响应性文件的正本、所有的副本用单独的信封密封，且在信封上标明“正本”“副本”字样。</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响应文件必须装入密封的信封或封套，并在每一信封或包装的封面上写明</w:t>
      </w:r>
      <w:r>
        <w:rPr>
          <w:rFonts w:hint="eastAsia" w:ascii="宋体" w:hAnsi="宋体" w:eastAsia="宋体" w:cs="宋体"/>
          <w:color w:val="auto"/>
          <w:sz w:val="24"/>
          <w:szCs w:val="24"/>
          <w:lang w:eastAsia="zh-CN"/>
        </w:rPr>
        <w:t>：</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正本或副本；</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招标代理机构；</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投标人的名称；</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2、投标截止日期</w:t>
      </w:r>
    </w:p>
    <w:p>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招标代理机构收到</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的时间不得迟于供应商须知前附表中规定的截止日期。</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3、迟交的单一来源谈判响应文件</w:t>
      </w:r>
    </w:p>
    <w:p>
      <w:pPr>
        <w:spacing w:line="360" w:lineRule="auto"/>
        <w:ind w:firstLine="560"/>
        <w:outlineLvl w:val="9"/>
        <w:rPr>
          <w:rFonts w:ascii="宋体" w:hAnsi="宋体"/>
          <w:color w:val="auto"/>
          <w:szCs w:val="21"/>
        </w:rPr>
      </w:pPr>
      <w:r>
        <w:rPr>
          <w:rFonts w:hint="eastAsia" w:ascii="宋体" w:hAnsi="宋体" w:eastAsia="宋体" w:cs="宋体"/>
          <w:color w:val="auto"/>
          <w:sz w:val="24"/>
          <w:szCs w:val="24"/>
        </w:rPr>
        <w:t>招标代理机构将拒绝并原封退回在其规定的投标截止日期后收到的任何</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4、单一来源谈判响应文件的修改和撤回</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供应商在递交</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后，可以修改和撤回其</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，但招标代理机构必须在规定的投标截止期之前收到该修改或撤回的书面通知。</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供应商的修改或撤回通知书，应按规定密封、标注和递送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并应在封套上加注“修改”或“撤回”字样。</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投标截止期之后的修改和撤回均无效。</w:t>
      </w:r>
    </w:p>
    <w:p>
      <w:pPr>
        <w:spacing w:line="360" w:lineRule="auto"/>
        <w:ind w:firstLine="56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供应商不得在投标截止日起至</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有效期期满前撤回</w:t>
      </w:r>
      <w:r>
        <w:rPr>
          <w:rFonts w:hint="eastAsia" w:ascii="宋体" w:hAnsi="宋体" w:eastAsia="宋体" w:cs="宋体"/>
          <w:color w:val="auto"/>
          <w:sz w:val="24"/>
          <w:szCs w:val="24"/>
          <w:lang w:eastAsia="zh-CN"/>
        </w:rPr>
        <w:t>单一来源谈判响应文件</w:t>
      </w:r>
      <w:r>
        <w:rPr>
          <w:rFonts w:hint="eastAsia" w:ascii="宋体" w:hAnsi="宋体" w:eastAsia="宋体" w:cs="宋体"/>
          <w:color w:val="auto"/>
          <w:sz w:val="24"/>
          <w:szCs w:val="24"/>
        </w:rPr>
        <w:t>。</w:t>
      </w:r>
    </w:p>
    <w:p>
      <w:pPr>
        <w:snapToGrid w:val="0"/>
        <w:spacing w:before="0" w:after="0" w:line="360" w:lineRule="auto"/>
        <w:jc w:val="both"/>
        <w:outlineLvl w:val="9"/>
        <w:rPr>
          <w:rFonts w:hint="eastAsia" w:ascii="宋体" w:hAnsi="宋体" w:eastAsia="宋体" w:cs="Times New Roman"/>
          <w:b/>
          <w:bCs/>
          <w:color w:val="auto"/>
          <w:sz w:val="28"/>
          <w:szCs w:val="28"/>
        </w:rPr>
      </w:pPr>
      <w:bookmarkStart w:id="20" w:name="_Toc369274609"/>
      <w:bookmarkStart w:id="21" w:name="_Toc409627235"/>
      <w:r>
        <w:rPr>
          <w:rFonts w:hint="eastAsia" w:ascii="宋体" w:hAnsi="宋体" w:eastAsia="宋体" w:cs="Times New Roman"/>
          <w:b/>
          <w:bCs/>
          <w:color w:val="auto"/>
          <w:sz w:val="28"/>
          <w:szCs w:val="28"/>
        </w:rPr>
        <w:t>（五）单一来源采购</w:t>
      </w:r>
      <w:bookmarkEnd w:id="20"/>
      <w:bookmarkEnd w:id="21"/>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1、谈判</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招标代理机构将在“供应商须知前附表”规定的时间、地点组织采购。供应商应委派代表参加。</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1.2评标方法：单一来源谈判。</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2、采购小组</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招标机构将按照《中华人民共和国政府采购法》及有关规定组建谈判小组。</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2.2采购小组由采购人代表及有关专家共三人以上的单数组成，其中专家人数不得少于采购小组成员总数的三分之二，专家按照政府采购评审专家管理的有关规定确定。</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2.3开展采购：采购小组与供应商在保证采购项目技术要求、质量、服务等基础上进行谈判，商定合理价格及有关成交事项。</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2.4确定成交供应商：采购小组与供应商达成一致意见后，采购小组确定成交供应商。采购代理机构或采购人在确定成交供应商后两个工作日内，向成交供应商发出成交通知书，并在财政部门指定媒体上公告其采购结果。同时采购小组负责编写采购报告作为采购文件备查。</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3、评标过程的保密性</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采购后，直到向成交的供应商授予合同时止，凡与审查、澄清、评价和比较投标的有关资料以及授标意见等，均不得向供应商及与评标无关的其他人透露。</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在评标过程中，如果供应商试图在单一来源谈判响应文件审查、澄清、比较及授予合同方面向买方施加任何影响，其投标将被拒绝。</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4、单一来源谈判响应文件的初审</w:t>
      </w:r>
    </w:p>
    <w:p>
      <w:pPr>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4.1采购小组将审查单一来源谈判响应文件是否完整、资格证明文件是否齐全、合格。根据《中华人民共和国政府采购法》第二十三条 ，由单一来源谈判小组对供应商的资格进行审查。</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算术错误将按以下方法更正：若单价计算的结果与总价不一致，以单价为准修改总价；若用文字表示的数值与数字表示的数值不一致，以文字表示的数值为准。如果供应商不接受对其错误的更正，其投标将被拒绝。</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在详细评标之前，根据本采购文件的规定，单一来源谈判小组要审查每份单一来源谈判响应文件是否实质上响应了单一来源谈判文件的要求。实质上响应的投标应该是与单一来源谈判文件要求的全部条款、条件和技术参数相符，没有重大偏离的投标。对关键条文的偏离、保留或反对将被认为是实质上的偏离。采购小组决定投标的响应性只根据单一来源谈判响应文件本身的内容，而不寻求外部的证据。</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4.4实质上没有响应单一来源谈判文件要求的投标将被拒绝。</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4.5如果投标实质性没有响应单一来源谈判文件的要求，其投标将被拒绝。供应商不得通过修正或撤消不合要求的偏离或保留从而使其投标成为实质上响应的投标。</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4.6招标人只对在初审中确定为实质性响应的单一来源谈判响应文件进行进一步的详细商务和技术评审。</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5、单一来源谈判响应文件的澄清</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为有助于对单一来源谈判响应文件的审查、评价和比较，评标期间可分别要求供应商对其单一来源谈判响应文件进行澄清或答疑，有关澄清或答疑要求的答复应以书面形式提交。</w:t>
      </w:r>
    </w:p>
    <w:p>
      <w:pPr>
        <w:spacing w:line="360" w:lineRule="auto"/>
        <w:outlineLvl w:val="9"/>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6、单一来源谈判响应文件的详细评审</w:t>
      </w:r>
    </w:p>
    <w:p>
      <w:pPr>
        <w:spacing w:line="360" w:lineRule="auto"/>
        <w:ind w:firstLine="56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评审工作应严格按照单一来源谈判文件、单一来源谈判响应文件进行评审。根据供应商对采购文件的响应、质量、价格、品牌、服务承诺等综合评定。</w:t>
      </w:r>
      <w:bookmarkStart w:id="22" w:name="_Toc327439468"/>
    </w:p>
    <w:bookmarkEnd w:id="22"/>
    <w:p>
      <w:pPr>
        <w:snapToGrid w:val="0"/>
        <w:spacing w:before="0" w:after="0" w:line="360" w:lineRule="auto"/>
        <w:jc w:val="both"/>
        <w:outlineLvl w:val="9"/>
        <w:rPr>
          <w:rFonts w:ascii="宋体" w:hAnsi="宋体"/>
          <w:b/>
          <w:bCs/>
          <w:color w:val="auto"/>
          <w:sz w:val="28"/>
          <w:szCs w:val="28"/>
        </w:rPr>
      </w:pPr>
      <w:bookmarkStart w:id="23" w:name="_Toc409627236"/>
      <w:bookmarkStart w:id="24" w:name="_Toc369274610"/>
      <w:r>
        <w:rPr>
          <w:rFonts w:hint="eastAsia" w:ascii="宋体" w:hAnsi="宋体"/>
          <w:b/>
          <w:bCs/>
          <w:color w:val="auto"/>
          <w:sz w:val="28"/>
          <w:szCs w:val="28"/>
        </w:rPr>
        <w:t>（</w:t>
      </w:r>
      <w:r>
        <w:rPr>
          <w:rFonts w:hint="eastAsia" w:ascii="宋体" w:hAnsi="宋体"/>
          <w:b/>
          <w:bCs/>
          <w:color w:val="auto"/>
          <w:sz w:val="28"/>
          <w:szCs w:val="28"/>
          <w:lang w:eastAsia="zh-CN"/>
        </w:rPr>
        <w:t>六</w:t>
      </w:r>
      <w:r>
        <w:rPr>
          <w:rFonts w:hint="eastAsia" w:ascii="宋体" w:hAnsi="宋体"/>
          <w:b/>
          <w:bCs/>
          <w:color w:val="auto"/>
          <w:sz w:val="28"/>
          <w:szCs w:val="28"/>
        </w:rPr>
        <w:t>）授予合同</w:t>
      </w:r>
      <w:bookmarkEnd w:id="23"/>
      <w:bookmarkEnd w:id="24"/>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、合同授予标准</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买方应将合同授予被确定为实质上响应采购文件要求的，能够满意的履行合同义务合理报价的供应商。</w:t>
      </w:r>
    </w:p>
    <w:p>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、接受和拒绝任何或所有投标的权力</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招标人保留在授标之前任何时候接受或拒绝任何投标，以及宣布招标程序无效或拒绝所有投标的权力，对受影响的供应商不承担任何责任。</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3、成交通知书</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3.1成交供应商须向招标机构缴纳成交服务费和其它相关费用后，方可领取成交通知书。</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成交供应商须向招标机构按如下标准和规定交纳成交服务费：</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（1）成交服务费币种与成交通知书成交价的币种相同；</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（2）成交服务费不列在投标报价中；</w:t>
      </w:r>
    </w:p>
    <w:p>
      <w:pPr>
        <w:spacing w:line="360" w:lineRule="auto"/>
        <w:ind w:firstLine="520" w:firstLineChars="217"/>
        <w:outlineLvl w:val="9"/>
        <w:rPr>
          <w:rFonts w:ascii="宋体" w:hAnsi="宋体" w:cs="宋体"/>
          <w:sz w:val="24"/>
        </w:rPr>
      </w:pPr>
      <w:r>
        <w:rPr>
          <w:rFonts w:hint="eastAsia" w:ascii="宋体" w:hAnsi="宋体" w:eastAsia="宋体" w:cs="宋体"/>
          <w:color w:val="auto"/>
          <w:sz w:val="24"/>
          <w:szCs w:val="24"/>
          <w:lang w:val="en-US" w:eastAsia="zh-CN"/>
        </w:rPr>
        <w:t>（3）招标代理服务费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成交通知书将是合同的一个组成部分。</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3.3招标代理机构对未成交原因不作任何解释。</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4、签订合同</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成交人按买方要求的时间、地点与买方签订合同。</w:t>
      </w:r>
    </w:p>
    <w:p>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5、合同文件</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除包括“单一来源谈判文件”规定的全部内容外，还应包括：</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(1)与招标有关的澄清、说明；</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(2)投标单位在投标时随同投标书递交的资料与附图；</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(3)在商谈本合同书时，双方共同签字的补充文件；</w:t>
      </w:r>
    </w:p>
    <w:p>
      <w:pPr>
        <w:spacing w:line="360" w:lineRule="auto"/>
        <w:ind w:firstLine="520" w:firstLineChars="217"/>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(4)有关技术要求的补充内容。</w:t>
      </w:r>
    </w:p>
    <w:p>
      <w:pPr>
        <w:outlineLvl w:val="9"/>
        <w:rPr>
          <w:rFonts w:hint="eastAsia" w:ascii="宋体" w:hAnsi="宋体" w:eastAsia="宋体"/>
          <w:b/>
          <w:bCs/>
          <w:color w:val="auto"/>
          <w:sz w:val="28"/>
          <w:szCs w:val="30"/>
        </w:rPr>
      </w:pPr>
      <w:bookmarkStart w:id="25" w:name="_Toc398133602"/>
      <w:bookmarkStart w:id="26" w:name="_Toc409627237"/>
      <w:r>
        <w:rPr>
          <w:rFonts w:hint="eastAsia" w:ascii="宋体" w:hAnsi="宋体" w:eastAsia="宋体"/>
          <w:b/>
          <w:bCs/>
          <w:color w:val="auto"/>
          <w:sz w:val="28"/>
          <w:szCs w:val="30"/>
          <w:lang w:eastAsia="zh-CN"/>
        </w:rPr>
        <w:br w:type="page"/>
      </w:r>
    </w:p>
    <w:bookmarkEnd w:id="25"/>
    <w:bookmarkEnd w:id="26"/>
    <w:p>
      <w:pPr>
        <w:spacing w:line="360" w:lineRule="auto"/>
        <w:rPr>
          <w:rFonts w:hint="default" w:ascii="宋体" w:hAnsi="宋体" w:eastAsia="宋体" w:cs="宋体"/>
          <w:b/>
          <w:bCs/>
          <w:kern w:val="1"/>
          <w:sz w:val="28"/>
          <w:szCs w:val="28"/>
          <w:lang w:val="en-US" w:eastAsia="zh-CN"/>
        </w:rPr>
      </w:pPr>
      <w:r>
        <w:rPr>
          <w:rFonts w:hint="eastAsia" w:ascii="宋体" w:hAnsi="宋体" w:eastAsia="宋体" w:cs="宋体"/>
          <w:b/>
          <w:bCs/>
          <w:kern w:val="1"/>
          <w:sz w:val="28"/>
          <w:szCs w:val="28"/>
          <w:lang w:val="en-US" w:eastAsia="zh-CN"/>
        </w:rPr>
        <w:t>（七）、</w:t>
      </w:r>
      <w:r>
        <w:rPr>
          <w:rFonts w:hint="eastAsia" w:ascii="宋体" w:hAnsi="宋体" w:eastAsia="宋体" w:cs="宋体"/>
          <w:b/>
          <w:bCs/>
          <w:kern w:val="1"/>
          <w:sz w:val="28"/>
          <w:szCs w:val="28"/>
        </w:rPr>
        <w:t>陕西省中小企业政府采购信用融资办法</w:t>
      </w:r>
      <w:r>
        <w:rPr>
          <w:rFonts w:hint="eastAsia" w:ascii="宋体" w:hAnsi="宋体" w:eastAsia="宋体" w:cs="宋体"/>
          <w:b/>
          <w:bCs/>
          <w:kern w:val="1"/>
          <w:sz w:val="28"/>
          <w:szCs w:val="28"/>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0288"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19"/>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5"/>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jc w:val="center"/>
        <w:outlineLvl w:val="9"/>
        <w:rPr>
          <w:rFonts w:ascii="宋体" w:hAnsi="宋体"/>
          <w:b/>
          <w:bCs/>
          <w:color w:val="auto"/>
          <w:sz w:val="44"/>
        </w:rPr>
      </w:pPr>
    </w:p>
    <w:p>
      <w:pPr>
        <w:jc w:val="center"/>
        <w:outlineLvl w:val="9"/>
        <w:rPr>
          <w:rFonts w:ascii="宋体" w:hAnsi="宋体"/>
          <w:b/>
          <w:bCs/>
          <w:color w:val="auto"/>
          <w:sz w:val="44"/>
        </w:rPr>
      </w:pPr>
    </w:p>
    <w:p>
      <w:pPr>
        <w:jc w:val="center"/>
        <w:outlineLvl w:val="9"/>
        <w:rPr>
          <w:rFonts w:ascii="宋体" w:hAnsi="宋体"/>
          <w:b/>
          <w:bCs/>
          <w:color w:val="auto"/>
          <w:sz w:val="44"/>
        </w:rPr>
      </w:pPr>
    </w:p>
    <w:p>
      <w:pPr>
        <w:jc w:val="center"/>
        <w:outlineLvl w:val="9"/>
        <w:rPr>
          <w:rFonts w:ascii="宋体" w:hAnsi="宋体"/>
          <w:b/>
          <w:bCs/>
          <w:color w:val="auto"/>
          <w:sz w:val="44"/>
        </w:rPr>
      </w:pPr>
    </w:p>
    <w:p>
      <w:pPr>
        <w:pStyle w:val="2"/>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outlineLvl w:val="9"/>
        <w:rPr>
          <w:color w:val="auto"/>
        </w:rPr>
      </w:pPr>
    </w:p>
    <w:p>
      <w:pPr>
        <w:jc w:val="center"/>
        <w:outlineLvl w:val="9"/>
        <w:rPr>
          <w:rFonts w:ascii="宋体" w:hAnsi="宋体"/>
          <w:b/>
          <w:bCs/>
          <w:color w:val="auto"/>
          <w:sz w:val="24"/>
        </w:rPr>
      </w:pPr>
    </w:p>
    <w:p>
      <w:pPr>
        <w:outlineLvl w:val="9"/>
        <w:rPr>
          <w:rFonts w:ascii="宋体" w:hAnsi="宋体"/>
          <w:b/>
          <w:bCs/>
          <w:color w:val="auto"/>
          <w:sz w:val="24"/>
        </w:rPr>
      </w:pPr>
    </w:p>
    <w:p>
      <w:pPr>
        <w:outlineLvl w:val="9"/>
        <w:rPr>
          <w:rFonts w:ascii="宋体" w:hAnsi="宋体"/>
          <w:b/>
          <w:bCs/>
          <w:color w:val="auto"/>
          <w:sz w:val="24"/>
        </w:rPr>
      </w:pPr>
    </w:p>
    <w:p>
      <w:pPr>
        <w:outlineLvl w:val="9"/>
        <w:rPr>
          <w:b/>
          <w:bCs/>
          <w:color w:val="auto"/>
        </w:rPr>
      </w:pPr>
    </w:p>
    <w:p>
      <w:pPr>
        <w:pStyle w:val="3"/>
        <w:numPr>
          <w:ilvl w:val="0"/>
          <w:numId w:val="3"/>
        </w:numPr>
        <w:snapToGrid w:val="0"/>
        <w:spacing w:beforeLines="100" w:after="0" w:line="360" w:lineRule="auto"/>
        <w:jc w:val="center"/>
        <w:rPr>
          <w:rFonts w:hint="eastAsia" w:ascii="宋体" w:hAnsi="宋体"/>
          <w:b/>
          <w:bCs/>
          <w:color w:val="auto"/>
          <w:sz w:val="48"/>
          <w:szCs w:val="48"/>
          <w:lang w:val="en-US" w:eastAsia="zh-CN"/>
        </w:rPr>
      </w:pPr>
      <w:bookmarkStart w:id="27" w:name="_Toc369274612"/>
      <w:bookmarkStart w:id="28" w:name="_Toc409627238"/>
      <w:r>
        <w:rPr>
          <w:rFonts w:hint="eastAsia" w:ascii="宋体" w:hAnsi="宋体"/>
          <w:b/>
          <w:bCs/>
          <w:color w:val="auto"/>
          <w:sz w:val="48"/>
          <w:szCs w:val="48"/>
          <w:lang w:val="en-US" w:eastAsia="zh-CN"/>
        </w:rPr>
        <w:t xml:space="preserve"> </w:t>
      </w:r>
      <w:r>
        <w:rPr>
          <w:rFonts w:hint="eastAsia" w:ascii="宋体" w:hAnsi="宋体"/>
          <w:b/>
          <w:bCs/>
          <w:color w:val="auto"/>
          <w:sz w:val="48"/>
          <w:szCs w:val="48"/>
        </w:rPr>
        <w:t xml:space="preserve"> </w:t>
      </w:r>
      <w:bookmarkStart w:id="29" w:name="_Toc4983"/>
      <w:bookmarkStart w:id="30" w:name="_Toc9234"/>
      <w:bookmarkStart w:id="31" w:name="_Toc18130"/>
      <w:r>
        <w:rPr>
          <w:rFonts w:hint="eastAsia" w:ascii="宋体" w:hAnsi="宋体"/>
          <w:b/>
          <w:bCs/>
          <w:color w:val="auto"/>
          <w:sz w:val="48"/>
          <w:szCs w:val="48"/>
          <w:lang w:eastAsia="zh-CN"/>
        </w:rPr>
        <w:t>商务部分</w:t>
      </w:r>
      <w:bookmarkEnd w:id="29"/>
      <w:bookmarkEnd w:id="30"/>
    </w:p>
    <w:p>
      <w:pPr>
        <w:numPr>
          <w:ilvl w:val="0"/>
          <w:numId w:val="0"/>
        </w:numPr>
        <w:snapToGrid w:val="0"/>
        <w:spacing w:beforeLines="100" w:after="0" w:line="360" w:lineRule="auto"/>
        <w:jc w:val="center"/>
        <w:outlineLvl w:val="9"/>
        <w:rPr>
          <w:rFonts w:hint="eastAsia" w:ascii="宋体" w:hAnsi="宋体"/>
          <w:b/>
          <w:bCs/>
          <w:color w:val="auto"/>
          <w:sz w:val="48"/>
          <w:szCs w:val="48"/>
          <w:lang w:val="en-US" w:eastAsia="zh-CN"/>
        </w:rPr>
      </w:pPr>
      <w:r>
        <w:rPr>
          <w:rFonts w:hint="eastAsia" w:ascii="宋体" w:hAnsi="宋体"/>
          <w:b/>
          <w:bCs/>
          <w:color w:val="auto"/>
          <w:sz w:val="48"/>
          <w:szCs w:val="48"/>
          <w:lang w:val="en-US" w:eastAsia="zh-CN"/>
        </w:rPr>
        <w:t>（合同条款及合同格式）</w:t>
      </w:r>
      <w:bookmarkEnd w:id="31"/>
    </w:p>
    <w:p>
      <w:pPr>
        <w:spacing w:line="360" w:lineRule="auto"/>
        <w:ind w:firstLine="482" w:firstLineChars="200"/>
        <w:rPr>
          <w:rFonts w:ascii="宋体" w:hAnsi="宋体"/>
          <w:b/>
          <w:bCs/>
          <w:color w:val="auto"/>
          <w:sz w:val="24"/>
        </w:rPr>
      </w:pPr>
      <w:r>
        <w:rPr>
          <w:rFonts w:hint="eastAsia" w:ascii="宋体" w:hAnsi="宋体"/>
          <w:b/>
          <w:bCs/>
          <w:color w:val="auto"/>
          <w:sz w:val="24"/>
        </w:rPr>
        <w:t>（说明</w:t>
      </w:r>
      <w:r>
        <w:rPr>
          <w:rFonts w:hint="eastAsia" w:ascii="宋体" w:hAnsi="宋体"/>
          <w:b/>
          <w:bCs/>
          <w:color w:val="auto"/>
          <w:sz w:val="24"/>
          <w:lang w:eastAsia="zh-CN"/>
        </w:rPr>
        <w:t>：</w:t>
      </w:r>
      <w:r>
        <w:rPr>
          <w:rFonts w:hint="eastAsia" w:ascii="宋体" w:hAnsi="宋体"/>
          <w:b/>
          <w:bCs/>
          <w:color w:val="auto"/>
          <w:sz w:val="24"/>
        </w:rPr>
        <w:t>本合同作为合同的基本格式，不作为最终合同，甲方有权在签订合同时对合同的相关条款及内容作进一步的细化和修改。）</w:t>
      </w:r>
    </w:p>
    <w:p>
      <w:pPr>
        <w:spacing w:line="360" w:lineRule="auto"/>
        <w:rPr>
          <w:rFonts w:ascii="宋体" w:hAnsi="宋体"/>
          <w:b/>
          <w:bCs/>
          <w:color w:val="auto"/>
          <w:sz w:val="24"/>
        </w:rPr>
      </w:pPr>
    </w:p>
    <w:bookmarkEnd w:id="27"/>
    <w:bookmarkEnd w:id="28"/>
    <w:p>
      <w:pPr>
        <w:rPr>
          <w:rFonts w:hint="eastAsia" w:ascii="宋体" w:hAnsi="宋体" w:cs="宋体"/>
          <w:b/>
          <w:bCs/>
          <w:color w:val="auto"/>
          <w:sz w:val="40"/>
          <w:lang w:val="en-US" w:eastAsia="zh-CN"/>
        </w:rPr>
      </w:pPr>
      <w:r>
        <w:rPr>
          <w:rFonts w:hint="eastAsia" w:ascii="宋体" w:hAnsi="宋体" w:cs="宋体"/>
          <w:b/>
          <w:bCs/>
          <w:color w:val="auto"/>
          <w:sz w:val="40"/>
          <w:lang w:val="en-US" w:eastAsia="zh-CN"/>
        </w:rPr>
        <w:br w:type="page"/>
      </w:r>
    </w:p>
    <w:p>
      <w:pPr>
        <w:spacing w:line="360" w:lineRule="auto"/>
        <w:jc w:val="center"/>
        <w:rPr>
          <w:rFonts w:hint="eastAsia" w:ascii="宋体" w:hAnsi="宋体" w:cs="宋体"/>
          <w:b/>
          <w:bCs/>
          <w:color w:val="auto"/>
          <w:sz w:val="40"/>
        </w:rPr>
      </w:pPr>
      <w:r>
        <w:rPr>
          <w:rFonts w:hint="eastAsia" w:ascii="宋体" w:hAnsi="宋体" w:cs="宋体"/>
          <w:b/>
          <w:bCs/>
          <w:color w:val="auto"/>
          <w:sz w:val="40"/>
        </w:rPr>
        <w:t>商务部分</w:t>
      </w:r>
    </w:p>
    <w:p>
      <w:pPr>
        <w:spacing w:line="360" w:lineRule="auto"/>
        <w:ind w:firstLine="551" w:firstLineChars="196"/>
        <w:outlineLvl w:val="9"/>
        <w:rPr>
          <w:rFonts w:hint="eastAsia" w:ascii="宋体" w:hAnsi="宋体" w:cs="宋体"/>
          <w:b/>
          <w:bCs/>
          <w:color w:val="auto"/>
          <w:sz w:val="28"/>
        </w:rPr>
      </w:pPr>
      <w:r>
        <w:rPr>
          <w:rFonts w:hint="eastAsia" w:ascii="宋体" w:hAnsi="宋体" w:cs="宋体"/>
          <w:b/>
          <w:bCs/>
          <w:color w:val="auto"/>
          <w:sz w:val="28"/>
        </w:rPr>
        <w:t>一、合同专用条款</w:t>
      </w:r>
    </w:p>
    <w:p>
      <w:pPr>
        <w:spacing w:line="360" w:lineRule="auto"/>
        <w:ind w:firstLine="480"/>
        <w:outlineLvl w:val="9"/>
        <w:rPr>
          <w:rFonts w:hint="eastAsia" w:ascii="宋体" w:hAnsi="宋体" w:cs="宋体"/>
          <w:b/>
          <w:bCs/>
          <w:color w:val="auto"/>
          <w:sz w:val="24"/>
        </w:rPr>
      </w:pPr>
      <w:r>
        <w:rPr>
          <w:rFonts w:hint="eastAsia" w:ascii="宋体" w:hAnsi="宋体" w:cs="宋体"/>
          <w:b/>
          <w:bCs/>
          <w:color w:val="auto"/>
          <w:sz w:val="24"/>
        </w:rPr>
        <w:t>本表关于招标</w:t>
      </w:r>
      <w:r>
        <w:rPr>
          <w:rFonts w:hint="eastAsia" w:ascii="宋体" w:hAnsi="宋体" w:cs="宋体"/>
          <w:b/>
          <w:bCs/>
          <w:color w:val="auto"/>
          <w:sz w:val="24"/>
          <w:lang w:eastAsia="zh-CN"/>
        </w:rPr>
        <w:t>货物或服务</w:t>
      </w:r>
      <w:r>
        <w:rPr>
          <w:rFonts w:hint="eastAsia" w:ascii="宋体" w:hAnsi="宋体" w:cs="宋体"/>
          <w:b/>
          <w:bCs/>
          <w:color w:val="auto"/>
          <w:sz w:val="24"/>
        </w:rPr>
        <w:t>的具体要求是对本合同条款的具体补充和修改，如有矛盾，应以本条款为准。</w:t>
      </w:r>
    </w:p>
    <w:tbl>
      <w:tblPr>
        <w:tblStyle w:val="35"/>
        <w:tblW w:w="8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44"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序 号</w:t>
            </w:r>
          </w:p>
        </w:tc>
        <w:tc>
          <w:tcPr>
            <w:tcW w:w="7795" w:type="dxa"/>
            <w:noWrap w:val="0"/>
            <w:vAlign w:val="center"/>
          </w:tcPr>
          <w:p>
            <w:pPr>
              <w:spacing w:line="360" w:lineRule="auto"/>
              <w:jc w:val="center"/>
              <w:rPr>
                <w:rFonts w:hint="eastAsia" w:ascii="新宋体" w:hAnsi="新宋体" w:eastAsia="新宋体"/>
                <w:b/>
                <w:bCs/>
                <w:sz w:val="24"/>
              </w:rPr>
            </w:pPr>
            <w:r>
              <w:rPr>
                <w:rFonts w:hint="eastAsia" w:ascii="新宋体" w:hAnsi="新宋体" w:eastAsia="新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买方名称：安康市中心血站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卖方（</w:t>
            </w:r>
            <w:r>
              <w:rPr>
                <w:rFonts w:hint="eastAsia" w:ascii="新宋体" w:hAnsi="新宋体" w:eastAsia="新宋体"/>
                <w:b/>
                <w:bCs/>
                <w:sz w:val="24"/>
                <w:lang w:eastAsia="zh-CN"/>
              </w:rPr>
              <w:t>成交</w:t>
            </w:r>
            <w:r>
              <w:rPr>
                <w:rFonts w:hint="eastAsia" w:ascii="新宋体" w:hAnsi="新宋体" w:eastAsia="新宋体"/>
                <w:b/>
                <w:bCs/>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备品备件要求：选所有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rPr>
              <w:t>质量保证期（有效期）：按生产厂家产品有效期，买方所持的近效期产品，卖方全部免费更换为长效期产品。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pStyle w:val="2"/>
              <w:spacing w:line="360" w:lineRule="auto"/>
              <w:rPr>
                <w:rFonts w:hint="eastAsia" w:ascii="新宋体" w:hAnsi="新宋体" w:eastAsia="新宋体" w:cstheme="minorBidi"/>
                <w:b/>
                <w:bCs/>
                <w:kern w:val="2"/>
                <w:sz w:val="24"/>
                <w:szCs w:val="22"/>
                <w:lang w:val="en-US" w:eastAsia="zh-CN" w:bidi="ar-SA"/>
              </w:rPr>
            </w:pPr>
            <w:r>
              <w:rPr>
                <w:rFonts w:hint="eastAsia" w:ascii="新宋体" w:hAnsi="新宋体" w:eastAsia="新宋体" w:cstheme="minorBidi"/>
                <w:b/>
                <w:bCs/>
                <w:kern w:val="2"/>
                <w:sz w:val="24"/>
                <w:szCs w:val="22"/>
                <w:lang w:val="en-US" w:eastAsia="zh-CN" w:bidi="ar-SA"/>
              </w:rPr>
              <w:t>乙方在合同服务期间若因服务质量、产品质量差或存在违法违纪行为，甲方有权终止与乙方签署的协议并更换供应商。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b/>
                <w:bCs/>
                <w:sz w:val="24"/>
                <w:highlight w:val="yellow"/>
              </w:rPr>
            </w:pPr>
            <w:r>
              <w:rPr>
                <w:rFonts w:hint="eastAsia" w:ascii="新宋体" w:hAnsi="新宋体" w:eastAsia="新宋体"/>
                <w:b/>
                <w:bCs/>
                <w:sz w:val="24"/>
              </w:rPr>
              <w:t>包装要求：生产厂家原包装到交货地点无破损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sz w:val="24"/>
                <w:lang w:eastAsia="zh-CN"/>
              </w:rPr>
              <w:t>售后服务：</w:t>
            </w:r>
            <w:r>
              <w:rPr>
                <w:rFonts w:hint="eastAsia" w:ascii="新宋体" w:hAnsi="新宋体" w:eastAsia="新宋体"/>
                <w:b/>
                <w:bCs/>
                <w:sz w:val="24"/>
                <w:lang w:val="en-US" w:eastAsia="zh-CN"/>
              </w:rPr>
              <w:t>1.</w:t>
            </w:r>
            <w:r>
              <w:rPr>
                <w:rFonts w:hint="eastAsia" w:ascii="新宋体" w:hAnsi="新宋体" w:eastAsia="新宋体"/>
                <w:b/>
                <w:bCs/>
                <w:sz w:val="24"/>
              </w:rPr>
              <w:t>每批次耗材因质量原因导致的耗材报废率&lt;7‰。</w:t>
            </w:r>
          </w:p>
          <w:p>
            <w:pPr>
              <w:spacing w:line="360" w:lineRule="auto"/>
              <w:rPr>
                <w:rFonts w:hint="eastAsia" w:ascii="新宋体" w:hAnsi="新宋体" w:eastAsia="新宋体"/>
                <w:b/>
                <w:bCs/>
                <w:sz w:val="24"/>
              </w:rPr>
            </w:pPr>
            <w:r>
              <w:rPr>
                <w:rFonts w:hint="eastAsia" w:ascii="新宋体" w:hAnsi="新宋体" w:eastAsia="新宋体"/>
                <w:b/>
                <w:bCs/>
                <w:sz w:val="24"/>
                <w:lang w:val="en-US" w:eastAsia="zh-CN"/>
              </w:rPr>
              <w:t>2.</w:t>
            </w:r>
            <w:r>
              <w:rPr>
                <w:rFonts w:hint="eastAsia" w:ascii="新宋体" w:hAnsi="新宋体" w:eastAsia="新宋体"/>
                <w:b/>
                <w:bCs/>
                <w:sz w:val="24"/>
              </w:rPr>
              <w:t>售后服务承诺：2小时响应时间，如需要现场维修,专业工程师可在48小时内到达现场,72小时内完成修复；</w:t>
            </w:r>
          </w:p>
          <w:p>
            <w:pPr>
              <w:spacing w:line="360" w:lineRule="auto"/>
              <w:rPr>
                <w:rFonts w:hint="eastAsia" w:ascii="新宋体" w:hAnsi="新宋体" w:eastAsia="新宋体"/>
                <w:b/>
                <w:bCs/>
                <w:sz w:val="24"/>
              </w:rPr>
            </w:pPr>
            <w:r>
              <w:rPr>
                <w:rFonts w:hint="eastAsia" w:ascii="新宋体" w:hAnsi="新宋体" w:eastAsia="新宋体"/>
                <w:b/>
                <w:bCs/>
                <w:sz w:val="24"/>
                <w:lang w:val="en-US" w:eastAsia="zh-CN"/>
              </w:rPr>
              <w:t>3.</w:t>
            </w:r>
            <w:r>
              <w:rPr>
                <w:rFonts w:hint="eastAsia" w:ascii="新宋体" w:hAnsi="新宋体" w:eastAsia="新宋体"/>
                <w:b/>
                <w:bCs/>
                <w:sz w:val="24"/>
              </w:rPr>
              <w:t>定期对操作人员进行系统的操作、维护、保养及一般故障排除技能的培训。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lang w:eastAsia="zh-CN"/>
              </w:rPr>
            </w:pPr>
            <w:r>
              <w:rPr>
                <w:rFonts w:hint="eastAsia" w:ascii="新宋体" w:hAnsi="新宋体" w:eastAsia="新宋体"/>
                <w:b/>
                <w:bCs/>
                <w:color w:val="auto"/>
                <w:sz w:val="24"/>
              </w:rPr>
              <w:t>交货期：接到订货通知起10个工作日内交货，紧急</w:t>
            </w:r>
            <w:r>
              <w:rPr>
                <w:rFonts w:hint="eastAsia" w:ascii="新宋体" w:hAnsi="新宋体" w:eastAsia="新宋体"/>
                <w:b/>
                <w:bCs/>
                <w:color w:val="auto"/>
                <w:sz w:val="24"/>
                <w:lang w:eastAsia="zh-CN"/>
              </w:rPr>
              <w:t>一次性血液成分分离管路及无菌接管</w:t>
            </w:r>
            <w:r>
              <w:rPr>
                <w:rFonts w:hint="eastAsia" w:ascii="新宋体" w:hAnsi="新宋体" w:eastAsia="新宋体"/>
                <w:b/>
                <w:bCs/>
                <w:color w:val="auto"/>
                <w:sz w:val="24"/>
              </w:rPr>
              <w:t>应在24小时内送达</w:t>
            </w:r>
            <w:r>
              <w:rPr>
                <w:rFonts w:hint="eastAsia" w:ascii="新宋体" w:hAnsi="新宋体" w:eastAsia="新宋体"/>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color w:val="auto"/>
                <w:sz w:val="24"/>
                <w:lang w:eastAsia="zh-CN"/>
              </w:rPr>
            </w:pPr>
            <w:r>
              <w:rPr>
                <w:rFonts w:hint="eastAsia" w:ascii="新宋体" w:hAnsi="新宋体" w:eastAsia="新宋体"/>
                <w:b/>
                <w:bCs/>
                <w:color w:val="auto"/>
                <w:sz w:val="24"/>
                <w:lang w:eastAsia="zh-CN"/>
              </w:rPr>
              <w:t>供货期：一年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spacing w:line="360" w:lineRule="auto"/>
              <w:rPr>
                <w:rFonts w:hint="eastAsia" w:ascii="新宋体" w:hAnsi="新宋体" w:eastAsia="新宋体"/>
                <w:b/>
                <w:bCs/>
                <w:sz w:val="24"/>
              </w:rPr>
            </w:pPr>
            <w:r>
              <w:rPr>
                <w:rFonts w:hint="eastAsia" w:ascii="新宋体" w:hAnsi="新宋体" w:eastAsia="新宋体"/>
                <w:b/>
                <w:bCs/>
                <w:color w:val="auto"/>
                <w:sz w:val="24"/>
              </w:rPr>
              <w:t>付款方式：收到配送</w:t>
            </w:r>
            <w:r>
              <w:rPr>
                <w:rFonts w:hint="eastAsia" w:ascii="新宋体" w:hAnsi="新宋体" w:eastAsia="新宋体"/>
                <w:b/>
                <w:bCs/>
                <w:color w:val="auto"/>
                <w:sz w:val="24"/>
                <w:lang w:val="en-US" w:eastAsia="zh-CN"/>
              </w:rPr>
              <w:t>一次性血液成分分离管路</w:t>
            </w:r>
            <w:r>
              <w:rPr>
                <w:rFonts w:hint="eastAsia" w:ascii="新宋体" w:hAnsi="新宋体" w:eastAsia="新宋体"/>
                <w:b/>
                <w:bCs/>
                <w:color w:val="auto"/>
                <w:sz w:val="24"/>
              </w:rPr>
              <w:t>且验收合格之日起，按照所供应</w:t>
            </w:r>
            <w:r>
              <w:rPr>
                <w:rFonts w:hint="eastAsia" w:ascii="新宋体" w:hAnsi="新宋体" w:eastAsia="新宋体"/>
                <w:b/>
                <w:bCs/>
                <w:color w:val="auto"/>
                <w:sz w:val="24"/>
                <w:lang w:eastAsia="zh-CN"/>
              </w:rPr>
              <w:t>一次性血液成分分离管路及控制计数器</w:t>
            </w:r>
            <w:r>
              <w:rPr>
                <w:rFonts w:hint="eastAsia" w:ascii="新宋体" w:hAnsi="新宋体" w:eastAsia="新宋体"/>
                <w:b/>
                <w:bCs/>
                <w:color w:val="auto"/>
                <w:sz w:val="24"/>
              </w:rPr>
              <w:t>进行结算，周期为3个月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4" w:type="dxa"/>
            <w:noWrap w:val="0"/>
            <w:vAlign w:val="center"/>
          </w:tcPr>
          <w:p>
            <w:pPr>
              <w:numPr>
                <w:ilvl w:val="0"/>
                <w:numId w:val="4"/>
              </w:numPr>
              <w:tabs>
                <w:tab w:val="left" w:pos="600"/>
                <w:tab w:val="clear" w:pos="420"/>
              </w:tabs>
              <w:spacing w:line="360" w:lineRule="auto"/>
              <w:ind w:left="600"/>
              <w:rPr>
                <w:rFonts w:hint="eastAsia" w:ascii="新宋体" w:hAnsi="新宋体" w:eastAsia="新宋体"/>
                <w:b/>
                <w:bCs/>
                <w:sz w:val="24"/>
              </w:rPr>
            </w:pPr>
          </w:p>
        </w:tc>
        <w:tc>
          <w:tcPr>
            <w:tcW w:w="7795" w:type="dxa"/>
            <w:noWrap w:val="0"/>
            <w:vAlign w:val="center"/>
          </w:tcPr>
          <w:p>
            <w:pPr>
              <w:rPr>
                <w:rFonts w:hint="eastAsia" w:ascii="新宋体" w:hAnsi="新宋体" w:eastAsia="新宋体"/>
                <w:b/>
                <w:bCs/>
                <w:sz w:val="24"/>
                <w:lang w:eastAsia="zh-CN"/>
              </w:rPr>
            </w:pPr>
            <w:r>
              <w:rPr>
                <w:rFonts w:hint="eastAsia" w:ascii="新宋体" w:hAnsi="新宋体" w:eastAsia="新宋体"/>
                <w:b/>
                <w:bCs/>
                <w:sz w:val="24"/>
              </w:rPr>
              <w:t>交货地点：安康市中心血站</w:t>
            </w:r>
            <w:r>
              <w:rPr>
                <w:rFonts w:hint="eastAsia" w:ascii="新宋体" w:hAnsi="新宋体" w:eastAsia="新宋体"/>
                <w:b/>
                <w:bCs/>
                <w:sz w:val="24"/>
                <w:lang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0" w:type="auto"/>
            <w:gridSpan w:val="2"/>
            <w:noWrap w:val="0"/>
            <w:vAlign w:val="center"/>
          </w:tcPr>
          <w:p>
            <w:pPr>
              <w:rPr>
                <w:rFonts w:hint="eastAsia" w:ascii="新宋体" w:hAnsi="新宋体" w:eastAsia="新宋体"/>
                <w:b/>
                <w:bCs/>
                <w:sz w:val="24"/>
                <w:lang w:eastAsia="zh-CN"/>
              </w:rPr>
            </w:pPr>
            <w:r>
              <w:rPr>
                <w:rFonts w:hint="eastAsia" w:ascii="新宋体" w:hAnsi="新宋体" w:eastAsia="新宋体"/>
                <w:b/>
                <w:bCs/>
                <w:sz w:val="24"/>
                <w:lang w:eastAsia="zh-CN"/>
              </w:rPr>
              <w:t>注：以上要求不可负偏离，否则视为无效投标。</w:t>
            </w:r>
          </w:p>
        </w:tc>
      </w:tr>
    </w:tbl>
    <w:p>
      <w:pPr>
        <w:pStyle w:val="23"/>
        <w:rPr>
          <w:rFonts w:hint="eastAsia" w:eastAsiaTheme="minorEastAsia"/>
          <w:lang w:eastAsia="zh-CN"/>
        </w:rPr>
      </w:pPr>
    </w:p>
    <w:p>
      <w:pPr>
        <w:spacing w:line="360" w:lineRule="auto"/>
        <w:jc w:val="center"/>
        <w:rPr>
          <w:rFonts w:hint="eastAsia" w:ascii="宋体" w:hAnsi="宋体" w:cs="宋体"/>
          <w:b/>
          <w:bCs/>
          <w:color w:val="auto"/>
          <w:sz w:val="10"/>
          <w:szCs w:val="10"/>
        </w:rPr>
      </w:pPr>
    </w:p>
    <w:p>
      <w:pPr>
        <w:pStyle w:val="23"/>
        <w:rPr>
          <w:rFonts w:hint="eastAsia"/>
        </w:rPr>
      </w:pPr>
    </w:p>
    <w:p>
      <w:pPr>
        <w:spacing w:line="360" w:lineRule="auto"/>
        <w:jc w:val="center"/>
        <w:outlineLvl w:val="9"/>
        <w:rPr>
          <w:rFonts w:hint="eastAsia" w:ascii="宋体" w:hAnsi="宋体" w:cs="宋体"/>
          <w:b/>
          <w:color w:val="auto"/>
          <w:kern w:val="1"/>
          <w:sz w:val="36"/>
          <w:szCs w:val="36"/>
          <w:lang w:val="en-US" w:eastAsia="zh-CN"/>
        </w:rPr>
      </w:pPr>
    </w:p>
    <w:p>
      <w:pPr>
        <w:spacing w:line="360" w:lineRule="auto"/>
        <w:jc w:val="center"/>
        <w:outlineLvl w:val="9"/>
        <w:rPr>
          <w:rFonts w:hint="eastAsia" w:ascii="宋体" w:hAnsi="宋体" w:cs="宋体"/>
          <w:b/>
          <w:color w:val="auto"/>
          <w:kern w:val="1"/>
          <w:sz w:val="36"/>
          <w:szCs w:val="36"/>
        </w:rPr>
      </w:pPr>
      <w:r>
        <w:rPr>
          <w:rFonts w:hint="eastAsia" w:ascii="宋体" w:hAnsi="宋体" w:cs="宋体"/>
          <w:b/>
          <w:color w:val="auto"/>
          <w:kern w:val="1"/>
          <w:sz w:val="36"/>
          <w:szCs w:val="36"/>
          <w:lang w:val="en-US" w:eastAsia="zh-CN"/>
        </w:rPr>
        <w:t>安康市中心血站2022年度一次性血液成分分离管路及控制计数器采购项目</w:t>
      </w:r>
      <w:r>
        <w:rPr>
          <w:rFonts w:hint="eastAsia" w:ascii="宋体" w:hAnsi="宋体" w:cs="宋体"/>
          <w:b/>
          <w:color w:val="auto"/>
          <w:kern w:val="1"/>
          <w:sz w:val="36"/>
          <w:szCs w:val="36"/>
          <w:lang w:val="en-US"/>
        </w:rPr>
        <w:t xml:space="preserve"> </w:t>
      </w:r>
    </w:p>
    <w:p>
      <w:pPr>
        <w:spacing w:line="360" w:lineRule="auto"/>
        <w:jc w:val="center"/>
        <w:outlineLvl w:val="9"/>
        <w:rPr>
          <w:rFonts w:hint="eastAsia" w:ascii="宋体" w:hAnsi="宋体" w:cs="宋体"/>
          <w:b/>
          <w:color w:val="auto"/>
          <w:kern w:val="1"/>
          <w:sz w:val="36"/>
          <w:szCs w:val="36"/>
        </w:rPr>
      </w:pPr>
    </w:p>
    <w:p>
      <w:pPr>
        <w:spacing w:line="360" w:lineRule="auto"/>
        <w:jc w:val="center"/>
        <w:outlineLvl w:val="9"/>
        <w:rPr>
          <w:rFonts w:hint="eastAsia" w:ascii="宋体" w:hAnsi="宋体" w:cs="宋体"/>
          <w:b/>
          <w:color w:val="auto"/>
          <w:kern w:val="1"/>
          <w:sz w:val="36"/>
          <w:szCs w:val="36"/>
        </w:rPr>
      </w:pPr>
      <w:r>
        <w:rPr>
          <w:rFonts w:hint="eastAsia" w:ascii="宋体" w:hAnsi="宋体" w:cs="宋体"/>
          <w:b/>
          <w:color w:val="auto"/>
          <w:kern w:val="1"/>
          <w:sz w:val="36"/>
          <w:szCs w:val="36"/>
        </w:rPr>
        <w:t>采购合同</w:t>
      </w:r>
    </w:p>
    <w:p>
      <w:pPr>
        <w:spacing w:line="360" w:lineRule="auto"/>
        <w:jc w:val="center"/>
        <w:outlineLvl w:val="9"/>
        <w:rPr>
          <w:rFonts w:ascii="宋体" w:hAnsi="宋体" w:cs="宋体"/>
          <w:color w:val="auto"/>
          <w:kern w:val="1"/>
          <w:sz w:val="36"/>
          <w:szCs w:val="36"/>
        </w:rPr>
      </w:pPr>
    </w:p>
    <w:p>
      <w:pPr>
        <w:spacing w:line="360" w:lineRule="auto"/>
        <w:jc w:val="center"/>
        <w:outlineLvl w:val="9"/>
        <w:rPr>
          <w:rFonts w:ascii="宋体" w:hAnsi="宋体" w:cs="宋体"/>
          <w:color w:val="auto"/>
          <w:kern w:val="1"/>
          <w:sz w:val="36"/>
          <w:szCs w:val="36"/>
        </w:rPr>
      </w:pPr>
    </w:p>
    <w:p>
      <w:pPr>
        <w:outlineLvl w:val="9"/>
        <w:rPr>
          <w:color w:val="auto"/>
        </w:rPr>
      </w:pPr>
    </w:p>
    <w:p>
      <w:pPr>
        <w:spacing w:line="480" w:lineRule="auto"/>
        <w:ind w:firstLine="1850" w:firstLineChars="658"/>
        <w:outlineLvl w:val="9"/>
        <w:rPr>
          <w:rFonts w:hint="eastAsia" w:ascii="宋体" w:hAnsi="宋体" w:cs="宋体"/>
          <w:b/>
          <w:color w:val="auto"/>
          <w:kern w:val="1"/>
          <w:sz w:val="28"/>
          <w:szCs w:val="36"/>
        </w:rPr>
      </w:pPr>
    </w:p>
    <w:p>
      <w:pPr>
        <w:pStyle w:val="2"/>
        <w:rPr>
          <w:rFonts w:hint="eastAsia"/>
        </w:rPr>
      </w:pPr>
    </w:p>
    <w:p>
      <w:pPr>
        <w:spacing w:line="480" w:lineRule="auto"/>
        <w:ind w:firstLine="1850" w:firstLineChars="658"/>
        <w:outlineLvl w:val="9"/>
        <w:rPr>
          <w:rFonts w:hint="eastAsia" w:ascii="宋体" w:hAnsi="宋体" w:cs="宋体"/>
          <w:b/>
          <w:color w:val="auto"/>
          <w:kern w:val="1"/>
          <w:sz w:val="28"/>
          <w:szCs w:val="36"/>
          <w:lang w:val="en-US" w:eastAsia="zh-CN"/>
        </w:rPr>
      </w:pPr>
      <w:r>
        <w:rPr>
          <w:rFonts w:hint="eastAsia" w:ascii="宋体" w:hAnsi="宋体" w:cs="宋体"/>
          <w:b/>
          <w:color w:val="auto"/>
          <w:kern w:val="1"/>
          <w:sz w:val="28"/>
          <w:szCs w:val="36"/>
          <w:lang w:eastAsia="zh-CN"/>
        </w:rPr>
        <w:t>项目编号</w:t>
      </w:r>
      <w:r>
        <w:rPr>
          <w:rFonts w:hint="eastAsia" w:ascii="宋体" w:hAnsi="宋体" w:cs="宋体"/>
          <w:b/>
          <w:color w:val="auto"/>
          <w:kern w:val="1"/>
          <w:sz w:val="28"/>
          <w:szCs w:val="36"/>
          <w:lang w:val="en-US" w:eastAsia="zh-CN"/>
        </w:rPr>
        <w:t>：DXZB-2022-0972</w:t>
      </w:r>
    </w:p>
    <w:p>
      <w:pPr>
        <w:spacing w:line="480" w:lineRule="auto"/>
        <w:ind w:firstLine="1850" w:firstLineChars="658"/>
        <w:outlineLvl w:val="9"/>
        <w:rPr>
          <w:rFonts w:hint="eastAsia" w:ascii="宋体" w:hAnsi="宋体" w:cs="宋体" w:eastAsiaTheme="minorEastAsia"/>
          <w:b/>
          <w:color w:val="auto"/>
          <w:kern w:val="1"/>
          <w:sz w:val="28"/>
          <w:szCs w:val="36"/>
          <w:lang w:eastAsia="zh-CN"/>
        </w:rPr>
      </w:pPr>
      <w:r>
        <w:rPr>
          <w:rFonts w:hint="eastAsia" w:ascii="宋体" w:hAnsi="宋体" w:cs="宋体"/>
          <w:b/>
          <w:color w:val="auto"/>
          <w:kern w:val="1"/>
          <w:sz w:val="28"/>
          <w:szCs w:val="36"/>
        </w:rPr>
        <w:t>合同编号</w:t>
      </w:r>
      <w:r>
        <w:rPr>
          <w:rFonts w:hint="eastAsia" w:ascii="宋体" w:hAnsi="宋体" w:cs="宋体"/>
          <w:b/>
          <w:color w:val="auto"/>
          <w:kern w:val="1"/>
          <w:sz w:val="28"/>
          <w:szCs w:val="36"/>
          <w:lang w:eastAsia="zh-CN"/>
        </w:rPr>
        <w:t>：</w:t>
      </w:r>
    </w:p>
    <w:p>
      <w:pPr>
        <w:spacing w:line="360" w:lineRule="auto"/>
        <w:outlineLvl w:val="9"/>
        <w:rPr>
          <w:rFonts w:hint="eastAsia" w:ascii="宋体" w:hAnsi="宋体" w:cs="宋体"/>
          <w:b/>
          <w:color w:val="auto"/>
          <w:kern w:val="1"/>
          <w:sz w:val="28"/>
          <w:szCs w:val="28"/>
        </w:rPr>
      </w:pPr>
    </w:p>
    <w:p>
      <w:pPr>
        <w:spacing w:line="360" w:lineRule="auto"/>
        <w:outlineLvl w:val="9"/>
        <w:rPr>
          <w:rFonts w:hint="eastAsia" w:ascii="宋体" w:hAnsi="宋体" w:cs="宋体"/>
          <w:b/>
          <w:color w:val="auto"/>
          <w:kern w:val="1"/>
          <w:sz w:val="28"/>
          <w:szCs w:val="28"/>
        </w:rPr>
      </w:pPr>
    </w:p>
    <w:p>
      <w:pPr>
        <w:spacing w:line="360" w:lineRule="auto"/>
        <w:outlineLvl w:val="9"/>
        <w:rPr>
          <w:rFonts w:hint="eastAsia" w:ascii="宋体" w:hAnsi="宋体" w:cs="宋体"/>
          <w:b/>
          <w:color w:val="auto"/>
          <w:kern w:val="1"/>
          <w:sz w:val="28"/>
          <w:szCs w:val="28"/>
        </w:rPr>
      </w:pPr>
    </w:p>
    <w:p>
      <w:pPr>
        <w:spacing w:line="360" w:lineRule="auto"/>
        <w:ind w:firstLine="689" w:firstLineChars="245"/>
        <w:jc w:val="both"/>
        <w:outlineLvl w:val="9"/>
        <w:rPr>
          <w:rFonts w:ascii="宋体" w:hAnsi="宋体" w:cs="宋体"/>
          <w:b/>
          <w:color w:val="auto"/>
          <w:kern w:val="1"/>
          <w:sz w:val="28"/>
          <w:szCs w:val="28"/>
        </w:rPr>
      </w:pPr>
    </w:p>
    <w:p>
      <w:pPr>
        <w:spacing w:line="360" w:lineRule="auto"/>
        <w:ind w:firstLine="689" w:firstLineChars="245"/>
        <w:jc w:val="both"/>
        <w:outlineLvl w:val="9"/>
        <w:rPr>
          <w:rFonts w:ascii="宋体" w:hAnsi="宋体" w:cs="宋体"/>
          <w:b/>
          <w:color w:val="auto"/>
          <w:kern w:val="1"/>
          <w:sz w:val="28"/>
          <w:szCs w:val="28"/>
        </w:rPr>
      </w:pPr>
    </w:p>
    <w:p>
      <w:pPr>
        <w:spacing w:line="360" w:lineRule="auto"/>
        <w:ind w:firstLine="689" w:firstLineChars="245"/>
        <w:jc w:val="both"/>
        <w:outlineLvl w:val="9"/>
        <w:rPr>
          <w:rFonts w:ascii="宋体" w:hAnsi="宋体" w:cs="宋体"/>
          <w:b/>
          <w:color w:val="auto"/>
          <w:kern w:val="1"/>
          <w:sz w:val="36"/>
          <w:szCs w:val="36"/>
        </w:rPr>
      </w:pPr>
      <w:r>
        <w:rPr>
          <w:rFonts w:ascii="宋体" w:hAnsi="宋体" w:cs="宋体"/>
          <w:b/>
          <w:color w:val="auto"/>
          <w:kern w:val="1"/>
          <w:sz w:val="28"/>
          <w:szCs w:val="28"/>
        </w:rPr>
        <w:t>买    方</w:t>
      </w:r>
      <w:r>
        <w:rPr>
          <w:rFonts w:hint="eastAsia" w:ascii="宋体" w:hAnsi="宋体" w:cs="宋体"/>
          <w:b/>
          <w:color w:val="auto"/>
          <w:kern w:val="1"/>
          <w:sz w:val="28"/>
          <w:szCs w:val="28"/>
          <w:lang w:eastAsia="zh-CN"/>
        </w:rPr>
        <w:t>：</w:t>
      </w:r>
      <w:r>
        <w:rPr>
          <w:rFonts w:hint="eastAsia" w:ascii="宋体" w:hAnsi="宋体" w:cs="宋体" w:eastAsiaTheme="minorEastAsia"/>
          <w:b/>
          <w:bCs/>
          <w:color w:val="auto"/>
          <w:spacing w:val="20"/>
          <w:kern w:val="1"/>
          <w:sz w:val="28"/>
          <w:szCs w:val="28"/>
          <w:lang w:val="en-US"/>
        </w:rPr>
        <w:t>安康市中心血站</w:t>
      </w:r>
    </w:p>
    <w:p>
      <w:pPr>
        <w:spacing w:line="360" w:lineRule="auto"/>
        <w:ind w:firstLine="689" w:firstLineChars="245"/>
        <w:outlineLvl w:val="9"/>
        <w:rPr>
          <w:rFonts w:hint="eastAsia" w:ascii="宋体" w:hAnsi="宋体" w:cs="宋体" w:eastAsiaTheme="minorEastAsia"/>
          <w:b/>
          <w:color w:val="auto"/>
          <w:kern w:val="1"/>
          <w:sz w:val="28"/>
          <w:szCs w:val="28"/>
          <w:lang w:eastAsia="zh-CN"/>
        </w:rPr>
      </w:pPr>
      <w:r>
        <w:rPr>
          <w:rFonts w:hint="eastAsia" w:ascii="宋体" w:hAnsi="宋体" w:cs="宋体"/>
          <w:b/>
          <w:color w:val="auto"/>
          <w:kern w:val="1"/>
          <w:sz w:val="28"/>
          <w:szCs w:val="28"/>
        </w:rPr>
        <w:t>卖    方</w:t>
      </w:r>
      <w:r>
        <w:rPr>
          <w:rFonts w:hint="eastAsia" w:ascii="宋体" w:hAnsi="宋体" w:cs="宋体"/>
          <w:b/>
          <w:color w:val="auto"/>
          <w:kern w:val="1"/>
          <w:sz w:val="28"/>
          <w:szCs w:val="28"/>
          <w:lang w:eastAsia="zh-CN"/>
        </w:rPr>
        <w:t>：</w:t>
      </w:r>
    </w:p>
    <w:p>
      <w:pPr>
        <w:spacing w:line="360" w:lineRule="auto"/>
        <w:ind w:firstLine="689" w:firstLineChars="245"/>
        <w:outlineLvl w:val="9"/>
        <w:rPr>
          <w:rFonts w:hint="eastAsia" w:ascii="宋体" w:hAnsi="宋体" w:cs="宋体" w:eastAsiaTheme="minorEastAsia"/>
          <w:b/>
          <w:bCs/>
          <w:color w:val="auto"/>
          <w:spacing w:val="20"/>
          <w:kern w:val="1"/>
          <w:sz w:val="28"/>
          <w:szCs w:val="28"/>
        </w:rPr>
      </w:pPr>
      <w:r>
        <w:rPr>
          <w:rFonts w:hint="eastAsia" w:ascii="宋体" w:hAnsi="宋体" w:cs="宋体"/>
          <w:b/>
          <w:bCs/>
          <w:color w:val="auto"/>
          <w:kern w:val="1"/>
          <w:sz w:val="28"/>
          <w:szCs w:val="28"/>
        </w:rPr>
        <w:t>招标代理</w:t>
      </w:r>
      <w:bookmarkStart w:id="32" w:name="_Toc369274613"/>
      <w:bookmarkEnd w:id="32"/>
      <w:bookmarkStart w:id="33" w:name="_Toc367783750"/>
      <w:bookmarkEnd w:id="33"/>
      <w:bookmarkStart w:id="34" w:name="_Toc367735192"/>
      <w:bookmarkEnd w:id="34"/>
      <w:r>
        <w:rPr>
          <w:rFonts w:hint="eastAsia" w:ascii="宋体" w:hAnsi="宋体" w:cs="宋体"/>
          <w:b/>
          <w:bCs/>
          <w:color w:val="auto"/>
          <w:kern w:val="1"/>
          <w:sz w:val="28"/>
          <w:szCs w:val="28"/>
          <w:lang w:eastAsia="zh-CN"/>
        </w:rPr>
        <w:t>：</w:t>
      </w:r>
      <w:r>
        <w:rPr>
          <w:rFonts w:hint="eastAsia" w:ascii="宋体" w:hAnsi="宋体" w:cs="宋体" w:eastAsiaTheme="minorEastAsia"/>
          <w:b/>
          <w:bCs/>
          <w:color w:val="auto"/>
          <w:spacing w:val="20"/>
          <w:kern w:val="1"/>
          <w:sz w:val="28"/>
          <w:szCs w:val="28"/>
        </w:rPr>
        <w:t>陕西德信招标有限公司</w:t>
      </w:r>
    </w:p>
    <w:p>
      <w:pPr>
        <w:outlineLvl w:val="9"/>
        <w:rPr>
          <w:rFonts w:hint="eastAsia"/>
          <w:color w:val="auto"/>
        </w:rPr>
      </w:pPr>
      <w:bookmarkStart w:id="35" w:name="_Toc437438182"/>
      <w:bookmarkEnd w:id="35"/>
      <w:bookmarkStart w:id="36" w:name="_Toc413850330"/>
      <w:bookmarkEnd w:id="36"/>
    </w:p>
    <w:p>
      <w:pPr>
        <w:outlineLvl w:val="9"/>
        <w:rPr>
          <w:rFonts w:hint="eastAsia" w:ascii="宋体" w:hAnsi="宋体" w:eastAsia="宋体" w:cs="宋体"/>
          <w:color w:val="auto"/>
          <w:kern w:val="1"/>
          <w:sz w:val="28"/>
          <w:szCs w:val="30"/>
        </w:rPr>
      </w:pPr>
      <w:r>
        <w:rPr>
          <w:rFonts w:hint="eastAsia" w:ascii="宋体" w:hAnsi="宋体" w:eastAsia="宋体" w:cs="宋体"/>
          <w:color w:val="auto"/>
          <w:kern w:val="1"/>
          <w:sz w:val="28"/>
          <w:szCs w:val="30"/>
        </w:rPr>
        <w:br w:type="page"/>
      </w:r>
    </w:p>
    <w:p>
      <w:pPr>
        <w:spacing w:line="360" w:lineRule="auto"/>
        <w:jc w:val="center"/>
        <w:outlineLvl w:val="9"/>
        <w:rPr>
          <w:rFonts w:hint="eastAsia" w:ascii="宋体" w:hAnsi="宋体" w:cs="宋体"/>
          <w:b/>
          <w:color w:val="auto"/>
          <w:kern w:val="1"/>
          <w:sz w:val="32"/>
          <w:szCs w:val="32"/>
          <w:lang w:val="en-US" w:eastAsia="zh-CN"/>
        </w:rPr>
      </w:pPr>
      <w:bookmarkStart w:id="37" w:name="_Toc9956"/>
      <w:r>
        <w:rPr>
          <w:rFonts w:hint="eastAsia" w:ascii="宋体" w:hAnsi="宋体" w:cs="宋体"/>
          <w:b/>
          <w:color w:val="auto"/>
          <w:kern w:val="1"/>
          <w:sz w:val="32"/>
          <w:szCs w:val="32"/>
          <w:lang w:val="en-US" w:eastAsia="zh-CN"/>
        </w:rPr>
        <w:t>安康市中心血站2022年度一次性血液成分分离管路及控制计数器采购项目</w:t>
      </w:r>
    </w:p>
    <w:p>
      <w:pPr>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采购合同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甲方（采购方）： 安康市中心血站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乙方（供应商）：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甲乙双方根据《中华人民共和国政府采购法》、《中华人民共和国合同法》及其相关文件精神，保障安康市中心血站</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采购等顺利进行，明确</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集中配送交易服务双方权利和义务等，特订立本合同。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第一条合同依据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本合同以乙方在</w:t>
      </w:r>
      <w:r>
        <w:rPr>
          <w:rFonts w:hint="eastAsia" w:ascii="宋体" w:hAnsi="宋体" w:eastAsia="宋体" w:cs="宋体"/>
          <w:sz w:val="24"/>
          <w:lang w:eastAsia="zh-CN"/>
        </w:rPr>
        <w:t>安康市中心血站2021年度一次性血液成分分离管路及控制计数器机单一来源采购项目</w:t>
      </w:r>
      <w:r>
        <w:rPr>
          <w:rFonts w:hint="eastAsia" w:ascii="宋体" w:hAnsi="宋体" w:eastAsia="宋体" w:cs="宋体"/>
          <w:sz w:val="24"/>
        </w:rPr>
        <w:t>招标活动中，所提交的《投标文件》的相关服务承诺和配送</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、设备为主要条款依据，进一步明确配送服务等内容及方式，并确定乙方为甲方</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的配送企业，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第二条配送内容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乙方按《投标文件》承诺时限提供相应货物后，甲方按购销合同采购</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。甲方向乙方发送订单通知，乙方据此供货，双方确认后订单为结算依据，是本合同等重要组成部分。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第三条配送要求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乙方所供</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应符合国家相关标准。</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包装、质量及价格等须与要求信息一致，不得更改，按甲方要求提供相应的检验报告书，将</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送到甲方指定地点，关键耗材的运输必须符合国家相关标准，不得对献血者健康和血液质量产生不良影响。</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 xml:space="preserve">第四条  </w:t>
      </w:r>
      <w:r>
        <w:rPr>
          <w:rFonts w:hint="eastAsia" w:ascii="宋体" w:hAnsi="宋体" w:eastAsia="宋体" w:cs="宋体"/>
          <w:sz w:val="24"/>
        </w:rPr>
        <w:t>乙方应保证甲方在使用</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时免受第三方提出有关专利权、商标权或保护期等方面的权利要求。</w:t>
      </w:r>
    </w:p>
    <w:p>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第五条  供货期限</w:t>
      </w:r>
    </w:p>
    <w:p>
      <w:pPr>
        <w:spacing w:line="360" w:lineRule="auto"/>
        <w:ind w:firstLine="480" w:firstLineChars="200"/>
        <w:rPr>
          <w:rFonts w:hint="eastAsia" w:ascii="宋体" w:hAnsi="宋体" w:eastAsia="宋体" w:cs="宋体"/>
          <w:color w:val="FF0000"/>
          <w:sz w:val="24"/>
        </w:rPr>
      </w:pPr>
      <w:r>
        <w:rPr>
          <w:rFonts w:hint="eastAsia" w:ascii="宋体" w:hAnsi="宋体" w:eastAsia="宋体" w:cs="宋体"/>
          <w:color w:val="auto"/>
          <w:sz w:val="24"/>
        </w:rPr>
        <w:t>乙方应自确认甲方订单通知起10个工作日内交货，最长不超过14个工作日，紧急</w:t>
      </w:r>
      <w:r>
        <w:rPr>
          <w:rFonts w:hint="eastAsia" w:ascii="宋体" w:hAnsi="宋体" w:eastAsia="宋体" w:cs="宋体"/>
          <w:color w:val="auto"/>
          <w:sz w:val="24"/>
          <w:lang w:eastAsia="zh-CN"/>
        </w:rPr>
        <w:t>一次性血液成分分离管路及控制计数器</w:t>
      </w:r>
      <w:r>
        <w:rPr>
          <w:rFonts w:hint="eastAsia" w:ascii="宋体" w:hAnsi="宋体" w:eastAsia="宋体" w:cs="宋体"/>
          <w:color w:val="auto"/>
          <w:sz w:val="24"/>
        </w:rPr>
        <w:t>乙方应在24小时内送到。</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第六条  供货价格及货款结算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1、供货价格:以《投标文件》中所报价格为准，合同履行期间出现价格政策性调整或政府指导价，政府招标(含国家卫健委、省、市卫生行政主管部门或政府有关部门组织的招标)的</w:t>
      </w:r>
      <w:r>
        <w:rPr>
          <w:rFonts w:hint="eastAsia" w:ascii="宋体" w:hAnsi="宋体" w:eastAsia="宋体" w:cs="宋体"/>
          <w:sz w:val="24"/>
          <w:lang w:eastAsia="zh-CN"/>
        </w:rPr>
        <w:t>成交</w:t>
      </w:r>
      <w:r>
        <w:rPr>
          <w:rFonts w:hint="eastAsia" w:ascii="宋体" w:hAnsi="宋体" w:eastAsia="宋体" w:cs="宋体"/>
          <w:sz w:val="24"/>
        </w:rPr>
        <w:t>价，其给血站供应价格不得高于政府指导价或政府招标的</w:t>
      </w:r>
      <w:r>
        <w:rPr>
          <w:rFonts w:hint="eastAsia" w:ascii="宋体" w:hAnsi="宋体" w:eastAsia="宋体" w:cs="宋体"/>
          <w:sz w:val="24"/>
          <w:lang w:eastAsia="zh-CN"/>
        </w:rPr>
        <w:t>成交</w:t>
      </w:r>
      <w:r>
        <w:rPr>
          <w:rFonts w:hint="eastAsia" w:ascii="宋体" w:hAnsi="宋体" w:eastAsia="宋体" w:cs="宋体"/>
          <w:sz w:val="24"/>
        </w:rPr>
        <w:t>价。由双方协商另行签订书面补充合同。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2、货款结算</w:t>
      </w:r>
      <w:r>
        <w:rPr>
          <w:rFonts w:hint="eastAsia" w:ascii="宋体" w:hAnsi="宋体" w:eastAsia="宋体" w:cs="宋体"/>
          <w:color w:val="auto"/>
          <w:sz w:val="24"/>
        </w:rPr>
        <w:t>:甲方在收到配送医用及耗材且经验收合格之日起，按照所供应</w:t>
      </w:r>
      <w:r>
        <w:rPr>
          <w:rFonts w:hint="eastAsia" w:ascii="宋体" w:hAnsi="宋体" w:eastAsia="宋体" w:cs="宋体"/>
          <w:color w:val="auto"/>
          <w:sz w:val="24"/>
          <w:lang w:eastAsia="zh-CN"/>
        </w:rPr>
        <w:t>一次性血液成分分离管路及控制计数器</w:t>
      </w:r>
      <w:r>
        <w:rPr>
          <w:rFonts w:hint="eastAsia" w:ascii="宋体" w:hAnsi="宋体" w:eastAsia="宋体" w:cs="宋体"/>
          <w:color w:val="auto"/>
          <w:sz w:val="24"/>
        </w:rPr>
        <w:t>进行货款结算，结算周期为3个月。</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 xml:space="preserve">第七条  </w:t>
      </w:r>
      <w:r>
        <w:rPr>
          <w:rFonts w:hint="eastAsia" w:ascii="宋体" w:hAnsi="宋体" w:eastAsia="宋体" w:cs="宋体"/>
          <w:b/>
          <w:bCs/>
          <w:sz w:val="24"/>
          <w:lang w:eastAsia="zh-CN"/>
        </w:rPr>
        <w:t>一次性血液成分分离管路及控制计数器</w:t>
      </w:r>
      <w:r>
        <w:rPr>
          <w:rFonts w:hint="eastAsia" w:ascii="宋体" w:hAnsi="宋体" w:eastAsia="宋体" w:cs="宋体"/>
          <w:b/>
          <w:bCs/>
          <w:sz w:val="24"/>
        </w:rPr>
        <w:t>验收及异议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甲方对不符合质量、有效期、包装和订单数量要求的</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有权拒绝接受，乙方应对不符合要求的</w:t>
      </w:r>
      <w:r>
        <w:rPr>
          <w:rFonts w:hint="eastAsia" w:ascii="宋体" w:hAnsi="宋体" w:eastAsia="宋体" w:cs="宋体"/>
          <w:sz w:val="24"/>
          <w:lang w:eastAsia="zh-CN"/>
        </w:rPr>
        <w:t>一次性血液成分分离管路及控制计数器</w:t>
      </w:r>
      <w:r>
        <w:rPr>
          <w:rFonts w:hint="eastAsia" w:ascii="宋体" w:hAnsi="宋体" w:eastAsia="宋体" w:cs="宋体"/>
          <w:sz w:val="24"/>
        </w:rPr>
        <w:t>及时进行更换，协助甲方使用、保管、保养，避免由此造成产品失效或质量下降。</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第八条  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1、按《合同法》中的相关条款执行。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2、乙方履约延误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2.1、如乙方事先未征得甲方同意并得到甲方的谅解而单方面延迟交货，将按违约终止合同。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 计收，直至交货或提供服务为止。误期赔偿费的最高限额为合同价格的百分之五(5%)。一旦达到误期赔偿费的最高限额，甲方可终止合同。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违约终止合同:未按《投标文件》承诺时限提供相应货物或未按甲方规定时限交货或质量不能满足技术要求，甲方会同监督机构有权终止合同，对乙方违约行为进行追究，同时按政府采购法的有关规定进行相应的处罚。</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4、乙方在合同服务期间若因服务质量、产品质量差或存在违法违纪行为，甲方有权终止与乙方签署的协议并更换供应商。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5、本次预算为概预算，以实际使用量为准。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w:t>
      </w:r>
      <w:r>
        <w:rPr>
          <w:rFonts w:hint="eastAsia" w:ascii="宋体" w:hAnsi="宋体" w:eastAsia="宋体" w:cs="宋体"/>
          <w:b/>
          <w:bCs/>
          <w:sz w:val="24"/>
          <w:lang w:eastAsia="zh-CN"/>
        </w:rPr>
        <w:t>九</w:t>
      </w:r>
      <w:r>
        <w:rPr>
          <w:rFonts w:hint="eastAsia" w:ascii="宋体" w:hAnsi="宋体" w:eastAsia="宋体" w:cs="宋体"/>
          <w:b/>
          <w:bCs/>
          <w:sz w:val="24"/>
        </w:rPr>
        <w:t>条  合同组成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成交</w:t>
      </w:r>
      <w:r>
        <w:rPr>
          <w:rFonts w:hint="eastAsia" w:ascii="宋体" w:hAnsi="宋体" w:eastAsia="宋体" w:cs="宋体"/>
          <w:sz w:val="24"/>
        </w:rPr>
        <w:t>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3、国家相关规范及标准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4、招标文件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5、投标文件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第十条  合同生效及其它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1、合同未尽事宜、由甲、乙双方协商，作为补充合同，与原合同具有同等法律效力。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本合同正本一式伍份，甲方、乙方双方分别执贰份，招标代理公司壹份。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3、合同经甲乙双方盖章、签字后生效，合同签订地点为___。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4、生效时间:      年   月   日</w:t>
      </w:r>
    </w:p>
    <w:p>
      <w:pPr>
        <w:pStyle w:val="2"/>
        <w:rPr>
          <w:rFonts w:hint="eastAsia" w:ascii="宋体" w:hAnsi="宋体" w:eastAsia="宋体" w:cs="宋体"/>
          <w:lang w:val="en-US" w:eastAsia="zh-CN"/>
        </w:rPr>
      </w:pPr>
      <w:r>
        <w:rPr>
          <w:rFonts w:hint="eastAsia" w:ascii="宋体" w:hAnsi="宋体" w:eastAsia="宋体" w:cs="宋体"/>
          <w:lang w:val="en-US" w:eastAsia="zh-CN"/>
        </w:rPr>
        <w:t xml:space="preserve"> </w:t>
      </w:r>
    </w:p>
    <w:p>
      <w:pPr>
        <w:ind w:firstLine="240" w:firstLineChars="100"/>
        <w:rPr>
          <w:rFonts w:hint="eastAsia" w:ascii="宋体" w:hAnsi="宋体" w:eastAsia="宋体" w:cs="宋体"/>
          <w:sz w:val="24"/>
        </w:rPr>
      </w:pPr>
    </w:p>
    <w:p>
      <w:pPr>
        <w:ind w:firstLine="240" w:firstLineChars="100"/>
        <w:rPr>
          <w:rFonts w:hint="eastAsia" w:ascii="宋体" w:hAnsi="宋体" w:eastAsia="宋体" w:cs="宋体"/>
          <w:sz w:val="24"/>
        </w:rPr>
      </w:pPr>
    </w:p>
    <w:p>
      <w:pPr>
        <w:rPr>
          <w:rFonts w:hint="eastAsia" w:ascii="宋体" w:hAnsi="宋体" w:eastAsia="宋体" w:cs="宋体"/>
          <w:sz w:val="24"/>
        </w:rPr>
      </w:pPr>
    </w:p>
    <w:p>
      <w:pPr>
        <w:ind w:firstLine="240" w:firstLineChars="100"/>
        <w:rPr>
          <w:rFonts w:hint="eastAsia" w:ascii="宋体" w:hAnsi="宋体" w:eastAsia="宋体" w:cs="宋体"/>
          <w:sz w:val="24"/>
        </w:rPr>
      </w:pPr>
    </w:p>
    <w:p>
      <w:pPr>
        <w:ind w:firstLine="240" w:firstLineChars="100"/>
        <w:rPr>
          <w:rFonts w:hint="eastAsia" w:ascii="宋体" w:hAnsi="宋体" w:eastAsia="宋体" w:cs="宋体"/>
          <w:sz w:val="24"/>
        </w:rPr>
      </w:pPr>
    </w:p>
    <w:p>
      <w:pPr>
        <w:ind w:firstLine="240" w:firstLineChars="100"/>
        <w:rPr>
          <w:rFonts w:hint="eastAsia" w:ascii="宋体" w:hAnsi="宋体" w:eastAsia="宋体" w:cs="宋体"/>
          <w:sz w:val="24"/>
        </w:rPr>
      </w:pP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甲方名称（盖章）：                   </w:t>
      </w:r>
      <w:r>
        <w:rPr>
          <w:rFonts w:hint="eastAsia" w:ascii="宋体" w:hAnsi="宋体" w:eastAsia="宋体" w:cs="宋体"/>
          <w:sz w:val="24"/>
          <w:lang w:val="en-US" w:eastAsia="zh-CN"/>
        </w:rPr>
        <w:t xml:space="preserve"> </w:t>
      </w:r>
      <w:r>
        <w:rPr>
          <w:rFonts w:hint="eastAsia" w:ascii="宋体" w:hAnsi="宋体" w:eastAsia="宋体" w:cs="宋体"/>
          <w:sz w:val="24"/>
        </w:rPr>
        <w:t>乙方名称（盖章）：</w:t>
      </w:r>
    </w:p>
    <w:p>
      <w:pPr>
        <w:pStyle w:val="2"/>
        <w:spacing w:line="360" w:lineRule="auto"/>
        <w:ind w:firstLine="480" w:firstLineChars="200"/>
        <w:rPr>
          <w:rFonts w:hint="eastAsia" w:ascii="宋体" w:hAnsi="宋体" w:eastAsia="宋体" w:cs="宋体"/>
          <w:kern w:val="2"/>
          <w:sz w:val="24"/>
          <w:szCs w:val="22"/>
          <w:lang w:val="en-US" w:eastAsia="zh-CN" w:bidi="ar-SA"/>
        </w:rPr>
      </w:pPr>
    </w:p>
    <w:p>
      <w:pPr>
        <w:pStyle w:val="2"/>
        <w:spacing w:line="360" w:lineRule="auto"/>
        <w:ind w:firstLine="240" w:firstLineChars="1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地址：                               地址：</w:t>
      </w:r>
    </w:p>
    <w:p>
      <w:pPr>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代表人（签字）：                      代表人（签字）：</w:t>
      </w:r>
    </w:p>
    <w:p>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电话：                               电话：</w:t>
      </w:r>
    </w:p>
    <w:p>
      <w:pPr>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开户银行：                           开户银行：</w:t>
      </w:r>
    </w:p>
    <w:p>
      <w:pPr>
        <w:pStyle w:val="2"/>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账号：                               账号：</w:t>
      </w:r>
    </w:p>
    <w:p>
      <w:pPr>
        <w:spacing w:line="360" w:lineRule="auto"/>
        <w:ind w:firstLine="480" w:firstLineChars="200"/>
        <w:rPr>
          <w:rFonts w:hint="eastAsia" w:ascii="宋体" w:hAnsi="宋体" w:eastAsia="宋体" w:cs="宋体"/>
          <w:kern w:val="2"/>
          <w:sz w:val="24"/>
          <w:szCs w:val="22"/>
          <w:lang w:val="en-US" w:eastAsia="zh-CN" w:bidi="ar-SA"/>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新宋体" w:hAnsi="新宋体" w:eastAsia="新宋体"/>
          <w:sz w:val="24"/>
        </w:rPr>
      </w:pPr>
    </w:p>
    <w:p>
      <w:pPr>
        <w:spacing w:line="360" w:lineRule="auto"/>
        <w:ind w:firstLine="3000" w:firstLineChars="1250"/>
        <w:rPr>
          <w:rFonts w:ascii="宋体" w:hAnsi="宋体" w:cs="宋体"/>
          <w:sz w:val="24"/>
        </w:rPr>
      </w:pPr>
    </w:p>
    <w:p>
      <w:pPr>
        <w:pStyle w:val="101"/>
        <w:rPr>
          <w:rFonts w:ascii="宋体" w:hAnsi="宋体" w:cs="宋体"/>
          <w:sz w:val="24"/>
        </w:rPr>
      </w:pPr>
    </w:p>
    <w:p>
      <w:pPr>
        <w:pStyle w:val="101"/>
        <w:rPr>
          <w:rFonts w:ascii="宋体" w:hAnsi="宋体" w:cs="宋体"/>
          <w:sz w:val="24"/>
        </w:rPr>
      </w:pPr>
    </w:p>
    <w:bookmarkEnd w:id="37"/>
    <w:p>
      <w:pPr>
        <w:snapToGrid w:val="0"/>
        <w:spacing w:beforeLines="100" w:after="0" w:line="360" w:lineRule="auto"/>
        <w:jc w:val="both"/>
        <w:outlineLvl w:val="9"/>
        <w:rPr>
          <w:rFonts w:hint="eastAsia" w:ascii="宋体" w:hAnsi="宋体"/>
          <w:bCs w:val="0"/>
          <w:color w:val="auto"/>
          <w:sz w:val="48"/>
          <w:szCs w:val="48"/>
        </w:rPr>
      </w:pPr>
      <w:bookmarkStart w:id="38" w:name="_Toc369274617"/>
      <w:bookmarkStart w:id="39" w:name="_Toc5469"/>
      <w:bookmarkStart w:id="40" w:name="_Toc409627240"/>
      <w:bookmarkStart w:id="41" w:name="_Toc28077"/>
      <w:bookmarkStart w:id="42" w:name="_Toc409627239"/>
      <w:bookmarkStart w:id="43" w:name="_Toc369274616"/>
    </w:p>
    <w:p>
      <w:pPr>
        <w:snapToGrid w:val="0"/>
        <w:spacing w:beforeLines="100" w:after="0" w:line="360" w:lineRule="auto"/>
        <w:jc w:val="center"/>
        <w:outlineLvl w:val="9"/>
        <w:rPr>
          <w:rFonts w:hint="eastAsia" w:ascii="宋体" w:hAnsi="宋体"/>
          <w:bCs w:val="0"/>
          <w:color w:val="auto"/>
          <w:sz w:val="48"/>
          <w:szCs w:val="48"/>
        </w:rPr>
      </w:pPr>
    </w:p>
    <w:p>
      <w:pPr>
        <w:pStyle w:val="2"/>
        <w:outlineLvl w:val="9"/>
        <w:rPr>
          <w:rFonts w:hint="eastAsia" w:ascii="宋体" w:hAnsi="宋体"/>
          <w:bCs w:val="0"/>
          <w:color w:val="auto"/>
          <w:sz w:val="48"/>
          <w:szCs w:val="48"/>
        </w:rPr>
      </w:pPr>
    </w:p>
    <w:p>
      <w:pPr>
        <w:outlineLvl w:val="9"/>
        <w:rPr>
          <w:rFonts w:hint="eastAsia"/>
          <w:color w:val="auto"/>
        </w:rPr>
      </w:pPr>
    </w:p>
    <w:p>
      <w:pPr>
        <w:snapToGrid w:val="0"/>
        <w:spacing w:beforeLines="100" w:after="0" w:line="360" w:lineRule="auto"/>
        <w:jc w:val="center"/>
        <w:outlineLvl w:val="9"/>
        <w:rPr>
          <w:rFonts w:hint="eastAsia" w:ascii="宋体" w:hAnsi="宋体"/>
          <w:bCs w:val="0"/>
          <w:color w:val="auto"/>
          <w:sz w:val="48"/>
          <w:szCs w:val="48"/>
        </w:rPr>
      </w:pPr>
    </w:p>
    <w:bookmarkEnd w:id="38"/>
    <w:bookmarkEnd w:id="39"/>
    <w:bookmarkEnd w:id="40"/>
    <w:bookmarkEnd w:id="41"/>
    <w:p>
      <w:pPr>
        <w:pStyle w:val="3"/>
        <w:snapToGrid w:val="0"/>
        <w:spacing w:beforeLines="100" w:after="0" w:line="360" w:lineRule="auto"/>
        <w:jc w:val="center"/>
        <w:rPr>
          <w:rFonts w:hint="eastAsia" w:ascii="宋体" w:hAnsi="宋体" w:eastAsia="宋体"/>
          <w:bCs w:val="0"/>
          <w:color w:val="auto"/>
          <w:sz w:val="48"/>
          <w:szCs w:val="48"/>
          <w:lang w:eastAsia="zh-CN"/>
        </w:rPr>
      </w:pPr>
      <w:bookmarkStart w:id="44" w:name="_Toc7006"/>
      <w:bookmarkStart w:id="45" w:name="_Toc7126"/>
      <w:bookmarkStart w:id="46" w:name="_Toc30565"/>
      <w:bookmarkStart w:id="47" w:name="_Toc5670"/>
      <w:r>
        <w:rPr>
          <w:rFonts w:hint="eastAsia" w:ascii="宋体" w:hAnsi="宋体"/>
          <w:bCs w:val="0"/>
          <w:color w:val="auto"/>
          <w:sz w:val="48"/>
          <w:szCs w:val="48"/>
        </w:rPr>
        <w:t>第</w:t>
      </w:r>
      <w:r>
        <w:rPr>
          <w:rFonts w:hint="eastAsia" w:ascii="宋体" w:hAnsi="宋体"/>
          <w:bCs w:val="0"/>
          <w:color w:val="auto"/>
          <w:sz w:val="48"/>
          <w:szCs w:val="48"/>
          <w:lang w:eastAsia="zh-CN"/>
        </w:rPr>
        <w:t>四</w:t>
      </w:r>
      <w:r>
        <w:rPr>
          <w:rFonts w:hint="eastAsia" w:ascii="宋体" w:hAnsi="宋体"/>
          <w:bCs w:val="0"/>
          <w:color w:val="auto"/>
          <w:sz w:val="48"/>
          <w:szCs w:val="48"/>
        </w:rPr>
        <w:t xml:space="preserve">章  </w:t>
      </w:r>
      <w:r>
        <w:rPr>
          <w:rFonts w:hint="eastAsia" w:ascii="宋体" w:hAnsi="宋体"/>
          <w:bCs w:val="0"/>
          <w:color w:val="auto"/>
          <w:sz w:val="48"/>
          <w:szCs w:val="48"/>
          <w:lang w:eastAsia="zh-CN"/>
        </w:rPr>
        <w:t>采购需求（</w:t>
      </w:r>
      <w:r>
        <w:rPr>
          <w:rFonts w:hint="eastAsia" w:ascii="宋体" w:hAnsi="宋体" w:cs="Times New Roman"/>
          <w:bCs w:val="0"/>
          <w:color w:val="auto"/>
          <w:sz w:val="48"/>
          <w:szCs w:val="48"/>
          <w:lang w:eastAsia="zh-CN"/>
        </w:rPr>
        <w:t>采购内容及要求）</w:t>
      </w:r>
      <w:bookmarkEnd w:id="44"/>
    </w:p>
    <w:p>
      <w:pPr>
        <w:rPr>
          <w:rFonts w:hint="eastAsia"/>
          <w:color w:val="auto"/>
        </w:rPr>
      </w:pPr>
    </w:p>
    <w:p>
      <w:pP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br w:type="page"/>
      </w:r>
    </w:p>
    <w:p>
      <w:pPr>
        <w:snapToGrid w:val="0"/>
        <w:spacing w:beforeLines="100" w:after="0" w:line="360" w:lineRule="auto"/>
        <w:jc w:val="center"/>
        <w:outlineLvl w:val="9"/>
        <w:rPr>
          <w:rFonts w:hint="eastAsia" w:ascii="宋体" w:hAnsi="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安康市中心血站2022年度一次性血液成分分离管路及控制计数器采购项目</w:t>
      </w:r>
    </w:p>
    <w:p>
      <w:pPr>
        <w:snapToGrid w:val="0"/>
        <w:spacing w:beforeLines="100" w:after="0" w:line="360" w:lineRule="auto"/>
        <w:jc w:val="both"/>
        <w:outlineLvl w:val="9"/>
        <w:rPr>
          <w:rFonts w:hint="eastAsia" w:ascii="宋体" w:hAnsi="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一、采购清单：</w:t>
      </w:r>
    </w:p>
    <w:p>
      <w:pPr>
        <w:outlineLvl w:val="9"/>
        <w:rPr>
          <w:rFonts w:hint="eastAsia" w:ascii="宋体" w:hAnsi="宋体" w:cs="宋体"/>
          <w:b/>
          <w:bCs/>
          <w:color w:val="auto"/>
          <w:kern w:val="2"/>
          <w:sz w:val="22"/>
          <w:szCs w:val="22"/>
          <w:lang w:val="en-US" w:eastAsia="zh-CN" w:bidi="ar-SA"/>
        </w:rPr>
      </w:pPr>
    </w:p>
    <w:tbl>
      <w:tblPr>
        <w:tblStyle w:val="36"/>
        <w:tblW w:w="883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9"/>
        <w:gridCol w:w="709"/>
        <w:gridCol w:w="992"/>
        <w:gridCol w:w="947"/>
        <w:gridCol w:w="1104"/>
        <w:gridCol w:w="1224"/>
        <w:gridCol w:w="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trPr>
        <w:tc>
          <w:tcPr>
            <w:tcW w:w="311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名   称</w:t>
            </w:r>
          </w:p>
        </w:tc>
        <w:tc>
          <w:tcPr>
            <w:tcW w:w="70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规格</w:t>
            </w:r>
          </w:p>
        </w:tc>
        <w:tc>
          <w:tcPr>
            <w:tcW w:w="992"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预算单价</w:t>
            </w:r>
          </w:p>
        </w:tc>
        <w:tc>
          <w:tcPr>
            <w:tcW w:w="947"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年预算用量</w:t>
            </w:r>
          </w:p>
        </w:tc>
        <w:tc>
          <w:tcPr>
            <w:tcW w:w="1104"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年预算</w:t>
            </w:r>
          </w:p>
        </w:tc>
        <w:tc>
          <w:tcPr>
            <w:tcW w:w="1224"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备注</w:t>
            </w:r>
          </w:p>
        </w:tc>
        <w:tc>
          <w:tcPr>
            <w:tcW w:w="744" w:type="dxa"/>
            <w:vAlign w:val="center"/>
          </w:tcPr>
          <w:p>
            <w:pPr>
              <w:jc w:val="center"/>
              <w:rPr>
                <w:rFonts w:hint="eastAsia" w:ascii="仿宋_GB2312" w:hAnsi="宋体" w:eastAsia="仿宋_GB2312" w:cs="宋体"/>
                <w:color w:val="auto"/>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311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一次性血液成分分离管路（费森尤斯或相当于同等品牌）</w:t>
            </w:r>
          </w:p>
        </w:tc>
        <w:tc>
          <w:tcPr>
            <w:tcW w:w="70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套</w:t>
            </w:r>
          </w:p>
        </w:tc>
        <w:tc>
          <w:tcPr>
            <w:tcW w:w="992"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960</w:t>
            </w:r>
          </w:p>
        </w:tc>
        <w:tc>
          <w:tcPr>
            <w:tcW w:w="947"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800</w:t>
            </w:r>
          </w:p>
        </w:tc>
        <w:tc>
          <w:tcPr>
            <w:tcW w:w="1104" w:type="dxa"/>
            <w:vAlign w:val="center"/>
          </w:tcPr>
          <w:p>
            <w:pPr>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768000</w:t>
            </w:r>
          </w:p>
        </w:tc>
        <w:tc>
          <w:tcPr>
            <w:tcW w:w="1224"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同设备配套使用</w:t>
            </w:r>
          </w:p>
        </w:tc>
        <w:tc>
          <w:tcPr>
            <w:tcW w:w="744" w:type="dxa"/>
            <w:vAlign w:val="center"/>
          </w:tcPr>
          <w:p>
            <w:pPr>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进口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311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控制</w:t>
            </w:r>
            <w:r>
              <w:rPr>
                <w:rFonts w:hint="eastAsia" w:ascii="仿宋_GB2312" w:hAnsi="宋体" w:eastAsia="仿宋_GB2312" w:cs="宋体"/>
                <w:color w:val="auto"/>
                <w:kern w:val="0"/>
                <w:sz w:val="24"/>
                <w:szCs w:val="24"/>
              </w:rPr>
              <w:t>计数器</w:t>
            </w:r>
          </w:p>
        </w:tc>
        <w:tc>
          <w:tcPr>
            <w:tcW w:w="709"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次</w:t>
            </w:r>
          </w:p>
        </w:tc>
        <w:tc>
          <w:tcPr>
            <w:tcW w:w="992"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15</w:t>
            </w:r>
          </w:p>
        </w:tc>
        <w:tc>
          <w:tcPr>
            <w:tcW w:w="947"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7500</w:t>
            </w:r>
          </w:p>
        </w:tc>
        <w:tc>
          <w:tcPr>
            <w:tcW w:w="1104"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112500</w:t>
            </w:r>
          </w:p>
        </w:tc>
        <w:tc>
          <w:tcPr>
            <w:tcW w:w="1224" w:type="dxa"/>
            <w:vAlign w:val="center"/>
          </w:tcPr>
          <w:p>
            <w:pPr>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同设备配套使用</w:t>
            </w:r>
          </w:p>
        </w:tc>
        <w:tc>
          <w:tcPr>
            <w:tcW w:w="744" w:type="dxa"/>
            <w:vAlign w:val="center"/>
          </w:tcPr>
          <w:p>
            <w:pPr>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eastAsia="zh-CN"/>
              </w:rPr>
              <w:t>进口</w:t>
            </w:r>
          </w:p>
        </w:tc>
      </w:tr>
    </w:tbl>
    <w:p>
      <w:pPr>
        <w:outlineLvl w:val="9"/>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注：投标单位产品投标单价不能超该预算价格上限价，超过该上限的将按无效标处理。</w:t>
      </w:r>
    </w:p>
    <w:p>
      <w:pPr>
        <w:rPr>
          <w:rFonts w:hint="eastAsia" w:ascii="宋体" w:hAnsi="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br w:type="page"/>
      </w:r>
    </w:p>
    <w:p>
      <w:pPr>
        <w:outlineLvl w:val="9"/>
        <w:rPr>
          <w:rFonts w:hint="eastAsia"/>
          <w:lang w:val="en-US" w:eastAsia="zh-CN"/>
        </w:rPr>
      </w:pPr>
      <w:r>
        <w:rPr>
          <w:rFonts w:hint="eastAsia" w:ascii="宋体" w:hAnsi="宋体" w:cs="宋体"/>
          <w:b/>
          <w:bCs/>
          <w:color w:val="auto"/>
          <w:kern w:val="2"/>
          <w:sz w:val="32"/>
          <w:szCs w:val="32"/>
          <w:lang w:val="en-US" w:eastAsia="zh-CN" w:bidi="ar-SA"/>
        </w:rPr>
        <w:t>二、技术参数要求：</w:t>
      </w:r>
    </w:p>
    <w:tbl>
      <w:tblPr>
        <w:tblStyle w:val="36"/>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Amicus单采血小板耗材技术参数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1一般原则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1.1耗材外包装为密封防压包装。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1.2血小板采集时间: 单份&lt;45分钟,双份&lt;70分钟。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1.3每个循环外周血量，单针耗材≦209ml，双针耗材≦206ml。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1.4采集单份或双份血小板时，具备采集过程中可进行盐水初始化及盐水补偿的功能，目的为在必要时补充献血者的血容量；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1.5管路灭菌方式:辐照灭菌。避免环氧乙烷毒性；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2耗材要求：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2.1耗材具备条形码识别功能，可阅读适配国际通用的条形码；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2.2同一款耗材可实现采集单份和双份血小板；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2.3管路上的血小板保存袋在20-24摄氏度、不间断震荡条件下，可保存血小板至少5天。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2.416G穿刺针，针头部件可更换(非无菌接管机接驳)；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2.5管路具有独立的全血留样袋,取样器；全血留样袋不需要颠倒即可顺利用真空管取样；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2.6管路上有细菌过滤器和血小板留样袋；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2.7具备单独采集血小板和单独采集血浆的功能，还具备可同时采集血小板和血浆的功能；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3血小板终产品质量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ind w:left="42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3.1采集保存末期的血小板产品质量参数要满足GB 18469-2012《全血及成分血质量要求》，其中：血小板含量：单份血小板：≥2.5×10</w:t>
            </w:r>
            <w:r>
              <w:rPr>
                <w:rFonts w:hint="eastAsia" w:asciiTheme="minorEastAsia" w:hAnsiTheme="minorEastAsia" w:eastAsiaTheme="minorEastAsia" w:cstheme="minorEastAsia"/>
                <w:sz w:val="24"/>
                <w:szCs w:val="24"/>
                <w:vertAlign w:val="superscript"/>
              </w:rPr>
              <w:t>11</w:t>
            </w:r>
            <w:r>
              <w:rPr>
                <w:rFonts w:hint="eastAsia" w:asciiTheme="minorEastAsia" w:hAnsiTheme="minorEastAsia" w:eastAsiaTheme="minorEastAsia" w:cstheme="minorEastAsia"/>
                <w:sz w:val="24"/>
                <w:szCs w:val="24"/>
              </w:rPr>
              <w:t>个袋；双份血小板：≥5×10</w:t>
            </w:r>
            <w:r>
              <w:rPr>
                <w:rFonts w:hint="eastAsia" w:asciiTheme="minorEastAsia" w:hAnsiTheme="minorEastAsia" w:eastAsiaTheme="minorEastAsia" w:cstheme="minorEastAsia"/>
                <w:sz w:val="24"/>
                <w:szCs w:val="24"/>
                <w:vertAlign w:val="superscript"/>
              </w:rPr>
              <w:t>11</w:t>
            </w:r>
            <w:r>
              <w:rPr>
                <w:rFonts w:hint="eastAsia" w:asciiTheme="minorEastAsia" w:hAnsiTheme="minorEastAsia" w:eastAsiaTheme="minorEastAsia" w:cstheme="minorEastAsia"/>
                <w:sz w:val="24"/>
                <w:szCs w:val="24"/>
              </w:rPr>
              <w:t>个袋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3.2无需采用任何过滤技术，所采集的血小板产品白细胞含量低于1×10</w:t>
            </w:r>
            <w:r>
              <w:rPr>
                <w:rFonts w:hint="eastAsia" w:asciiTheme="minorEastAsia" w:hAnsiTheme="minorEastAsia" w:eastAsiaTheme="minorEastAsia" w:cstheme="minorEastAsia"/>
                <w:sz w:val="24"/>
                <w:szCs w:val="24"/>
                <w:vertAlign w:val="superscript"/>
              </w:rPr>
              <w:t>6</w:t>
            </w:r>
            <w:r>
              <w:rPr>
                <w:rFonts w:hint="eastAsia" w:asciiTheme="minorEastAsia" w:hAnsiTheme="minorEastAsia" w:eastAsiaTheme="minorEastAsia" w:cstheme="minorEastAsia"/>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ind w:left="42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3.3直接获得的终产品为浓缩血小板，方便后续的PAS液（血小板专用悬浮液）技术保存血小板，为血小板病原体灭活提供平台；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控制计数器参数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需与采购人原有的CompoDock无菌接管机相匹配；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2</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可以接驳PVC管路，包括干-干、干-湿、湿-湿，PVC管均可无菌接驳，接驳不成功不计数；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3</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热合及接管时间≤20秒；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4</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接驳过程无医疗废物产生；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5</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连接后的管路拉伸强度≥7公斤力；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6</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在接驳全过程中计数器不与管路直接接触，保证无菌连接；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7</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 xml:space="preserve">“全内置”安全设计，保证操作者在无菌接驳过程中的安全性，无刀片；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8</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计数器规格：2500次/个。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vAlign w:val="top"/>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rPr>
              <w:t>9</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参考尺寸</w:t>
            </w:r>
            <w:r>
              <w:rPr>
                <w:rFonts w:hint="eastAsia" w:asciiTheme="minorEastAsia" w:hAnsiTheme="minorEastAsia" w:eastAsiaTheme="minorEastAsia" w:cstheme="minorEastAsia"/>
                <w:b w:val="0"/>
                <w:bCs w:val="0"/>
                <w:sz w:val="24"/>
                <w:szCs w:val="24"/>
                <w:highlight w:val="none"/>
              </w:rPr>
              <w:t>：85*75*50mm(长*宽*高)</w:t>
            </w:r>
          </w:p>
        </w:tc>
      </w:tr>
    </w:tbl>
    <w:p>
      <w:pPr>
        <w:rPr>
          <w:rFonts w:hint="eastAsia" w:ascii="宋体" w:hAnsi="宋体" w:eastAsia="宋体" w:cs="宋体"/>
          <w:bCs w:val="0"/>
          <w:color w:val="auto"/>
          <w:sz w:val="48"/>
          <w:szCs w:val="48"/>
        </w:rPr>
      </w:pPr>
    </w:p>
    <w:p>
      <w:pPr>
        <w:pStyle w:val="45"/>
        <w:rPr>
          <w:rFonts w:hint="eastAsia"/>
        </w:rPr>
      </w:pPr>
    </w:p>
    <w:p>
      <w:pPr>
        <w:pStyle w:val="45"/>
        <w:rPr>
          <w:rFonts w:hint="eastAsia"/>
        </w:rPr>
      </w:pPr>
    </w:p>
    <w:p>
      <w:pPr>
        <w:pStyle w:val="2"/>
        <w:rPr>
          <w:rFonts w:hint="eastAsia" w:ascii="宋体" w:hAnsi="宋体"/>
          <w:bCs w:val="0"/>
          <w:color w:val="auto"/>
          <w:sz w:val="48"/>
          <w:szCs w:val="48"/>
        </w:rPr>
      </w:pPr>
    </w:p>
    <w:p>
      <w:pPr>
        <w:rPr>
          <w:rFonts w:hint="eastAsia" w:ascii="宋体" w:hAnsi="宋体"/>
          <w:bCs w:val="0"/>
          <w:color w:val="auto"/>
          <w:sz w:val="48"/>
          <w:szCs w:val="48"/>
        </w:rPr>
      </w:pPr>
    </w:p>
    <w:p>
      <w:pPr>
        <w:pStyle w:val="2"/>
        <w:rPr>
          <w:rFonts w:hint="eastAsia" w:ascii="宋体" w:hAnsi="宋体"/>
          <w:bCs w:val="0"/>
          <w:color w:val="auto"/>
          <w:sz w:val="48"/>
          <w:szCs w:val="48"/>
        </w:rPr>
      </w:pPr>
    </w:p>
    <w:p>
      <w:pPr>
        <w:rPr>
          <w:rFonts w:hint="eastAsia" w:ascii="宋体" w:hAnsi="宋体"/>
          <w:bCs w:val="0"/>
          <w:color w:val="auto"/>
          <w:sz w:val="48"/>
          <w:szCs w:val="48"/>
        </w:rPr>
      </w:pPr>
    </w:p>
    <w:p>
      <w:pPr>
        <w:rPr>
          <w:rFonts w:hint="eastAsia"/>
        </w:rPr>
      </w:pPr>
      <w:r>
        <w:rPr>
          <w:rFonts w:hint="eastAsia"/>
        </w:rPr>
        <w:br w:type="page"/>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val="0"/>
        <w:spacing w:beforeLines="100" w:after="0" w:line="360" w:lineRule="auto"/>
        <w:jc w:val="both"/>
        <w:outlineLvl w:val="9"/>
        <w:rPr>
          <w:rFonts w:hint="eastAsia" w:ascii="宋体" w:hAnsi="宋体"/>
          <w:bCs w:val="0"/>
          <w:color w:val="auto"/>
          <w:sz w:val="48"/>
          <w:szCs w:val="48"/>
        </w:rPr>
      </w:pPr>
    </w:p>
    <w:p>
      <w:pPr>
        <w:pStyle w:val="3"/>
        <w:snapToGrid w:val="0"/>
        <w:spacing w:beforeLines="100" w:after="0" w:line="360" w:lineRule="auto"/>
        <w:ind w:firstLine="482" w:firstLineChars="100"/>
        <w:jc w:val="both"/>
        <w:rPr>
          <w:rFonts w:ascii="宋体" w:hAnsi="宋体"/>
          <w:bCs w:val="0"/>
          <w:color w:val="auto"/>
          <w:sz w:val="48"/>
          <w:szCs w:val="48"/>
        </w:rPr>
      </w:pPr>
      <w:r>
        <w:rPr>
          <w:rFonts w:hint="eastAsia" w:ascii="宋体" w:hAnsi="宋体"/>
          <w:bCs w:val="0"/>
          <w:color w:val="auto"/>
          <w:sz w:val="48"/>
          <w:szCs w:val="48"/>
        </w:rPr>
        <w:t>第</w:t>
      </w:r>
      <w:r>
        <w:rPr>
          <w:rFonts w:hint="eastAsia" w:ascii="宋体" w:hAnsi="宋体"/>
          <w:bCs w:val="0"/>
          <w:color w:val="auto"/>
          <w:sz w:val="48"/>
          <w:szCs w:val="48"/>
          <w:lang w:eastAsia="zh-CN"/>
        </w:rPr>
        <w:t>五</w:t>
      </w:r>
      <w:r>
        <w:rPr>
          <w:rFonts w:ascii="宋体" w:hAnsi="宋体"/>
          <w:bCs w:val="0"/>
          <w:color w:val="auto"/>
          <w:sz w:val="48"/>
          <w:szCs w:val="48"/>
        </w:rPr>
        <w:t>章</w:t>
      </w:r>
      <w:r>
        <w:rPr>
          <w:rFonts w:hint="eastAsia" w:ascii="宋体" w:hAnsi="宋体"/>
          <w:bCs w:val="0"/>
          <w:color w:val="auto"/>
          <w:sz w:val="48"/>
          <w:szCs w:val="48"/>
          <w:lang w:val="en-US" w:eastAsia="zh-CN"/>
        </w:rPr>
        <w:t xml:space="preserve"> </w:t>
      </w:r>
      <w:r>
        <w:rPr>
          <w:rFonts w:hint="eastAsia" w:ascii="宋体" w:hAnsi="宋体"/>
          <w:bCs w:val="0"/>
          <w:color w:val="auto"/>
          <w:sz w:val="48"/>
          <w:szCs w:val="48"/>
        </w:rPr>
        <w:t xml:space="preserve"> </w:t>
      </w:r>
      <w:r>
        <w:rPr>
          <w:rFonts w:hint="eastAsia" w:ascii="宋体" w:hAnsi="宋体"/>
          <w:bCs w:val="0"/>
          <w:color w:val="auto"/>
          <w:sz w:val="48"/>
          <w:szCs w:val="48"/>
          <w:lang w:eastAsia="zh-CN"/>
        </w:rPr>
        <w:t>单一来源谈判响应</w:t>
      </w:r>
      <w:r>
        <w:rPr>
          <w:rFonts w:hint="eastAsia" w:ascii="宋体" w:hAnsi="宋体"/>
          <w:bCs w:val="0"/>
          <w:color w:val="auto"/>
          <w:sz w:val="48"/>
          <w:szCs w:val="48"/>
        </w:rPr>
        <w:t>文件格式</w:t>
      </w:r>
      <w:bookmarkEnd w:id="42"/>
      <w:bookmarkEnd w:id="43"/>
      <w:bookmarkEnd w:id="45"/>
      <w:bookmarkEnd w:id="46"/>
      <w:bookmarkEnd w:id="47"/>
    </w:p>
    <w:p>
      <w:pPr>
        <w:spacing w:line="360" w:lineRule="auto"/>
        <w:rPr>
          <w:rFonts w:ascii="宋体" w:hAnsi="宋体"/>
          <w:b/>
          <w:color w:val="auto"/>
          <w:sz w:val="28"/>
          <w:szCs w:val="28"/>
        </w:rPr>
      </w:pPr>
      <w:bookmarkStart w:id="48" w:name="_Toc60421812"/>
      <w:r>
        <w:rPr>
          <w:rFonts w:ascii="宋体" w:hAnsi="宋体"/>
          <w:b/>
          <w:color w:val="auto"/>
          <w:sz w:val="28"/>
          <w:szCs w:val="28"/>
        </w:rPr>
        <w:br w:type="page"/>
      </w:r>
      <w:bookmarkEnd w:id="48"/>
    </w:p>
    <w:p>
      <w:pPr>
        <w:pStyle w:val="45"/>
        <w:jc w:val="right"/>
        <w:outlineLvl w:val="9"/>
        <w:rPr>
          <w:rFonts w:hint="default" w:ascii="宋体" w:hAnsi="宋体" w:eastAsia="宋体" w:cs="宋体"/>
          <w:b/>
          <w:bCs/>
          <w:color w:val="auto"/>
          <w:kern w:val="0"/>
          <w:sz w:val="48"/>
          <w:szCs w:val="48"/>
          <w:lang w:val="en-US" w:eastAsia="zh-CN" w:bidi="ar-SA"/>
        </w:rPr>
      </w:pPr>
      <w:bookmarkStart w:id="49" w:name="_Toc60421813"/>
      <w:r>
        <w:rPr>
          <w:rFonts w:hint="eastAsia"/>
          <w:color w:val="auto"/>
          <w:lang w:val="en-US" w:eastAsia="zh-CN"/>
        </w:rPr>
        <w:t xml:space="preserve">                                         </w:t>
      </w:r>
      <w:r>
        <w:rPr>
          <w:rFonts w:hint="eastAsia" w:ascii="宋体" w:hAnsi="宋体" w:eastAsia="宋体" w:cs="宋体"/>
          <w:b/>
          <w:bCs/>
          <w:color w:val="auto"/>
          <w:kern w:val="0"/>
          <w:sz w:val="48"/>
          <w:szCs w:val="48"/>
          <w:lang w:val="en-US" w:eastAsia="zh-CN" w:bidi="ar-SA"/>
        </w:rPr>
        <w:t xml:space="preserve">    </w:t>
      </w:r>
      <w:bookmarkStart w:id="50" w:name="_Toc25938"/>
      <w:bookmarkStart w:id="51" w:name="_Toc3232"/>
      <w:r>
        <w:rPr>
          <w:rFonts w:hint="eastAsia" w:ascii="宋体" w:hAnsi="宋体" w:eastAsia="宋体" w:cs="宋体"/>
          <w:b/>
          <w:bCs/>
          <w:color w:val="auto"/>
          <w:kern w:val="0"/>
          <w:sz w:val="36"/>
          <w:szCs w:val="36"/>
          <w:lang w:val="en-US" w:eastAsia="zh-CN" w:bidi="ar-SA"/>
        </w:rPr>
        <w:t>正/副本</w:t>
      </w:r>
      <w:bookmarkEnd w:id="50"/>
      <w:bookmarkEnd w:id="51"/>
    </w:p>
    <w:p>
      <w:pPr>
        <w:pStyle w:val="45"/>
        <w:outlineLvl w:val="9"/>
        <w:rPr>
          <w:rFonts w:hint="eastAsia"/>
          <w:color w:val="auto"/>
        </w:rPr>
      </w:pPr>
    </w:p>
    <w:p>
      <w:pPr>
        <w:pStyle w:val="45"/>
        <w:outlineLvl w:val="9"/>
        <w:rPr>
          <w:rFonts w:hint="eastAsia"/>
          <w:color w:val="auto"/>
        </w:rPr>
      </w:pPr>
    </w:p>
    <w:p>
      <w:pPr>
        <w:outlineLvl w:val="9"/>
        <w:rPr>
          <w:rFonts w:hint="eastAsia" w:ascii="宋体" w:hAnsi="宋体" w:cs="宋体"/>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48"/>
          <w:szCs w:val="48"/>
          <w:lang w:val="en-US" w:eastAsia="zh-CN"/>
        </w:rPr>
      </w:pPr>
      <w:bookmarkStart w:id="52" w:name="_Toc7354"/>
      <w:r>
        <w:rPr>
          <w:rFonts w:hint="eastAsia" w:ascii="宋体" w:hAnsi="宋体" w:eastAsia="宋体" w:cs="宋体"/>
          <w:b/>
          <w:bCs/>
          <w:color w:val="auto"/>
          <w:kern w:val="0"/>
          <w:sz w:val="44"/>
          <w:szCs w:val="44"/>
          <w:lang w:val="en-US" w:eastAsia="zh-CN"/>
        </w:rPr>
        <w:t>安康市中心血站2022年度一次性血液成分分离管路及控制计数器采购项目</w:t>
      </w:r>
      <w:r>
        <w:rPr>
          <w:rFonts w:hint="eastAsia" w:ascii="宋体" w:hAnsi="宋体" w:eastAsia="宋体" w:cs="宋体"/>
          <w:b/>
          <w:bCs/>
          <w:color w:val="auto"/>
          <w:kern w:val="0"/>
          <w:sz w:val="48"/>
          <w:szCs w:val="48"/>
          <w:lang w:val="en-US" w:eastAsia="zh-CN"/>
        </w:rPr>
        <w:t xml:space="preserve"> </w:t>
      </w:r>
    </w:p>
    <w:p>
      <w:pPr>
        <w:pStyle w:val="3"/>
        <w:tabs>
          <w:tab w:val="center" w:pos="4187"/>
          <w:tab w:val="left" w:pos="6470"/>
        </w:tabs>
        <w:snapToGrid w:val="0"/>
        <w:spacing w:beforeLines="100" w:after="0" w:line="360" w:lineRule="auto"/>
        <w:jc w:val="left"/>
        <w:outlineLvl w:val="9"/>
        <w:rPr>
          <w:rFonts w:hint="eastAsia" w:ascii="宋体" w:hAnsi="宋体" w:eastAsia="宋体" w:cs="宋体"/>
          <w:b/>
          <w:bCs/>
          <w:color w:val="auto"/>
          <w:kern w:val="0"/>
          <w:sz w:val="48"/>
          <w:szCs w:val="48"/>
        </w:rPr>
      </w:pPr>
      <w:r>
        <w:rPr>
          <w:rFonts w:hint="eastAsia" w:ascii="宋体" w:hAnsi="宋体" w:cs="宋体" w:eastAsiaTheme="minorEastAsia"/>
          <w:b/>
          <w:bCs/>
          <w:color w:val="auto"/>
          <w:kern w:val="2"/>
          <w:sz w:val="44"/>
          <w:szCs w:val="44"/>
          <w:lang w:val="en-US" w:eastAsia="zh-CN" w:bidi="ar-SA"/>
        </w:rPr>
        <w:tab/>
      </w:r>
      <w:bookmarkEnd w:id="52"/>
    </w:p>
    <w:p>
      <w:pPr>
        <w:spacing w:line="360" w:lineRule="auto"/>
        <w:jc w:val="center"/>
        <w:outlineLvl w:val="9"/>
        <w:rPr>
          <w:rFonts w:hint="default" w:ascii="宋体" w:hAnsi="宋体" w:cs="宋体"/>
          <w:b/>
          <w:color w:val="auto"/>
          <w:sz w:val="72"/>
          <w:szCs w:val="72"/>
          <w:lang w:val="en-US"/>
        </w:rPr>
      </w:pPr>
      <w:bookmarkStart w:id="53" w:name="_Toc29093"/>
      <w:bookmarkStart w:id="54" w:name="_Toc20191"/>
      <w:r>
        <w:rPr>
          <w:rFonts w:hint="eastAsia" w:ascii="宋体" w:hAnsi="宋体" w:eastAsia="宋体" w:cs="宋体"/>
          <w:b/>
          <w:bCs/>
          <w:color w:val="auto"/>
          <w:kern w:val="0"/>
          <w:sz w:val="44"/>
          <w:szCs w:val="44"/>
          <w:lang w:eastAsia="zh-CN"/>
        </w:rPr>
        <w:t>项目编号：</w:t>
      </w:r>
      <w:bookmarkEnd w:id="53"/>
      <w:bookmarkEnd w:id="54"/>
      <w:r>
        <w:rPr>
          <w:rFonts w:hint="eastAsia" w:ascii="宋体" w:hAnsi="宋体" w:eastAsia="宋体" w:cs="宋体"/>
          <w:b/>
          <w:bCs/>
          <w:color w:val="auto"/>
          <w:kern w:val="0"/>
          <w:sz w:val="44"/>
          <w:szCs w:val="44"/>
          <w:lang w:eastAsia="zh-CN"/>
        </w:rPr>
        <w:t>DXZB-2022-0972</w:t>
      </w:r>
    </w:p>
    <w:p>
      <w:pPr>
        <w:outlineLvl w:val="9"/>
        <w:rPr>
          <w:rFonts w:hint="eastAsia"/>
          <w:color w:val="auto"/>
        </w:rPr>
      </w:pPr>
    </w:p>
    <w:p>
      <w:pPr>
        <w:jc w:val="center"/>
        <w:outlineLvl w:val="9"/>
        <w:rPr>
          <w:rFonts w:hint="eastAsia" w:ascii="宋体" w:hAnsi="宋体" w:cs="宋体"/>
          <w:b/>
          <w:color w:val="auto"/>
          <w:sz w:val="72"/>
          <w:szCs w:val="72"/>
        </w:rPr>
      </w:pPr>
    </w:p>
    <w:p>
      <w:pPr>
        <w:jc w:val="center"/>
        <w:outlineLvl w:val="9"/>
        <w:rPr>
          <w:rFonts w:hint="eastAsia" w:ascii="宋体" w:hAnsi="宋体" w:cs="宋体"/>
          <w:b/>
          <w:color w:val="auto"/>
          <w:sz w:val="72"/>
          <w:szCs w:val="72"/>
          <w:lang w:eastAsia="zh-CN"/>
        </w:rPr>
      </w:pPr>
    </w:p>
    <w:p>
      <w:pPr>
        <w:jc w:val="center"/>
        <w:outlineLvl w:val="9"/>
        <w:rPr>
          <w:rFonts w:hint="eastAsia" w:ascii="宋体" w:hAnsi="宋体" w:cs="宋体"/>
          <w:b/>
          <w:color w:val="auto"/>
          <w:sz w:val="72"/>
          <w:szCs w:val="72"/>
        </w:rPr>
      </w:pPr>
      <w:r>
        <w:rPr>
          <w:rFonts w:hint="eastAsia" w:ascii="宋体" w:hAnsi="宋体" w:cs="宋体"/>
          <w:b/>
          <w:color w:val="auto"/>
          <w:sz w:val="72"/>
          <w:szCs w:val="72"/>
          <w:lang w:eastAsia="zh-CN"/>
        </w:rPr>
        <w:t>单一来源谈判响应</w:t>
      </w:r>
      <w:r>
        <w:rPr>
          <w:rFonts w:hint="eastAsia" w:ascii="宋体" w:hAnsi="宋体" w:cs="宋体"/>
          <w:b/>
          <w:color w:val="auto"/>
          <w:sz w:val="72"/>
          <w:szCs w:val="72"/>
        </w:rPr>
        <w:t>文件</w:t>
      </w:r>
    </w:p>
    <w:p>
      <w:pPr>
        <w:outlineLvl w:val="9"/>
        <w:rPr>
          <w:rFonts w:hint="eastAsia" w:ascii="宋体" w:hAnsi="宋体" w:cs="宋体"/>
          <w:b/>
          <w:color w:val="auto"/>
          <w:sz w:val="30"/>
          <w:szCs w:val="30"/>
        </w:rPr>
      </w:pPr>
    </w:p>
    <w:p>
      <w:pPr>
        <w:outlineLvl w:val="9"/>
        <w:rPr>
          <w:rFonts w:hint="eastAsia" w:ascii="宋体" w:hAnsi="宋体" w:cs="宋体"/>
          <w:b/>
          <w:color w:val="auto"/>
          <w:sz w:val="30"/>
          <w:szCs w:val="30"/>
        </w:rPr>
      </w:pPr>
    </w:p>
    <w:p>
      <w:pPr>
        <w:outlineLvl w:val="9"/>
        <w:rPr>
          <w:rFonts w:hint="eastAsia" w:ascii="宋体" w:hAnsi="宋体" w:cs="宋体"/>
          <w:b/>
          <w:color w:val="auto"/>
          <w:sz w:val="30"/>
          <w:szCs w:val="30"/>
        </w:rPr>
      </w:pPr>
    </w:p>
    <w:p>
      <w:pPr>
        <w:outlineLvl w:val="9"/>
        <w:rPr>
          <w:rFonts w:hint="default" w:ascii="宋体" w:hAnsi="宋体" w:eastAsia="宋体" w:cs="宋体"/>
          <w:b/>
          <w:color w:val="auto"/>
          <w:sz w:val="30"/>
          <w:szCs w:val="30"/>
          <w:lang w:val="en-US" w:eastAsia="zh-CN"/>
        </w:rPr>
      </w:pPr>
    </w:p>
    <w:p>
      <w:pPr>
        <w:outlineLvl w:val="9"/>
        <w:rPr>
          <w:rFonts w:hint="default"/>
          <w:color w:val="auto"/>
          <w:lang w:val="en-US" w:eastAsia="zh-CN"/>
        </w:rPr>
      </w:pPr>
    </w:p>
    <w:p>
      <w:pPr>
        <w:ind w:firstLine="720"/>
        <w:outlineLvl w:val="9"/>
        <w:rPr>
          <w:rFonts w:hint="eastAsia" w:ascii="宋体" w:hAnsi="宋体" w:cs="宋体"/>
          <w:b/>
          <w:color w:val="auto"/>
          <w:sz w:val="36"/>
          <w:szCs w:val="36"/>
          <w:lang w:eastAsia="zh-CN"/>
        </w:rPr>
      </w:pPr>
    </w:p>
    <w:p>
      <w:pPr>
        <w:spacing w:line="480" w:lineRule="auto"/>
        <w:ind w:firstLine="964" w:firstLineChars="300"/>
        <w:jc w:val="both"/>
        <w:outlineLvl w:val="9"/>
        <w:rPr>
          <w:rFonts w:hint="eastAsia" w:ascii="宋体" w:hAnsi="宋体"/>
          <w:b/>
          <w:bCs/>
          <w:color w:val="auto"/>
          <w:sz w:val="32"/>
          <w:szCs w:val="32"/>
          <w:u w:val="single"/>
        </w:rPr>
      </w:pPr>
      <w:r>
        <w:rPr>
          <w:rFonts w:hint="eastAsia" w:ascii="宋体" w:hAnsi="宋体"/>
          <w:b/>
          <w:color w:val="auto"/>
          <w:sz w:val="32"/>
          <w:szCs w:val="32"/>
          <w:lang w:val="en-US" w:eastAsia="zh-CN"/>
        </w:rPr>
        <w:t>投 标 单 位</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r>
        <w:rPr>
          <w:rFonts w:hint="eastAsia" w:ascii="宋体" w:hAnsi="宋体"/>
          <w:b/>
          <w:color w:val="auto"/>
          <w:sz w:val="32"/>
          <w:szCs w:val="32"/>
        </w:rPr>
        <w:t xml:space="preserve">                       </w:t>
      </w:r>
    </w:p>
    <w:p>
      <w:pPr>
        <w:spacing w:line="480" w:lineRule="auto"/>
        <w:ind w:firstLine="964" w:firstLineChars="300"/>
        <w:jc w:val="both"/>
        <w:outlineLvl w:val="9"/>
        <w:rPr>
          <w:rFonts w:hint="eastAsia" w:ascii="宋体" w:hAnsi="宋体"/>
          <w:b/>
          <w:bCs/>
          <w:color w:val="auto"/>
          <w:sz w:val="32"/>
          <w:szCs w:val="32"/>
          <w:u w:val="single"/>
        </w:rPr>
      </w:pPr>
      <w:r>
        <w:rPr>
          <w:rFonts w:hint="eastAsia" w:ascii="宋体" w:hAnsi="宋体"/>
          <w:b/>
          <w:color w:val="auto"/>
          <w:sz w:val="32"/>
          <w:szCs w:val="32"/>
        </w:rPr>
        <w:t>采购代理机构</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p>
    <w:p>
      <w:pPr>
        <w:spacing w:line="480" w:lineRule="auto"/>
        <w:ind w:firstLine="964" w:firstLineChars="300"/>
        <w:jc w:val="both"/>
        <w:outlineLvl w:val="9"/>
        <w:rPr>
          <w:rFonts w:hint="eastAsia" w:ascii="宋体" w:hAnsi="宋体" w:cs="宋体"/>
          <w:b/>
          <w:bCs/>
          <w:color w:val="auto"/>
          <w:sz w:val="28"/>
          <w:szCs w:val="28"/>
        </w:rPr>
      </w:pPr>
      <w:r>
        <w:rPr>
          <w:rFonts w:hint="eastAsia" w:ascii="宋体" w:hAnsi="宋体"/>
          <w:b/>
          <w:color w:val="auto"/>
          <w:sz w:val="32"/>
          <w:szCs w:val="32"/>
        </w:rPr>
        <w:t>时        间</w:t>
      </w:r>
      <w:r>
        <w:rPr>
          <w:rFonts w:hint="eastAsia" w:ascii="宋体" w:hAnsi="宋体"/>
          <w:b/>
          <w:color w:val="auto"/>
          <w:sz w:val="32"/>
          <w:szCs w:val="32"/>
          <w:lang w:eastAsia="zh-CN"/>
        </w:rPr>
        <w:t>：</w:t>
      </w:r>
      <w:r>
        <w:rPr>
          <w:rFonts w:hint="eastAsia" w:ascii="宋体" w:hAnsi="宋体"/>
          <w:b/>
          <w:color w:val="auto"/>
          <w:sz w:val="32"/>
          <w:szCs w:val="32"/>
          <w:u w:val="single"/>
        </w:rPr>
        <w:t xml:space="preserve">  </w:t>
      </w:r>
      <w:r>
        <w:rPr>
          <w:rFonts w:hint="eastAsia" w:ascii="宋体" w:hAnsi="宋体"/>
          <w:b/>
          <w:color w:val="auto"/>
          <w:sz w:val="28"/>
          <w:szCs w:val="28"/>
          <w:u w:val="single"/>
        </w:rPr>
        <w:t xml:space="preserve">                         </w:t>
      </w:r>
    </w:p>
    <w:p>
      <w:pPr>
        <w:outlineLvl w:val="9"/>
        <w:rPr>
          <w:rFonts w:hint="eastAsia" w:ascii="宋体" w:hAnsi="宋体" w:cs="宋体"/>
          <w:b/>
          <w:color w:val="auto"/>
          <w:kern w:val="1"/>
          <w:sz w:val="28"/>
          <w:szCs w:val="28"/>
        </w:rPr>
      </w:pPr>
      <w:r>
        <w:rPr>
          <w:rFonts w:hint="eastAsia" w:ascii="宋体" w:hAnsi="宋体" w:cs="宋体"/>
          <w:b/>
          <w:color w:val="auto"/>
          <w:kern w:val="1"/>
          <w:sz w:val="28"/>
          <w:szCs w:val="28"/>
        </w:rPr>
        <w:br w:type="page"/>
      </w:r>
    </w:p>
    <w:p>
      <w:pPr>
        <w:spacing w:line="360" w:lineRule="auto"/>
        <w:outlineLvl w:val="9"/>
        <w:rPr>
          <w:rFonts w:ascii="宋体" w:hAnsi="宋体" w:cs="宋体"/>
          <w:b/>
          <w:color w:val="auto"/>
          <w:kern w:val="1"/>
          <w:sz w:val="28"/>
          <w:szCs w:val="28"/>
        </w:rPr>
      </w:pPr>
      <w:r>
        <w:rPr>
          <w:rFonts w:hint="eastAsia" w:ascii="宋体" w:hAnsi="宋体" w:cs="宋体"/>
          <w:b/>
          <w:color w:val="auto"/>
          <w:kern w:val="1"/>
          <w:sz w:val="28"/>
          <w:szCs w:val="28"/>
          <w:lang w:eastAsia="zh-CN"/>
        </w:rPr>
        <w:t>投标报价表</w:t>
      </w:r>
      <w:r>
        <w:rPr>
          <w:rFonts w:hint="eastAsia" w:ascii="宋体" w:hAnsi="宋体" w:cs="宋体"/>
          <w:b/>
          <w:color w:val="auto"/>
          <w:kern w:val="1"/>
          <w:sz w:val="28"/>
          <w:szCs w:val="28"/>
        </w:rPr>
        <w:t>信封及</w:t>
      </w:r>
      <w:r>
        <w:rPr>
          <w:rFonts w:hint="eastAsia" w:ascii="宋体" w:hAnsi="宋体" w:cs="宋体"/>
          <w:b/>
          <w:color w:val="auto"/>
          <w:kern w:val="1"/>
          <w:sz w:val="28"/>
          <w:szCs w:val="28"/>
          <w:lang w:eastAsia="zh-CN"/>
        </w:rPr>
        <w:t>谈判</w:t>
      </w:r>
      <w:r>
        <w:rPr>
          <w:rFonts w:hint="eastAsia" w:ascii="宋体" w:hAnsi="宋体" w:cs="宋体"/>
          <w:b/>
          <w:color w:val="auto"/>
          <w:kern w:val="1"/>
          <w:sz w:val="28"/>
          <w:szCs w:val="28"/>
        </w:rPr>
        <w:t>响应文件电子版信封格式</w:t>
      </w:r>
    </w:p>
    <w:p>
      <w:pPr>
        <w:spacing w:after="100" w:line="480" w:lineRule="auto"/>
        <w:ind w:firstLine="480" w:firstLineChars="200"/>
        <w:outlineLvl w:val="9"/>
        <w:rPr>
          <w:rFonts w:hint="eastAsia" w:ascii="新宋体" w:hAnsi="新宋体" w:eastAsia="新宋体"/>
          <w:color w:val="auto"/>
          <w:sz w:val="24"/>
          <w:lang w:eastAsia="zh-CN"/>
        </w:rPr>
      </w:pPr>
      <w:r>
        <w:rPr>
          <w:rFonts w:hint="eastAsia" w:ascii="新宋体" w:hAnsi="新宋体" w:eastAsia="新宋体"/>
          <w:color w:val="auto"/>
          <w:sz w:val="24"/>
        </w:rPr>
        <w:t>请按以下内容填写密封签抬头，贴在响应文件外包装正面，除非特殊情况，否则请不要更改信封格式</w:t>
      </w:r>
      <w:r>
        <w:rPr>
          <w:rFonts w:hint="eastAsia" w:ascii="新宋体" w:hAnsi="新宋体" w:eastAsia="新宋体"/>
          <w:color w:val="auto"/>
          <w:sz w:val="24"/>
          <w:lang w:eastAsia="zh-CN"/>
        </w:rPr>
        <w:t>：</w:t>
      </w:r>
    </w:p>
    <w:tbl>
      <w:tblPr>
        <w:tblStyle w:val="35"/>
        <w:tblW w:w="8344"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6"/>
        <w:gridCol w:w="24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32"/>
                <w:szCs w:val="32"/>
                <w:lang w:eastAsia="zh-CN"/>
              </w:rPr>
            </w:pPr>
            <w:r>
              <w:rPr>
                <w:rFonts w:hint="eastAsia" w:ascii="新宋体" w:hAnsi="新宋体" w:eastAsia="新宋体"/>
                <w:b/>
                <w:color w:val="auto"/>
                <w:sz w:val="32"/>
                <w:szCs w:val="32"/>
                <w:lang w:eastAsia="zh-CN"/>
              </w:rPr>
              <w:t>谈判</w:t>
            </w:r>
            <w:r>
              <w:rPr>
                <w:rFonts w:hint="eastAsia" w:ascii="新宋体" w:hAnsi="新宋体" w:eastAsia="新宋体"/>
                <w:b/>
                <w:color w:val="auto"/>
                <w:sz w:val="32"/>
                <w:szCs w:val="32"/>
              </w:rPr>
              <w:t>响应文件                    正/副本</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28"/>
              </w:rPr>
            </w:pPr>
            <w:r>
              <w:rPr>
                <w:rFonts w:hint="eastAsia" w:ascii="新宋体" w:hAnsi="新宋体" w:eastAsia="新宋体"/>
                <w:b/>
                <w:color w:val="auto"/>
                <w:sz w:val="28"/>
              </w:rPr>
              <w:t>致</w:t>
            </w:r>
            <w:r>
              <w:rPr>
                <w:rFonts w:hint="eastAsia" w:ascii="新宋体" w:hAnsi="新宋体" w:eastAsia="新宋体"/>
                <w:b/>
                <w:color w:val="auto"/>
                <w:sz w:val="28"/>
                <w:lang w:eastAsia="zh-CN"/>
              </w:rPr>
              <w:t>：</w:t>
            </w:r>
            <w:r>
              <w:rPr>
                <w:rFonts w:hint="eastAsia" w:ascii="新宋体" w:hAnsi="新宋体" w:eastAsia="新宋体"/>
                <w:b/>
                <w:color w:val="auto"/>
                <w:sz w:val="28"/>
              </w:rPr>
              <w:t xml:space="preserve">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096" w:type="dxa"/>
            <w:noWrap w:val="0"/>
            <w:vAlign w:val="center"/>
          </w:tcPr>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项目名称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after="100" w:line="360" w:lineRule="auto"/>
              <w:ind w:firstLine="2889" w:firstLineChars="1204"/>
              <w:outlineLvl w:val="9"/>
              <w:rPr>
                <w:rFonts w:hint="eastAsia" w:ascii="新宋体" w:hAnsi="新宋体" w:eastAsia="新宋体"/>
                <w:color w:val="auto"/>
                <w:sz w:val="24"/>
                <w:u w:val="single"/>
              </w:rPr>
            </w:pPr>
            <w:r>
              <w:rPr>
                <w:rFonts w:hint="eastAsia" w:ascii="新宋体" w:hAnsi="新宋体" w:eastAsia="新宋体"/>
                <w:color w:val="auto"/>
                <w:sz w:val="24"/>
                <w:lang w:eastAsia="zh-CN"/>
              </w:rPr>
              <w:t>项目编号：</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投标人名称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right="-4120" w:rightChars="-1962" w:firstLine="2889" w:firstLineChars="1204"/>
              <w:outlineLvl w:val="9"/>
              <w:rPr>
                <w:rFonts w:hint="eastAsia" w:ascii="新宋体" w:hAnsi="新宋体" w:eastAsia="新宋体"/>
                <w:b/>
                <w:color w:val="auto"/>
                <w:sz w:val="20"/>
              </w:rPr>
            </w:pPr>
            <w:r>
              <w:rPr>
                <w:rFonts w:hint="eastAsia" w:ascii="新宋体" w:hAnsi="新宋体" w:eastAsia="新宋体"/>
                <w:color w:val="auto"/>
                <w:sz w:val="24"/>
              </w:rPr>
              <w:t>投标人地址</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tc>
        <w:tc>
          <w:tcPr>
            <w:tcW w:w="248" w:type="dxa"/>
            <w:noWrap w:val="0"/>
            <w:vAlign w:val="center"/>
          </w:tcPr>
          <w:p>
            <w:pPr>
              <w:spacing w:after="100" w:line="360" w:lineRule="auto"/>
              <w:ind w:left="-1" w:leftChars="-119" w:hanging="249" w:hangingChars="124"/>
              <w:outlineLvl w:val="9"/>
              <w:rPr>
                <w:rFonts w:hint="eastAsia" w:ascii="新宋体" w:hAnsi="新宋体" w:eastAsia="新宋体"/>
                <w:b/>
                <w:color w:val="auto"/>
                <w:sz w:val="20"/>
              </w:rPr>
            </w:pPr>
          </w:p>
        </w:tc>
      </w:tr>
    </w:tbl>
    <w:p>
      <w:pPr>
        <w:spacing w:line="480" w:lineRule="auto"/>
        <w:outlineLvl w:val="9"/>
        <w:rPr>
          <w:rFonts w:hint="eastAsia" w:ascii="新宋体" w:hAnsi="新宋体" w:eastAsia="新宋体"/>
          <w:b/>
          <w:bCs/>
          <w:color w:val="auto"/>
          <w:sz w:val="11"/>
        </w:rPr>
      </w:pPr>
    </w:p>
    <w:tbl>
      <w:tblPr>
        <w:tblStyle w:val="35"/>
        <w:tblW w:w="8344"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6"/>
        <w:gridCol w:w="24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32"/>
                <w:szCs w:val="32"/>
              </w:rPr>
            </w:pPr>
            <w:r>
              <w:rPr>
                <w:rFonts w:hint="eastAsia" w:ascii="新宋体" w:hAnsi="新宋体" w:eastAsia="新宋体"/>
                <w:b/>
                <w:color w:val="auto"/>
                <w:sz w:val="32"/>
                <w:szCs w:val="32"/>
                <w:lang w:eastAsia="zh-CN"/>
              </w:rPr>
              <w:t>谈判</w:t>
            </w:r>
            <w:r>
              <w:rPr>
                <w:rFonts w:hint="eastAsia" w:ascii="新宋体" w:hAnsi="新宋体" w:eastAsia="新宋体"/>
                <w:b/>
                <w:color w:val="auto"/>
                <w:sz w:val="32"/>
                <w:szCs w:val="32"/>
              </w:rPr>
              <w:t xml:space="preserve">响应文件                    </w:t>
            </w:r>
          </w:p>
          <w:p>
            <w:pPr>
              <w:spacing w:after="100" w:line="360" w:lineRule="auto"/>
              <w:outlineLvl w:val="9"/>
              <w:rPr>
                <w:rFonts w:hint="eastAsia" w:ascii="新宋体" w:hAnsi="新宋体" w:eastAsia="新宋体"/>
                <w:b/>
                <w:color w:val="auto"/>
                <w:sz w:val="32"/>
                <w:szCs w:val="32"/>
                <w:lang w:eastAsia="zh-CN"/>
              </w:rPr>
            </w:pPr>
            <w:r>
              <w:rPr>
                <w:rFonts w:hint="eastAsia" w:ascii="新宋体" w:hAnsi="新宋体" w:eastAsia="新宋体"/>
                <w:b/>
                <w:color w:val="auto"/>
                <w:sz w:val="28"/>
                <w:szCs w:val="28"/>
                <w:lang w:eastAsia="zh-CN"/>
              </w:rPr>
              <w:t>投标报价表、谈判响应文件电子版本</w:t>
            </w:r>
            <w:r>
              <w:rPr>
                <w:rFonts w:hint="eastAsia" w:ascii="新宋体" w:hAnsi="新宋体" w:eastAsia="新宋体"/>
                <w:b/>
                <w:color w:val="auto"/>
                <w:sz w:val="28"/>
                <w:szCs w:val="28"/>
                <w:lang w:val="en-US" w:eastAsia="zh-CN"/>
              </w:rPr>
              <w:t>U盘</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gridSpan w:val="2"/>
            <w:noWrap w:val="0"/>
            <w:vAlign w:val="center"/>
          </w:tcPr>
          <w:p>
            <w:pPr>
              <w:spacing w:after="100" w:line="360" w:lineRule="auto"/>
              <w:outlineLvl w:val="9"/>
              <w:rPr>
                <w:rFonts w:hint="eastAsia" w:ascii="新宋体" w:hAnsi="新宋体" w:eastAsia="新宋体"/>
                <w:b/>
                <w:color w:val="auto"/>
                <w:sz w:val="28"/>
              </w:rPr>
            </w:pPr>
            <w:r>
              <w:rPr>
                <w:rFonts w:hint="eastAsia" w:ascii="新宋体" w:hAnsi="新宋体" w:eastAsia="新宋体"/>
                <w:b/>
                <w:color w:val="auto"/>
                <w:sz w:val="28"/>
              </w:rPr>
              <w:t>致</w:t>
            </w:r>
            <w:r>
              <w:rPr>
                <w:rFonts w:hint="eastAsia" w:ascii="新宋体" w:hAnsi="新宋体" w:eastAsia="新宋体"/>
                <w:b/>
                <w:color w:val="auto"/>
                <w:sz w:val="28"/>
                <w:lang w:eastAsia="zh-CN"/>
              </w:rPr>
              <w:t>：</w:t>
            </w:r>
            <w:r>
              <w:rPr>
                <w:rFonts w:hint="eastAsia" w:ascii="新宋体" w:hAnsi="新宋体" w:eastAsia="新宋体"/>
                <w:b/>
                <w:color w:val="auto"/>
                <w:sz w:val="28"/>
              </w:rPr>
              <w:t xml:space="preserve">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096" w:type="dxa"/>
            <w:noWrap w:val="0"/>
            <w:vAlign w:val="center"/>
          </w:tcPr>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项目名称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after="100" w:line="360" w:lineRule="auto"/>
              <w:ind w:firstLine="2889" w:firstLineChars="1204"/>
              <w:outlineLvl w:val="9"/>
              <w:rPr>
                <w:rFonts w:hint="eastAsia" w:ascii="新宋体" w:hAnsi="新宋体" w:eastAsia="新宋体"/>
                <w:color w:val="auto"/>
                <w:sz w:val="24"/>
                <w:u w:val="single"/>
              </w:rPr>
            </w:pPr>
            <w:r>
              <w:rPr>
                <w:rFonts w:hint="eastAsia" w:ascii="新宋体" w:hAnsi="新宋体" w:eastAsia="新宋体"/>
                <w:color w:val="auto"/>
                <w:sz w:val="24"/>
                <w:lang w:eastAsia="zh-CN"/>
              </w:rPr>
              <w:t>项目编号：</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firstLine="2889" w:firstLineChars="1204"/>
              <w:outlineLvl w:val="9"/>
              <w:rPr>
                <w:rFonts w:hint="eastAsia" w:ascii="新宋体" w:hAnsi="新宋体" w:eastAsia="新宋体"/>
                <w:color w:val="auto"/>
                <w:sz w:val="24"/>
              </w:rPr>
            </w:pPr>
            <w:r>
              <w:rPr>
                <w:rFonts w:hint="eastAsia" w:ascii="新宋体" w:hAnsi="新宋体" w:eastAsia="新宋体"/>
                <w:color w:val="auto"/>
                <w:sz w:val="24"/>
              </w:rPr>
              <w:t>投标人名称</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p>
            <w:pPr>
              <w:spacing w:after="100" w:line="360" w:lineRule="auto"/>
              <w:ind w:right="-4120" w:rightChars="-1962" w:firstLine="2889" w:firstLineChars="1204"/>
              <w:outlineLvl w:val="9"/>
              <w:rPr>
                <w:rFonts w:hint="eastAsia" w:ascii="新宋体" w:hAnsi="新宋体" w:eastAsia="新宋体"/>
                <w:b/>
                <w:color w:val="auto"/>
                <w:sz w:val="20"/>
              </w:rPr>
            </w:pPr>
            <w:r>
              <w:rPr>
                <w:rFonts w:hint="eastAsia" w:ascii="新宋体" w:hAnsi="新宋体" w:eastAsia="新宋体"/>
                <w:color w:val="auto"/>
                <w:sz w:val="24"/>
              </w:rPr>
              <w:t>投标人地址</w:t>
            </w:r>
            <w:r>
              <w:rPr>
                <w:rFonts w:hint="eastAsia" w:ascii="新宋体" w:hAnsi="新宋体" w:eastAsia="新宋体"/>
                <w:color w:val="auto"/>
                <w:sz w:val="24"/>
                <w:lang w:eastAsia="zh-CN"/>
              </w:rPr>
              <w:t>：</w:t>
            </w:r>
            <w:r>
              <w:rPr>
                <w:rFonts w:hint="eastAsia" w:ascii="新宋体" w:hAnsi="新宋体" w:eastAsia="新宋体"/>
                <w:color w:val="auto"/>
                <w:sz w:val="24"/>
                <w:u w:val="single"/>
              </w:rPr>
              <w:t xml:space="preserve">                     </w:t>
            </w:r>
          </w:p>
        </w:tc>
        <w:tc>
          <w:tcPr>
            <w:tcW w:w="248" w:type="dxa"/>
            <w:noWrap w:val="0"/>
            <w:vAlign w:val="center"/>
          </w:tcPr>
          <w:p>
            <w:pPr>
              <w:spacing w:after="100" w:line="360" w:lineRule="auto"/>
              <w:ind w:left="-1" w:leftChars="-119" w:hanging="249" w:hangingChars="124"/>
              <w:outlineLvl w:val="9"/>
              <w:rPr>
                <w:rFonts w:hint="eastAsia" w:ascii="新宋体" w:hAnsi="新宋体" w:eastAsia="新宋体"/>
                <w:b/>
                <w:color w:val="auto"/>
                <w:sz w:val="20"/>
              </w:rPr>
            </w:pPr>
          </w:p>
        </w:tc>
      </w:tr>
    </w:tbl>
    <w:p>
      <w:pPr>
        <w:spacing w:line="480" w:lineRule="auto"/>
        <w:ind w:firstLine="643" w:firstLineChars="200"/>
        <w:outlineLvl w:val="9"/>
        <w:rPr>
          <w:rFonts w:hint="eastAsia" w:ascii="宋体" w:hAnsi="宋体" w:cs="宋体"/>
          <w:b/>
          <w:bCs/>
          <w:color w:val="auto"/>
          <w:sz w:val="32"/>
          <w:szCs w:val="22"/>
        </w:rPr>
      </w:pPr>
    </w:p>
    <w:p>
      <w:pPr>
        <w:spacing w:line="480" w:lineRule="auto"/>
        <w:ind w:firstLine="643" w:firstLineChars="200"/>
        <w:outlineLvl w:val="9"/>
        <w:rPr>
          <w:rFonts w:hint="eastAsia" w:ascii="宋体" w:hAnsi="宋体" w:cs="宋体"/>
          <w:b/>
          <w:bCs/>
          <w:color w:val="auto"/>
          <w:sz w:val="32"/>
          <w:szCs w:val="22"/>
        </w:rPr>
      </w:pPr>
      <w:r>
        <w:rPr>
          <w:rFonts w:hint="eastAsia" w:ascii="宋体" w:hAnsi="宋体" w:cs="宋体"/>
          <w:b/>
          <w:bCs/>
          <w:color w:val="auto"/>
          <w:sz w:val="32"/>
          <w:szCs w:val="22"/>
        </w:rPr>
        <w:t>注</w:t>
      </w:r>
      <w:r>
        <w:rPr>
          <w:rFonts w:hint="eastAsia" w:ascii="宋体" w:hAnsi="宋体" w:cs="宋体"/>
          <w:b/>
          <w:bCs/>
          <w:color w:val="auto"/>
          <w:sz w:val="32"/>
          <w:szCs w:val="22"/>
          <w:lang w:eastAsia="zh-CN"/>
        </w:rPr>
        <w:t>：谈判</w:t>
      </w:r>
      <w:r>
        <w:rPr>
          <w:rFonts w:hint="eastAsia" w:ascii="宋体" w:hAnsi="宋体" w:cs="宋体"/>
          <w:b/>
          <w:bCs/>
          <w:color w:val="auto"/>
          <w:sz w:val="32"/>
          <w:szCs w:val="22"/>
        </w:rPr>
        <w:t>响应文件须密封完整，封口处加盖公章。</w:t>
      </w:r>
    </w:p>
    <w:p>
      <w:pPr>
        <w:tabs>
          <w:tab w:val="left" w:pos="883"/>
        </w:tabs>
        <w:spacing w:before="38"/>
        <w:ind w:left="0" w:right="720" w:firstLine="0"/>
        <w:jc w:val="both"/>
        <w:outlineLvl w:val="9"/>
        <w:rPr>
          <w:b/>
          <w:color w:val="auto"/>
          <w:sz w:val="44"/>
        </w:rPr>
      </w:pPr>
    </w:p>
    <w:p>
      <w:pPr>
        <w:tabs>
          <w:tab w:val="left" w:pos="883"/>
        </w:tabs>
        <w:spacing w:before="38"/>
        <w:ind w:left="0" w:right="720" w:firstLine="0"/>
        <w:jc w:val="center"/>
        <w:outlineLvl w:val="9"/>
        <w:rPr>
          <w:b/>
          <w:color w:val="auto"/>
          <w:sz w:val="49"/>
        </w:rPr>
      </w:pPr>
      <w:bookmarkStart w:id="55" w:name="_Toc4749"/>
      <w:bookmarkStart w:id="56" w:name="_Toc28620"/>
      <w:r>
        <w:rPr>
          <w:b/>
          <w:color w:val="auto"/>
          <w:sz w:val="44"/>
        </w:rPr>
        <w:t>目</w:t>
      </w:r>
      <w:r>
        <w:rPr>
          <w:b/>
          <w:color w:val="auto"/>
          <w:sz w:val="44"/>
        </w:rPr>
        <w:tab/>
      </w:r>
      <w:r>
        <w:rPr>
          <w:b/>
          <w:color w:val="auto"/>
          <w:sz w:val="44"/>
        </w:rPr>
        <w:t>录</w:t>
      </w:r>
      <w:bookmarkEnd w:id="55"/>
      <w:bookmarkEnd w:id="56"/>
    </w:p>
    <w:p>
      <w:pPr>
        <w:pStyle w:val="88"/>
        <w:numPr>
          <w:ilvl w:val="0"/>
          <w:numId w:val="0"/>
        </w:numPr>
        <w:tabs>
          <w:tab w:val="left" w:pos="1658"/>
        </w:tabs>
        <w:spacing w:before="0" w:after="0" w:line="240" w:lineRule="auto"/>
        <w:ind w:leftChars="200" w:right="0" w:rightChars="0"/>
        <w:jc w:val="both"/>
        <w:outlineLvl w:val="9"/>
        <w:rPr>
          <w:color w:val="auto"/>
          <w:sz w:val="28"/>
        </w:rPr>
      </w:pPr>
    </w:p>
    <w:p>
      <w:pPr>
        <w:pStyle w:val="88"/>
        <w:numPr>
          <w:ilvl w:val="0"/>
          <w:numId w:val="0"/>
        </w:numPr>
        <w:tabs>
          <w:tab w:val="left" w:pos="1658"/>
        </w:tabs>
        <w:spacing w:before="0" w:after="0" w:line="240" w:lineRule="auto"/>
        <w:ind w:leftChars="200" w:right="0" w:rightChars="0"/>
        <w:jc w:val="both"/>
        <w:outlineLvl w:val="9"/>
        <w:rPr>
          <w:color w:val="auto"/>
          <w:sz w:val="28"/>
        </w:rPr>
      </w:pP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投标函（格式）；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投标报价表（格式）；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投标报价明细表；</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商务条款偏离表（格式）；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技术规格偏离表（格式）；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法定代表人证明书或授权书（格式）；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资格证明文件；</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kern w:val="0"/>
          <w:sz w:val="24"/>
          <w:szCs w:val="24"/>
        </w:rPr>
        <w:t>具有履行合同所必需的设备和专业技术能力的书面声明；</w:t>
      </w:r>
    </w:p>
    <w:p>
      <w:pPr>
        <w:numPr>
          <w:ilvl w:val="0"/>
          <w:numId w:val="5"/>
        </w:numPr>
        <w:spacing w:line="480" w:lineRule="auto"/>
        <w:jc w:val="left"/>
        <w:rPr>
          <w:rFonts w:hint="eastAsia"/>
          <w:sz w:val="24"/>
          <w:szCs w:val="24"/>
          <w:lang w:eastAsia="zh-CN"/>
        </w:rPr>
      </w:pPr>
      <w:r>
        <w:rPr>
          <w:rFonts w:hint="eastAsia" w:ascii="宋体" w:hAnsi="宋体" w:cs="宋体"/>
          <w:sz w:val="24"/>
          <w:szCs w:val="24"/>
          <w:lang w:eastAsia="zh-CN"/>
        </w:rPr>
        <w:t>参加政府采购活动前三年内，在经营活动中没有重大违法记录书面声明（格式）；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陕西省政府采购供应商拒绝政府采购领域商业贿赂承诺书（格式）；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项目业绩表；</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售后服务承诺（格式）；</w:t>
      </w:r>
    </w:p>
    <w:p>
      <w:pPr>
        <w:numPr>
          <w:ilvl w:val="0"/>
          <w:numId w:val="5"/>
        </w:numPr>
        <w:spacing w:line="480" w:lineRule="auto"/>
        <w:jc w:val="left"/>
        <w:rPr>
          <w:rFonts w:hint="eastAsia" w:ascii="宋体" w:hAnsi="宋体" w:cs="宋体"/>
          <w:sz w:val="24"/>
          <w:szCs w:val="24"/>
          <w:lang w:eastAsia="zh-CN"/>
        </w:rPr>
      </w:pPr>
      <w:r>
        <w:rPr>
          <w:rFonts w:hint="eastAsia" w:ascii="宋体" w:hAnsi="宋体" w:cs="宋体"/>
          <w:sz w:val="24"/>
          <w:szCs w:val="24"/>
          <w:lang w:eastAsia="zh-CN"/>
        </w:rPr>
        <w:t>其他证明材料。</w:t>
      </w:r>
    </w:p>
    <w:p>
      <w:pPr>
        <w:spacing w:line="360" w:lineRule="auto"/>
        <w:outlineLvl w:val="1"/>
        <w:rPr>
          <w:rFonts w:ascii="宋体" w:hAnsi="宋体" w:cs="宋体"/>
          <w:b/>
          <w:sz w:val="28"/>
          <w:szCs w:val="28"/>
        </w:rPr>
      </w:pPr>
      <w:r>
        <w:rPr>
          <w:rFonts w:hint="eastAsia"/>
          <w:color w:val="auto"/>
          <w:spacing w:val="-2"/>
          <w:sz w:val="28"/>
          <w:lang w:eastAsia="zh-CN"/>
        </w:rPr>
        <w:br w:type="page"/>
      </w:r>
      <w:bookmarkEnd w:id="49"/>
      <w:r>
        <w:rPr>
          <w:rFonts w:hint="eastAsia" w:ascii="宋体" w:hAnsi="宋体" w:cs="宋体"/>
          <w:b/>
          <w:sz w:val="28"/>
          <w:szCs w:val="28"/>
        </w:rPr>
        <w:t>一、投标函</w:t>
      </w:r>
    </w:p>
    <w:p>
      <w:pPr>
        <w:spacing w:line="360" w:lineRule="auto"/>
        <w:rPr>
          <w:rFonts w:ascii="宋体" w:hAnsi="宋体" w:cs="宋体"/>
          <w:b/>
          <w:sz w:val="24"/>
        </w:rPr>
      </w:pP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i/>
          <w:iCs/>
          <w:sz w:val="24"/>
          <w:u w:val="single"/>
        </w:rPr>
        <w:t xml:space="preserve">     （项目编号）         （项目名称）</w:t>
      </w:r>
      <w:r>
        <w:rPr>
          <w:rFonts w:hint="eastAsia" w:ascii="宋体" w:hAnsi="宋体" w:cs="宋体"/>
          <w:sz w:val="24"/>
          <w:lang w:eastAsia="zh-CN"/>
        </w:rPr>
        <w:t>单一来源谈判文件</w:t>
      </w:r>
      <w:r>
        <w:rPr>
          <w:rFonts w:hint="eastAsia" w:ascii="宋体" w:hAnsi="宋体" w:cs="宋体"/>
          <w:sz w:val="24"/>
        </w:rPr>
        <w:t>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（授权代表全名、职务）</w:t>
      </w:r>
      <w:r>
        <w:rPr>
          <w:rFonts w:hint="eastAsia" w:ascii="宋体" w:hAnsi="宋体" w:cs="宋体"/>
          <w:sz w:val="24"/>
        </w:rPr>
        <w:t>代表我方进行有关本投标的一切事宜。</w:t>
      </w:r>
    </w:p>
    <w:p>
      <w:pPr>
        <w:spacing w:line="360" w:lineRule="auto"/>
        <w:ind w:firstLine="480"/>
        <w:rPr>
          <w:rFonts w:ascii="宋体" w:hAnsi="宋体" w:cs="宋体"/>
          <w:sz w:val="24"/>
        </w:rPr>
      </w:pPr>
      <w:r>
        <w:rPr>
          <w:rFonts w:hint="eastAsia" w:ascii="宋体" w:hAnsi="宋体" w:cs="宋体"/>
          <w:sz w:val="24"/>
        </w:rPr>
        <w:t>在此提交的</w:t>
      </w:r>
      <w:r>
        <w:rPr>
          <w:rFonts w:hint="eastAsia" w:ascii="宋体" w:hAnsi="宋体" w:cs="宋体"/>
          <w:sz w:val="24"/>
          <w:lang w:eastAsia="zh-CN"/>
        </w:rPr>
        <w:t>单一来源谈判响应文件</w:t>
      </w:r>
      <w:r>
        <w:rPr>
          <w:rFonts w:hint="eastAsia" w:ascii="宋体" w:hAnsi="宋体" w:cs="宋体"/>
          <w:sz w:val="24"/>
        </w:rPr>
        <w:t>，正本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r>
        <w:rPr>
          <w:rFonts w:hint="eastAsia" w:ascii="宋体" w:hAnsi="宋体" w:cs="宋体"/>
          <w:sz w:val="24"/>
          <w:lang w:eastAsia="zh-CN"/>
        </w:rPr>
        <w:t>投标报价表、谈判响应文件电子版本</w:t>
      </w:r>
      <w:r>
        <w:rPr>
          <w:rFonts w:hint="eastAsia" w:ascii="宋体" w:hAnsi="宋体" w:cs="宋体"/>
          <w:sz w:val="24"/>
          <w:lang w:val="en-US" w:eastAsia="zh-CN"/>
        </w:rPr>
        <w:t>U盘各一份</w:t>
      </w:r>
      <w:r>
        <w:rPr>
          <w:rFonts w:hint="eastAsia" w:ascii="宋体" w:hAnsi="宋体" w:cs="宋体"/>
          <w:sz w:val="24"/>
        </w:rPr>
        <w:t>。包括如下等内容：</w:t>
      </w:r>
    </w:p>
    <w:p>
      <w:pPr>
        <w:numPr>
          <w:ilvl w:val="0"/>
          <w:numId w:val="6"/>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投标报价表；</w:t>
      </w:r>
    </w:p>
    <w:p>
      <w:pPr>
        <w:numPr>
          <w:ilvl w:val="0"/>
          <w:numId w:val="6"/>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投标报价明细表；</w:t>
      </w:r>
    </w:p>
    <w:p>
      <w:pPr>
        <w:numPr>
          <w:ilvl w:val="0"/>
          <w:numId w:val="6"/>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商务条款偏离表；</w:t>
      </w:r>
    </w:p>
    <w:p>
      <w:pPr>
        <w:numPr>
          <w:ilvl w:val="0"/>
          <w:numId w:val="6"/>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技术规格偏离表；</w:t>
      </w:r>
    </w:p>
    <w:p>
      <w:pPr>
        <w:numPr>
          <w:ilvl w:val="0"/>
          <w:numId w:val="6"/>
        </w:numPr>
        <w:tabs>
          <w:tab w:val="left" w:pos="1287"/>
        </w:tabs>
        <w:spacing w:line="360" w:lineRule="auto"/>
        <w:ind w:left="0" w:leftChars="0" w:firstLine="420" w:firstLineChars="0"/>
        <w:rPr>
          <w:rFonts w:ascii="宋体" w:hAnsi="宋体" w:cs="宋体"/>
          <w:sz w:val="24"/>
        </w:rPr>
      </w:pPr>
      <w:r>
        <w:rPr>
          <w:rFonts w:hint="eastAsia" w:ascii="宋体" w:hAnsi="宋体" w:cs="宋体"/>
          <w:sz w:val="24"/>
        </w:rPr>
        <w:t>法定代表人证明书或授权书；</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资格证明文件；</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参加政府采购活动前三年内，在经营活动中没有重大违法记录书面声明；</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陕西省政府采购供应商拒绝政府采购领域商业贿赂承诺书</w:t>
      </w:r>
      <w:r>
        <w:rPr>
          <w:rFonts w:hint="eastAsia" w:ascii="宋体" w:hAnsi="宋体" w:cs="宋体"/>
          <w:sz w:val="24"/>
          <w:lang w:eastAsia="zh-CN"/>
        </w:rPr>
        <w:t>；</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售后服务承诺</w:t>
      </w:r>
    </w:p>
    <w:p>
      <w:pPr>
        <w:numPr>
          <w:ilvl w:val="0"/>
          <w:numId w:val="6"/>
        </w:numPr>
        <w:tabs>
          <w:tab w:val="left" w:pos="1287"/>
        </w:tabs>
        <w:spacing w:line="360" w:lineRule="auto"/>
        <w:ind w:left="0" w:leftChars="0" w:firstLine="420" w:firstLineChars="0"/>
        <w:rPr>
          <w:rFonts w:hint="eastAsia"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w:t>
      </w:r>
      <w:r>
        <w:rPr>
          <w:rFonts w:hint="eastAsia" w:ascii="宋体" w:hAnsi="宋体" w:cs="宋体"/>
          <w:sz w:val="24"/>
          <w:lang w:eastAsia="zh-CN"/>
        </w:rPr>
        <w:t>单一来源谈判文件</w:t>
      </w:r>
      <w:r>
        <w:rPr>
          <w:rFonts w:hint="eastAsia" w:ascii="宋体" w:hAnsi="宋体" w:cs="宋体"/>
          <w:sz w:val="24"/>
        </w:rPr>
        <w:t>的所有条款要求，并重申以下几点。</w:t>
      </w:r>
    </w:p>
    <w:p>
      <w:pPr>
        <w:numPr>
          <w:ilvl w:val="0"/>
          <w:numId w:val="7"/>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7"/>
        </w:numPr>
        <w:spacing w:line="360" w:lineRule="auto"/>
        <w:rPr>
          <w:rFonts w:ascii="宋体" w:hAnsi="宋体" w:cs="宋体"/>
          <w:sz w:val="24"/>
        </w:rPr>
      </w:pPr>
      <w:r>
        <w:rPr>
          <w:rFonts w:hint="eastAsia" w:ascii="宋体" w:hAnsi="宋体" w:cs="宋体"/>
          <w:sz w:val="24"/>
        </w:rPr>
        <w:t>全部</w:t>
      </w:r>
      <w:r>
        <w:rPr>
          <w:rFonts w:hint="eastAsia" w:ascii="宋体" w:hAnsi="宋体" w:cs="宋体"/>
          <w:sz w:val="24"/>
          <w:lang w:val="en-US" w:eastAsia="zh-CN"/>
        </w:rPr>
        <w:t>货物及</w:t>
      </w:r>
      <w:r>
        <w:rPr>
          <w:rFonts w:hint="eastAsia" w:ascii="宋体" w:hAnsi="宋体" w:cs="宋体"/>
          <w:sz w:val="24"/>
        </w:rPr>
        <w:t>服务的投标总价为：</w:t>
      </w:r>
      <w:r>
        <w:rPr>
          <w:rFonts w:hint="eastAsia" w:ascii="宋体" w:hAnsi="宋体" w:cs="宋体"/>
          <w:sz w:val="24"/>
          <w:u w:val="single"/>
        </w:rPr>
        <w:t xml:space="preserve">               （大、小写）。</w:t>
      </w:r>
    </w:p>
    <w:p>
      <w:pPr>
        <w:numPr>
          <w:ilvl w:val="0"/>
          <w:numId w:val="7"/>
        </w:numPr>
        <w:spacing w:line="360" w:lineRule="auto"/>
        <w:rPr>
          <w:rFonts w:ascii="宋体" w:hAnsi="宋体" w:cs="宋体"/>
          <w:sz w:val="24"/>
        </w:rPr>
      </w:pPr>
      <w:r>
        <w:rPr>
          <w:rFonts w:hint="eastAsia" w:ascii="宋体" w:hAnsi="宋体" w:cs="宋体"/>
          <w:sz w:val="24"/>
        </w:rPr>
        <w:t>本</w:t>
      </w:r>
      <w:r>
        <w:rPr>
          <w:rFonts w:hint="eastAsia" w:ascii="宋体" w:hAnsi="宋体" w:cs="宋体"/>
          <w:sz w:val="24"/>
          <w:lang w:eastAsia="zh-CN"/>
        </w:rPr>
        <w:t>单一来源谈判响应文件</w:t>
      </w:r>
      <w:r>
        <w:rPr>
          <w:rFonts w:hint="eastAsia" w:ascii="宋体" w:hAnsi="宋体" w:cs="宋体"/>
          <w:sz w:val="24"/>
        </w:rPr>
        <w:t>的有效期在投标截止日后</w:t>
      </w:r>
      <w:r>
        <w:rPr>
          <w:rFonts w:hint="eastAsia" w:ascii="宋体" w:hAnsi="宋体" w:cs="宋体"/>
          <w:sz w:val="24"/>
          <w:u w:val="single"/>
        </w:rPr>
        <w:t xml:space="preserve">  </w:t>
      </w:r>
      <w:r>
        <w:rPr>
          <w:rFonts w:hint="eastAsia" w:ascii="宋体" w:hAnsi="宋体" w:cs="宋体"/>
          <w:sz w:val="24"/>
        </w:rPr>
        <w:t>天有效，如成交，有效期将延至合同终止日为止。</w:t>
      </w:r>
    </w:p>
    <w:p>
      <w:pPr>
        <w:numPr>
          <w:ilvl w:val="0"/>
          <w:numId w:val="7"/>
        </w:numPr>
        <w:spacing w:line="360" w:lineRule="auto"/>
        <w:rPr>
          <w:rFonts w:ascii="宋体" w:hAnsi="宋体" w:cs="宋体"/>
          <w:sz w:val="24"/>
        </w:rPr>
      </w:pPr>
      <w:r>
        <w:rPr>
          <w:rFonts w:hint="eastAsia" w:ascii="宋体" w:hAnsi="宋体" w:cs="宋体"/>
          <w:sz w:val="24"/>
        </w:rPr>
        <w:t>我方已详细研究了</w:t>
      </w:r>
      <w:r>
        <w:rPr>
          <w:rFonts w:hint="eastAsia" w:ascii="宋体" w:hAnsi="宋体" w:cs="宋体"/>
          <w:sz w:val="24"/>
          <w:lang w:eastAsia="zh-CN"/>
        </w:rPr>
        <w:t>单一来源谈判文件</w:t>
      </w:r>
      <w:r>
        <w:rPr>
          <w:rFonts w:hint="eastAsia" w:ascii="宋体" w:hAnsi="宋体" w:cs="宋体"/>
          <w:sz w:val="24"/>
        </w:rPr>
        <w:t>的所有内容包括修正文（如果有）和所有已提供的参考资料以及有关附件并完全明白，我方放弃在此方面提出含糊意见或误解的一切权力。</w:t>
      </w:r>
    </w:p>
    <w:p>
      <w:pPr>
        <w:numPr>
          <w:ilvl w:val="0"/>
          <w:numId w:val="7"/>
        </w:numPr>
        <w:spacing w:line="360" w:lineRule="auto"/>
        <w:rPr>
          <w:rFonts w:ascii="宋体" w:hAnsi="宋体" w:cs="宋体"/>
          <w:sz w:val="24"/>
        </w:rPr>
      </w:pPr>
      <w:r>
        <w:rPr>
          <w:rFonts w:hint="eastAsia" w:ascii="宋体" w:hAnsi="宋体" w:cs="宋体"/>
          <w:sz w:val="24"/>
        </w:rPr>
        <w:t>我方明白并愿意</w:t>
      </w:r>
      <w:r>
        <w:rPr>
          <w:rFonts w:hint="eastAsia" w:ascii="宋体" w:hAnsi="宋体" w:cs="宋体"/>
          <w:sz w:val="24"/>
          <w:lang w:val="en-US" w:eastAsia="zh-CN"/>
        </w:rPr>
        <w:t>不得在</w:t>
      </w:r>
      <w:r>
        <w:rPr>
          <w:rFonts w:hint="eastAsia" w:ascii="宋体" w:hAnsi="宋体" w:cs="宋体"/>
          <w:sz w:val="24"/>
        </w:rPr>
        <w:t>规定的开标时间和日期之后、投标有效期之内撤回投标。</w:t>
      </w:r>
    </w:p>
    <w:p>
      <w:pPr>
        <w:numPr>
          <w:ilvl w:val="0"/>
          <w:numId w:val="7"/>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7"/>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7"/>
        </w:numPr>
        <w:spacing w:line="360" w:lineRule="auto"/>
        <w:rPr>
          <w:rFonts w:ascii="宋体" w:hAnsi="宋体" w:cs="宋体"/>
          <w:sz w:val="24"/>
        </w:rPr>
      </w:pPr>
      <w:r>
        <w:rPr>
          <w:rFonts w:hint="eastAsia" w:ascii="宋体" w:hAnsi="宋体" w:cs="宋体"/>
          <w:sz w:val="24"/>
        </w:rPr>
        <w:t>我方如果成交，将保证履行</w:t>
      </w:r>
      <w:r>
        <w:rPr>
          <w:rFonts w:hint="eastAsia" w:ascii="宋体" w:hAnsi="宋体" w:cs="宋体"/>
          <w:sz w:val="24"/>
          <w:lang w:eastAsia="zh-CN"/>
        </w:rPr>
        <w:t>单一来源谈判文件</w:t>
      </w:r>
      <w:r>
        <w:rPr>
          <w:rFonts w:hint="eastAsia" w:ascii="宋体" w:hAnsi="宋体" w:cs="宋体"/>
          <w:sz w:val="24"/>
        </w:rPr>
        <w:t>及其补充文件中的全部责任和义务，按质、按量、按期完成《合同书》中的全部任务。</w:t>
      </w:r>
    </w:p>
    <w:p>
      <w:pPr>
        <w:numPr>
          <w:ilvl w:val="0"/>
          <w:numId w:val="7"/>
        </w:numPr>
        <w:spacing w:line="360" w:lineRule="auto"/>
        <w:rPr>
          <w:rFonts w:ascii="宋体" w:hAnsi="宋体" w:cs="宋体"/>
          <w:sz w:val="24"/>
        </w:rPr>
      </w:pPr>
      <w:r>
        <w:rPr>
          <w:rFonts w:hint="eastAsia" w:ascii="宋体" w:hAnsi="宋体" w:cs="宋体"/>
          <w:sz w:val="24"/>
        </w:rPr>
        <w:t>如我方成交，我方将在收到成交通知书之前，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交纳成交服务费。</w:t>
      </w:r>
    </w:p>
    <w:p>
      <w:pPr>
        <w:numPr>
          <w:ilvl w:val="0"/>
          <w:numId w:val="7"/>
        </w:numPr>
        <w:spacing w:line="360" w:lineRule="auto"/>
        <w:rPr>
          <w:rFonts w:ascii="宋体" w:hAnsi="宋体" w:cs="宋体"/>
          <w:sz w:val="24"/>
        </w:rPr>
      </w:pPr>
      <w:r>
        <w:rPr>
          <w:rFonts w:hint="eastAsia" w:ascii="宋体" w:hAnsi="宋体" w:cs="宋体"/>
          <w:sz w:val="24"/>
        </w:rPr>
        <w:t>所有与本招标有关的函件请发往下列地址：</w:t>
      </w:r>
    </w:p>
    <w:p>
      <w:pPr>
        <w:spacing w:after="100" w:line="360" w:lineRule="auto"/>
        <w:ind w:left="482"/>
        <w:rPr>
          <w:rFonts w:ascii="宋体" w:hAnsi="宋体" w:cs="宋体"/>
          <w:szCs w:val="21"/>
        </w:rPr>
      </w:pP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88"/>
        <w:tabs>
          <w:tab w:val="left" w:pos="1660"/>
        </w:tabs>
        <w:spacing w:before="160"/>
        <w:ind w:left="420" w:leftChars="200" w:firstLine="0"/>
        <w:rPr>
          <w:rFonts w:ascii="宋体" w:hAnsi="宋体" w:cs="宋体"/>
          <w:sz w:val="28"/>
          <w:szCs w:val="28"/>
        </w:rPr>
        <w:sectPr>
          <w:footerReference r:id="rId8" w:type="default"/>
          <w:type w:val="nextColumn"/>
          <w:pgSz w:w="11850" w:h="16783"/>
          <w:pgMar w:top="1440" w:right="1797" w:bottom="1440" w:left="1797" w:header="851" w:footer="992" w:gutter="0"/>
          <w:pgNumType w:fmt="decimal" w:start="1"/>
          <w:cols w:space="720" w:num="1"/>
          <w:docGrid w:linePitch="286" w:charSpace="0"/>
        </w:sectPr>
      </w:pPr>
    </w:p>
    <w:p>
      <w:pPr>
        <w:numPr>
          <w:ilvl w:val="1"/>
          <w:numId w:val="0"/>
        </w:numPr>
        <w:outlineLvl w:val="1"/>
        <w:rPr>
          <w:rFonts w:ascii="宋体" w:hAnsi="宋体" w:cs="宋体"/>
          <w:b/>
          <w:bCs/>
          <w:sz w:val="28"/>
          <w:szCs w:val="28"/>
        </w:rPr>
      </w:pPr>
      <w:bookmarkStart w:id="57" w:name="_Toc60421814"/>
      <w:r>
        <w:rPr>
          <w:rFonts w:hint="eastAsia" w:ascii="宋体" w:hAnsi="宋体" w:cs="宋体"/>
          <w:b/>
          <w:bCs/>
          <w:sz w:val="28"/>
          <w:szCs w:val="28"/>
        </w:rPr>
        <w:t>二、投标报价表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 xml:space="preserve">项目名称：  </w:t>
      </w:r>
      <w:r>
        <w:rPr>
          <w:rFonts w:hint="eastAsia" w:ascii="宋体" w:hAnsi="宋体" w:cs="宋体"/>
          <w:sz w:val="24"/>
          <w:u w:val="single"/>
        </w:rPr>
        <w:t xml:space="preserve">                      </w:t>
      </w:r>
    </w:p>
    <w:p>
      <w:pPr>
        <w:widowControl/>
        <w:spacing w:line="360" w:lineRule="auto"/>
        <w:ind w:left="210"/>
        <w:jc w:val="left"/>
        <w:rPr>
          <w:rFonts w:hint="eastAsia" w:ascii="宋体" w:hAnsi="宋体" w:cs="宋体"/>
          <w:sz w:val="24"/>
          <w:u w:val="single"/>
        </w:rPr>
      </w:pPr>
      <w:r>
        <w:rPr>
          <w:rFonts w:hint="eastAsia" w:ascii="宋体" w:hAnsi="宋体" w:cs="宋体"/>
          <w:sz w:val="24"/>
        </w:rPr>
        <w:t xml:space="preserve">项目编号：  </w:t>
      </w:r>
      <w:r>
        <w:rPr>
          <w:rFonts w:hint="eastAsia" w:ascii="宋体" w:hAnsi="宋体" w:cs="宋体"/>
          <w:sz w:val="24"/>
          <w:u w:val="single"/>
        </w:rPr>
        <w:t xml:space="preserve">                      </w:t>
      </w:r>
    </w:p>
    <w:tbl>
      <w:tblPr>
        <w:tblStyle w:val="35"/>
        <w:tblW w:w="0" w:type="auto"/>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45"/>
        <w:gridCol w:w="1430"/>
        <w:gridCol w:w="914"/>
        <w:gridCol w:w="1925"/>
        <w:gridCol w:w="2731"/>
        <w:gridCol w:w="2370"/>
        <w:gridCol w:w="1670"/>
        <w:gridCol w:w="10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974" w:hRule="atLeast"/>
        </w:trPr>
        <w:tc>
          <w:tcPr>
            <w:tcW w:w="746" w:type="dxa"/>
            <w:noWrap w:val="0"/>
            <w:vAlign w:val="center"/>
          </w:tcPr>
          <w:p>
            <w:pPr>
              <w:widowControl/>
              <w:jc w:val="center"/>
              <w:outlineLvl w:val="9"/>
              <w:rPr>
                <w:rFonts w:ascii="新宋体" w:hAnsi="新宋体" w:eastAsia="新宋体"/>
                <w:b/>
                <w:bCs/>
                <w:sz w:val="24"/>
              </w:rPr>
            </w:pPr>
            <w:r>
              <w:rPr>
                <w:rFonts w:hint="eastAsia" w:ascii="新宋体" w:hAnsi="新宋体" w:eastAsia="新宋体"/>
                <w:b/>
                <w:bCs/>
                <w:sz w:val="24"/>
              </w:rPr>
              <w:t>序号</w:t>
            </w:r>
          </w:p>
        </w:tc>
        <w:tc>
          <w:tcPr>
            <w:tcW w:w="1545" w:type="dxa"/>
            <w:noWrap w:val="0"/>
            <w:vAlign w:val="center"/>
          </w:tcPr>
          <w:p>
            <w:pPr>
              <w:widowControl/>
              <w:jc w:val="center"/>
              <w:outlineLvl w:val="9"/>
              <w:rPr>
                <w:rFonts w:ascii="新宋体" w:hAnsi="新宋体" w:eastAsia="新宋体"/>
                <w:b/>
                <w:bCs/>
                <w:color w:val="auto"/>
                <w:sz w:val="24"/>
              </w:rPr>
            </w:pPr>
            <w:r>
              <w:rPr>
                <w:rFonts w:hint="eastAsia" w:ascii="新宋体" w:hAnsi="新宋体" w:eastAsia="新宋体"/>
                <w:b/>
                <w:bCs/>
                <w:color w:val="auto"/>
                <w:sz w:val="24"/>
              </w:rPr>
              <w:t>货物名称</w:t>
            </w:r>
          </w:p>
        </w:tc>
        <w:tc>
          <w:tcPr>
            <w:tcW w:w="1430" w:type="dxa"/>
            <w:noWrap w:val="0"/>
            <w:vAlign w:val="center"/>
          </w:tcPr>
          <w:p>
            <w:pPr>
              <w:widowControl/>
              <w:jc w:val="center"/>
              <w:outlineLvl w:val="9"/>
              <w:rPr>
                <w:rFonts w:hint="eastAsia" w:ascii="新宋体" w:hAnsi="新宋体" w:eastAsia="新宋体"/>
                <w:b/>
                <w:bCs/>
                <w:color w:val="auto"/>
                <w:sz w:val="24"/>
              </w:rPr>
            </w:pPr>
            <w:r>
              <w:rPr>
                <w:rFonts w:hint="eastAsia" w:ascii="新宋体" w:hAnsi="新宋体" w:eastAsia="新宋体"/>
                <w:b/>
                <w:bCs/>
                <w:color w:val="auto"/>
                <w:sz w:val="24"/>
              </w:rPr>
              <w:t>型号和规格</w:t>
            </w:r>
          </w:p>
        </w:tc>
        <w:tc>
          <w:tcPr>
            <w:tcW w:w="914" w:type="dxa"/>
            <w:noWrap w:val="0"/>
            <w:vAlign w:val="center"/>
          </w:tcPr>
          <w:p>
            <w:pPr>
              <w:widowControl/>
              <w:jc w:val="center"/>
              <w:outlineLvl w:val="9"/>
              <w:rPr>
                <w:rFonts w:hint="eastAsia" w:ascii="新宋体" w:hAnsi="新宋体" w:eastAsia="新宋体"/>
                <w:b/>
                <w:bCs/>
                <w:color w:val="auto"/>
                <w:sz w:val="24"/>
              </w:rPr>
            </w:pPr>
            <w:r>
              <w:rPr>
                <w:rFonts w:hint="eastAsia" w:ascii="新宋体" w:hAnsi="新宋体" w:eastAsia="新宋体"/>
                <w:b/>
                <w:bCs/>
                <w:color w:val="auto"/>
                <w:sz w:val="24"/>
              </w:rPr>
              <w:t>数量</w:t>
            </w:r>
          </w:p>
        </w:tc>
        <w:tc>
          <w:tcPr>
            <w:tcW w:w="1925" w:type="dxa"/>
            <w:noWrap w:val="0"/>
            <w:vAlign w:val="center"/>
          </w:tcPr>
          <w:p>
            <w:pPr>
              <w:widowControl/>
              <w:jc w:val="center"/>
              <w:outlineLvl w:val="9"/>
              <w:rPr>
                <w:rFonts w:hint="eastAsia" w:ascii="新宋体" w:hAnsi="新宋体" w:eastAsia="新宋体"/>
                <w:b/>
                <w:bCs/>
                <w:color w:val="auto"/>
                <w:sz w:val="24"/>
              </w:rPr>
            </w:pPr>
            <w:r>
              <w:rPr>
                <w:rFonts w:hint="eastAsia" w:ascii="新宋体" w:hAnsi="新宋体" w:eastAsia="新宋体"/>
                <w:b/>
                <w:bCs/>
                <w:color w:val="auto"/>
                <w:sz w:val="24"/>
              </w:rPr>
              <w:t>元/</w:t>
            </w:r>
            <w:r>
              <w:rPr>
                <w:rFonts w:hint="eastAsia" w:ascii="新宋体" w:hAnsi="新宋体" w:eastAsia="新宋体"/>
                <w:b/>
                <w:bCs/>
                <w:color w:val="auto"/>
                <w:sz w:val="24"/>
                <w:lang w:eastAsia="zh-CN"/>
              </w:rPr>
              <w:t>套（次）</w:t>
            </w:r>
          </w:p>
        </w:tc>
        <w:tc>
          <w:tcPr>
            <w:tcW w:w="2731" w:type="dxa"/>
            <w:noWrap w:val="0"/>
            <w:vAlign w:val="center"/>
          </w:tcPr>
          <w:p>
            <w:pPr>
              <w:widowControl/>
              <w:jc w:val="center"/>
              <w:outlineLvl w:val="9"/>
              <w:rPr>
                <w:rFonts w:hint="eastAsia" w:ascii="新宋体" w:hAnsi="新宋体" w:eastAsia="新宋体"/>
                <w:b/>
                <w:bCs/>
                <w:color w:val="auto"/>
                <w:sz w:val="24"/>
              </w:rPr>
            </w:pPr>
            <w:r>
              <w:rPr>
                <w:rFonts w:hint="eastAsia" w:ascii="新宋体" w:hAnsi="新宋体" w:eastAsia="新宋体"/>
                <w:b/>
                <w:bCs/>
                <w:color w:val="auto"/>
                <w:sz w:val="24"/>
              </w:rPr>
              <w:t>总价(元)</w:t>
            </w:r>
          </w:p>
        </w:tc>
        <w:tc>
          <w:tcPr>
            <w:tcW w:w="2370" w:type="dxa"/>
            <w:noWrap w:val="0"/>
            <w:vAlign w:val="center"/>
          </w:tcPr>
          <w:p>
            <w:pPr>
              <w:widowControl/>
              <w:jc w:val="center"/>
              <w:outlineLvl w:val="9"/>
              <w:rPr>
                <w:rFonts w:hint="eastAsia" w:ascii="新宋体" w:hAnsi="新宋体" w:eastAsia="新宋体"/>
                <w:b/>
                <w:bCs/>
                <w:sz w:val="24"/>
                <w:lang w:val="en-US" w:eastAsia="zh-CN"/>
              </w:rPr>
            </w:pPr>
            <w:r>
              <w:rPr>
                <w:rFonts w:hint="eastAsia" w:ascii="新宋体" w:hAnsi="新宋体" w:eastAsia="新宋体"/>
                <w:b/>
                <w:bCs/>
                <w:sz w:val="24"/>
              </w:rPr>
              <w:t>制造商名称</w:t>
            </w:r>
          </w:p>
        </w:tc>
        <w:tc>
          <w:tcPr>
            <w:tcW w:w="1670" w:type="dxa"/>
            <w:noWrap w:val="0"/>
            <w:vAlign w:val="center"/>
          </w:tcPr>
          <w:p>
            <w:pPr>
              <w:widowControl/>
              <w:jc w:val="center"/>
              <w:outlineLvl w:val="9"/>
              <w:rPr>
                <w:rFonts w:hint="eastAsia" w:ascii="新宋体" w:hAnsi="新宋体" w:eastAsia="新宋体"/>
                <w:b/>
                <w:bCs/>
                <w:sz w:val="24"/>
              </w:rPr>
            </w:pPr>
            <w:r>
              <w:rPr>
                <w:rFonts w:hint="eastAsia" w:ascii="新宋体" w:hAnsi="新宋体" w:eastAsia="新宋体"/>
                <w:b/>
                <w:bCs/>
                <w:sz w:val="24"/>
              </w:rPr>
              <w:t>供货天数</w:t>
            </w:r>
          </w:p>
        </w:tc>
        <w:tc>
          <w:tcPr>
            <w:tcW w:w="1078" w:type="dxa"/>
            <w:noWrap w:val="0"/>
            <w:vAlign w:val="center"/>
          </w:tcPr>
          <w:p>
            <w:pPr>
              <w:widowControl/>
              <w:jc w:val="center"/>
              <w:outlineLvl w:val="9"/>
              <w:rPr>
                <w:rFonts w:ascii="新宋体" w:hAnsi="新宋体" w:eastAsia="新宋体"/>
                <w:b/>
                <w:bCs/>
                <w:sz w:val="24"/>
              </w:rPr>
            </w:pPr>
            <w:r>
              <w:rPr>
                <w:rFonts w:hint="eastAsia" w:ascii="新宋体" w:hAnsi="新宋体" w:eastAsia="新宋体"/>
                <w:b/>
                <w:bCs/>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746" w:type="dxa"/>
            <w:noWrap w:val="0"/>
            <w:vAlign w:val="top"/>
          </w:tcPr>
          <w:p>
            <w:pPr>
              <w:widowControl/>
              <w:outlineLvl w:val="9"/>
              <w:rPr>
                <w:rFonts w:ascii="新宋体" w:hAnsi="新宋体" w:eastAsia="新宋体"/>
                <w:sz w:val="24"/>
              </w:rPr>
            </w:pPr>
          </w:p>
        </w:tc>
        <w:tc>
          <w:tcPr>
            <w:tcW w:w="1545" w:type="dxa"/>
            <w:noWrap w:val="0"/>
            <w:vAlign w:val="top"/>
          </w:tcPr>
          <w:p>
            <w:pPr>
              <w:widowControl/>
              <w:outlineLvl w:val="9"/>
              <w:rPr>
                <w:rFonts w:ascii="新宋体" w:hAnsi="新宋体" w:eastAsia="新宋体"/>
                <w:color w:val="auto"/>
                <w:sz w:val="24"/>
              </w:rPr>
            </w:pPr>
          </w:p>
        </w:tc>
        <w:tc>
          <w:tcPr>
            <w:tcW w:w="1430" w:type="dxa"/>
            <w:noWrap w:val="0"/>
            <w:vAlign w:val="top"/>
          </w:tcPr>
          <w:p>
            <w:pPr>
              <w:widowControl/>
              <w:outlineLvl w:val="9"/>
              <w:rPr>
                <w:rFonts w:ascii="新宋体" w:hAnsi="新宋体" w:eastAsia="新宋体"/>
                <w:color w:val="auto"/>
                <w:sz w:val="24"/>
              </w:rPr>
            </w:pPr>
          </w:p>
        </w:tc>
        <w:tc>
          <w:tcPr>
            <w:tcW w:w="914" w:type="dxa"/>
            <w:noWrap w:val="0"/>
            <w:vAlign w:val="top"/>
          </w:tcPr>
          <w:p>
            <w:pPr>
              <w:widowControl/>
              <w:outlineLvl w:val="9"/>
              <w:rPr>
                <w:rFonts w:ascii="新宋体" w:hAnsi="新宋体" w:eastAsia="新宋体"/>
                <w:color w:val="auto"/>
                <w:sz w:val="24"/>
              </w:rPr>
            </w:pPr>
          </w:p>
        </w:tc>
        <w:tc>
          <w:tcPr>
            <w:tcW w:w="1925" w:type="dxa"/>
            <w:noWrap w:val="0"/>
            <w:vAlign w:val="top"/>
          </w:tcPr>
          <w:p>
            <w:pPr>
              <w:widowControl/>
              <w:outlineLvl w:val="9"/>
              <w:rPr>
                <w:rFonts w:ascii="新宋体" w:hAnsi="新宋体" w:eastAsia="新宋体"/>
                <w:color w:val="auto"/>
                <w:sz w:val="24"/>
              </w:rPr>
            </w:pPr>
          </w:p>
        </w:tc>
        <w:tc>
          <w:tcPr>
            <w:tcW w:w="2731" w:type="dxa"/>
            <w:noWrap w:val="0"/>
            <w:vAlign w:val="top"/>
          </w:tcPr>
          <w:p>
            <w:pPr>
              <w:widowControl/>
              <w:outlineLvl w:val="9"/>
              <w:rPr>
                <w:rFonts w:ascii="新宋体" w:hAnsi="新宋体" w:eastAsia="新宋体"/>
                <w:sz w:val="24"/>
              </w:rPr>
            </w:pPr>
          </w:p>
        </w:tc>
        <w:tc>
          <w:tcPr>
            <w:tcW w:w="2370" w:type="dxa"/>
            <w:noWrap w:val="0"/>
            <w:vAlign w:val="top"/>
          </w:tcPr>
          <w:p>
            <w:pPr>
              <w:widowControl/>
              <w:outlineLvl w:val="9"/>
              <w:rPr>
                <w:rFonts w:ascii="新宋体" w:hAnsi="新宋体" w:eastAsia="新宋体"/>
                <w:sz w:val="24"/>
              </w:rPr>
            </w:pPr>
          </w:p>
        </w:tc>
        <w:tc>
          <w:tcPr>
            <w:tcW w:w="1670" w:type="dxa"/>
            <w:noWrap w:val="0"/>
            <w:vAlign w:val="top"/>
          </w:tcPr>
          <w:p>
            <w:pPr>
              <w:widowControl/>
              <w:outlineLvl w:val="9"/>
              <w:rPr>
                <w:rFonts w:ascii="新宋体" w:hAnsi="新宋体" w:eastAsia="新宋体"/>
                <w:sz w:val="24"/>
              </w:rPr>
            </w:pPr>
          </w:p>
        </w:tc>
        <w:tc>
          <w:tcPr>
            <w:tcW w:w="1078" w:type="dxa"/>
            <w:noWrap w:val="0"/>
            <w:vAlign w:val="top"/>
          </w:tcPr>
          <w:p>
            <w:pPr>
              <w:widowControl/>
              <w:outlineLvl w:val="9"/>
              <w:rPr>
                <w:rFonts w:ascii="新宋体" w:hAnsi="新宋体" w:eastAsia="新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46" w:type="dxa"/>
            <w:noWrap w:val="0"/>
            <w:vAlign w:val="top"/>
          </w:tcPr>
          <w:p>
            <w:pPr>
              <w:widowControl/>
              <w:outlineLvl w:val="9"/>
              <w:rPr>
                <w:rFonts w:ascii="新宋体" w:hAnsi="新宋体" w:eastAsia="新宋体"/>
                <w:sz w:val="24"/>
              </w:rPr>
            </w:pPr>
          </w:p>
        </w:tc>
        <w:tc>
          <w:tcPr>
            <w:tcW w:w="1545" w:type="dxa"/>
            <w:noWrap w:val="0"/>
            <w:vAlign w:val="top"/>
          </w:tcPr>
          <w:p>
            <w:pPr>
              <w:widowControl/>
              <w:outlineLvl w:val="9"/>
              <w:rPr>
                <w:rFonts w:ascii="新宋体" w:hAnsi="新宋体" w:eastAsia="新宋体"/>
                <w:sz w:val="24"/>
              </w:rPr>
            </w:pPr>
          </w:p>
        </w:tc>
        <w:tc>
          <w:tcPr>
            <w:tcW w:w="1430" w:type="dxa"/>
            <w:noWrap w:val="0"/>
            <w:vAlign w:val="top"/>
          </w:tcPr>
          <w:p>
            <w:pPr>
              <w:widowControl/>
              <w:outlineLvl w:val="9"/>
              <w:rPr>
                <w:rFonts w:ascii="新宋体" w:hAnsi="新宋体" w:eastAsia="新宋体"/>
                <w:sz w:val="24"/>
              </w:rPr>
            </w:pPr>
          </w:p>
        </w:tc>
        <w:tc>
          <w:tcPr>
            <w:tcW w:w="914" w:type="dxa"/>
            <w:noWrap w:val="0"/>
            <w:vAlign w:val="top"/>
          </w:tcPr>
          <w:p>
            <w:pPr>
              <w:widowControl/>
              <w:outlineLvl w:val="9"/>
              <w:rPr>
                <w:rFonts w:ascii="新宋体" w:hAnsi="新宋体" w:eastAsia="新宋体"/>
                <w:sz w:val="24"/>
              </w:rPr>
            </w:pPr>
          </w:p>
        </w:tc>
        <w:tc>
          <w:tcPr>
            <w:tcW w:w="1925" w:type="dxa"/>
            <w:noWrap w:val="0"/>
            <w:vAlign w:val="top"/>
          </w:tcPr>
          <w:p>
            <w:pPr>
              <w:widowControl/>
              <w:outlineLvl w:val="9"/>
              <w:rPr>
                <w:rFonts w:ascii="新宋体" w:hAnsi="新宋体" w:eastAsia="新宋体"/>
                <w:sz w:val="24"/>
              </w:rPr>
            </w:pPr>
          </w:p>
        </w:tc>
        <w:tc>
          <w:tcPr>
            <w:tcW w:w="2731" w:type="dxa"/>
            <w:noWrap w:val="0"/>
            <w:vAlign w:val="top"/>
          </w:tcPr>
          <w:p>
            <w:pPr>
              <w:widowControl/>
              <w:outlineLvl w:val="9"/>
              <w:rPr>
                <w:rFonts w:ascii="新宋体" w:hAnsi="新宋体" w:eastAsia="新宋体"/>
                <w:sz w:val="24"/>
              </w:rPr>
            </w:pPr>
          </w:p>
        </w:tc>
        <w:tc>
          <w:tcPr>
            <w:tcW w:w="2370" w:type="dxa"/>
            <w:noWrap w:val="0"/>
            <w:vAlign w:val="top"/>
          </w:tcPr>
          <w:p>
            <w:pPr>
              <w:widowControl/>
              <w:outlineLvl w:val="9"/>
              <w:rPr>
                <w:rFonts w:ascii="新宋体" w:hAnsi="新宋体" w:eastAsia="新宋体"/>
                <w:sz w:val="24"/>
              </w:rPr>
            </w:pPr>
          </w:p>
        </w:tc>
        <w:tc>
          <w:tcPr>
            <w:tcW w:w="1670" w:type="dxa"/>
            <w:noWrap w:val="0"/>
            <w:vAlign w:val="top"/>
          </w:tcPr>
          <w:p>
            <w:pPr>
              <w:widowControl/>
              <w:outlineLvl w:val="9"/>
              <w:rPr>
                <w:rFonts w:hint="eastAsia" w:ascii="新宋体" w:hAnsi="新宋体" w:eastAsia="新宋体"/>
                <w:sz w:val="24"/>
              </w:rPr>
            </w:pPr>
          </w:p>
        </w:tc>
        <w:tc>
          <w:tcPr>
            <w:tcW w:w="1078" w:type="dxa"/>
            <w:noWrap w:val="0"/>
            <w:vAlign w:val="top"/>
          </w:tcPr>
          <w:p>
            <w:pPr>
              <w:widowControl/>
              <w:outlineLvl w:val="9"/>
              <w:rPr>
                <w:rFonts w:ascii="新宋体" w:hAnsi="新宋体" w:eastAsia="新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46" w:type="dxa"/>
            <w:noWrap w:val="0"/>
            <w:vAlign w:val="top"/>
          </w:tcPr>
          <w:p>
            <w:pPr>
              <w:widowControl/>
              <w:outlineLvl w:val="9"/>
              <w:rPr>
                <w:rFonts w:ascii="新宋体" w:hAnsi="新宋体" w:eastAsia="新宋体"/>
                <w:sz w:val="24"/>
              </w:rPr>
            </w:pPr>
          </w:p>
        </w:tc>
        <w:tc>
          <w:tcPr>
            <w:tcW w:w="1545" w:type="dxa"/>
            <w:noWrap w:val="0"/>
            <w:vAlign w:val="top"/>
          </w:tcPr>
          <w:p>
            <w:pPr>
              <w:widowControl/>
              <w:outlineLvl w:val="9"/>
              <w:rPr>
                <w:rFonts w:ascii="新宋体" w:hAnsi="新宋体" w:eastAsia="新宋体"/>
                <w:sz w:val="24"/>
              </w:rPr>
            </w:pPr>
            <w:r>
              <w:rPr>
                <w:rFonts w:ascii="新宋体" w:hAnsi="新宋体" w:eastAsia="新宋体"/>
                <w:sz w:val="24"/>
              </w:rPr>
              <w:tab/>
            </w:r>
          </w:p>
        </w:tc>
        <w:tc>
          <w:tcPr>
            <w:tcW w:w="1430" w:type="dxa"/>
            <w:noWrap w:val="0"/>
            <w:vAlign w:val="top"/>
          </w:tcPr>
          <w:p>
            <w:pPr>
              <w:widowControl/>
              <w:outlineLvl w:val="9"/>
              <w:rPr>
                <w:rFonts w:ascii="新宋体" w:hAnsi="新宋体" w:eastAsia="新宋体"/>
                <w:sz w:val="24"/>
              </w:rPr>
            </w:pPr>
          </w:p>
        </w:tc>
        <w:tc>
          <w:tcPr>
            <w:tcW w:w="914" w:type="dxa"/>
            <w:noWrap w:val="0"/>
            <w:vAlign w:val="top"/>
          </w:tcPr>
          <w:p>
            <w:pPr>
              <w:widowControl/>
              <w:outlineLvl w:val="9"/>
              <w:rPr>
                <w:rFonts w:ascii="新宋体" w:hAnsi="新宋体" w:eastAsia="新宋体"/>
                <w:sz w:val="24"/>
              </w:rPr>
            </w:pPr>
          </w:p>
        </w:tc>
        <w:tc>
          <w:tcPr>
            <w:tcW w:w="1925" w:type="dxa"/>
            <w:noWrap w:val="0"/>
            <w:vAlign w:val="top"/>
          </w:tcPr>
          <w:p>
            <w:pPr>
              <w:widowControl/>
              <w:outlineLvl w:val="9"/>
              <w:rPr>
                <w:rFonts w:ascii="新宋体" w:hAnsi="新宋体" w:eastAsia="新宋体"/>
                <w:sz w:val="24"/>
              </w:rPr>
            </w:pPr>
          </w:p>
        </w:tc>
        <w:tc>
          <w:tcPr>
            <w:tcW w:w="2731" w:type="dxa"/>
            <w:noWrap w:val="0"/>
            <w:vAlign w:val="top"/>
          </w:tcPr>
          <w:p>
            <w:pPr>
              <w:widowControl/>
              <w:outlineLvl w:val="9"/>
              <w:rPr>
                <w:rFonts w:ascii="新宋体" w:hAnsi="新宋体" w:eastAsia="新宋体"/>
                <w:sz w:val="24"/>
              </w:rPr>
            </w:pPr>
          </w:p>
        </w:tc>
        <w:tc>
          <w:tcPr>
            <w:tcW w:w="2370" w:type="dxa"/>
            <w:noWrap w:val="0"/>
            <w:vAlign w:val="top"/>
          </w:tcPr>
          <w:p>
            <w:pPr>
              <w:widowControl/>
              <w:outlineLvl w:val="9"/>
              <w:rPr>
                <w:rFonts w:ascii="新宋体" w:hAnsi="新宋体" w:eastAsia="新宋体"/>
                <w:sz w:val="24"/>
              </w:rPr>
            </w:pPr>
          </w:p>
        </w:tc>
        <w:tc>
          <w:tcPr>
            <w:tcW w:w="1670" w:type="dxa"/>
            <w:noWrap w:val="0"/>
            <w:vAlign w:val="top"/>
          </w:tcPr>
          <w:p>
            <w:pPr>
              <w:widowControl/>
              <w:outlineLvl w:val="9"/>
              <w:rPr>
                <w:rFonts w:ascii="新宋体" w:hAnsi="新宋体" w:eastAsia="新宋体"/>
                <w:sz w:val="24"/>
              </w:rPr>
            </w:pPr>
          </w:p>
        </w:tc>
        <w:tc>
          <w:tcPr>
            <w:tcW w:w="1078" w:type="dxa"/>
            <w:noWrap w:val="0"/>
            <w:vAlign w:val="top"/>
          </w:tcPr>
          <w:p>
            <w:pPr>
              <w:widowControl/>
              <w:outlineLvl w:val="9"/>
              <w:rPr>
                <w:rFonts w:ascii="新宋体" w:hAnsi="新宋体" w:eastAsia="新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46" w:type="dxa"/>
            <w:noWrap w:val="0"/>
            <w:vAlign w:val="top"/>
          </w:tcPr>
          <w:p>
            <w:pPr>
              <w:widowControl/>
              <w:outlineLvl w:val="9"/>
              <w:rPr>
                <w:rFonts w:ascii="新宋体" w:hAnsi="新宋体" w:eastAsia="新宋体"/>
                <w:sz w:val="24"/>
              </w:rPr>
            </w:pPr>
          </w:p>
        </w:tc>
        <w:tc>
          <w:tcPr>
            <w:tcW w:w="1545" w:type="dxa"/>
            <w:noWrap w:val="0"/>
            <w:vAlign w:val="top"/>
          </w:tcPr>
          <w:p>
            <w:pPr>
              <w:widowControl/>
              <w:outlineLvl w:val="9"/>
              <w:rPr>
                <w:rFonts w:ascii="新宋体" w:hAnsi="新宋体" w:eastAsia="新宋体"/>
                <w:sz w:val="24"/>
              </w:rPr>
            </w:pPr>
          </w:p>
        </w:tc>
        <w:tc>
          <w:tcPr>
            <w:tcW w:w="1430" w:type="dxa"/>
            <w:noWrap w:val="0"/>
            <w:vAlign w:val="top"/>
          </w:tcPr>
          <w:p>
            <w:pPr>
              <w:widowControl/>
              <w:outlineLvl w:val="9"/>
              <w:rPr>
                <w:rFonts w:ascii="新宋体" w:hAnsi="新宋体" w:eastAsia="新宋体"/>
                <w:sz w:val="24"/>
              </w:rPr>
            </w:pPr>
          </w:p>
        </w:tc>
        <w:tc>
          <w:tcPr>
            <w:tcW w:w="914" w:type="dxa"/>
            <w:noWrap w:val="0"/>
            <w:vAlign w:val="top"/>
          </w:tcPr>
          <w:p>
            <w:pPr>
              <w:widowControl/>
              <w:outlineLvl w:val="9"/>
              <w:rPr>
                <w:rFonts w:ascii="新宋体" w:hAnsi="新宋体" w:eastAsia="新宋体"/>
                <w:sz w:val="24"/>
              </w:rPr>
            </w:pPr>
          </w:p>
        </w:tc>
        <w:tc>
          <w:tcPr>
            <w:tcW w:w="1925" w:type="dxa"/>
            <w:noWrap w:val="0"/>
            <w:vAlign w:val="top"/>
          </w:tcPr>
          <w:p>
            <w:pPr>
              <w:widowControl/>
              <w:outlineLvl w:val="9"/>
              <w:rPr>
                <w:rFonts w:ascii="新宋体" w:hAnsi="新宋体" w:eastAsia="新宋体"/>
                <w:sz w:val="24"/>
              </w:rPr>
            </w:pPr>
          </w:p>
        </w:tc>
        <w:tc>
          <w:tcPr>
            <w:tcW w:w="2731" w:type="dxa"/>
            <w:noWrap w:val="0"/>
            <w:vAlign w:val="top"/>
          </w:tcPr>
          <w:p>
            <w:pPr>
              <w:widowControl/>
              <w:outlineLvl w:val="9"/>
              <w:rPr>
                <w:rFonts w:ascii="新宋体" w:hAnsi="新宋体" w:eastAsia="新宋体"/>
                <w:sz w:val="24"/>
              </w:rPr>
            </w:pPr>
          </w:p>
        </w:tc>
        <w:tc>
          <w:tcPr>
            <w:tcW w:w="2370" w:type="dxa"/>
            <w:noWrap w:val="0"/>
            <w:vAlign w:val="top"/>
          </w:tcPr>
          <w:p>
            <w:pPr>
              <w:widowControl/>
              <w:outlineLvl w:val="9"/>
              <w:rPr>
                <w:rFonts w:ascii="新宋体" w:hAnsi="新宋体" w:eastAsia="新宋体"/>
                <w:sz w:val="24"/>
              </w:rPr>
            </w:pPr>
          </w:p>
        </w:tc>
        <w:tc>
          <w:tcPr>
            <w:tcW w:w="1670" w:type="dxa"/>
            <w:tcBorders>
              <w:bottom w:val="single" w:color="auto" w:sz="4" w:space="0"/>
            </w:tcBorders>
            <w:noWrap w:val="0"/>
            <w:vAlign w:val="top"/>
          </w:tcPr>
          <w:p>
            <w:pPr>
              <w:widowControl/>
              <w:outlineLvl w:val="9"/>
              <w:rPr>
                <w:rFonts w:ascii="新宋体" w:hAnsi="新宋体" w:eastAsia="新宋体"/>
                <w:sz w:val="24"/>
              </w:rPr>
            </w:pPr>
          </w:p>
        </w:tc>
        <w:tc>
          <w:tcPr>
            <w:tcW w:w="1078" w:type="dxa"/>
            <w:tcBorders>
              <w:bottom w:val="single" w:color="auto" w:sz="4" w:space="0"/>
              <w:right w:val="double" w:color="auto" w:sz="4" w:space="0"/>
            </w:tcBorders>
            <w:noWrap w:val="0"/>
            <w:vAlign w:val="top"/>
          </w:tcPr>
          <w:p>
            <w:pPr>
              <w:widowControl/>
              <w:outlineLvl w:val="9"/>
              <w:rPr>
                <w:rFonts w:ascii="新宋体" w:hAnsi="新宋体" w:eastAsia="新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46" w:type="dxa"/>
            <w:noWrap w:val="0"/>
            <w:vAlign w:val="center"/>
          </w:tcPr>
          <w:p>
            <w:pPr>
              <w:widowControl/>
              <w:outlineLvl w:val="9"/>
              <w:rPr>
                <w:rFonts w:hint="eastAsia" w:ascii="新宋体" w:hAnsi="新宋体" w:eastAsia="新宋体"/>
                <w:sz w:val="24"/>
              </w:rPr>
            </w:pPr>
            <w:r>
              <w:rPr>
                <w:rFonts w:hint="eastAsia" w:ascii="新宋体" w:hAnsi="新宋体" w:eastAsia="新宋体"/>
                <w:sz w:val="24"/>
              </w:rPr>
              <w:t>合计</w:t>
            </w:r>
          </w:p>
        </w:tc>
        <w:tc>
          <w:tcPr>
            <w:tcW w:w="13663" w:type="dxa"/>
            <w:gridSpan w:val="8"/>
            <w:noWrap w:val="0"/>
            <w:vAlign w:val="center"/>
          </w:tcPr>
          <w:p>
            <w:pPr>
              <w:widowControl/>
              <w:spacing w:line="360" w:lineRule="auto"/>
              <w:outlineLvl w:val="9"/>
              <w:rPr>
                <w:rFonts w:hint="eastAsia" w:ascii="新宋体" w:hAnsi="新宋体" w:eastAsia="新宋体"/>
                <w:sz w:val="24"/>
                <w:lang w:val="en-US" w:eastAsia="zh-CN"/>
              </w:rPr>
            </w:pPr>
            <w:r>
              <w:rPr>
                <w:rFonts w:hint="eastAsia" w:ascii="新宋体" w:hAnsi="新宋体" w:eastAsia="新宋体"/>
                <w:sz w:val="24"/>
              </w:rPr>
              <w:t xml:space="preserve">投标总报价（大写）：                                  </w:t>
            </w:r>
            <w:r>
              <w:rPr>
                <w:rFonts w:hint="eastAsia" w:ascii="新宋体" w:hAnsi="新宋体" w:eastAsia="新宋体"/>
                <w:sz w:val="24"/>
                <w:lang w:val="en-US" w:eastAsia="zh-CN"/>
              </w:rPr>
              <w:t xml:space="preserve">        （小写）：                                </w:t>
            </w:r>
          </w:p>
          <w:p>
            <w:pPr>
              <w:widowControl/>
              <w:spacing w:line="360" w:lineRule="auto"/>
              <w:outlineLvl w:val="9"/>
              <w:rPr>
                <w:rFonts w:hint="eastAsia" w:ascii="新宋体" w:hAnsi="新宋体" w:eastAsia="新宋体"/>
                <w:sz w:val="24"/>
                <w:lang w:val="en-US" w:eastAsia="zh-CN"/>
              </w:rPr>
            </w:pPr>
            <w:r>
              <w:rPr>
                <w:rFonts w:hint="eastAsia" w:ascii="新宋体" w:hAnsi="新宋体" w:eastAsia="新宋体"/>
                <w:sz w:val="24"/>
                <w:lang w:val="en-US" w:eastAsia="zh-CN"/>
              </w:rPr>
              <w:t>单人份单价总和（大写）：</w:t>
            </w:r>
            <w:r>
              <w:rPr>
                <w:rFonts w:hint="eastAsia" w:ascii="新宋体" w:hAnsi="新宋体" w:eastAsia="新宋体"/>
                <w:sz w:val="24"/>
              </w:rPr>
              <w:t xml:space="preserve">                           </w:t>
            </w:r>
            <w:r>
              <w:rPr>
                <w:rFonts w:hint="eastAsia" w:ascii="新宋体" w:hAnsi="新宋体" w:eastAsia="新宋体"/>
                <w:sz w:val="24"/>
                <w:lang w:eastAsia="zh-CN"/>
              </w:rPr>
              <w:t xml:space="preserve">  </w:t>
            </w:r>
            <w:r>
              <w:rPr>
                <w:rFonts w:hint="eastAsia" w:ascii="新宋体" w:hAnsi="新宋体" w:eastAsia="新宋体"/>
                <w:sz w:val="24"/>
                <w:lang w:val="en-US" w:eastAsia="zh-CN"/>
              </w:rPr>
              <w:t xml:space="preserve">        </w:t>
            </w:r>
            <w:r>
              <w:rPr>
                <w:rFonts w:hint="eastAsia" w:ascii="新宋体" w:hAnsi="新宋体" w:eastAsia="新宋体"/>
                <w:sz w:val="24"/>
                <w:lang w:eastAsia="zh-CN"/>
              </w:rPr>
              <w:t xml:space="preserve"> （小写）：</w:t>
            </w:r>
            <w:r>
              <w:rPr>
                <w:rFonts w:hint="eastAsia" w:ascii="新宋体" w:hAnsi="新宋体" w:eastAsia="新宋体"/>
                <w:sz w:val="24"/>
              </w:rPr>
              <w:t xml:space="preserve">                                </w:t>
            </w:r>
          </w:p>
        </w:tc>
      </w:tr>
    </w:tbl>
    <w:p>
      <w:pPr>
        <w:widowControl/>
        <w:spacing w:line="360" w:lineRule="auto"/>
        <w:rPr>
          <w:rFonts w:ascii="宋体" w:hAnsi="宋体" w:cs="宋体"/>
          <w:sz w:val="24"/>
          <w:u w:val="single"/>
        </w:rPr>
      </w:pPr>
    </w:p>
    <w:p>
      <w:pPr>
        <w:spacing w:line="360" w:lineRule="auto"/>
        <w:ind w:firstLine="9120" w:firstLineChars="3800"/>
        <w:rPr>
          <w:rFonts w:ascii="宋体" w:hAnsi="宋体" w:cs="宋体"/>
          <w:sz w:val="24"/>
        </w:rPr>
      </w:pPr>
      <w:r>
        <w:rPr>
          <w:rFonts w:hint="eastAsia" w:ascii="宋体" w:hAnsi="宋体" w:cs="宋体"/>
          <w:sz w:val="24"/>
        </w:rPr>
        <w:t>投标人（盖章）：</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widowControl/>
        <w:spacing w:line="360" w:lineRule="auto"/>
        <w:ind w:right="480" w:firstLine="9120" w:firstLineChars="3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新宋体" w:hAnsi="新宋体" w:eastAsia="新宋体"/>
          <w:b/>
          <w:sz w:val="24"/>
        </w:rPr>
      </w:pPr>
      <w:r>
        <w:rPr>
          <w:rFonts w:hint="eastAsia" w:ascii="新宋体" w:hAnsi="新宋体" w:eastAsia="新宋体"/>
          <w:sz w:val="24"/>
        </w:rPr>
        <w:t>注： 此投标报价表应按“投标人须知”的规定密封标记密封</w:t>
      </w:r>
      <w:r>
        <w:rPr>
          <w:rFonts w:hint="eastAsia" w:ascii="新宋体" w:hAnsi="新宋体" w:eastAsia="新宋体"/>
          <w:b/>
          <w:sz w:val="24"/>
        </w:rPr>
        <w:t>单独提交。</w:t>
      </w:r>
    </w:p>
    <w:p>
      <w:pPr>
        <w:spacing w:line="480" w:lineRule="exact"/>
        <w:rPr>
          <w:rFonts w:ascii="新宋体" w:hAnsi="新宋体" w:eastAsia="新宋体"/>
          <w:b/>
          <w:sz w:val="24"/>
        </w:rPr>
        <w:sectPr>
          <w:headerReference r:id="rId9" w:type="first"/>
          <w:footerReference r:id="rId10" w:type="first"/>
          <w:type w:val="nextColumn"/>
          <w:pgSz w:w="16838" w:h="11906" w:orient="landscape"/>
          <w:pgMar w:top="1588" w:right="1191" w:bottom="1588" w:left="1191" w:header="851" w:footer="992" w:gutter="0"/>
          <w:pgNumType w:fmt="decimal"/>
          <w:cols w:space="720" w:num="1"/>
          <w:docGrid w:linePitch="286" w:charSpace="0"/>
        </w:sectPr>
      </w:pPr>
      <w:r>
        <w:rPr>
          <w:rFonts w:hint="eastAsia" w:ascii="新宋体" w:hAnsi="新宋体" w:eastAsia="新宋体"/>
          <w:b/>
          <w:sz w:val="24"/>
        </w:rPr>
        <w:t>投标报价应包括服务费用、验收、安装部署费用、</w:t>
      </w:r>
      <w:r>
        <w:rPr>
          <w:rFonts w:hint="eastAsia" w:ascii="新宋体" w:hAnsi="新宋体" w:eastAsia="新宋体"/>
          <w:b/>
          <w:sz w:val="24"/>
          <w:lang w:val="en-US" w:eastAsia="zh-CN"/>
        </w:rPr>
        <w:t>售后服务</w:t>
      </w:r>
      <w:r>
        <w:rPr>
          <w:rFonts w:hint="eastAsia" w:ascii="新宋体" w:hAnsi="新宋体" w:eastAsia="新宋体"/>
          <w:b/>
          <w:sz w:val="24"/>
        </w:rPr>
        <w:t>、人员培训及投标等全部费用。</w:t>
      </w:r>
    </w:p>
    <w:bookmarkEnd w:id="57"/>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rPr>
          <w:rFonts w:ascii="宋体" w:hAnsi="宋体" w:cs="宋体"/>
          <w:b/>
          <w:bCs/>
          <w:sz w:val="28"/>
          <w:szCs w:val="28"/>
        </w:rPr>
      </w:pPr>
      <w:r>
        <w:rPr>
          <w:rFonts w:hint="eastAsia" w:ascii="宋体" w:hAnsi="宋体" w:cs="宋体"/>
          <w:b/>
          <w:bCs/>
          <w:sz w:val="28"/>
          <w:szCs w:val="28"/>
        </w:rPr>
        <w:t>（投标人根据投标产品自行编制格式）</w:t>
      </w: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rPr>
      </w:pPr>
      <w:r>
        <w:rPr>
          <w:rFonts w:hint="eastAsia" w:ascii="宋体" w:hAnsi="宋体" w:cs="宋体"/>
          <w:b/>
          <w:sz w:val="28"/>
          <w:szCs w:val="28"/>
        </w:rPr>
        <w:t>四、商务条款偏离表</w:t>
      </w:r>
    </w:p>
    <w:p>
      <w:pPr>
        <w:pStyle w:val="2"/>
        <w:spacing w:line="360" w:lineRule="auto"/>
        <w:ind w:firstLine="480" w:firstLineChars="200"/>
        <w:rPr>
          <w:rFonts w:ascii="宋体" w:hAnsi="宋体" w:cs="宋体"/>
          <w:color w:val="auto"/>
          <w:sz w:val="24"/>
          <w:szCs w:val="24"/>
        </w:rPr>
      </w:pPr>
    </w:p>
    <w:p>
      <w:pPr>
        <w:pStyle w:val="2"/>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lang w:eastAsia="zh-CN"/>
        </w:rPr>
        <w:t>单一来源谈判文件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pStyle w:val="2"/>
        <w:spacing w:line="360" w:lineRule="auto"/>
        <w:ind w:firstLine="480" w:firstLineChars="200"/>
        <w:rPr>
          <w:rFonts w:hint="eastAsia" w:ascii="宋体" w:hAnsi="宋体" w:cs="宋体"/>
          <w:sz w:val="24"/>
          <w:szCs w:val="24"/>
          <w:u w:val="single"/>
        </w:rPr>
      </w:pPr>
      <w:r>
        <w:rPr>
          <w:rFonts w:hint="eastAsia" w:ascii="宋体" w:hAnsi="宋体" w:cs="宋体"/>
          <w:sz w:val="24"/>
          <w:szCs w:val="24"/>
          <w:lang w:eastAsia="zh-CN"/>
        </w:rPr>
        <w:t>项目</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p>
    <w:p>
      <w:pPr>
        <w:pStyle w:val="101"/>
        <w:rPr>
          <w:rFonts w:hint="eastAsia" w:ascii="宋体" w:hAnsi="宋体" w:cs="宋体"/>
          <w:szCs w:val="21"/>
          <w:u w:val="single"/>
        </w:rPr>
      </w:pPr>
    </w:p>
    <w:tbl>
      <w:tblPr>
        <w:tblStyle w:val="3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825"/>
        <w:gridCol w:w="2825"/>
        <w:gridCol w:w="1467"/>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69" w:type="pct"/>
            <w:noWrap w:val="0"/>
            <w:vAlign w:val="center"/>
          </w:tcPr>
          <w:p>
            <w:pPr>
              <w:spacing w:line="240" w:lineRule="auto"/>
              <w:jc w:val="center"/>
              <w:rPr>
                <w:rFonts w:ascii="宋体" w:hAnsi="宋体" w:cs="宋体"/>
              </w:rPr>
            </w:pPr>
            <w:r>
              <w:rPr>
                <w:rFonts w:hint="eastAsia" w:ascii="宋体" w:hAnsi="宋体" w:cs="宋体"/>
                <w:sz w:val="24"/>
              </w:rPr>
              <w:t>序号</w:t>
            </w:r>
          </w:p>
        </w:tc>
        <w:tc>
          <w:tcPr>
            <w:tcW w:w="1579" w:type="pct"/>
            <w:noWrap w:val="0"/>
            <w:vAlign w:val="center"/>
          </w:tcPr>
          <w:p>
            <w:pPr>
              <w:spacing w:line="240" w:lineRule="auto"/>
              <w:jc w:val="center"/>
              <w:rPr>
                <w:rFonts w:ascii="宋体" w:hAnsi="宋体" w:cs="宋体"/>
              </w:rPr>
            </w:pPr>
            <w:r>
              <w:rPr>
                <w:rFonts w:hint="eastAsia" w:ascii="宋体" w:hAnsi="宋体" w:cs="宋体"/>
                <w:sz w:val="24"/>
                <w:lang w:eastAsia="zh-CN"/>
              </w:rPr>
              <w:t>单一来源谈判文件</w:t>
            </w:r>
            <w:r>
              <w:rPr>
                <w:rFonts w:hint="eastAsia" w:ascii="宋体" w:hAnsi="宋体" w:cs="宋体"/>
                <w:sz w:val="24"/>
              </w:rPr>
              <w:t>要求</w:t>
            </w:r>
          </w:p>
        </w:tc>
        <w:tc>
          <w:tcPr>
            <w:tcW w:w="1579" w:type="pct"/>
            <w:noWrap w:val="0"/>
            <w:vAlign w:val="center"/>
          </w:tcPr>
          <w:p>
            <w:pPr>
              <w:spacing w:line="240" w:lineRule="auto"/>
              <w:jc w:val="center"/>
              <w:rPr>
                <w:rFonts w:hint="eastAsia" w:ascii="宋体" w:hAnsi="宋体" w:cs="宋体"/>
                <w:sz w:val="24"/>
                <w:lang w:eastAsia="zh-CN"/>
              </w:rPr>
            </w:pPr>
            <w:r>
              <w:rPr>
                <w:rFonts w:hint="eastAsia" w:ascii="宋体" w:hAnsi="宋体" w:cs="宋体"/>
                <w:sz w:val="24"/>
                <w:lang w:eastAsia="zh-CN"/>
              </w:rPr>
              <w:t>单一来源谈判</w:t>
            </w:r>
          </w:p>
          <w:p>
            <w:pPr>
              <w:spacing w:line="240" w:lineRule="auto"/>
              <w:jc w:val="center"/>
              <w:rPr>
                <w:rFonts w:ascii="宋体" w:hAnsi="宋体" w:cs="宋体"/>
              </w:rPr>
            </w:pPr>
            <w:r>
              <w:rPr>
                <w:rFonts w:hint="eastAsia" w:ascii="宋体" w:hAnsi="宋体" w:cs="宋体"/>
                <w:sz w:val="24"/>
                <w:lang w:eastAsia="zh-CN"/>
              </w:rPr>
              <w:t>响应文件</w:t>
            </w:r>
            <w:r>
              <w:rPr>
                <w:rFonts w:hint="eastAsia" w:ascii="宋体" w:hAnsi="宋体" w:cs="宋体"/>
                <w:sz w:val="24"/>
              </w:rPr>
              <w:t>内容</w:t>
            </w:r>
          </w:p>
        </w:tc>
        <w:tc>
          <w:tcPr>
            <w:tcW w:w="820" w:type="pct"/>
            <w:noWrap w:val="0"/>
            <w:vAlign w:val="center"/>
          </w:tcPr>
          <w:p>
            <w:pPr>
              <w:spacing w:line="240" w:lineRule="auto"/>
              <w:jc w:val="center"/>
              <w:rPr>
                <w:rFonts w:ascii="宋体" w:hAnsi="宋体" w:cs="宋体"/>
              </w:rPr>
            </w:pPr>
            <w:r>
              <w:rPr>
                <w:rFonts w:hint="eastAsia" w:ascii="宋体" w:hAnsi="宋体" w:cs="宋体"/>
                <w:sz w:val="24"/>
              </w:rPr>
              <w:t>偏离</w:t>
            </w:r>
          </w:p>
        </w:tc>
        <w:tc>
          <w:tcPr>
            <w:tcW w:w="550" w:type="pct"/>
            <w:noWrap w:val="0"/>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center"/>
          </w:tcPr>
          <w:p>
            <w:pPr>
              <w:spacing w:before="240" w:after="240" w:line="360" w:lineRule="auto"/>
              <w:jc w:val="center"/>
              <w:rPr>
                <w:rFonts w:ascii="宋体" w:hAnsi="宋体" w:cs="宋体"/>
              </w:rPr>
            </w:pPr>
          </w:p>
        </w:tc>
        <w:tc>
          <w:tcPr>
            <w:tcW w:w="1579" w:type="pct"/>
            <w:noWrap w:val="0"/>
            <w:vAlign w:val="center"/>
          </w:tcPr>
          <w:p>
            <w:pPr>
              <w:spacing w:line="360" w:lineRule="auto"/>
              <w:jc w:val="center"/>
              <w:rPr>
                <w:rFonts w:ascii="宋体" w:hAnsi="宋体" w:cs="宋体"/>
              </w:rPr>
            </w:pPr>
          </w:p>
        </w:tc>
        <w:tc>
          <w:tcPr>
            <w:tcW w:w="1579" w:type="pct"/>
            <w:noWrap w:val="0"/>
            <w:vAlign w:val="center"/>
          </w:tcPr>
          <w:p>
            <w:pPr>
              <w:spacing w:line="360" w:lineRule="auto"/>
              <w:jc w:val="center"/>
              <w:rPr>
                <w:rFonts w:ascii="宋体" w:hAnsi="宋体" w:cs="宋体"/>
              </w:rPr>
            </w:pPr>
          </w:p>
        </w:tc>
        <w:tc>
          <w:tcPr>
            <w:tcW w:w="820" w:type="pct"/>
            <w:noWrap w:val="0"/>
            <w:vAlign w:val="center"/>
          </w:tcPr>
          <w:p>
            <w:pPr>
              <w:spacing w:line="360" w:lineRule="auto"/>
              <w:jc w:val="center"/>
              <w:rPr>
                <w:rFonts w:ascii="宋体" w:hAnsi="宋体" w:cs="宋体"/>
              </w:rPr>
            </w:pPr>
          </w:p>
        </w:tc>
        <w:tc>
          <w:tcPr>
            <w:tcW w:w="550" w:type="pct"/>
            <w:noWrap w:val="0"/>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noWrap w:val="0"/>
            <w:vAlign w:val="top"/>
          </w:tcPr>
          <w:p>
            <w:pPr>
              <w:spacing w:before="240" w:after="240"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1579" w:type="pct"/>
            <w:noWrap w:val="0"/>
            <w:vAlign w:val="top"/>
          </w:tcPr>
          <w:p>
            <w:pPr>
              <w:spacing w:line="360" w:lineRule="auto"/>
              <w:rPr>
                <w:rFonts w:ascii="宋体" w:hAnsi="宋体" w:cs="宋体"/>
              </w:rPr>
            </w:pPr>
          </w:p>
        </w:tc>
        <w:tc>
          <w:tcPr>
            <w:tcW w:w="820" w:type="pct"/>
            <w:noWrap w:val="0"/>
            <w:vAlign w:val="top"/>
          </w:tcPr>
          <w:p>
            <w:pPr>
              <w:spacing w:line="360" w:lineRule="auto"/>
              <w:rPr>
                <w:rFonts w:ascii="宋体" w:hAnsi="宋体" w:cs="宋体"/>
              </w:rPr>
            </w:pPr>
          </w:p>
        </w:tc>
        <w:tc>
          <w:tcPr>
            <w:tcW w:w="550" w:type="pct"/>
            <w:noWrap w:val="0"/>
            <w:vAlign w:val="top"/>
          </w:tcPr>
          <w:p>
            <w:pPr>
              <w:spacing w:line="360" w:lineRule="auto"/>
              <w:rPr>
                <w:rFonts w:ascii="宋体" w:hAnsi="宋体" w:cs="宋体"/>
              </w:rPr>
            </w:pPr>
          </w:p>
        </w:tc>
      </w:tr>
    </w:tbl>
    <w:p>
      <w:pPr>
        <w:pStyle w:val="2"/>
        <w:spacing w:line="360" w:lineRule="auto"/>
        <w:rPr>
          <w:rFonts w:ascii="宋体" w:hAnsi="宋体" w:cs="宋体"/>
          <w:b/>
          <w:bCs/>
          <w:color w:val="auto"/>
          <w:sz w:val="21"/>
          <w:szCs w:val="21"/>
        </w:rPr>
      </w:pPr>
      <w:r>
        <w:rPr>
          <w:rFonts w:hint="eastAsia" w:ascii="宋体" w:hAnsi="宋体" w:cs="宋体"/>
          <w:b/>
          <w:bCs/>
          <w:sz w:val="21"/>
          <w:szCs w:val="21"/>
        </w:rPr>
        <w:t>注：请对</w:t>
      </w:r>
      <w:r>
        <w:rPr>
          <w:rFonts w:hint="eastAsia" w:ascii="宋体" w:hAnsi="宋体" w:cs="宋体"/>
          <w:b/>
          <w:bCs/>
          <w:sz w:val="21"/>
          <w:szCs w:val="21"/>
          <w:lang w:eastAsia="zh-CN"/>
        </w:rPr>
        <w:t>单一来源谈判文件</w:t>
      </w:r>
      <w:r>
        <w:rPr>
          <w:rFonts w:hint="eastAsia" w:ascii="宋体" w:hAnsi="宋体" w:cs="宋体"/>
          <w:b/>
          <w:bCs/>
          <w:sz w:val="21"/>
          <w:szCs w:val="21"/>
        </w:rPr>
        <w:t>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line="360" w:lineRule="auto"/>
        <w:ind w:firstLine="480" w:firstLineChars="200"/>
        <w:rPr>
          <w:rFonts w:ascii="宋体" w:hAnsi="宋体" w:cs="宋体"/>
          <w:sz w:val="24"/>
          <w:szCs w:val="24"/>
        </w:rPr>
      </w:pPr>
      <w:r>
        <w:rPr>
          <w:rFonts w:hint="eastAsia" w:ascii="宋体" w:hAnsi="宋体" w:cs="宋体"/>
          <w:sz w:val="24"/>
          <w:szCs w:val="24"/>
        </w:rPr>
        <w:t>〔说明〕投标人应按照</w:t>
      </w:r>
      <w:r>
        <w:rPr>
          <w:rFonts w:hint="eastAsia" w:ascii="宋体" w:hAnsi="宋体" w:cs="宋体"/>
          <w:sz w:val="24"/>
          <w:szCs w:val="24"/>
          <w:lang w:eastAsia="zh-CN"/>
        </w:rPr>
        <w:t>单一来源谈判文件</w:t>
      </w:r>
      <w:r>
        <w:rPr>
          <w:rFonts w:hint="eastAsia" w:ascii="宋体" w:hAnsi="宋体" w:cs="宋体"/>
          <w:sz w:val="24"/>
          <w:szCs w:val="24"/>
        </w:rPr>
        <w:t>要求，根据“用户需求书”内容做出全面响应。对响应有差异的，则说明差异的内容。</w:t>
      </w:r>
    </w:p>
    <w:p>
      <w:pPr>
        <w:spacing w:after="240" w:line="360" w:lineRule="auto"/>
        <w:ind w:left="484" w:leftChars="200" w:hanging="64" w:hangingChars="27"/>
        <w:rPr>
          <w:rFonts w:ascii="宋体" w:hAnsi="宋体" w:cs="宋体"/>
          <w:sz w:val="24"/>
          <w:szCs w:val="24"/>
        </w:rPr>
      </w:pPr>
      <w:r>
        <w:rPr>
          <w:rFonts w:hint="eastAsia" w:ascii="宋体" w:hAnsi="宋体" w:cs="宋体"/>
          <w:sz w:val="24"/>
          <w:szCs w:val="24"/>
          <w:lang w:eastAsia="zh-CN"/>
        </w:rPr>
        <w:t>项目</w:t>
      </w: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35"/>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24"/>
        <w:gridCol w:w="2824"/>
        <w:gridCol w:w="1468"/>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pPr>
              <w:spacing w:line="240" w:lineRule="auto"/>
              <w:jc w:val="center"/>
              <w:rPr>
                <w:rFonts w:ascii="宋体" w:hAnsi="宋体" w:cs="宋体"/>
              </w:rPr>
            </w:pPr>
            <w:r>
              <w:rPr>
                <w:rFonts w:hint="eastAsia" w:ascii="宋体" w:hAnsi="宋体" w:cs="宋体"/>
                <w:sz w:val="24"/>
              </w:rPr>
              <w:t>序号</w:t>
            </w:r>
          </w:p>
        </w:tc>
        <w:tc>
          <w:tcPr>
            <w:tcW w:w="2824" w:type="dxa"/>
            <w:noWrap w:val="0"/>
            <w:vAlign w:val="center"/>
          </w:tcPr>
          <w:p>
            <w:pPr>
              <w:spacing w:line="240" w:lineRule="auto"/>
              <w:jc w:val="center"/>
              <w:rPr>
                <w:rFonts w:ascii="宋体" w:hAnsi="宋体" w:cs="宋体"/>
              </w:rPr>
            </w:pPr>
            <w:r>
              <w:rPr>
                <w:rFonts w:hint="eastAsia" w:ascii="宋体" w:hAnsi="宋体" w:cs="宋体"/>
                <w:sz w:val="24"/>
                <w:lang w:eastAsia="zh-CN"/>
              </w:rPr>
              <w:t>单一来源谈判文件</w:t>
            </w:r>
            <w:r>
              <w:rPr>
                <w:rFonts w:hint="eastAsia" w:ascii="宋体" w:hAnsi="宋体" w:cs="宋体"/>
                <w:sz w:val="24"/>
              </w:rPr>
              <w:t>要求</w:t>
            </w:r>
          </w:p>
        </w:tc>
        <w:tc>
          <w:tcPr>
            <w:tcW w:w="2824" w:type="dxa"/>
            <w:noWrap w:val="0"/>
            <w:vAlign w:val="center"/>
          </w:tcPr>
          <w:p>
            <w:pPr>
              <w:spacing w:line="240" w:lineRule="auto"/>
              <w:jc w:val="center"/>
              <w:rPr>
                <w:rFonts w:hint="eastAsia" w:ascii="宋体" w:hAnsi="宋体" w:cs="宋体"/>
                <w:sz w:val="24"/>
                <w:lang w:eastAsia="zh-CN"/>
              </w:rPr>
            </w:pPr>
            <w:r>
              <w:rPr>
                <w:rFonts w:hint="eastAsia" w:ascii="宋体" w:hAnsi="宋体" w:cs="宋体"/>
                <w:sz w:val="24"/>
                <w:lang w:eastAsia="zh-CN"/>
              </w:rPr>
              <w:t>单一来源谈判</w:t>
            </w:r>
          </w:p>
          <w:p>
            <w:pPr>
              <w:spacing w:line="240" w:lineRule="auto"/>
              <w:jc w:val="center"/>
              <w:rPr>
                <w:rFonts w:ascii="宋体" w:hAnsi="宋体" w:cs="宋体"/>
              </w:rPr>
            </w:pPr>
            <w:r>
              <w:rPr>
                <w:rFonts w:hint="eastAsia" w:ascii="宋体" w:hAnsi="宋体" w:cs="宋体"/>
                <w:sz w:val="24"/>
                <w:lang w:eastAsia="zh-CN"/>
              </w:rPr>
              <w:t>响应文件</w:t>
            </w:r>
            <w:r>
              <w:rPr>
                <w:rFonts w:hint="eastAsia" w:ascii="宋体" w:hAnsi="宋体" w:cs="宋体"/>
                <w:sz w:val="24"/>
              </w:rPr>
              <w:t>内容</w:t>
            </w:r>
          </w:p>
        </w:tc>
        <w:tc>
          <w:tcPr>
            <w:tcW w:w="1468" w:type="dxa"/>
            <w:noWrap w:val="0"/>
            <w:vAlign w:val="center"/>
          </w:tcPr>
          <w:p>
            <w:pPr>
              <w:spacing w:line="240" w:lineRule="auto"/>
              <w:jc w:val="center"/>
              <w:rPr>
                <w:rFonts w:ascii="宋体" w:hAnsi="宋体" w:cs="宋体"/>
              </w:rPr>
            </w:pPr>
            <w:r>
              <w:rPr>
                <w:rFonts w:hint="eastAsia" w:ascii="宋体" w:hAnsi="宋体" w:cs="宋体"/>
                <w:sz w:val="24"/>
              </w:rPr>
              <w:t>偏离</w:t>
            </w:r>
          </w:p>
        </w:tc>
        <w:tc>
          <w:tcPr>
            <w:tcW w:w="984" w:type="dxa"/>
            <w:noWrap w:val="0"/>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rPr>
            </w:pPr>
          </w:p>
        </w:tc>
        <w:tc>
          <w:tcPr>
            <w:tcW w:w="2824" w:type="dxa"/>
            <w:noWrap w:val="0"/>
            <w:vAlign w:val="center"/>
          </w:tcPr>
          <w:p>
            <w:pPr>
              <w:spacing w:line="360" w:lineRule="auto"/>
              <w:jc w:val="center"/>
              <w:rPr>
                <w:rFonts w:ascii="宋体" w:hAnsi="宋体" w:cs="宋体"/>
              </w:rPr>
            </w:pPr>
          </w:p>
        </w:tc>
        <w:tc>
          <w:tcPr>
            <w:tcW w:w="2824" w:type="dxa"/>
            <w:noWrap w:val="0"/>
            <w:vAlign w:val="center"/>
          </w:tcPr>
          <w:p>
            <w:pPr>
              <w:spacing w:line="360" w:lineRule="auto"/>
              <w:jc w:val="center"/>
              <w:rPr>
                <w:rFonts w:ascii="宋体" w:hAnsi="宋体" w:cs="宋体"/>
              </w:rPr>
            </w:pPr>
          </w:p>
        </w:tc>
        <w:tc>
          <w:tcPr>
            <w:tcW w:w="1468" w:type="dxa"/>
            <w:noWrap w:val="0"/>
            <w:vAlign w:val="center"/>
          </w:tcPr>
          <w:p>
            <w:pPr>
              <w:spacing w:line="360" w:lineRule="auto"/>
              <w:jc w:val="center"/>
              <w:rPr>
                <w:rFonts w:ascii="宋体" w:hAnsi="宋体" w:cs="宋体"/>
              </w:rPr>
            </w:pPr>
          </w:p>
        </w:tc>
        <w:tc>
          <w:tcPr>
            <w:tcW w:w="984" w:type="dxa"/>
            <w:noWrap w:val="0"/>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2824" w:type="dxa"/>
            <w:noWrap w:val="0"/>
            <w:vAlign w:val="top"/>
          </w:tcPr>
          <w:p>
            <w:pPr>
              <w:spacing w:line="360" w:lineRule="auto"/>
              <w:rPr>
                <w:rFonts w:ascii="宋体" w:hAnsi="宋体" w:cs="宋体"/>
              </w:rPr>
            </w:pPr>
          </w:p>
        </w:tc>
        <w:tc>
          <w:tcPr>
            <w:tcW w:w="1468" w:type="dxa"/>
            <w:noWrap w:val="0"/>
            <w:vAlign w:val="top"/>
          </w:tcPr>
          <w:p>
            <w:pPr>
              <w:spacing w:line="360" w:lineRule="auto"/>
              <w:rPr>
                <w:rFonts w:ascii="宋体" w:hAnsi="宋体" w:cs="宋体"/>
              </w:rPr>
            </w:pPr>
          </w:p>
        </w:tc>
        <w:tc>
          <w:tcPr>
            <w:tcW w:w="984" w:type="dxa"/>
            <w:noWrap w:val="0"/>
            <w:vAlign w:val="top"/>
          </w:tcPr>
          <w:p>
            <w:pPr>
              <w:spacing w:line="360" w:lineRule="auto"/>
              <w:rPr>
                <w:rFonts w:ascii="宋体" w:hAnsi="宋体" w:cs="宋体"/>
              </w:rPr>
            </w:pPr>
          </w:p>
        </w:tc>
      </w:tr>
    </w:tbl>
    <w:p>
      <w:pPr>
        <w:pStyle w:val="2"/>
        <w:spacing w:line="360" w:lineRule="auto"/>
        <w:rPr>
          <w:rFonts w:ascii="宋体" w:hAnsi="宋体" w:cs="宋体"/>
          <w:b/>
          <w:bCs/>
          <w:color w:val="auto"/>
          <w:sz w:val="21"/>
          <w:szCs w:val="21"/>
        </w:rPr>
      </w:pPr>
      <w:r>
        <w:rPr>
          <w:rFonts w:hint="eastAsia" w:ascii="宋体" w:hAnsi="宋体" w:cs="宋体"/>
          <w:b/>
          <w:bCs/>
          <w:sz w:val="21"/>
          <w:szCs w:val="21"/>
        </w:rPr>
        <w:t>注：请对</w:t>
      </w:r>
      <w:r>
        <w:rPr>
          <w:rFonts w:hint="eastAsia" w:ascii="宋体" w:hAnsi="宋体" w:cs="宋体"/>
          <w:b/>
          <w:bCs/>
          <w:sz w:val="21"/>
          <w:szCs w:val="21"/>
          <w:lang w:eastAsia="zh-CN"/>
        </w:rPr>
        <w:t>单一来源谈判文件</w:t>
      </w:r>
      <w:r>
        <w:rPr>
          <w:rFonts w:hint="eastAsia" w:ascii="宋体" w:hAnsi="宋体" w:cs="宋体"/>
          <w:b/>
          <w:bCs/>
          <w:sz w:val="21"/>
          <w:szCs w:val="21"/>
        </w:rPr>
        <w:t>技术参数要求内容逐条响应。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六、法定代表人证明书或授权书</w:t>
      </w:r>
    </w:p>
    <w:tbl>
      <w:tblPr>
        <w:tblStyle w:val="35"/>
        <w:tblpPr w:leftFromText="180" w:rightFromText="180" w:vertAnchor="text" w:horzAnchor="page" w:tblpX="1395" w:tblpY="1284"/>
        <w:tblOverlap w:val="never"/>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8738" w:type="dxa"/>
            <w:gridSpan w:val="5"/>
            <w:noWrap w:val="0"/>
            <w:vAlign w:val="center"/>
          </w:tcPr>
          <w:p>
            <w:pPr>
              <w:pStyle w:val="95"/>
              <w:keepNext w:val="0"/>
              <w:keepLines w:val="0"/>
              <w:pageBreakBefore w:val="0"/>
              <w:widowControl w:val="0"/>
              <w:kinsoku/>
              <w:wordWrap/>
              <w:overflowPunct/>
              <w:topLinePunct w:val="0"/>
              <w:autoSpaceDE/>
              <w:autoSpaceDN/>
              <w:bidi w:val="0"/>
              <w:adjustRightInd/>
              <w:snapToGrid/>
              <w:ind w:left="108"/>
              <w:textAlignment w:val="auto"/>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restart"/>
            <w:noWrap w:val="0"/>
            <w:vAlign w:val="center"/>
          </w:tcPr>
          <w:p>
            <w:pPr>
              <w:pStyle w:val="95"/>
              <w:ind w:right="10"/>
              <w:jc w:val="center"/>
              <w:rPr>
                <w:rFonts w:ascii="宋体" w:hAnsi="宋体" w:eastAsia="宋体" w:cs="宋体"/>
                <w:sz w:val="24"/>
                <w:szCs w:val="22"/>
              </w:rPr>
            </w:pPr>
            <w:r>
              <w:rPr>
                <w:rFonts w:hint="eastAsia" w:ascii="宋体" w:hAnsi="宋体" w:eastAsia="宋体" w:cs="宋体"/>
                <w:sz w:val="24"/>
                <w:szCs w:val="22"/>
              </w:rPr>
              <w:t>企业</w:t>
            </w:r>
          </w:p>
          <w:p>
            <w:pPr>
              <w:pStyle w:val="95"/>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tabs>
                <w:tab w:val="left" w:pos="1368"/>
              </w:tabs>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sz w:val="2"/>
                <w:szCs w:val="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noWrap w:val="0"/>
            <w:vAlign w:val="center"/>
          </w:tcPr>
          <w:p>
            <w:pPr>
              <w:pStyle w:val="95"/>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noWrap w:val="0"/>
            <w:vAlign w:val="center"/>
          </w:tcPr>
          <w:p>
            <w:pPr>
              <w:pStyle w:val="95"/>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noWrap w:val="0"/>
            <w:vAlign w:val="center"/>
          </w:tcPr>
          <w:p>
            <w:pPr>
              <w:pStyle w:val="95"/>
              <w:spacing w:before="186"/>
              <w:ind w:left="107" w:right="117"/>
              <w:rPr>
                <w:rFonts w:ascii="宋体" w:hAnsi="宋体" w:eastAsia="宋体" w:cs="宋体"/>
                <w:sz w:val="24"/>
                <w:szCs w:val="2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noWrap w:val="0"/>
            <w:vAlign w:val="center"/>
          </w:tcPr>
          <w:p>
            <w:pPr>
              <w:pStyle w:val="95"/>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sz w:val="24"/>
                <w:szCs w:val="22"/>
              </w:rPr>
            </w:pPr>
            <w:r>
              <w:rPr>
                <w:rFonts w:hint="eastAsia" w:ascii="宋体" w:hAnsi="宋体" w:eastAsia="宋体" w:cs="宋体"/>
                <w:sz w:val="24"/>
                <w:szCs w:val="22"/>
              </w:rPr>
              <w:t>联系电话</w:t>
            </w:r>
          </w:p>
        </w:tc>
        <w:tc>
          <w:tcPr>
            <w:tcW w:w="2374" w:type="dxa"/>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noWrap w:val="0"/>
            <w:vAlign w:val="center"/>
          </w:tcPr>
          <w:p>
            <w:pPr>
              <w:pStyle w:val="95"/>
              <w:spacing w:before="186"/>
              <w:ind w:left="107" w:right="117"/>
              <w:rPr>
                <w:rFonts w:ascii="宋体" w:hAnsi="宋体" w:eastAsia="宋体" w:cs="宋体"/>
                <w:sz w:val="24"/>
                <w:szCs w:val="22"/>
              </w:rPr>
            </w:pPr>
          </w:p>
        </w:tc>
        <w:tc>
          <w:tcPr>
            <w:tcW w:w="2375" w:type="dxa"/>
            <w:noWrap w:val="0"/>
            <w:vAlign w:val="center"/>
          </w:tcPr>
          <w:p>
            <w:pPr>
              <w:pStyle w:val="95"/>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noWrap w:val="0"/>
            <w:vAlign w:val="center"/>
          </w:tcPr>
          <w:p>
            <w:pPr>
              <w:pStyle w:val="95"/>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noWrap w:val="0"/>
            <w:vAlign w:val="center"/>
          </w:tcPr>
          <w:p>
            <w:pPr>
              <w:pStyle w:val="95"/>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noWrap w:val="0"/>
            <w:vAlign w:val="center"/>
          </w:tcPr>
          <w:p>
            <w:pPr>
              <w:pStyle w:val="95"/>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95"/>
              <w:jc w:val="center"/>
              <w:rPr>
                <w:rFonts w:ascii="宋体" w:hAnsi="宋体" w:eastAsia="宋体" w:cs="宋体"/>
                <w:b/>
                <w:sz w:val="24"/>
                <w:szCs w:val="22"/>
              </w:rPr>
            </w:pPr>
          </w:p>
          <w:p>
            <w:pPr>
              <w:pStyle w:val="95"/>
              <w:spacing w:before="1"/>
              <w:jc w:val="center"/>
              <w:rPr>
                <w:rFonts w:ascii="宋体" w:hAnsi="宋体" w:eastAsia="宋体" w:cs="宋体"/>
                <w:b/>
                <w:szCs w:val="22"/>
              </w:rPr>
            </w:pPr>
          </w:p>
          <w:p>
            <w:pPr>
              <w:pStyle w:val="95"/>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noWrap w:val="0"/>
            <w:vAlign w:val="center"/>
          </w:tcPr>
          <w:p>
            <w:pPr>
              <w:pStyle w:val="95"/>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noWrap w:val="0"/>
            <w:vAlign w:val="center"/>
          </w:tcPr>
          <w:p>
            <w:pPr>
              <w:jc w:val="center"/>
              <w:rPr>
                <w:rFonts w:ascii="宋体" w:hAnsi="宋体" w:cs="宋体"/>
                <w:sz w:val="2"/>
                <w:szCs w:val="2"/>
              </w:rPr>
            </w:pPr>
          </w:p>
        </w:tc>
        <w:tc>
          <w:tcPr>
            <w:tcW w:w="4127" w:type="dxa"/>
            <w:gridSpan w:val="2"/>
            <w:vMerge w:val="continue"/>
            <w:tcBorders>
              <w:top w:val="nil"/>
            </w:tcBorders>
            <w:noWrap w:val="0"/>
            <w:vAlign w:val="center"/>
          </w:tcPr>
          <w:p>
            <w:pPr>
              <w:jc w:val="center"/>
              <w:rPr>
                <w:rFonts w:ascii="宋体" w:hAnsi="宋体" w:cs="宋体"/>
                <w:sz w:val="2"/>
                <w:szCs w:val="2"/>
              </w:rPr>
            </w:pPr>
          </w:p>
        </w:tc>
        <w:tc>
          <w:tcPr>
            <w:tcW w:w="3711" w:type="dxa"/>
            <w:gridSpan w:val="2"/>
            <w:noWrap w:val="0"/>
            <w:vAlign w:val="center"/>
          </w:tcPr>
          <w:p>
            <w:pPr>
              <w:pStyle w:val="95"/>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95"/>
              <w:tabs>
                <w:tab w:val="left" w:pos="2347"/>
                <w:tab w:val="left" w:pos="2908"/>
              </w:tabs>
              <w:ind w:left="1787"/>
              <w:jc w:val="center"/>
              <w:rPr>
                <w:rFonts w:ascii="宋体" w:hAnsi="宋体" w:eastAsia="宋体" w:cs="宋体"/>
                <w:sz w:val="24"/>
                <w:szCs w:val="22"/>
              </w:rPr>
            </w:pPr>
          </w:p>
          <w:p>
            <w:pPr>
              <w:pStyle w:val="95"/>
              <w:tabs>
                <w:tab w:val="left" w:pos="2347"/>
                <w:tab w:val="left" w:pos="2908"/>
              </w:tabs>
              <w:ind w:left="1787"/>
              <w:jc w:val="center"/>
              <w:rPr>
                <w:rFonts w:ascii="宋体" w:hAnsi="宋体" w:eastAsia="宋体" w:cs="宋体"/>
                <w:sz w:val="24"/>
                <w:szCs w:val="22"/>
              </w:rPr>
            </w:pPr>
          </w:p>
          <w:p>
            <w:pPr>
              <w:pStyle w:val="95"/>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snapToGrid w:val="0"/>
        <w:spacing w:line="360" w:lineRule="auto"/>
        <w:ind w:firstLine="600"/>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snapToGrid w:val="0"/>
        <w:spacing w:before="238" w:line="360" w:lineRule="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b w:val="0"/>
          <w:bCs w:val="0"/>
          <w:sz w:val="24"/>
          <w:lang w:eastAsia="zh-CN"/>
        </w:rPr>
        <w:t>单一来源谈判</w:t>
      </w:r>
      <w:r>
        <w:rPr>
          <w:rFonts w:hint="eastAsia" w:ascii="宋体" w:hAnsi="宋体" w:cs="宋体"/>
          <w:b w:val="0"/>
          <w:bCs w:val="0"/>
          <w:sz w:val="24"/>
        </w:rPr>
        <w:t>文件的</w:t>
      </w:r>
      <w:r>
        <w:rPr>
          <w:rFonts w:hint="eastAsia" w:ascii="宋体" w:hAnsi="宋体" w:cs="宋体"/>
          <w:sz w:val="24"/>
        </w:rPr>
        <w:t>投标和合同执行，以我方的名义处理一切与之有关的事宜。</w:t>
      </w:r>
    </w:p>
    <w:p>
      <w:pPr>
        <w:snapToGrid w:val="0"/>
        <w:spacing w:line="360" w:lineRule="auto"/>
        <w:ind w:firstLine="480"/>
        <w:rPr>
          <w:rFonts w:ascii="宋体" w:hAnsi="宋体" w:cs="宋体"/>
          <w:sz w:val="24"/>
        </w:rPr>
      </w:pPr>
      <w:r>
        <w:rPr>
          <w:rFonts w:hint="eastAsia" w:ascii="宋体" w:hAnsi="宋体" w:cs="宋体"/>
          <w:sz w:val="24"/>
        </w:rPr>
        <w:t>本授权书</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sz w:val="24"/>
        </w:rPr>
      </w:pPr>
      <w:r>
        <w:rPr>
          <w:rFonts w:hint="eastAsia" w:ascii="宋体" w:hAnsi="宋体" w:cs="宋体"/>
          <w:b/>
          <w:sz w:val="24"/>
        </w:rPr>
        <w:t>法人代表与被授权人身份证（复印件）需附在</w:t>
      </w:r>
      <w:r>
        <w:rPr>
          <w:rFonts w:hint="eastAsia" w:ascii="宋体" w:hAnsi="宋体" w:cs="宋体"/>
          <w:b/>
          <w:sz w:val="24"/>
          <w:lang w:eastAsia="zh-CN"/>
        </w:rPr>
        <w:t>单一来源谈判响应文件</w:t>
      </w:r>
      <w:r>
        <w:rPr>
          <w:rFonts w:hint="eastAsia" w:ascii="宋体" w:hAnsi="宋体" w:cs="宋体"/>
          <w:b/>
          <w:sz w:val="24"/>
        </w:rPr>
        <w:t>中。</w:t>
      </w:r>
    </w:p>
    <w:p>
      <w:pPr>
        <w:snapToGrid w:val="0"/>
        <w:spacing w:line="360" w:lineRule="auto"/>
        <w:rPr>
          <w:rFonts w:ascii="宋体" w:hAnsi="宋体" w:cs="宋体"/>
          <w:b/>
          <w:sz w:val="24"/>
        </w:rPr>
      </w:pPr>
      <w:r>
        <w:rPr>
          <w:rFonts w:hint="eastAsia" w:ascii="宋体" w:hAnsi="宋体" w:cs="宋体"/>
          <w:b/>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cs="宋体"/>
          <w:b/>
          <w:sz w:val="28"/>
          <w:szCs w:val="28"/>
        </w:rPr>
        <w:t>七、资格证明文件</w:t>
      </w:r>
    </w:p>
    <w:p>
      <w:pPr>
        <w:widowControl/>
        <w:spacing w:line="360" w:lineRule="auto"/>
        <w:ind w:firstLine="441" w:firstLineChars="184"/>
        <w:jc w:val="left"/>
        <w:rPr>
          <w:rFonts w:hint="eastAsia" w:ascii="宋体" w:hAnsi="宋体" w:cs="宋体" w:eastAsiaTheme="minorEastAsia"/>
          <w:kern w:val="0"/>
          <w:sz w:val="24"/>
          <w:lang w:eastAsia="zh-CN"/>
        </w:rPr>
      </w:pPr>
      <w:r>
        <w:rPr>
          <w:rFonts w:hint="eastAsia" w:ascii="宋体" w:hAnsi="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、提供</w:t>
      </w:r>
      <w:r>
        <w:rPr>
          <w:rFonts w:hint="eastAsia" w:ascii="宋体" w:hAnsi="宋体" w:cs="宋体"/>
          <w:kern w:val="0"/>
          <w:sz w:val="24"/>
          <w:szCs w:val="22"/>
          <w:lang w:val="en-US" w:eastAsia="zh-CN"/>
        </w:rPr>
        <w:t>经审计的</w:t>
      </w:r>
      <w:r>
        <w:rPr>
          <w:rFonts w:hint="eastAsia" w:ascii="宋体" w:hAnsi="宋体" w:cs="宋体"/>
          <w:kern w:val="0"/>
          <w:sz w:val="24"/>
          <w:szCs w:val="22"/>
          <w:u w:val="none"/>
        </w:rPr>
        <w:t>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lang w:eastAsia="zh-CN"/>
        </w:rPr>
      </w:pPr>
      <w:r>
        <w:rPr>
          <w:rFonts w:hint="eastAsia" w:ascii="宋体" w:hAnsi="宋体" w:cs="宋体"/>
          <w:kern w:val="0"/>
          <w:sz w:val="24"/>
          <w:szCs w:val="22"/>
          <w:lang w:val="en-US" w:eastAsia="zh-CN"/>
        </w:rPr>
        <w:t>4</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pStyle w:val="2"/>
        <w:numPr>
          <w:ilvl w:val="0"/>
          <w:numId w:val="0"/>
        </w:numPr>
        <w:spacing w:line="360" w:lineRule="auto"/>
        <w:ind w:firstLine="480" w:firstLineChars="200"/>
        <w:rPr>
          <w:rFonts w:hint="eastAsia" w:ascii="新宋体" w:hAnsi="新宋体" w:eastAsia="新宋体" w:cs="宋体"/>
          <w:color w:val="FF0000"/>
          <w:kern w:val="0"/>
          <w:sz w:val="24"/>
          <w:szCs w:val="24"/>
          <w:lang w:val="en-US" w:eastAsia="zh-CN" w:bidi="ar-SA"/>
        </w:rPr>
      </w:pPr>
      <w:r>
        <w:rPr>
          <w:rFonts w:hint="eastAsia" w:ascii="宋体" w:hAnsi="宋体" w:cs="宋体" w:eastAsiaTheme="minorEastAsia"/>
          <w:kern w:val="0"/>
          <w:sz w:val="24"/>
          <w:szCs w:val="22"/>
          <w:lang w:val="en-US" w:eastAsia="zh-CN" w:bidi="ar-SA"/>
        </w:rPr>
        <w:t>5、</w:t>
      </w:r>
      <w:r>
        <w:rPr>
          <w:rFonts w:hint="default" w:ascii="宋体" w:hAnsi="宋体" w:cs="宋体"/>
          <w:color w:val="auto"/>
          <w:sz w:val="24"/>
          <w:lang w:val="en-US" w:eastAsia="zh-CN"/>
        </w:rPr>
        <w:t>投标人为生产厂家的须提供医疗器械生产许可证（进口产品除外）；投标人为代理商的根据所投产品类别还需提供第二类医疗器械备案凭证或第三类医疗器械经营许可证；</w:t>
      </w:r>
    </w:p>
    <w:p>
      <w:pPr>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6、投标供应商必须执行医用耗材“两票制”，并提供执行两票制承诺书。</w:t>
      </w:r>
    </w:p>
    <w:p>
      <w:pPr>
        <w:widowControl/>
        <w:spacing w:line="360" w:lineRule="auto"/>
        <w:ind w:firstLine="441" w:firstLineChars="184"/>
        <w:jc w:val="left"/>
        <w:rPr>
          <w:rFonts w:hint="eastAsia" w:ascii="宋体" w:hAnsi="宋体" w:cs="宋体"/>
          <w:kern w:val="0"/>
          <w:sz w:val="24"/>
        </w:rPr>
      </w:pPr>
      <w:r>
        <w:rPr>
          <w:rFonts w:hint="eastAsia" w:ascii="宋体" w:hAnsi="宋体" w:cs="宋体"/>
          <w:kern w:val="0"/>
          <w:sz w:val="24"/>
        </w:rPr>
        <w:t xml:space="preserve"> </w:t>
      </w:r>
    </w:p>
    <w:p>
      <w:pPr>
        <w:spacing w:after="120" w:afterLines="50" w:line="360" w:lineRule="auto"/>
        <w:ind w:left="1067" w:hanging="1067" w:hangingChars="443"/>
        <w:jc w:val="left"/>
        <w:outlineLvl w:val="9"/>
        <w:rPr>
          <w:rFonts w:hint="eastAsia" w:ascii="宋体" w:hAnsi="宋体" w:cs="宋体"/>
          <w:b/>
          <w:sz w:val="24"/>
        </w:rPr>
      </w:pPr>
    </w:p>
    <w:p>
      <w:pPr>
        <w:rPr>
          <w:rFonts w:hint="eastAsia" w:ascii="宋体" w:hAnsi="宋体" w:cs="宋体"/>
          <w:b/>
          <w:sz w:val="28"/>
          <w:szCs w:val="28"/>
          <w:lang w:eastAsia="zh-CN"/>
        </w:rPr>
      </w:pPr>
      <w:r>
        <w:rPr>
          <w:rFonts w:hint="eastAsia" w:ascii="宋体" w:hAnsi="宋体" w:cs="宋体"/>
          <w:b/>
          <w:sz w:val="28"/>
          <w:szCs w:val="28"/>
          <w:lang w:eastAsia="zh-CN"/>
        </w:rPr>
        <w:br w:type="page"/>
      </w:r>
    </w:p>
    <w:p>
      <w:pPr>
        <w:tabs>
          <w:tab w:val="left" w:pos="0"/>
        </w:tabs>
        <w:spacing w:line="360" w:lineRule="auto"/>
        <w:ind w:left="964" w:hanging="1124" w:hangingChars="400"/>
        <w:outlineLvl w:val="1"/>
        <w:rPr>
          <w:rFonts w:hint="eastAsia" w:ascii="宋体" w:hAnsi="宋体" w:cs="宋体"/>
          <w:b/>
          <w:sz w:val="28"/>
          <w:szCs w:val="28"/>
        </w:rPr>
      </w:pPr>
      <w:r>
        <w:rPr>
          <w:rFonts w:hint="eastAsia" w:ascii="宋体" w:hAnsi="宋体" w:cs="宋体"/>
          <w:b/>
          <w:sz w:val="28"/>
          <w:szCs w:val="28"/>
          <w:lang w:eastAsia="zh-CN"/>
        </w:rPr>
        <w:t>八、</w:t>
      </w:r>
      <w:r>
        <w:rPr>
          <w:rFonts w:hint="eastAsia" w:ascii="宋体" w:hAnsi="宋体" w:cs="宋体"/>
          <w:b/>
          <w:sz w:val="28"/>
          <w:szCs w:val="28"/>
        </w:rPr>
        <w:t>具有履行合同所必需的设备和专业技术能力的书面声明</w:t>
      </w:r>
    </w:p>
    <w:p>
      <w:pPr>
        <w:tabs>
          <w:tab w:val="left" w:pos="0"/>
        </w:tabs>
        <w:spacing w:line="360" w:lineRule="auto"/>
        <w:ind w:left="964" w:hanging="1124" w:hangingChars="400"/>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9"/>
        <w:rPr>
          <w:rFonts w:hint="eastAsia" w:ascii="宋体" w:hAnsi="宋体" w:cs="宋体"/>
          <w:b/>
          <w:sz w:val="28"/>
          <w:szCs w:val="28"/>
          <w:lang w:eastAsia="zh-CN"/>
        </w:rPr>
      </w:pPr>
    </w:p>
    <w:p>
      <w:pPr>
        <w:tabs>
          <w:tab w:val="left" w:pos="0"/>
        </w:tabs>
        <w:spacing w:line="360" w:lineRule="auto"/>
        <w:ind w:left="964" w:hanging="1124" w:hangingChars="400"/>
        <w:outlineLvl w:val="1"/>
        <w:rPr>
          <w:rFonts w:hint="eastAsia" w:ascii="宋体" w:hAnsi="宋体" w:cs="宋体"/>
          <w:b/>
          <w:sz w:val="28"/>
          <w:szCs w:val="28"/>
        </w:rPr>
      </w:pPr>
      <w:r>
        <w:rPr>
          <w:rFonts w:hint="eastAsia" w:ascii="宋体" w:hAnsi="宋体" w:cs="宋体"/>
          <w:b/>
          <w:sz w:val="28"/>
          <w:szCs w:val="28"/>
          <w:lang w:eastAsia="zh-CN"/>
        </w:rPr>
        <w:t>九</w:t>
      </w:r>
      <w:r>
        <w:rPr>
          <w:rFonts w:hint="eastAsia" w:ascii="宋体" w:hAnsi="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cs="宋体"/>
          <w:b/>
          <w:sz w:val="24"/>
        </w:rPr>
      </w:pP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以下简称“我公司”参加项目编号为</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01"/>
      </w:pPr>
    </w:p>
    <w:p>
      <w:pPr>
        <w:spacing w:after="120"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outlineLvl w:val="9"/>
        <w:rPr>
          <w:rFonts w:hint="eastAsia" w:ascii="宋体" w:hAnsi="宋体" w:cs="宋体"/>
          <w:b/>
          <w:sz w:val="28"/>
          <w:szCs w:val="28"/>
        </w:rPr>
      </w:pPr>
    </w:p>
    <w:p>
      <w:pPr>
        <w:spacing w:line="360" w:lineRule="auto"/>
        <w:outlineLvl w:val="9"/>
        <w:rPr>
          <w:rFonts w:hint="eastAsia" w:ascii="宋体" w:hAnsi="宋体" w:cs="宋体"/>
          <w:b/>
          <w:sz w:val="28"/>
          <w:szCs w:val="28"/>
        </w:rPr>
      </w:pPr>
    </w:p>
    <w:p>
      <w:pPr>
        <w:rPr>
          <w:rFonts w:hint="eastAsia" w:ascii="宋体" w:hAnsi="宋体" w:cs="宋体"/>
          <w:b/>
          <w:sz w:val="28"/>
          <w:szCs w:val="28"/>
          <w:lang w:eastAsia="zh-CN"/>
        </w:rPr>
      </w:pPr>
      <w:r>
        <w:rPr>
          <w:rFonts w:hint="eastAsia" w:ascii="宋体" w:hAnsi="宋体" w:cs="宋体"/>
          <w:b/>
          <w:sz w:val="28"/>
          <w:szCs w:val="28"/>
          <w:lang w:eastAsia="zh-CN"/>
        </w:rPr>
        <w:br w:type="page"/>
      </w:r>
    </w:p>
    <w:p>
      <w:pPr>
        <w:spacing w:line="360" w:lineRule="auto"/>
        <w:outlineLvl w:val="1"/>
        <w:rPr>
          <w:rFonts w:ascii="宋体" w:hAnsi="宋体" w:cs="宋体"/>
          <w:b/>
          <w:sz w:val="28"/>
          <w:szCs w:val="28"/>
        </w:rPr>
      </w:pPr>
      <w:r>
        <w:rPr>
          <w:rFonts w:hint="eastAsia" w:ascii="宋体" w:hAnsi="宋体" w:cs="宋体"/>
          <w:b/>
          <w:sz w:val="28"/>
          <w:szCs w:val="28"/>
          <w:lang w:eastAsia="zh-CN"/>
        </w:rPr>
        <w:t>十</w:t>
      </w:r>
      <w:r>
        <w:rPr>
          <w:rFonts w:hint="eastAsia" w:ascii="宋体" w:hAnsi="宋体" w:cs="宋体"/>
          <w:b/>
          <w:sz w:val="28"/>
          <w:szCs w:val="28"/>
        </w:rPr>
        <w:t>、</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1、在参与政府采购活动中遵纪守法、诚信经营、公平竞标。</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3、不向政府采购代理机构和采购人提供虚假资质文件或采用虚假应标方式参与政府采购市场竞争并谋取</w:t>
      </w:r>
      <w:r>
        <w:rPr>
          <w:rFonts w:hint="eastAsia" w:ascii="宋体" w:hAnsi="宋体" w:cs="宋体"/>
          <w:sz w:val="24"/>
        </w:rPr>
        <w:t>中标</w:t>
      </w:r>
      <w:r>
        <w:rPr>
          <w:rFonts w:ascii="宋体" w:hAnsi="宋体" w:cs="宋体"/>
          <w:sz w:val="24"/>
        </w:rPr>
        <w:t>、成交。</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4、不采取“围标、陪标”等商业欺诈手段获得政府采购定单。</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5、不采取不正当手段诋毁、排挤其他供应商。</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cs="宋体" w:eastAsiaTheme="minorEastAsia"/>
          <w:sz w:val="24"/>
          <w:lang w:eastAsia="zh-CN"/>
        </w:rPr>
      </w:pPr>
      <w:r>
        <w:rPr>
          <w:rFonts w:ascii="宋体" w:hAnsi="宋体" w:cs="宋体"/>
          <w:sz w:val="24"/>
        </w:rPr>
        <w:t>9、不发生其他有悖于政府采购公开、公平、公正和诚信原则的行为。</w:t>
      </w:r>
    </w:p>
    <w:p>
      <w:pPr>
        <w:pStyle w:val="45"/>
        <w:rPr>
          <w:rFonts w:hint="eastAsia"/>
          <w:lang w:eastAsia="zh-CN"/>
        </w:rPr>
      </w:pPr>
    </w:p>
    <w:p>
      <w:pPr>
        <w:spacing w:line="360" w:lineRule="auto"/>
        <w:rPr>
          <w:rFonts w:ascii="宋体" w:hAnsi="宋体" w:cs="宋体"/>
          <w:sz w:val="24"/>
        </w:rPr>
      </w:pPr>
      <w:r>
        <w:rPr>
          <w:rFonts w:hint="eastAsia" w:ascii="宋体" w:hAnsi="宋体" w:cs="宋体"/>
          <w:sz w:val="24"/>
        </w:rPr>
        <w:t>投标人名称：</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公</w:t>
      </w:r>
      <w:r>
        <w:rPr>
          <w:rFonts w:ascii="宋体" w:hAnsi="宋体" w:cs="宋体"/>
          <w:sz w:val="24"/>
        </w:rPr>
        <w:t>章</w:t>
      </w:r>
      <w:r>
        <w:rPr>
          <w:rFonts w:hint="eastAsia" w:ascii="宋体" w:hAnsi="宋体" w:cs="宋体"/>
          <w:sz w:val="24"/>
        </w:rPr>
        <w:t>：</w:t>
      </w:r>
    </w:p>
    <w:p>
      <w:pPr>
        <w:spacing w:line="360" w:lineRule="auto"/>
        <w:rPr>
          <w:rFonts w:hint="eastAsia" w:ascii="宋体" w:hAnsi="宋体" w:cs="宋体" w:eastAsiaTheme="minorEastAsia"/>
          <w:sz w:val="24"/>
          <w:lang w:eastAsia="zh-CN"/>
        </w:rPr>
      </w:pPr>
    </w:p>
    <w:p>
      <w:pPr>
        <w:spacing w:line="360" w:lineRule="auto"/>
        <w:rPr>
          <w:rFonts w:ascii="宋体" w:hAnsi="宋体" w:cs="宋体"/>
          <w:sz w:val="24"/>
        </w:rPr>
      </w:pPr>
      <w:r>
        <w:rPr>
          <w:rFonts w:hint="eastAsia" w:ascii="宋体" w:hAnsi="宋体" w:cs="宋体"/>
          <w:sz w:val="24"/>
        </w:rPr>
        <w:t>授</w:t>
      </w:r>
      <w:r>
        <w:rPr>
          <w:rFonts w:ascii="宋体" w:hAnsi="宋体" w:cs="宋体"/>
          <w:sz w:val="24"/>
        </w:rPr>
        <w:t>权代表签字：</w:t>
      </w:r>
    </w:p>
    <w:p>
      <w:pPr>
        <w:spacing w:line="360" w:lineRule="auto"/>
        <w:ind w:firstLine="5160" w:firstLineChars="2150"/>
        <w:jc w:val="left"/>
        <w:rPr>
          <w:rFonts w:ascii="宋体" w:hAnsi="宋体"/>
          <w:spacing w:val="4"/>
          <w:sz w:val="24"/>
        </w:rPr>
      </w:pPr>
      <w:r>
        <w:rPr>
          <w:rFonts w:ascii="宋体" w:hAnsi="宋体" w:cs="宋体"/>
          <w:sz w:val="24"/>
        </w:rPr>
        <w:br w:type="page"/>
      </w:r>
    </w:p>
    <w:p>
      <w:pPr>
        <w:spacing w:line="360" w:lineRule="auto"/>
        <w:outlineLvl w:val="1"/>
        <w:rPr>
          <w:rFonts w:hint="eastAsia" w:ascii="宋体" w:hAnsi="宋体" w:cs="宋体" w:eastAsiaTheme="minorEastAsia"/>
          <w:b/>
          <w:sz w:val="28"/>
          <w:szCs w:val="28"/>
          <w:lang w:eastAsia="zh-CN"/>
        </w:rPr>
      </w:pPr>
      <w:r>
        <w:rPr>
          <w:rFonts w:hint="eastAsia" w:ascii="宋体" w:hAnsi="宋体" w:cs="宋体"/>
          <w:b/>
          <w:sz w:val="28"/>
          <w:szCs w:val="28"/>
        </w:rPr>
        <w:t>十</w:t>
      </w:r>
      <w:r>
        <w:rPr>
          <w:rFonts w:hint="eastAsia" w:ascii="宋体" w:hAnsi="宋体" w:cs="宋体"/>
          <w:b/>
          <w:sz w:val="28"/>
          <w:szCs w:val="28"/>
          <w:lang w:val="en-US" w:eastAsia="zh-CN"/>
        </w:rPr>
        <w:t>一</w:t>
      </w:r>
      <w:r>
        <w:rPr>
          <w:rFonts w:hint="eastAsia" w:ascii="宋体" w:hAnsi="宋体" w:cs="宋体"/>
          <w:b/>
          <w:sz w:val="28"/>
          <w:szCs w:val="28"/>
        </w:rPr>
        <w:t>、</w:t>
      </w:r>
      <w:r>
        <w:rPr>
          <w:rFonts w:hint="eastAsia" w:ascii="宋体" w:hAnsi="宋体" w:cs="宋体"/>
          <w:b/>
          <w:sz w:val="28"/>
          <w:szCs w:val="28"/>
          <w:lang w:eastAsia="zh-CN"/>
        </w:rPr>
        <w:t>项目业绩表</w:t>
      </w:r>
    </w:p>
    <w:p>
      <w:pPr>
        <w:spacing w:line="360" w:lineRule="auto"/>
        <w:jc w:val="center"/>
        <w:outlineLvl w:val="9"/>
        <w:rPr>
          <w:rFonts w:ascii="新宋体" w:hAnsi="新宋体" w:eastAsia="新宋体"/>
          <w:b/>
          <w:sz w:val="22"/>
          <w:szCs w:val="22"/>
          <w:highlight w:val="none"/>
        </w:rPr>
      </w:pPr>
      <w:r>
        <w:rPr>
          <w:rFonts w:hint="eastAsia" w:ascii="宋体" w:hAnsi="宋体" w:cs="宋体"/>
          <w:b/>
          <w:sz w:val="24"/>
          <w:highlight w:val="none"/>
        </w:rPr>
        <w:t>提供所投产品</w:t>
      </w:r>
      <w:r>
        <w:rPr>
          <w:rFonts w:hint="eastAsia" w:ascii="宋体" w:hAnsi="宋体" w:cs="宋体"/>
          <w:b/>
          <w:sz w:val="24"/>
          <w:highlight w:val="none"/>
          <w:lang w:val="en-US" w:eastAsia="zh-CN"/>
        </w:rPr>
        <w:t>2019</w:t>
      </w:r>
      <w:r>
        <w:rPr>
          <w:rFonts w:hint="eastAsia" w:ascii="宋体" w:hAnsi="宋体" w:cs="宋体"/>
          <w:b/>
          <w:sz w:val="24"/>
          <w:highlight w:val="none"/>
          <w:lang w:val="zh-CN"/>
        </w:rPr>
        <w:t>年</w:t>
      </w:r>
      <w:r>
        <w:rPr>
          <w:rFonts w:hint="eastAsia" w:ascii="宋体" w:hAnsi="宋体" w:cs="宋体"/>
          <w:b/>
          <w:sz w:val="24"/>
          <w:highlight w:val="none"/>
        </w:rPr>
        <w:t>1月1日至今</w:t>
      </w:r>
      <w:r>
        <w:rPr>
          <w:rFonts w:hint="eastAsia" w:ascii="宋体" w:hAnsi="宋体" w:cs="宋体"/>
          <w:b/>
          <w:sz w:val="24"/>
          <w:highlight w:val="none"/>
          <w:lang w:val="en-US" w:eastAsia="zh-CN"/>
        </w:rPr>
        <w:t>类似</w:t>
      </w:r>
      <w:r>
        <w:rPr>
          <w:rFonts w:hint="eastAsia" w:ascii="宋体" w:hAnsi="宋体" w:cs="宋体"/>
          <w:b/>
          <w:sz w:val="24"/>
          <w:highlight w:val="none"/>
          <w:lang w:val="zh-CN"/>
        </w:rPr>
        <w:t>业绩</w:t>
      </w:r>
    </w:p>
    <w:p>
      <w:pPr>
        <w:spacing w:line="360" w:lineRule="auto"/>
        <w:rPr>
          <w:rFonts w:ascii="宋体" w:hAnsi="宋体" w:cs="宋体"/>
          <w:b/>
          <w:bCs/>
          <w:sz w:val="10"/>
          <w:szCs w:val="10"/>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pPr>
              <w:spacing w:before="120" w:beforeLines="50" w:line="360" w:lineRule="auto"/>
              <w:jc w:val="center"/>
              <w:rPr>
                <w:rFonts w:ascii="宋体" w:hAnsi="宋体" w:cs="宋体"/>
              </w:rPr>
            </w:pPr>
            <w:r>
              <w:rPr>
                <w:rFonts w:hint="eastAsia" w:ascii="宋体" w:hAnsi="宋体" w:cs="宋体"/>
              </w:rPr>
              <w:t>序号</w:t>
            </w:r>
          </w:p>
        </w:tc>
        <w:tc>
          <w:tcPr>
            <w:tcW w:w="1908" w:type="dxa"/>
            <w:noWrap w:val="0"/>
            <w:vAlign w:val="center"/>
          </w:tcPr>
          <w:p>
            <w:pPr>
              <w:spacing w:before="120" w:beforeLines="50" w:line="360" w:lineRule="auto"/>
              <w:jc w:val="center"/>
              <w:rPr>
                <w:rFonts w:ascii="宋体" w:hAnsi="宋体" w:cs="宋体"/>
              </w:rPr>
            </w:pPr>
            <w:r>
              <w:rPr>
                <w:rFonts w:hint="eastAsia" w:ascii="宋体" w:hAnsi="宋体" w:cs="宋体"/>
              </w:rPr>
              <w:t>项目名称</w:t>
            </w:r>
          </w:p>
        </w:tc>
        <w:tc>
          <w:tcPr>
            <w:tcW w:w="2332" w:type="dxa"/>
            <w:noWrap w:val="0"/>
            <w:vAlign w:val="center"/>
          </w:tcPr>
          <w:p>
            <w:pPr>
              <w:spacing w:before="120" w:beforeLines="50" w:line="360" w:lineRule="auto"/>
              <w:jc w:val="center"/>
              <w:rPr>
                <w:rFonts w:ascii="宋体" w:hAnsi="宋体" w:cs="宋体"/>
              </w:rPr>
            </w:pPr>
            <w:r>
              <w:rPr>
                <w:rFonts w:hint="eastAsia" w:ascii="宋体" w:hAnsi="宋体" w:cs="宋体"/>
              </w:rPr>
              <w:t>项目地址及电话</w:t>
            </w:r>
          </w:p>
        </w:tc>
        <w:tc>
          <w:tcPr>
            <w:tcW w:w="1696" w:type="dxa"/>
            <w:noWrap w:val="0"/>
            <w:vAlign w:val="center"/>
          </w:tcPr>
          <w:p>
            <w:pPr>
              <w:spacing w:before="120" w:beforeLines="50" w:line="360" w:lineRule="auto"/>
              <w:jc w:val="center"/>
              <w:rPr>
                <w:rFonts w:ascii="宋体" w:hAnsi="宋体" w:cs="宋体"/>
              </w:rPr>
            </w:pPr>
            <w:r>
              <w:rPr>
                <w:rFonts w:hint="eastAsia" w:ascii="宋体" w:hAnsi="宋体" w:cs="宋体"/>
              </w:rPr>
              <w:t>合同内容</w:t>
            </w:r>
          </w:p>
        </w:tc>
        <w:tc>
          <w:tcPr>
            <w:tcW w:w="1430" w:type="dxa"/>
            <w:noWrap w:val="0"/>
            <w:vAlign w:val="center"/>
          </w:tcPr>
          <w:p>
            <w:pPr>
              <w:spacing w:before="120"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pPr>
              <w:spacing w:line="360" w:lineRule="auto"/>
              <w:jc w:val="center"/>
              <w:rPr>
                <w:rFonts w:ascii="宋体" w:hAnsi="宋体" w:cs="宋体"/>
                <w:sz w:val="24"/>
              </w:rPr>
            </w:pPr>
          </w:p>
        </w:tc>
        <w:tc>
          <w:tcPr>
            <w:tcW w:w="1908" w:type="dxa"/>
            <w:noWrap w:val="0"/>
            <w:vAlign w:val="top"/>
          </w:tcPr>
          <w:p>
            <w:pPr>
              <w:spacing w:line="360" w:lineRule="auto"/>
              <w:jc w:val="center"/>
              <w:rPr>
                <w:rFonts w:ascii="宋体" w:hAnsi="宋体" w:cs="宋体"/>
                <w:sz w:val="24"/>
              </w:rPr>
            </w:pPr>
          </w:p>
        </w:tc>
        <w:tc>
          <w:tcPr>
            <w:tcW w:w="2332" w:type="dxa"/>
            <w:noWrap w:val="0"/>
            <w:vAlign w:val="top"/>
          </w:tcPr>
          <w:p>
            <w:pPr>
              <w:spacing w:line="360" w:lineRule="auto"/>
              <w:jc w:val="center"/>
              <w:rPr>
                <w:rFonts w:ascii="宋体" w:hAnsi="宋体" w:cs="宋体"/>
                <w:sz w:val="24"/>
              </w:rPr>
            </w:pPr>
          </w:p>
        </w:tc>
        <w:tc>
          <w:tcPr>
            <w:tcW w:w="1696" w:type="dxa"/>
            <w:noWrap w:val="0"/>
            <w:vAlign w:val="top"/>
          </w:tcPr>
          <w:p>
            <w:pPr>
              <w:spacing w:line="360" w:lineRule="auto"/>
              <w:jc w:val="center"/>
              <w:rPr>
                <w:rFonts w:ascii="宋体" w:hAnsi="宋体" w:cs="宋体"/>
                <w:sz w:val="24"/>
              </w:rPr>
            </w:pPr>
          </w:p>
        </w:tc>
        <w:tc>
          <w:tcPr>
            <w:tcW w:w="1430" w:type="dxa"/>
            <w:noWrap w:val="0"/>
            <w:vAlign w:val="top"/>
          </w:tcPr>
          <w:p>
            <w:pPr>
              <w:spacing w:line="360" w:lineRule="auto"/>
              <w:jc w:val="center"/>
              <w:rPr>
                <w:rFonts w:ascii="宋体" w:hAnsi="宋体" w:cs="宋体"/>
                <w:sz w:val="24"/>
              </w:rPr>
            </w:pPr>
          </w:p>
        </w:tc>
      </w:tr>
    </w:tbl>
    <w:p>
      <w:pPr>
        <w:spacing w:line="480" w:lineRule="auto"/>
        <w:rPr>
          <w:rFonts w:ascii="新宋体" w:hAnsi="新宋体" w:eastAsia="新宋体"/>
          <w:sz w:val="24"/>
        </w:rPr>
      </w:pPr>
      <w:r>
        <w:rPr>
          <w:rFonts w:hint="eastAsia" w:ascii="新宋体" w:hAnsi="新宋体" w:eastAsia="新宋体"/>
          <w:b/>
          <w:sz w:val="24"/>
        </w:rPr>
        <w:t>注：须提供业绩相应的证明材料（如采购合同）。</w:t>
      </w:r>
    </w:p>
    <w:p>
      <w:pPr>
        <w:spacing w:line="360" w:lineRule="auto"/>
        <w:rPr>
          <w:rFonts w:ascii="宋体" w:hAnsi="宋体" w:cs="宋体"/>
          <w:sz w:val="24"/>
        </w:rPr>
      </w:pPr>
    </w:p>
    <w:p>
      <w:pPr>
        <w:spacing w:after="120" w:afterLines="50" w:line="360" w:lineRule="auto"/>
        <w:rPr>
          <w:rFonts w:ascii="宋体" w:hAnsi="宋体" w:cs="宋体"/>
          <w:b/>
          <w:sz w:val="28"/>
          <w:szCs w:val="28"/>
        </w:rPr>
      </w:pPr>
    </w:p>
    <w:p>
      <w:pPr>
        <w:spacing w:after="120" w:afterLines="50" w:line="360" w:lineRule="auto"/>
        <w:outlineLvl w:val="1"/>
        <w:rPr>
          <w:rFonts w:ascii="宋体" w:hAnsi="宋体" w:cs="宋体"/>
          <w:sz w:val="24"/>
        </w:rPr>
      </w:pPr>
      <w:r>
        <w:rPr>
          <w:rFonts w:hint="eastAsia" w:ascii="宋体" w:hAnsi="宋体" w:cs="宋体"/>
          <w:b/>
          <w:sz w:val="28"/>
          <w:szCs w:val="28"/>
        </w:rPr>
        <w:br w:type="page"/>
      </w:r>
      <w:r>
        <w:rPr>
          <w:rFonts w:hint="eastAsia" w:ascii="宋体" w:hAnsi="宋体" w:cs="宋体"/>
          <w:b/>
          <w:sz w:val="28"/>
          <w:szCs w:val="28"/>
        </w:rPr>
        <w:t>十</w:t>
      </w: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rPr>
        <w:t>售后服务承诺</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报价人应详细说明售后服务保证内容，备品备件供应情况，出现故障响应时间及售后服务人员情况，并填写下表：</w:t>
      </w:r>
    </w:p>
    <w:p>
      <w:pPr>
        <w:spacing w:line="360" w:lineRule="auto"/>
        <w:jc w:val="center"/>
        <w:rPr>
          <w:rFonts w:ascii="宋体" w:hAnsi="宋体" w:cs="宋体"/>
          <w:b/>
          <w:bCs/>
          <w:sz w:val="24"/>
        </w:rPr>
      </w:pPr>
      <w:r>
        <w:rPr>
          <w:rFonts w:hint="eastAsia" w:ascii="宋体" w:hAnsi="宋体" w:cs="宋体"/>
          <w:b/>
          <w:bCs/>
          <w:sz w:val="24"/>
        </w:rPr>
        <w:t>售后服务承诺</w:t>
      </w:r>
    </w:p>
    <w:tbl>
      <w:tblPr>
        <w:tblStyle w:val="3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noWrap w:val="0"/>
            <w:vAlign w:val="top"/>
          </w:tcPr>
          <w:p>
            <w:pPr>
              <w:spacing w:line="360" w:lineRule="auto"/>
              <w:rPr>
                <w:rFonts w:ascii="宋体" w:hAnsi="宋体" w:cs="宋体"/>
                <w:sz w:val="24"/>
              </w:rPr>
            </w:pPr>
            <w:r>
              <w:rPr>
                <w:rFonts w:hint="eastAsia" w:ascii="宋体" w:hAnsi="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noWrap w:val="0"/>
            <w:vAlign w:val="top"/>
          </w:tcPr>
          <w:p>
            <w:pPr>
              <w:spacing w:line="360" w:lineRule="auto"/>
              <w:rPr>
                <w:rFonts w:ascii="宋体" w:hAnsi="宋体" w:cs="宋体"/>
                <w:sz w:val="24"/>
              </w:rPr>
            </w:pPr>
            <w:r>
              <w:rPr>
                <w:rFonts w:hint="eastAsia" w:ascii="宋体" w:hAnsi="宋体" w:cs="宋体"/>
                <w:sz w:val="24"/>
              </w:rPr>
              <w:t>现行售后服务的主要内容：（可附宣传材料）</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noWrap w:val="0"/>
            <w:vAlign w:val="top"/>
          </w:tcPr>
          <w:p>
            <w:pPr>
              <w:spacing w:line="360" w:lineRule="auto"/>
              <w:rPr>
                <w:rFonts w:ascii="宋体" w:hAnsi="宋体" w:cs="宋体"/>
                <w:sz w:val="24"/>
              </w:rPr>
            </w:pPr>
            <w:r>
              <w:rPr>
                <w:rFonts w:hint="eastAsia" w:ascii="宋体" w:hAnsi="宋体" w:cs="宋体"/>
                <w:b/>
                <w:bCs/>
                <w:sz w:val="24"/>
              </w:rPr>
              <w:t>售后服务技术人员简历：</w:t>
            </w:r>
            <w:r>
              <w:rPr>
                <w:rFonts w:hint="eastAsia" w:ascii="宋体" w:hAnsi="宋体" w:cs="宋体"/>
                <w:sz w:val="24"/>
              </w:rPr>
              <w:t>（姓名，性别，年龄，身份证号，学历，毕业院校，专业，联系电话，资格或培训证明，从事与本次采购相关项目的售后服务技术工作经历）</w:t>
            </w:r>
          </w:p>
          <w:p>
            <w:pPr>
              <w:spacing w:line="360" w:lineRule="auto"/>
              <w:rPr>
                <w:rFonts w:ascii="宋体" w:hAnsi="宋体" w:cs="宋体"/>
                <w:b/>
                <w:bCs/>
                <w:sz w:val="24"/>
              </w:rPr>
            </w:pP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特此承诺！</w:t>
      </w:r>
    </w:p>
    <w:p>
      <w:pPr>
        <w:spacing w:line="360" w:lineRule="auto"/>
        <w:ind w:firstLine="480" w:firstLineChars="200"/>
        <w:rPr>
          <w:rFonts w:ascii="宋体" w:hAnsi="宋体" w:cs="宋体"/>
          <w:sz w:val="24"/>
          <w:u w:val="single"/>
        </w:rPr>
      </w:pPr>
      <w:r>
        <w:rPr>
          <w:rFonts w:hint="eastAsia" w:ascii="宋体" w:hAnsi="宋体" w:cs="宋体"/>
          <w:sz w:val="24"/>
        </w:rPr>
        <w:t>承诺方授权代表签字：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承诺方名称（公章）：</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numPr>
          <w:ilvl w:val="0"/>
          <w:numId w:val="0"/>
        </w:numPr>
        <w:spacing w:line="360" w:lineRule="auto"/>
        <w:ind w:left="420" w:leftChars="0"/>
        <w:outlineLvl w:val="9"/>
        <w:rPr>
          <w:rFonts w:hint="eastAsia" w:ascii="宋体" w:hAnsi="宋体" w:eastAsia="宋体" w:cs="宋体"/>
          <w:b/>
          <w:sz w:val="28"/>
          <w:szCs w:val="28"/>
        </w:rPr>
      </w:pPr>
      <w:r>
        <w:rPr>
          <w:rFonts w:hint="eastAsia" w:ascii="宋体" w:hAnsi="宋体" w:cs="宋体"/>
          <w:sz w:val="24"/>
        </w:rPr>
        <w:br w:type="page"/>
      </w:r>
    </w:p>
    <w:p>
      <w:pPr>
        <w:spacing w:line="360" w:lineRule="auto"/>
        <w:outlineLvl w:val="1"/>
        <w:rPr>
          <w:rFonts w:hint="eastAsia" w:ascii="宋体" w:hAnsi="宋体" w:cs="宋体" w:eastAsiaTheme="minorEastAsia"/>
          <w:b/>
          <w:bCs/>
          <w:sz w:val="44"/>
          <w:lang w:eastAsia="zh-CN"/>
        </w:rPr>
      </w:pPr>
      <w:r>
        <w:rPr>
          <w:rFonts w:hint="eastAsia" w:ascii="宋体" w:hAnsi="宋体" w:cs="宋体"/>
          <w:b/>
          <w:sz w:val="28"/>
          <w:szCs w:val="28"/>
        </w:rPr>
        <w:t>十</w:t>
      </w:r>
      <w:r>
        <w:rPr>
          <w:rFonts w:hint="eastAsia" w:ascii="宋体" w:hAnsi="宋体" w:cs="宋体"/>
          <w:b/>
          <w:sz w:val="28"/>
          <w:szCs w:val="28"/>
          <w:lang w:val="en-US" w:eastAsia="zh-CN"/>
        </w:rPr>
        <w:t>三</w:t>
      </w:r>
      <w:r>
        <w:rPr>
          <w:rFonts w:hint="eastAsia" w:ascii="宋体" w:hAnsi="宋体" w:cs="宋体"/>
          <w:b/>
          <w:sz w:val="28"/>
          <w:szCs w:val="28"/>
        </w:rPr>
        <w:t>、其他证明材料</w:t>
      </w:r>
      <w:r>
        <w:rPr>
          <w:rFonts w:hint="eastAsia" w:ascii="宋体" w:hAnsi="宋体" w:cs="宋体"/>
          <w:b/>
          <w:sz w:val="28"/>
          <w:szCs w:val="28"/>
          <w:lang w:eastAsia="zh-CN"/>
        </w:rPr>
        <w:t>（</w:t>
      </w:r>
      <w:r>
        <w:rPr>
          <w:rFonts w:hint="eastAsia" w:ascii="宋体" w:hAnsi="宋体" w:cs="宋体"/>
          <w:b/>
          <w:sz w:val="28"/>
          <w:szCs w:val="28"/>
          <w:lang w:val="en-US" w:eastAsia="zh-CN"/>
        </w:rPr>
        <w:t>格式自拟</w:t>
      </w:r>
      <w:r>
        <w:rPr>
          <w:rFonts w:hint="eastAsia" w:ascii="宋体" w:hAnsi="宋体" w:cs="宋体"/>
          <w:b/>
          <w:sz w:val="28"/>
          <w:szCs w:val="28"/>
          <w:lang w:eastAsia="zh-CN"/>
        </w:rPr>
        <w:t>）</w:t>
      </w:r>
    </w:p>
    <w:p>
      <w:pPr>
        <w:spacing w:line="360" w:lineRule="auto"/>
        <w:jc w:val="both"/>
        <w:outlineLvl w:val="9"/>
        <w:rPr>
          <w:rFonts w:ascii="宋体" w:hAnsi="宋体" w:cs="仿宋_GB2312"/>
          <w:color w:val="auto"/>
          <w:kern w:val="0"/>
          <w:sz w:val="32"/>
          <w:szCs w:val="28"/>
        </w:rPr>
      </w:pPr>
    </w:p>
    <w:sectPr>
      <w:type w:val="nextColumn"/>
      <w:pgSz w:w="11906" w:h="16838"/>
      <w:pgMar w:top="1191" w:right="1588" w:bottom="1191"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0"/>
      </w:pBdr>
      <w:tabs>
        <w:tab w:val="clear" w:pos="4153"/>
        <w:tab w:val="clear" w:pos="8306"/>
      </w:tabs>
    </w:pPr>
    <w:r>
      <w:rPr>
        <w:rFonts w:hint="eastAsia"/>
        <w:i w:val="0"/>
        <w:iCs/>
        <w:lang w:val="en-US" w:eastAsia="zh-CN"/>
      </w:rPr>
      <w:t xml:space="preserve">陕西德信招标有限公司               </w:t>
    </w:r>
    <w:r>
      <w:rPr>
        <w:rFonts w:hint="eastAsia" w:ascii="宋体" w:hAnsi="宋体" w:cs="宋体"/>
        <w:bCs/>
        <w:color w:val="auto"/>
        <w:szCs w:val="21"/>
      </w:rPr>
      <w:t>地址</w:t>
    </w:r>
    <w:r>
      <w:rPr>
        <w:rFonts w:hint="eastAsia" w:ascii="宋体" w:hAnsi="宋体" w:cs="宋体"/>
        <w:bCs/>
        <w:color w:val="auto"/>
        <w:szCs w:val="21"/>
        <w:lang w:eastAsia="zh-CN"/>
      </w:rPr>
      <w:t>：</w:t>
    </w:r>
    <w:r>
      <w:rPr>
        <w:rFonts w:hint="eastAsia" w:ascii="宋体" w:hAnsi="宋体" w:cs="宋体"/>
        <w:bCs/>
        <w:color w:val="auto"/>
        <w:szCs w:val="21"/>
      </w:rPr>
      <w:t>陕西省西安市雁塔区二环南路东段凯森盛世一号A座5层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3"/>
    </w:pP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r>
      <w:rPr>
        <w:sz w:val="21"/>
      </w:rPr>
      <mc:AlternateContent>
        <mc:Choice Requires="wps">
          <w:drawing>
            <wp:anchor distT="0" distB="0" distL="114300" distR="114300" simplePos="0" relativeHeight="251659264" behindDoc="0" locked="0" layoutInCell="1" allowOverlap="1">
              <wp:simplePos x="0" y="0"/>
              <wp:positionH relativeFrom="margin">
                <wp:posOffset>2550795</wp:posOffset>
              </wp:positionH>
              <wp:positionV relativeFrom="paragraph">
                <wp:posOffset>276225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85pt;margin-top:21.75pt;height:144pt;width:144pt;mso-position-horizontal-relative:margin;mso-wrap-style:none;z-index:251659264;mso-width-relative:page;mso-height-relative:page;" filled="f" stroked="f" coordsize="21600,21600" o:gfxdata="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qqSp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Style w:val="23"/>
    </w:pPr>
    <w:r>
      <w:rPr>
        <w:rFonts w:hint="eastAsia" w:ascii="宋体" w:hAnsi="宋体" w:eastAsia="宋体" w:cs="宋体"/>
        <w:b w:val="0"/>
        <w:bCs/>
        <w:i w:val="0"/>
        <w:iCs/>
        <w:sz w:val="18"/>
        <w:szCs w:val="18"/>
        <w:lang w:val="en-US"/>
      </w:rPr>
      <w:t>陕西德信招标有限公司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3"/>
      <w:ind w:right="360" w:firstLine="1260" w:firstLineChars="7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安康市中心血站2022年度一次性血液成分分离管路及控制计数器采购项目</w:t>
    </w:r>
    <w:r>
      <w:rPr>
        <w:rFonts w:hint="eastAsia" w:ascii="宋体" w:hAnsi="宋体" w:eastAsia="宋体" w:cs="宋体"/>
        <w:i w:val="0"/>
        <w:iCs/>
        <w:sz w:val="18"/>
        <w:szCs w:val="18"/>
        <w:lang w:val="en-US"/>
      </w:rPr>
      <w:t xml:space="preserve"> </w:t>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DXZB-2022-0972</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安康市中心血站2022年度一次性血液成分分离管路及控制计数器采购项目</w:t>
    </w:r>
    <w:r>
      <w:rPr>
        <w:rFonts w:hint="eastAsia" w:ascii="宋体" w:hAnsi="宋体" w:eastAsia="宋体" w:cs="宋体"/>
        <w:i w:val="0"/>
        <w:iCs/>
        <w:sz w:val="18"/>
        <w:szCs w:val="18"/>
        <w:lang w:val="en-US"/>
      </w:rPr>
      <w:t xml:space="preserve"> </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DXZB-2022-0972</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4"/>
      <w:pBdr>
        <w:bottom w:val="thickThinSmallGap" w:color="622423" w:sz="24" w:space="1"/>
      </w:pBdr>
      <w:jc w:val="both"/>
      <w:rPr>
        <w:rFonts w:ascii="Cambria" w:hAnsi="Cambria"/>
        <w:sz w:val="2"/>
        <w:szCs w:val="32"/>
      </w:rPr>
    </w:pPr>
  </w:p>
  <w:p>
    <w:pPr>
      <w:pStyle w:val="24"/>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391C0"/>
    <w:multiLevelType w:val="singleLevel"/>
    <w:tmpl w:val="DF2391C0"/>
    <w:lvl w:ilvl="0" w:tentative="0">
      <w:start w:val="1"/>
      <w:numFmt w:val="decimal"/>
      <w:lvlText w:val="(%1)"/>
      <w:lvlJc w:val="left"/>
      <w:pPr>
        <w:ind w:left="425" w:hanging="425"/>
      </w:pPr>
      <w:rPr>
        <w:rFonts w:hint="default"/>
      </w:rPr>
    </w:lvl>
  </w:abstractNum>
  <w:abstractNum w:abstractNumId="1">
    <w:nsid w:val="1EB17825"/>
    <w:multiLevelType w:val="singleLevel"/>
    <w:tmpl w:val="1EB17825"/>
    <w:lvl w:ilvl="0" w:tentative="0">
      <w:start w:val="3"/>
      <w:numFmt w:val="chineseCounting"/>
      <w:suff w:val="space"/>
      <w:lvlText w:val="第%1章"/>
      <w:lvlJc w:val="left"/>
      <w:rPr>
        <w:rFonts w:hint="eastAsia"/>
      </w:rPr>
    </w:lvl>
  </w:abstractNum>
  <w:abstractNum w:abstractNumId="2">
    <w:nsid w:val="395C4186"/>
    <w:multiLevelType w:val="multilevel"/>
    <w:tmpl w:val="395C4186"/>
    <w:lvl w:ilvl="0" w:tentative="0">
      <w:start w:val="1"/>
      <w:numFmt w:val="decimal"/>
      <w:lvlText w:val="%1."/>
      <w:lvlJc w:val="left"/>
      <w:pPr>
        <w:tabs>
          <w:tab w:val="left" w:pos="420"/>
        </w:tabs>
        <w:ind w:left="660" w:hanging="420"/>
      </w:pPr>
    </w:lvl>
    <w:lvl w:ilvl="1" w:tentative="0">
      <w:start w:val="1"/>
      <w:numFmt w:val="lowerLetter"/>
      <w:lvlText w:val="%2)"/>
      <w:lvlJc w:val="left"/>
      <w:pPr>
        <w:tabs>
          <w:tab w:val="left" w:pos="840"/>
        </w:tabs>
        <w:ind w:left="1080" w:hanging="420"/>
      </w:pPr>
    </w:lvl>
    <w:lvl w:ilvl="2" w:tentative="0">
      <w:start w:val="1"/>
      <w:numFmt w:val="lowerRoman"/>
      <w:lvlText w:val="%3."/>
      <w:lvlJc w:val="right"/>
      <w:pPr>
        <w:tabs>
          <w:tab w:val="left" w:pos="1260"/>
        </w:tabs>
        <w:ind w:left="1500" w:hanging="420"/>
      </w:pPr>
    </w:lvl>
    <w:lvl w:ilvl="3" w:tentative="0">
      <w:start w:val="1"/>
      <w:numFmt w:val="decimal"/>
      <w:lvlText w:val="%4."/>
      <w:lvlJc w:val="left"/>
      <w:pPr>
        <w:tabs>
          <w:tab w:val="left" w:pos="1680"/>
        </w:tabs>
        <w:ind w:left="1920" w:hanging="420"/>
      </w:pPr>
    </w:lvl>
    <w:lvl w:ilvl="4" w:tentative="0">
      <w:start w:val="1"/>
      <w:numFmt w:val="lowerLetter"/>
      <w:lvlText w:val="%5)"/>
      <w:lvlJc w:val="left"/>
      <w:pPr>
        <w:tabs>
          <w:tab w:val="left" w:pos="2100"/>
        </w:tabs>
        <w:ind w:left="2340" w:hanging="420"/>
      </w:pPr>
    </w:lvl>
    <w:lvl w:ilvl="5" w:tentative="0">
      <w:start w:val="1"/>
      <w:numFmt w:val="lowerRoman"/>
      <w:lvlText w:val="%6."/>
      <w:lvlJc w:val="right"/>
      <w:pPr>
        <w:tabs>
          <w:tab w:val="left" w:pos="2520"/>
        </w:tabs>
        <w:ind w:left="2760" w:hanging="420"/>
      </w:pPr>
    </w:lvl>
    <w:lvl w:ilvl="6" w:tentative="0">
      <w:start w:val="1"/>
      <w:numFmt w:val="decimal"/>
      <w:lvlText w:val="%7."/>
      <w:lvlJc w:val="left"/>
      <w:pPr>
        <w:tabs>
          <w:tab w:val="left" w:pos="2940"/>
        </w:tabs>
        <w:ind w:left="3180" w:hanging="420"/>
      </w:pPr>
    </w:lvl>
    <w:lvl w:ilvl="7" w:tentative="0">
      <w:start w:val="1"/>
      <w:numFmt w:val="lowerLetter"/>
      <w:lvlText w:val="%8)"/>
      <w:lvlJc w:val="left"/>
      <w:pPr>
        <w:tabs>
          <w:tab w:val="left" w:pos="3360"/>
        </w:tabs>
        <w:ind w:left="3600" w:hanging="420"/>
      </w:pPr>
    </w:lvl>
    <w:lvl w:ilvl="8" w:tentative="0">
      <w:start w:val="1"/>
      <w:numFmt w:val="lowerRoman"/>
      <w:lvlText w:val="%9."/>
      <w:lvlJc w:val="right"/>
      <w:pPr>
        <w:tabs>
          <w:tab w:val="left" w:pos="3780"/>
        </w:tabs>
        <w:ind w:left="4020" w:hanging="420"/>
      </w:pPr>
    </w:lvl>
  </w:abstractNum>
  <w:abstractNum w:abstractNumId="3">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0BB1D1A"/>
    <w:multiLevelType w:val="singleLevel"/>
    <w:tmpl w:val="40BB1D1A"/>
    <w:lvl w:ilvl="0" w:tentative="0">
      <w:start w:val="1"/>
      <w:numFmt w:val="chineseCounting"/>
      <w:suff w:val="nothing"/>
      <w:lvlText w:val="（%1）"/>
      <w:lvlJc w:val="left"/>
      <w:pPr>
        <w:ind w:left="0" w:firstLine="420"/>
      </w:pPr>
      <w:rPr>
        <w:rFonts w:hint="eastAsia"/>
      </w:rPr>
    </w:lvl>
  </w:abstractNum>
  <w:abstractNum w:abstractNumId="5">
    <w:nsid w:val="5C5185E4"/>
    <w:multiLevelType w:val="singleLevel"/>
    <w:tmpl w:val="5C5185E4"/>
    <w:lvl w:ilvl="0" w:tentative="0">
      <w:start w:val="4"/>
      <w:numFmt w:val="chineseCounting"/>
      <w:suff w:val="nothing"/>
      <w:lvlText w:val="%1、"/>
      <w:lvlJc w:val="left"/>
      <w:rPr>
        <w:rFonts w:hint="eastAsia"/>
      </w:rPr>
    </w:lvl>
  </w:abstractNum>
  <w:abstractNum w:abstractNumId="6">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MmZkMDI4YzZmMjM2NWRlYzQyN2E1MzliNjE1ZmEifQ=="/>
  </w:docVars>
  <w:rsids>
    <w:rsidRoot w:val="00920653"/>
    <w:rsid w:val="000013B9"/>
    <w:rsid w:val="00004157"/>
    <w:rsid w:val="0003116D"/>
    <w:rsid w:val="00036E9D"/>
    <w:rsid w:val="0003730D"/>
    <w:rsid w:val="00044AFE"/>
    <w:rsid w:val="00044E76"/>
    <w:rsid w:val="000469D7"/>
    <w:rsid w:val="00051366"/>
    <w:rsid w:val="00053B31"/>
    <w:rsid w:val="00080143"/>
    <w:rsid w:val="00094A9E"/>
    <w:rsid w:val="000A1253"/>
    <w:rsid w:val="000B2407"/>
    <w:rsid w:val="000B6484"/>
    <w:rsid w:val="000C4436"/>
    <w:rsid w:val="000D509E"/>
    <w:rsid w:val="000D733E"/>
    <w:rsid w:val="000E0659"/>
    <w:rsid w:val="000E079A"/>
    <w:rsid w:val="000F2BE5"/>
    <w:rsid w:val="000F6488"/>
    <w:rsid w:val="000F7257"/>
    <w:rsid w:val="00100C7F"/>
    <w:rsid w:val="00106D7F"/>
    <w:rsid w:val="00120E61"/>
    <w:rsid w:val="00124420"/>
    <w:rsid w:val="00124B5A"/>
    <w:rsid w:val="00125022"/>
    <w:rsid w:val="0012758D"/>
    <w:rsid w:val="00133E68"/>
    <w:rsid w:val="001356B8"/>
    <w:rsid w:val="00141F8A"/>
    <w:rsid w:val="00145D8F"/>
    <w:rsid w:val="00146D2B"/>
    <w:rsid w:val="00153DA2"/>
    <w:rsid w:val="00165952"/>
    <w:rsid w:val="001821CA"/>
    <w:rsid w:val="001918EE"/>
    <w:rsid w:val="001A3C9C"/>
    <w:rsid w:val="001A4A52"/>
    <w:rsid w:val="001B5EB5"/>
    <w:rsid w:val="001C62D6"/>
    <w:rsid w:val="001D2BAC"/>
    <w:rsid w:val="001D4267"/>
    <w:rsid w:val="001E08A0"/>
    <w:rsid w:val="001E1720"/>
    <w:rsid w:val="001F0093"/>
    <w:rsid w:val="001F3DFF"/>
    <w:rsid w:val="001F475C"/>
    <w:rsid w:val="00204812"/>
    <w:rsid w:val="0021460F"/>
    <w:rsid w:val="002163A9"/>
    <w:rsid w:val="00217D7A"/>
    <w:rsid w:val="00220118"/>
    <w:rsid w:val="00223E68"/>
    <w:rsid w:val="00227ADF"/>
    <w:rsid w:val="0023179B"/>
    <w:rsid w:val="002346C2"/>
    <w:rsid w:val="00236B89"/>
    <w:rsid w:val="00246DBD"/>
    <w:rsid w:val="00270828"/>
    <w:rsid w:val="00270B1C"/>
    <w:rsid w:val="00275E86"/>
    <w:rsid w:val="0028354F"/>
    <w:rsid w:val="002A18B1"/>
    <w:rsid w:val="002A1DB8"/>
    <w:rsid w:val="002A74C2"/>
    <w:rsid w:val="002C4C49"/>
    <w:rsid w:val="002D4E53"/>
    <w:rsid w:val="002E4D6E"/>
    <w:rsid w:val="003275B9"/>
    <w:rsid w:val="00330DE2"/>
    <w:rsid w:val="00336D5E"/>
    <w:rsid w:val="00342912"/>
    <w:rsid w:val="0035761C"/>
    <w:rsid w:val="00361E75"/>
    <w:rsid w:val="00364A07"/>
    <w:rsid w:val="00375929"/>
    <w:rsid w:val="0037691F"/>
    <w:rsid w:val="003B26B7"/>
    <w:rsid w:val="003B5B11"/>
    <w:rsid w:val="003D7152"/>
    <w:rsid w:val="003D723B"/>
    <w:rsid w:val="003E1364"/>
    <w:rsid w:val="003E3936"/>
    <w:rsid w:val="0040019D"/>
    <w:rsid w:val="00411E5E"/>
    <w:rsid w:val="00416146"/>
    <w:rsid w:val="00420571"/>
    <w:rsid w:val="004263CB"/>
    <w:rsid w:val="004268EB"/>
    <w:rsid w:val="00426AB9"/>
    <w:rsid w:val="004344F8"/>
    <w:rsid w:val="004376BA"/>
    <w:rsid w:val="00447AD7"/>
    <w:rsid w:val="00450DBD"/>
    <w:rsid w:val="004530E5"/>
    <w:rsid w:val="00460C90"/>
    <w:rsid w:val="004676F9"/>
    <w:rsid w:val="00474D7F"/>
    <w:rsid w:val="00476DC3"/>
    <w:rsid w:val="00487C8D"/>
    <w:rsid w:val="004B35D8"/>
    <w:rsid w:val="004B48BD"/>
    <w:rsid w:val="004C30EB"/>
    <w:rsid w:val="004D0E69"/>
    <w:rsid w:val="004D3505"/>
    <w:rsid w:val="004D3C36"/>
    <w:rsid w:val="004E06AB"/>
    <w:rsid w:val="004E3887"/>
    <w:rsid w:val="004F3D35"/>
    <w:rsid w:val="004F5607"/>
    <w:rsid w:val="004F6A6E"/>
    <w:rsid w:val="005037F1"/>
    <w:rsid w:val="00510B77"/>
    <w:rsid w:val="00510C78"/>
    <w:rsid w:val="00524AEE"/>
    <w:rsid w:val="00531315"/>
    <w:rsid w:val="00531D5D"/>
    <w:rsid w:val="00534546"/>
    <w:rsid w:val="00535E0E"/>
    <w:rsid w:val="00544035"/>
    <w:rsid w:val="00544E42"/>
    <w:rsid w:val="00544F25"/>
    <w:rsid w:val="00552451"/>
    <w:rsid w:val="00562741"/>
    <w:rsid w:val="00571C52"/>
    <w:rsid w:val="00574685"/>
    <w:rsid w:val="005757EE"/>
    <w:rsid w:val="005817C4"/>
    <w:rsid w:val="005A19EE"/>
    <w:rsid w:val="005A450D"/>
    <w:rsid w:val="005C0E0B"/>
    <w:rsid w:val="005C359D"/>
    <w:rsid w:val="005D2940"/>
    <w:rsid w:val="005D7C38"/>
    <w:rsid w:val="005F0409"/>
    <w:rsid w:val="006015C2"/>
    <w:rsid w:val="00602B19"/>
    <w:rsid w:val="00605EC5"/>
    <w:rsid w:val="00607990"/>
    <w:rsid w:val="0061739A"/>
    <w:rsid w:val="00617E1F"/>
    <w:rsid w:val="006218FE"/>
    <w:rsid w:val="00634E54"/>
    <w:rsid w:val="00634FAE"/>
    <w:rsid w:val="006354FB"/>
    <w:rsid w:val="0064389C"/>
    <w:rsid w:val="00657A70"/>
    <w:rsid w:val="00657B5F"/>
    <w:rsid w:val="006652EF"/>
    <w:rsid w:val="00671068"/>
    <w:rsid w:val="0068014D"/>
    <w:rsid w:val="006B0417"/>
    <w:rsid w:val="006B4470"/>
    <w:rsid w:val="006B5BF9"/>
    <w:rsid w:val="006D0FFF"/>
    <w:rsid w:val="006E094B"/>
    <w:rsid w:val="006E6BF9"/>
    <w:rsid w:val="00703F41"/>
    <w:rsid w:val="00715669"/>
    <w:rsid w:val="00724E32"/>
    <w:rsid w:val="007260BA"/>
    <w:rsid w:val="00727513"/>
    <w:rsid w:val="00731CDB"/>
    <w:rsid w:val="00734F52"/>
    <w:rsid w:val="007507C8"/>
    <w:rsid w:val="00751C25"/>
    <w:rsid w:val="00781E16"/>
    <w:rsid w:val="00792FAD"/>
    <w:rsid w:val="007A5EC7"/>
    <w:rsid w:val="007A6456"/>
    <w:rsid w:val="007B09BC"/>
    <w:rsid w:val="007C4361"/>
    <w:rsid w:val="007C63FC"/>
    <w:rsid w:val="007D14DE"/>
    <w:rsid w:val="007D553D"/>
    <w:rsid w:val="007E5643"/>
    <w:rsid w:val="007F1D5A"/>
    <w:rsid w:val="007F3364"/>
    <w:rsid w:val="00802523"/>
    <w:rsid w:val="00802F56"/>
    <w:rsid w:val="00806399"/>
    <w:rsid w:val="00810354"/>
    <w:rsid w:val="00850B8A"/>
    <w:rsid w:val="008605CC"/>
    <w:rsid w:val="00863A6F"/>
    <w:rsid w:val="00865B2C"/>
    <w:rsid w:val="00870B3A"/>
    <w:rsid w:val="00874853"/>
    <w:rsid w:val="00874B6E"/>
    <w:rsid w:val="00884370"/>
    <w:rsid w:val="0088741D"/>
    <w:rsid w:val="008952DE"/>
    <w:rsid w:val="008953F8"/>
    <w:rsid w:val="00897701"/>
    <w:rsid w:val="008B21B3"/>
    <w:rsid w:val="008B26D5"/>
    <w:rsid w:val="008C1783"/>
    <w:rsid w:val="008C6D28"/>
    <w:rsid w:val="008E3C27"/>
    <w:rsid w:val="008E6CC6"/>
    <w:rsid w:val="009062B3"/>
    <w:rsid w:val="00906D65"/>
    <w:rsid w:val="00917200"/>
    <w:rsid w:val="00920653"/>
    <w:rsid w:val="009215B1"/>
    <w:rsid w:val="00925C33"/>
    <w:rsid w:val="00931AD7"/>
    <w:rsid w:val="00934E6D"/>
    <w:rsid w:val="00942290"/>
    <w:rsid w:val="00944A56"/>
    <w:rsid w:val="0095048F"/>
    <w:rsid w:val="00957924"/>
    <w:rsid w:val="00961B70"/>
    <w:rsid w:val="00970371"/>
    <w:rsid w:val="00977C62"/>
    <w:rsid w:val="00982159"/>
    <w:rsid w:val="00983412"/>
    <w:rsid w:val="00990A48"/>
    <w:rsid w:val="009960D5"/>
    <w:rsid w:val="0099613D"/>
    <w:rsid w:val="009A1F81"/>
    <w:rsid w:val="009A34F6"/>
    <w:rsid w:val="009B6E94"/>
    <w:rsid w:val="009E00A3"/>
    <w:rsid w:val="009E4B9B"/>
    <w:rsid w:val="009F0798"/>
    <w:rsid w:val="009F5407"/>
    <w:rsid w:val="00A03AEB"/>
    <w:rsid w:val="00A235BE"/>
    <w:rsid w:val="00A405EE"/>
    <w:rsid w:val="00A60840"/>
    <w:rsid w:val="00A62A43"/>
    <w:rsid w:val="00A7372C"/>
    <w:rsid w:val="00A92CE9"/>
    <w:rsid w:val="00AB0C95"/>
    <w:rsid w:val="00AB45C3"/>
    <w:rsid w:val="00AB7919"/>
    <w:rsid w:val="00AC59FA"/>
    <w:rsid w:val="00AC7528"/>
    <w:rsid w:val="00AD2612"/>
    <w:rsid w:val="00AE26A1"/>
    <w:rsid w:val="00AE3CA4"/>
    <w:rsid w:val="00AE3CE3"/>
    <w:rsid w:val="00AF072C"/>
    <w:rsid w:val="00AF3C55"/>
    <w:rsid w:val="00B101E6"/>
    <w:rsid w:val="00B113AF"/>
    <w:rsid w:val="00B176B2"/>
    <w:rsid w:val="00B316B7"/>
    <w:rsid w:val="00B36331"/>
    <w:rsid w:val="00B50C24"/>
    <w:rsid w:val="00B526C6"/>
    <w:rsid w:val="00B55047"/>
    <w:rsid w:val="00B66962"/>
    <w:rsid w:val="00B710FF"/>
    <w:rsid w:val="00B741E5"/>
    <w:rsid w:val="00B77CFA"/>
    <w:rsid w:val="00B80070"/>
    <w:rsid w:val="00B9228C"/>
    <w:rsid w:val="00B94FC3"/>
    <w:rsid w:val="00B97945"/>
    <w:rsid w:val="00BB1973"/>
    <w:rsid w:val="00BB3D46"/>
    <w:rsid w:val="00BB4D86"/>
    <w:rsid w:val="00BB78F7"/>
    <w:rsid w:val="00BC1D9E"/>
    <w:rsid w:val="00BC4C38"/>
    <w:rsid w:val="00BC5480"/>
    <w:rsid w:val="00BE6F82"/>
    <w:rsid w:val="00BF2D46"/>
    <w:rsid w:val="00C01179"/>
    <w:rsid w:val="00C039FE"/>
    <w:rsid w:val="00C0419D"/>
    <w:rsid w:val="00C05F7B"/>
    <w:rsid w:val="00C14D14"/>
    <w:rsid w:val="00C23964"/>
    <w:rsid w:val="00C330C2"/>
    <w:rsid w:val="00C332DB"/>
    <w:rsid w:val="00C34482"/>
    <w:rsid w:val="00C354C8"/>
    <w:rsid w:val="00C43480"/>
    <w:rsid w:val="00C506E8"/>
    <w:rsid w:val="00C536BE"/>
    <w:rsid w:val="00C56DC1"/>
    <w:rsid w:val="00C6750C"/>
    <w:rsid w:val="00C721A3"/>
    <w:rsid w:val="00C76746"/>
    <w:rsid w:val="00C7751C"/>
    <w:rsid w:val="00C85475"/>
    <w:rsid w:val="00CA0AAA"/>
    <w:rsid w:val="00CB3099"/>
    <w:rsid w:val="00CB368B"/>
    <w:rsid w:val="00CC119E"/>
    <w:rsid w:val="00CE0A32"/>
    <w:rsid w:val="00CE2744"/>
    <w:rsid w:val="00CE685E"/>
    <w:rsid w:val="00CF348B"/>
    <w:rsid w:val="00CF733D"/>
    <w:rsid w:val="00CF7B47"/>
    <w:rsid w:val="00D1723E"/>
    <w:rsid w:val="00D20EDA"/>
    <w:rsid w:val="00D20F1F"/>
    <w:rsid w:val="00D34892"/>
    <w:rsid w:val="00D3793F"/>
    <w:rsid w:val="00D52229"/>
    <w:rsid w:val="00D56D5A"/>
    <w:rsid w:val="00D6021C"/>
    <w:rsid w:val="00D62925"/>
    <w:rsid w:val="00D72BF6"/>
    <w:rsid w:val="00D77346"/>
    <w:rsid w:val="00D826D9"/>
    <w:rsid w:val="00D827ED"/>
    <w:rsid w:val="00D83EF0"/>
    <w:rsid w:val="00D84805"/>
    <w:rsid w:val="00D851F5"/>
    <w:rsid w:val="00D92EA3"/>
    <w:rsid w:val="00DC2C97"/>
    <w:rsid w:val="00DC364D"/>
    <w:rsid w:val="00DC59B9"/>
    <w:rsid w:val="00DD08DE"/>
    <w:rsid w:val="00DD42DE"/>
    <w:rsid w:val="00DE1A16"/>
    <w:rsid w:val="00DE5828"/>
    <w:rsid w:val="00E03CF8"/>
    <w:rsid w:val="00E100E5"/>
    <w:rsid w:val="00E118BC"/>
    <w:rsid w:val="00E2405F"/>
    <w:rsid w:val="00E26B5E"/>
    <w:rsid w:val="00E306E7"/>
    <w:rsid w:val="00E33D28"/>
    <w:rsid w:val="00E62B33"/>
    <w:rsid w:val="00E6589C"/>
    <w:rsid w:val="00E701C9"/>
    <w:rsid w:val="00E75BFE"/>
    <w:rsid w:val="00E9271A"/>
    <w:rsid w:val="00EA2715"/>
    <w:rsid w:val="00EA3919"/>
    <w:rsid w:val="00EB1F00"/>
    <w:rsid w:val="00EC0A95"/>
    <w:rsid w:val="00EC3BEA"/>
    <w:rsid w:val="00ED5E31"/>
    <w:rsid w:val="00ED6E15"/>
    <w:rsid w:val="00EE029D"/>
    <w:rsid w:val="00EE0C79"/>
    <w:rsid w:val="00EE2FAC"/>
    <w:rsid w:val="00EE49E0"/>
    <w:rsid w:val="00EE68C6"/>
    <w:rsid w:val="00EE764C"/>
    <w:rsid w:val="00EF6356"/>
    <w:rsid w:val="00F018CB"/>
    <w:rsid w:val="00F03852"/>
    <w:rsid w:val="00F03ACC"/>
    <w:rsid w:val="00F06B33"/>
    <w:rsid w:val="00F0731F"/>
    <w:rsid w:val="00F12FF1"/>
    <w:rsid w:val="00F1352F"/>
    <w:rsid w:val="00F169A7"/>
    <w:rsid w:val="00F212B5"/>
    <w:rsid w:val="00F22AD3"/>
    <w:rsid w:val="00F2332C"/>
    <w:rsid w:val="00F25896"/>
    <w:rsid w:val="00F27BBD"/>
    <w:rsid w:val="00F3099C"/>
    <w:rsid w:val="00F350A4"/>
    <w:rsid w:val="00F50018"/>
    <w:rsid w:val="00F51C14"/>
    <w:rsid w:val="00F578E1"/>
    <w:rsid w:val="00F6021E"/>
    <w:rsid w:val="00F64B5D"/>
    <w:rsid w:val="00F70497"/>
    <w:rsid w:val="00F7256C"/>
    <w:rsid w:val="00F72B7E"/>
    <w:rsid w:val="00F732DD"/>
    <w:rsid w:val="00F8188D"/>
    <w:rsid w:val="00F935EA"/>
    <w:rsid w:val="00FA33A4"/>
    <w:rsid w:val="00FA515E"/>
    <w:rsid w:val="00FC35CB"/>
    <w:rsid w:val="00FD1C0A"/>
    <w:rsid w:val="00FD1EF9"/>
    <w:rsid w:val="00FD576D"/>
    <w:rsid w:val="00FD70A3"/>
    <w:rsid w:val="00FE3EE7"/>
    <w:rsid w:val="012515C4"/>
    <w:rsid w:val="01964270"/>
    <w:rsid w:val="01D4696E"/>
    <w:rsid w:val="02124ED6"/>
    <w:rsid w:val="023B56E4"/>
    <w:rsid w:val="02551A35"/>
    <w:rsid w:val="02831474"/>
    <w:rsid w:val="02B05391"/>
    <w:rsid w:val="02DA1F3A"/>
    <w:rsid w:val="02DC5F35"/>
    <w:rsid w:val="02F53218"/>
    <w:rsid w:val="02FD7EBE"/>
    <w:rsid w:val="030F6088"/>
    <w:rsid w:val="03200295"/>
    <w:rsid w:val="036B719B"/>
    <w:rsid w:val="03AE0380"/>
    <w:rsid w:val="03CB5685"/>
    <w:rsid w:val="03CE2260"/>
    <w:rsid w:val="03D44582"/>
    <w:rsid w:val="03EE4828"/>
    <w:rsid w:val="03FE3971"/>
    <w:rsid w:val="047D2FC7"/>
    <w:rsid w:val="04881E2B"/>
    <w:rsid w:val="048C73EB"/>
    <w:rsid w:val="04A3117E"/>
    <w:rsid w:val="05DC421B"/>
    <w:rsid w:val="05F3105B"/>
    <w:rsid w:val="060D13D6"/>
    <w:rsid w:val="0639341C"/>
    <w:rsid w:val="06C20624"/>
    <w:rsid w:val="07372051"/>
    <w:rsid w:val="07797F74"/>
    <w:rsid w:val="079E197D"/>
    <w:rsid w:val="07B34256"/>
    <w:rsid w:val="07BD766A"/>
    <w:rsid w:val="07BE1317"/>
    <w:rsid w:val="07D06B35"/>
    <w:rsid w:val="080E57E0"/>
    <w:rsid w:val="0854453D"/>
    <w:rsid w:val="085539D6"/>
    <w:rsid w:val="086D4FAE"/>
    <w:rsid w:val="08730B04"/>
    <w:rsid w:val="08893BA6"/>
    <w:rsid w:val="08E6647B"/>
    <w:rsid w:val="08F141CC"/>
    <w:rsid w:val="08F17CD9"/>
    <w:rsid w:val="08F17FDE"/>
    <w:rsid w:val="09046370"/>
    <w:rsid w:val="091C14C1"/>
    <w:rsid w:val="093A15A5"/>
    <w:rsid w:val="09451F78"/>
    <w:rsid w:val="09E90DE6"/>
    <w:rsid w:val="09FB7366"/>
    <w:rsid w:val="0A242E39"/>
    <w:rsid w:val="0A3C34DB"/>
    <w:rsid w:val="0A636CB9"/>
    <w:rsid w:val="0A690774"/>
    <w:rsid w:val="0A7C3E22"/>
    <w:rsid w:val="0A856C30"/>
    <w:rsid w:val="0A9926DB"/>
    <w:rsid w:val="0B206800"/>
    <w:rsid w:val="0B2C354F"/>
    <w:rsid w:val="0B2E5445"/>
    <w:rsid w:val="0B3D5813"/>
    <w:rsid w:val="0BAF189C"/>
    <w:rsid w:val="0BCB720C"/>
    <w:rsid w:val="0BDE1FB7"/>
    <w:rsid w:val="0C4768BE"/>
    <w:rsid w:val="0C4D27B2"/>
    <w:rsid w:val="0C59797A"/>
    <w:rsid w:val="0CB11088"/>
    <w:rsid w:val="0CDF2F6F"/>
    <w:rsid w:val="0CF16732"/>
    <w:rsid w:val="0D0E115E"/>
    <w:rsid w:val="0D1349D5"/>
    <w:rsid w:val="0D237D56"/>
    <w:rsid w:val="0D243DFC"/>
    <w:rsid w:val="0D56747A"/>
    <w:rsid w:val="0DC14423"/>
    <w:rsid w:val="0DD759F4"/>
    <w:rsid w:val="0DE51494"/>
    <w:rsid w:val="0E365570"/>
    <w:rsid w:val="0E3C1CFB"/>
    <w:rsid w:val="0E3E56DE"/>
    <w:rsid w:val="0E5232CD"/>
    <w:rsid w:val="0E927782"/>
    <w:rsid w:val="0EB952ED"/>
    <w:rsid w:val="0EB96527"/>
    <w:rsid w:val="0ED9579C"/>
    <w:rsid w:val="0F0A2BFD"/>
    <w:rsid w:val="0F470DE2"/>
    <w:rsid w:val="0F7F4595"/>
    <w:rsid w:val="0F94661B"/>
    <w:rsid w:val="0F9F2542"/>
    <w:rsid w:val="106E7C16"/>
    <w:rsid w:val="10937452"/>
    <w:rsid w:val="10972800"/>
    <w:rsid w:val="10E43ADA"/>
    <w:rsid w:val="10FD409E"/>
    <w:rsid w:val="110D797F"/>
    <w:rsid w:val="11142F3F"/>
    <w:rsid w:val="114F2871"/>
    <w:rsid w:val="115504A9"/>
    <w:rsid w:val="1178129C"/>
    <w:rsid w:val="121C62E4"/>
    <w:rsid w:val="12525763"/>
    <w:rsid w:val="12C0739F"/>
    <w:rsid w:val="12D67557"/>
    <w:rsid w:val="12F13840"/>
    <w:rsid w:val="13C7475D"/>
    <w:rsid w:val="13E13E88"/>
    <w:rsid w:val="14294AD0"/>
    <w:rsid w:val="143A0A8B"/>
    <w:rsid w:val="14620CF3"/>
    <w:rsid w:val="14961992"/>
    <w:rsid w:val="14AD74AF"/>
    <w:rsid w:val="151B6380"/>
    <w:rsid w:val="15303BB2"/>
    <w:rsid w:val="15572927"/>
    <w:rsid w:val="156A35F2"/>
    <w:rsid w:val="15916DD0"/>
    <w:rsid w:val="15C9379B"/>
    <w:rsid w:val="15DD20BC"/>
    <w:rsid w:val="16205F15"/>
    <w:rsid w:val="1643004D"/>
    <w:rsid w:val="166605BE"/>
    <w:rsid w:val="16E42F30"/>
    <w:rsid w:val="17283764"/>
    <w:rsid w:val="173A11A2"/>
    <w:rsid w:val="1776627E"/>
    <w:rsid w:val="17DD454F"/>
    <w:rsid w:val="180038C7"/>
    <w:rsid w:val="180F625D"/>
    <w:rsid w:val="18234C90"/>
    <w:rsid w:val="186407CC"/>
    <w:rsid w:val="18692B94"/>
    <w:rsid w:val="18711D20"/>
    <w:rsid w:val="187622AE"/>
    <w:rsid w:val="18B2278F"/>
    <w:rsid w:val="18E176D7"/>
    <w:rsid w:val="193C06B2"/>
    <w:rsid w:val="196071E6"/>
    <w:rsid w:val="19712C6F"/>
    <w:rsid w:val="19780CC9"/>
    <w:rsid w:val="198509FA"/>
    <w:rsid w:val="19A42382"/>
    <w:rsid w:val="19A76BC3"/>
    <w:rsid w:val="19E00326"/>
    <w:rsid w:val="1A1802E2"/>
    <w:rsid w:val="1A444411"/>
    <w:rsid w:val="1A512FD2"/>
    <w:rsid w:val="1A642D06"/>
    <w:rsid w:val="1A7337E1"/>
    <w:rsid w:val="1AB86BAD"/>
    <w:rsid w:val="1ADE4866"/>
    <w:rsid w:val="1AE839E8"/>
    <w:rsid w:val="1AEF3512"/>
    <w:rsid w:val="1AF06347"/>
    <w:rsid w:val="1B0F16F6"/>
    <w:rsid w:val="1B1A1616"/>
    <w:rsid w:val="1B4D5548"/>
    <w:rsid w:val="1C0D3276"/>
    <w:rsid w:val="1C275F52"/>
    <w:rsid w:val="1C2D1A09"/>
    <w:rsid w:val="1C81267A"/>
    <w:rsid w:val="1C864B8B"/>
    <w:rsid w:val="1C9C390D"/>
    <w:rsid w:val="1CA32272"/>
    <w:rsid w:val="1CA47CD2"/>
    <w:rsid w:val="1CF0718B"/>
    <w:rsid w:val="1D271CC5"/>
    <w:rsid w:val="1D35126A"/>
    <w:rsid w:val="1D4209B0"/>
    <w:rsid w:val="1D456EBF"/>
    <w:rsid w:val="1DBE272D"/>
    <w:rsid w:val="1E3649B9"/>
    <w:rsid w:val="1E3F63E5"/>
    <w:rsid w:val="1E587888"/>
    <w:rsid w:val="1E6C5C71"/>
    <w:rsid w:val="1E73797A"/>
    <w:rsid w:val="1E852B78"/>
    <w:rsid w:val="1EAE6E6B"/>
    <w:rsid w:val="1ED31041"/>
    <w:rsid w:val="1EE44415"/>
    <w:rsid w:val="1EF564D3"/>
    <w:rsid w:val="1F0C74C8"/>
    <w:rsid w:val="1F460C2C"/>
    <w:rsid w:val="1FC855B9"/>
    <w:rsid w:val="1FCF287A"/>
    <w:rsid w:val="1FDB5657"/>
    <w:rsid w:val="202855D1"/>
    <w:rsid w:val="20285683"/>
    <w:rsid w:val="20430059"/>
    <w:rsid w:val="206C6470"/>
    <w:rsid w:val="20905BD6"/>
    <w:rsid w:val="20A963BD"/>
    <w:rsid w:val="20F0246F"/>
    <w:rsid w:val="210E5A5A"/>
    <w:rsid w:val="21107979"/>
    <w:rsid w:val="216F2838"/>
    <w:rsid w:val="21A10BF5"/>
    <w:rsid w:val="21AB4AB8"/>
    <w:rsid w:val="21EA08E0"/>
    <w:rsid w:val="22996415"/>
    <w:rsid w:val="22C57043"/>
    <w:rsid w:val="22CA1B74"/>
    <w:rsid w:val="22E70030"/>
    <w:rsid w:val="22F2233D"/>
    <w:rsid w:val="23061CAC"/>
    <w:rsid w:val="23192FD4"/>
    <w:rsid w:val="23456A20"/>
    <w:rsid w:val="2360354A"/>
    <w:rsid w:val="239D173F"/>
    <w:rsid w:val="23C41C5D"/>
    <w:rsid w:val="23CA23E3"/>
    <w:rsid w:val="23D5257E"/>
    <w:rsid w:val="23F826FD"/>
    <w:rsid w:val="241A36A3"/>
    <w:rsid w:val="2436421B"/>
    <w:rsid w:val="24877967"/>
    <w:rsid w:val="24962F27"/>
    <w:rsid w:val="249D7540"/>
    <w:rsid w:val="24B03147"/>
    <w:rsid w:val="24B14D99"/>
    <w:rsid w:val="24B17B95"/>
    <w:rsid w:val="24FB4266"/>
    <w:rsid w:val="25532038"/>
    <w:rsid w:val="25777D91"/>
    <w:rsid w:val="2582777B"/>
    <w:rsid w:val="25D30D3F"/>
    <w:rsid w:val="25FA2770"/>
    <w:rsid w:val="25FE400E"/>
    <w:rsid w:val="26463D37"/>
    <w:rsid w:val="264B6B28"/>
    <w:rsid w:val="26860BEE"/>
    <w:rsid w:val="26971D6D"/>
    <w:rsid w:val="269E134D"/>
    <w:rsid w:val="26BD0FE0"/>
    <w:rsid w:val="26C87CEB"/>
    <w:rsid w:val="270F224B"/>
    <w:rsid w:val="27427390"/>
    <w:rsid w:val="27630932"/>
    <w:rsid w:val="276D193B"/>
    <w:rsid w:val="27B52002"/>
    <w:rsid w:val="27F656F4"/>
    <w:rsid w:val="27FF406E"/>
    <w:rsid w:val="28090744"/>
    <w:rsid w:val="282542C3"/>
    <w:rsid w:val="283B52D3"/>
    <w:rsid w:val="283F71CD"/>
    <w:rsid w:val="2841235F"/>
    <w:rsid w:val="287D640F"/>
    <w:rsid w:val="28A32C4B"/>
    <w:rsid w:val="28E219C5"/>
    <w:rsid w:val="28E31299"/>
    <w:rsid w:val="28EC18AC"/>
    <w:rsid w:val="28F165C0"/>
    <w:rsid w:val="28F54F1E"/>
    <w:rsid w:val="290A0F1C"/>
    <w:rsid w:val="293F0951"/>
    <w:rsid w:val="297B5277"/>
    <w:rsid w:val="29AC5B2F"/>
    <w:rsid w:val="2A2C282F"/>
    <w:rsid w:val="2A467D32"/>
    <w:rsid w:val="2A69627D"/>
    <w:rsid w:val="2A6D47EC"/>
    <w:rsid w:val="2A9A1FDE"/>
    <w:rsid w:val="2AB32EED"/>
    <w:rsid w:val="2AC0755D"/>
    <w:rsid w:val="2AD0584D"/>
    <w:rsid w:val="2B2605FD"/>
    <w:rsid w:val="2B342ECD"/>
    <w:rsid w:val="2B45448D"/>
    <w:rsid w:val="2B4E4C43"/>
    <w:rsid w:val="2B60606F"/>
    <w:rsid w:val="2B8C5C18"/>
    <w:rsid w:val="2BEE4E0D"/>
    <w:rsid w:val="2C202953"/>
    <w:rsid w:val="2C380FE1"/>
    <w:rsid w:val="2C4C53A8"/>
    <w:rsid w:val="2C602C01"/>
    <w:rsid w:val="2C8E3C12"/>
    <w:rsid w:val="2C915A1B"/>
    <w:rsid w:val="2C916DD5"/>
    <w:rsid w:val="2C9764D6"/>
    <w:rsid w:val="2CBA4490"/>
    <w:rsid w:val="2CDE7173"/>
    <w:rsid w:val="2D662499"/>
    <w:rsid w:val="2D714003"/>
    <w:rsid w:val="2D8E211C"/>
    <w:rsid w:val="2D937732"/>
    <w:rsid w:val="2DB11966"/>
    <w:rsid w:val="2DC01A66"/>
    <w:rsid w:val="2DE55202"/>
    <w:rsid w:val="2DF62B85"/>
    <w:rsid w:val="2E3D7A1A"/>
    <w:rsid w:val="2E437096"/>
    <w:rsid w:val="2E7142E3"/>
    <w:rsid w:val="2E7D72E7"/>
    <w:rsid w:val="2EA563D4"/>
    <w:rsid w:val="2EB7095A"/>
    <w:rsid w:val="2EDC6EB7"/>
    <w:rsid w:val="2EE1486D"/>
    <w:rsid w:val="2F0957D2"/>
    <w:rsid w:val="2F68699C"/>
    <w:rsid w:val="2FAB0637"/>
    <w:rsid w:val="3056759E"/>
    <w:rsid w:val="309F7D54"/>
    <w:rsid w:val="30CB0C80"/>
    <w:rsid w:val="3115013E"/>
    <w:rsid w:val="31322B53"/>
    <w:rsid w:val="31393C08"/>
    <w:rsid w:val="319C46DB"/>
    <w:rsid w:val="322070BA"/>
    <w:rsid w:val="3234700A"/>
    <w:rsid w:val="325571C6"/>
    <w:rsid w:val="325E6300"/>
    <w:rsid w:val="32673E55"/>
    <w:rsid w:val="328C0BF4"/>
    <w:rsid w:val="32D0288E"/>
    <w:rsid w:val="334912A3"/>
    <w:rsid w:val="33764C70"/>
    <w:rsid w:val="337A216E"/>
    <w:rsid w:val="33AC5CCC"/>
    <w:rsid w:val="341E1D1F"/>
    <w:rsid w:val="34280D10"/>
    <w:rsid w:val="34782854"/>
    <w:rsid w:val="348E47AF"/>
    <w:rsid w:val="34BC7667"/>
    <w:rsid w:val="34D1048B"/>
    <w:rsid w:val="35140CE7"/>
    <w:rsid w:val="351D5B33"/>
    <w:rsid w:val="35DB0C53"/>
    <w:rsid w:val="36181DE1"/>
    <w:rsid w:val="364F36F8"/>
    <w:rsid w:val="36686808"/>
    <w:rsid w:val="3688567E"/>
    <w:rsid w:val="36A27EB9"/>
    <w:rsid w:val="36D3030B"/>
    <w:rsid w:val="36DD1167"/>
    <w:rsid w:val="36F9612C"/>
    <w:rsid w:val="372A1BED"/>
    <w:rsid w:val="373F4487"/>
    <w:rsid w:val="37561B97"/>
    <w:rsid w:val="376C3454"/>
    <w:rsid w:val="379F35D5"/>
    <w:rsid w:val="37AF1EC7"/>
    <w:rsid w:val="37CB5D1A"/>
    <w:rsid w:val="38244020"/>
    <w:rsid w:val="382A5184"/>
    <w:rsid w:val="384635F3"/>
    <w:rsid w:val="3849496E"/>
    <w:rsid w:val="38C42E95"/>
    <w:rsid w:val="397B64CA"/>
    <w:rsid w:val="39801EEC"/>
    <w:rsid w:val="398B750F"/>
    <w:rsid w:val="39A57F08"/>
    <w:rsid w:val="39E41AD2"/>
    <w:rsid w:val="3A1510DD"/>
    <w:rsid w:val="3A767390"/>
    <w:rsid w:val="3A7D3071"/>
    <w:rsid w:val="3A837777"/>
    <w:rsid w:val="3A971EE4"/>
    <w:rsid w:val="3A985779"/>
    <w:rsid w:val="3AAA136C"/>
    <w:rsid w:val="3AB8045A"/>
    <w:rsid w:val="3AC10F2F"/>
    <w:rsid w:val="3ACF0D79"/>
    <w:rsid w:val="3AE0388B"/>
    <w:rsid w:val="3B3F2CA7"/>
    <w:rsid w:val="3B4A189F"/>
    <w:rsid w:val="3B6A4635"/>
    <w:rsid w:val="3B7B1805"/>
    <w:rsid w:val="3B9855DC"/>
    <w:rsid w:val="3BAE5737"/>
    <w:rsid w:val="3BB02F64"/>
    <w:rsid w:val="3BB2483F"/>
    <w:rsid w:val="3BC2525D"/>
    <w:rsid w:val="3BD609C6"/>
    <w:rsid w:val="3BDA477E"/>
    <w:rsid w:val="3BEF2A85"/>
    <w:rsid w:val="3C0A0F6D"/>
    <w:rsid w:val="3C3F0A85"/>
    <w:rsid w:val="3C4D10A1"/>
    <w:rsid w:val="3C753E49"/>
    <w:rsid w:val="3CA07775"/>
    <w:rsid w:val="3CA37187"/>
    <w:rsid w:val="3CC03974"/>
    <w:rsid w:val="3CCF005B"/>
    <w:rsid w:val="3CF76949"/>
    <w:rsid w:val="3D0A6F21"/>
    <w:rsid w:val="3D314871"/>
    <w:rsid w:val="3D516CC2"/>
    <w:rsid w:val="3D6E7769"/>
    <w:rsid w:val="3DAD65AB"/>
    <w:rsid w:val="3DCA16EB"/>
    <w:rsid w:val="3DE43692"/>
    <w:rsid w:val="3E1877DF"/>
    <w:rsid w:val="3E486A6B"/>
    <w:rsid w:val="3E6341F0"/>
    <w:rsid w:val="3EE17BD1"/>
    <w:rsid w:val="3EFD662A"/>
    <w:rsid w:val="3F4168C2"/>
    <w:rsid w:val="3F4F1EA9"/>
    <w:rsid w:val="3FE45BCB"/>
    <w:rsid w:val="400022D9"/>
    <w:rsid w:val="401E7BE3"/>
    <w:rsid w:val="402A7DC8"/>
    <w:rsid w:val="40302BBE"/>
    <w:rsid w:val="404B3C67"/>
    <w:rsid w:val="40507DEA"/>
    <w:rsid w:val="4084753A"/>
    <w:rsid w:val="40AF3DB7"/>
    <w:rsid w:val="41344932"/>
    <w:rsid w:val="41867812"/>
    <w:rsid w:val="41974273"/>
    <w:rsid w:val="41ED75E0"/>
    <w:rsid w:val="424B39DB"/>
    <w:rsid w:val="424C73AA"/>
    <w:rsid w:val="42BD23FF"/>
    <w:rsid w:val="42BF647C"/>
    <w:rsid w:val="42D953CC"/>
    <w:rsid w:val="431274B4"/>
    <w:rsid w:val="4319590A"/>
    <w:rsid w:val="433E7E99"/>
    <w:rsid w:val="436015D4"/>
    <w:rsid w:val="43707776"/>
    <w:rsid w:val="438374A9"/>
    <w:rsid w:val="43AA0EDA"/>
    <w:rsid w:val="43C006FD"/>
    <w:rsid w:val="440968AC"/>
    <w:rsid w:val="440B25C0"/>
    <w:rsid w:val="445A2900"/>
    <w:rsid w:val="44625310"/>
    <w:rsid w:val="4472345C"/>
    <w:rsid w:val="44A96F1F"/>
    <w:rsid w:val="44AC11AE"/>
    <w:rsid w:val="44CB55AC"/>
    <w:rsid w:val="44FC0732"/>
    <w:rsid w:val="45050ABD"/>
    <w:rsid w:val="45146A9D"/>
    <w:rsid w:val="45336CAD"/>
    <w:rsid w:val="457E617A"/>
    <w:rsid w:val="45941E41"/>
    <w:rsid w:val="45A37148"/>
    <w:rsid w:val="45A628A5"/>
    <w:rsid w:val="45CA519C"/>
    <w:rsid w:val="4603636C"/>
    <w:rsid w:val="46131479"/>
    <w:rsid w:val="46137ACA"/>
    <w:rsid w:val="46306D7E"/>
    <w:rsid w:val="46684D9C"/>
    <w:rsid w:val="466C5C19"/>
    <w:rsid w:val="46891907"/>
    <w:rsid w:val="468974CC"/>
    <w:rsid w:val="46BC1650"/>
    <w:rsid w:val="46EC5C2D"/>
    <w:rsid w:val="46F50B25"/>
    <w:rsid w:val="47021D0D"/>
    <w:rsid w:val="47320ABD"/>
    <w:rsid w:val="47554C88"/>
    <w:rsid w:val="478B1917"/>
    <w:rsid w:val="479A57AA"/>
    <w:rsid w:val="47CF3E67"/>
    <w:rsid w:val="47E971E7"/>
    <w:rsid w:val="481D6694"/>
    <w:rsid w:val="483639EC"/>
    <w:rsid w:val="484A0F31"/>
    <w:rsid w:val="485E7BC7"/>
    <w:rsid w:val="485F6737"/>
    <w:rsid w:val="488724E8"/>
    <w:rsid w:val="48BA4B91"/>
    <w:rsid w:val="48DA6AA1"/>
    <w:rsid w:val="48F549A5"/>
    <w:rsid w:val="490D3877"/>
    <w:rsid w:val="49227F2F"/>
    <w:rsid w:val="494E3D1B"/>
    <w:rsid w:val="498410B5"/>
    <w:rsid w:val="49B900C8"/>
    <w:rsid w:val="49C95331"/>
    <w:rsid w:val="49F37085"/>
    <w:rsid w:val="4A0C644A"/>
    <w:rsid w:val="4A2D016F"/>
    <w:rsid w:val="4AAA17BF"/>
    <w:rsid w:val="4ADA20A4"/>
    <w:rsid w:val="4AE90951"/>
    <w:rsid w:val="4AEF4DBD"/>
    <w:rsid w:val="4AFB4E1F"/>
    <w:rsid w:val="4B6776B0"/>
    <w:rsid w:val="4B6E0699"/>
    <w:rsid w:val="4B895440"/>
    <w:rsid w:val="4BB904A8"/>
    <w:rsid w:val="4BD44D46"/>
    <w:rsid w:val="4BD95797"/>
    <w:rsid w:val="4BDE3E16"/>
    <w:rsid w:val="4BFB737F"/>
    <w:rsid w:val="4C1E052C"/>
    <w:rsid w:val="4C2D2D94"/>
    <w:rsid w:val="4C2F6996"/>
    <w:rsid w:val="4C6D0CF6"/>
    <w:rsid w:val="4CA43071"/>
    <w:rsid w:val="4CB6209F"/>
    <w:rsid w:val="4CD579AB"/>
    <w:rsid w:val="4CEF795D"/>
    <w:rsid w:val="4CF06892"/>
    <w:rsid w:val="4D302E6D"/>
    <w:rsid w:val="4D333BC7"/>
    <w:rsid w:val="4D4D1254"/>
    <w:rsid w:val="4D5267A7"/>
    <w:rsid w:val="4DF0398D"/>
    <w:rsid w:val="4E1D5C1A"/>
    <w:rsid w:val="4E425E5B"/>
    <w:rsid w:val="4E580038"/>
    <w:rsid w:val="4E8D4CA8"/>
    <w:rsid w:val="4E9666CB"/>
    <w:rsid w:val="4EAB2C0A"/>
    <w:rsid w:val="4EAC3D58"/>
    <w:rsid w:val="4F083E65"/>
    <w:rsid w:val="4F5174A4"/>
    <w:rsid w:val="4F7742CE"/>
    <w:rsid w:val="4FC32B49"/>
    <w:rsid w:val="5028417D"/>
    <w:rsid w:val="503178B1"/>
    <w:rsid w:val="505D02DF"/>
    <w:rsid w:val="50666188"/>
    <w:rsid w:val="50996001"/>
    <w:rsid w:val="50C90A26"/>
    <w:rsid w:val="50E00DE5"/>
    <w:rsid w:val="50E618FC"/>
    <w:rsid w:val="50F419E6"/>
    <w:rsid w:val="510A7DC0"/>
    <w:rsid w:val="514C16E5"/>
    <w:rsid w:val="516C0356"/>
    <w:rsid w:val="516C77CE"/>
    <w:rsid w:val="518640B0"/>
    <w:rsid w:val="51FD48CA"/>
    <w:rsid w:val="523C6CBC"/>
    <w:rsid w:val="523F3135"/>
    <w:rsid w:val="52531A20"/>
    <w:rsid w:val="526A7908"/>
    <w:rsid w:val="527825DA"/>
    <w:rsid w:val="52A15677"/>
    <w:rsid w:val="52E27CB9"/>
    <w:rsid w:val="52E83995"/>
    <w:rsid w:val="530D6F85"/>
    <w:rsid w:val="53231A96"/>
    <w:rsid w:val="533D2B12"/>
    <w:rsid w:val="53C75F90"/>
    <w:rsid w:val="54064BBA"/>
    <w:rsid w:val="54273B7C"/>
    <w:rsid w:val="54694499"/>
    <w:rsid w:val="546E7D01"/>
    <w:rsid w:val="54950195"/>
    <w:rsid w:val="54B95421"/>
    <w:rsid w:val="54CA318A"/>
    <w:rsid w:val="55055F70"/>
    <w:rsid w:val="55BE7B49"/>
    <w:rsid w:val="55F4344F"/>
    <w:rsid w:val="55F43C35"/>
    <w:rsid w:val="56176F92"/>
    <w:rsid w:val="561851FF"/>
    <w:rsid w:val="56244B1C"/>
    <w:rsid w:val="563C71FA"/>
    <w:rsid w:val="56660C90"/>
    <w:rsid w:val="56A34BE9"/>
    <w:rsid w:val="56DB78D0"/>
    <w:rsid w:val="576912FA"/>
    <w:rsid w:val="57B10070"/>
    <w:rsid w:val="57B819BF"/>
    <w:rsid w:val="582D4D00"/>
    <w:rsid w:val="584B2834"/>
    <w:rsid w:val="587A21B8"/>
    <w:rsid w:val="587C6480"/>
    <w:rsid w:val="587D5519"/>
    <w:rsid w:val="589A4434"/>
    <w:rsid w:val="58A1645E"/>
    <w:rsid w:val="590A1D8C"/>
    <w:rsid w:val="590D32C8"/>
    <w:rsid w:val="59195333"/>
    <w:rsid w:val="592F2EC1"/>
    <w:rsid w:val="59561490"/>
    <w:rsid w:val="5960230F"/>
    <w:rsid w:val="59761CC1"/>
    <w:rsid w:val="599C34AD"/>
    <w:rsid w:val="59D21B69"/>
    <w:rsid w:val="59FA2D89"/>
    <w:rsid w:val="5A39041A"/>
    <w:rsid w:val="5A573D5B"/>
    <w:rsid w:val="5AAB369B"/>
    <w:rsid w:val="5AB01531"/>
    <w:rsid w:val="5ACB1A0A"/>
    <w:rsid w:val="5AD238BB"/>
    <w:rsid w:val="5B2730DC"/>
    <w:rsid w:val="5B3B3710"/>
    <w:rsid w:val="5B514710"/>
    <w:rsid w:val="5B86666B"/>
    <w:rsid w:val="5B8F36A2"/>
    <w:rsid w:val="5BCC2756"/>
    <w:rsid w:val="5BED775E"/>
    <w:rsid w:val="5C233285"/>
    <w:rsid w:val="5C4F17D1"/>
    <w:rsid w:val="5C710E70"/>
    <w:rsid w:val="5C71213D"/>
    <w:rsid w:val="5C7C14D3"/>
    <w:rsid w:val="5CB123E9"/>
    <w:rsid w:val="5CBC02EE"/>
    <w:rsid w:val="5CF35488"/>
    <w:rsid w:val="5D2265F2"/>
    <w:rsid w:val="5D2929D4"/>
    <w:rsid w:val="5DA026BC"/>
    <w:rsid w:val="5DE048DF"/>
    <w:rsid w:val="5DE151C2"/>
    <w:rsid w:val="5DFD7A4C"/>
    <w:rsid w:val="5E2565DD"/>
    <w:rsid w:val="5E5350B2"/>
    <w:rsid w:val="5E9B19ED"/>
    <w:rsid w:val="5EAE58CA"/>
    <w:rsid w:val="5ED74E21"/>
    <w:rsid w:val="5F0359CB"/>
    <w:rsid w:val="5F19670E"/>
    <w:rsid w:val="5F50275F"/>
    <w:rsid w:val="5F5D3458"/>
    <w:rsid w:val="5F5F4E16"/>
    <w:rsid w:val="5F8108E9"/>
    <w:rsid w:val="5F9C0E02"/>
    <w:rsid w:val="5FAE2B85"/>
    <w:rsid w:val="5FFA069B"/>
    <w:rsid w:val="601C6509"/>
    <w:rsid w:val="60450D0A"/>
    <w:rsid w:val="607448F1"/>
    <w:rsid w:val="608E7761"/>
    <w:rsid w:val="61023517"/>
    <w:rsid w:val="612E312B"/>
    <w:rsid w:val="61342AA7"/>
    <w:rsid w:val="614A183A"/>
    <w:rsid w:val="61500EBB"/>
    <w:rsid w:val="61652015"/>
    <w:rsid w:val="61895D7A"/>
    <w:rsid w:val="61CA2A1B"/>
    <w:rsid w:val="62326812"/>
    <w:rsid w:val="62481D84"/>
    <w:rsid w:val="62FE04A2"/>
    <w:rsid w:val="632048BD"/>
    <w:rsid w:val="632919C3"/>
    <w:rsid w:val="636371A6"/>
    <w:rsid w:val="63AE4917"/>
    <w:rsid w:val="63DC5075"/>
    <w:rsid w:val="63E266D0"/>
    <w:rsid w:val="63F63DC4"/>
    <w:rsid w:val="643C74D4"/>
    <w:rsid w:val="644560F8"/>
    <w:rsid w:val="64880710"/>
    <w:rsid w:val="64D40A6B"/>
    <w:rsid w:val="64DC2DFA"/>
    <w:rsid w:val="64F467F0"/>
    <w:rsid w:val="6521311B"/>
    <w:rsid w:val="65226F8C"/>
    <w:rsid w:val="65324013"/>
    <w:rsid w:val="653E0A47"/>
    <w:rsid w:val="655B398A"/>
    <w:rsid w:val="6578278E"/>
    <w:rsid w:val="658F7568"/>
    <w:rsid w:val="65DF6369"/>
    <w:rsid w:val="65E83E8A"/>
    <w:rsid w:val="65FA7647"/>
    <w:rsid w:val="66091638"/>
    <w:rsid w:val="660A28F8"/>
    <w:rsid w:val="661F2C0A"/>
    <w:rsid w:val="665152CD"/>
    <w:rsid w:val="666B40A1"/>
    <w:rsid w:val="66790EB2"/>
    <w:rsid w:val="669045E1"/>
    <w:rsid w:val="66995B53"/>
    <w:rsid w:val="66C11C0E"/>
    <w:rsid w:val="66E54E6E"/>
    <w:rsid w:val="670532C6"/>
    <w:rsid w:val="67231FD3"/>
    <w:rsid w:val="67242EE0"/>
    <w:rsid w:val="674A7B3F"/>
    <w:rsid w:val="677F3414"/>
    <w:rsid w:val="67821A09"/>
    <w:rsid w:val="67915D89"/>
    <w:rsid w:val="68024591"/>
    <w:rsid w:val="6817003C"/>
    <w:rsid w:val="69117C1D"/>
    <w:rsid w:val="695425BB"/>
    <w:rsid w:val="696A25C3"/>
    <w:rsid w:val="69836655"/>
    <w:rsid w:val="69CD5C8A"/>
    <w:rsid w:val="69FF6FDA"/>
    <w:rsid w:val="6A9E67F3"/>
    <w:rsid w:val="6AA232F6"/>
    <w:rsid w:val="6AA870F3"/>
    <w:rsid w:val="6ABC2ECE"/>
    <w:rsid w:val="6B347157"/>
    <w:rsid w:val="6B792DBC"/>
    <w:rsid w:val="6BCE135A"/>
    <w:rsid w:val="6BDA2A2F"/>
    <w:rsid w:val="6BDF5315"/>
    <w:rsid w:val="6BE76EF1"/>
    <w:rsid w:val="6C04124E"/>
    <w:rsid w:val="6C0D251A"/>
    <w:rsid w:val="6C800387"/>
    <w:rsid w:val="6C817FC6"/>
    <w:rsid w:val="6C841A18"/>
    <w:rsid w:val="6C98760B"/>
    <w:rsid w:val="6C9B6688"/>
    <w:rsid w:val="6CCA42AC"/>
    <w:rsid w:val="6D8E6A7C"/>
    <w:rsid w:val="6D9B04DB"/>
    <w:rsid w:val="6DB93944"/>
    <w:rsid w:val="6DC76061"/>
    <w:rsid w:val="6F3E1B39"/>
    <w:rsid w:val="6FD7254E"/>
    <w:rsid w:val="6FE55D31"/>
    <w:rsid w:val="6FFA2DC7"/>
    <w:rsid w:val="70062745"/>
    <w:rsid w:val="70A0589F"/>
    <w:rsid w:val="70BE0A02"/>
    <w:rsid w:val="71407523"/>
    <w:rsid w:val="714E7574"/>
    <w:rsid w:val="71656BBF"/>
    <w:rsid w:val="717759C9"/>
    <w:rsid w:val="71CA611F"/>
    <w:rsid w:val="726522EC"/>
    <w:rsid w:val="727F5ED8"/>
    <w:rsid w:val="72B172A3"/>
    <w:rsid w:val="72D47F07"/>
    <w:rsid w:val="73263829"/>
    <w:rsid w:val="732C6AC1"/>
    <w:rsid w:val="73375A36"/>
    <w:rsid w:val="73983B97"/>
    <w:rsid w:val="73D061E3"/>
    <w:rsid w:val="73FA2C83"/>
    <w:rsid w:val="741C69DA"/>
    <w:rsid w:val="74404DBF"/>
    <w:rsid w:val="744E08B3"/>
    <w:rsid w:val="74572775"/>
    <w:rsid w:val="74770B6E"/>
    <w:rsid w:val="74A06D68"/>
    <w:rsid w:val="74DA2B1D"/>
    <w:rsid w:val="74DE4148"/>
    <w:rsid w:val="74E528DE"/>
    <w:rsid w:val="752B584D"/>
    <w:rsid w:val="75412B9C"/>
    <w:rsid w:val="754A1575"/>
    <w:rsid w:val="75587EE6"/>
    <w:rsid w:val="760836C1"/>
    <w:rsid w:val="761262E7"/>
    <w:rsid w:val="7625426C"/>
    <w:rsid w:val="763875FF"/>
    <w:rsid w:val="764741E2"/>
    <w:rsid w:val="7661358F"/>
    <w:rsid w:val="76873048"/>
    <w:rsid w:val="76F33CFB"/>
    <w:rsid w:val="77282216"/>
    <w:rsid w:val="77335B45"/>
    <w:rsid w:val="77624E5B"/>
    <w:rsid w:val="77A15B74"/>
    <w:rsid w:val="77B92EBE"/>
    <w:rsid w:val="787737E3"/>
    <w:rsid w:val="7883527A"/>
    <w:rsid w:val="78AD0A04"/>
    <w:rsid w:val="78C67E9C"/>
    <w:rsid w:val="78D30CBF"/>
    <w:rsid w:val="78D96AC1"/>
    <w:rsid w:val="793A22A3"/>
    <w:rsid w:val="798968C0"/>
    <w:rsid w:val="79A43E6E"/>
    <w:rsid w:val="79B778D1"/>
    <w:rsid w:val="79C36657"/>
    <w:rsid w:val="79C60AA6"/>
    <w:rsid w:val="79FB3371"/>
    <w:rsid w:val="7A3605DE"/>
    <w:rsid w:val="7A365331"/>
    <w:rsid w:val="7A370367"/>
    <w:rsid w:val="7AA5389E"/>
    <w:rsid w:val="7AD7780B"/>
    <w:rsid w:val="7ADD3367"/>
    <w:rsid w:val="7B1228E5"/>
    <w:rsid w:val="7B767318"/>
    <w:rsid w:val="7C03636C"/>
    <w:rsid w:val="7C1D7794"/>
    <w:rsid w:val="7C422DE7"/>
    <w:rsid w:val="7C5F288D"/>
    <w:rsid w:val="7C755387"/>
    <w:rsid w:val="7CA66707"/>
    <w:rsid w:val="7CAD6D69"/>
    <w:rsid w:val="7CDD7385"/>
    <w:rsid w:val="7CFB1883"/>
    <w:rsid w:val="7D6A07B6"/>
    <w:rsid w:val="7D8949D6"/>
    <w:rsid w:val="7DBF4FA6"/>
    <w:rsid w:val="7DCE49C5"/>
    <w:rsid w:val="7DDD7328"/>
    <w:rsid w:val="7DE846D9"/>
    <w:rsid w:val="7E077A36"/>
    <w:rsid w:val="7E413C0D"/>
    <w:rsid w:val="7E530F95"/>
    <w:rsid w:val="7E5A4CCF"/>
    <w:rsid w:val="7E776E1C"/>
    <w:rsid w:val="7EFA6282"/>
    <w:rsid w:val="7F1D01D6"/>
    <w:rsid w:val="7F3036A2"/>
    <w:rsid w:val="7F7F73B1"/>
    <w:rsid w:val="7FAD5ADA"/>
    <w:rsid w:val="7FE9455C"/>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4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49"/>
    <w:qFormat/>
    <w:uiPriority w:val="0"/>
    <w:pPr>
      <w:keepNext/>
      <w:keepLines/>
      <w:tabs>
        <w:tab w:val="left" w:pos="2160"/>
      </w:tabs>
      <w:adjustRightInd w:val="0"/>
      <w:spacing w:before="280" w:after="290" w:line="376" w:lineRule="atLeast"/>
      <w:textAlignment w:val="baseline"/>
      <w:outlineLvl w:val="3"/>
    </w:pPr>
    <w:rPr>
      <w:rFonts w:ascii="Arial" w:hAnsi="Arial" w:eastAsia="宋体" w:cs="Times New Roman"/>
      <w:b/>
      <w:spacing w:val="20"/>
      <w:kern w:val="0"/>
      <w:sz w:val="28"/>
      <w:szCs w:val="20"/>
    </w:rPr>
  </w:style>
  <w:style w:type="paragraph" w:styleId="7">
    <w:name w:val="heading 5"/>
    <w:basedOn w:val="1"/>
    <w:next w:val="1"/>
    <w:link w:val="50"/>
    <w:qFormat/>
    <w:uiPriority w:val="0"/>
    <w:pPr>
      <w:keepNext/>
      <w:keepLines/>
      <w:tabs>
        <w:tab w:val="left" w:pos="2580"/>
      </w:tabs>
      <w:adjustRightInd w:val="0"/>
      <w:spacing w:before="280" w:after="290" w:line="376" w:lineRule="atLeast"/>
      <w:textAlignment w:val="baseline"/>
      <w:outlineLvl w:val="4"/>
    </w:pPr>
    <w:rPr>
      <w:rFonts w:ascii="Times New Roman" w:hAnsi="Times New Roman" w:eastAsia="宋体" w:cs="Times New Roman"/>
      <w:b/>
      <w:spacing w:val="20"/>
      <w:kern w:val="0"/>
      <w:sz w:val="28"/>
      <w:szCs w:val="20"/>
    </w:rPr>
  </w:style>
  <w:style w:type="paragraph" w:styleId="8">
    <w:name w:val="heading 6"/>
    <w:basedOn w:val="1"/>
    <w:next w:val="1"/>
    <w:link w:val="51"/>
    <w:qFormat/>
    <w:uiPriority w:val="0"/>
    <w:pPr>
      <w:widowControl/>
      <w:tabs>
        <w:tab w:val="left" w:pos="567"/>
        <w:tab w:val="left" w:pos="1418"/>
        <w:tab w:val="left" w:pos="2268"/>
        <w:tab w:val="left" w:pos="3000"/>
        <w:tab w:val="left" w:pos="3402"/>
        <w:tab w:val="left" w:pos="4536"/>
        <w:tab w:val="left" w:pos="5954"/>
      </w:tabs>
      <w:overflowPunct w:val="0"/>
      <w:autoSpaceDE w:val="0"/>
      <w:autoSpaceDN w:val="0"/>
      <w:adjustRightInd w:val="0"/>
      <w:textAlignment w:val="baseline"/>
      <w:outlineLvl w:val="5"/>
    </w:pPr>
    <w:rPr>
      <w:rFonts w:ascii="Helvetica" w:hAnsi="Helvetica" w:eastAsia="楷体_GB2312" w:cs="Times New Roman"/>
      <w:b/>
      <w:i/>
      <w:kern w:val="0"/>
      <w:position w:val="-6"/>
      <w:sz w:val="22"/>
      <w:szCs w:val="20"/>
      <w:lang w:val="en-GB"/>
    </w:rPr>
  </w:style>
  <w:style w:type="paragraph" w:styleId="9">
    <w:name w:val="heading 7"/>
    <w:basedOn w:val="1"/>
    <w:next w:val="1"/>
    <w:link w:val="52"/>
    <w:qFormat/>
    <w:uiPriority w:val="0"/>
    <w:pPr>
      <w:widowControl/>
      <w:tabs>
        <w:tab w:val="left" w:pos="3420"/>
      </w:tabs>
      <w:overflowPunct w:val="0"/>
      <w:autoSpaceDE w:val="0"/>
      <w:autoSpaceDN w:val="0"/>
      <w:adjustRightInd w:val="0"/>
      <w:textAlignment w:val="baseline"/>
      <w:outlineLvl w:val="6"/>
    </w:pPr>
    <w:rPr>
      <w:rFonts w:ascii="Times New Roman" w:hAnsi="Times New Roman" w:eastAsia="楷体_GB2312" w:cs="Times New Roman"/>
      <w:i/>
      <w:kern w:val="0"/>
      <w:position w:val="-6"/>
      <w:sz w:val="22"/>
      <w:szCs w:val="20"/>
      <w:lang w:val="en-GB"/>
    </w:rPr>
  </w:style>
  <w:style w:type="paragraph" w:styleId="10">
    <w:name w:val="heading 8"/>
    <w:basedOn w:val="1"/>
    <w:next w:val="1"/>
    <w:link w:val="53"/>
    <w:qFormat/>
    <w:uiPriority w:val="0"/>
    <w:pPr>
      <w:widowControl/>
      <w:tabs>
        <w:tab w:val="left" w:pos="3840"/>
      </w:tabs>
      <w:overflowPunct w:val="0"/>
      <w:autoSpaceDE w:val="0"/>
      <w:autoSpaceDN w:val="0"/>
      <w:adjustRightInd w:val="0"/>
      <w:textAlignment w:val="baseline"/>
      <w:outlineLvl w:val="7"/>
    </w:pPr>
    <w:rPr>
      <w:rFonts w:ascii="Times New Roman" w:hAnsi="Times New Roman" w:eastAsia="楷体_GB2312" w:cs="Times New Roman"/>
      <w:i/>
      <w:kern w:val="0"/>
      <w:position w:val="-6"/>
      <w:sz w:val="22"/>
      <w:szCs w:val="20"/>
      <w:lang w:val="en-GB"/>
    </w:rPr>
  </w:style>
  <w:style w:type="paragraph" w:styleId="11">
    <w:name w:val="heading 9"/>
    <w:basedOn w:val="1"/>
    <w:next w:val="1"/>
    <w:link w:val="54"/>
    <w:qFormat/>
    <w:uiPriority w:val="0"/>
    <w:pPr>
      <w:widowControl/>
      <w:tabs>
        <w:tab w:val="left" w:pos="4260"/>
      </w:tabs>
      <w:overflowPunct w:val="0"/>
      <w:autoSpaceDE w:val="0"/>
      <w:autoSpaceDN w:val="0"/>
      <w:adjustRightInd w:val="0"/>
      <w:textAlignment w:val="baseline"/>
      <w:outlineLvl w:val="8"/>
    </w:pPr>
    <w:rPr>
      <w:rFonts w:ascii="Times New Roman" w:hAnsi="Times New Roman" w:eastAsia="楷体_GB2312" w:cs="Times New Roman"/>
      <w:i/>
      <w:kern w:val="0"/>
      <w:position w:val="-6"/>
      <w:sz w:val="22"/>
      <w:szCs w:val="20"/>
      <w:lang w:val="en-GB"/>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9"/>
    <w:qFormat/>
    <w:uiPriority w:val="0"/>
    <w:rPr>
      <w:rFonts w:ascii="Times New Roman" w:hAnsi="Times New Roman" w:eastAsia="宋体" w:cs="Times New Roman"/>
      <w:sz w:val="28"/>
      <w:szCs w:val="20"/>
    </w:rPr>
  </w:style>
  <w:style w:type="paragraph" w:styleId="12">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3">
    <w:name w:val="Document Map"/>
    <w:basedOn w:val="1"/>
    <w:link w:val="64"/>
    <w:qFormat/>
    <w:uiPriority w:val="0"/>
    <w:rPr>
      <w:rFonts w:ascii="宋体"/>
      <w:sz w:val="18"/>
      <w:szCs w:val="18"/>
    </w:rPr>
  </w:style>
  <w:style w:type="paragraph" w:styleId="14">
    <w:name w:val="annotation text"/>
    <w:basedOn w:val="1"/>
    <w:link w:val="65"/>
    <w:semiHidden/>
    <w:qFormat/>
    <w:uiPriority w:val="0"/>
    <w:pPr>
      <w:jc w:val="left"/>
    </w:pPr>
    <w:rPr>
      <w:rFonts w:ascii="Times New Roman" w:hAnsi="Times New Roman" w:eastAsia="宋体" w:cs="Times New Roman"/>
      <w:szCs w:val="24"/>
    </w:rPr>
  </w:style>
  <w:style w:type="paragraph" w:styleId="15">
    <w:name w:val="Body Text 3"/>
    <w:basedOn w:val="1"/>
    <w:next w:val="2"/>
    <w:qFormat/>
    <w:uiPriority w:val="99"/>
    <w:pPr>
      <w:spacing w:after="120"/>
    </w:pPr>
    <w:rPr>
      <w:rFonts w:ascii="Calibri" w:hAnsi="Calibri"/>
      <w:sz w:val="16"/>
      <w:szCs w:val="16"/>
    </w:rPr>
  </w:style>
  <w:style w:type="paragraph" w:styleId="16">
    <w:name w:val="Body Text Indent"/>
    <w:basedOn w:val="1"/>
    <w:link w:val="68"/>
    <w:qFormat/>
    <w:uiPriority w:val="0"/>
    <w:pPr>
      <w:spacing w:line="480" w:lineRule="exact"/>
      <w:ind w:firstLine="560"/>
    </w:pPr>
    <w:rPr>
      <w:rFonts w:ascii="宋体" w:hAnsi="Times New Roman" w:eastAsia="宋体" w:cs="Times New Roman"/>
      <w:sz w:val="24"/>
      <w:szCs w:val="20"/>
    </w:rPr>
  </w:style>
  <w:style w:type="paragraph" w:styleId="17">
    <w:name w:val="Block Text"/>
    <w:basedOn w:val="1"/>
    <w:next w:val="1"/>
    <w:qFormat/>
    <w:uiPriority w:val="0"/>
    <w:pPr>
      <w:spacing w:line="360" w:lineRule="auto"/>
      <w:ind w:firstLine="480" w:firstLineChars="200"/>
    </w:pPr>
    <w:rPr>
      <w:rFonts w:ascii="宋体" w:hAnsi="宋体"/>
      <w:i/>
      <w:iCs/>
      <w:color w:val="000000"/>
      <w:kern w:val="0"/>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67"/>
    <w:qFormat/>
    <w:uiPriority w:val="0"/>
    <w:pPr>
      <w:widowControl/>
      <w:jc w:val="left"/>
    </w:pPr>
    <w:rPr>
      <w:rFonts w:ascii="宋体" w:hAnsi="宋体" w:eastAsia="宋体" w:cs="Times New Roman"/>
      <w:kern w:val="0"/>
      <w:sz w:val="24"/>
      <w:szCs w:val="24"/>
    </w:rPr>
  </w:style>
  <w:style w:type="paragraph" w:styleId="20">
    <w:name w:val="Date"/>
    <w:basedOn w:val="1"/>
    <w:next w:val="1"/>
    <w:link w:val="70"/>
    <w:qFormat/>
    <w:uiPriority w:val="0"/>
    <w:rPr>
      <w:rFonts w:ascii="Times New Roman" w:hAnsi="Times New Roman" w:eastAsia="楷体" w:cs="Times New Roman"/>
      <w:sz w:val="32"/>
      <w:szCs w:val="20"/>
    </w:rPr>
  </w:style>
  <w:style w:type="paragraph" w:styleId="21">
    <w:name w:val="Body Text Indent 2"/>
    <w:basedOn w:val="1"/>
    <w:link w:val="63"/>
    <w:qFormat/>
    <w:uiPriority w:val="0"/>
    <w:pPr>
      <w:spacing w:line="480" w:lineRule="atLeast"/>
      <w:ind w:firstLine="560"/>
    </w:pPr>
    <w:rPr>
      <w:rFonts w:ascii="Times New Roman" w:hAnsi="Times New Roman" w:eastAsia="宋体" w:cs="Times New Roman"/>
      <w:sz w:val="28"/>
      <w:szCs w:val="20"/>
    </w:rPr>
  </w:style>
  <w:style w:type="paragraph" w:styleId="22">
    <w:name w:val="Balloon Text"/>
    <w:basedOn w:val="1"/>
    <w:link w:val="71"/>
    <w:semiHidden/>
    <w:qFormat/>
    <w:uiPriority w:val="0"/>
    <w:rPr>
      <w:rFonts w:ascii="Times New Roman" w:hAnsi="Times New Roman" w:eastAsia="宋体" w:cs="Times New Roman"/>
      <w:sz w:val="18"/>
      <w:szCs w:val="18"/>
    </w:rPr>
  </w:style>
  <w:style w:type="paragraph" w:styleId="23">
    <w:name w:val="footer"/>
    <w:basedOn w:val="1"/>
    <w:link w:val="73"/>
    <w:qFormat/>
    <w:uiPriority w:val="0"/>
    <w:pPr>
      <w:tabs>
        <w:tab w:val="center" w:pos="4153"/>
        <w:tab w:val="right" w:pos="8306"/>
      </w:tabs>
      <w:snapToGrid w:val="0"/>
      <w:jc w:val="left"/>
    </w:pPr>
    <w:rPr>
      <w:sz w:val="18"/>
      <w:szCs w:val="18"/>
    </w:rPr>
  </w:style>
  <w:style w:type="paragraph" w:styleId="24">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Body Text Indent 3"/>
    <w:basedOn w:val="1"/>
    <w:link w:val="61"/>
    <w:qFormat/>
    <w:uiPriority w:val="0"/>
    <w:pPr>
      <w:tabs>
        <w:tab w:val="left" w:pos="12780"/>
      </w:tabs>
      <w:spacing w:line="480" w:lineRule="atLeast"/>
      <w:ind w:firstLine="570"/>
    </w:pPr>
    <w:rPr>
      <w:rFonts w:hint="eastAsia" w:ascii="宋体" w:hAnsi="宋体" w:eastAsia="宋体" w:cs="Times New Roman"/>
      <w:sz w:val="28"/>
      <w:szCs w:val="20"/>
    </w:rPr>
  </w:style>
  <w:style w:type="paragraph" w:styleId="27">
    <w:name w:val="toc 2"/>
    <w:basedOn w:val="1"/>
    <w:next w:val="1"/>
    <w:qFormat/>
    <w:uiPriority w:val="39"/>
    <w:pPr>
      <w:ind w:left="420" w:leftChars="200"/>
    </w:pPr>
    <w:rPr>
      <w:rFonts w:ascii="Times New Roman" w:hAnsi="Times New Roman" w:eastAsia="宋体" w:cs="Times New Roman"/>
      <w:szCs w:val="24"/>
    </w:rPr>
  </w:style>
  <w:style w:type="paragraph" w:styleId="28">
    <w:name w:val="Body Text 2"/>
    <w:basedOn w:val="1"/>
    <w:link w:val="72"/>
    <w:qFormat/>
    <w:uiPriority w:val="0"/>
    <w:pPr>
      <w:widowControl/>
      <w:tabs>
        <w:tab w:val="left" w:pos="315"/>
        <w:tab w:val="left" w:pos="3150"/>
      </w:tabs>
      <w:adjustRightInd w:val="0"/>
      <w:spacing w:line="360" w:lineRule="atLeast"/>
      <w:jc w:val="left"/>
      <w:textAlignment w:val="baseline"/>
    </w:pPr>
    <w:rPr>
      <w:rFonts w:ascii="Times New Roman" w:hAnsi="Times New Roman" w:eastAsia="宋体" w:cs="Times New Roman"/>
      <w:sz w:val="24"/>
      <w:szCs w:val="20"/>
    </w:rPr>
  </w:style>
  <w:style w:type="paragraph" w:styleId="29">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link w:val="60"/>
    <w:qFormat/>
    <w:uiPriority w:val="0"/>
    <w:pPr>
      <w:spacing w:before="240" w:after="60"/>
      <w:jc w:val="center"/>
      <w:outlineLvl w:val="0"/>
    </w:pPr>
    <w:rPr>
      <w:rFonts w:ascii="Cambria" w:hAnsi="Cambria"/>
      <w:b/>
      <w:bCs/>
      <w:sz w:val="32"/>
      <w:szCs w:val="32"/>
    </w:rPr>
  </w:style>
  <w:style w:type="paragraph" w:styleId="32">
    <w:name w:val="annotation subject"/>
    <w:basedOn w:val="14"/>
    <w:next w:val="14"/>
    <w:link w:val="66"/>
    <w:semiHidden/>
    <w:qFormat/>
    <w:uiPriority w:val="0"/>
    <w:rPr>
      <w:b/>
      <w:bCs/>
    </w:rPr>
  </w:style>
  <w:style w:type="paragraph" w:styleId="33">
    <w:name w:val="Body Text First Indent"/>
    <w:basedOn w:val="2"/>
    <w:next w:val="34"/>
    <w:qFormat/>
    <w:uiPriority w:val="0"/>
    <w:pPr>
      <w:spacing w:line="312" w:lineRule="auto"/>
      <w:ind w:firstLine="420"/>
    </w:pPr>
    <w:rPr>
      <w:rFonts w:ascii="Times New Roman" w:hAnsi="Times New Roman" w:eastAsia="宋体" w:cs="Times New Roman"/>
    </w:rPr>
  </w:style>
  <w:style w:type="paragraph" w:styleId="34">
    <w:name w:val="Body Text First Indent 2"/>
    <w:basedOn w:val="16"/>
    <w:qFormat/>
    <w:uiPriority w:val="0"/>
    <w:pPr>
      <w:ind w:firstLine="420" w:firstLineChars="200"/>
    </w:pPr>
  </w:style>
  <w:style w:type="table" w:styleId="36">
    <w:name w:val="Table Grid"/>
    <w:basedOn w:val="35"/>
    <w:unhideWhenUsed/>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basedOn w:val="37"/>
    <w:qFormat/>
    <w:uiPriority w:val="20"/>
    <w:rPr>
      <w:color w:val="CC0000"/>
    </w:rPr>
  </w:style>
  <w:style w:type="character" w:styleId="42">
    <w:name w:val="Hyperlink"/>
    <w:basedOn w:val="37"/>
    <w:qFormat/>
    <w:uiPriority w:val="99"/>
    <w:rPr>
      <w:rFonts w:hint="eastAsia" w:ascii="宋体" w:hAnsi="宋体" w:eastAsia="宋体" w:cs="宋体"/>
      <w:color w:val="000000"/>
      <w:sz w:val="18"/>
      <w:szCs w:val="18"/>
      <w:u w:val="none"/>
    </w:rPr>
  </w:style>
  <w:style w:type="character" w:styleId="43">
    <w:name w:val="annotation reference"/>
    <w:semiHidden/>
    <w:qFormat/>
    <w:uiPriority w:val="0"/>
    <w:rPr>
      <w:sz w:val="21"/>
      <w:szCs w:val="21"/>
    </w:rPr>
  </w:style>
  <w:style w:type="character" w:styleId="44">
    <w:name w:val="HTML Cite"/>
    <w:basedOn w:val="37"/>
    <w:semiHidden/>
    <w:unhideWhenUsed/>
    <w:qFormat/>
    <w:uiPriority w:val="99"/>
    <w:rPr>
      <w:color w:val="008000"/>
    </w:rPr>
  </w:style>
  <w:style w:type="paragraph" w:styleId="45">
    <w:name w:val="No Spacing"/>
    <w:qFormat/>
    <w:uiPriority w:val="0"/>
    <w:rPr>
      <w:rFonts w:ascii="Calibri" w:hAnsi="Calibri" w:cs="Calibri" w:eastAsiaTheme="minorEastAsia"/>
      <w:kern w:val="2"/>
      <w:sz w:val="22"/>
      <w:szCs w:val="22"/>
      <w:lang w:val="en-US" w:eastAsia="zh-CN" w:bidi="ar-SA"/>
    </w:rPr>
  </w:style>
  <w:style w:type="character" w:customStyle="1" w:styleId="46">
    <w:name w:val="标题 1 Char"/>
    <w:basedOn w:val="37"/>
    <w:link w:val="3"/>
    <w:qFormat/>
    <w:uiPriority w:val="0"/>
    <w:rPr>
      <w:rFonts w:ascii="Times New Roman" w:hAnsi="Times New Roman" w:eastAsia="宋体" w:cs="Times New Roman"/>
      <w:b/>
      <w:bCs/>
      <w:kern w:val="44"/>
      <w:sz w:val="44"/>
      <w:szCs w:val="44"/>
    </w:rPr>
  </w:style>
  <w:style w:type="character" w:customStyle="1" w:styleId="47">
    <w:name w:val="标题 2 Char"/>
    <w:basedOn w:val="37"/>
    <w:link w:val="4"/>
    <w:qFormat/>
    <w:uiPriority w:val="0"/>
    <w:rPr>
      <w:rFonts w:ascii="Arial" w:hAnsi="Arial" w:eastAsia="黑体" w:cs="Times New Roman"/>
      <w:b/>
      <w:bCs/>
      <w:sz w:val="32"/>
      <w:szCs w:val="32"/>
    </w:rPr>
  </w:style>
  <w:style w:type="character" w:customStyle="1" w:styleId="48">
    <w:name w:val="标题 3 Char"/>
    <w:basedOn w:val="37"/>
    <w:link w:val="5"/>
    <w:qFormat/>
    <w:uiPriority w:val="0"/>
    <w:rPr>
      <w:rFonts w:ascii="Times New Roman" w:hAnsi="Times New Roman" w:eastAsia="宋体" w:cs="Times New Roman"/>
      <w:b/>
      <w:bCs/>
      <w:sz w:val="32"/>
      <w:szCs w:val="32"/>
    </w:rPr>
  </w:style>
  <w:style w:type="character" w:customStyle="1" w:styleId="49">
    <w:name w:val="标题 4 Char"/>
    <w:basedOn w:val="37"/>
    <w:link w:val="6"/>
    <w:qFormat/>
    <w:uiPriority w:val="0"/>
    <w:rPr>
      <w:rFonts w:ascii="Arial" w:hAnsi="Arial" w:eastAsia="宋体" w:cs="Times New Roman"/>
      <w:b/>
      <w:spacing w:val="20"/>
      <w:kern w:val="0"/>
      <w:sz w:val="28"/>
      <w:szCs w:val="20"/>
    </w:rPr>
  </w:style>
  <w:style w:type="character" w:customStyle="1" w:styleId="50">
    <w:name w:val="标题 5 Char"/>
    <w:basedOn w:val="37"/>
    <w:link w:val="7"/>
    <w:qFormat/>
    <w:uiPriority w:val="0"/>
    <w:rPr>
      <w:rFonts w:ascii="Times New Roman" w:hAnsi="Times New Roman" w:eastAsia="宋体" w:cs="Times New Roman"/>
      <w:b/>
      <w:spacing w:val="20"/>
      <w:kern w:val="0"/>
      <w:sz w:val="28"/>
      <w:szCs w:val="20"/>
    </w:rPr>
  </w:style>
  <w:style w:type="character" w:customStyle="1" w:styleId="51">
    <w:name w:val="标题 6 Char"/>
    <w:basedOn w:val="37"/>
    <w:link w:val="8"/>
    <w:qFormat/>
    <w:uiPriority w:val="0"/>
    <w:rPr>
      <w:rFonts w:ascii="Helvetica" w:hAnsi="Helvetica" w:eastAsia="楷体_GB2312" w:cs="Times New Roman"/>
      <w:b/>
      <w:i/>
      <w:kern w:val="0"/>
      <w:position w:val="-6"/>
      <w:sz w:val="22"/>
      <w:szCs w:val="20"/>
      <w:lang w:val="en-GB"/>
    </w:rPr>
  </w:style>
  <w:style w:type="character" w:customStyle="1" w:styleId="52">
    <w:name w:val="标题 7 Char"/>
    <w:basedOn w:val="37"/>
    <w:link w:val="9"/>
    <w:qFormat/>
    <w:uiPriority w:val="0"/>
    <w:rPr>
      <w:rFonts w:ascii="Times New Roman" w:hAnsi="Times New Roman" w:eastAsia="楷体_GB2312" w:cs="Times New Roman"/>
      <w:i/>
      <w:kern w:val="0"/>
      <w:position w:val="-6"/>
      <w:sz w:val="22"/>
      <w:szCs w:val="20"/>
      <w:lang w:val="en-GB"/>
    </w:rPr>
  </w:style>
  <w:style w:type="character" w:customStyle="1" w:styleId="53">
    <w:name w:val="标题 8 Char"/>
    <w:basedOn w:val="37"/>
    <w:link w:val="10"/>
    <w:qFormat/>
    <w:uiPriority w:val="0"/>
    <w:rPr>
      <w:rFonts w:ascii="Times New Roman" w:hAnsi="Times New Roman" w:eastAsia="楷体_GB2312" w:cs="Times New Roman"/>
      <w:i/>
      <w:kern w:val="0"/>
      <w:position w:val="-6"/>
      <w:sz w:val="22"/>
      <w:szCs w:val="20"/>
      <w:lang w:val="en-GB"/>
    </w:rPr>
  </w:style>
  <w:style w:type="character" w:customStyle="1" w:styleId="54">
    <w:name w:val="标题 9 Char"/>
    <w:basedOn w:val="37"/>
    <w:link w:val="11"/>
    <w:qFormat/>
    <w:uiPriority w:val="0"/>
    <w:rPr>
      <w:rFonts w:ascii="Times New Roman" w:hAnsi="Times New Roman" w:eastAsia="楷体_GB2312" w:cs="Times New Roman"/>
      <w:i/>
      <w:kern w:val="0"/>
      <w:position w:val="-6"/>
      <w:sz w:val="22"/>
      <w:szCs w:val="20"/>
      <w:lang w:val="en-GB"/>
    </w:rPr>
  </w:style>
  <w:style w:type="character" w:customStyle="1" w:styleId="55">
    <w:name w:val="文档结构图 Char"/>
    <w:link w:val="13"/>
    <w:qFormat/>
    <w:uiPriority w:val="0"/>
    <w:rPr>
      <w:rFonts w:ascii="宋体"/>
      <w:sz w:val="18"/>
      <w:szCs w:val="18"/>
    </w:rPr>
  </w:style>
  <w:style w:type="character" w:customStyle="1" w:styleId="56">
    <w:name w:val="标题 Char"/>
    <w:link w:val="31"/>
    <w:qFormat/>
    <w:uiPriority w:val="0"/>
    <w:rPr>
      <w:rFonts w:ascii="Cambria" w:hAnsi="Cambria"/>
      <w:b/>
      <w:bCs/>
      <w:sz w:val="32"/>
      <w:szCs w:val="32"/>
    </w:rPr>
  </w:style>
  <w:style w:type="character" w:customStyle="1" w:styleId="57">
    <w:name w:val="页脚 Char"/>
    <w:link w:val="23"/>
    <w:qFormat/>
    <w:uiPriority w:val="0"/>
    <w:rPr>
      <w:sz w:val="18"/>
      <w:szCs w:val="18"/>
    </w:rPr>
  </w:style>
  <w:style w:type="character" w:customStyle="1" w:styleId="58">
    <w:name w:val="style43"/>
    <w:basedOn w:val="37"/>
    <w:qFormat/>
    <w:uiPriority w:val="0"/>
  </w:style>
  <w:style w:type="character" w:customStyle="1" w:styleId="59">
    <w:name w:val="页眉 Char"/>
    <w:link w:val="24"/>
    <w:qFormat/>
    <w:uiPriority w:val="99"/>
    <w:rPr>
      <w:sz w:val="18"/>
      <w:szCs w:val="18"/>
    </w:rPr>
  </w:style>
  <w:style w:type="character" w:customStyle="1" w:styleId="60">
    <w:name w:val="标题 Char1"/>
    <w:basedOn w:val="37"/>
    <w:link w:val="31"/>
    <w:qFormat/>
    <w:uiPriority w:val="10"/>
    <w:rPr>
      <w:rFonts w:eastAsia="宋体" w:asciiTheme="majorHAnsi" w:hAnsiTheme="majorHAnsi" w:cstheme="majorBidi"/>
      <w:b/>
      <w:bCs/>
      <w:sz w:val="32"/>
      <w:szCs w:val="32"/>
    </w:rPr>
  </w:style>
  <w:style w:type="character" w:customStyle="1" w:styleId="61">
    <w:name w:val="正文文本缩进 3 Char"/>
    <w:basedOn w:val="37"/>
    <w:link w:val="26"/>
    <w:qFormat/>
    <w:uiPriority w:val="0"/>
    <w:rPr>
      <w:rFonts w:ascii="宋体" w:hAnsi="宋体" w:eastAsia="宋体" w:cs="Times New Roman"/>
      <w:sz w:val="28"/>
      <w:szCs w:val="20"/>
    </w:rPr>
  </w:style>
  <w:style w:type="character" w:customStyle="1" w:styleId="62">
    <w:name w:val="页眉 Char1"/>
    <w:basedOn w:val="37"/>
    <w:link w:val="24"/>
    <w:semiHidden/>
    <w:qFormat/>
    <w:uiPriority w:val="99"/>
    <w:rPr>
      <w:sz w:val="18"/>
      <w:szCs w:val="18"/>
    </w:rPr>
  </w:style>
  <w:style w:type="character" w:customStyle="1" w:styleId="63">
    <w:name w:val="正文文本缩进 2 Char"/>
    <w:basedOn w:val="37"/>
    <w:link w:val="21"/>
    <w:qFormat/>
    <w:uiPriority w:val="0"/>
    <w:rPr>
      <w:rFonts w:ascii="Times New Roman" w:hAnsi="Times New Roman" w:eastAsia="宋体" w:cs="Times New Roman"/>
      <w:sz w:val="28"/>
      <w:szCs w:val="20"/>
    </w:rPr>
  </w:style>
  <w:style w:type="character" w:customStyle="1" w:styleId="64">
    <w:name w:val="文档结构图 Char1"/>
    <w:basedOn w:val="37"/>
    <w:link w:val="13"/>
    <w:semiHidden/>
    <w:qFormat/>
    <w:uiPriority w:val="99"/>
    <w:rPr>
      <w:rFonts w:ascii="宋体" w:eastAsia="宋体"/>
      <w:sz w:val="18"/>
      <w:szCs w:val="18"/>
    </w:rPr>
  </w:style>
  <w:style w:type="character" w:customStyle="1" w:styleId="65">
    <w:name w:val="批注文字 Char"/>
    <w:basedOn w:val="37"/>
    <w:link w:val="14"/>
    <w:semiHidden/>
    <w:qFormat/>
    <w:uiPriority w:val="0"/>
    <w:rPr>
      <w:rFonts w:ascii="Times New Roman" w:hAnsi="Times New Roman" w:eastAsia="宋体" w:cs="Times New Roman"/>
      <w:szCs w:val="24"/>
    </w:rPr>
  </w:style>
  <w:style w:type="character" w:customStyle="1" w:styleId="66">
    <w:name w:val="批注主题 Char"/>
    <w:basedOn w:val="65"/>
    <w:link w:val="32"/>
    <w:semiHidden/>
    <w:qFormat/>
    <w:uiPriority w:val="0"/>
    <w:rPr>
      <w:b/>
      <w:bCs/>
    </w:rPr>
  </w:style>
  <w:style w:type="character" w:customStyle="1" w:styleId="67">
    <w:name w:val="纯文本 Char"/>
    <w:basedOn w:val="37"/>
    <w:link w:val="19"/>
    <w:qFormat/>
    <w:uiPriority w:val="0"/>
    <w:rPr>
      <w:rFonts w:ascii="宋体" w:hAnsi="宋体" w:eastAsia="宋体" w:cs="Times New Roman"/>
      <w:kern w:val="0"/>
      <w:sz w:val="24"/>
      <w:szCs w:val="24"/>
    </w:rPr>
  </w:style>
  <w:style w:type="character" w:customStyle="1" w:styleId="68">
    <w:name w:val="正文文本缩进 Char"/>
    <w:basedOn w:val="37"/>
    <w:link w:val="16"/>
    <w:qFormat/>
    <w:uiPriority w:val="0"/>
    <w:rPr>
      <w:rFonts w:ascii="宋体" w:hAnsi="Times New Roman" w:eastAsia="宋体" w:cs="Times New Roman"/>
      <w:sz w:val="24"/>
      <w:szCs w:val="20"/>
    </w:rPr>
  </w:style>
  <w:style w:type="character" w:customStyle="1" w:styleId="69">
    <w:name w:val="正文文本 Char"/>
    <w:basedOn w:val="37"/>
    <w:link w:val="2"/>
    <w:qFormat/>
    <w:uiPriority w:val="0"/>
    <w:rPr>
      <w:rFonts w:ascii="Times New Roman" w:hAnsi="Times New Roman" w:eastAsia="宋体" w:cs="Times New Roman"/>
      <w:sz w:val="28"/>
      <w:szCs w:val="20"/>
    </w:rPr>
  </w:style>
  <w:style w:type="character" w:customStyle="1" w:styleId="70">
    <w:name w:val="日期 Char"/>
    <w:basedOn w:val="37"/>
    <w:link w:val="20"/>
    <w:qFormat/>
    <w:uiPriority w:val="0"/>
    <w:rPr>
      <w:rFonts w:ascii="Times New Roman" w:hAnsi="Times New Roman" w:eastAsia="楷体" w:cs="Times New Roman"/>
      <w:sz w:val="32"/>
      <w:szCs w:val="20"/>
    </w:rPr>
  </w:style>
  <w:style w:type="character" w:customStyle="1" w:styleId="71">
    <w:name w:val="批注框文本 Char"/>
    <w:basedOn w:val="37"/>
    <w:link w:val="22"/>
    <w:semiHidden/>
    <w:qFormat/>
    <w:uiPriority w:val="0"/>
    <w:rPr>
      <w:rFonts w:ascii="Times New Roman" w:hAnsi="Times New Roman" w:eastAsia="宋体" w:cs="Times New Roman"/>
      <w:sz w:val="18"/>
      <w:szCs w:val="18"/>
    </w:rPr>
  </w:style>
  <w:style w:type="character" w:customStyle="1" w:styleId="72">
    <w:name w:val="正文文本 2 Char"/>
    <w:basedOn w:val="37"/>
    <w:link w:val="28"/>
    <w:qFormat/>
    <w:uiPriority w:val="0"/>
    <w:rPr>
      <w:rFonts w:ascii="Times New Roman" w:hAnsi="Times New Roman" w:eastAsia="宋体" w:cs="Times New Roman"/>
      <w:sz w:val="24"/>
      <w:szCs w:val="20"/>
    </w:rPr>
  </w:style>
  <w:style w:type="character" w:customStyle="1" w:styleId="73">
    <w:name w:val="页脚 Char1"/>
    <w:basedOn w:val="37"/>
    <w:link w:val="23"/>
    <w:semiHidden/>
    <w:qFormat/>
    <w:uiPriority w:val="99"/>
    <w:rPr>
      <w:sz w:val="18"/>
      <w:szCs w:val="18"/>
    </w:rPr>
  </w:style>
  <w:style w:type="paragraph" w:customStyle="1" w:styleId="74">
    <w:name w:val="Absatz2AL"/>
    <w:basedOn w:val="2"/>
    <w:next w:val="1"/>
    <w:qFormat/>
    <w:uiPriority w:val="0"/>
    <w:pPr>
      <w:widowControl/>
      <w:overflowPunct w:val="0"/>
      <w:autoSpaceDE w:val="0"/>
      <w:autoSpaceDN w:val="0"/>
      <w:adjustRightInd w:val="0"/>
      <w:textAlignment w:val="baseline"/>
    </w:pPr>
    <w:rPr>
      <w:rFonts w:eastAsia="楷体_GB2312"/>
      <w:kern w:val="0"/>
      <w:sz w:val="24"/>
      <w:lang w:val="de-DE"/>
    </w:rPr>
  </w:style>
  <w:style w:type="paragraph" w:customStyle="1" w:styleId="7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6">
    <w:name w:val="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cs="Times New Roman"/>
      <w:kern w:val="0"/>
      <w:position w:val="-6"/>
      <w:sz w:val="24"/>
      <w:szCs w:val="20"/>
      <w:lang w:val="fr-FR"/>
    </w:rPr>
  </w:style>
  <w:style w:type="paragraph" w:customStyle="1" w:styleId="79">
    <w:name w:val="列出段落1"/>
    <w:basedOn w:val="1"/>
    <w:qFormat/>
    <w:uiPriority w:val="34"/>
    <w:pPr>
      <w:ind w:firstLine="420" w:firstLineChars="200"/>
    </w:pPr>
    <w:rPr>
      <w:rFonts w:ascii="Times New Roman" w:hAnsi="Times New Roman" w:eastAsia="宋体" w:cs="Times New Roman"/>
      <w:szCs w:val="24"/>
    </w:rPr>
  </w:style>
  <w:style w:type="paragraph" w:customStyle="1" w:styleId="80">
    <w:name w:val="Char Char Char Char Char Char1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1">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2">
    <w:name w:val="纯文本1"/>
    <w:basedOn w:val="1"/>
    <w:qFormat/>
    <w:uiPriority w:val="0"/>
    <w:pPr>
      <w:adjustRightInd w:val="0"/>
      <w:textAlignment w:val="baseline"/>
    </w:pPr>
    <w:rPr>
      <w:rFonts w:ascii="宋体" w:hAnsi="Courier New" w:eastAsia="楷体_GB2312" w:cs="Times New Roman"/>
      <w:sz w:val="28"/>
      <w:szCs w:val="20"/>
    </w:rPr>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宋体" w:cs="宋体"/>
      <w:kern w:val="0"/>
      <w:sz w:val="24"/>
      <w:szCs w:val="21"/>
    </w:rPr>
  </w:style>
  <w:style w:type="paragraph" w:customStyle="1" w:styleId="84">
    <w:name w:val="Char Char Char 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he"/>
    <w:basedOn w:val="1"/>
    <w:qFormat/>
    <w:uiPriority w:val="0"/>
    <w:pPr>
      <w:keepNext/>
      <w:keepLines/>
      <w:spacing w:before="260" w:after="260" w:line="408" w:lineRule="auto"/>
    </w:pPr>
    <w:rPr>
      <w:rFonts w:ascii="Arial" w:hAnsi="Arial" w:eastAsia="黑体" w:cs="Arial"/>
      <w:b/>
      <w:bCs/>
      <w:sz w:val="32"/>
      <w:szCs w:val="32"/>
    </w:rPr>
  </w:style>
  <w:style w:type="character" w:customStyle="1" w:styleId="86">
    <w:name w:val="apple-converted-space"/>
    <w:basedOn w:val="37"/>
    <w:qFormat/>
    <w:uiPriority w:val="0"/>
  </w:style>
  <w:style w:type="character" w:customStyle="1" w:styleId="87">
    <w:name w:val="HTML 预设格式 Char"/>
    <w:basedOn w:val="37"/>
    <w:link w:val="29"/>
    <w:qFormat/>
    <w:uiPriority w:val="99"/>
    <w:rPr>
      <w:rFonts w:ascii="宋体" w:hAnsi="宋体" w:eastAsia="宋体" w:cs="宋体"/>
      <w:kern w:val="0"/>
      <w:sz w:val="24"/>
      <w:szCs w:val="24"/>
    </w:rPr>
  </w:style>
  <w:style w:type="paragraph" w:styleId="88">
    <w:name w:val="List Paragraph"/>
    <w:basedOn w:val="1"/>
    <w:qFormat/>
    <w:uiPriority w:val="34"/>
    <w:pPr>
      <w:ind w:firstLine="420" w:firstLineChars="200"/>
    </w:pPr>
  </w:style>
  <w:style w:type="paragraph" w:customStyle="1" w:styleId="89">
    <w:name w:val="文档正文"/>
    <w:basedOn w:val="1"/>
    <w:qFormat/>
    <w:uiPriority w:val="0"/>
    <w:pPr>
      <w:ind w:firstLine="560" w:firstLineChars="200"/>
    </w:pPr>
    <w:rPr>
      <w:rFonts w:ascii="Times New Roman" w:hAnsi="Times New Roman" w:cs="Times New Roman"/>
      <w:kern w:val="2"/>
      <w:sz w:val="28"/>
      <w:szCs w:val="28"/>
    </w:rPr>
  </w:style>
  <w:style w:type="paragraph" w:customStyle="1" w:styleId="90">
    <w:name w:val="表格样式1"/>
    <w:basedOn w:val="1"/>
    <w:qFormat/>
    <w:uiPriority w:val="0"/>
    <w:pPr>
      <w:widowControl w:val="0"/>
      <w:jc w:val="center"/>
    </w:pPr>
    <w:rPr>
      <w:rFonts w:ascii="仿宋" w:hAnsi="仿宋" w:cs="Times New Roman"/>
      <w:kern w:val="2"/>
      <w:sz w:val="21"/>
    </w:rPr>
  </w:style>
  <w:style w:type="paragraph" w:customStyle="1" w:styleId="91">
    <w:name w:val="段落正文"/>
    <w:basedOn w:val="1"/>
    <w:qFormat/>
    <w:uiPriority w:val="0"/>
    <w:pPr>
      <w:spacing w:line="360" w:lineRule="auto"/>
      <w:ind w:firstLine="480" w:firstLineChars="200"/>
    </w:pPr>
    <w:rPr>
      <w:rFonts w:ascii="Cambria" w:hAnsi="Cambria" w:eastAsia="微软雅黑"/>
      <w:kern w:val="2"/>
    </w:rPr>
  </w:style>
  <w:style w:type="paragraph" w:customStyle="1" w:styleId="92">
    <w:name w:val="Level 4"/>
    <w:basedOn w:val="1"/>
    <w:qFormat/>
    <w:uiPriority w:val="0"/>
    <w:pPr>
      <w:widowControl w:val="0"/>
      <w:snapToGrid w:val="0"/>
      <w:spacing w:beforeLines="50"/>
      <w:ind w:left="1440"/>
      <w:jc w:val="both"/>
    </w:pPr>
    <w:rPr>
      <w:rFonts w:ascii="Arial" w:hAnsi="Arial" w:eastAsia="GulimChe" w:cs="Arial"/>
      <w:b/>
      <w:bCs/>
      <w:kern w:val="2"/>
    </w:rPr>
  </w:style>
  <w:style w:type="paragraph" w:customStyle="1" w:styleId="93">
    <w:name w:val="WPSOffice手动目录 1"/>
    <w:qFormat/>
    <w:uiPriority w:val="0"/>
    <w:pPr>
      <w:ind w:leftChars="0"/>
    </w:pPr>
    <w:rPr>
      <w:rFonts w:ascii="Times New Roman" w:hAnsi="Times New Roman" w:eastAsia="宋体" w:cs="Times New Roman"/>
      <w:sz w:val="20"/>
      <w:szCs w:val="20"/>
    </w:rPr>
  </w:style>
  <w:style w:type="paragraph" w:customStyle="1" w:styleId="94">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95">
    <w:name w:val="Table Paragraph"/>
    <w:basedOn w:val="1"/>
    <w:qFormat/>
    <w:uiPriority w:val="1"/>
    <w:rPr>
      <w:rFonts w:ascii="楷体" w:hAnsi="楷体" w:eastAsia="楷体" w:cs="楷体"/>
      <w:lang w:val="zh-CN" w:eastAsia="zh-CN" w:bidi="zh-CN"/>
    </w:rPr>
  </w:style>
  <w:style w:type="paragraph" w:customStyle="1" w:styleId="96">
    <w:name w:val="表格样式 1"/>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b/>
      <w:bCs/>
      <w:color w:val="000000"/>
      <w:spacing w:val="0"/>
      <w:w w:val="100"/>
      <w:kern w:val="0"/>
      <w:position w:val="0"/>
      <w:sz w:val="20"/>
      <w:szCs w:val="20"/>
      <w:u w:val="none" w:color="auto"/>
      <w:vertAlign w:val="baseline"/>
    </w:rPr>
  </w:style>
  <w:style w:type="paragraph" w:customStyle="1" w:styleId="97">
    <w:name w:val="表格样式 2"/>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0"/>
      <w:szCs w:val="20"/>
      <w:u w:val="none" w:color="auto"/>
      <w:vertAlign w:val="baseline"/>
    </w:rPr>
  </w:style>
  <w:style w:type="character" w:customStyle="1" w:styleId="98">
    <w:name w:val="c-icon28"/>
    <w:basedOn w:val="37"/>
    <w:qFormat/>
    <w:uiPriority w:val="0"/>
  </w:style>
  <w:style w:type="character" w:customStyle="1" w:styleId="99">
    <w:name w:val="hover25"/>
    <w:basedOn w:val="37"/>
    <w:qFormat/>
    <w:uiPriority w:val="0"/>
  </w:style>
  <w:style w:type="character" w:customStyle="1" w:styleId="100">
    <w:name w:val="hover26"/>
    <w:basedOn w:val="37"/>
    <w:qFormat/>
    <w:uiPriority w:val="0"/>
    <w:rPr>
      <w:color w:val="315EFB"/>
    </w:rPr>
  </w:style>
  <w:style w:type="paragraph" w:customStyle="1" w:styleId="10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1A32F-B9C6-4C2A-8B2D-EFA9FB059C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18077</Words>
  <Characters>19023</Characters>
  <Lines>180</Lines>
  <Paragraphs>50</Paragraphs>
  <TotalTime>1</TotalTime>
  <ScaleCrop>false</ScaleCrop>
  <LinksUpToDate>false</LinksUpToDate>
  <CharactersWithSpaces>21251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2015-10-10T01:11:00Z</dcterms:created>
  <dc:creator>微软用户</dc:creator>
  <cp:lastModifiedBy>胡梦阳</cp:lastModifiedBy>
  <cp:lastPrinted>2019-10-24T09:16:00Z</cp:lastPrinted>
  <dcterms:modified xsi:type="dcterms:W3CDTF">2022-11-28T05:41:25Z</dcterms:modified>
  <cp:revision>652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1E3C75771C08411387522B772D9ED434</vt:lpwstr>
  </property>
</Properties>
</file>