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2"/>
        <w:rPr>
          <w:rFonts w:hint="default" w:ascii="宋体" w:hAnsi="宋体" w:eastAsia="宋体" w:cs="宋体"/>
          <w:b/>
          <w:color w:val="auto"/>
          <w:sz w:val="28"/>
          <w:lang w:val="en-US" w:eastAsia="zh-CN"/>
        </w:rPr>
      </w:pPr>
      <w:r>
        <w:rPr>
          <w:rFonts w:hint="eastAsia" w:ascii="宋体" w:hAnsi="宋体" w:eastAsia="宋体" w:cs="宋体"/>
          <w:b/>
          <w:color w:val="auto"/>
          <w:sz w:val="28"/>
        </w:rPr>
        <w:t>项目编号：FDDL-2022</w:t>
      </w:r>
      <w:r>
        <w:rPr>
          <w:rFonts w:hint="eastAsia" w:ascii="宋体" w:hAnsi="宋体" w:eastAsia="宋体" w:cs="宋体"/>
          <w:b/>
          <w:color w:val="auto"/>
          <w:sz w:val="28"/>
          <w:lang w:val="en-US" w:eastAsia="zh-CN"/>
        </w:rPr>
        <w:t>163</w:t>
      </w:r>
    </w:p>
    <w:p>
      <w:pPr>
        <w:spacing w:line="360" w:lineRule="auto"/>
        <w:ind w:firstLine="562"/>
        <w:jc w:val="center"/>
        <w:rPr>
          <w:rFonts w:ascii="宋体" w:hAnsi="宋体" w:eastAsia="宋体" w:cs="宋体"/>
          <w:b/>
          <w:color w:val="auto"/>
          <w:sz w:val="28"/>
        </w:rPr>
      </w:pPr>
    </w:p>
    <w:p>
      <w:pPr>
        <w:spacing w:line="360" w:lineRule="auto"/>
        <w:ind w:left="0" w:leftChars="0" w:firstLine="0" w:firstLineChars="0"/>
        <w:jc w:val="center"/>
        <w:rPr>
          <w:rFonts w:hint="eastAsia" w:eastAsia="宋体" w:cs="宋体"/>
          <w:b/>
          <w:bCs/>
          <w:color w:val="auto"/>
          <w:sz w:val="44"/>
          <w:szCs w:val="44"/>
          <w:shd w:val="clear" w:color="auto" w:fill="FFFFFF"/>
          <w:lang w:eastAsia="zh-CN"/>
        </w:rPr>
      </w:pPr>
      <w:r>
        <w:rPr>
          <w:rFonts w:hint="eastAsia" w:eastAsia="宋体" w:cs="宋体"/>
          <w:b/>
          <w:bCs/>
          <w:color w:val="auto"/>
          <w:sz w:val="44"/>
          <w:szCs w:val="44"/>
          <w:shd w:val="clear" w:color="auto" w:fill="FFFFFF"/>
          <w:lang w:eastAsia="zh-CN"/>
        </w:rPr>
        <w:t>汉滨区第三人民医院信息安全等级</w:t>
      </w:r>
    </w:p>
    <w:p>
      <w:pPr>
        <w:spacing w:line="360" w:lineRule="auto"/>
        <w:ind w:left="0" w:leftChars="0" w:firstLine="0" w:firstLineChars="0"/>
        <w:jc w:val="center"/>
        <w:rPr>
          <w:rFonts w:hint="eastAsia" w:ascii="宋体" w:hAnsi="宋体" w:eastAsia="宋体" w:cs="宋体"/>
          <w:b/>
          <w:color w:val="auto"/>
          <w:sz w:val="30"/>
          <w:szCs w:val="30"/>
          <w:lang w:eastAsia="zh-CN"/>
        </w:rPr>
      </w:pPr>
      <w:r>
        <w:rPr>
          <w:rFonts w:hint="eastAsia" w:eastAsia="宋体" w:cs="宋体"/>
          <w:b/>
          <w:bCs/>
          <w:color w:val="auto"/>
          <w:sz w:val="44"/>
          <w:szCs w:val="44"/>
          <w:shd w:val="clear" w:color="auto" w:fill="FFFFFF"/>
          <w:lang w:eastAsia="zh-CN"/>
        </w:rPr>
        <w:t>保护建设项目</w:t>
      </w:r>
    </w:p>
    <w:p>
      <w:pPr>
        <w:spacing w:line="360" w:lineRule="auto"/>
        <w:ind w:firstLine="723"/>
        <w:jc w:val="center"/>
        <w:rPr>
          <w:rFonts w:ascii="宋体" w:hAnsi="宋体" w:eastAsia="宋体" w:cs="宋体"/>
          <w:b/>
          <w:color w:val="auto"/>
          <w:sz w:val="36"/>
          <w:szCs w:val="36"/>
        </w:rPr>
      </w:pPr>
    </w:p>
    <w:p>
      <w:pPr>
        <w:spacing w:line="360" w:lineRule="auto"/>
        <w:ind w:firstLine="602"/>
        <w:jc w:val="center"/>
        <w:rPr>
          <w:rFonts w:ascii="宋体" w:hAnsi="宋体" w:eastAsia="宋体" w:cs="宋体"/>
          <w:b/>
          <w:color w:val="auto"/>
          <w:sz w:val="30"/>
          <w:szCs w:val="30"/>
        </w:rPr>
      </w:pPr>
    </w:p>
    <w:p>
      <w:pPr>
        <w:pStyle w:val="12"/>
        <w:rPr>
          <w:rFonts w:ascii="宋体" w:hAnsi="宋体" w:eastAsia="宋体" w:cs="宋体"/>
          <w:b/>
          <w:color w:val="auto"/>
          <w:sz w:val="30"/>
          <w:szCs w:val="30"/>
        </w:rPr>
      </w:pPr>
    </w:p>
    <w:p>
      <w:pPr>
        <w:pStyle w:val="12"/>
        <w:rPr>
          <w:rFonts w:ascii="宋体" w:hAnsi="宋体" w:eastAsia="宋体" w:cs="宋体"/>
          <w:b/>
          <w:color w:val="auto"/>
          <w:sz w:val="30"/>
          <w:szCs w:val="30"/>
        </w:rPr>
      </w:pPr>
    </w:p>
    <w:p>
      <w:pPr>
        <w:spacing w:line="360" w:lineRule="auto"/>
        <w:ind w:firstLine="1687"/>
        <w:jc w:val="center"/>
        <w:rPr>
          <w:rFonts w:ascii="宋体" w:hAnsi="宋体" w:eastAsia="宋体" w:cs="宋体"/>
          <w:b/>
          <w:color w:val="auto"/>
          <w:sz w:val="84"/>
          <w:szCs w:val="84"/>
        </w:rPr>
      </w:pPr>
    </w:p>
    <w:p>
      <w:pPr>
        <w:spacing w:line="360" w:lineRule="auto"/>
        <w:ind w:left="0" w:leftChars="0" w:firstLine="0" w:firstLineChars="0"/>
        <w:jc w:val="center"/>
        <w:rPr>
          <w:rFonts w:ascii="宋体" w:hAnsi="宋体" w:eastAsia="宋体" w:cs="宋体"/>
          <w:b/>
          <w:color w:val="auto"/>
          <w:sz w:val="84"/>
          <w:szCs w:val="84"/>
        </w:rPr>
      </w:pPr>
      <w:r>
        <w:rPr>
          <w:rFonts w:hint="eastAsia" w:ascii="宋体" w:hAnsi="宋体" w:eastAsia="宋体" w:cs="宋体"/>
          <w:b/>
          <w:color w:val="auto"/>
          <w:sz w:val="84"/>
          <w:szCs w:val="84"/>
        </w:rPr>
        <w:t>招 标 文 件</w:t>
      </w:r>
    </w:p>
    <w:p>
      <w:pPr>
        <w:spacing w:line="360" w:lineRule="auto"/>
        <w:ind w:firstLine="422"/>
        <w:jc w:val="center"/>
        <w:rPr>
          <w:rFonts w:ascii="宋体" w:hAnsi="宋体" w:eastAsia="宋体" w:cs="宋体"/>
          <w:b/>
          <w:color w:val="auto"/>
        </w:rPr>
      </w:pPr>
    </w:p>
    <w:p>
      <w:pPr>
        <w:spacing w:line="360" w:lineRule="auto"/>
        <w:ind w:firstLine="422"/>
        <w:rPr>
          <w:rFonts w:ascii="宋体" w:hAnsi="宋体" w:eastAsia="宋体" w:cs="宋体"/>
          <w:b/>
          <w:color w:val="auto"/>
        </w:rPr>
      </w:pPr>
    </w:p>
    <w:p>
      <w:pPr>
        <w:tabs>
          <w:tab w:val="left" w:pos="5145"/>
        </w:tabs>
        <w:ind w:firstLine="0" w:firstLineChars="0"/>
        <w:outlineLvl w:val="0"/>
        <w:rPr>
          <w:rFonts w:ascii="宋体" w:hAnsi="宋体" w:eastAsia="宋体" w:cs="宋体"/>
          <w:b/>
          <w:color w:val="auto"/>
        </w:rPr>
      </w:pPr>
    </w:p>
    <w:p>
      <w:pPr>
        <w:pStyle w:val="12"/>
        <w:rPr>
          <w:color w:val="auto"/>
        </w:rPr>
      </w:pPr>
    </w:p>
    <w:p>
      <w:pPr>
        <w:pStyle w:val="12"/>
        <w:rPr>
          <w:color w:val="auto"/>
        </w:rPr>
      </w:pPr>
    </w:p>
    <w:p>
      <w:pPr>
        <w:tabs>
          <w:tab w:val="left" w:pos="5145"/>
        </w:tabs>
        <w:ind w:firstLine="422"/>
        <w:outlineLvl w:val="0"/>
        <w:rPr>
          <w:rFonts w:ascii="宋体" w:hAnsi="宋体" w:eastAsia="宋体" w:cs="宋体"/>
          <w:b/>
          <w:color w:val="auto"/>
        </w:rPr>
      </w:pPr>
    </w:p>
    <w:p>
      <w:pPr>
        <w:pStyle w:val="13"/>
        <w:rPr>
          <w:rFonts w:ascii="宋体" w:hAnsi="宋体" w:cs="宋体"/>
          <w:b/>
          <w:color w:val="auto"/>
          <w:sz w:val="28"/>
          <w:szCs w:val="28"/>
        </w:rPr>
      </w:pPr>
    </w:p>
    <w:p>
      <w:pPr>
        <w:pStyle w:val="13"/>
        <w:rPr>
          <w:rFonts w:ascii="宋体" w:hAnsi="宋体" w:cs="宋体"/>
          <w:b/>
          <w:color w:val="auto"/>
          <w:sz w:val="28"/>
          <w:szCs w:val="28"/>
        </w:rPr>
      </w:pPr>
    </w:p>
    <w:p>
      <w:pPr>
        <w:spacing w:line="360" w:lineRule="auto"/>
        <w:ind w:firstLine="1844" w:firstLineChars="574"/>
        <w:rPr>
          <w:rFonts w:ascii="宋体" w:hAnsi="宋体" w:eastAsia="宋体" w:cs="宋体"/>
          <w:b/>
          <w:color w:val="auto"/>
          <w:sz w:val="32"/>
          <w:szCs w:val="32"/>
        </w:rPr>
      </w:pPr>
      <w:r>
        <w:rPr>
          <w:rFonts w:hint="eastAsia" w:ascii="宋体" w:hAnsi="宋体" w:eastAsia="宋体" w:cs="宋体"/>
          <w:b/>
          <w:color w:val="auto"/>
          <w:sz w:val="32"/>
          <w:szCs w:val="32"/>
        </w:rPr>
        <w:t>采   购   人：汉滨区第三人民医院</w:t>
      </w:r>
    </w:p>
    <w:p>
      <w:pPr>
        <w:spacing w:line="360" w:lineRule="auto"/>
        <w:ind w:firstLine="1844" w:firstLineChars="574"/>
        <w:rPr>
          <w:rFonts w:ascii="宋体" w:hAnsi="宋体" w:eastAsia="宋体" w:cs="宋体"/>
          <w:b/>
          <w:color w:val="auto"/>
          <w:sz w:val="32"/>
          <w:szCs w:val="32"/>
        </w:rPr>
      </w:pPr>
      <w:r>
        <w:rPr>
          <w:rFonts w:hint="eastAsia" w:ascii="宋体" w:hAnsi="宋体" w:eastAsia="宋体" w:cs="宋体"/>
          <w:b/>
          <w:color w:val="auto"/>
          <w:sz w:val="32"/>
          <w:szCs w:val="32"/>
        </w:rPr>
        <w:t>采购代理机构：陕西方得项目管理有限公司</w:t>
      </w:r>
    </w:p>
    <w:p>
      <w:pPr>
        <w:tabs>
          <w:tab w:val="left" w:pos="7560"/>
        </w:tabs>
        <w:spacing w:line="360" w:lineRule="auto"/>
        <w:ind w:firstLine="1108" w:firstLineChars="345"/>
        <w:rPr>
          <w:rFonts w:ascii="宋体" w:hAnsi="宋体" w:eastAsia="宋体" w:cs="宋体"/>
          <w:b/>
          <w:color w:val="auto"/>
          <w:sz w:val="28"/>
          <w:szCs w:val="28"/>
        </w:rPr>
      </w:pPr>
      <w:r>
        <w:rPr>
          <w:rFonts w:hint="eastAsia" w:ascii="宋体" w:hAnsi="宋体" w:eastAsia="宋体" w:cs="宋体"/>
          <w:b/>
          <w:color w:val="auto"/>
          <w:sz w:val="32"/>
          <w:szCs w:val="32"/>
        </w:rPr>
        <w:t xml:space="preserve">    日        期：二〇二二年</w:t>
      </w:r>
      <w:r>
        <w:rPr>
          <w:rFonts w:hint="eastAsia" w:ascii="宋体" w:hAnsi="宋体" w:eastAsia="宋体" w:cs="宋体"/>
          <w:b/>
          <w:color w:val="auto"/>
          <w:sz w:val="32"/>
          <w:szCs w:val="32"/>
          <w:lang w:eastAsia="zh-CN"/>
        </w:rPr>
        <w:t>九</w:t>
      </w:r>
      <w:r>
        <w:rPr>
          <w:rFonts w:hint="eastAsia" w:ascii="宋体" w:hAnsi="宋体" w:eastAsia="宋体" w:cs="宋体"/>
          <w:b/>
          <w:color w:val="auto"/>
          <w:sz w:val="32"/>
          <w:szCs w:val="32"/>
        </w:rPr>
        <w:t>月</w:t>
      </w:r>
    </w:p>
    <w:p>
      <w:pPr>
        <w:spacing w:line="360" w:lineRule="auto"/>
        <w:ind w:firstLine="422"/>
        <w:jc w:val="center"/>
        <w:rPr>
          <w:rFonts w:ascii="宋体" w:hAnsi="宋体" w:eastAsia="宋体" w:cs="宋体"/>
          <w:b/>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pPr>
        <w:spacing w:line="600" w:lineRule="auto"/>
        <w:ind w:firstLine="0" w:firstLineChars="0"/>
        <w:jc w:val="center"/>
        <w:rPr>
          <w:rFonts w:ascii="宋体" w:hAnsi="宋体" w:eastAsia="宋体" w:cs="宋体"/>
          <w:b/>
          <w:color w:val="auto"/>
          <w:sz w:val="24"/>
          <w:szCs w:val="24"/>
        </w:rPr>
      </w:pPr>
      <w:r>
        <w:rPr>
          <w:rFonts w:hint="eastAsia" w:ascii="宋体" w:hAnsi="宋体" w:eastAsia="宋体" w:cs="宋体"/>
          <w:b/>
          <w:color w:val="auto"/>
          <w:sz w:val="44"/>
          <w:szCs w:val="44"/>
        </w:rPr>
        <w:t>目    录</w:t>
      </w:r>
    </w:p>
    <w:p>
      <w:pPr>
        <w:pStyle w:val="19"/>
        <w:tabs>
          <w:tab w:val="right" w:leader="dot" w:pos="9402"/>
        </w:tabs>
        <w:spacing w:line="720" w:lineRule="auto"/>
        <w:ind w:firstLine="0" w:firstLineChars="0"/>
        <w:rPr>
          <w:rFonts w:ascii="宋体" w:hAnsi="宋体" w:eastAsia="宋体" w:cs="宋体"/>
          <w:b w:val="0"/>
          <w:color w:val="auto"/>
          <w:kern w:val="2"/>
          <w:sz w:val="21"/>
          <w:u w:val="none"/>
        </w:rPr>
      </w:pPr>
      <w:r>
        <w:rPr>
          <w:rFonts w:hint="eastAsia" w:ascii="宋体" w:hAnsi="宋体" w:eastAsia="宋体" w:cs="宋体"/>
          <w:b w:val="0"/>
          <w:bCs/>
          <w:color w:val="auto"/>
          <w:sz w:val="24"/>
          <w:szCs w:val="24"/>
          <w:u w:val="none"/>
        </w:rPr>
        <w:fldChar w:fldCharType="begin"/>
      </w:r>
      <w:r>
        <w:rPr>
          <w:rFonts w:hint="eastAsia" w:ascii="宋体" w:hAnsi="宋体" w:eastAsia="宋体" w:cs="宋体"/>
          <w:b w:val="0"/>
          <w:bCs/>
          <w:color w:val="auto"/>
          <w:sz w:val="24"/>
          <w:szCs w:val="24"/>
          <w:u w:val="none"/>
        </w:rPr>
        <w:instrText xml:space="preserve"> TOC \o "1-3" \h \z \u </w:instrText>
      </w:r>
      <w:r>
        <w:rPr>
          <w:rFonts w:hint="eastAsia" w:ascii="宋体" w:hAnsi="宋体" w:eastAsia="宋体" w:cs="宋体"/>
          <w:b w:val="0"/>
          <w:bCs/>
          <w:color w:val="auto"/>
          <w:sz w:val="24"/>
          <w:szCs w:val="24"/>
          <w:u w:val="none"/>
        </w:rPr>
        <w:fldChar w:fldCharType="separate"/>
      </w:r>
      <w:r>
        <w:rPr>
          <w:color w:val="auto"/>
          <w:u w:val="none"/>
        </w:rPr>
        <w:fldChar w:fldCharType="begin"/>
      </w:r>
      <w:r>
        <w:rPr>
          <w:color w:val="auto"/>
          <w:u w:val="none"/>
        </w:rPr>
        <w:instrText xml:space="preserve"> HYPERLINK \l "_Toc38030864" </w:instrText>
      </w:r>
      <w:r>
        <w:rPr>
          <w:color w:val="auto"/>
          <w:u w:val="none"/>
        </w:rPr>
        <w:fldChar w:fldCharType="separate"/>
      </w:r>
      <w:r>
        <w:rPr>
          <w:rStyle w:val="28"/>
          <w:rFonts w:hint="eastAsia" w:ascii="宋体" w:hAnsi="宋体" w:eastAsia="宋体" w:cs="宋体"/>
          <w:color w:val="auto"/>
          <w:u w:val="none"/>
        </w:rPr>
        <w:t>第一章  招标公告</w:t>
      </w:r>
      <w:r>
        <w:rPr>
          <w:rFonts w:hint="eastAsia" w:ascii="宋体" w:hAnsi="宋体" w:eastAsia="宋体" w:cs="宋体"/>
          <w:color w:val="auto"/>
          <w:u w:val="none"/>
        </w:rPr>
        <w:tab/>
      </w:r>
      <w:r>
        <w:rPr>
          <w:rFonts w:hint="eastAsia" w:ascii="宋体" w:hAnsi="宋体" w:eastAsia="宋体" w:cs="宋体"/>
          <w:color w:val="auto"/>
          <w:u w:val="none"/>
        </w:rPr>
        <w:t>2</w:t>
      </w:r>
      <w:r>
        <w:rPr>
          <w:rFonts w:hint="eastAsia" w:ascii="宋体" w:hAnsi="宋体" w:eastAsia="宋体" w:cs="宋体"/>
          <w:color w:val="auto"/>
          <w:u w:val="none"/>
        </w:rPr>
        <w:fldChar w:fldCharType="end"/>
      </w:r>
    </w:p>
    <w:p>
      <w:pPr>
        <w:pStyle w:val="19"/>
        <w:tabs>
          <w:tab w:val="right" w:leader="dot" w:pos="9402"/>
        </w:tabs>
        <w:spacing w:line="720" w:lineRule="auto"/>
        <w:ind w:firstLine="0" w:firstLineChars="0"/>
        <w:rPr>
          <w:rStyle w:val="28"/>
          <w:rFonts w:ascii="宋体" w:hAnsi="宋体" w:eastAsia="宋体" w:cs="宋体"/>
          <w:color w:val="auto"/>
          <w:u w:val="none"/>
        </w:rPr>
      </w:pPr>
      <w:r>
        <w:rPr>
          <w:color w:val="auto"/>
          <w:u w:val="none"/>
        </w:rPr>
        <w:fldChar w:fldCharType="begin"/>
      </w:r>
      <w:r>
        <w:rPr>
          <w:color w:val="auto"/>
          <w:u w:val="none"/>
        </w:rPr>
        <w:instrText xml:space="preserve"> HYPERLINK \l "_Toc38030865" </w:instrText>
      </w:r>
      <w:r>
        <w:rPr>
          <w:color w:val="auto"/>
          <w:u w:val="none"/>
        </w:rPr>
        <w:fldChar w:fldCharType="separate"/>
      </w:r>
      <w:r>
        <w:rPr>
          <w:rStyle w:val="28"/>
          <w:rFonts w:hint="eastAsia" w:ascii="宋体" w:hAnsi="宋体" w:eastAsia="宋体" w:cs="宋体"/>
          <w:color w:val="auto"/>
          <w:u w:val="none"/>
        </w:rPr>
        <w:t>第二章  供应商须知</w:t>
      </w:r>
      <w:r>
        <w:rPr>
          <w:rStyle w:val="28"/>
          <w:rFonts w:hint="eastAsia" w:ascii="宋体" w:hAnsi="宋体" w:eastAsia="宋体" w:cs="宋体"/>
          <w:color w:val="auto"/>
          <w:u w:val="none"/>
        </w:rPr>
        <w:tab/>
      </w:r>
      <w:r>
        <w:rPr>
          <w:rStyle w:val="28"/>
          <w:rFonts w:hint="eastAsia" w:ascii="宋体" w:hAnsi="宋体" w:eastAsia="宋体" w:cs="宋体"/>
          <w:color w:val="auto"/>
          <w:u w:val="none"/>
        </w:rPr>
        <w:fldChar w:fldCharType="end"/>
      </w:r>
      <w:r>
        <w:rPr>
          <w:rStyle w:val="28"/>
          <w:rFonts w:hint="eastAsia" w:ascii="宋体" w:hAnsi="宋体" w:eastAsia="宋体" w:cs="宋体"/>
          <w:color w:val="auto"/>
          <w:u w:val="none"/>
        </w:rPr>
        <w:t>6</w:t>
      </w:r>
    </w:p>
    <w:p>
      <w:pPr>
        <w:pStyle w:val="19"/>
        <w:tabs>
          <w:tab w:val="right" w:leader="dot" w:pos="9402"/>
        </w:tabs>
        <w:spacing w:line="720" w:lineRule="auto"/>
        <w:ind w:firstLine="0" w:firstLineChars="0"/>
        <w:rPr>
          <w:rStyle w:val="28"/>
          <w:rFonts w:ascii="宋体" w:hAnsi="宋体" w:eastAsia="宋体" w:cs="宋体"/>
          <w:color w:val="auto"/>
          <w:u w:val="none"/>
        </w:rPr>
      </w:pPr>
      <w:r>
        <w:rPr>
          <w:rStyle w:val="28"/>
          <w:rFonts w:hint="eastAsia" w:ascii="宋体" w:hAnsi="宋体" w:eastAsia="宋体" w:cs="宋体"/>
          <w:color w:val="auto"/>
          <w:u w:val="none"/>
        </w:rPr>
        <w:t>第三章  评标办法</w:t>
      </w:r>
      <w:r>
        <w:rPr>
          <w:rStyle w:val="28"/>
          <w:rFonts w:hint="eastAsia" w:ascii="宋体" w:hAnsi="宋体" w:eastAsia="宋体" w:cs="宋体"/>
          <w:color w:val="auto"/>
          <w:u w:val="none"/>
        </w:rPr>
        <w:tab/>
      </w:r>
      <w:r>
        <w:rPr>
          <w:rStyle w:val="28"/>
          <w:rFonts w:hint="eastAsia" w:ascii="宋体" w:hAnsi="宋体" w:eastAsia="宋体" w:cs="宋体"/>
          <w:color w:val="auto"/>
          <w:u w:val="none"/>
          <w:lang w:val="en-US" w:eastAsia="zh-CN"/>
        </w:rPr>
        <w:t>19</w:t>
      </w:r>
    </w:p>
    <w:p>
      <w:pPr>
        <w:pStyle w:val="19"/>
        <w:tabs>
          <w:tab w:val="right" w:leader="dot" w:pos="9402"/>
        </w:tabs>
        <w:spacing w:line="720" w:lineRule="auto"/>
        <w:ind w:firstLine="0" w:firstLineChars="0"/>
        <w:rPr>
          <w:rFonts w:ascii="宋体" w:hAnsi="宋体" w:eastAsia="宋体" w:cs="宋体"/>
          <w:b w:val="0"/>
          <w:color w:val="auto"/>
          <w:kern w:val="2"/>
          <w:sz w:val="21"/>
          <w:u w:val="none"/>
        </w:rPr>
      </w:pPr>
      <w:r>
        <w:rPr>
          <w:color w:val="auto"/>
          <w:u w:val="none"/>
        </w:rPr>
        <w:fldChar w:fldCharType="begin"/>
      </w:r>
      <w:r>
        <w:rPr>
          <w:color w:val="auto"/>
          <w:u w:val="none"/>
        </w:rPr>
        <w:instrText xml:space="preserve"> HYPERLINK \l "_Toc38030883" </w:instrText>
      </w:r>
      <w:r>
        <w:rPr>
          <w:color w:val="auto"/>
          <w:u w:val="none"/>
        </w:rPr>
        <w:fldChar w:fldCharType="separate"/>
      </w:r>
      <w:r>
        <w:rPr>
          <w:rStyle w:val="28"/>
          <w:rFonts w:hint="eastAsia" w:ascii="宋体" w:hAnsi="宋体" w:eastAsia="宋体" w:cs="宋体"/>
          <w:color w:val="auto"/>
          <w:u w:val="none"/>
        </w:rPr>
        <w:t>第四章  采购内容和要求</w:t>
      </w:r>
      <w:r>
        <w:rPr>
          <w:rFonts w:hint="eastAsia" w:ascii="宋体" w:hAnsi="宋体" w:eastAsia="宋体" w:cs="宋体"/>
          <w:color w:val="auto"/>
          <w:u w:val="none"/>
        </w:rPr>
        <w:tab/>
      </w:r>
      <w:r>
        <w:rPr>
          <w:rFonts w:hint="eastAsia" w:ascii="宋体" w:hAnsi="宋体" w:eastAsia="宋体" w:cs="宋体"/>
          <w:color w:val="auto"/>
          <w:u w:val="none"/>
        </w:rPr>
        <w:t>2</w:t>
      </w:r>
      <w:r>
        <w:rPr>
          <w:rFonts w:hint="eastAsia" w:ascii="宋体" w:hAnsi="宋体" w:eastAsia="宋体" w:cs="宋体"/>
          <w:color w:val="auto"/>
          <w:u w:val="none"/>
        </w:rPr>
        <w:fldChar w:fldCharType="end"/>
      </w:r>
      <w:r>
        <w:rPr>
          <w:rFonts w:hint="eastAsia" w:ascii="宋体" w:hAnsi="宋体" w:eastAsia="宋体" w:cs="宋体"/>
          <w:color w:val="auto"/>
          <w:u w:val="none"/>
          <w:lang w:val="en-US" w:eastAsia="zh-CN"/>
        </w:rPr>
        <w:t>3</w:t>
      </w:r>
    </w:p>
    <w:p>
      <w:pPr>
        <w:pStyle w:val="19"/>
        <w:tabs>
          <w:tab w:val="right" w:leader="dot" w:pos="9402"/>
        </w:tabs>
        <w:spacing w:line="720" w:lineRule="auto"/>
        <w:ind w:firstLine="0" w:firstLineChars="0"/>
        <w:rPr>
          <w:rFonts w:hint="eastAsia" w:ascii="宋体" w:hAnsi="宋体" w:eastAsia="宋体" w:cs="宋体"/>
          <w:b w:val="0"/>
          <w:color w:val="auto"/>
          <w:kern w:val="2"/>
          <w:sz w:val="21"/>
          <w:u w:val="none"/>
          <w:lang w:val="en-US" w:eastAsia="zh-CN"/>
        </w:rPr>
      </w:pPr>
      <w:r>
        <w:rPr>
          <w:color w:val="auto"/>
          <w:u w:val="none"/>
        </w:rPr>
        <w:fldChar w:fldCharType="begin"/>
      </w:r>
      <w:r>
        <w:rPr>
          <w:color w:val="auto"/>
          <w:u w:val="none"/>
        </w:rPr>
        <w:instrText xml:space="preserve"> HYPERLINK \l "_Toc38030884" </w:instrText>
      </w:r>
      <w:r>
        <w:rPr>
          <w:color w:val="auto"/>
          <w:u w:val="none"/>
        </w:rPr>
        <w:fldChar w:fldCharType="separate"/>
      </w:r>
      <w:r>
        <w:rPr>
          <w:rStyle w:val="28"/>
          <w:rFonts w:hint="eastAsia" w:ascii="宋体" w:hAnsi="宋体" w:eastAsia="宋体" w:cs="宋体"/>
          <w:color w:val="auto"/>
          <w:u w:val="none"/>
        </w:rPr>
        <w:t>第五章  拟签订的合同文本</w:t>
      </w:r>
      <w:r>
        <w:rPr>
          <w:rFonts w:hint="eastAsia" w:ascii="宋体" w:hAnsi="宋体" w:eastAsia="宋体" w:cs="宋体"/>
          <w:color w:val="auto"/>
          <w:u w:val="none"/>
        </w:rPr>
        <w:tab/>
      </w:r>
      <w:r>
        <w:rPr>
          <w:rFonts w:hint="eastAsia" w:ascii="宋体" w:hAnsi="宋体" w:eastAsia="宋体" w:cs="宋体"/>
          <w:color w:val="auto"/>
          <w:u w:val="none"/>
          <w:lang w:val="en-US" w:eastAsia="zh-CN"/>
        </w:rPr>
        <w:t>3</w:t>
      </w:r>
      <w:r>
        <w:rPr>
          <w:rFonts w:hint="eastAsia" w:ascii="宋体" w:hAnsi="宋体" w:eastAsia="宋体" w:cs="宋体"/>
          <w:color w:val="auto"/>
          <w:u w:val="none"/>
        </w:rPr>
        <w:fldChar w:fldCharType="end"/>
      </w:r>
      <w:r>
        <w:rPr>
          <w:rFonts w:hint="eastAsia" w:ascii="宋体" w:hAnsi="宋体" w:eastAsia="宋体" w:cs="宋体"/>
          <w:color w:val="auto"/>
          <w:u w:val="none"/>
          <w:lang w:val="en-US" w:eastAsia="zh-CN"/>
        </w:rPr>
        <w:t>5</w:t>
      </w:r>
    </w:p>
    <w:p>
      <w:pPr>
        <w:pStyle w:val="19"/>
        <w:tabs>
          <w:tab w:val="right" w:leader="dot" w:pos="9402"/>
        </w:tabs>
        <w:spacing w:line="720" w:lineRule="auto"/>
        <w:ind w:firstLine="0" w:firstLineChars="0"/>
        <w:rPr>
          <w:rFonts w:hint="eastAsia" w:ascii="宋体" w:hAnsi="宋体" w:eastAsia="宋体" w:cs="宋体"/>
          <w:b w:val="0"/>
          <w:color w:val="auto"/>
          <w:kern w:val="2"/>
          <w:sz w:val="21"/>
          <w:u w:val="none"/>
          <w:lang w:eastAsia="zh-CN"/>
        </w:rPr>
      </w:pPr>
      <w:r>
        <w:rPr>
          <w:color w:val="auto"/>
          <w:u w:val="none"/>
        </w:rPr>
        <w:fldChar w:fldCharType="begin"/>
      </w:r>
      <w:r>
        <w:rPr>
          <w:color w:val="auto"/>
          <w:u w:val="none"/>
        </w:rPr>
        <w:instrText xml:space="preserve"> HYPERLINK \l "_Toc38030885" </w:instrText>
      </w:r>
      <w:r>
        <w:rPr>
          <w:color w:val="auto"/>
          <w:u w:val="none"/>
        </w:rPr>
        <w:fldChar w:fldCharType="separate"/>
      </w:r>
      <w:r>
        <w:rPr>
          <w:rStyle w:val="28"/>
          <w:rFonts w:hint="eastAsia" w:ascii="宋体" w:hAnsi="宋体" w:eastAsia="宋体" w:cs="宋体"/>
          <w:color w:val="auto"/>
          <w:u w:val="none"/>
        </w:rPr>
        <w:t>第六章  投标文件格式</w:t>
      </w:r>
      <w:r>
        <w:rPr>
          <w:rFonts w:hint="eastAsia" w:ascii="宋体" w:hAnsi="宋体" w:eastAsia="宋体" w:cs="宋体"/>
          <w:color w:val="auto"/>
          <w:u w:val="none"/>
        </w:rPr>
        <w:tab/>
      </w:r>
      <w:r>
        <w:rPr>
          <w:rFonts w:hint="eastAsia" w:ascii="宋体" w:hAnsi="宋体" w:eastAsia="宋体" w:cs="宋体"/>
          <w:color w:val="auto"/>
          <w:u w:val="none"/>
          <w:lang w:val="en-US" w:eastAsia="zh-CN"/>
        </w:rPr>
        <w:t>4</w:t>
      </w:r>
      <w:r>
        <w:rPr>
          <w:rFonts w:hint="eastAsia" w:ascii="宋体" w:hAnsi="宋体" w:eastAsia="宋体" w:cs="宋体"/>
          <w:color w:val="auto"/>
          <w:u w:val="none"/>
        </w:rPr>
        <w:fldChar w:fldCharType="end"/>
      </w:r>
      <w:r>
        <w:rPr>
          <w:rFonts w:hint="eastAsia" w:ascii="宋体" w:hAnsi="宋体" w:eastAsia="宋体" w:cs="宋体"/>
          <w:color w:val="auto"/>
          <w:u w:val="none"/>
          <w:lang w:val="en-US" w:eastAsia="zh-CN"/>
        </w:rPr>
        <w:t>0</w:t>
      </w:r>
    </w:p>
    <w:p>
      <w:pPr>
        <w:spacing w:line="720" w:lineRule="auto"/>
        <w:ind w:firstLine="482"/>
        <w:rPr>
          <w:rFonts w:ascii="宋体" w:hAnsi="宋体" w:eastAsia="宋体" w:cs="宋体"/>
          <w:b/>
          <w:bCs/>
          <w:color w:val="auto"/>
          <w:sz w:val="30"/>
          <w:szCs w:val="30"/>
        </w:rPr>
      </w:pPr>
      <w:r>
        <w:rPr>
          <w:rFonts w:hint="eastAsia" w:ascii="宋体" w:hAnsi="宋体" w:eastAsia="宋体" w:cs="宋体"/>
          <w:b/>
          <w:bCs/>
          <w:color w:val="auto"/>
          <w:sz w:val="24"/>
          <w:szCs w:val="24"/>
          <w:u w:val="none"/>
        </w:rPr>
        <w:fldChar w:fldCharType="end"/>
      </w:r>
    </w:p>
    <w:p>
      <w:pPr>
        <w:pStyle w:val="3"/>
        <w:numPr>
          <w:ilvl w:val="0"/>
          <w:numId w:val="0"/>
        </w:numPr>
        <w:jc w:val="center"/>
        <w:rPr>
          <w:rFonts w:ascii="宋体" w:hAnsi="宋体" w:eastAsia="宋体" w:cs="宋体"/>
          <w:color w:val="auto"/>
        </w:rPr>
      </w:pPr>
      <w:r>
        <w:rPr>
          <w:rFonts w:hint="eastAsia" w:ascii="宋体" w:hAnsi="宋体" w:eastAsia="宋体" w:cs="宋体"/>
          <w:color w:val="auto"/>
        </w:rPr>
        <w:br w:type="page"/>
      </w:r>
      <w:bookmarkStart w:id="0" w:name="_Toc306972823"/>
      <w:bookmarkStart w:id="1" w:name="_Toc38030864"/>
      <w:r>
        <w:rPr>
          <w:rFonts w:hint="eastAsia" w:ascii="宋体" w:hAnsi="宋体" w:eastAsia="宋体" w:cs="宋体"/>
          <w:color w:val="auto"/>
        </w:rPr>
        <w:t xml:space="preserve">第一章  </w:t>
      </w:r>
      <w:bookmarkEnd w:id="0"/>
      <w:r>
        <w:rPr>
          <w:rFonts w:hint="eastAsia" w:ascii="宋体" w:hAnsi="宋体" w:eastAsia="宋体" w:cs="宋体"/>
          <w:color w:val="auto"/>
        </w:rPr>
        <w:t>招标公告</w:t>
      </w:r>
      <w:bookmarkEnd w:id="1"/>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rPr>
      </w:pPr>
      <w:bookmarkStart w:id="2" w:name="_Toc38030865"/>
      <w:r>
        <w:rPr>
          <w:rFonts w:hint="eastAsia" w:ascii="宋体" w:hAnsi="宋体" w:eastAsia="宋体" w:cs="宋体"/>
          <w:i w:val="0"/>
          <w:caps w:val="0"/>
          <w:color w:val="auto"/>
          <w:spacing w:val="0"/>
          <w:sz w:val="24"/>
          <w:szCs w:val="24"/>
          <w:shd w:val="clear" w:color="auto" w:fill="FFFFFF"/>
          <w:lang w:eastAsia="zh-CN"/>
        </w:rPr>
        <w:t>汉滨区第三人民医院信息安全等级保护建设项目</w:t>
      </w:r>
      <w:r>
        <w:rPr>
          <w:rFonts w:hint="eastAsia" w:ascii="宋体" w:hAnsi="宋体" w:eastAsia="宋体" w:cs="宋体"/>
          <w:i w:val="0"/>
          <w:caps w:val="0"/>
          <w:color w:val="auto"/>
          <w:spacing w:val="0"/>
          <w:sz w:val="24"/>
          <w:szCs w:val="24"/>
          <w:shd w:val="clear" w:color="auto" w:fill="FFFFFF"/>
        </w:rPr>
        <w:t>的潜在投标人应在陕西方得项目管理有限公司（安康市汉滨区滨江大道汉江大剧院西区三楼310室）获取招标文件，并于2022年</w:t>
      </w:r>
      <w:r>
        <w:rPr>
          <w:rFonts w:hint="eastAsia" w:ascii="宋体" w:hAnsi="宋体" w:eastAsia="宋体" w:cs="宋体"/>
          <w:i w:val="0"/>
          <w:caps w:val="0"/>
          <w:color w:val="auto"/>
          <w:spacing w:val="0"/>
          <w:sz w:val="24"/>
          <w:szCs w:val="24"/>
          <w:shd w:val="clear" w:color="auto" w:fill="FFFFFF"/>
          <w:lang w:val="en-US" w:eastAsia="zh-CN"/>
        </w:rPr>
        <w:t>09</w:t>
      </w:r>
      <w:r>
        <w:rPr>
          <w:rFonts w:hint="eastAsia" w:ascii="宋体" w:hAnsi="宋体" w:eastAsia="宋体" w:cs="宋体"/>
          <w:i w:val="0"/>
          <w:caps w:val="0"/>
          <w:color w:val="auto"/>
          <w:spacing w:val="0"/>
          <w:sz w:val="24"/>
          <w:szCs w:val="24"/>
          <w:shd w:val="clear" w:color="auto" w:fill="FFFFFF"/>
        </w:rPr>
        <w:t>月</w:t>
      </w:r>
      <w:r>
        <w:rPr>
          <w:rFonts w:hint="eastAsia" w:ascii="宋体" w:hAnsi="宋体" w:eastAsia="宋体" w:cs="宋体"/>
          <w:i w:val="0"/>
          <w:caps w:val="0"/>
          <w:color w:val="auto"/>
          <w:spacing w:val="0"/>
          <w:sz w:val="24"/>
          <w:szCs w:val="24"/>
          <w:shd w:val="clear" w:color="auto" w:fill="FFFFFF"/>
          <w:lang w:val="en-US" w:eastAsia="zh-CN"/>
        </w:rPr>
        <w:t>30</w:t>
      </w:r>
      <w:r>
        <w:rPr>
          <w:rFonts w:hint="eastAsia" w:ascii="宋体" w:hAnsi="宋体" w:eastAsia="宋体" w:cs="宋体"/>
          <w:i w:val="0"/>
          <w:caps w:val="0"/>
          <w:color w:val="auto"/>
          <w:spacing w:val="0"/>
          <w:sz w:val="24"/>
          <w:szCs w:val="24"/>
          <w:shd w:val="clear" w:color="auto" w:fill="FFFFFF"/>
        </w:rPr>
        <w:t>日</w:t>
      </w:r>
      <w:r>
        <w:rPr>
          <w:rFonts w:hint="eastAsia" w:ascii="宋体" w:hAnsi="宋体" w:eastAsia="宋体" w:cs="宋体"/>
          <w:i w:val="0"/>
          <w:caps w:val="0"/>
          <w:color w:val="auto"/>
          <w:spacing w:val="0"/>
          <w:sz w:val="24"/>
          <w:szCs w:val="24"/>
          <w:shd w:val="clear" w:color="auto" w:fill="FFFFFF"/>
          <w:lang w:val="en-US" w:eastAsia="zh-CN"/>
        </w:rPr>
        <w:t>14</w:t>
      </w:r>
      <w:r>
        <w:rPr>
          <w:rFonts w:hint="eastAsia" w:ascii="宋体" w:hAnsi="宋体" w:eastAsia="宋体" w:cs="宋体"/>
          <w:i w:val="0"/>
          <w:caps w:val="0"/>
          <w:color w:val="auto"/>
          <w:spacing w:val="0"/>
          <w:sz w:val="24"/>
          <w:szCs w:val="24"/>
          <w:shd w:val="clear" w:color="auto" w:fill="FFFFFF"/>
        </w:rPr>
        <w:t>时</w:t>
      </w:r>
      <w:r>
        <w:rPr>
          <w:rFonts w:hint="eastAsia" w:ascii="宋体" w:hAnsi="宋体" w:eastAsia="宋体" w:cs="宋体"/>
          <w:i w:val="0"/>
          <w:caps w:val="0"/>
          <w:color w:val="auto"/>
          <w:spacing w:val="0"/>
          <w:sz w:val="24"/>
          <w:szCs w:val="24"/>
          <w:shd w:val="clear" w:color="auto" w:fill="FFFFFF"/>
          <w:lang w:val="en-US" w:eastAsia="zh-CN"/>
        </w:rPr>
        <w:t>00</w:t>
      </w:r>
      <w:r>
        <w:rPr>
          <w:rFonts w:hint="eastAsia" w:ascii="宋体" w:hAnsi="宋体" w:eastAsia="宋体" w:cs="宋体"/>
          <w:i w:val="0"/>
          <w:caps w:val="0"/>
          <w:color w:val="auto"/>
          <w:spacing w:val="0"/>
          <w:sz w:val="24"/>
          <w:szCs w:val="24"/>
          <w:shd w:val="clear" w:color="auto" w:fill="FFFFFF"/>
        </w:rPr>
        <w:t>分（北京时间）前递交投标文件。</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b w:val="0"/>
          <w:i w:val="0"/>
          <w:caps w:val="0"/>
          <w:color w:val="auto"/>
          <w:spacing w:val="0"/>
          <w:sz w:val="24"/>
          <w:szCs w:val="24"/>
          <w:u w:val="none"/>
        </w:rPr>
      </w:pPr>
      <w:r>
        <w:rPr>
          <w:rStyle w:val="27"/>
          <w:rFonts w:hint="eastAsia" w:ascii="宋体" w:hAnsi="宋体" w:eastAsia="宋体" w:cs="宋体"/>
          <w:b/>
          <w:i w:val="0"/>
          <w:caps w:val="0"/>
          <w:color w:val="auto"/>
          <w:spacing w:val="0"/>
          <w:sz w:val="24"/>
          <w:szCs w:val="24"/>
          <w:u w:val="none"/>
          <w:shd w:val="clear" w:color="auto" w:fill="FFFFFF"/>
        </w:rPr>
        <w:t>一、项目基本情况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项目编号：FDDL-2022163</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项目名称：汉滨区第三人民医院信息安全等级保护建设项目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采购方式：公开招标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预算金额：</w:t>
      </w:r>
      <w:r>
        <w:rPr>
          <w:rFonts w:hint="eastAsia" w:ascii="宋体" w:hAnsi="宋体" w:eastAsia="宋体" w:cs="宋体"/>
          <w:i w:val="0"/>
          <w:caps w:val="0"/>
          <w:color w:val="auto"/>
          <w:spacing w:val="0"/>
          <w:sz w:val="24"/>
          <w:szCs w:val="24"/>
          <w:shd w:val="clear" w:color="auto" w:fill="FFFFFF"/>
          <w:lang w:val="en-US" w:eastAsia="zh-CN"/>
        </w:rPr>
        <w:t>950000.00</w:t>
      </w:r>
      <w:r>
        <w:rPr>
          <w:rFonts w:hint="eastAsia" w:ascii="宋体" w:hAnsi="宋体" w:eastAsia="宋体" w:cs="宋体"/>
          <w:i w:val="0"/>
          <w:caps w:val="0"/>
          <w:color w:val="auto"/>
          <w:spacing w:val="0"/>
          <w:sz w:val="24"/>
          <w:szCs w:val="24"/>
          <w:shd w:val="clear" w:color="auto" w:fill="FFFFFF"/>
          <w:lang w:eastAsia="zh-CN"/>
        </w:rPr>
        <w:t>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采购需求：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合同包1(汉滨区第三人民医院信息安全等级保护建设项目):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i w:val="0"/>
          <w:caps w:val="0"/>
          <w:color w:val="auto"/>
          <w:spacing w:val="0"/>
          <w:sz w:val="24"/>
          <w:szCs w:val="24"/>
          <w:shd w:val="clear" w:color="auto" w:fill="FFFFFF"/>
        </w:rPr>
        <w:t>合同包预算金额：</w:t>
      </w:r>
      <w:r>
        <w:rPr>
          <w:rFonts w:hint="eastAsia" w:ascii="宋体" w:hAnsi="宋体" w:eastAsia="宋体" w:cs="宋体"/>
          <w:i w:val="0"/>
          <w:caps w:val="0"/>
          <w:color w:val="auto"/>
          <w:spacing w:val="0"/>
          <w:sz w:val="24"/>
          <w:szCs w:val="24"/>
          <w:shd w:val="clear" w:color="auto" w:fill="FFFFFF"/>
          <w:lang w:val="en-US" w:eastAsia="zh-CN"/>
        </w:rPr>
        <w:t>950000.00</w:t>
      </w:r>
      <w:r>
        <w:rPr>
          <w:rFonts w:hint="eastAsia" w:ascii="宋体" w:hAnsi="宋体" w:eastAsia="宋体" w:cs="宋体"/>
          <w:i w:val="0"/>
          <w:caps w:val="0"/>
          <w:color w:val="auto"/>
          <w:spacing w:val="0"/>
          <w:sz w:val="24"/>
          <w:szCs w:val="24"/>
          <w:shd w:val="clear" w:color="auto" w:fill="FFFFFF"/>
        </w:rPr>
        <w:t>元</w:t>
      </w:r>
      <w:r>
        <w:rPr>
          <w:rFonts w:hint="eastAsia" w:ascii="宋体" w:hAnsi="宋体" w:eastAsia="宋体" w:cs="宋体"/>
          <w:i w:val="0"/>
          <w:caps w:val="0"/>
          <w:color w:val="auto"/>
          <w:spacing w:val="0"/>
          <w:sz w:val="24"/>
          <w:szCs w:val="24"/>
          <w:shd w:val="clear" w:color="auto" w:fill="FFFFFF"/>
          <w:lang w:eastAsia="zh-CN"/>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color="auto" w:fill="FFFFFF"/>
        </w:rPr>
        <w:t>合同包最高限价：</w:t>
      </w:r>
      <w:r>
        <w:rPr>
          <w:rFonts w:hint="eastAsia" w:ascii="宋体" w:hAnsi="宋体" w:eastAsia="宋体" w:cs="宋体"/>
          <w:i w:val="0"/>
          <w:caps w:val="0"/>
          <w:color w:val="auto"/>
          <w:spacing w:val="0"/>
          <w:sz w:val="24"/>
          <w:szCs w:val="24"/>
          <w:shd w:val="clear" w:color="auto" w:fill="FFFFFF"/>
          <w:lang w:val="en-US" w:eastAsia="zh-CN"/>
        </w:rPr>
        <w:t>950000.00</w:t>
      </w:r>
      <w:r>
        <w:rPr>
          <w:rFonts w:hint="eastAsia" w:ascii="宋体" w:hAnsi="宋体" w:eastAsia="宋体" w:cs="宋体"/>
          <w:i w:val="0"/>
          <w:caps w:val="0"/>
          <w:color w:val="auto"/>
          <w:spacing w:val="0"/>
          <w:sz w:val="24"/>
          <w:szCs w:val="24"/>
          <w:shd w:val="clear" w:color="auto" w:fill="FFFFFF"/>
        </w:rPr>
        <w:t>元</w:t>
      </w:r>
      <w:r>
        <w:rPr>
          <w:rFonts w:hint="eastAsia" w:ascii="宋体" w:hAnsi="宋体" w:eastAsia="宋体" w:cs="宋体"/>
          <w:i w:val="0"/>
          <w:caps w:val="0"/>
          <w:color w:val="auto"/>
          <w:spacing w:val="0"/>
          <w:sz w:val="24"/>
          <w:szCs w:val="24"/>
          <w:shd w:val="clear" w:color="auto" w:fill="FFFFFF"/>
          <w:lang w:val="en-US" w:eastAsia="zh-CN"/>
        </w:rPr>
        <w:t>。</w:t>
      </w:r>
    </w:p>
    <w:tbl>
      <w:tblPr>
        <w:tblStyle w:val="23"/>
        <w:tblW w:w="93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52"/>
        <w:gridCol w:w="2503"/>
        <w:gridCol w:w="1225"/>
        <w:gridCol w:w="813"/>
        <w:gridCol w:w="1262"/>
        <w:gridCol w:w="1500"/>
        <w:gridCol w:w="14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89" w:hRule="atLeast"/>
          <w:tblHeader/>
        </w:trPr>
        <w:tc>
          <w:tcPr>
            <w:tcW w:w="5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品目号</w:t>
            </w:r>
          </w:p>
        </w:tc>
        <w:tc>
          <w:tcPr>
            <w:tcW w:w="25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品目</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名称</w:t>
            </w:r>
          </w:p>
        </w:tc>
        <w:tc>
          <w:tcPr>
            <w:tcW w:w="12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采购标的</w:t>
            </w:r>
          </w:p>
        </w:tc>
        <w:tc>
          <w:tcPr>
            <w:tcW w:w="8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（单位）</w:t>
            </w:r>
          </w:p>
        </w:tc>
        <w:tc>
          <w:tcPr>
            <w:tcW w:w="12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品目预算(元)</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1" w:hRule="atLeast"/>
        </w:trPr>
        <w:tc>
          <w:tcPr>
            <w:tcW w:w="5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25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汉滨区第三人民医院信息安全等级保护建设项目</w:t>
            </w:r>
          </w:p>
        </w:tc>
        <w:tc>
          <w:tcPr>
            <w:tcW w:w="12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符合三级等级保护建设要求</w:t>
            </w:r>
          </w:p>
        </w:tc>
        <w:tc>
          <w:tcPr>
            <w:tcW w:w="8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1批</w:t>
            </w:r>
          </w:p>
        </w:tc>
        <w:tc>
          <w:tcPr>
            <w:tcW w:w="12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详见采购文件</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i w:val="0"/>
                <w:caps w:val="0"/>
                <w:color w:val="auto"/>
                <w:spacing w:val="0"/>
                <w:sz w:val="24"/>
                <w:szCs w:val="24"/>
                <w:shd w:val="clear" w:color="auto" w:fill="FFFFFF"/>
                <w:lang w:val="en-US" w:eastAsia="zh-CN"/>
              </w:rPr>
              <w:t>950000.00</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color="auto" w:fill="FFFFFF"/>
                <w:lang w:val="en-US" w:eastAsia="zh-CN"/>
              </w:rPr>
              <w:t>950000.00</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color="auto" w:fill="FFFFFF"/>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i w:val="0"/>
          <w:caps w:val="0"/>
          <w:color w:val="auto"/>
          <w:spacing w:val="0"/>
          <w:sz w:val="24"/>
          <w:szCs w:val="24"/>
          <w:shd w:val="clear" w:color="auto" w:fill="FFFFFF"/>
        </w:rPr>
        <w:t>合同履行期限：</w:t>
      </w:r>
      <w:r>
        <w:rPr>
          <w:rFonts w:hint="eastAsia" w:ascii="宋体" w:hAnsi="宋体" w:eastAsia="宋体" w:cs="宋体"/>
          <w:i w:val="0"/>
          <w:caps w:val="0"/>
          <w:color w:val="auto"/>
          <w:spacing w:val="0"/>
          <w:sz w:val="24"/>
          <w:szCs w:val="24"/>
          <w:shd w:val="clear" w:color="auto" w:fill="FFFFFF"/>
          <w:lang w:eastAsia="zh-CN"/>
        </w:rPr>
        <w:t>合同签订后</w:t>
      </w:r>
      <w:r>
        <w:rPr>
          <w:rFonts w:hint="eastAsia" w:ascii="宋体" w:hAnsi="宋体" w:eastAsia="宋体" w:cs="宋体"/>
          <w:i w:val="0"/>
          <w:caps w:val="0"/>
          <w:color w:val="auto"/>
          <w:spacing w:val="0"/>
          <w:sz w:val="24"/>
          <w:szCs w:val="24"/>
          <w:shd w:val="clear" w:color="auto" w:fill="FFFFFF"/>
          <w:lang w:val="en-US" w:eastAsia="zh-CN"/>
        </w:rPr>
        <w:t>90日历天。</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i w:val="0"/>
          <w:caps w:val="0"/>
          <w:color w:val="auto"/>
          <w:spacing w:val="0"/>
          <w:sz w:val="24"/>
          <w:szCs w:val="24"/>
          <w:u w:val="none"/>
        </w:rPr>
      </w:pPr>
      <w:r>
        <w:rPr>
          <w:rStyle w:val="27"/>
          <w:rFonts w:hint="eastAsia" w:ascii="宋体" w:hAnsi="宋体" w:eastAsia="宋体" w:cs="宋体"/>
          <w:b/>
          <w:i w:val="0"/>
          <w:caps w:val="0"/>
          <w:color w:val="auto"/>
          <w:spacing w:val="0"/>
          <w:sz w:val="24"/>
          <w:szCs w:val="24"/>
          <w:u w:val="none"/>
          <w:shd w:val="clear" w:color="auto" w:fill="FFFFFF"/>
        </w:rPr>
        <w:t>二、申请人的资格要求：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i w:val="0"/>
          <w:caps w:val="0"/>
          <w:color w:val="auto"/>
          <w:spacing w:val="0"/>
          <w:sz w:val="24"/>
          <w:szCs w:val="24"/>
          <w:shd w:val="clear" w:color="auto" w:fill="FFFFFF"/>
        </w:rPr>
        <w:t>1.满足《中华人民共和国政府采购法》第二十二条规定</w:t>
      </w:r>
      <w:r>
        <w:rPr>
          <w:rFonts w:hint="eastAsia" w:eastAsia="宋体" w:cs="宋体"/>
          <w:i w:val="0"/>
          <w:caps w:val="0"/>
          <w:color w:val="auto"/>
          <w:spacing w:val="0"/>
          <w:sz w:val="24"/>
          <w:szCs w:val="24"/>
          <w:shd w:val="clear" w:color="auto" w:fill="FFFFFF"/>
          <w:lang w:eastAsia="zh-CN"/>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color="auto" w:fill="FFFFFF"/>
        </w:rPr>
        <w:t>2.落实政府采购政策需满足的资格要求：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rPr>
        <w:t>合同包1(</w:t>
      </w:r>
      <w:r>
        <w:rPr>
          <w:rFonts w:hint="eastAsia" w:ascii="宋体" w:hAnsi="宋体" w:eastAsia="宋体" w:cs="宋体"/>
          <w:i w:val="0"/>
          <w:caps w:val="0"/>
          <w:color w:val="auto"/>
          <w:spacing w:val="0"/>
          <w:sz w:val="24"/>
          <w:szCs w:val="24"/>
          <w:shd w:val="clear" w:color="auto" w:fill="FFFFFF"/>
          <w:lang w:eastAsia="zh-CN"/>
        </w:rPr>
        <w:t>汉滨区第三人民医院信息安全等级保护建设项目</w:t>
      </w:r>
      <w:r>
        <w:rPr>
          <w:rFonts w:hint="eastAsia" w:ascii="宋体" w:hAnsi="宋体" w:eastAsia="宋体" w:cs="宋体"/>
          <w:i w:val="0"/>
          <w:caps w:val="0"/>
          <w:color w:val="auto"/>
          <w:spacing w:val="0"/>
          <w:sz w:val="24"/>
          <w:szCs w:val="24"/>
          <w:shd w:val="clear" w:color="auto" w:fill="FFFFFF"/>
        </w:rPr>
        <w:t>)落实政府采购政策需满足的资格要求如下:</w:t>
      </w:r>
    </w:p>
    <w:p>
      <w:pPr>
        <w:pStyle w:val="2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60" w:leftChars="0" w:right="0" w:firstLine="480" w:firstLineChars="0"/>
        <w:jc w:val="left"/>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rPr>
        <w:t>《政府采购促进中小企业发展管理办法》（财库〔2020〕46号）；</w:t>
      </w:r>
    </w:p>
    <w:p>
      <w:pPr>
        <w:pStyle w:val="2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60" w:leftChars="0" w:right="0" w:firstLine="480" w:firstLineChars="0"/>
        <w:jc w:val="left"/>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rPr>
        <w:t>《财政部司法部关于政府采购支持监狱企业发展有关问题的通知》（财库〔2014〕68号）；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rPr>
        <w:t>（3）《国务院办公厅关于建立政府强制采购节能产品制度的通知》（国办发〔2007〕51号）；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rPr>
        <w:t>（4）《节能产品政府采购实施意见》（财库[2004]185号）；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rPr>
        <w:t>（5）《环境标志产品政府采购实施的意见》（财库[2006]90号）；</w:t>
      </w:r>
    </w:p>
    <w:p>
      <w:pPr>
        <w:pStyle w:val="21"/>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rPr>
        <w:t>《三部门联合发布关于促进残疾人就业政府采购政策的通知》（财库〔2017〕141号）；</w:t>
      </w:r>
    </w:p>
    <w:p>
      <w:pPr>
        <w:pStyle w:val="21"/>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rPr>
        <w:t>《财政部 发展改革委生态环境部市场监管总局关于调整优化节能产品、环境标志产品政府采购执行机制的通知》（财库〔2019〕9号）；</w:t>
      </w:r>
    </w:p>
    <w:p>
      <w:pPr>
        <w:pStyle w:val="21"/>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leftChars="0" w:right="0" w:firstLine="480" w:firstLineChars="200"/>
        <w:jc w:val="left"/>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rPr>
        <w:t>陕西省财政厅关于印发《陕西省中小企业政府采购信用融资办法》（陕财办采〔2018〕23号）。</w:t>
      </w:r>
    </w:p>
    <w:p>
      <w:pPr>
        <w:pStyle w:val="21"/>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leftChars="0" w:right="0" w:firstLine="480" w:firstLineChars="200"/>
        <w:jc w:val="left"/>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lang w:eastAsia="zh-CN"/>
        </w:rPr>
        <w:t>本项目非专门面向中小企业采购。</w:t>
      </w:r>
    </w:p>
    <w:p>
      <w:pPr>
        <w:pStyle w:val="21"/>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color="auto" w:fill="FFFFFF"/>
        </w:rPr>
        <w:t>本项目的特定资格要求：</w:t>
      </w:r>
      <w:r>
        <w:rPr>
          <w:rFonts w:hint="eastAsia" w:eastAsia="宋体" w:cs="宋体"/>
          <w:i w:val="0"/>
          <w:caps w:val="0"/>
          <w:color w:val="auto"/>
          <w:spacing w:val="0"/>
          <w:sz w:val="24"/>
          <w:szCs w:val="24"/>
          <w:shd w:val="clear" w:color="auto" w:fill="FFFFFF"/>
          <w:lang w:val="en-US" w:eastAsia="zh-CN"/>
        </w:rPr>
        <w:t xml:space="preserve">                                                                                                                                                                                                                                                                                                                                                                                                                                                                                                                                                                                                                                                                                         </w:t>
      </w:r>
      <w:r>
        <w:rPr>
          <w:rFonts w:hint="default" w:eastAsia="宋体" w:cs="宋体"/>
          <w:i w:val="0"/>
          <w:caps w:val="0"/>
          <w:color w:val="auto"/>
          <w:spacing w:val="0"/>
          <w:sz w:val="24"/>
          <w:szCs w:val="24"/>
          <w:shd w:val="clear" w:color="auto" w:fill="FFFFFF"/>
          <w:lang w:eastAsia="zh-CN"/>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合同包1(汉滨区第三人民医院信息安全等级保护建设项目)特定资格要求如下: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（1）具有独立承担民事责任能力的法人、其他组织或自然人，并出具经年检合格的营业执照或事业单位法人证书等国家规定的相关证明，自然人参与的提供其身份证明；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（2）提供法定代表人授权书（附法定代表人身份证复印件加盖公章）及被授权人身份证（法定代表人直接参加投标的，须出具法人身份证原件）；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（3）具有履行合同所必需的设备和专业技术能力（提供自述材料）；</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（4）参加政府采购活动前三年内，在经营活动中没有重大违法记录的书面声明；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 xml:space="preserve">（5）社会保障资金缴纳证明：提供 2021年 </w:t>
      </w:r>
      <w:r>
        <w:rPr>
          <w:rFonts w:hint="eastAsia" w:ascii="宋体" w:hAnsi="宋体" w:eastAsia="宋体" w:cs="宋体"/>
          <w:i w:val="0"/>
          <w:caps w:val="0"/>
          <w:color w:val="auto"/>
          <w:spacing w:val="0"/>
          <w:sz w:val="24"/>
          <w:szCs w:val="24"/>
          <w:shd w:val="clear" w:color="auto" w:fill="FFFFFF"/>
          <w:lang w:val="en-US" w:eastAsia="zh-CN"/>
        </w:rPr>
        <w:t>9</w:t>
      </w:r>
      <w:r>
        <w:rPr>
          <w:rFonts w:hint="eastAsia" w:ascii="宋体" w:hAnsi="宋体" w:eastAsia="宋体" w:cs="宋体"/>
          <w:i w:val="0"/>
          <w:caps w:val="0"/>
          <w:color w:val="auto"/>
          <w:spacing w:val="0"/>
          <w:sz w:val="24"/>
          <w:szCs w:val="24"/>
          <w:shd w:val="clear" w:color="auto" w:fill="FFFFFF"/>
          <w:lang w:eastAsia="zh-CN"/>
        </w:rPr>
        <w:t>月至今已缴存的至少三个月的社会保障资金缴存单据或社保机构开具的社会保险参保缴费情况证明，依法不需要缴纳社会保障资金的单位应提供相关证明材料；</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（6）提供 2021 年的财务审计报告（至少包括资产负债表和利润表，成立时间至提交响应文件截 止时间不足一年的可提供成立后任意时段的资产负债表），或其基本存款账户开户银行出具的资信证明及基本存款账户开户许可证；</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7）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三、获取招标文件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时间：2022年</w:t>
      </w:r>
      <w:r>
        <w:rPr>
          <w:rFonts w:hint="eastAsia" w:ascii="宋体" w:hAnsi="宋体" w:eastAsia="宋体" w:cs="宋体"/>
          <w:i w:val="0"/>
          <w:caps w:val="0"/>
          <w:color w:val="auto"/>
          <w:spacing w:val="0"/>
          <w:sz w:val="24"/>
          <w:szCs w:val="24"/>
          <w:shd w:val="clear" w:color="auto" w:fill="FFFFFF"/>
          <w:lang w:val="en-US" w:eastAsia="zh-CN"/>
        </w:rPr>
        <w:t>09</w:t>
      </w:r>
      <w:r>
        <w:rPr>
          <w:rFonts w:hint="eastAsia" w:ascii="宋体" w:hAnsi="宋体" w:eastAsia="宋体" w:cs="宋体"/>
          <w:i w:val="0"/>
          <w:caps w:val="0"/>
          <w:color w:val="auto"/>
          <w:spacing w:val="0"/>
          <w:sz w:val="24"/>
          <w:szCs w:val="24"/>
          <w:shd w:val="clear" w:color="auto" w:fill="FFFFFF"/>
          <w:lang w:eastAsia="zh-CN"/>
        </w:rPr>
        <w:t>月</w:t>
      </w:r>
      <w:r>
        <w:rPr>
          <w:rFonts w:hint="eastAsia" w:ascii="宋体" w:hAnsi="宋体" w:eastAsia="宋体" w:cs="宋体"/>
          <w:i w:val="0"/>
          <w:caps w:val="0"/>
          <w:color w:val="auto"/>
          <w:spacing w:val="0"/>
          <w:sz w:val="24"/>
          <w:szCs w:val="24"/>
          <w:shd w:val="clear" w:color="auto" w:fill="FFFFFF"/>
          <w:lang w:val="en-US" w:eastAsia="zh-CN"/>
        </w:rPr>
        <w:t>09</w:t>
      </w:r>
      <w:r>
        <w:rPr>
          <w:rFonts w:hint="eastAsia" w:ascii="宋体" w:hAnsi="宋体" w:eastAsia="宋体" w:cs="宋体"/>
          <w:i w:val="0"/>
          <w:caps w:val="0"/>
          <w:color w:val="auto"/>
          <w:spacing w:val="0"/>
          <w:sz w:val="24"/>
          <w:szCs w:val="24"/>
          <w:shd w:val="clear" w:color="auto" w:fill="FFFFFF"/>
          <w:lang w:eastAsia="zh-CN"/>
        </w:rPr>
        <w:t>日至2022年</w:t>
      </w:r>
      <w:r>
        <w:rPr>
          <w:rFonts w:hint="eastAsia" w:ascii="宋体" w:hAnsi="宋体" w:eastAsia="宋体" w:cs="宋体"/>
          <w:i w:val="0"/>
          <w:caps w:val="0"/>
          <w:color w:val="auto"/>
          <w:spacing w:val="0"/>
          <w:sz w:val="24"/>
          <w:szCs w:val="24"/>
          <w:shd w:val="clear" w:color="auto" w:fill="FFFFFF"/>
          <w:lang w:val="en-US" w:eastAsia="zh-CN"/>
        </w:rPr>
        <w:t>09</w:t>
      </w:r>
      <w:r>
        <w:rPr>
          <w:rFonts w:hint="eastAsia" w:ascii="宋体" w:hAnsi="宋体" w:eastAsia="宋体" w:cs="宋体"/>
          <w:i w:val="0"/>
          <w:caps w:val="0"/>
          <w:color w:val="auto"/>
          <w:spacing w:val="0"/>
          <w:sz w:val="24"/>
          <w:szCs w:val="24"/>
          <w:shd w:val="clear" w:color="auto" w:fill="FFFFFF"/>
          <w:lang w:eastAsia="zh-CN"/>
        </w:rPr>
        <w:t>月</w:t>
      </w:r>
      <w:r>
        <w:rPr>
          <w:rFonts w:hint="eastAsia" w:ascii="宋体" w:hAnsi="宋体" w:eastAsia="宋体" w:cs="宋体"/>
          <w:i w:val="0"/>
          <w:caps w:val="0"/>
          <w:color w:val="auto"/>
          <w:spacing w:val="0"/>
          <w:sz w:val="24"/>
          <w:szCs w:val="24"/>
          <w:shd w:val="clear" w:color="auto" w:fill="FFFFFF"/>
          <w:lang w:val="en-US" w:eastAsia="zh-CN"/>
        </w:rPr>
        <w:t>1</w:t>
      </w:r>
      <w:r>
        <w:rPr>
          <w:rFonts w:hint="eastAsia" w:eastAsia="宋体" w:cs="宋体"/>
          <w:i w:val="0"/>
          <w:caps w:val="0"/>
          <w:color w:val="auto"/>
          <w:spacing w:val="0"/>
          <w:sz w:val="24"/>
          <w:szCs w:val="24"/>
          <w:shd w:val="clear" w:color="auto" w:fill="FFFFFF"/>
          <w:lang w:val="en-US" w:eastAsia="zh-CN"/>
        </w:rPr>
        <w:t>9</w:t>
      </w:r>
      <w:r>
        <w:rPr>
          <w:rFonts w:hint="eastAsia" w:ascii="宋体" w:hAnsi="宋体" w:eastAsia="宋体" w:cs="宋体"/>
          <w:i w:val="0"/>
          <w:caps w:val="0"/>
          <w:color w:val="auto"/>
          <w:spacing w:val="0"/>
          <w:sz w:val="24"/>
          <w:szCs w:val="24"/>
          <w:shd w:val="clear" w:color="auto" w:fill="FFFFFF"/>
          <w:lang w:eastAsia="zh-CN"/>
        </w:rPr>
        <w:t>日，每天上午09:00:00至12:00:00，下午14:00:00至17:00:00（北京时间,法定节假日除外）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default"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地点：陕西方得项目管理有限公司（安康市汉滨区滨江大道汉江大剧院西区三楼</w:t>
      </w:r>
      <w:r>
        <w:rPr>
          <w:rFonts w:hint="eastAsia" w:ascii="宋体" w:hAnsi="宋体" w:eastAsia="宋体" w:cs="宋体"/>
          <w:i w:val="0"/>
          <w:caps w:val="0"/>
          <w:color w:val="auto"/>
          <w:spacing w:val="0"/>
          <w:sz w:val="24"/>
          <w:szCs w:val="24"/>
          <w:shd w:val="clear" w:color="auto" w:fill="FFFFFF"/>
          <w:lang w:val="en-US" w:eastAsia="zh-CN"/>
        </w:rPr>
        <w:t>310室</w:t>
      </w:r>
      <w:r>
        <w:rPr>
          <w:rFonts w:hint="eastAsia" w:ascii="宋体" w:hAnsi="宋体" w:eastAsia="宋体" w:cs="宋体"/>
          <w:i w:val="0"/>
          <w:caps w:val="0"/>
          <w:color w:val="auto"/>
          <w:spacing w:val="0"/>
          <w:sz w:val="24"/>
          <w:szCs w:val="24"/>
          <w:shd w:val="clear" w:color="auto" w:fill="FFFFFF"/>
          <w:lang w:eastAsia="zh-CN"/>
        </w:rPr>
        <w:t>）</w:t>
      </w:r>
      <w:r>
        <w:rPr>
          <w:rFonts w:hint="default" w:eastAsia="宋体" w:cs="宋体"/>
          <w:i w:val="0"/>
          <w:caps w:val="0"/>
          <w:color w:val="auto"/>
          <w:spacing w:val="0"/>
          <w:sz w:val="24"/>
          <w:szCs w:val="24"/>
          <w:shd w:val="clear" w:color="auto" w:fill="FFFFFF"/>
          <w:lang w:eastAsia="zh-CN"/>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方式：在线获取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售价：500元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四、提交投标文件截止时间、开标时间和地点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2022年</w:t>
      </w:r>
      <w:r>
        <w:rPr>
          <w:rFonts w:hint="eastAsia" w:ascii="宋体" w:hAnsi="宋体" w:eastAsia="宋体" w:cs="宋体"/>
          <w:i w:val="0"/>
          <w:caps w:val="0"/>
          <w:color w:val="auto"/>
          <w:spacing w:val="0"/>
          <w:sz w:val="24"/>
          <w:szCs w:val="24"/>
          <w:shd w:val="clear" w:color="auto" w:fill="FFFFFF"/>
          <w:lang w:val="en-US" w:eastAsia="zh-CN"/>
        </w:rPr>
        <w:t>09</w:t>
      </w:r>
      <w:r>
        <w:rPr>
          <w:rFonts w:hint="eastAsia" w:ascii="宋体" w:hAnsi="宋体" w:eastAsia="宋体" w:cs="宋体"/>
          <w:i w:val="0"/>
          <w:caps w:val="0"/>
          <w:color w:val="auto"/>
          <w:spacing w:val="0"/>
          <w:sz w:val="24"/>
          <w:szCs w:val="24"/>
          <w:shd w:val="clear" w:color="auto" w:fill="FFFFFF"/>
          <w:lang w:eastAsia="zh-CN"/>
        </w:rPr>
        <w:t>月</w:t>
      </w:r>
      <w:r>
        <w:rPr>
          <w:rFonts w:hint="eastAsia" w:ascii="宋体" w:hAnsi="宋体" w:eastAsia="宋体" w:cs="宋体"/>
          <w:i w:val="0"/>
          <w:caps w:val="0"/>
          <w:color w:val="auto"/>
          <w:spacing w:val="0"/>
          <w:sz w:val="24"/>
          <w:szCs w:val="24"/>
          <w:shd w:val="clear" w:color="auto" w:fill="FFFFFF"/>
          <w:lang w:val="en-US" w:eastAsia="zh-CN"/>
        </w:rPr>
        <w:t>30</w:t>
      </w:r>
      <w:r>
        <w:rPr>
          <w:rFonts w:hint="eastAsia" w:ascii="宋体" w:hAnsi="宋体" w:eastAsia="宋体" w:cs="宋体"/>
          <w:i w:val="0"/>
          <w:caps w:val="0"/>
          <w:color w:val="auto"/>
          <w:spacing w:val="0"/>
          <w:sz w:val="24"/>
          <w:szCs w:val="24"/>
          <w:shd w:val="clear" w:color="auto" w:fill="FFFFFF"/>
          <w:lang w:eastAsia="zh-CN"/>
        </w:rPr>
        <w:t>日</w:t>
      </w:r>
      <w:r>
        <w:rPr>
          <w:rFonts w:hint="eastAsia" w:ascii="宋体" w:hAnsi="宋体" w:eastAsia="宋体" w:cs="宋体"/>
          <w:i w:val="0"/>
          <w:caps w:val="0"/>
          <w:color w:val="auto"/>
          <w:spacing w:val="0"/>
          <w:sz w:val="24"/>
          <w:szCs w:val="24"/>
          <w:shd w:val="clear" w:color="auto" w:fill="FFFFFF"/>
          <w:lang w:val="en-US" w:eastAsia="zh-CN"/>
        </w:rPr>
        <w:t>14</w:t>
      </w:r>
      <w:r>
        <w:rPr>
          <w:rFonts w:hint="eastAsia" w:ascii="宋体" w:hAnsi="宋体" w:eastAsia="宋体" w:cs="宋体"/>
          <w:i w:val="0"/>
          <w:caps w:val="0"/>
          <w:color w:val="auto"/>
          <w:spacing w:val="0"/>
          <w:sz w:val="24"/>
          <w:szCs w:val="24"/>
          <w:shd w:val="clear" w:color="auto" w:fill="FFFFFF"/>
          <w:lang w:eastAsia="zh-CN"/>
        </w:rPr>
        <w:t>时</w:t>
      </w:r>
      <w:r>
        <w:rPr>
          <w:rFonts w:hint="eastAsia" w:ascii="宋体" w:hAnsi="宋体" w:eastAsia="宋体" w:cs="宋体"/>
          <w:i w:val="0"/>
          <w:caps w:val="0"/>
          <w:color w:val="auto"/>
          <w:spacing w:val="0"/>
          <w:sz w:val="24"/>
          <w:szCs w:val="24"/>
          <w:shd w:val="clear" w:color="auto" w:fill="FFFFFF"/>
          <w:lang w:val="en-US" w:eastAsia="zh-CN"/>
        </w:rPr>
        <w:t>00</w:t>
      </w:r>
      <w:r>
        <w:rPr>
          <w:rFonts w:hint="eastAsia" w:ascii="宋体" w:hAnsi="宋体" w:eastAsia="宋体" w:cs="宋体"/>
          <w:i w:val="0"/>
          <w:caps w:val="0"/>
          <w:color w:val="auto"/>
          <w:spacing w:val="0"/>
          <w:sz w:val="24"/>
          <w:szCs w:val="24"/>
          <w:shd w:val="clear" w:color="auto" w:fill="FFFFFF"/>
          <w:lang w:eastAsia="zh-CN"/>
        </w:rPr>
        <w:t>分</w:t>
      </w:r>
      <w:r>
        <w:rPr>
          <w:rFonts w:hint="eastAsia" w:ascii="宋体" w:hAnsi="宋体" w:eastAsia="宋体" w:cs="宋体"/>
          <w:i w:val="0"/>
          <w:caps w:val="0"/>
          <w:color w:val="auto"/>
          <w:spacing w:val="0"/>
          <w:sz w:val="24"/>
          <w:szCs w:val="24"/>
          <w:shd w:val="clear" w:color="auto" w:fill="FFFFFF"/>
          <w:lang w:val="en-US" w:eastAsia="zh-CN"/>
        </w:rPr>
        <w:t>00</w:t>
      </w:r>
      <w:r>
        <w:rPr>
          <w:rFonts w:hint="eastAsia" w:ascii="宋体" w:hAnsi="宋体" w:eastAsia="宋体" w:cs="宋体"/>
          <w:i w:val="0"/>
          <w:caps w:val="0"/>
          <w:color w:val="auto"/>
          <w:spacing w:val="0"/>
          <w:sz w:val="24"/>
          <w:szCs w:val="24"/>
          <w:shd w:val="clear" w:color="auto" w:fill="FFFFFF"/>
          <w:lang w:eastAsia="zh-CN"/>
        </w:rPr>
        <w:t>秒（北京时间）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地点：全国公共资源交易平台（陕西省·安康市）网上递交。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五、公告期限</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自本公告发布之日起5个工作日。</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六、其他补充事宜</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eastAsia="zh-CN"/>
        </w:rPr>
        <w:t>本项目开标地点：安康市公共资源交易中心</w:t>
      </w:r>
      <w:r>
        <w:rPr>
          <w:rFonts w:hint="eastAsia" w:ascii="宋体" w:hAnsi="宋体" w:eastAsia="宋体" w:cs="宋体"/>
          <w:i w:val="0"/>
          <w:caps w:val="0"/>
          <w:color w:val="auto"/>
          <w:spacing w:val="0"/>
          <w:sz w:val="24"/>
          <w:szCs w:val="24"/>
          <w:shd w:val="clear" w:color="auto" w:fill="FFFFFF"/>
          <w:lang w:val="en-US" w:eastAsia="zh-CN"/>
        </w:rPr>
        <w:t>303</w:t>
      </w:r>
      <w:r>
        <w:rPr>
          <w:rFonts w:hint="eastAsia" w:ascii="宋体" w:hAnsi="宋体" w:eastAsia="宋体" w:cs="宋体"/>
          <w:i w:val="0"/>
          <w:caps w:val="0"/>
          <w:color w:val="auto"/>
          <w:spacing w:val="0"/>
          <w:sz w:val="24"/>
          <w:szCs w:val="24"/>
          <w:shd w:val="clear" w:color="auto" w:fill="FFFFFF"/>
          <w:lang w:eastAsia="zh-CN"/>
        </w:rPr>
        <w:t>第</w:t>
      </w:r>
      <w:r>
        <w:rPr>
          <w:rFonts w:hint="eastAsia" w:ascii="宋体" w:hAnsi="宋体" w:eastAsia="宋体" w:cs="宋体"/>
          <w:i w:val="0"/>
          <w:caps w:val="0"/>
          <w:color w:val="auto"/>
          <w:spacing w:val="0"/>
          <w:sz w:val="24"/>
          <w:szCs w:val="24"/>
          <w:shd w:val="clear" w:color="auto" w:fill="FFFFFF"/>
          <w:lang w:val="en-US" w:eastAsia="zh-CN"/>
        </w:rPr>
        <w:t>三</w:t>
      </w:r>
      <w:r>
        <w:rPr>
          <w:rFonts w:hint="eastAsia" w:ascii="宋体" w:hAnsi="宋体" w:eastAsia="宋体" w:cs="宋体"/>
          <w:i w:val="0"/>
          <w:caps w:val="0"/>
          <w:color w:val="auto"/>
          <w:spacing w:val="0"/>
          <w:sz w:val="24"/>
          <w:szCs w:val="24"/>
          <w:shd w:val="clear" w:color="auto" w:fill="FFFFFF"/>
          <w:lang w:eastAsia="zh-CN"/>
        </w:rPr>
        <w:t>开标室。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val="en-US" w:eastAsia="zh-CN"/>
        </w:rPr>
        <w:t>1、购买须知：使用捆绑省交易平台的CA锁登录电子交易平台，通过政府采购系统企业端进入，点击我要投标，完善相关投标信息。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val="en-US" w:eastAsia="zh-CN"/>
        </w:rPr>
        <w:t>2、采购代理公司确认：投标人须在招标文件发售时间内携带网上投标回执单和法人授权书及营业执照（复印件一套加盖公章）在</w:t>
      </w:r>
      <w:r>
        <w:rPr>
          <w:rFonts w:hint="eastAsia" w:ascii="宋体" w:hAnsi="宋体" w:eastAsia="宋体" w:cs="宋体"/>
          <w:i w:val="0"/>
          <w:caps w:val="0"/>
          <w:color w:val="auto"/>
          <w:spacing w:val="0"/>
          <w:sz w:val="24"/>
          <w:szCs w:val="24"/>
          <w:shd w:val="clear" w:color="auto" w:fill="FFFFFF"/>
          <w:lang w:eastAsia="zh-CN"/>
        </w:rPr>
        <w:t>安康市汉滨区滨江大道汉江大剧院西区三楼</w:t>
      </w:r>
      <w:r>
        <w:rPr>
          <w:rFonts w:hint="eastAsia" w:ascii="宋体" w:hAnsi="宋体" w:eastAsia="宋体" w:cs="宋体"/>
          <w:i w:val="0"/>
          <w:caps w:val="0"/>
          <w:color w:val="auto"/>
          <w:spacing w:val="0"/>
          <w:sz w:val="24"/>
          <w:szCs w:val="24"/>
          <w:shd w:val="clear" w:color="auto" w:fill="FFFFFF"/>
          <w:lang w:val="en-US" w:eastAsia="zh-CN"/>
        </w:rPr>
        <w:t>310室进行缴费确认，否则无法完成后续流程。缴费确认完毕后方可下载扩展名为（*.SXSZF）的电子招标文件，电子招标文件获取截止时间为2022年09月1</w:t>
      </w:r>
      <w:r>
        <w:rPr>
          <w:rFonts w:hint="eastAsia" w:eastAsia="宋体" w:cs="宋体"/>
          <w:i w:val="0"/>
          <w:caps w:val="0"/>
          <w:color w:val="auto"/>
          <w:spacing w:val="0"/>
          <w:sz w:val="24"/>
          <w:szCs w:val="24"/>
          <w:shd w:val="clear" w:color="auto" w:fill="FFFFFF"/>
          <w:lang w:val="en-US" w:eastAsia="zh-CN"/>
        </w:rPr>
        <w:t>9</w:t>
      </w:r>
      <w:r>
        <w:rPr>
          <w:rFonts w:hint="eastAsia" w:ascii="宋体" w:hAnsi="宋体" w:eastAsia="宋体" w:cs="宋体"/>
          <w:i w:val="0"/>
          <w:caps w:val="0"/>
          <w:color w:val="auto"/>
          <w:spacing w:val="0"/>
          <w:sz w:val="24"/>
          <w:szCs w:val="24"/>
          <w:shd w:val="clear" w:color="auto" w:fill="FFFFFF"/>
          <w:lang w:val="en-US" w:eastAsia="zh-CN"/>
        </w:rPr>
        <w:t>日17时00分，未在发售时间内下载电子招标文件将导致投标被拒绝。</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val="en-US" w:eastAsia="zh-CN"/>
        </w:rPr>
        <w:t>3、未完成网上投标成功的或未经采购代理公司缴费确认或未在规定时间内在平台上下载文件的，导致无法完成后续流程的责任自负。</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val="en-US" w:eastAsia="zh-CN"/>
        </w:rPr>
        <w:t>4、本项目采用电子化投标、线下见面开标，相关操作流程详见全国公共资源交易平台（陕西省）网站[服务指南-下载专区]中的《陕西省公共资源交易中心政府采购项目投标指南》，如遇困难，请拨打系统平台技术支持电话：4009280095、4009980000。</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val="en-US" w:eastAsia="zh-CN"/>
        </w:rPr>
        <w:t>5、本项目采用电子化投标、线下见面开标方式进行。</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eastAsia="zh-CN"/>
        </w:rPr>
        <w:t>七、对本次招标提出询问，请按以下方式联系。</w:t>
      </w:r>
    </w:p>
    <w:p>
      <w:pPr>
        <w:pStyle w:val="8"/>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b w:val="0"/>
          <w:color w:val="auto"/>
          <w:sz w:val="24"/>
          <w:szCs w:val="24"/>
        </w:rPr>
      </w:pPr>
      <w:r>
        <w:rPr>
          <w:rFonts w:hint="eastAsia" w:ascii="宋体" w:hAnsi="宋体" w:eastAsia="宋体" w:cs="宋体"/>
          <w:b w:val="0"/>
          <w:i w:val="0"/>
          <w:caps w:val="0"/>
          <w:color w:val="auto"/>
          <w:spacing w:val="0"/>
          <w:sz w:val="24"/>
          <w:szCs w:val="24"/>
          <w:shd w:val="clear" w:color="auto" w:fill="FFFFFF"/>
        </w:rPr>
        <w:t>1.采购人信息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i w:val="0"/>
          <w:caps w:val="0"/>
          <w:color w:val="auto"/>
          <w:spacing w:val="0"/>
          <w:sz w:val="24"/>
          <w:szCs w:val="24"/>
          <w:shd w:val="clear" w:color="auto" w:fill="FFFFFF"/>
        </w:rPr>
        <w:t>名称：</w:t>
      </w:r>
      <w:r>
        <w:rPr>
          <w:rFonts w:hint="eastAsia" w:ascii="宋体" w:hAnsi="宋体" w:eastAsia="宋体" w:cs="宋体"/>
          <w:i w:val="0"/>
          <w:caps w:val="0"/>
          <w:color w:val="auto"/>
          <w:spacing w:val="0"/>
          <w:sz w:val="24"/>
          <w:szCs w:val="24"/>
          <w:shd w:val="clear" w:color="auto" w:fill="FFFFFF"/>
          <w:lang w:eastAsia="zh-CN"/>
        </w:rPr>
        <w:t>汉滨区第三人民医院</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color="auto" w:fill="FFFFFF"/>
        </w:rPr>
        <w:t>地址：安康市汉滨区五里镇王台社区</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i w:val="0"/>
          <w:caps w:val="0"/>
          <w:color w:val="auto"/>
          <w:spacing w:val="0"/>
          <w:sz w:val="24"/>
          <w:szCs w:val="24"/>
          <w:shd w:val="clear" w:color="auto" w:fill="FFFFFF"/>
        </w:rPr>
        <w:t>联系方式</w:t>
      </w:r>
      <w:r>
        <w:rPr>
          <w:rFonts w:hint="eastAsia" w:ascii="宋体" w:hAnsi="宋体" w:eastAsia="宋体" w:cs="宋体"/>
          <w:i w:val="0"/>
          <w:caps w:val="0"/>
          <w:color w:val="auto"/>
          <w:spacing w:val="0"/>
          <w:sz w:val="24"/>
          <w:szCs w:val="24"/>
          <w:shd w:val="clear" w:color="auto" w:fill="FFFFFF"/>
          <w:lang w:val="en-US" w:eastAsia="zh-CN"/>
        </w:rPr>
        <w:t>:18109151217</w:t>
      </w:r>
    </w:p>
    <w:p>
      <w:pPr>
        <w:pStyle w:val="8"/>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b w:val="0"/>
          <w:color w:val="auto"/>
          <w:sz w:val="24"/>
          <w:szCs w:val="24"/>
        </w:rPr>
      </w:pPr>
      <w:r>
        <w:rPr>
          <w:rFonts w:hint="eastAsia" w:ascii="宋体" w:hAnsi="宋体" w:eastAsia="宋体" w:cs="宋体"/>
          <w:b w:val="0"/>
          <w:i w:val="0"/>
          <w:caps w:val="0"/>
          <w:color w:val="auto"/>
          <w:spacing w:val="0"/>
          <w:sz w:val="24"/>
          <w:szCs w:val="24"/>
          <w:shd w:val="clear" w:color="auto" w:fill="FFFFFF"/>
        </w:rPr>
        <w:t>2.采购代理机构信息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i w:val="0"/>
          <w:caps w:val="0"/>
          <w:color w:val="auto"/>
          <w:spacing w:val="0"/>
          <w:sz w:val="24"/>
          <w:szCs w:val="24"/>
          <w:shd w:val="clear" w:color="auto" w:fill="FFFFFF"/>
        </w:rPr>
        <w:t>名称：</w:t>
      </w:r>
      <w:r>
        <w:rPr>
          <w:rFonts w:hint="eastAsia" w:ascii="宋体" w:hAnsi="宋体" w:eastAsia="宋体" w:cs="宋体"/>
          <w:i w:val="0"/>
          <w:caps w:val="0"/>
          <w:color w:val="auto"/>
          <w:spacing w:val="0"/>
          <w:sz w:val="24"/>
          <w:szCs w:val="24"/>
          <w:shd w:val="clear" w:color="auto" w:fill="FFFFFF"/>
          <w:lang w:eastAsia="zh-CN"/>
        </w:rPr>
        <w:t>陕西方得项目管理有限公司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rPr>
        <w:t>地址：</w:t>
      </w:r>
      <w:r>
        <w:rPr>
          <w:rFonts w:hint="eastAsia" w:ascii="宋体" w:hAnsi="宋体" w:eastAsia="宋体" w:cs="宋体"/>
          <w:i w:val="0"/>
          <w:caps w:val="0"/>
          <w:color w:val="auto"/>
          <w:spacing w:val="0"/>
          <w:sz w:val="24"/>
          <w:szCs w:val="24"/>
          <w:shd w:val="clear" w:color="auto" w:fill="FFFFFF"/>
          <w:lang w:eastAsia="zh-CN"/>
        </w:rPr>
        <w:t>安康市汉滨区滨江大道汉江大剧院西区三楼</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i w:val="0"/>
          <w:caps w:val="0"/>
          <w:color w:val="auto"/>
          <w:spacing w:val="0"/>
          <w:sz w:val="24"/>
          <w:szCs w:val="24"/>
          <w:shd w:val="clear" w:color="auto" w:fill="FFFFFF"/>
        </w:rPr>
        <w:t>联系方式：</w:t>
      </w:r>
      <w:r>
        <w:rPr>
          <w:rFonts w:hint="eastAsia" w:ascii="宋体" w:hAnsi="宋体" w:eastAsia="宋体" w:cs="宋体"/>
          <w:i w:val="0"/>
          <w:caps w:val="0"/>
          <w:color w:val="auto"/>
          <w:spacing w:val="0"/>
          <w:sz w:val="24"/>
          <w:szCs w:val="24"/>
          <w:shd w:val="clear" w:color="auto" w:fill="FFFFFF"/>
          <w:lang w:val="en-US" w:eastAsia="zh-CN"/>
        </w:rPr>
        <w:t>13038911990</w:t>
      </w:r>
    </w:p>
    <w:p>
      <w:pPr>
        <w:pStyle w:val="8"/>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b w:val="0"/>
          <w:color w:val="auto"/>
          <w:sz w:val="24"/>
          <w:szCs w:val="24"/>
        </w:rPr>
      </w:pPr>
      <w:r>
        <w:rPr>
          <w:rFonts w:hint="eastAsia" w:ascii="宋体" w:hAnsi="宋体" w:eastAsia="宋体" w:cs="宋体"/>
          <w:b w:val="0"/>
          <w:i w:val="0"/>
          <w:caps w:val="0"/>
          <w:color w:val="auto"/>
          <w:spacing w:val="0"/>
          <w:sz w:val="24"/>
          <w:szCs w:val="24"/>
          <w:shd w:val="clear" w:color="auto" w:fill="FFFFFF"/>
        </w:rPr>
        <w:t>3.项目联系方式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i w:val="0"/>
          <w:caps w:val="0"/>
          <w:color w:val="auto"/>
          <w:spacing w:val="0"/>
          <w:sz w:val="24"/>
          <w:szCs w:val="24"/>
          <w:shd w:val="clear" w:color="auto" w:fill="FFFFFF"/>
        </w:rPr>
        <w:t>项目联系人：</w:t>
      </w:r>
      <w:r>
        <w:rPr>
          <w:rFonts w:hint="eastAsia" w:ascii="宋体" w:hAnsi="宋体" w:eastAsia="宋体" w:cs="宋体"/>
          <w:i w:val="0"/>
          <w:caps w:val="0"/>
          <w:color w:val="auto"/>
          <w:spacing w:val="0"/>
          <w:sz w:val="24"/>
          <w:szCs w:val="24"/>
          <w:shd w:val="clear" w:color="auto" w:fill="FFFFFF"/>
          <w:lang w:eastAsia="zh-CN"/>
        </w:rPr>
        <w:t>沈工</w:t>
      </w:r>
    </w:p>
    <w:p>
      <w:pPr>
        <w:ind w:firstLine="480" w:firstLineChars="200"/>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rPr>
        <w:t>电话：</w:t>
      </w:r>
      <w:r>
        <w:rPr>
          <w:rFonts w:hint="eastAsia" w:ascii="宋体" w:hAnsi="宋体" w:eastAsia="宋体" w:cs="宋体"/>
          <w:i w:val="0"/>
          <w:caps w:val="0"/>
          <w:color w:val="auto"/>
          <w:spacing w:val="0"/>
          <w:sz w:val="24"/>
          <w:szCs w:val="24"/>
          <w:shd w:val="clear" w:color="auto" w:fill="FFFFFF"/>
          <w:lang w:val="en-US" w:eastAsia="zh-CN"/>
        </w:rPr>
        <w:t>13038911990</w:t>
      </w:r>
    </w:p>
    <w:p>
      <w:pPr>
        <w:pStyle w:val="13"/>
        <w:spacing w:line="360" w:lineRule="auto"/>
        <w:jc w:val="right"/>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i w:val="0"/>
          <w:caps w:val="0"/>
          <w:color w:val="auto"/>
          <w:spacing w:val="0"/>
          <w:sz w:val="24"/>
          <w:szCs w:val="24"/>
          <w:shd w:val="clear" w:color="auto" w:fill="FFFFFF"/>
          <w:lang w:val="en-US" w:eastAsia="zh-CN"/>
        </w:rPr>
        <w:t xml:space="preserve">  </w:t>
      </w:r>
      <w:r>
        <w:rPr>
          <w:rFonts w:hint="eastAsia" w:ascii="宋体" w:hAnsi="宋体" w:eastAsia="宋体" w:cs="宋体"/>
          <w:i w:val="0"/>
          <w:caps w:val="0"/>
          <w:color w:val="auto"/>
          <w:spacing w:val="0"/>
          <w:sz w:val="24"/>
          <w:szCs w:val="24"/>
          <w:shd w:val="clear" w:color="auto" w:fill="FFFFFF"/>
          <w:lang w:eastAsia="zh-CN"/>
        </w:rPr>
        <w:t>陕西方得项目管理有限公司</w:t>
      </w:r>
    </w:p>
    <w:p>
      <w:pPr>
        <w:pStyle w:val="13"/>
        <w:spacing w:line="360" w:lineRule="auto"/>
        <w:jc w:val="right"/>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val="en-US" w:eastAsia="zh-CN"/>
        </w:rPr>
        <w:t>2022年09月09日</w:t>
      </w:r>
    </w:p>
    <w:p>
      <w:pPr>
        <w:rPr>
          <w:rFonts w:hint="eastAsia"/>
        </w:rPr>
      </w:pPr>
    </w:p>
    <w:p>
      <w:pPr>
        <w:adjustRightInd/>
        <w:snapToGrid/>
        <w:spacing w:line="440" w:lineRule="exact"/>
        <w:ind w:firstLine="723"/>
        <w:jc w:val="left"/>
        <w:rPr>
          <w:rFonts w:hint="eastAsia" w:ascii="宋体" w:hAnsi="宋体" w:eastAsia="宋体" w:cs="宋体"/>
          <w:b/>
          <w:color w:val="auto"/>
          <w:kern w:val="2"/>
          <w:sz w:val="36"/>
        </w:rPr>
      </w:pPr>
      <w:r>
        <w:rPr>
          <w:rFonts w:hint="eastAsia" w:ascii="宋体" w:hAnsi="宋体" w:eastAsia="宋体" w:cs="宋体"/>
          <w:b/>
          <w:color w:val="auto"/>
          <w:kern w:val="2"/>
          <w:sz w:val="36"/>
        </w:rPr>
        <w:t xml:space="preserve">                   </w:t>
      </w:r>
    </w:p>
    <w:p>
      <w:pPr>
        <w:pStyle w:val="2"/>
        <w:rPr>
          <w:rFonts w:hint="eastAsia" w:ascii="宋体" w:hAnsi="宋体" w:eastAsia="宋体" w:cs="宋体"/>
          <w:b/>
          <w:color w:val="auto"/>
          <w:kern w:val="2"/>
          <w:sz w:val="36"/>
        </w:rPr>
      </w:pPr>
    </w:p>
    <w:p>
      <w:pPr>
        <w:pStyle w:val="2"/>
        <w:rPr>
          <w:rFonts w:hint="eastAsia" w:ascii="宋体" w:hAnsi="宋体" w:eastAsia="宋体" w:cs="宋体"/>
          <w:b/>
          <w:color w:val="auto"/>
          <w:kern w:val="2"/>
          <w:sz w:val="36"/>
        </w:rPr>
      </w:pPr>
    </w:p>
    <w:p>
      <w:pPr>
        <w:adjustRightInd/>
        <w:snapToGrid/>
        <w:spacing w:line="440" w:lineRule="exact"/>
        <w:ind w:firstLine="0" w:firstLineChars="0"/>
        <w:jc w:val="left"/>
        <w:rPr>
          <w:rFonts w:ascii="宋体" w:hAnsi="宋体" w:eastAsia="宋体" w:cs="宋体"/>
          <w:b/>
          <w:color w:val="auto"/>
          <w:kern w:val="2"/>
          <w:sz w:val="36"/>
        </w:rPr>
      </w:pPr>
    </w:p>
    <w:p>
      <w:pPr>
        <w:pStyle w:val="13"/>
      </w:pPr>
    </w:p>
    <w:p>
      <w:pPr>
        <w:adjustRightInd/>
        <w:snapToGrid/>
        <w:spacing w:line="480" w:lineRule="auto"/>
        <w:ind w:firstLine="2650" w:firstLineChars="600"/>
        <w:jc w:val="left"/>
        <w:rPr>
          <w:rFonts w:hint="eastAsia" w:ascii="宋体" w:hAnsi="宋体" w:eastAsia="宋体" w:cs="宋体"/>
          <w:b/>
          <w:color w:val="auto"/>
          <w:kern w:val="2"/>
          <w:sz w:val="44"/>
          <w:szCs w:val="44"/>
        </w:rPr>
      </w:pPr>
    </w:p>
    <w:p>
      <w:pPr>
        <w:adjustRightInd/>
        <w:snapToGrid/>
        <w:spacing w:line="480" w:lineRule="auto"/>
        <w:ind w:firstLine="2650" w:firstLineChars="600"/>
        <w:jc w:val="left"/>
        <w:rPr>
          <w:rFonts w:hint="eastAsia" w:ascii="宋体" w:hAnsi="宋体" w:eastAsia="宋体" w:cs="宋体"/>
          <w:b/>
          <w:color w:val="auto"/>
          <w:kern w:val="2"/>
          <w:sz w:val="44"/>
          <w:szCs w:val="44"/>
        </w:rPr>
      </w:pPr>
    </w:p>
    <w:p>
      <w:pPr>
        <w:adjustRightInd/>
        <w:snapToGrid/>
        <w:spacing w:line="480" w:lineRule="auto"/>
        <w:ind w:firstLine="2650" w:firstLineChars="600"/>
        <w:jc w:val="left"/>
        <w:rPr>
          <w:rFonts w:hint="eastAsia" w:ascii="宋体" w:hAnsi="宋体" w:eastAsia="宋体" w:cs="宋体"/>
          <w:b/>
          <w:color w:val="auto"/>
          <w:kern w:val="2"/>
          <w:sz w:val="44"/>
          <w:szCs w:val="44"/>
        </w:rPr>
      </w:pPr>
    </w:p>
    <w:p>
      <w:pPr>
        <w:adjustRightInd/>
        <w:snapToGrid/>
        <w:spacing w:line="480" w:lineRule="auto"/>
        <w:ind w:firstLine="2650" w:firstLineChars="600"/>
        <w:jc w:val="left"/>
        <w:rPr>
          <w:rFonts w:hint="eastAsia" w:ascii="宋体" w:hAnsi="宋体" w:eastAsia="宋体" w:cs="宋体"/>
          <w:b/>
          <w:color w:val="auto"/>
          <w:kern w:val="2"/>
          <w:sz w:val="44"/>
          <w:szCs w:val="44"/>
        </w:rPr>
      </w:pPr>
    </w:p>
    <w:p>
      <w:pPr>
        <w:adjustRightInd/>
        <w:snapToGrid/>
        <w:spacing w:line="480" w:lineRule="auto"/>
        <w:ind w:firstLine="2650" w:firstLineChars="600"/>
        <w:jc w:val="left"/>
        <w:rPr>
          <w:rFonts w:hint="eastAsia" w:ascii="宋体" w:hAnsi="宋体" w:eastAsia="宋体" w:cs="宋体"/>
          <w:b/>
          <w:color w:val="auto"/>
          <w:kern w:val="2"/>
          <w:sz w:val="44"/>
          <w:szCs w:val="44"/>
        </w:rPr>
      </w:pPr>
    </w:p>
    <w:p>
      <w:pPr>
        <w:adjustRightInd/>
        <w:snapToGrid/>
        <w:spacing w:line="480" w:lineRule="auto"/>
        <w:ind w:firstLine="2650" w:firstLineChars="600"/>
        <w:jc w:val="left"/>
        <w:rPr>
          <w:rFonts w:hint="eastAsia" w:ascii="宋体" w:hAnsi="宋体" w:eastAsia="宋体" w:cs="宋体"/>
          <w:b/>
          <w:color w:val="auto"/>
          <w:kern w:val="2"/>
          <w:sz w:val="44"/>
          <w:szCs w:val="44"/>
        </w:rPr>
      </w:pPr>
    </w:p>
    <w:p>
      <w:pPr>
        <w:adjustRightInd/>
        <w:snapToGrid/>
        <w:spacing w:line="480" w:lineRule="auto"/>
        <w:ind w:firstLine="2650" w:firstLineChars="600"/>
        <w:jc w:val="left"/>
        <w:rPr>
          <w:rFonts w:hint="eastAsia" w:ascii="宋体" w:hAnsi="宋体" w:eastAsia="宋体" w:cs="宋体"/>
          <w:b/>
          <w:color w:val="auto"/>
          <w:kern w:val="2"/>
          <w:sz w:val="44"/>
          <w:szCs w:val="44"/>
        </w:rPr>
      </w:pPr>
    </w:p>
    <w:p>
      <w:pPr>
        <w:adjustRightInd/>
        <w:snapToGrid/>
        <w:spacing w:line="480" w:lineRule="auto"/>
        <w:ind w:firstLine="2650" w:firstLineChars="600"/>
        <w:jc w:val="left"/>
        <w:rPr>
          <w:rFonts w:hint="eastAsia" w:ascii="宋体" w:hAnsi="宋体" w:eastAsia="宋体" w:cs="宋体"/>
          <w:b/>
          <w:color w:val="auto"/>
          <w:kern w:val="2"/>
          <w:sz w:val="44"/>
          <w:szCs w:val="44"/>
        </w:rPr>
      </w:pPr>
    </w:p>
    <w:p>
      <w:pPr>
        <w:adjustRightInd/>
        <w:snapToGrid/>
        <w:spacing w:line="480" w:lineRule="auto"/>
        <w:ind w:firstLine="2650" w:firstLineChars="600"/>
        <w:jc w:val="left"/>
        <w:rPr>
          <w:rFonts w:ascii="宋体" w:hAnsi="宋体" w:eastAsia="宋体" w:cs="宋体"/>
          <w:color w:val="auto"/>
          <w:sz w:val="44"/>
          <w:szCs w:val="44"/>
        </w:rPr>
      </w:pPr>
      <w:r>
        <w:rPr>
          <w:rFonts w:hint="eastAsia" w:ascii="宋体" w:hAnsi="宋体" w:eastAsia="宋体" w:cs="宋体"/>
          <w:b/>
          <w:color w:val="auto"/>
          <w:kern w:val="2"/>
          <w:sz w:val="44"/>
          <w:szCs w:val="44"/>
        </w:rPr>
        <w:t>第二章  供应商须知</w:t>
      </w:r>
      <w:bookmarkEnd w:id="2"/>
    </w:p>
    <w:p>
      <w:pPr>
        <w:pStyle w:val="4"/>
        <w:numPr>
          <w:ilvl w:val="1"/>
          <w:numId w:val="0"/>
        </w:numPr>
        <w:ind w:left="575"/>
        <w:rPr>
          <w:rFonts w:ascii="宋体" w:hAnsi="宋体" w:eastAsia="宋体" w:cs="宋体"/>
          <w:color w:val="auto"/>
        </w:rPr>
      </w:pPr>
      <w:bookmarkStart w:id="3" w:name="_Toc528333522"/>
      <w:bookmarkStart w:id="4" w:name="_Toc38030866"/>
      <w:r>
        <w:rPr>
          <w:rFonts w:hint="eastAsia" w:ascii="宋体" w:hAnsi="宋体" w:eastAsia="宋体" w:cs="宋体"/>
          <w:color w:val="auto"/>
        </w:rPr>
        <w:t>1.供应商须知前附表</w:t>
      </w:r>
      <w:bookmarkEnd w:id="3"/>
      <w:bookmarkEnd w:id="4"/>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287"/>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86" w:type="dxa"/>
            <w:vAlign w:val="center"/>
          </w:tcPr>
          <w:p>
            <w:pPr>
              <w:ind w:right="-358"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条款名称</w:t>
            </w:r>
          </w:p>
        </w:tc>
        <w:tc>
          <w:tcPr>
            <w:tcW w:w="6237" w:type="dxa"/>
            <w:vAlign w:val="center"/>
          </w:tcPr>
          <w:p>
            <w:pPr>
              <w:tabs>
                <w:tab w:val="left" w:pos="1180"/>
              </w:tabs>
              <w:jc w:val="center"/>
              <w:rPr>
                <w:rFonts w:hint="eastAsia" w:ascii="宋体" w:hAnsi="宋体" w:eastAsia="宋体" w:cs="宋体"/>
                <w:color w:val="auto"/>
                <w:sz w:val="21"/>
                <w:szCs w:val="21"/>
              </w:rPr>
            </w:pPr>
            <w:r>
              <w:rPr>
                <w:rFonts w:hint="eastAsia" w:ascii="宋体" w:hAnsi="宋体" w:eastAsia="宋体" w:cs="宋体"/>
                <w:color w:val="auto"/>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2.1.2</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采购人</w:t>
            </w:r>
          </w:p>
        </w:tc>
        <w:tc>
          <w:tcPr>
            <w:tcW w:w="6237" w:type="dxa"/>
            <w:vAlign w:val="center"/>
          </w:tcPr>
          <w:p>
            <w:pPr>
              <w:tabs>
                <w:tab w:val="left" w:pos="1180"/>
              </w:tabs>
              <w:spacing w:line="276"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名称：汉滨区第三人民医院</w:t>
            </w:r>
          </w:p>
          <w:p>
            <w:pPr>
              <w:tabs>
                <w:tab w:val="left" w:pos="1180"/>
              </w:tabs>
              <w:spacing w:line="276"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shd w:val="clear" w:color="auto" w:fill="FFFFFF"/>
              </w:rPr>
              <w:t>安康市汉滨区五里镇王台社区</w:t>
            </w:r>
          </w:p>
          <w:p>
            <w:pPr>
              <w:tabs>
                <w:tab w:val="left" w:pos="1180"/>
              </w:tabs>
              <w:spacing w:line="276"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联系人：陈科长</w:t>
            </w:r>
          </w:p>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电话：18109151217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2.1.3</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采购代理机构</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名称：陕西方得项目管理有限公司</w:t>
            </w:r>
          </w:p>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地址：陕西省安康市汉滨区滨江大道汉江大剧院西区三楼</w:t>
            </w:r>
          </w:p>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联系人：沈 工</w:t>
            </w:r>
          </w:p>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电话：13038911990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2.1.4</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zh-CN"/>
              </w:rPr>
              <w:t>采购项目名称</w:t>
            </w:r>
          </w:p>
        </w:tc>
        <w:tc>
          <w:tcPr>
            <w:tcW w:w="6237" w:type="dxa"/>
            <w:vAlign w:val="center"/>
          </w:tcPr>
          <w:p>
            <w:pPr>
              <w:widowControl/>
              <w:ind w:left="0" w:leftChars="0" w:firstLine="0" w:firstLineChars="0"/>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汉滨区第三人民医院信息安全等级保护建设项目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zh-CN"/>
              </w:rPr>
              <w:t>2.2.1</w:t>
            </w:r>
          </w:p>
        </w:tc>
        <w:tc>
          <w:tcPr>
            <w:tcW w:w="2287" w:type="dxa"/>
            <w:vAlign w:val="center"/>
          </w:tcPr>
          <w:p>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汉滨区第三人民医院信息安全等级保护建设项目1批，包括采购清单内全部内容，详见“第四章 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2.2.2</w:t>
            </w:r>
          </w:p>
        </w:tc>
        <w:tc>
          <w:tcPr>
            <w:tcW w:w="2287" w:type="dxa"/>
            <w:vAlign w:val="center"/>
          </w:tcPr>
          <w:p>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交货期</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u w:val="single"/>
              </w:rPr>
              <w:t xml:space="preserve"> 90 </w:t>
            </w:r>
            <w:r>
              <w:rPr>
                <w:rFonts w:hint="eastAsia" w:ascii="宋体" w:hAnsi="宋体" w:eastAsia="宋体" w:cs="宋体"/>
                <w:color w:val="auto"/>
                <w:sz w:val="21"/>
                <w:szCs w:val="21"/>
                <w:highlight w:val="none"/>
              </w:rPr>
              <w:t>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2.2.3</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zh-CN"/>
              </w:rPr>
              <w:t>交货地点</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bCs/>
                <w:color w:val="auto"/>
                <w:sz w:val="21"/>
                <w:szCs w:val="21"/>
              </w:rPr>
              <w:t>汉滨区第三人民医院指定地点。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2.2.4</w:t>
            </w:r>
          </w:p>
        </w:tc>
        <w:tc>
          <w:tcPr>
            <w:tcW w:w="2287" w:type="dxa"/>
            <w:vAlign w:val="center"/>
          </w:tcPr>
          <w:p>
            <w:pPr>
              <w:tabs>
                <w:tab w:val="left" w:pos="1180"/>
              </w:tabs>
              <w:ind w:firstLine="0" w:firstLineChars="0"/>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质保期</w:t>
            </w:r>
          </w:p>
        </w:tc>
        <w:tc>
          <w:tcPr>
            <w:tcW w:w="6237" w:type="dxa"/>
            <w:vAlign w:val="center"/>
          </w:tcPr>
          <w:p>
            <w:pPr>
              <w:tabs>
                <w:tab w:val="left" w:pos="1180"/>
              </w:tabs>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r>
              <w:rPr>
                <w:rFonts w:hint="eastAsia" w:ascii="宋体" w:hAnsi="宋体" w:eastAsia="宋体" w:cs="宋体"/>
                <w:bCs/>
                <w:color w:val="auto"/>
                <w:sz w:val="21"/>
                <w:szCs w:val="21"/>
                <w:highlight w:val="none"/>
                <w:u w:val="single"/>
                <w:lang w:val="en-US" w:eastAsia="zh-CN"/>
              </w:rPr>
              <w:t>三</w:t>
            </w:r>
            <w:r>
              <w:rPr>
                <w:rFonts w:hint="eastAsia" w:ascii="宋体" w:hAnsi="宋体" w:eastAsia="宋体" w:cs="宋体"/>
                <w:bCs/>
                <w:color w:val="auto"/>
                <w:sz w:val="21"/>
                <w:szCs w:val="21"/>
                <w:highlight w:val="none"/>
                <w:u w:val="single"/>
              </w:rPr>
              <w:t>年</w:t>
            </w:r>
            <w:r>
              <w:rPr>
                <w:rFonts w:hint="eastAsia" w:ascii="宋体" w:hAnsi="宋体" w:eastAsia="宋体" w:cs="宋体"/>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2.3.1</w:t>
            </w:r>
          </w:p>
        </w:tc>
        <w:tc>
          <w:tcPr>
            <w:tcW w:w="2287" w:type="dxa"/>
            <w:vAlign w:val="center"/>
          </w:tcPr>
          <w:p>
            <w:pPr>
              <w:ind w:firstLine="0" w:firstLineChars="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供应商应具备的</w:t>
            </w:r>
          </w:p>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zh-CN"/>
              </w:rPr>
              <w:t>资格条件</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bCs/>
                <w:color w:val="auto"/>
                <w:sz w:val="21"/>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2.3.2</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是否接受联合体</w:t>
            </w:r>
          </w:p>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w:t>
            </w:r>
          </w:p>
        </w:tc>
        <w:tc>
          <w:tcPr>
            <w:tcW w:w="6237" w:type="dxa"/>
            <w:vAlign w:val="center"/>
          </w:tcPr>
          <w:p>
            <w:pPr>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2.9.3</w:t>
            </w:r>
          </w:p>
        </w:tc>
        <w:tc>
          <w:tcPr>
            <w:tcW w:w="2287" w:type="dxa"/>
            <w:vAlign w:val="center"/>
          </w:tcPr>
          <w:p>
            <w:pPr>
              <w:tabs>
                <w:tab w:val="left" w:pos="1180"/>
              </w:tabs>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zh-CN"/>
              </w:rPr>
              <w:t>偏</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zh-CN"/>
              </w:rPr>
              <w:t>差</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无偏差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3.2.2</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招标文件的澄清和修改</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采购代理机构于投标截止时间15天前以书面形式</w:t>
            </w:r>
            <w:r>
              <w:rPr>
                <w:rFonts w:hint="eastAsia" w:ascii="宋体" w:hAnsi="宋体" w:eastAsia="宋体" w:cs="宋体"/>
                <w:color w:val="auto"/>
                <w:sz w:val="21"/>
                <w:szCs w:val="21"/>
                <w:lang w:val="zh-CN"/>
              </w:rPr>
              <w:t>发给所有购买招标文件的潜在供应商。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5.2</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投标报价的</w:t>
            </w:r>
          </w:p>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其他要求</w:t>
            </w:r>
          </w:p>
        </w:tc>
        <w:tc>
          <w:tcPr>
            <w:tcW w:w="6237" w:type="dxa"/>
            <w:vAlign w:val="center"/>
          </w:tcPr>
          <w:p>
            <w:pPr>
              <w:tabs>
                <w:tab w:val="left" w:pos="1180"/>
              </w:tabs>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5.3.1</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zh-CN"/>
              </w:rPr>
              <w:t>投标截止之日起90日历天。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5.4.1</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6237" w:type="dxa"/>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投标保证金的金额：无。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5.5.1</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是否允许提交备选投标方案</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6.2.1</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zh-CN"/>
              </w:rPr>
              <w:t>投标截止时间</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6.2.2</w:t>
            </w:r>
          </w:p>
        </w:tc>
        <w:tc>
          <w:tcPr>
            <w:tcW w:w="2287" w:type="dxa"/>
            <w:vAlign w:val="center"/>
          </w:tcPr>
          <w:p>
            <w:pPr>
              <w:ind w:firstLine="0" w:firstLineChars="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递交投标文件</w:t>
            </w:r>
          </w:p>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zh-CN"/>
              </w:rPr>
              <w:t>的地点</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陕西省公共资源交易平台</w:t>
            </w:r>
            <w:r>
              <w:rPr>
                <w:rFonts w:hint="eastAsia" w:ascii="宋体" w:hAnsi="宋体" w:eastAsia="宋体" w:cs="宋体"/>
                <w:color w:val="auto"/>
                <w:sz w:val="21"/>
                <w:szCs w:val="21"/>
                <w:lang w:eastAsia="zh-CN"/>
              </w:rPr>
              <w:t>（安康市）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6.2.3</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投标文件是否退还</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7.1</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开标时间和地点</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开标时间：同投标截止时间</w:t>
            </w:r>
          </w:p>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开标地点：安康市公共资源交易中心303第三开标室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9.1.1</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zh-CN"/>
              </w:rPr>
              <w:t>评标委员会的组成</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9.3.2</w:t>
            </w:r>
          </w:p>
        </w:tc>
        <w:tc>
          <w:tcPr>
            <w:tcW w:w="2287"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zh-CN"/>
              </w:rPr>
              <w:t>评标委员会推荐中标候选人的人数</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10.2</w:t>
            </w:r>
          </w:p>
        </w:tc>
        <w:tc>
          <w:tcPr>
            <w:tcW w:w="2287" w:type="dxa"/>
            <w:vAlign w:val="center"/>
          </w:tcPr>
          <w:p>
            <w:pPr>
              <w:ind w:firstLine="0" w:firstLineChars="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中标公告媒介</w:t>
            </w:r>
          </w:p>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zh-CN"/>
              </w:rPr>
              <w:t>和期限</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公告媒介：陕西省政府采购网、安康市公共资源交易中心平台</w:t>
            </w:r>
          </w:p>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2287" w:type="dxa"/>
            <w:vAlign w:val="center"/>
          </w:tcPr>
          <w:p>
            <w:pPr>
              <w:ind w:firstLine="0" w:firstLineChars="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开标现场资格审查要求</w:t>
            </w:r>
          </w:p>
        </w:tc>
        <w:tc>
          <w:tcPr>
            <w:tcW w:w="6237" w:type="dxa"/>
            <w:vAlign w:val="center"/>
          </w:tcPr>
          <w:p>
            <w:pPr>
              <w:tabs>
                <w:tab w:val="left" w:pos="1180"/>
              </w:tabs>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开标时投标人须携带法人授权委托书及被委托人身份证原件。注：证件不全视为不响应招标文件，不再参与投标。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12.1</w:t>
            </w:r>
          </w:p>
        </w:tc>
        <w:tc>
          <w:tcPr>
            <w:tcW w:w="2287" w:type="dxa"/>
            <w:vAlign w:val="center"/>
          </w:tcPr>
          <w:p>
            <w:pPr>
              <w:spacing w:line="276"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招标代理服务费</w:t>
            </w:r>
          </w:p>
        </w:tc>
        <w:tc>
          <w:tcPr>
            <w:tcW w:w="6237" w:type="dxa"/>
            <w:vAlign w:val="center"/>
          </w:tcPr>
          <w:p>
            <w:pPr>
              <w:tabs>
                <w:tab w:val="left" w:pos="1180"/>
              </w:tabs>
              <w:spacing w:line="276"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依据《政府采购代理机构管理暂行办法》（财库〔2018〕2号）的规定，参照原国家计委《招标代理服务收费管理暂行办法》(计价格〔2002〕1980号)规定的收费标准，由</w:t>
            </w:r>
            <w:r>
              <w:rPr>
                <w:rFonts w:hint="eastAsia" w:ascii="宋体" w:hAnsi="宋体" w:eastAsia="宋体" w:cs="宋体"/>
                <w:color w:val="auto"/>
                <w:sz w:val="21"/>
                <w:szCs w:val="21"/>
                <w:lang w:eastAsia="zh-CN"/>
              </w:rPr>
              <w:t>中</w:t>
            </w:r>
            <w:r>
              <w:rPr>
                <w:rFonts w:hint="eastAsia" w:ascii="宋体" w:hAnsi="宋体" w:eastAsia="宋体" w:cs="宋体"/>
                <w:color w:val="auto"/>
                <w:sz w:val="21"/>
                <w:szCs w:val="21"/>
              </w:rPr>
              <w:t>标人向陕西方得项目管理有限公司缴纳中标服务费。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 w:type="dxa"/>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2287" w:type="dxa"/>
            <w:vAlign w:val="center"/>
          </w:tcPr>
          <w:p>
            <w:pPr>
              <w:spacing w:line="276"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其他说明事项</w:t>
            </w:r>
          </w:p>
        </w:tc>
        <w:tc>
          <w:tcPr>
            <w:tcW w:w="6237" w:type="dxa"/>
            <w:vAlign w:val="center"/>
          </w:tcPr>
          <w:p>
            <w:pPr>
              <w:tabs>
                <w:tab w:val="left" w:pos="1180"/>
              </w:tabs>
              <w:spacing w:line="276" w:lineRule="auto"/>
              <w:ind w:firstLine="422"/>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rPr>
              <w:t>电子投标注意事项：</w:t>
            </w:r>
          </w:p>
          <w:p>
            <w:pPr>
              <w:tabs>
                <w:tab w:val="left" w:pos="1180"/>
              </w:tabs>
              <w:spacing w:line="276" w:lineRule="auto"/>
              <w:ind w:firstLine="422"/>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1、本项目采用电子化投标、线下见面开标方式进行，投标人须使用数字认证证书（CA锁）对电子投标文件进行签章、加密、递交及开标时解密等相关招投标事宜。开标时投标人须携带数字认证证书（CA锁），如因投标人自身原因未携带数字认证证书（CA锁）造成无法解密投标文件，按无效投标对待。</w:t>
            </w:r>
          </w:p>
          <w:p>
            <w:pPr>
              <w:tabs>
                <w:tab w:val="left" w:pos="1180"/>
              </w:tabs>
              <w:spacing w:line="276" w:lineRule="auto"/>
              <w:ind w:firstLine="422"/>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2、制作电子投标文件：</w:t>
            </w:r>
          </w:p>
          <w:p>
            <w:pPr>
              <w:tabs>
                <w:tab w:val="left" w:pos="1180"/>
              </w:tabs>
              <w:spacing w:line="276" w:lineRule="auto"/>
              <w:ind w:firstLine="422"/>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投标供应商须在“全国公共资源交易中心平台（陕西省</w:t>
            </w:r>
            <w:r>
              <w:rPr>
                <w:rFonts w:hint="eastAsia" w:ascii="宋体" w:hAnsi="宋体" w:eastAsia="宋体" w:cs="宋体"/>
                <w:b/>
                <w:bCs/>
                <w:color w:val="auto"/>
                <w:sz w:val="21"/>
                <w:szCs w:val="21"/>
              </w:rPr>
              <w:t>.安康市</w:t>
            </w:r>
            <w:r>
              <w:rPr>
                <w:rFonts w:hint="eastAsia" w:ascii="宋体" w:hAnsi="宋体" w:eastAsia="宋体" w:cs="宋体"/>
                <w:b/>
                <w:bCs/>
                <w:color w:val="auto"/>
                <w:sz w:val="21"/>
                <w:szCs w:val="21"/>
                <w:lang w:val="zh-CN"/>
              </w:rPr>
              <w:t>）（http://www.sxggzyjy.cn/）”的“服务指南”栏目“下载专区”中，免费下载“陕西省公共资源交易平台政府采购电子标书制作工具(V8.0.0.2)”，并升级至最新版本，使用该客户端制作电子投标文件，制作扩展名为“.SXSTF”的电子投标文件。”</w:t>
            </w:r>
          </w:p>
          <w:p>
            <w:pPr>
              <w:tabs>
                <w:tab w:val="left" w:pos="1180"/>
              </w:tabs>
              <w:spacing w:line="276" w:lineRule="auto"/>
              <w:ind w:firstLine="422"/>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3、递交电子投标文件：</w:t>
            </w:r>
          </w:p>
          <w:p>
            <w:pPr>
              <w:tabs>
                <w:tab w:val="left" w:pos="1180"/>
              </w:tabs>
              <w:spacing w:line="276" w:lineRule="auto"/>
              <w:ind w:firstLine="422"/>
              <w:rPr>
                <w:rFonts w:hint="eastAsia" w:ascii="宋体" w:hAnsi="宋体" w:eastAsia="宋体" w:cs="宋体"/>
                <w:color w:val="auto"/>
                <w:sz w:val="21"/>
                <w:szCs w:val="21"/>
              </w:rPr>
            </w:pPr>
            <w:r>
              <w:rPr>
                <w:rFonts w:hint="eastAsia" w:ascii="宋体" w:hAnsi="宋体" w:eastAsia="宋体" w:cs="宋体"/>
                <w:b/>
                <w:bCs/>
                <w:color w:val="auto"/>
                <w:sz w:val="21"/>
                <w:szCs w:val="21"/>
                <w:lang w:val="zh-CN"/>
              </w:rPr>
              <w:t>登录全国公共资源交易中心平台（陕西省</w:t>
            </w:r>
            <w:r>
              <w:rPr>
                <w:rFonts w:hint="eastAsia" w:ascii="宋体" w:hAnsi="宋体" w:eastAsia="宋体" w:cs="宋体"/>
                <w:b/>
                <w:bCs/>
                <w:color w:val="auto"/>
                <w:sz w:val="21"/>
                <w:szCs w:val="21"/>
              </w:rPr>
              <w:t>.安康市</w:t>
            </w:r>
            <w:r>
              <w:rPr>
                <w:rFonts w:hint="eastAsia" w:ascii="宋体" w:hAnsi="宋体" w:eastAsia="宋体" w:cs="宋体"/>
                <w:b/>
                <w:bCs/>
                <w:color w:val="auto"/>
                <w:sz w:val="21"/>
                <w:szCs w:val="21"/>
                <w:lang w:val="zh-CN"/>
              </w:rPr>
              <w:t>）（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tc>
      </w:tr>
    </w:tbl>
    <w:p>
      <w:pPr>
        <w:spacing w:line="400" w:lineRule="exact"/>
        <w:ind w:firstLine="422"/>
        <w:rPr>
          <w:rFonts w:ascii="宋体" w:hAnsi="宋体" w:eastAsia="宋体" w:cs="宋体"/>
          <w:b/>
          <w:bCs/>
          <w:color w:val="auto"/>
          <w:sz w:val="32"/>
          <w:szCs w:val="32"/>
        </w:rPr>
      </w:pPr>
      <w:r>
        <w:rPr>
          <w:rFonts w:hint="eastAsia" w:ascii="宋体" w:hAnsi="宋体" w:eastAsia="宋体" w:cs="宋体"/>
          <w:b/>
          <w:color w:val="auto"/>
          <w:sz w:val="22"/>
          <w:szCs w:val="22"/>
        </w:rPr>
        <w:t>注：供应商须知前附表与招标文件正文对同一事项描述不一致的，以供应商须知前附表为准。</w:t>
      </w:r>
    </w:p>
    <w:p>
      <w:pPr>
        <w:pStyle w:val="4"/>
        <w:numPr>
          <w:ilvl w:val="1"/>
          <w:numId w:val="0"/>
        </w:numPr>
        <w:rPr>
          <w:rFonts w:ascii="宋体" w:hAnsi="宋体" w:eastAsia="宋体" w:cs="宋体"/>
          <w:color w:val="auto"/>
        </w:rPr>
      </w:pPr>
      <w:bookmarkStart w:id="5" w:name="_Toc528333523"/>
      <w:bookmarkStart w:id="6" w:name="_Toc38030867"/>
      <w:r>
        <w:rPr>
          <w:rFonts w:hint="eastAsia" w:ascii="宋体" w:hAnsi="宋体" w:eastAsia="宋体" w:cs="宋体"/>
          <w:color w:val="auto"/>
        </w:rPr>
        <w:br w:type="page"/>
      </w:r>
      <w:r>
        <w:rPr>
          <w:rFonts w:hint="eastAsia" w:ascii="宋体" w:hAnsi="宋体" w:eastAsia="宋体" w:cs="宋体"/>
          <w:color w:val="auto"/>
        </w:rPr>
        <w:t xml:space="preserve">  2.总则</w:t>
      </w:r>
      <w:bookmarkEnd w:id="5"/>
      <w:bookmarkEnd w:id="6"/>
    </w:p>
    <w:p>
      <w:pPr>
        <w:autoSpaceDE w:val="0"/>
        <w:autoSpaceDN w:val="0"/>
        <w:spacing w:line="360" w:lineRule="auto"/>
        <w:ind w:firstLine="422"/>
        <w:rPr>
          <w:rFonts w:ascii="宋体" w:hAnsi="宋体" w:eastAsia="宋体" w:cs="宋体"/>
          <w:b/>
          <w:bCs/>
          <w:color w:val="auto"/>
          <w:szCs w:val="21"/>
          <w:lang w:val="zh-CN"/>
        </w:rPr>
      </w:pPr>
      <w:r>
        <w:rPr>
          <w:rFonts w:hint="eastAsia" w:ascii="宋体" w:hAnsi="宋体" w:eastAsia="宋体" w:cs="宋体"/>
          <w:b/>
          <w:bCs/>
          <w:color w:val="auto"/>
          <w:szCs w:val="21"/>
          <w:lang w:val="zh-CN"/>
        </w:rPr>
        <w:t>2.1 项目概况</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2.1.1 根据《中华人民共和国政府采购法》、《中华人民共和国政府采购法实施条例》等有关法律、法规和规章，本项目已具备招标条件，现进行招标。</w:t>
      </w:r>
    </w:p>
    <w:p>
      <w:pPr>
        <w:autoSpaceDE w:val="0"/>
        <w:autoSpaceDN w:val="0"/>
        <w:spacing w:line="360" w:lineRule="auto"/>
        <w:rPr>
          <w:rFonts w:ascii="宋体" w:hAnsi="宋体" w:eastAsia="宋体" w:cs="宋体"/>
          <w:i/>
          <w:iCs/>
          <w:color w:val="auto"/>
          <w:szCs w:val="21"/>
        </w:rPr>
      </w:pPr>
      <w:r>
        <w:rPr>
          <w:rFonts w:hint="eastAsia" w:ascii="宋体" w:hAnsi="宋体" w:eastAsia="宋体" w:cs="宋体"/>
          <w:color w:val="auto"/>
          <w:szCs w:val="21"/>
          <w:lang w:val="zh-CN"/>
        </w:rPr>
        <w:t>2.1.2 采购人：见供应商须知前附表。</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rPr>
        <w:t xml:space="preserve">2.1.3 </w:t>
      </w:r>
      <w:r>
        <w:rPr>
          <w:rFonts w:hint="eastAsia" w:ascii="宋体" w:hAnsi="宋体" w:eastAsia="宋体" w:cs="宋体"/>
          <w:color w:val="auto"/>
          <w:szCs w:val="21"/>
          <w:lang w:val="zh-CN"/>
        </w:rPr>
        <w:t>采购代理机构：见供应商须知前附表。</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2.1.4 采购项目名称：见供应商须知前附表。</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2.2 招标范围、交货期、交货地点</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2.2.1 招标范围：见供应商须知前附表。</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2.2.2 交货期：见供应商须知前附表。</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2.2.3 交货地点：见供应商须知前附表。</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lang w:val="zh-CN"/>
        </w:rPr>
        <w:t xml:space="preserve">2.2.4 </w:t>
      </w:r>
      <w:r>
        <w:rPr>
          <w:rFonts w:hint="eastAsia" w:ascii="宋体" w:hAnsi="宋体" w:eastAsia="宋体" w:cs="宋体"/>
          <w:color w:val="auto"/>
          <w:szCs w:val="21"/>
        </w:rPr>
        <w:t>质保期：</w:t>
      </w:r>
      <w:r>
        <w:rPr>
          <w:rFonts w:hint="eastAsia" w:ascii="宋体" w:hAnsi="宋体" w:eastAsia="宋体" w:cs="宋体"/>
          <w:color w:val="auto"/>
          <w:szCs w:val="21"/>
          <w:lang w:val="zh-CN"/>
        </w:rPr>
        <w:t>见供应商须知前附表。</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2.3 供应商资格要求</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2.3.1 供应商应具备的资格条件：见供应商须知前附表。需要提交的资格证明材料见本章第8款的规定及“第六章  投标文件格式”中的要求。</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2.3.2 本项目是否接受联合体投标：见供应商须知前附表。</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2.3.3 供应商不得存在下列情形之一，否则按无效投标处理：</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（1）与采购人存在利害关系且可能影响招标公正性；</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（2）单位负责人为同一人或者存在直接控股、管理关系；</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（3）参加政府采购活动前3年内在经营活动中有重大违法记录（重大违法记录是指供应商因违法经营受到刑事处罚或者责令停产停业、吊销许可证或者执照、较大数额罚款等行政处罚）；</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lang w:val="zh-CN"/>
        </w:rPr>
        <w:t>（4）</w:t>
      </w:r>
      <w:r>
        <w:rPr>
          <w:rFonts w:hint="eastAsia" w:ascii="宋体" w:hAnsi="宋体" w:eastAsia="宋体" w:cs="宋体"/>
          <w:color w:val="auto"/>
          <w:szCs w:val="21"/>
        </w:rPr>
        <w:t>“信用中国”网站（www.creditchina.gov.cn）中列入失信被执行人和重大税收违法案件当事人名单的供应商，中国政府采购网（www.ccgp.gov.cn）政府采购严重违法失信行为记录名单中被财政部门禁止参加政府采购活动的供应商；</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rPr>
        <w:t>（5）法律法规规定的其他情形。</w:t>
      </w:r>
    </w:p>
    <w:p>
      <w:pPr>
        <w:autoSpaceDE w:val="0"/>
        <w:autoSpaceDN w:val="0"/>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2.4 费用承担</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rPr>
        <w:t>供应商准备和参加投标活动发生的费用自理。</w:t>
      </w:r>
    </w:p>
    <w:p>
      <w:pPr>
        <w:autoSpaceDE w:val="0"/>
        <w:autoSpaceDN w:val="0"/>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2.5 保密</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rPr>
        <w:t>参与政府采购活动的各方应对招标文件和投标文件中的商业和技术等秘密保密，否则应承担相应的法律责任。</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2.6 语言文字</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招标文件和投标文件使用的语言文字为中文。专业术语使用外文的，应附有中文注释。</w:t>
      </w:r>
    </w:p>
    <w:p>
      <w:pPr>
        <w:autoSpaceDE w:val="0"/>
        <w:autoSpaceDN w:val="0"/>
        <w:spacing w:line="360" w:lineRule="auto"/>
        <w:ind w:firstLine="422"/>
        <w:rPr>
          <w:rFonts w:hint="default" w:ascii="宋体" w:hAnsi="宋体" w:eastAsia="宋体" w:cs="宋体"/>
          <w:b/>
          <w:color w:val="auto"/>
          <w:szCs w:val="21"/>
          <w:lang w:val="en-US" w:eastAsia="zh-CN"/>
        </w:rPr>
      </w:pPr>
      <w:r>
        <w:rPr>
          <w:rFonts w:hint="eastAsia" w:ascii="宋体" w:hAnsi="宋体" w:eastAsia="宋体" w:cs="宋体"/>
          <w:b/>
          <w:color w:val="auto"/>
          <w:szCs w:val="21"/>
          <w:lang w:val="zh-CN"/>
        </w:rPr>
        <w:t>2.7 计量单位</w:t>
      </w:r>
      <w:r>
        <w:rPr>
          <w:rFonts w:hint="eastAsia" w:ascii="宋体" w:hAnsi="宋体" w:eastAsia="宋体" w:cs="宋体"/>
          <w:b/>
          <w:color w:val="auto"/>
          <w:szCs w:val="21"/>
          <w:lang w:val="en-US" w:eastAsia="zh-CN"/>
        </w:rPr>
        <w:t xml:space="preserve">                                                                                   </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所有计量均采用中华人民共和国法定计量单位。</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2.8 分包</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本项目不允许分包。</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2.9 响应和偏差</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2.9.1 投标文件应对招标文件的实质性要求和条件作出满足性或更有利于采购人的响应。</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2.9.2 供应商应根据招标文件的要求提供详细的技术支持资料、服务计划等内容对招标文件作出响应。</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2.9.3 本项目是否允许偏差：见供应商须知前附表。投标文件对招标文件的偏差，均应在投标文件的商务和技术偏差表中列明，除列明的内容外，视为供应商响应招标文件的全部要求。</w:t>
      </w:r>
    </w:p>
    <w:p>
      <w:pPr>
        <w:pStyle w:val="4"/>
        <w:numPr>
          <w:ilvl w:val="1"/>
          <w:numId w:val="0"/>
        </w:numPr>
        <w:ind w:firstLine="643" w:firstLineChars="200"/>
        <w:rPr>
          <w:rFonts w:ascii="宋体" w:hAnsi="宋体" w:eastAsia="宋体" w:cs="宋体"/>
          <w:color w:val="auto"/>
          <w:lang w:val="zh-CN"/>
        </w:rPr>
      </w:pPr>
      <w:bookmarkStart w:id="7" w:name="_Toc38030868"/>
      <w:bookmarkStart w:id="8" w:name="_Toc528333524"/>
      <w:r>
        <w:rPr>
          <w:rFonts w:hint="eastAsia" w:ascii="宋体" w:hAnsi="宋体" w:eastAsia="宋体" w:cs="宋体"/>
          <w:color w:val="auto"/>
        </w:rPr>
        <w:t>3.</w:t>
      </w:r>
      <w:r>
        <w:rPr>
          <w:rFonts w:hint="eastAsia" w:ascii="宋体" w:hAnsi="宋体" w:eastAsia="宋体" w:cs="宋体"/>
          <w:color w:val="auto"/>
          <w:lang w:val="zh-CN"/>
        </w:rPr>
        <w:t>招标文件</w:t>
      </w:r>
      <w:bookmarkEnd w:id="7"/>
      <w:bookmarkEnd w:id="8"/>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3.1 招标文件的组成</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（1）招标公告；</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（2）供应商须知；</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（3）评标办法；</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（4）采购内容和要求；</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（5）拟签订的合同文本；</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（6）投标文件格式；</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对招标文件作出的澄清、修改，构成招标文件的组成部分。</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3.2 招标文件的澄清和修改</w:t>
      </w:r>
    </w:p>
    <w:p>
      <w:pPr>
        <w:autoSpaceDE w:val="0"/>
        <w:autoSpaceDN w:val="0"/>
        <w:spacing w:line="360" w:lineRule="auto"/>
        <w:rPr>
          <w:rFonts w:ascii="宋体" w:hAnsi="宋体" w:eastAsia="宋体" w:cs="宋体"/>
          <w:bCs/>
          <w:color w:val="auto"/>
          <w:kern w:val="1"/>
          <w:szCs w:val="21"/>
        </w:rPr>
      </w:pPr>
      <w:r>
        <w:rPr>
          <w:rFonts w:hint="eastAsia" w:ascii="宋体" w:hAnsi="宋体" w:eastAsia="宋体" w:cs="宋体"/>
          <w:color w:val="auto"/>
          <w:szCs w:val="21"/>
          <w:lang w:val="zh-CN"/>
        </w:rPr>
        <w:t>3.2.1 供应商应仔细阅读和检查招标文件的全部内容。如有疑问，应</w:t>
      </w:r>
      <w:r>
        <w:rPr>
          <w:rFonts w:hint="eastAsia" w:ascii="宋体" w:hAnsi="宋体" w:eastAsia="宋体" w:cs="宋体"/>
          <w:bCs/>
          <w:color w:val="auto"/>
          <w:kern w:val="1"/>
          <w:szCs w:val="21"/>
        </w:rPr>
        <w:t>在投标截止时间10天前，以书面形式向采购代理机构提出,由采购代理机构以书面形式通知所有供应商。</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3.2.2 采购人或者采购代理机构可以对已发出的招标文件进行必要的澄清或者修改，招标文件的澄清或修改以供应商须知前附表规定的时间和形式发给所有购买招标文件的供应商。澄清或者修改发出的时间距投标截止时间不足15日的，并且澄清或者修改的内容可能影响投标文件编制的，将相应延长投标截止时间。</w:t>
      </w:r>
    </w:p>
    <w:p>
      <w:pPr>
        <w:pStyle w:val="4"/>
        <w:numPr>
          <w:ilvl w:val="1"/>
          <w:numId w:val="0"/>
        </w:numPr>
        <w:ind w:left="575"/>
        <w:rPr>
          <w:rFonts w:ascii="宋体" w:hAnsi="宋体" w:eastAsia="宋体" w:cs="宋体"/>
          <w:color w:val="auto"/>
          <w:lang w:val="zh-CN"/>
        </w:rPr>
      </w:pPr>
      <w:bookmarkStart w:id="9" w:name="_Toc528333525"/>
      <w:bookmarkStart w:id="10" w:name="_Toc38030869"/>
      <w:r>
        <w:rPr>
          <w:rFonts w:hint="eastAsia" w:ascii="宋体" w:hAnsi="宋体" w:eastAsia="宋体" w:cs="宋体"/>
          <w:color w:val="auto"/>
        </w:rPr>
        <w:t>4.</w:t>
      </w:r>
      <w:r>
        <w:rPr>
          <w:rFonts w:hint="eastAsia" w:ascii="宋体" w:hAnsi="宋体" w:eastAsia="宋体" w:cs="宋体"/>
          <w:color w:val="auto"/>
          <w:lang w:val="zh-CN"/>
        </w:rPr>
        <w:t xml:space="preserve"> 政府采购政策</w:t>
      </w:r>
      <w:bookmarkEnd w:id="9"/>
      <w:bookmarkEnd w:id="10"/>
    </w:p>
    <w:p>
      <w:pPr>
        <w:pStyle w:val="2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60" w:leftChars="0" w:right="0" w:firstLine="480" w:firstLineChars="0"/>
        <w:jc w:val="left"/>
        <w:textAlignment w:val="auto"/>
        <w:rPr>
          <w:rFonts w:hint="eastAsia" w:ascii="宋体" w:hAnsi="宋体" w:eastAsia="宋体" w:cs="宋体"/>
          <w:color w:val="auto"/>
          <w:sz w:val="21"/>
          <w:szCs w:val="21"/>
          <w:lang w:val="zh-CN" w:eastAsia="zh-CN" w:bidi="ar-SA"/>
        </w:rPr>
      </w:pPr>
      <w:bookmarkStart w:id="11" w:name="_Toc528333526"/>
      <w:r>
        <w:rPr>
          <w:rFonts w:hint="eastAsia" w:ascii="宋体" w:hAnsi="宋体" w:eastAsia="宋体" w:cs="宋体"/>
          <w:color w:val="auto"/>
          <w:sz w:val="21"/>
          <w:szCs w:val="21"/>
          <w:lang w:val="zh-CN" w:eastAsia="zh-CN" w:bidi="ar-SA"/>
        </w:rPr>
        <w:t>《政府采购促进中小企业发展管理办法》（财库〔2020〕46号）；</w:t>
      </w:r>
    </w:p>
    <w:p>
      <w:pPr>
        <w:pStyle w:val="2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60" w:leftChars="0" w:right="0" w:firstLine="480" w:firstLineChars="0"/>
        <w:jc w:val="left"/>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《财政部司法部关于政府采购支持监狱企业发展有关问题的通知》（财库〔2014〕68号）；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20" w:firstLineChars="200"/>
        <w:jc w:val="left"/>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（3）《国务院办公厅关于建立政府强制采购节能产品制度的通知》（国办发〔2007〕51号）；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20" w:firstLineChars="200"/>
        <w:jc w:val="left"/>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（4）《节能产品政府采购实施意见》（财库[2004]185号）；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20" w:firstLineChars="200"/>
        <w:jc w:val="left"/>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（5）《环境标志产品政府采购实施的意见》（财库[2006]90号）；</w:t>
      </w:r>
    </w:p>
    <w:p>
      <w:pPr>
        <w:pStyle w:val="21"/>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20" w:firstLineChars="200"/>
        <w:jc w:val="left"/>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《三部门联合发布关于促进残疾人就业政府采购政策的通知》（财库〔2017〕141号）；</w:t>
      </w:r>
    </w:p>
    <w:p>
      <w:pPr>
        <w:pStyle w:val="21"/>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20" w:firstLineChars="200"/>
        <w:jc w:val="left"/>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《财政部 发展改革委生态环境部市场监管总局关于调整优化节能产品、环境标志产品政府采购执行机制的通知》（财库〔2019〕9号）；</w:t>
      </w:r>
    </w:p>
    <w:p>
      <w:pPr>
        <w:pStyle w:val="21"/>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leftChars="0" w:right="0" w:firstLine="420" w:firstLineChars="200"/>
        <w:jc w:val="left"/>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陕西省财政厅关于印发《陕西省中小企业政府采购信用融资办法》（陕财办采〔2018〕23号）。</w:t>
      </w:r>
    </w:p>
    <w:p>
      <w:pPr>
        <w:autoSpaceDE w:val="0"/>
        <w:autoSpaceDN w:val="0"/>
        <w:spacing w:line="360" w:lineRule="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本项目非专门面向中小企业采购。</w:t>
      </w:r>
    </w:p>
    <w:p>
      <w:pPr>
        <w:pStyle w:val="4"/>
        <w:numPr>
          <w:ilvl w:val="1"/>
          <w:numId w:val="0"/>
        </w:numPr>
        <w:ind w:left="575"/>
        <w:rPr>
          <w:rFonts w:ascii="宋体" w:hAnsi="宋体" w:eastAsia="宋体" w:cs="宋体"/>
          <w:color w:val="auto"/>
          <w:lang w:val="zh-CN"/>
        </w:rPr>
      </w:pPr>
      <w:bookmarkStart w:id="12" w:name="_Toc38030870"/>
      <w:r>
        <w:rPr>
          <w:rFonts w:hint="eastAsia" w:ascii="宋体" w:hAnsi="宋体" w:eastAsia="宋体" w:cs="宋体"/>
          <w:color w:val="auto"/>
        </w:rPr>
        <w:t>5.</w:t>
      </w:r>
      <w:r>
        <w:rPr>
          <w:rFonts w:hint="eastAsia" w:ascii="宋体" w:hAnsi="宋体" w:eastAsia="宋体" w:cs="宋体"/>
          <w:color w:val="auto"/>
          <w:lang w:val="zh-CN"/>
        </w:rPr>
        <w:t>投标文件</w:t>
      </w:r>
      <w:bookmarkEnd w:id="11"/>
      <w:bookmarkEnd w:id="12"/>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5.1 投标文件的组成</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供应商应包括但不限于“第六章  投标文件格式”要求的内容。供应商在评标过程中作出的符合法律法规和招标文件规定的澄清确认，构成投标文件的组成部分。</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5.2 投标报价</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5.2.1 投标报价应包括国家规定的税金，供应商应按第六章“投标文件格式”的要求在开标一览表中进行报价并填写分项报价表。</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5.2.2 供应商应充分了解该项目的总体情况以及影响投标报价的其他要素。凡因供应商对招标文件阅读不深、理解不透、误解、疏漏、或因市场行情了解不清造成的后果和风险均由供应商自负。</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5.2.3 本项目投标报价应包括完成本项目招标范围全部内容所需的全部费用。投标报价在合同执行过程中是固定不变的，不得以任何理由予以变更。</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5.2.4 投标总价为各分项报价金额之和，投标总价与分项报价的合价不一致的，应以各分项合价累计数为准，修正投标总价；投标文件中如有对招标文件要求的内容缺漏项，评标时须将其他有效投标中该项的最高价计入其评标总价，如果有严重、重要缺项的，将可能导致废标。供应商在投标截止时间前修改投标报价的，应同时修改投标文件“分项报价表”中的相应报价。此修改须符合本章第 4.3 款的有关要求。</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5.2.5 供应商的投标报价不得超过采购预算，否则按无效投标处理。</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5.2.6 最低报价不是中标的唯一依据。</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5.2.7 投标报价应包括完成本项目招标范围全部内容所需的全部费用。任何有选择的报价将不予接受，每种货物只允许有一个报价。</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5.3 投标有效期</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5.3.1 本项目投标有效期：见供应商须知前附表。</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5.3.2出现特殊情况需要延长投标有效期的，采购人以书面形式通知所有供应商延长投标有效期。供应商应予以书面答复，同意延长的不得要求或被允许修改其投标文件；供应商拒绝延长的，其投标失效。</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5.4 投标保证金</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rPr>
        <w:t>详见投标人须知前附表</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5.5 备选投标方案</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5.5.1 除供应商须知前附表规定允许外，供应商不得递交备选投标方案，否则其投标按无效处理。</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5.5.2 供应商提供两个或两个以上投标品牌，或者在投标文件中提供两个或两个以上供货方案的，视为提供备选方案。</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5.6 投标文件的编制</w:t>
      </w:r>
    </w:p>
    <w:p>
      <w:pPr>
        <w:spacing w:line="360" w:lineRule="auto"/>
        <w:ind w:firstLine="422"/>
        <w:jc w:val="left"/>
        <w:rPr>
          <w:rFonts w:ascii="宋体" w:hAnsi="宋体" w:eastAsia="宋体" w:cs="宋体"/>
          <w:b/>
          <w:bCs/>
          <w:color w:val="auto"/>
          <w:kern w:val="1"/>
          <w:szCs w:val="21"/>
        </w:rPr>
      </w:pPr>
      <w:r>
        <w:rPr>
          <w:rFonts w:hint="eastAsia" w:ascii="宋体" w:hAnsi="宋体" w:eastAsia="宋体" w:cs="宋体"/>
          <w:b/>
          <w:bCs/>
          <w:color w:val="auto"/>
          <w:kern w:val="1"/>
          <w:szCs w:val="21"/>
        </w:rPr>
        <w:t>5.6.1 电子投标文件</w:t>
      </w:r>
    </w:p>
    <w:p>
      <w:pPr>
        <w:spacing w:line="360" w:lineRule="auto"/>
        <w:jc w:val="left"/>
        <w:rPr>
          <w:rFonts w:ascii="宋体" w:hAnsi="宋体" w:eastAsia="宋体" w:cs="宋体"/>
          <w:color w:val="auto"/>
          <w:kern w:val="1"/>
          <w:szCs w:val="21"/>
        </w:rPr>
      </w:pPr>
      <w:r>
        <w:rPr>
          <w:rFonts w:hint="eastAsia" w:ascii="宋体" w:hAnsi="宋体" w:eastAsia="宋体" w:cs="宋体"/>
          <w:color w:val="auto"/>
          <w:kern w:val="1"/>
          <w:szCs w:val="21"/>
        </w:rPr>
        <w:t>编制电子投标文件时，应使用最新发布的电子招标文件及专用制作工具进行编制。并使用数字认证证书（CA）对电子投标文件进行签署、加密、递交及开标时解密等相关操作。</w:t>
      </w:r>
    </w:p>
    <w:p>
      <w:pPr>
        <w:spacing w:line="360" w:lineRule="auto"/>
        <w:ind w:firstLine="422"/>
        <w:jc w:val="left"/>
        <w:rPr>
          <w:rFonts w:ascii="宋体" w:hAnsi="宋体" w:eastAsia="宋体" w:cs="宋体"/>
          <w:b/>
          <w:bCs/>
          <w:color w:val="auto"/>
          <w:kern w:val="1"/>
          <w:szCs w:val="21"/>
        </w:rPr>
      </w:pPr>
      <w:r>
        <w:rPr>
          <w:rFonts w:hint="eastAsia" w:ascii="宋体" w:hAnsi="宋体" w:eastAsia="宋体" w:cs="宋体"/>
          <w:b/>
          <w:bCs/>
          <w:color w:val="auto"/>
          <w:kern w:val="1"/>
          <w:szCs w:val="21"/>
        </w:rPr>
        <w:t>（1）电子招标文件下载</w:t>
      </w:r>
    </w:p>
    <w:p>
      <w:pPr>
        <w:spacing w:line="360" w:lineRule="auto"/>
        <w:jc w:val="left"/>
        <w:rPr>
          <w:rFonts w:ascii="宋体" w:hAnsi="宋体" w:eastAsia="宋体" w:cs="宋体"/>
          <w:color w:val="auto"/>
          <w:kern w:val="1"/>
          <w:szCs w:val="21"/>
        </w:rPr>
      </w:pPr>
      <w:r>
        <w:rPr>
          <w:rFonts w:hint="eastAsia" w:ascii="宋体" w:hAnsi="宋体" w:eastAsia="宋体" w:cs="宋体"/>
          <w:color w:val="auto"/>
          <w:kern w:val="1"/>
          <w:szCs w:val="21"/>
        </w:rPr>
        <w:t>供应商登录全国公共资源交易平台（陕西省）网站[电子交易平台-企业端]后，在[我的项目]中点击“项目流程-交易文件下载”下载电子招标文件（*.SXSZF）;</w:t>
      </w:r>
    </w:p>
    <w:p>
      <w:pPr>
        <w:spacing w:line="360" w:lineRule="auto"/>
        <w:jc w:val="left"/>
        <w:rPr>
          <w:rFonts w:ascii="宋体" w:hAnsi="宋体" w:eastAsia="宋体" w:cs="宋体"/>
          <w:color w:val="auto"/>
          <w:kern w:val="1"/>
          <w:szCs w:val="21"/>
        </w:rPr>
      </w:pPr>
      <w:r>
        <w:rPr>
          <w:rFonts w:hint="eastAsia" w:ascii="宋体" w:hAnsi="宋体" w:eastAsia="宋体" w:cs="宋体"/>
          <w:color w:val="auto"/>
          <w:kern w:val="1"/>
          <w:szCs w:val="21"/>
        </w:rPr>
        <w:t>注意：该项目如有变更文件，则应点击“项目流程&gt;答疑文件下载”下载更新后的电子招标文件（*.SXSCF），使用旧版电子招标文件制作的电子投标文件，系统将拒绝接收。</w:t>
      </w:r>
    </w:p>
    <w:p>
      <w:pPr>
        <w:spacing w:line="360" w:lineRule="auto"/>
        <w:ind w:firstLine="422"/>
        <w:jc w:val="left"/>
        <w:rPr>
          <w:rFonts w:ascii="宋体" w:hAnsi="宋体" w:eastAsia="宋体" w:cs="宋体"/>
          <w:b/>
          <w:bCs/>
          <w:color w:val="auto"/>
          <w:kern w:val="1"/>
          <w:szCs w:val="21"/>
        </w:rPr>
      </w:pPr>
      <w:r>
        <w:rPr>
          <w:rFonts w:hint="eastAsia" w:ascii="宋体" w:hAnsi="宋体" w:eastAsia="宋体" w:cs="宋体"/>
          <w:b/>
          <w:bCs/>
          <w:color w:val="auto"/>
          <w:kern w:val="1"/>
          <w:szCs w:val="21"/>
        </w:rPr>
        <w:t>（2）电子招标文件需要使用专用软件打开、浏览</w:t>
      </w:r>
    </w:p>
    <w:p>
      <w:pPr>
        <w:spacing w:line="360" w:lineRule="auto"/>
        <w:jc w:val="left"/>
        <w:rPr>
          <w:rFonts w:ascii="宋体" w:hAnsi="宋体" w:eastAsia="宋体" w:cs="宋体"/>
          <w:color w:val="auto"/>
          <w:kern w:val="1"/>
          <w:szCs w:val="21"/>
        </w:rPr>
      </w:pPr>
      <w:r>
        <w:rPr>
          <w:rFonts w:hint="eastAsia" w:ascii="宋体" w:hAnsi="宋体" w:eastAsia="宋体" w:cs="宋体"/>
          <w:color w:val="auto"/>
          <w:kern w:val="1"/>
          <w:szCs w:val="21"/>
        </w:rPr>
        <w:t>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w:t>
      </w:r>
    </w:p>
    <w:p>
      <w:pPr>
        <w:spacing w:line="360" w:lineRule="auto"/>
        <w:ind w:firstLine="422"/>
        <w:jc w:val="left"/>
        <w:rPr>
          <w:rFonts w:ascii="宋体" w:hAnsi="宋体" w:eastAsia="宋体" w:cs="宋体"/>
          <w:b/>
          <w:bCs/>
          <w:color w:val="auto"/>
          <w:kern w:val="1"/>
          <w:szCs w:val="21"/>
        </w:rPr>
      </w:pPr>
      <w:r>
        <w:rPr>
          <w:rFonts w:hint="eastAsia" w:ascii="宋体" w:hAnsi="宋体" w:eastAsia="宋体" w:cs="宋体"/>
          <w:b/>
          <w:bCs/>
          <w:color w:val="auto"/>
          <w:kern w:val="1"/>
          <w:szCs w:val="21"/>
        </w:rPr>
        <w:t>（3）制作电子投标文件</w:t>
      </w:r>
    </w:p>
    <w:p>
      <w:pPr>
        <w:autoSpaceDE w:val="0"/>
        <w:autoSpaceDN w:val="0"/>
        <w:spacing w:line="360" w:lineRule="auto"/>
        <w:rPr>
          <w:rFonts w:ascii="宋体" w:hAnsi="宋体" w:eastAsia="宋体" w:cs="宋体"/>
          <w:color w:val="auto"/>
          <w:kern w:val="1"/>
          <w:szCs w:val="21"/>
        </w:rPr>
      </w:pPr>
      <w:r>
        <w:rPr>
          <w:rFonts w:hint="eastAsia" w:ascii="宋体" w:hAnsi="宋体" w:eastAsia="宋体" w:cs="宋体"/>
          <w:color w:val="auto"/>
          <w:kern w:val="1"/>
          <w:szCs w:val="21"/>
        </w:rPr>
        <w:t>电子投标文件同样需要使用上述软件进行编制。在编制过程中，如有技术性问题，请先翻阅操作手册或致电软件开发商，技术支持热线：4009280095、4009980000。</w:t>
      </w:r>
    </w:p>
    <w:p>
      <w:pPr>
        <w:spacing w:line="360" w:lineRule="auto"/>
        <w:ind w:firstLine="422"/>
        <w:jc w:val="left"/>
        <w:rPr>
          <w:rFonts w:ascii="宋体" w:hAnsi="宋体" w:eastAsia="宋体" w:cs="宋体"/>
          <w:b/>
          <w:bCs/>
          <w:color w:val="auto"/>
          <w:kern w:val="1"/>
          <w:szCs w:val="21"/>
        </w:rPr>
      </w:pPr>
      <w:r>
        <w:rPr>
          <w:rFonts w:hint="eastAsia" w:ascii="宋体" w:hAnsi="宋体" w:eastAsia="宋体" w:cs="宋体"/>
          <w:b/>
          <w:bCs/>
          <w:color w:val="auto"/>
          <w:kern w:val="1"/>
          <w:szCs w:val="21"/>
        </w:rPr>
        <w:t>5.6.2 纸质投标文件</w:t>
      </w:r>
    </w:p>
    <w:p>
      <w:pPr>
        <w:autoSpaceDE w:val="0"/>
        <w:autoSpaceDN w:val="0"/>
        <w:spacing w:line="360" w:lineRule="auto"/>
        <w:jc w:val="left"/>
        <w:rPr>
          <w:rFonts w:ascii="宋体" w:hAnsi="宋体" w:eastAsia="宋体" w:cs="宋体"/>
          <w:color w:val="auto"/>
          <w:szCs w:val="21"/>
        </w:rPr>
      </w:pPr>
      <w:r>
        <w:rPr>
          <w:rFonts w:hint="eastAsia" w:ascii="宋体" w:hAnsi="宋体" w:eastAsia="宋体" w:cs="宋体"/>
          <w:color w:val="auto"/>
          <w:szCs w:val="21"/>
        </w:rPr>
        <w:t>为营造营商环境，供应商仅在线上提交电子响应文件，不需另行提供纸质版文件。</w:t>
      </w:r>
    </w:p>
    <w:p>
      <w:pPr>
        <w:pStyle w:val="4"/>
        <w:numPr>
          <w:ilvl w:val="1"/>
          <w:numId w:val="0"/>
        </w:numPr>
        <w:ind w:left="575"/>
        <w:rPr>
          <w:rFonts w:ascii="宋体" w:hAnsi="宋体" w:eastAsia="宋体" w:cs="宋体"/>
          <w:color w:val="auto"/>
          <w:szCs w:val="21"/>
          <w:lang w:val="zh-CN"/>
        </w:rPr>
      </w:pPr>
      <w:bookmarkStart w:id="13" w:name="_Toc38030871"/>
      <w:bookmarkStart w:id="14" w:name="_Toc528333527"/>
      <w:r>
        <w:rPr>
          <w:rFonts w:hint="eastAsia" w:ascii="宋体" w:hAnsi="宋体" w:eastAsia="宋体" w:cs="宋体"/>
          <w:color w:val="auto"/>
        </w:rPr>
        <w:t>6.</w:t>
      </w:r>
      <w:r>
        <w:rPr>
          <w:rFonts w:hint="eastAsia" w:ascii="宋体" w:hAnsi="宋体" w:eastAsia="宋体" w:cs="宋体"/>
          <w:color w:val="auto"/>
          <w:lang w:val="zh-CN"/>
        </w:rPr>
        <w:t>投标文件的提交</w:t>
      </w:r>
      <w:bookmarkEnd w:id="13"/>
      <w:bookmarkEnd w:id="14"/>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6.</w:t>
      </w:r>
      <w:r>
        <w:rPr>
          <w:rFonts w:hint="eastAsia" w:ascii="宋体" w:hAnsi="宋体" w:eastAsia="宋体" w:cs="宋体"/>
          <w:color w:val="auto"/>
          <w:szCs w:val="21"/>
        </w:rPr>
        <w:t xml:space="preserve">1 </w:t>
      </w:r>
      <w:r>
        <w:rPr>
          <w:rFonts w:hint="eastAsia" w:ascii="宋体" w:hAnsi="宋体" w:eastAsia="宋体" w:cs="宋体"/>
          <w:color w:val="auto"/>
          <w:szCs w:val="21"/>
          <w:lang w:val="zh-CN"/>
        </w:rPr>
        <w:t>供应商应在供应商须知前附表规定的投标截止时间前递交投标文件。</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6.2</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供应商递交投标文件的地点：见供应商须知前附表。</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6.</w:t>
      </w:r>
      <w:r>
        <w:rPr>
          <w:rFonts w:hint="eastAsia" w:ascii="宋体" w:hAnsi="宋体" w:eastAsia="宋体" w:cs="宋体"/>
          <w:color w:val="auto"/>
          <w:szCs w:val="21"/>
        </w:rPr>
        <w:t>3</w:t>
      </w:r>
      <w:r>
        <w:rPr>
          <w:rFonts w:hint="eastAsia" w:ascii="宋体" w:hAnsi="宋体" w:eastAsia="宋体" w:cs="宋体"/>
          <w:color w:val="auto"/>
          <w:szCs w:val="21"/>
          <w:lang w:val="zh-CN"/>
        </w:rPr>
        <w:t xml:space="preserve"> 除供应商须知前附表另有规定外，供应商所递交的投标文件不予退还。</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bCs/>
          <w:color w:val="auto"/>
          <w:szCs w:val="21"/>
          <w:lang w:val="zh-CN"/>
        </w:rPr>
        <w:t>6.</w:t>
      </w:r>
      <w:r>
        <w:rPr>
          <w:rFonts w:hint="eastAsia" w:ascii="宋体" w:hAnsi="宋体" w:eastAsia="宋体" w:cs="宋体"/>
          <w:bCs/>
          <w:color w:val="auto"/>
          <w:szCs w:val="21"/>
        </w:rPr>
        <w:t>4</w:t>
      </w:r>
      <w:r>
        <w:rPr>
          <w:rFonts w:hint="eastAsia" w:ascii="宋体" w:hAnsi="宋体" w:eastAsia="宋体" w:cs="宋体"/>
          <w:bCs/>
          <w:color w:val="auto"/>
          <w:szCs w:val="21"/>
          <w:lang w:val="zh-CN"/>
        </w:rPr>
        <w:t xml:space="preserve"> </w:t>
      </w:r>
      <w:r>
        <w:rPr>
          <w:rFonts w:hint="eastAsia" w:ascii="宋体" w:hAnsi="宋体" w:eastAsia="宋体" w:cs="宋体"/>
          <w:color w:val="auto"/>
          <w:szCs w:val="21"/>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pStyle w:val="4"/>
        <w:numPr>
          <w:ilvl w:val="1"/>
          <w:numId w:val="0"/>
        </w:numPr>
        <w:ind w:firstLine="643" w:firstLineChars="200"/>
        <w:rPr>
          <w:rFonts w:ascii="宋体" w:hAnsi="宋体" w:eastAsia="宋体" w:cs="宋体"/>
          <w:color w:val="auto"/>
          <w:lang w:val="zh-CN"/>
        </w:rPr>
      </w:pPr>
      <w:bookmarkStart w:id="15" w:name="_Toc38030872"/>
      <w:bookmarkStart w:id="16" w:name="_Toc528333528"/>
      <w:r>
        <w:rPr>
          <w:rFonts w:hint="eastAsia" w:ascii="宋体" w:hAnsi="宋体" w:eastAsia="宋体" w:cs="宋体"/>
          <w:color w:val="auto"/>
        </w:rPr>
        <w:t>7.</w:t>
      </w:r>
      <w:r>
        <w:rPr>
          <w:rFonts w:hint="eastAsia" w:ascii="宋体" w:hAnsi="宋体" w:eastAsia="宋体" w:cs="宋体"/>
          <w:color w:val="auto"/>
          <w:lang w:val="zh-CN"/>
        </w:rPr>
        <w:t>开标</w:t>
      </w:r>
      <w:bookmarkEnd w:id="15"/>
      <w:bookmarkEnd w:id="16"/>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7.1 开标时间和地点</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采购人按供应商须知前附表规定的开标时间和地点公开开标。</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7.2 开标程序</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（1）宣布开标纪律；</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（2）公布在投标截止时间前递交投标文件的供应商名称；</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（3）宣布开标人、唱标人、记录人、监标人等有关人员姓名；</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（4）</w:t>
      </w:r>
      <w:r>
        <w:rPr>
          <w:rFonts w:hint="eastAsia" w:ascii="宋体" w:hAnsi="宋体" w:eastAsia="宋体" w:cs="宋体"/>
          <w:color w:val="auto"/>
          <w:szCs w:val="21"/>
        </w:rPr>
        <w:t>电子响应文件解密</w:t>
      </w:r>
      <w:r>
        <w:rPr>
          <w:rFonts w:hint="eastAsia" w:ascii="宋体" w:hAnsi="宋体" w:eastAsia="宋体" w:cs="宋体"/>
          <w:color w:val="auto"/>
          <w:szCs w:val="21"/>
          <w:lang w:val="zh-CN"/>
        </w:rPr>
        <w:t>，公布供应商名称、投标报价及其他内容记录在案</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（5）供应商代表、唱标人、记录人、监标人等有关人员在开标记录上签字确认；</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（6）开标结束。</w:t>
      </w:r>
    </w:p>
    <w:p>
      <w:pPr>
        <w:pStyle w:val="4"/>
        <w:numPr>
          <w:ilvl w:val="1"/>
          <w:numId w:val="0"/>
        </w:numPr>
        <w:ind w:firstLine="321" w:firstLineChars="100"/>
        <w:rPr>
          <w:rFonts w:ascii="宋体" w:hAnsi="宋体" w:eastAsia="宋体" w:cs="宋体"/>
          <w:color w:val="auto"/>
          <w:lang w:val="zh-CN"/>
        </w:rPr>
      </w:pPr>
      <w:bookmarkStart w:id="17" w:name="_Toc528333529"/>
      <w:bookmarkStart w:id="18" w:name="_Toc38030873"/>
      <w:r>
        <w:rPr>
          <w:rFonts w:hint="eastAsia" w:ascii="宋体" w:hAnsi="宋体" w:eastAsia="宋体" w:cs="宋体"/>
          <w:color w:val="auto"/>
        </w:rPr>
        <w:t>8.</w:t>
      </w:r>
      <w:r>
        <w:rPr>
          <w:rFonts w:hint="eastAsia" w:ascii="宋体" w:hAnsi="宋体" w:eastAsia="宋体" w:cs="宋体"/>
          <w:color w:val="auto"/>
          <w:lang w:val="zh-CN"/>
        </w:rPr>
        <w:t>供应商资格审查</w:t>
      </w:r>
      <w:bookmarkEnd w:id="17"/>
      <w:bookmarkEnd w:id="18"/>
    </w:p>
    <w:p>
      <w:pPr>
        <w:autoSpaceDE w:val="0"/>
        <w:autoSpaceDN w:val="0"/>
        <w:spacing w:line="360" w:lineRule="auto"/>
        <w:rPr>
          <w:rFonts w:ascii="宋体" w:hAnsi="宋体" w:eastAsia="宋体" w:cs="宋体"/>
          <w:color w:val="auto"/>
          <w:szCs w:val="21"/>
          <w:lang w:val="zh-CN"/>
        </w:rPr>
      </w:pPr>
      <w:bookmarkStart w:id="19" w:name="_Toc528333530"/>
      <w:r>
        <w:rPr>
          <w:rFonts w:hint="eastAsia" w:ascii="宋体" w:hAnsi="宋体" w:eastAsia="宋体" w:cs="宋体"/>
          <w:color w:val="auto"/>
          <w:szCs w:val="21"/>
          <w:lang w:val="zh-CN"/>
        </w:rPr>
        <w:t>8.1 开标结束后，采购人或采购代理机构按照下表中的资格审查标准，对投标文件正本中的资格证明文件进行审查。</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7334"/>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21" w:type="dxa"/>
            <w:vMerge w:val="restart"/>
            <w:vAlign w:val="center"/>
          </w:tcPr>
          <w:p>
            <w:pPr>
              <w:spacing w:line="276" w:lineRule="auto"/>
              <w:ind w:firstLine="0" w:firstLineChars="0"/>
              <w:rPr>
                <w:rFonts w:ascii="宋体" w:hAnsi="宋体" w:eastAsia="宋体" w:cs="宋体"/>
                <w:b/>
                <w:color w:val="auto"/>
                <w:szCs w:val="21"/>
              </w:rPr>
            </w:pPr>
            <w:r>
              <w:rPr>
                <w:rFonts w:hint="eastAsia" w:ascii="宋体" w:hAnsi="宋体" w:eastAsia="宋体" w:cs="宋体"/>
                <w:color w:val="auto"/>
                <w:szCs w:val="21"/>
              </w:rPr>
              <w:t>资格审查标准</w:t>
            </w:r>
          </w:p>
        </w:tc>
        <w:tc>
          <w:tcPr>
            <w:tcW w:w="7334" w:type="dxa"/>
            <w:vAlign w:val="center"/>
          </w:tcPr>
          <w:p>
            <w:pPr>
              <w:spacing w:line="276" w:lineRule="auto"/>
              <w:ind w:firstLine="422"/>
              <w:jc w:val="center"/>
              <w:rPr>
                <w:rFonts w:hint="eastAsia" w:ascii="宋体" w:hAnsi="宋体" w:eastAsia="宋体" w:cs="宋体"/>
                <w:b/>
                <w:color w:val="auto"/>
                <w:szCs w:val="21"/>
                <w:lang w:eastAsia="zh-CN"/>
              </w:rPr>
            </w:pPr>
            <w:r>
              <w:rPr>
                <w:rFonts w:hint="eastAsia" w:ascii="宋体" w:hAnsi="宋体" w:eastAsia="宋体" w:cs="宋体"/>
                <w:b/>
                <w:color w:val="auto"/>
                <w:szCs w:val="21"/>
              </w:rPr>
              <w:t>评审因素</w:t>
            </w:r>
            <w:r>
              <w:rPr>
                <w:rFonts w:hint="eastAsia" w:ascii="宋体" w:hAnsi="宋体" w:eastAsia="宋体" w:cs="宋体"/>
                <w:b/>
                <w:color w:val="auto"/>
                <w:szCs w:val="21"/>
                <w:lang w:eastAsia="zh-CN"/>
              </w:rPr>
              <w:t>及要求</w:t>
            </w:r>
          </w:p>
        </w:tc>
        <w:tc>
          <w:tcPr>
            <w:tcW w:w="962" w:type="dxa"/>
            <w:vAlign w:val="center"/>
          </w:tcPr>
          <w:p>
            <w:pPr>
              <w:tabs>
                <w:tab w:val="left" w:pos="1180"/>
              </w:tabs>
              <w:spacing w:line="276" w:lineRule="auto"/>
              <w:ind w:firstLine="0" w:firstLineChars="0"/>
              <w:jc w:val="center"/>
              <w:rPr>
                <w:rFonts w:hint="eastAsia" w:ascii="宋体" w:hAnsi="宋体" w:eastAsia="宋体" w:cs="宋体"/>
                <w:b/>
                <w:color w:val="auto"/>
                <w:szCs w:val="21"/>
              </w:rPr>
            </w:pPr>
            <w:r>
              <w:rPr>
                <w:rFonts w:hint="eastAsia" w:ascii="宋体" w:hAnsi="宋体" w:eastAsia="宋体" w:cs="宋体"/>
                <w:b/>
                <w:color w:val="auto"/>
                <w:szCs w:val="21"/>
              </w:rPr>
              <w:t>评审</w:t>
            </w:r>
          </w:p>
          <w:p>
            <w:pPr>
              <w:tabs>
                <w:tab w:val="left" w:pos="1180"/>
              </w:tabs>
              <w:spacing w:line="276" w:lineRule="auto"/>
              <w:ind w:firstLine="0" w:firstLineChars="0"/>
              <w:jc w:val="center"/>
              <w:rPr>
                <w:rFonts w:ascii="宋体" w:hAnsi="宋体" w:eastAsia="宋体" w:cs="宋体"/>
                <w:b/>
                <w:color w:val="auto"/>
                <w:szCs w:val="21"/>
              </w:rPr>
            </w:pPr>
            <w:r>
              <w:rPr>
                <w:rFonts w:hint="eastAsia" w:ascii="宋体" w:hAnsi="宋体" w:eastAsia="宋体" w:cs="宋体"/>
                <w:b/>
                <w:color w:val="auto"/>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spacing w:line="276" w:lineRule="auto"/>
              <w:jc w:val="center"/>
              <w:rPr>
                <w:rFonts w:ascii="宋体" w:hAnsi="宋体" w:eastAsia="宋体" w:cs="宋体"/>
                <w:color w:val="auto"/>
                <w:szCs w:val="21"/>
              </w:rPr>
            </w:pPr>
          </w:p>
        </w:tc>
        <w:tc>
          <w:tcPr>
            <w:tcW w:w="7334" w:type="dxa"/>
            <w:vAlign w:val="center"/>
          </w:tcPr>
          <w:p>
            <w:pPr>
              <w:spacing w:line="276" w:lineRule="auto"/>
              <w:jc w:val="left"/>
              <w:rPr>
                <w:rFonts w:hint="eastAsia" w:ascii="宋体" w:hAnsi="宋体" w:eastAsia="宋体" w:cs="宋体"/>
                <w:color w:val="auto"/>
                <w:szCs w:val="21"/>
                <w:lang w:eastAsia="zh-CN"/>
              </w:rPr>
            </w:pPr>
            <w:r>
              <w:rPr>
                <w:rFonts w:hint="eastAsia" w:ascii="宋体" w:hAnsi="宋体" w:eastAsia="宋体" w:cs="宋体"/>
                <w:color w:val="auto"/>
                <w:szCs w:val="21"/>
              </w:rPr>
              <w:t>具有独立承担民事责任能力的法人、其他组织或自然人，并出具经年检合格的营业执照或事业单位法人证书等国家规定的相关证明，自然人参与的提供其身份证明</w:t>
            </w:r>
            <w:r>
              <w:rPr>
                <w:rFonts w:hint="eastAsia" w:ascii="宋体" w:hAnsi="宋体" w:eastAsia="宋体" w:cs="宋体"/>
                <w:color w:val="auto"/>
                <w:szCs w:val="21"/>
                <w:lang w:eastAsia="zh-CN"/>
              </w:rPr>
              <w:t>；</w:t>
            </w:r>
          </w:p>
        </w:tc>
        <w:tc>
          <w:tcPr>
            <w:tcW w:w="962" w:type="dxa"/>
            <w:vAlign w:val="center"/>
          </w:tcPr>
          <w:p>
            <w:pPr>
              <w:tabs>
                <w:tab w:val="left" w:pos="1180"/>
              </w:tabs>
              <w:spacing w:line="276"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21" w:type="dxa"/>
            <w:vMerge w:val="continue"/>
            <w:vAlign w:val="center"/>
          </w:tcPr>
          <w:p>
            <w:pPr>
              <w:spacing w:line="276" w:lineRule="auto"/>
              <w:jc w:val="center"/>
              <w:rPr>
                <w:rFonts w:ascii="宋体" w:hAnsi="宋体" w:eastAsia="宋体" w:cs="宋体"/>
                <w:color w:val="auto"/>
                <w:szCs w:val="21"/>
              </w:rPr>
            </w:pPr>
          </w:p>
        </w:tc>
        <w:tc>
          <w:tcPr>
            <w:tcW w:w="7334" w:type="dxa"/>
          </w:tcPr>
          <w:p>
            <w:pPr>
              <w:spacing w:line="276" w:lineRule="auto"/>
              <w:rPr>
                <w:rFonts w:hint="eastAsia" w:ascii="宋体" w:hAnsi="宋体" w:eastAsia="宋体" w:cs="宋体"/>
                <w:color w:val="auto"/>
                <w:szCs w:val="21"/>
                <w:lang w:eastAsia="zh-CN"/>
              </w:rPr>
            </w:pPr>
            <w:r>
              <w:rPr>
                <w:rFonts w:hint="eastAsia" w:ascii="宋体" w:hAnsi="宋体" w:eastAsia="宋体" w:cs="宋体"/>
                <w:color w:val="auto"/>
                <w:szCs w:val="21"/>
              </w:rPr>
              <w:t>提供法定代表人授权书（附法定代表人身份证复印件加盖公章）及被授权人身份证（法定代表人直接参加投标的，须出具法人身份证原件）</w:t>
            </w:r>
            <w:r>
              <w:rPr>
                <w:rFonts w:hint="eastAsia" w:ascii="宋体" w:hAnsi="宋体" w:eastAsia="宋体" w:cs="宋体"/>
                <w:color w:val="auto"/>
                <w:szCs w:val="21"/>
                <w:lang w:eastAsia="zh-CN"/>
              </w:rPr>
              <w:t>；</w:t>
            </w:r>
          </w:p>
        </w:tc>
        <w:tc>
          <w:tcPr>
            <w:tcW w:w="962" w:type="dxa"/>
            <w:vAlign w:val="center"/>
          </w:tcPr>
          <w:p>
            <w:pPr>
              <w:tabs>
                <w:tab w:val="left" w:pos="1180"/>
              </w:tabs>
              <w:spacing w:line="276"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21" w:type="dxa"/>
            <w:vMerge w:val="continue"/>
            <w:vAlign w:val="center"/>
          </w:tcPr>
          <w:p>
            <w:pPr>
              <w:spacing w:line="276" w:lineRule="auto"/>
              <w:jc w:val="center"/>
              <w:rPr>
                <w:rFonts w:ascii="宋体" w:hAnsi="宋体" w:eastAsia="宋体" w:cs="宋体"/>
                <w:color w:val="auto"/>
                <w:szCs w:val="21"/>
              </w:rPr>
            </w:pPr>
          </w:p>
        </w:tc>
        <w:tc>
          <w:tcPr>
            <w:tcW w:w="7334" w:type="dxa"/>
            <w:vAlign w:val="center"/>
          </w:tcPr>
          <w:p>
            <w:pPr>
              <w:spacing w:line="276" w:lineRule="auto"/>
              <w:rPr>
                <w:rFonts w:hint="eastAsia" w:ascii="宋体" w:hAnsi="宋体" w:eastAsia="宋体" w:cs="宋体"/>
                <w:color w:val="auto"/>
                <w:szCs w:val="21"/>
                <w:lang w:eastAsia="zh-CN"/>
              </w:rPr>
            </w:pPr>
            <w:r>
              <w:rPr>
                <w:rFonts w:hint="eastAsia" w:ascii="宋体" w:hAnsi="宋体" w:eastAsia="宋体" w:cs="宋体"/>
                <w:color w:val="auto"/>
                <w:szCs w:val="21"/>
              </w:rPr>
              <w:t>具有履行合同所必需的设备和专业技术能力</w:t>
            </w:r>
            <w:r>
              <w:rPr>
                <w:rFonts w:hint="eastAsia" w:ascii="宋体" w:hAnsi="宋体" w:eastAsia="宋体" w:cs="宋体"/>
                <w:color w:val="auto"/>
                <w:sz w:val="21"/>
                <w:szCs w:val="21"/>
                <w:highlight w:val="none"/>
                <w:lang w:eastAsia="zh-CN"/>
              </w:rPr>
              <w:t>（提供自述材料加盖公章）</w:t>
            </w:r>
            <w:r>
              <w:rPr>
                <w:rFonts w:hint="eastAsia" w:ascii="宋体" w:hAnsi="宋体" w:eastAsia="宋体" w:cs="宋体"/>
                <w:color w:val="auto"/>
                <w:szCs w:val="21"/>
                <w:lang w:eastAsia="zh-CN"/>
              </w:rPr>
              <w:t>；</w:t>
            </w:r>
          </w:p>
        </w:tc>
        <w:tc>
          <w:tcPr>
            <w:tcW w:w="962" w:type="dxa"/>
            <w:vAlign w:val="center"/>
          </w:tcPr>
          <w:p>
            <w:pPr>
              <w:tabs>
                <w:tab w:val="left" w:pos="1180"/>
              </w:tabs>
              <w:spacing w:line="276"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21" w:type="dxa"/>
            <w:vMerge w:val="continue"/>
            <w:vAlign w:val="center"/>
          </w:tcPr>
          <w:p>
            <w:pPr>
              <w:spacing w:line="276" w:lineRule="auto"/>
              <w:jc w:val="center"/>
              <w:rPr>
                <w:rFonts w:ascii="宋体" w:hAnsi="宋体" w:eastAsia="宋体" w:cs="宋体"/>
                <w:color w:val="auto"/>
                <w:szCs w:val="21"/>
              </w:rPr>
            </w:pPr>
          </w:p>
        </w:tc>
        <w:tc>
          <w:tcPr>
            <w:tcW w:w="7334" w:type="dxa"/>
            <w:vAlign w:val="center"/>
          </w:tcPr>
          <w:p>
            <w:pPr>
              <w:spacing w:line="276" w:lineRule="auto"/>
              <w:jc w:val="both"/>
              <w:rPr>
                <w:rFonts w:ascii="宋体" w:hAnsi="宋体" w:eastAsia="宋体" w:cs="宋体"/>
                <w:color w:val="auto"/>
                <w:szCs w:val="21"/>
                <w:lang w:val="zh-CN"/>
              </w:rPr>
            </w:pPr>
            <w:r>
              <w:rPr>
                <w:rFonts w:hint="eastAsia" w:ascii="宋体" w:hAnsi="宋体" w:eastAsia="宋体" w:cs="宋体"/>
                <w:color w:val="auto"/>
                <w:szCs w:val="21"/>
                <w:lang w:val="zh-CN"/>
              </w:rPr>
              <w:t>参加政府采购活动前三年内，在经营活动中没有重大违法记录的书面声明；</w:t>
            </w:r>
          </w:p>
        </w:tc>
        <w:tc>
          <w:tcPr>
            <w:tcW w:w="962" w:type="dxa"/>
            <w:vAlign w:val="center"/>
          </w:tcPr>
          <w:p>
            <w:pPr>
              <w:widowControl/>
              <w:spacing w:line="276" w:lineRule="auto"/>
              <w:ind w:firstLine="0" w:firstLineChars="0"/>
              <w:jc w:val="center"/>
              <w:textAlignment w:val="baseline"/>
              <w:rPr>
                <w:rFonts w:ascii="宋体" w:hAnsi="宋体" w:eastAsia="宋体" w:cs="宋体"/>
                <w:color w:val="auto"/>
                <w:szCs w:val="21"/>
              </w:rPr>
            </w:pP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spacing w:line="276" w:lineRule="auto"/>
              <w:jc w:val="center"/>
              <w:rPr>
                <w:rFonts w:ascii="宋体" w:hAnsi="宋体" w:eastAsia="宋体" w:cs="宋体"/>
                <w:color w:val="auto"/>
                <w:szCs w:val="21"/>
              </w:rPr>
            </w:pPr>
          </w:p>
        </w:tc>
        <w:tc>
          <w:tcPr>
            <w:tcW w:w="7334" w:type="dxa"/>
            <w:vAlign w:val="center"/>
          </w:tcPr>
          <w:p>
            <w:pPr>
              <w:spacing w:line="276"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社会保障资金缴纳证明：提供 2021年 9月至今已缴存的至少三个月的社会保障资金缴存单据或社保机构开具的社会保险参保缴费情况证明，依法不需要缴纳社会保障资金的单位应提供相关证明材料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1"/>
                <w:szCs w:val="21"/>
                <w:highlight w:val="none"/>
                <w:lang w:eastAsia="zh-CN"/>
              </w:rPr>
              <w:t>加盖公章</w:t>
            </w:r>
            <w:r>
              <w:rPr>
                <w:rFonts w:hint="eastAsia" w:ascii="宋体" w:hAnsi="宋体" w:eastAsia="宋体" w:cs="宋体"/>
                <w:color w:val="auto"/>
                <w:szCs w:val="21"/>
                <w:lang w:val="zh-CN"/>
              </w:rPr>
              <w:t>；</w:t>
            </w:r>
          </w:p>
        </w:tc>
        <w:tc>
          <w:tcPr>
            <w:tcW w:w="962" w:type="dxa"/>
            <w:vAlign w:val="center"/>
          </w:tcPr>
          <w:p>
            <w:pPr>
              <w:widowControl/>
              <w:spacing w:line="276" w:lineRule="auto"/>
              <w:ind w:firstLine="0" w:firstLineChars="0"/>
              <w:jc w:val="center"/>
              <w:textAlignment w:val="baseline"/>
              <w:rPr>
                <w:rFonts w:ascii="宋体" w:hAnsi="宋体" w:eastAsia="宋体" w:cs="宋体"/>
                <w:color w:val="auto"/>
                <w:szCs w:val="21"/>
              </w:rPr>
            </w:pP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spacing w:line="276" w:lineRule="auto"/>
              <w:jc w:val="center"/>
              <w:rPr>
                <w:rFonts w:ascii="宋体" w:hAnsi="宋体" w:eastAsia="宋体" w:cs="宋体"/>
                <w:color w:val="auto"/>
                <w:szCs w:val="21"/>
              </w:rPr>
            </w:pPr>
          </w:p>
        </w:tc>
        <w:tc>
          <w:tcPr>
            <w:tcW w:w="7334" w:type="dxa"/>
            <w:vAlign w:val="center"/>
          </w:tcPr>
          <w:p>
            <w:pPr>
              <w:spacing w:line="276" w:lineRule="auto"/>
              <w:jc w:val="left"/>
              <w:rPr>
                <w:rFonts w:ascii="宋体" w:hAnsi="宋体" w:eastAsia="宋体" w:cs="宋体"/>
                <w:color w:val="auto"/>
                <w:szCs w:val="21"/>
                <w:shd w:val="clear" w:color="auto" w:fill="FFFFFF"/>
              </w:rPr>
            </w:pPr>
            <w:r>
              <w:rPr>
                <w:rFonts w:hint="eastAsia" w:ascii="宋体" w:hAnsi="宋体" w:eastAsia="宋体" w:cs="宋体"/>
                <w:color w:val="auto"/>
                <w:szCs w:val="21"/>
                <w:lang w:val="zh-CN"/>
              </w:rPr>
              <w:t>财务审计报告：提供 2021 年的财务审计报告（至少包括资产负债表和利润表，成立时间至提交响应文件截止时间不足一年的可提供成立后任意时段的资产负债表）须加盖投标人财务专用章，或其基本存款账户开户银行出具的资信证明及基本存款账户开户许可证；</w:t>
            </w:r>
          </w:p>
        </w:tc>
        <w:tc>
          <w:tcPr>
            <w:tcW w:w="962" w:type="dxa"/>
            <w:vAlign w:val="center"/>
          </w:tcPr>
          <w:p>
            <w:pPr>
              <w:widowControl/>
              <w:spacing w:line="276" w:lineRule="auto"/>
              <w:ind w:firstLine="0" w:firstLineChars="0"/>
              <w:jc w:val="center"/>
              <w:textAlignment w:val="baseline"/>
              <w:rPr>
                <w:rFonts w:ascii="宋体" w:hAnsi="宋体" w:eastAsia="宋体" w:cs="宋体"/>
                <w:color w:val="auto"/>
                <w:szCs w:val="21"/>
              </w:rPr>
            </w:pP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vMerge w:val="continue"/>
            <w:vAlign w:val="center"/>
          </w:tcPr>
          <w:p>
            <w:pPr>
              <w:spacing w:line="276" w:lineRule="auto"/>
              <w:jc w:val="center"/>
              <w:rPr>
                <w:rFonts w:ascii="宋体" w:hAnsi="宋体" w:eastAsia="宋体" w:cs="宋体"/>
                <w:color w:val="auto"/>
                <w:szCs w:val="21"/>
              </w:rPr>
            </w:pPr>
          </w:p>
        </w:tc>
        <w:tc>
          <w:tcPr>
            <w:tcW w:w="7334" w:type="dxa"/>
            <w:vAlign w:val="center"/>
          </w:tcPr>
          <w:p>
            <w:pPr>
              <w:spacing w:line="276" w:lineRule="auto"/>
              <w:jc w:val="left"/>
              <w:rPr>
                <w:rFonts w:ascii="宋体" w:hAnsi="宋体" w:eastAsia="宋体" w:cs="宋体"/>
                <w:color w:val="auto"/>
                <w:szCs w:val="21"/>
              </w:rPr>
            </w:pPr>
            <w:r>
              <w:rPr>
                <w:rFonts w:hint="eastAsia" w:ascii="宋体" w:hAnsi="宋体" w:eastAsia="宋体" w:cs="宋体"/>
                <w:color w:val="auto"/>
                <w:szCs w:val="21"/>
              </w:rPr>
              <w:t>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投标截止时间前5日内网站截图；</w:t>
            </w:r>
          </w:p>
        </w:tc>
        <w:tc>
          <w:tcPr>
            <w:tcW w:w="962" w:type="dxa"/>
            <w:vAlign w:val="center"/>
          </w:tcPr>
          <w:p>
            <w:pPr>
              <w:widowControl/>
              <w:spacing w:line="276" w:lineRule="auto"/>
              <w:ind w:firstLine="0" w:firstLineChars="0"/>
              <w:jc w:val="center"/>
              <w:textAlignment w:val="baseline"/>
              <w:rPr>
                <w:rFonts w:ascii="宋体" w:hAnsi="宋体" w:eastAsia="宋体" w:cs="宋体"/>
                <w:color w:val="auto"/>
                <w:szCs w:val="21"/>
              </w:rPr>
            </w:pP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7" w:type="dxa"/>
            <w:gridSpan w:val="3"/>
            <w:vAlign w:val="center"/>
          </w:tcPr>
          <w:p>
            <w:pPr>
              <w:tabs>
                <w:tab w:val="left" w:pos="1180"/>
              </w:tabs>
              <w:spacing w:line="276" w:lineRule="auto"/>
              <w:jc w:val="left"/>
              <w:rPr>
                <w:rFonts w:ascii="宋体" w:hAnsi="宋体" w:eastAsia="宋体" w:cs="宋体"/>
                <w:color w:val="auto"/>
                <w:szCs w:val="21"/>
              </w:rPr>
            </w:pPr>
            <w:r>
              <w:rPr>
                <w:rFonts w:hint="eastAsia" w:ascii="宋体" w:hAnsi="宋体" w:eastAsia="宋体" w:cs="宋体"/>
                <w:color w:val="auto"/>
                <w:szCs w:val="21"/>
              </w:rPr>
              <w:t>评定结果：以上内容有一项不符合要求，则资格审查评定为不合格。</w:t>
            </w:r>
          </w:p>
        </w:tc>
      </w:tr>
    </w:tbl>
    <w:p>
      <w:pPr>
        <w:autoSpaceDE w:val="0"/>
        <w:autoSpaceDN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rPr>
        <w:t xml:space="preserve"> </w:t>
      </w:r>
      <w:r>
        <w:rPr>
          <w:rFonts w:hint="eastAsia" w:ascii="宋体" w:hAnsi="宋体" w:eastAsia="宋体" w:cs="宋体"/>
          <w:color w:val="auto"/>
          <w:szCs w:val="21"/>
          <w:lang w:val="zh-CN"/>
        </w:rPr>
        <w:t>8.2</w:t>
      </w:r>
      <w:r>
        <w:rPr>
          <w:rFonts w:hint="eastAsia" w:ascii="宋体" w:hAnsi="宋体" w:eastAsia="宋体" w:cs="宋体"/>
          <w:b/>
          <w:color w:val="auto"/>
          <w:szCs w:val="21"/>
          <w:lang w:val="zh-CN"/>
        </w:rPr>
        <w:t xml:space="preserve"> </w:t>
      </w:r>
      <w:r>
        <w:rPr>
          <w:rFonts w:hint="eastAsia" w:ascii="宋体" w:hAnsi="宋体" w:eastAsia="宋体" w:cs="宋体"/>
          <w:color w:val="auto"/>
          <w:szCs w:val="21"/>
          <w:lang w:val="zh-CN"/>
        </w:rPr>
        <w:t>资格审查结束后，资格审查人员对审查结果进行签字确认，并告知无效投标供应商资格审查未通过的原因，资格审查不合格的供应商，不得进入评标环节。</w:t>
      </w:r>
    </w:p>
    <w:p>
      <w:pPr>
        <w:autoSpaceDE w:val="0"/>
        <w:autoSpaceDN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 xml:space="preserve"> 8.3 资格审查后合格供应商不足3家的，不得评标。</w:t>
      </w:r>
    </w:p>
    <w:p>
      <w:pPr>
        <w:autoSpaceDE w:val="0"/>
        <w:autoSpaceDN w:val="0"/>
        <w:spacing w:line="440" w:lineRule="exact"/>
        <w:ind w:firstLine="480"/>
        <w:rPr>
          <w:rFonts w:ascii="宋体" w:hAnsi="宋体" w:eastAsia="宋体" w:cs="宋体"/>
          <w:color w:val="auto"/>
          <w:sz w:val="24"/>
        </w:rPr>
      </w:pPr>
      <w:r>
        <w:rPr>
          <w:rFonts w:hint="eastAsia" w:ascii="宋体" w:hAnsi="宋体" w:eastAsia="宋体" w:cs="宋体"/>
          <w:color w:val="auto"/>
          <w:sz w:val="24"/>
        </w:rPr>
        <w:t xml:space="preserve">8.4 </w:t>
      </w:r>
      <w:r>
        <w:rPr>
          <w:rFonts w:hint="eastAsia" w:ascii="宋体" w:hAnsi="宋体" w:eastAsia="宋体" w:cs="宋体"/>
          <w:b/>
          <w:bCs/>
          <w:color w:val="auto"/>
          <w:sz w:val="24"/>
        </w:rPr>
        <w:t>符合性评审：如发现下列情况之一的，其投标将按无效处理：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64"/>
        <w:gridCol w:w="8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276"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序号</w:t>
            </w:r>
          </w:p>
        </w:tc>
        <w:tc>
          <w:tcPr>
            <w:tcW w:w="8402"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276" w:lineRule="auto"/>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审查因素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7" w:hRule="atLeast"/>
          <w:jc w:val="center"/>
        </w:trPr>
        <w:tc>
          <w:tcPr>
            <w:tcW w:w="764" w:type="dxa"/>
            <w:tcBorders>
              <w:top w:val="single" w:color="auto" w:sz="4" w:space="0"/>
              <w:left w:val="single" w:color="auto" w:sz="4" w:space="0"/>
              <w:right w:val="single" w:color="auto" w:sz="4" w:space="0"/>
            </w:tcBorders>
            <w:vAlign w:val="center"/>
          </w:tcPr>
          <w:p>
            <w:pPr>
              <w:tabs>
                <w:tab w:val="left" w:pos="1180"/>
              </w:tabs>
              <w:spacing w:line="276" w:lineRule="auto"/>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1</w:t>
            </w:r>
          </w:p>
        </w:tc>
        <w:tc>
          <w:tcPr>
            <w:tcW w:w="8402"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276" w:lineRule="auto"/>
              <w:ind w:left="0" w:leftChars="0" w:firstLine="0" w:firstLineChars="0"/>
              <w:jc w:val="left"/>
              <w:rPr>
                <w:rFonts w:hint="eastAsia" w:ascii="宋体" w:hAnsi="宋体" w:eastAsia="宋体" w:cs="宋体"/>
                <w:color w:val="auto"/>
                <w:szCs w:val="21"/>
                <w:lang w:eastAsia="zh-CN"/>
              </w:rPr>
            </w:pPr>
            <w:r>
              <w:rPr>
                <w:rFonts w:hint="eastAsia" w:ascii="宋体" w:hAnsi="宋体" w:eastAsia="宋体" w:cs="宋体"/>
                <w:color w:val="auto"/>
                <w:szCs w:val="21"/>
              </w:rPr>
              <w:t>投标文件项目名称、项目编号与招标文件不一致</w:t>
            </w:r>
            <w:r>
              <w:rPr>
                <w:rFonts w:hint="eastAsia" w:ascii="宋体" w:hAnsi="宋体" w:eastAsia="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5" w:hRule="atLeast"/>
          <w:jc w:val="center"/>
        </w:trPr>
        <w:tc>
          <w:tcPr>
            <w:tcW w:w="764" w:type="dxa"/>
            <w:tcBorders>
              <w:top w:val="single" w:color="auto" w:sz="4" w:space="0"/>
              <w:left w:val="single" w:color="auto" w:sz="4" w:space="0"/>
              <w:right w:val="single" w:color="auto" w:sz="4" w:space="0"/>
            </w:tcBorders>
            <w:vAlign w:val="center"/>
          </w:tcPr>
          <w:p>
            <w:pPr>
              <w:tabs>
                <w:tab w:val="left" w:pos="1180"/>
              </w:tabs>
              <w:spacing w:line="276" w:lineRule="auto"/>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2</w:t>
            </w:r>
          </w:p>
        </w:tc>
        <w:tc>
          <w:tcPr>
            <w:tcW w:w="8402"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276" w:lineRule="auto"/>
              <w:ind w:left="0" w:leftChars="0" w:firstLine="0" w:firstLineChars="0"/>
              <w:jc w:val="left"/>
              <w:rPr>
                <w:rFonts w:ascii="宋体" w:hAnsi="宋体" w:eastAsia="宋体" w:cs="宋体"/>
                <w:color w:val="auto"/>
                <w:szCs w:val="21"/>
              </w:rPr>
            </w:pPr>
            <w:r>
              <w:rPr>
                <w:rFonts w:hint="eastAsia" w:ascii="宋体" w:hAnsi="宋体" w:eastAsia="宋体" w:cs="宋体"/>
                <w:color w:val="auto"/>
                <w:szCs w:val="21"/>
              </w:rPr>
              <w:t>投标文件无投标人公章、无法定代表人签字或签字人无法定代表人有效授权书的；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4" w:hRule="atLeast"/>
          <w:jc w:val="center"/>
        </w:trPr>
        <w:tc>
          <w:tcPr>
            <w:tcW w:w="764" w:type="dxa"/>
            <w:tcBorders>
              <w:left w:val="single" w:color="auto" w:sz="4" w:space="0"/>
              <w:right w:val="single" w:color="auto" w:sz="4" w:space="0"/>
            </w:tcBorders>
            <w:vAlign w:val="center"/>
          </w:tcPr>
          <w:p>
            <w:pPr>
              <w:tabs>
                <w:tab w:val="left" w:pos="1180"/>
              </w:tabs>
              <w:spacing w:line="276" w:lineRule="auto"/>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3</w:t>
            </w:r>
          </w:p>
        </w:tc>
        <w:tc>
          <w:tcPr>
            <w:tcW w:w="8402"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276" w:lineRule="auto"/>
              <w:ind w:left="0" w:leftChars="0" w:firstLine="0" w:firstLineChars="0"/>
              <w:jc w:val="left"/>
              <w:rPr>
                <w:rFonts w:hint="eastAsia" w:ascii="宋体" w:hAnsi="宋体" w:eastAsia="宋体" w:cs="宋体"/>
                <w:color w:val="auto"/>
                <w:szCs w:val="21"/>
                <w:lang w:eastAsia="zh-CN"/>
              </w:rPr>
            </w:pPr>
            <w:r>
              <w:rPr>
                <w:rFonts w:hint="eastAsia" w:ascii="宋体" w:hAnsi="宋体" w:eastAsia="宋体" w:cs="宋体"/>
                <w:color w:val="auto"/>
                <w:szCs w:val="21"/>
              </w:rPr>
              <w:t>未出现有多个报价，且未超出招标预算金额</w:t>
            </w:r>
            <w:r>
              <w:rPr>
                <w:rFonts w:hint="eastAsia" w:ascii="宋体" w:hAnsi="宋体" w:eastAsia="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764" w:type="dxa"/>
            <w:tcBorders>
              <w:left w:val="single" w:color="auto" w:sz="4" w:space="0"/>
              <w:right w:val="single" w:color="auto" w:sz="4" w:space="0"/>
            </w:tcBorders>
            <w:vAlign w:val="center"/>
          </w:tcPr>
          <w:p>
            <w:pPr>
              <w:tabs>
                <w:tab w:val="left" w:pos="1180"/>
              </w:tabs>
              <w:spacing w:line="276" w:lineRule="auto"/>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4</w:t>
            </w:r>
          </w:p>
        </w:tc>
        <w:tc>
          <w:tcPr>
            <w:tcW w:w="8402"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276" w:lineRule="auto"/>
              <w:ind w:left="0" w:leftChars="0" w:firstLine="0" w:firstLineChars="0"/>
              <w:jc w:val="left"/>
              <w:rPr>
                <w:rFonts w:hint="eastAsia" w:ascii="宋体" w:hAnsi="宋体" w:eastAsia="宋体" w:cs="宋体"/>
                <w:color w:val="auto"/>
                <w:szCs w:val="21"/>
                <w:lang w:eastAsia="zh-CN"/>
              </w:rPr>
            </w:pPr>
            <w:r>
              <w:rPr>
                <w:rFonts w:hint="eastAsia" w:ascii="宋体" w:hAnsi="宋体" w:eastAsia="宋体" w:cs="宋体"/>
                <w:color w:val="auto"/>
                <w:szCs w:val="21"/>
                <w:highlight w:val="none"/>
              </w:rPr>
              <w:t>交货期</w:t>
            </w:r>
            <w:r>
              <w:rPr>
                <w:rFonts w:hint="eastAsia" w:ascii="宋体" w:hAnsi="宋体" w:eastAsia="宋体" w:cs="宋体"/>
                <w:color w:val="auto"/>
                <w:szCs w:val="21"/>
              </w:rPr>
              <w:t>不符合招标文件要求</w:t>
            </w:r>
            <w:r>
              <w:rPr>
                <w:rFonts w:hint="eastAsia" w:ascii="宋体" w:hAnsi="宋体" w:eastAsia="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764" w:type="dxa"/>
            <w:tcBorders>
              <w:left w:val="single" w:color="auto" w:sz="4" w:space="0"/>
              <w:right w:val="single" w:color="auto" w:sz="4" w:space="0"/>
            </w:tcBorders>
            <w:vAlign w:val="center"/>
          </w:tcPr>
          <w:p>
            <w:pPr>
              <w:tabs>
                <w:tab w:val="left" w:pos="1180"/>
              </w:tabs>
              <w:spacing w:line="276" w:lineRule="auto"/>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5</w:t>
            </w:r>
          </w:p>
        </w:tc>
        <w:tc>
          <w:tcPr>
            <w:tcW w:w="8402"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276" w:lineRule="auto"/>
              <w:ind w:left="0" w:leftChars="0" w:firstLine="0" w:firstLineChars="0"/>
              <w:jc w:val="left"/>
              <w:rPr>
                <w:rFonts w:hint="eastAsia" w:ascii="宋体" w:hAnsi="宋体" w:eastAsia="宋体" w:cs="宋体"/>
                <w:color w:val="auto"/>
                <w:szCs w:val="21"/>
                <w:lang w:eastAsia="zh-CN"/>
              </w:rPr>
            </w:pPr>
            <w:r>
              <w:rPr>
                <w:rFonts w:hint="eastAsia" w:ascii="宋体" w:hAnsi="宋体" w:eastAsia="宋体" w:cs="宋体"/>
                <w:color w:val="auto"/>
                <w:szCs w:val="21"/>
              </w:rPr>
              <w:t>投标有效期不符合招标文件要求</w:t>
            </w:r>
            <w:r>
              <w:rPr>
                <w:rFonts w:hint="eastAsia" w:ascii="宋体" w:hAnsi="宋体" w:eastAsia="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7" w:hRule="atLeast"/>
          <w:jc w:val="center"/>
        </w:trPr>
        <w:tc>
          <w:tcPr>
            <w:tcW w:w="764" w:type="dxa"/>
            <w:tcBorders>
              <w:left w:val="single" w:color="auto" w:sz="4" w:space="0"/>
              <w:right w:val="single" w:color="auto" w:sz="4" w:space="0"/>
            </w:tcBorders>
            <w:vAlign w:val="center"/>
          </w:tcPr>
          <w:p>
            <w:pPr>
              <w:tabs>
                <w:tab w:val="left" w:pos="1180"/>
              </w:tabs>
              <w:spacing w:line="276" w:lineRule="auto"/>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6</w:t>
            </w:r>
          </w:p>
        </w:tc>
        <w:tc>
          <w:tcPr>
            <w:tcW w:w="8402"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276" w:lineRule="auto"/>
              <w:ind w:left="0" w:leftChars="0" w:firstLine="0" w:firstLineChars="0"/>
              <w:jc w:val="left"/>
              <w:rPr>
                <w:rFonts w:ascii="宋体" w:hAnsi="宋体" w:eastAsia="宋体" w:cs="宋体"/>
                <w:color w:val="auto"/>
                <w:szCs w:val="21"/>
              </w:rPr>
            </w:pPr>
            <w:r>
              <w:rPr>
                <w:rFonts w:hint="eastAsia" w:ascii="宋体" w:hAnsi="宋体" w:eastAsia="宋体" w:cs="宋体"/>
                <w:color w:val="auto"/>
                <w:szCs w:val="21"/>
              </w:rPr>
              <w:t>投标文件参数、商务条款</w:t>
            </w:r>
            <w:r>
              <w:rPr>
                <w:rFonts w:hint="eastAsia" w:ascii="宋体" w:hAnsi="宋体" w:eastAsia="宋体" w:cs="宋体"/>
                <w:color w:val="auto"/>
                <w:szCs w:val="21"/>
                <w:lang w:eastAsia="zh-CN"/>
              </w:rPr>
              <w:t>未</w:t>
            </w:r>
            <w:r>
              <w:rPr>
                <w:rFonts w:hint="eastAsia" w:ascii="宋体" w:hAnsi="宋体" w:eastAsia="宋体" w:cs="宋体"/>
                <w:color w:val="auto"/>
                <w:szCs w:val="21"/>
              </w:rPr>
              <w:t>按招标文件要求进行实质性响应、</w:t>
            </w:r>
            <w:r>
              <w:rPr>
                <w:rFonts w:hint="eastAsia" w:ascii="宋体" w:hAnsi="宋体" w:eastAsia="宋体" w:cs="宋体"/>
                <w:color w:val="auto"/>
                <w:szCs w:val="21"/>
                <w:lang w:eastAsia="zh-CN"/>
              </w:rPr>
              <w:t>出现</w:t>
            </w:r>
            <w:r>
              <w:rPr>
                <w:rFonts w:hint="eastAsia" w:ascii="宋体" w:hAnsi="宋体" w:eastAsia="宋体" w:cs="宋体"/>
                <w:color w:val="auto"/>
                <w:szCs w:val="21"/>
              </w:rPr>
              <w:t>缺项、</w:t>
            </w:r>
            <w:r>
              <w:rPr>
                <w:rFonts w:hint="eastAsia" w:ascii="宋体" w:hAnsi="宋体" w:eastAsia="宋体" w:cs="宋体"/>
                <w:color w:val="auto"/>
                <w:szCs w:val="21"/>
                <w:lang w:eastAsia="zh-CN"/>
              </w:rPr>
              <w:t>有</w:t>
            </w:r>
            <w:r>
              <w:rPr>
                <w:rFonts w:hint="eastAsia" w:ascii="宋体" w:hAnsi="宋体" w:eastAsia="宋体" w:cs="宋体"/>
                <w:color w:val="auto"/>
                <w:szCs w:val="21"/>
              </w:rPr>
              <w:t>负偏离的；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8" w:hRule="atLeast"/>
          <w:jc w:val="center"/>
        </w:trPr>
        <w:tc>
          <w:tcPr>
            <w:tcW w:w="764" w:type="dxa"/>
            <w:tcBorders>
              <w:left w:val="single" w:color="auto" w:sz="4" w:space="0"/>
              <w:right w:val="single" w:color="auto" w:sz="4" w:space="0"/>
            </w:tcBorders>
            <w:vAlign w:val="center"/>
          </w:tcPr>
          <w:p>
            <w:pPr>
              <w:tabs>
                <w:tab w:val="left" w:pos="1180"/>
              </w:tabs>
              <w:spacing w:line="276" w:lineRule="auto"/>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7</w:t>
            </w:r>
          </w:p>
        </w:tc>
        <w:tc>
          <w:tcPr>
            <w:tcW w:w="8402"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276" w:lineRule="auto"/>
              <w:ind w:left="0" w:leftChars="0" w:firstLine="0" w:firstLineChars="0"/>
              <w:jc w:val="left"/>
              <w:rPr>
                <w:rFonts w:ascii="宋体" w:hAnsi="宋体" w:eastAsia="宋体" w:cs="宋体"/>
                <w:color w:val="auto"/>
                <w:szCs w:val="21"/>
              </w:rPr>
            </w:pPr>
            <w:r>
              <w:rPr>
                <w:rFonts w:hint="eastAsia" w:ascii="宋体" w:hAnsi="宋体" w:eastAsia="宋体" w:cs="宋体"/>
                <w:color w:val="auto"/>
                <w:szCs w:val="21"/>
              </w:rPr>
              <w:t>其他情况：出现法律法规或招标文件明确规定的其他被视为“无效投标”的情形。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6" w:hRule="atLeast"/>
          <w:jc w:val="center"/>
        </w:trPr>
        <w:tc>
          <w:tcPr>
            <w:tcW w:w="9166" w:type="dxa"/>
            <w:gridSpan w:val="2"/>
            <w:tcBorders>
              <w:left w:val="single" w:color="auto" w:sz="4" w:space="0"/>
              <w:bottom w:val="single" w:color="auto" w:sz="4" w:space="0"/>
              <w:right w:val="single" w:color="auto" w:sz="4" w:space="0"/>
            </w:tcBorders>
            <w:vAlign w:val="center"/>
          </w:tcPr>
          <w:p>
            <w:pPr>
              <w:tabs>
                <w:tab w:val="left" w:pos="1180"/>
              </w:tabs>
              <w:spacing w:line="276" w:lineRule="auto"/>
              <w:jc w:val="left"/>
              <w:rPr>
                <w:rFonts w:ascii="宋体" w:hAnsi="宋体" w:eastAsia="宋体" w:cs="宋体"/>
                <w:color w:val="auto"/>
                <w:szCs w:val="21"/>
              </w:rPr>
            </w:pPr>
            <w:r>
              <w:rPr>
                <w:rFonts w:hint="eastAsia" w:ascii="宋体" w:hAnsi="宋体" w:eastAsia="宋体" w:cs="宋体"/>
                <w:color w:val="auto"/>
                <w:szCs w:val="21"/>
              </w:rPr>
              <w:t>备注：符合性审查不合格的供应商不得进入下一评审环节。</w:t>
            </w:r>
          </w:p>
        </w:tc>
      </w:tr>
    </w:tbl>
    <w:p>
      <w:pPr>
        <w:pStyle w:val="4"/>
        <w:numPr>
          <w:ilvl w:val="1"/>
          <w:numId w:val="0"/>
        </w:numPr>
        <w:ind w:left="575"/>
        <w:rPr>
          <w:rFonts w:ascii="宋体" w:hAnsi="宋体" w:eastAsia="宋体" w:cs="宋体"/>
          <w:color w:val="auto"/>
          <w:lang w:val="zh-CN"/>
        </w:rPr>
      </w:pPr>
      <w:bookmarkStart w:id="20" w:name="_Toc38030874"/>
      <w:r>
        <w:rPr>
          <w:rFonts w:hint="eastAsia" w:ascii="宋体" w:hAnsi="宋体" w:eastAsia="宋体" w:cs="宋体"/>
          <w:color w:val="auto"/>
        </w:rPr>
        <w:t>9.</w:t>
      </w:r>
      <w:r>
        <w:rPr>
          <w:rFonts w:hint="eastAsia" w:ascii="宋体" w:hAnsi="宋体" w:eastAsia="宋体" w:cs="宋体"/>
          <w:color w:val="auto"/>
          <w:lang w:val="zh-CN"/>
        </w:rPr>
        <w:t>评标</w:t>
      </w:r>
      <w:bookmarkEnd w:id="19"/>
      <w:bookmarkEnd w:id="20"/>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9.1 评标委员会</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9.1.1 评标由采购人依法组建的评标委员会负责。评标委员会的组成见供应商须知前附表。</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9.1.2 评标委员会成员有下列情形之一的，应当回避：</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（1）参加采购活动前3年内与供应商存在劳动关系；</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（2）参加采购活动前3年内担任供应商的董事、监事；</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（3）参加采购活动前3年内是供应商的控股股东或者实际控制人；</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（4）与供应商的法定代表人或者负责人有夫妻、直系血亲、三代以内旁系血亲或者近姻亲关系；</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（5）与供应商有其他可能影响政府采购活动公平、公正进行的关系。</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9.1.3 评标过程中，评标委员会成员有回避事由、擅离职守或者因健康等原因不能继续评标的，采购人有权更换。被更换的评标委员会成员作出的评审结论无效，由更换后的评标委员会成员重新进行评审。</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9.2 评标原则</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评标活动遵循公平、公正、科学和择优的原则。</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9.3 评标</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9.3.1 评标委员会按照第三章“评标办法”规定的方法、评审因素、标准和程序对投标文件进行评审。第三章“评标办法”没有规定的方法、评审因素和标准，不作为评标依据。</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9.3.2 评标完成后，评标委员会应当向采购人提交书面评标报告和中标候选人名单。评标委员会推荐中标候选人的人数见供应商须知前附表。</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lang w:val="zh-CN"/>
        </w:rPr>
        <w:t>9.4 提供相同品牌且通过资格审查、符合性审查的不同供应商参加同一合同项下投标的，按一家供应商计算，评审后得分最高的同品牌供应商获得中标人推荐资格；评审得分相同的，由评标委员会确定评审因素的量化指标评审得分最高的一个供应商获得中标人推荐资格，其他同品牌供应商不作为中标候选人。</w:t>
      </w:r>
    </w:p>
    <w:p>
      <w:pPr>
        <w:pStyle w:val="4"/>
        <w:numPr>
          <w:ilvl w:val="1"/>
          <w:numId w:val="0"/>
        </w:numPr>
        <w:ind w:left="575"/>
        <w:rPr>
          <w:rFonts w:ascii="宋体" w:hAnsi="宋体" w:eastAsia="宋体" w:cs="宋体"/>
          <w:color w:val="auto"/>
          <w:lang w:val="zh-CN"/>
        </w:rPr>
      </w:pPr>
      <w:bookmarkStart w:id="21" w:name="_Toc38030875"/>
      <w:bookmarkStart w:id="22" w:name="_Toc528333531"/>
      <w:r>
        <w:rPr>
          <w:rFonts w:hint="eastAsia" w:ascii="宋体" w:hAnsi="宋体" w:eastAsia="宋体" w:cs="宋体"/>
          <w:color w:val="auto"/>
        </w:rPr>
        <w:t>10.</w:t>
      </w:r>
      <w:r>
        <w:rPr>
          <w:rFonts w:hint="eastAsia" w:ascii="宋体" w:hAnsi="宋体" w:eastAsia="宋体" w:cs="宋体"/>
          <w:color w:val="auto"/>
          <w:lang w:val="zh-CN"/>
        </w:rPr>
        <w:t>确定中标人</w:t>
      </w:r>
      <w:bookmarkEnd w:id="21"/>
      <w:bookmarkEnd w:id="22"/>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10.1 定标复函</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lang w:val="zh-CN"/>
        </w:rPr>
        <w:t>采购代理机构应当在评标结束后1个工作日内将评标报告送采购人，采购人自收到评标报告之日起4个工作日内，在评标报告确定的中标候选人名单中按顺序确定中标人，复函采购代理机构。</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10.2 中标公告及中标通知</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采购代理机构在</w:t>
      </w:r>
      <w:r>
        <w:rPr>
          <w:rFonts w:hint="eastAsia" w:ascii="宋体" w:hAnsi="宋体" w:eastAsia="宋体" w:cs="宋体"/>
          <w:color w:val="auto"/>
          <w:szCs w:val="21"/>
        </w:rPr>
        <w:t>2</w:t>
      </w:r>
      <w:r>
        <w:rPr>
          <w:rFonts w:hint="eastAsia" w:ascii="宋体" w:hAnsi="宋体" w:eastAsia="宋体" w:cs="宋体"/>
          <w:color w:val="auto"/>
          <w:szCs w:val="21"/>
          <w:lang w:val="zh-CN"/>
        </w:rPr>
        <w:t>个工作日内发出中标通知书并在财政部门指定的政府采购信息发布媒体上发布中标公告，供应商可电话咨询本人的评审得分与排序，咨询电话：</w:t>
      </w:r>
      <w:r>
        <w:rPr>
          <w:rFonts w:hint="eastAsia" w:ascii="宋体" w:hAnsi="宋体" w:eastAsia="宋体" w:cs="宋体"/>
          <w:color w:val="auto"/>
          <w:szCs w:val="21"/>
        </w:rPr>
        <w:t>13038911990</w:t>
      </w:r>
      <w:r>
        <w:rPr>
          <w:rFonts w:hint="eastAsia" w:ascii="宋体" w:hAnsi="宋体" w:eastAsia="宋体" w:cs="宋体"/>
          <w:color w:val="auto"/>
          <w:szCs w:val="21"/>
          <w:lang w:val="zh-CN"/>
        </w:rPr>
        <w:t>，联系人：沈工。</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10.3 中标通知</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在公告中标结果的同时，采购人向中标人发出中标通知书，供应商可电话咨询本人的评审得分与排序。</w:t>
      </w:r>
    </w:p>
    <w:p>
      <w:pPr>
        <w:pStyle w:val="4"/>
        <w:numPr>
          <w:ilvl w:val="1"/>
          <w:numId w:val="0"/>
        </w:numPr>
        <w:ind w:left="575"/>
        <w:rPr>
          <w:rFonts w:ascii="宋体" w:hAnsi="宋体" w:eastAsia="宋体" w:cs="宋体"/>
          <w:color w:val="auto"/>
          <w:lang w:val="zh-CN"/>
        </w:rPr>
      </w:pPr>
      <w:bookmarkStart w:id="23" w:name="_Toc528333532"/>
      <w:bookmarkStart w:id="24" w:name="_Toc38030876"/>
      <w:r>
        <w:rPr>
          <w:rFonts w:hint="eastAsia" w:ascii="宋体" w:hAnsi="宋体" w:eastAsia="宋体" w:cs="宋体"/>
          <w:color w:val="auto"/>
        </w:rPr>
        <w:t>11.</w:t>
      </w:r>
      <w:r>
        <w:rPr>
          <w:rFonts w:hint="eastAsia" w:ascii="宋体" w:hAnsi="宋体" w:eastAsia="宋体" w:cs="宋体"/>
          <w:color w:val="auto"/>
          <w:lang w:val="zh-CN"/>
        </w:rPr>
        <w:t>质疑投诉</w:t>
      </w:r>
      <w:bookmarkEnd w:id="23"/>
      <w:bookmarkEnd w:id="24"/>
    </w:p>
    <w:p>
      <w:pPr>
        <w:autoSpaceDE w:val="0"/>
        <w:autoSpaceDN w:val="0"/>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11.1 质疑</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11.1.1 供应商认为招标文件、采购过程和中标结果使自己的权益受到损害的，可以在知道或者应知其权益受到损害之日起七个工作日内，以书面形式向采购人提出质疑。供应商应在法定质疑期内一次性提出针对同一采购程序环节的质疑。质疑函格式详见本章附件一。</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11.1.2 提出质疑的应当是参与所质疑项目采购活动的供应商。</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11.1.3 提出质疑应当提交质疑函和必要的证明材料。质疑函应当包括下列内容：</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（1）供应商的姓名或者名称、地址、邮编、联系人及联系电话；</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（2）质疑项目的名称、编号；</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（3）具体、明确的质疑事项和与质疑事项相关的请求；</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（4）事实依据；</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（5）必要的法律依据；</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（6）提出质疑的日期。</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供应商为自然人的，应当由本人签字；供应商为法人或者其他组织的，应当由法定代表人、主要负责人，或者其授权代表签字或者盖章，并加盖公章。</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11.1.4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pPr>
        <w:pStyle w:val="12"/>
        <w:spacing w:line="360" w:lineRule="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11.1.5 供应商在法定质疑期内一次性提出针对同一采购程序环节的质疑。</w:t>
      </w:r>
    </w:p>
    <w:p>
      <w:pPr>
        <w:autoSpaceDE w:val="0"/>
        <w:autoSpaceDN w:val="0"/>
        <w:spacing w:line="360" w:lineRule="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zh-CN" w:eastAsia="zh-CN" w:bidi="ar-SA"/>
        </w:rPr>
        <w:t>11.1.6 有下列情形之一的，属于无效质疑：</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lang w:val="zh-CN"/>
        </w:rPr>
        <w:t>（1）</w:t>
      </w:r>
      <w:r>
        <w:rPr>
          <w:rFonts w:hint="eastAsia" w:ascii="宋体" w:hAnsi="宋体" w:eastAsia="宋体" w:cs="宋体"/>
          <w:color w:val="auto"/>
          <w:szCs w:val="21"/>
        </w:rPr>
        <w:t>质疑人不是参与本次政府采购项目的服务商或潜在服务商；</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lang w:val="zh-CN"/>
        </w:rPr>
        <w:t>（2）</w:t>
      </w:r>
      <w:r>
        <w:rPr>
          <w:rFonts w:hint="eastAsia" w:ascii="宋体" w:hAnsi="宋体" w:eastAsia="宋体" w:cs="宋体"/>
          <w:color w:val="auto"/>
          <w:szCs w:val="21"/>
        </w:rPr>
        <w:t>质疑人与质疑事项不存在利害关系的；</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lang w:val="zh-CN"/>
        </w:rPr>
        <w:t>（3）</w:t>
      </w:r>
      <w:r>
        <w:rPr>
          <w:rFonts w:hint="eastAsia" w:ascii="宋体" w:hAnsi="宋体" w:eastAsia="宋体" w:cs="宋体"/>
          <w:color w:val="auto"/>
          <w:szCs w:val="21"/>
        </w:rPr>
        <w:t>未在法定期限内提出质疑的；</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lang w:val="zh-CN"/>
        </w:rPr>
        <w:t>（4）</w:t>
      </w:r>
      <w:r>
        <w:rPr>
          <w:rFonts w:hint="eastAsia" w:ascii="宋体" w:hAnsi="宋体" w:eastAsia="宋体" w:cs="宋体"/>
          <w:color w:val="auto"/>
          <w:szCs w:val="21"/>
        </w:rPr>
        <w:t>质疑未以书面形式提出，或质疑函主要内容构成不完整的；</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lang w:val="zh-CN"/>
        </w:rPr>
        <w:t>（5）</w:t>
      </w:r>
      <w:r>
        <w:rPr>
          <w:rFonts w:hint="eastAsia" w:ascii="宋体" w:hAnsi="宋体" w:eastAsia="宋体" w:cs="宋体"/>
          <w:color w:val="auto"/>
          <w:szCs w:val="21"/>
        </w:rPr>
        <w:t>质疑函没有合法有效的签字、盖章或授权的；</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lang w:val="zh-CN"/>
        </w:rPr>
        <w:t>（6）</w:t>
      </w:r>
      <w:r>
        <w:rPr>
          <w:rFonts w:hint="eastAsia" w:ascii="宋体" w:hAnsi="宋体" w:eastAsia="宋体" w:cs="宋体"/>
          <w:color w:val="auto"/>
          <w:szCs w:val="21"/>
        </w:rPr>
        <w:t>以非法手段取得证据、材料的；</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lang w:val="zh-CN"/>
        </w:rPr>
        <w:t>（7）</w:t>
      </w:r>
      <w:r>
        <w:rPr>
          <w:rFonts w:hint="eastAsia" w:ascii="宋体" w:hAnsi="宋体" w:eastAsia="宋体" w:cs="宋体"/>
          <w:color w:val="auto"/>
          <w:szCs w:val="21"/>
        </w:rPr>
        <w:t>质疑答复后，同一质疑人就同一事项再次提出质疑的；</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lang w:val="zh-CN"/>
        </w:rPr>
        <w:t>（8）</w:t>
      </w:r>
      <w:r>
        <w:rPr>
          <w:rFonts w:hint="eastAsia" w:ascii="宋体" w:hAnsi="宋体" w:eastAsia="宋体" w:cs="宋体"/>
          <w:color w:val="auto"/>
          <w:szCs w:val="21"/>
        </w:rPr>
        <w:t>不符合法律、法规、规章和政府采购监管机构规定的其他条件的。</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lang w:val="zh-CN"/>
        </w:rPr>
        <w:t xml:space="preserve">11.1.7 </w:t>
      </w:r>
      <w:r>
        <w:rPr>
          <w:rFonts w:hint="eastAsia" w:ascii="宋体" w:hAnsi="宋体" w:eastAsia="宋体" w:cs="宋体"/>
          <w:color w:val="auto"/>
          <w:szCs w:val="21"/>
        </w:rPr>
        <w:t>符合要求的质疑，采购代理机构将予以受理并答复，具体联系方式如下：</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rPr>
        <w:t>联系人：沈工</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rPr>
        <w:t>联系电话：13038911990</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rPr>
        <w:t>地址：陕西省安康市汉滨区滨江大道汉江大剧院西区三楼</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lang w:val="zh-CN"/>
        </w:rPr>
        <w:t xml:space="preserve">11.1.8 </w:t>
      </w:r>
      <w:r>
        <w:rPr>
          <w:rFonts w:hint="eastAsia" w:ascii="宋体" w:hAnsi="宋体" w:eastAsia="宋体" w:cs="宋体"/>
          <w:color w:val="auto"/>
          <w:szCs w:val="21"/>
        </w:rPr>
        <w:t>采购代理机构或采购人将在收到书面质疑后7个工作日内做出答复，并以书面形式通知质疑人和其他有关供应商。</w:t>
      </w:r>
    </w:p>
    <w:p>
      <w:pPr>
        <w:autoSpaceDE w:val="0"/>
        <w:autoSpaceDN w:val="0"/>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11.2 投诉</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rPr>
        <w:t>11.2.1 质疑人对采购代理机构或采购人的答复不满意，以及采购代理机构或采购人未在规定时间内做出答复的，可以在答复期满后15个工作日内向政府采购监管机构提出投诉。</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rPr>
        <w:t>11.2.2 投诉的事项不得超出已质疑事项的范围。</w:t>
      </w:r>
    </w:p>
    <w:p>
      <w:pPr>
        <w:autoSpaceDE w:val="0"/>
        <w:autoSpaceDN w:val="0"/>
        <w:spacing w:line="360" w:lineRule="auto"/>
        <w:ind w:firstLine="422"/>
        <w:rPr>
          <w:rFonts w:hint="eastAsia" w:ascii="宋体" w:hAnsi="宋体" w:eastAsia="宋体" w:cs="宋体"/>
          <w:b/>
          <w:color w:val="auto"/>
          <w:szCs w:val="21"/>
        </w:rPr>
      </w:pPr>
      <w:r>
        <w:rPr>
          <w:rFonts w:hint="eastAsia" w:ascii="宋体" w:hAnsi="宋体" w:eastAsia="宋体" w:cs="宋体"/>
          <w:b/>
          <w:color w:val="auto"/>
          <w:szCs w:val="21"/>
        </w:rPr>
        <w:t>11.2.3 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bookmarkStart w:id="25" w:name="_Toc38030877"/>
      <w:bookmarkStart w:id="26" w:name="_Toc528333533"/>
    </w:p>
    <w:p>
      <w:pPr>
        <w:autoSpaceDE w:val="0"/>
        <w:autoSpaceDN w:val="0"/>
        <w:spacing w:line="360" w:lineRule="auto"/>
        <w:ind w:firstLine="422"/>
        <w:rPr>
          <w:rFonts w:ascii="宋体" w:hAnsi="宋体" w:eastAsia="宋体" w:cs="宋体"/>
          <w:b/>
          <w:bCs/>
          <w:color w:val="auto"/>
          <w:lang w:val="zh-CN"/>
        </w:rPr>
      </w:pPr>
      <w:r>
        <w:rPr>
          <w:rFonts w:hint="eastAsia" w:ascii="宋体" w:hAnsi="宋体" w:eastAsia="宋体" w:cs="宋体"/>
          <w:b/>
          <w:bCs/>
          <w:color w:val="auto"/>
          <w:kern w:val="2"/>
          <w:sz w:val="24"/>
          <w:szCs w:val="24"/>
        </w:rPr>
        <w:t>12.</w:t>
      </w:r>
      <w:r>
        <w:rPr>
          <w:rFonts w:hint="eastAsia" w:ascii="宋体" w:hAnsi="宋体" w:eastAsia="宋体" w:cs="宋体"/>
          <w:b/>
          <w:bCs/>
          <w:color w:val="auto"/>
          <w:kern w:val="2"/>
          <w:sz w:val="24"/>
          <w:szCs w:val="24"/>
          <w:lang w:val="zh-CN"/>
        </w:rPr>
        <w:t>招标代理服务费</w:t>
      </w:r>
      <w:bookmarkEnd w:id="25"/>
      <w:bookmarkEnd w:id="26"/>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12.1 招标代理服务费详见供应商须知前附表。</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12.2 由中标人向采购代理机构一次性缴纳招标代理服务费。</w:t>
      </w:r>
    </w:p>
    <w:p>
      <w:pPr>
        <w:tabs>
          <w:tab w:val="left" w:pos="1180"/>
        </w:tabs>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12.3 服务费缴纳账号</w:t>
      </w:r>
    </w:p>
    <w:p>
      <w:pPr>
        <w:tabs>
          <w:tab w:val="left" w:pos="1180"/>
        </w:tabs>
        <w:spacing w:line="360" w:lineRule="auto"/>
        <w:ind w:firstLine="949" w:firstLineChars="450"/>
        <w:rPr>
          <w:rFonts w:ascii="宋体" w:hAnsi="宋体" w:eastAsia="宋体" w:cs="宋体"/>
          <w:b/>
          <w:color w:val="auto"/>
          <w:szCs w:val="21"/>
        </w:rPr>
      </w:pPr>
      <w:r>
        <w:rPr>
          <w:rFonts w:hint="eastAsia" w:ascii="宋体" w:hAnsi="宋体" w:eastAsia="宋体" w:cs="宋体"/>
          <w:b/>
          <w:color w:val="auto"/>
          <w:szCs w:val="21"/>
        </w:rPr>
        <w:t>开户名称：陕西方得项目管理有限公司安康分公司</w:t>
      </w:r>
    </w:p>
    <w:p>
      <w:pPr>
        <w:tabs>
          <w:tab w:val="left" w:pos="1180"/>
        </w:tabs>
        <w:spacing w:line="360" w:lineRule="auto"/>
        <w:ind w:firstLine="949" w:firstLineChars="450"/>
        <w:rPr>
          <w:rFonts w:ascii="宋体" w:hAnsi="宋体" w:eastAsia="宋体" w:cs="宋体"/>
          <w:b/>
          <w:color w:val="auto"/>
          <w:szCs w:val="21"/>
        </w:rPr>
      </w:pPr>
      <w:r>
        <w:rPr>
          <w:rFonts w:hint="eastAsia" w:ascii="宋体" w:hAnsi="宋体" w:eastAsia="宋体" w:cs="宋体"/>
          <w:b/>
          <w:color w:val="auto"/>
          <w:szCs w:val="21"/>
        </w:rPr>
        <w:t>开户银行：中国建设银行股份有限公司安康江北支行</w:t>
      </w:r>
    </w:p>
    <w:p>
      <w:pPr>
        <w:tabs>
          <w:tab w:val="left" w:pos="1180"/>
        </w:tabs>
        <w:spacing w:line="360" w:lineRule="auto"/>
        <w:ind w:firstLine="949" w:firstLineChars="450"/>
        <w:rPr>
          <w:rFonts w:ascii="宋体" w:hAnsi="宋体" w:eastAsia="宋体" w:cs="宋体"/>
          <w:b/>
          <w:color w:val="auto"/>
          <w:szCs w:val="21"/>
        </w:rPr>
      </w:pPr>
      <w:r>
        <w:rPr>
          <w:rFonts w:hint="eastAsia" w:ascii="宋体" w:hAnsi="宋体" w:eastAsia="宋体" w:cs="宋体"/>
          <w:b/>
          <w:color w:val="auto"/>
          <w:szCs w:val="21"/>
        </w:rPr>
        <w:t>账    号：6105 0166  8712  0000  0190</w:t>
      </w:r>
    </w:p>
    <w:p>
      <w:pPr>
        <w:pStyle w:val="4"/>
        <w:numPr>
          <w:ilvl w:val="1"/>
          <w:numId w:val="0"/>
        </w:numPr>
        <w:ind w:left="575"/>
        <w:rPr>
          <w:rFonts w:ascii="宋体" w:hAnsi="宋体" w:eastAsia="宋体" w:cs="宋体"/>
          <w:color w:val="auto"/>
          <w:lang w:val="zh-CN"/>
        </w:rPr>
      </w:pPr>
      <w:bookmarkStart w:id="27" w:name="_Toc38030878"/>
      <w:bookmarkStart w:id="28" w:name="_Toc528333534"/>
      <w:r>
        <w:rPr>
          <w:rFonts w:hint="eastAsia" w:ascii="宋体" w:hAnsi="宋体" w:eastAsia="宋体" w:cs="宋体"/>
          <w:color w:val="auto"/>
        </w:rPr>
        <w:t>13.</w:t>
      </w:r>
      <w:r>
        <w:rPr>
          <w:rFonts w:hint="eastAsia" w:ascii="宋体" w:hAnsi="宋体" w:eastAsia="宋体" w:cs="宋体"/>
          <w:color w:val="auto"/>
          <w:lang w:val="zh-CN"/>
        </w:rPr>
        <w:t>合同授予</w:t>
      </w:r>
      <w:bookmarkEnd w:id="27"/>
      <w:bookmarkEnd w:id="28"/>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13.1 履约保证金</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本项目无履约保证金。</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13.2  签订合同</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13.2.1 采购人和中标人应当在中标通知书发出之日起30日内，根据招标文件和中标人的投标文件订立书面合同。所签订的合同不得对招标文件确定的事项和中标人投标文件作实质性修改。中标人无正当理由拒签合同，在签订合同时向采购人提出附加条件的，采购人有权取消其中标资格。</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13.2.2 联合体中标的，联合体各方应当共同与采购人签订合同，就中标项目向采购人承担连带责任。</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13.2.3 中标人拒绝与采购人签订合同的，采购人可以按照评审报告推荐的中标候选人名单排序，确定下一候选人为中标人，也可以重新开展政府采购活动。</w:t>
      </w:r>
    </w:p>
    <w:p>
      <w:pPr>
        <w:pStyle w:val="4"/>
        <w:numPr>
          <w:ilvl w:val="1"/>
          <w:numId w:val="0"/>
        </w:numPr>
        <w:ind w:left="575"/>
        <w:rPr>
          <w:rFonts w:ascii="宋体" w:hAnsi="宋体" w:eastAsia="宋体" w:cs="宋体"/>
          <w:color w:val="auto"/>
          <w:lang w:val="zh-CN"/>
        </w:rPr>
      </w:pPr>
      <w:bookmarkStart w:id="29" w:name="_Toc38030879"/>
      <w:bookmarkStart w:id="30" w:name="_Toc528333535"/>
      <w:r>
        <w:rPr>
          <w:rFonts w:hint="eastAsia" w:ascii="宋体" w:hAnsi="宋体" w:eastAsia="宋体" w:cs="宋体"/>
          <w:color w:val="auto"/>
        </w:rPr>
        <w:t>14.</w:t>
      </w:r>
      <w:r>
        <w:rPr>
          <w:rFonts w:hint="eastAsia" w:ascii="宋体" w:hAnsi="宋体" w:eastAsia="宋体" w:cs="宋体"/>
          <w:color w:val="auto"/>
          <w:lang w:val="zh-CN"/>
        </w:rPr>
        <w:t>纪律和监督</w:t>
      </w:r>
      <w:bookmarkEnd w:id="29"/>
      <w:bookmarkEnd w:id="30"/>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14.1 对采购人的纪律要求</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采购人不得泄露采购活动中应当保密的情况和资料，不得与供应商串通损害国家利益、社会公共利益或者他人合法权益。采购人员及相关人员与供应商有利害关系的，必须回避。</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14.2 对供应商的纪律要求</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供应商不得相互串通投标或者与采购人串通投标，不得向采购人或者评标委员会成员行贿谋取中标，不得以他人名义投标或者以其他方式弄虚作假骗取中标；供应商不得以任何方式干扰、影响评标工作。</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14.3 对评标委员会成员的纪律要求</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招标文件没有规定的评审因素和标准进行评标。</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14.4 对与评标活动有关的工作人员的纪律要求</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4"/>
        <w:numPr>
          <w:ilvl w:val="1"/>
          <w:numId w:val="0"/>
        </w:numPr>
        <w:ind w:left="575"/>
        <w:rPr>
          <w:rFonts w:ascii="宋体" w:hAnsi="宋体" w:eastAsia="宋体" w:cs="宋体"/>
          <w:color w:val="auto"/>
          <w:lang w:val="zh-CN"/>
        </w:rPr>
      </w:pPr>
      <w:bookmarkStart w:id="31" w:name="_Toc528333536"/>
      <w:bookmarkStart w:id="32" w:name="_Toc38030880"/>
      <w:r>
        <w:rPr>
          <w:rFonts w:hint="eastAsia" w:ascii="宋体" w:hAnsi="宋体" w:eastAsia="宋体" w:cs="宋体"/>
          <w:color w:val="auto"/>
        </w:rPr>
        <w:t>15.</w:t>
      </w:r>
      <w:r>
        <w:rPr>
          <w:rFonts w:hint="eastAsia" w:ascii="宋体" w:hAnsi="宋体" w:eastAsia="宋体" w:cs="宋体"/>
          <w:color w:val="auto"/>
          <w:lang w:val="zh-CN"/>
        </w:rPr>
        <w:t>废标或者采购方式的变更</w:t>
      </w:r>
      <w:bookmarkEnd w:id="31"/>
      <w:bookmarkEnd w:id="32"/>
    </w:p>
    <w:p>
      <w:pPr>
        <w:autoSpaceDE w:val="0"/>
        <w:autoSpaceDN w:val="0"/>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15.1 在采购中，出现下列情形之一的，应予废标：　　</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15.1.1 投标截止时间后供应商不足3家；</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15.1.2 资格审查或符合性审查后有效供应商不足3家；</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15.1.3 出现影响采购公正的违法、违规行为的； </w:t>
      </w:r>
    </w:p>
    <w:p>
      <w:pPr>
        <w:autoSpaceDE w:val="0"/>
        <w:autoSpaceDN w:val="0"/>
        <w:spacing w:line="360" w:lineRule="auto"/>
        <w:jc w:val="left"/>
        <w:rPr>
          <w:rFonts w:ascii="宋体" w:hAnsi="宋体" w:eastAsia="宋体" w:cs="宋体"/>
          <w:color w:val="auto"/>
          <w:szCs w:val="21"/>
        </w:rPr>
      </w:pPr>
      <w:r>
        <w:rPr>
          <w:rFonts w:hint="eastAsia" w:ascii="宋体" w:hAnsi="宋体" w:eastAsia="宋体" w:cs="宋体"/>
          <w:color w:val="auto"/>
          <w:szCs w:val="21"/>
          <w:lang w:val="zh-CN"/>
        </w:rPr>
        <w:t>15.1.4 因重大变故，采购任务取消的。</w:t>
      </w:r>
    </w:p>
    <w:p>
      <w:pPr>
        <w:autoSpaceDE w:val="0"/>
        <w:autoSpaceDN w:val="0"/>
        <w:spacing w:line="360" w:lineRule="auto"/>
        <w:ind w:firstLine="422"/>
        <w:rPr>
          <w:rFonts w:ascii="宋体" w:hAnsi="宋体" w:eastAsia="宋体" w:cs="宋体"/>
          <w:color w:val="auto"/>
          <w:szCs w:val="21"/>
          <w:lang w:val="zh-CN"/>
        </w:rPr>
      </w:pPr>
      <w:r>
        <w:rPr>
          <w:rFonts w:hint="eastAsia" w:ascii="宋体" w:hAnsi="宋体" w:eastAsia="宋体" w:cs="宋体"/>
          <w:b/>
          <w:color w:val="auto"/>
          <w:szCs w:val="21"/>
        </w:rPr>
        <w:t>15.2</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公开招标数额标准以上的采购项目，投标截止后供应商不足3家或者通过资格审查或符合性审查的供应商不足3家的，除采购任务取消情形外，需要采用其他采购方式采购的，采购人应当依法报财政部门批准。</w:t>
      </w:r>
    </w:p>
    <w:p>
      <w:pPr>
        <w:pStyle w:val="4"/>
        <w:numPr>
          <w:ilvl w:val="1"/>
          <w:numId w:val="0"/>
        </w:numPr>
        <w:ind w:firstLine="643" w:firstLineChars="200"/>
        <w:rPr>
          <w:rFonts w:ascii="宋体" w:hAnsi="宋体" w:eastAsia="宋体" w:cs="宋体"/>
          <w:color w:val="auto"/>
          <w:lang w:val="zh-CN"/>
        </w:rPr>
      </w:pPr>
      <w:bookmarkStart w:id="33" w:name="_Toc73622953"/>
      <w:bookmarkStart w:id="34" w:name="_Toc73624585"/>
      <w:r>
        <w:rPr>
          <w:rFonts w:hint="eastAsia" w:ascii="宋体" w:hAnsi="宋体" w:eastAsia="宋体" w:cs="宋体"/>
          <w:color w:val="auto"/>
        </w:rPr>
        <w:t>16.</w:t>
      </w:r>
      <w:r>
        <w:rPr>
          <w:rFonts w:hint="eastAsia" w:ascii="宋体" w:hAnsi="宋体" w:eastAsia="宋体" w:cs="宋体"/>
          <w:color w:val="auto"/>
          <w:lang w:val="zh-CN"/>
        </w:rPr>
        <w:t>其他说明事项</w:t>
      </w:r>
      <w:bookmarkEnd w:id="33"/>
      <w:bookmarkEnd w:id="34"/>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详见供应商须知前附表。</w:t>
      </w:r>
    </w:p>
    <w:p>
      <w:pPr>
        <w:ind w:firstLine="482"/>
        <w:rPr>
          <w:rFonts w:ascii="宋体" w:hAnsi="宋体" w:eastAsia="宋体" w:cs="宋体"/>
          <w:b/>
          <w:color w:val="auto"/>
          <w:sz w:val="24"/>
          <w:szCs w:val="24"/>
        </w:rPr>
      </w:pPr>
    </w:p>
    <w:p>
      <w:pPr>
        <w:ind w:firstLine="482"/>
        <w:rPr>
          <w:rFonts w:ascii="宋体" w:hAnsi="宋体" w:eastAsia="宋体" w:cs="宋体"/>
          <w:b/>
          <w:color w:val="auto"/>
          <w:sz w:val="24"/>
          <w:szCs w:val="24"/>
        </w:rPr>
      </w:pPr>
    </w:p>
    <w:p>
      <w:pPr>
        <w:ind w:firstLine="482"/>
        <w:rPr>
          <w:rFonts w:ascii="宋体" w:hAnsi="宋体" w:eastAsia="宋体" w:cs="宋体"/>
          <w:b/>
          <w:color w:val="auto"/>
          <w:sz w:val="24"/>
          <w:szCs w:val="24"/>
        </w:rPr>
      </w:pPr>
    </w:p>
    <w:p>
      <w:pPr>
        <w:pStyle w:val="14"/>
        <w:rPr>
          <w:rFonts w:ascii="宋体" w:hAnsi="宋体" w:eastAsia="宋体" w:cs="宋体"/>
          <w:b/>
          <w:color w:val="auto"/>
          <w:sz w:val="24"/>
          <w:szCs w:val="24"/>
        </w:rPr>
      </w:pPr>
    </w:p>
    <w:p>
      <w:pPr>
        <w:pStyle w:val="13"/>
        <w:rPr>
          <w:rFonts w:ascii="宋体" w:hAnsi="宋体" w:eastAsia="宋体" w:cs="宋体"/>
          <w:b/>
          <w:color w:val="auto"/>
          <w:sz w:val="24"/>
          <w:szCs w:val="24"/>
        </w:rPr>
      </w:pPr>
    </w:p>
    <w:p>
      <w:pPr>
        <w:pStyle w:val="14"/>
        <w:rPr>
          <w:rFonts w:ascii="宋体" w:hAnsi="宋体" w:eastAsia="宋体" w:cs="宋体"/>
          <w:b/>
          <w:color w:val="auto"/>
          <w:sz w:val="24"/>
          <w:szCs w:val="24"/>
        </w:rPr>
      </w:pPr>
    </w:p>
    <w:p>
      <w:pPr>
        <w:pStyle w:val="13"/>
        <w:rPr>
          <w:rFonts w:ascii="宋体" w:hAnsi="宋体" w:eastAsia="宋体" w:cs="宋体"/>
          <w:b/>
          <w:color w:val="auto"/>
          <w:sz w:val="24"/>
          <w:szCs w:val="24"/>
        </w:rPr>
      </w:pPr>
    </w:p>
    <w:p>
      <w:pPr>
        <w:pStyle w:val="14"/>
        <w:rPr>
          <w:rFonts w:ascii="宋体" w:hAnsi="宋体" w:eastAsia="宋体" w:cs="宋体"/>
          <w:b/>
          <w:color w:val="auto"/>
          <w:sz w:val="24"/>
          <w:szCs w:val="24"/>
        </w:rPr>
      </w:pPr>
    </w:p>
    <w:p>
      <w:pPr>
        <w:pStyle w:val="13"/>
        <w:rPr>
          <w:rFonts w:ascii="宋体" w:hAnsi="宋体" w:eastAsia="宋体" w:cs="宋体"/>
          <w:b/>
          <w:color w:val="auto"/>
          <w:sz w:val="24"/>
          <w:szCs w:val="24"/>
        </w:rPr>
      </w:pPr>
    </w:p>
    <w:p>
      <w:pPr>
        <w:pStyle w:val="14"/>
        <w:rPr>
          <w:rFonts w:ascii="宋体" w:hAnsi="宋体" w:eastAsia="宋体" w:cs="宋体"/>
          <w:b/>
          <w:color w:val="auto"/>
          <w:sz w:val="24"/>
          <w:szCs w:val="24"/>
        </w:rPr>
      </w:pPr>
    </w:p>
    <w:p>
      <w:pPr>
        <w:pStyle w:val="13"/>
        <w:rPr>
          <w:rFonts w:ascii="宋体" w:hAnsi="宋体" w:eastAsia="宋体" w:cs="宋体"/>
          <w:b/>
          <w:color w:val="auto"/>
          <w:sz w:val="24"/>
          <w:szCs w:val="24"/>
        </w:rPr>
      </w:pPr>
    </w:p>
    <w:p>
      <w:pPr>
        <w:pStyle w:val="14"/>
        <w:rPr>
          <w:rFonts w:ascii="宋体" w:hAnsi="宋体" w:eastAsia="宋体" w:cs="宋体"/>
          <w:b/>
          <w:color w:val="auto"/>
          <w:sz w:val="24"/>
          <w:szCs w:val="24"/>
        </w:rPr>
      </w:pPr>
    </w:p>
    <w:p>
      <w:pPr>
        <w:pStyle w:val="13"/>
        <w:rPr>
          <w:rFonts w:ascii="宋体" w:hAnsi="宋体" w:eastAsia="宋体" w:cs="宋体"/>
          <w:b/>
          <w:color w:val="auto"/>
          <w:sz w:val="24"/>
          <w:szCs w:val="24"/>
        </w:rPr>
      </w:pPr>
    </w:p>
    <w:p>
      <w:pPr>
        <w:pStyle w:val="14"/>
        <w:rPr>
          <w:rFonts w:ascii="宋体" w:hAnsi="宋体" w:eastAsia="宋体" w:cs="宋体"/>
          <w:b/>
          <w:color w:val="auto"/>
          <w:sz w:val="24"/>
          <w:szCs w:val="24"/>
        </w:rPr>
      </w:pPr>
    </w:p>
    <w:p>
      <w:pPr>
        <w:pStyle w:val="13"/>
        <w:rPr>
          <w:rFonts w:ascii="宋体" w:hAnsi="宋体" w:eastAsia="宋体" w:cs="宋体"/>
          <w:b/>
          <w:color w:val="auto"/>
          <w:sz w:val="24"/>
          <w:szCs w:val="24"/>
        </w:rPr>
      </w:pPr>
    </w:p>
    <w:p>
      <w:pPr>
        <w:pStyle w:val="14"/>
        <w:rPr>
          <w:rFonts w:ascii="宋体" w:hAnsi="宋体" w:eastAsia="宋体" w:cs="宋体"/>
          <w:b/>
          <w:color w:val="auto"/>
          <w:sz w:val="24"/>
          <w:szCs w:val="24"/>
        </w:rPr>
      </w:pPr>
    </w:p>
    <w:p>
      <w:pPr>
        <w:pStyle w:val="13"/>
        <w:rPr>
          <w:rFonts w:ascii="宋体" w:hAnsi="宋体" w:eastAsia="宋体" w:cs="宋体"/>
          <w:b/>
          <w:color w:val="auto"/>
          <w:sz w:val="24"/>
          <w:szCs w:val="24"/>
        </w:rPr>
      </w:pPr>
    </w:p>
    <w:p>
      <w:pPr>
        <w:pStyle w:val="14"/>
        <w:rPr>
          <w:rFonts w:ascii="宋体" w:hAnsi="宋体" w:eastAsia="宋体" w:cs="宋体"/>
          <w:b/>
          <w:color w:val="auto"/>
          <w:sz w:val="24"/>
          <w:szCs w:val="24"/>
        </w:rPr>
      </w:pPr>
    </w:p>
    <w:p>
      <w:pPr>
        <w:pStyle w:val="13"/>
        <w:rPr>
          <w:rFonts w:ascii="宋体" w:hAnsi="宋体" w:eastAsia="宋体" w:cs="宋体"/>
          <w:b/>
          <w:color w:val="auto"/>
          <w:sz w:val="24"/>
          <w:szCs w:val="24"/>
        </w:rPr>
      </w:pPr>
    </w:p>
    <w:p>
      <w:pPr>
        <w:pStyle w:val="14"/>
        <w:rPr>
          <w:rFonts w:ascii="宋体" w:hAnsi="宋体" w:eastAsia="宋体" w:cs="宋体"/>
          <w:b/>
          <w:color w:val="auto"/>
          <w:sz w:val="24"/>
          <w:szCs w:val="24"/>
        </w:rPr>
      </w:pPr>
    </w:p>
    <w:p>
      <w:pPr>
        <w:pStyle w:val="13"/>
        <w:rPr>
          <w:rFonts w:ascii="宋体" w:hAnsi="宋体" w:eastAsia="宋体" w:cs="宋体"/>
          <w:b/>
          <w:color w:val="auto"/>
          <w:sz w:val="24"/>
          <w:szCs w:val="24"/>
        </w:rPr>
      </w:pPr>
    </w:p>
    <w:p>
      <w:pPr>
        <w:pStyle w:val="14"/>
        <w:rPr>
          <w:rFonts w:ascii="宋体" w:hAnsi="宋体" w:eastAsia="宋体" w:cs="宋体"/>
          <w:b/>
          <w:color w:val="auto"/>
          <w:sz w:val="24"/>
          <w:szCs w:val="24"/>
        </w:rPr>
      </w:pPr>
    </w:p>
    <w:p>
      <w:pPr>
        <w:pStyle w:val="13"/>
      </w:pPr>
    </w:p>
    <w:p>
      <w:pPr>
        <w:pStyle w:val="14"/>
      </w:pPr>
    </w:p>
    <w:p>
      <w:pPr>
        <w:ind w:firstLine="0" w:firstLineChars="0"/>
        <w:rPr>
          <w:rFonts w:ascii="宋体" w:hAnsi="宋体" w:eastAsia="宋体" w:cs="宋体"/>
          <w:b/>
          <w:color w:val="auto"/>
          <w:sz w:val="24"/>
          <w:szCs w:val="24"/>
        </w:rPr>
      </w:pPr>
    </w:p>
    <w:p>
      <w:pPr>
        <w:ind w:firstLine="482"/>
        <w:rPr>
          <w:rFonts w:ascii="宋体" w:hAnsi="宋体" w:eastAsia="宋体" w:cs="宋体"/>
          <w:b/>
          <w:color w:val="auto"/>
          <w:sz w:val="24"/>
          <w:szCs w:val="24"/>
        </w:rPr>
      </w:pPr>
      <w:r>
        <w:rPr>
          <w:rFonts w:hint="eastAsia" w:ascii="宋体" w:hAnsi="宋体" w:eastAsia="宋体" w:cs="宋体"/>
          <w:b/>
          <w:color w:val="auto"/>
          <w:sz w:val="24"/>
          <w:szCs w:val="24"/>
        </w:rPr>
        <w:t>附件一：</w:t>
      </w:r>
      <w:r>
        <w:rPr>
          <w:rFonts w:hint="eastAsia" w:ascii="宋体" w:hAnsi="宋体" w:eastAsia="宋体" w:cs="宋体"/>
          <w:b/>
          <w:bCs/>
          <w:color w:val="auto"/>
          <w:sz w:val="24"/>
          <w:szCs w:val="24"/>
        </w:rPr>
        <w:t>质疑函格式</w:t>
      </w:r>
    </w:p>
    <w:p>
      <w:pPr>
        <w:ind w:firstLine="482"/>
        <w:rPr>
          <w:rFonts w:ascii="宋体" w:hAnsi="宋体" w:eastAsia="宋体" w:cs="宋体"/>
          <w:color w:val="auto"/>
        </w:rPr>
      </w:pPr>
      <w:r>
        <w:rPr>
          <w:rFonts w:hint="eastAsia" w:ascii="宋体" w:hAnsi="宋体" w:eastAsia="宋体" w:cs="宋体"/>
          <w:b/>
          <w:color w:val="auto"/>
          <w:sz w:val="24"/>
          <w:szCs w:val="24"/>
        </w:rPr>
        <w:t xml:space="preserve"> </w:t>
      </w:r>
    </w:p>
    <w:p>
      <w:pPr>
        <w:spacing w:line="440" w:lineRule="exact"/>
        <w:ind w:firstLine="482"/>
        <w:jc w:val="center"/>
        <w:rPr>
          <w:rFonts w:ascii="宋体" w:hAnsi="宋体" w:eastAsia="宋体" w:cs="宋体"/>
          <w:b/>
          <w:color w:val="auto"/>
          <w:sz w:val="24"/>
          <w:szCs w:val="24"/>
        </w:rPr>
      </w:pPr>
      <w:r>
        <w:rPr>
          <w:rFonts w:hint="eastAsia" w:ascii="宋体" w:hAnsi="宋体" w:eastAsia="宋体" w:cs="宋体"/>
          <w:b/>
          <w:bCs/>
          <w:color w:val="auto"/>
          <w:sz w:val="24"/>
          <w:szCs w:val="24"/>
        </w:rPr>
        <w:t>质疑函</w:t>
      </w:r>
    </w:p>
    <w:p>
      <w:pPr>
        <w:spacing w:line="360" w:lineRule="auto"/>
        <w:rPr>
          <w:rFonts w:ascii="宋体" w:hAnsi="宋体" w:eastAsia="宋体" w:cs="宋体"/>
          <w:color w:val="auto"/>
          <w:szCs w:val="21"/>
        </w:rPr>
      </w:pPr>
    </w:p>
    <w:p>
      <w:pPr>
        <w:spacing w:line="360" w:lineRule="auto"/>
        <w:rPr>
          <w:rFonts w:ascii="宋体" w:hAnsi="宋体" w:eastAsia="宋体" w:cs="宋体"/>
          <w:color w:val="auto"/>
          <w:szCs w:val="21"/>
        </w:rPr>
      </w:pPr>
      <w:r>
        <w:rPr>
          <w:rFonts w:hint="eastAsia" w:ascii="宋体" w:hAnsi="宋体" w:eastAsia="宋体" w:cs="宋体"/>
          <w:color w:val="auto"/>
          <w:szCs w:val="21"/>
        </w:rPr>
        <w:t>一、质疑供应商基本信息</w:t>
      </w:r>
    </w:p>
    <w:p>
      <w:pPr>
        <w:spacing w:line="360" w:lineRule="auto"/>
        <w:rPr>
          <w:rFonts w:ascii="宋体" w:hAnsi="宋体" w:eastAsia="宋体" w:cs="宋体"/>
          <w:color w:val="auto"/>
          <w:szCs w:val="21"/>
        </w:rPr>
      </w:pPr>
      <w:r>
        <w:rPr>
          <w:rFonts w:hint="eastAsia" w:ascii="宋体" w:hAnsi="宋体" w:eastAsia="宋体" w:cs="宋体"/>
          <w:color w:val="auto"/>
          <w:szCs w:val="21"/>
        </w:rPr>
        <w:t>质疑供应商：</w:t>
      </w:r>
    </w:p>
    <w:p>
      <w:pPr>
        <w:spacing w:line="360" w:lineRule="auto"/>
        <w:rPr>
          <w:rFonts w:ascii="宋体" w:hAnsi="宋体" w:eastAsia="宋体" w:cs="宋体"/>
          <w:color w:val="auto"/>
          <w:szCs w:val="21"/>
        </w:rPr>
      </w:pPr>
      <w:r>
        <w:rPr>
          <w:rFonts w:hint="eastAsia" w:ascii="宋体" w:hAnsi="宋体" w:eastAsia="宋体" w:cs="宋体"/>
          <w:color w:val="auto"/>
          <w:szCs w:val="21"/>
        </w:rPr>
        <w:t>地址：                         邮编：</w:t>
      </w:r>
    </w:p>
    <w:p>
      <w:pPr>
        <w:spacing w:line="360" w:lineRule="auto"/>
        <w:rPr>
          <w:rFonts w:ascii="宋体" w:hAnsi="宋体" w:eastAsia="宋体" w:cs="宋体"/>
          <w:color w:val="auto"/>
          <w:szCs w:val="21"/>
        </w:rPr>
      </w:pPr>
      <w:r>
        <w:rPr>
          <w:rFonts w:hint="eastAsia" w:ascii="宋体" w:hAnsi="宋体" w:eastAsia="宋体" w:cs="宋体"/>
          <w:color w:val="auto"/>
          <w:szCs w:val="21"/>
        </w:rPr>
        <w:t>联系人：                       联系电话：</w:t>
      </w:r>
    </w:p>
    <w:p>
      <w:pPr>
        <w:spacing w:line="360" w:lineRule="auto"/>
        <w:rPr>
          <w:rFonts w:ascii="宋体" w:hAnsi="宋体" w:eastAsia="宋体" w:cs="宋体"/>
          <w:color w:val="auto"/>
          <w:szCs w:val="21"/>
        </w:rPr>
      </w:pPr>
      <w:r>
        <w:rPr>
          <w:rFonts w:hint="eastAsia" w:ascii="宋体" w:hAnsi="宋体" w:eastAsia="宋体" w:cs="宋体"/>
          <w:color w:val="auto"/>
          <w:szCs w:val="21"/>
        </w:rPr>
        <w:t>授权代表：                     联系电话：</w:t>
      </w:r>
    </w:p>
    <w:p>
      <w:pPr>
        <w:spacing w:line="360" w:lineRule="auto"/>
        <w:rPr>
          <w:rFonts w:ascii="宋体" w:hAnsi="宋体" w:eastAsia="宋体" w:cs="宋体"/>
          <w:color w:val="auto"/>
          <w:szCs w:val="21"/>
        </w:rPr>
      </w:pPr>
      <w:r>
        <w:rPr>
          <w:rFonts w:hint="eastAsia" w:ascii="宋体" w:hAnsi="宋体" w:eastAsia="宋体" w:cs="宋体"/>
          <w:color w:val="auto"/>
          <w:szCs w:val="21"/>
        </w:rPr>
        <w:t>地址：                         邮编：</w:t>
      </w:r>
    </w:p>
    <w:p>
      <w:pPr>
        <w:spacing w:line="360" w:lineRule="auto"/>
        <w:rPr>
          <w:rFonts w:ascii="宋体" w:hAnsi="宋体" w:eastAsia="宋体" w:cs="宋体"/>
          <w:color w:val="auto"/>
          <w:szCs w:val="21"/>
        </w:rPr>
      </w:pPr>
      <w:r>
        <w:rPr>
          <w:rFonts w:hint="eastAsia" w:ascii="宋体" w:hAnsi="宋体" w:eastAsia="宋体" w:cs="宋体"/>
          <w:color w:val="auto"/>
          <w:szCs w:val="21"/>
        </w:rPr>
        <w:t>二、质疑项目基本情况</w:t>
      </w:r>
    </w:p>
    <w:p>
      <w:pPr>
        <w:spacing w:line="360" w:lineRule="auto"/>
        <w:rPr>
          <w:rFonts w:ascii="宋体" w:hAnsi="宋体" w:eastAsia="宋体" w:cs="宋体"/>
          <w:color w:val="auto"/>
          <w:szCs w:val="21"/>
        </w:rPr>
      </w:pPr>
      <w:r>
        <w:rPr>
          <w:rFonts w:hint="eastAsia" w:ascii="宋体" w:hAnsi="宋体" w:eastAsia="宋体" w:cs="宋体"/>
          <w:color w:val="auto"/>
          <w:szCs w:val="21"/>
        </w:rPr>
        <w:t>质疑项目的名称：</w:t>
      </w:r>
    </w:p>
    <w:p>
      <w:pPr>
        <w:spacing w:line="360" w:lineRule="auto"/>
        <w:rPr>
          <w:rFonts w:ascii="宋体" w:hAnsi="宋体" w:eastAsia="宋体" w:cs="宋体"/>
          <w:color w:val="auto"/>
          <w:szCs w:val="21"/>
        </w:rPr>
      </w:pPr>
      <w:r>
        <w:rPr>
          <w:rFonts w:hint="eastAsia" w:ascii="宋体" w:hAnsi="宋体" w:eastAsia="宋体" w:cs="宋体"/>
          <w:color w:val="auto"/>
          <w:szCs w:val="21"/>
        </w:rPr>
        <w:t>质疑项目的编号：               包号：</w:t>
      </w:r>
    </w:p>
    <w:p>
      <w:pPr>
        <w:spacing w:line="360" w:lineRule="auto"/>
        <w:rPr>
          <w:rFonts w:ascii="宋体" w:hAnsi="宋体" w:eastAsia="宋体" w:cs="宋体"/>
          <w:color w:val="auto"/>
          <w:szCs w:val="21"/>
        </w:rPr>
      </w:pPr>
      <w:r>
        <w:rPr>
          <w:rFonts w:hint="eastAsia" w:ascii="宋体" w:hAnsi="宋体" w:eastAsia="宋体" w:cs="宋体"/>
          <w:color w:val="auto"/>
          <w:szCs w:val="21"/>
        </w:rPr>
        <w:t>采购人名称：</w:t>
      </w:r>
    </w:p>
    <w:p>
      <w:pPr>
        <w:spacing w:line="360" w:lineRule="auto"/>
        <w:rPr>
          <w:rFonts w:ascii="宋体" w:hAnsi="宋体" w:eastAsia="宋体" w:cs="宋体"/>
          <w:color w:val="auto"/>
          <w:szCs w:val="21"/>
        </w:rPr>
      </w:pPr>
      <w:r>
        <w:rPr>
          <w:rFonts w:hint="eastAsia" w:ascii="宋体" w:hAnsi="宋体" w:eastAsia="宋体" w:cs="宋体"/>
          <w:color w:val="auto"/>
          <w:szCs w:val="21"/>
        </w:rPr>
        <w:t>采购文件获取日期：</w:t>
      </w:r>
    </w:p>
    <w:p>
      <w:pPr>
        <w:spacing w:line="360" w:lineRule="auto"/>
        <w:rPr>
          <w:rFonts w:ascii="宋体" w:hAnsi="宋体" w:eastAsia="宋体" w:cs="宋体"/>
          <w:color w:val="auto"/>
          <w:szCs w:val="21"/>
        </w:rPr>
      </w:pPr>
      <w:r>
        <w:rPr>
          <w:rFonts w:hint="eastAsia" w:ascii="宋体" w:hAnsi="宋体" w:eastAsia="宋体" w:cs="宋体"/>
          <w:color w:val="auto"/>
          <w:szCs w:val="21"/>
        </w:rPr>
        <w:t>三、质疑事项具体内容</w:t>
      </w:r>
    </w:p>
    <w:p>
      <w:pPr>
        <w:spacing w:line="360" w:lineRule="auto"/>
        <w:rPr>
          <w:rFonts w:ascii="宋体" w:hAnsi="宋体" w:eastAsia="宋体" w:cs="宋体"/>
          <w:color w:val="auto"/>
          <w:szCs w:val="21"/>
        </w:rPr>
      </w:pPr>
      <w:r>
        <w:rPr>
          <w:rFonts w:hint="eastAsia" w:ascii="宋体" w:hAnsi="宋体" w:eastAsia="宋体" w:cs="宋体"/>
          <w:color w:val="auto"/>
          <w:szCs w:val="21"/>
        </w:rPr>
        <w:t>质疑事项1：</w:t>
      </w:r>
    </w:p>
    <w:p>
      <w:pPr>
        <w:spacing w:line="360" w:lineRule="auto"/>
        <w:rPr>
          <w:rFonts w:ascii="宋体" w:hAnsi="宋体" w:eastAsia="宋体" w:cs="宋体"/>
          <w:color w:val="auto"/>
          <w:szCs w:val="21"/>
        </w:rPr>
      </w:pPr>
      <w:r>
        <w:rPr>
          <w:rFonts w:hint="eastAsia" w:ascii="宋体" w:hAnsi="宋体" w:eastAsia="宋体" w:cs="宋体"/>
          <w:color w:val="auto"/>
          <w:szCs w:val="21"/>
        </w:rPr>
        <w:t>事实依据：</w:t>
      </w:r>
    </w:p>
    <w:p>
      <w:pPr>
        <w:spacing w:line="360" w:lineRule="auto"/>
        <w:rPr>
          <w:rFonts w:ascii="宋体" w:hAnsi="宋体" w:eastAsia="宋体" w:cs="宋体"/>
          <w:color w:val="auto"/>
          <w:szCs w:val="21"/>
        </w:rPr>
      </w:pPr>
      <w:r>
        <w:rPr>
          <w:rFonts w:hint="eastAsia" w:ascii="宋体" w:hAnsi="宋体" w:eastAsia="宋体" w:cs="宋体"/>
          <w:color w:val="auto"/>
          <w:szCs w:val="21"/>
        </w:rPr>
        <w:t>法律依据：</w:t>
      </w:r>
    </w:p>
    <w:p>
      <w:pPr>
        <w:spacing w:line="360" w:lineRule="auto"/>
        <w:rPr>
          <w:rFonts w:ascii="宋体" w:hAnsi="宋体" w:eastAsia="宋体" w:cs="宋体"/>
          <w:color w:val="auto"/>
          <w:szCs w:val="21"/>
        </w:rPr>
      </w:pPr>
      <w:r>
        <w:rPr>
          <w:rFonts w:hint="eastAsia" w:ascii="宋体" w:hAnsi="宋体" w:eastAsia="宋体" w:cs="宋体"/>
          <w:color w:val="auto"/>
          <w:szCs w:val="21"/>
        </w:rPr>
        <w:t>质疑事项2：</w:t>
      </w:r>
    </w:p>
    <w:p>
      <w:pPr>
        <w:spacing w:line="360" w:lineRule="auto"/>
        <w:rPr>
          <w:rFonts w:ascii="宋体" w:hAnsi="宋体" w:eastAsia="宋体" w:cs="宋体"/>
          <w:color w:val="auto"/>
          <w:szCs w:val="21"/>
        </w:rPr>
      </w:pPr>
      <w:r>
        <w:rPr>
          <w:rFonts w:hint="eastAsia" w:ascii="宋体" w:hAnsi="宋体" w:eastAsia="宋体" w:cs="宋体"/>
          <w:color w:val="auto"/>
          <w:szCs w:val="21"/>
        </w:rPr>
        <w:t>……</w:t>
      </w:r>
    </w:p>
    <w:p>
      <w:pPr>
        <w:numPr>
          <w:ilvl w:val="0"/>
          <w:numId w:val="5"/>
        </w:numPr>
        <w:spacing w:line="360" w:lineRule="auto"/>
        <w:rPr>
          <w:rFonts w:ascii="宋体" w:hAnsi="宋体" w:eastAsia="宋体" w:cs="宋体"/>
          <w:color w:val="auto"/>
        </w:rPr>
      </w:pPr>
      <w:r>
        <w:rPr>
          <w:rFonts w:hint="eastAsia" w:ascii="宋体" w:hAnsi="宋体" w:eastAsia="宋体" w:cs="宋体"/>
          <w:color w:val="auto"/>
          <w:szCs w:val="21"/>
        </w:rPr>
        <w:t>与质疑事项相关的质疑请</w:t>
      </w:r>
    </w:p>
    <w:p>
      <w:pPr>
        <w:spacing w:line="360" w:lineRule="auto"/>
        <w:rPr>
          <w:rFonts w:ascii="宋体" w:hAnsi="宋体" w:eastAsia="宋体" w:cs="宋体"/>
          <w:color w:val="auto"/>
          <w:szCs w:val="21"/>
        </w:rPr>
      </w:pPr>
      <w:r>
        <w:rPr>
          <w:rFonts w:hint="eastAsia" w:ascii="宋体" w:hAnsi="宋体" w:eastAsia="宋体" w:cs="宋体"/>
          <w:color w:val="auto"/>
          <w:szCs w:val="21"/>
        </w:rPr>
        <w:t>请求：</w:t>
      </w:r>
    </w:p>
    <w:p>
      <w:pPr>
        <w:spacing w:line="360" w:lineRule="auto"/>
        <w:rPr>
          <w:rFonts w:ascii="宋体" w:hAnsi="宋体" w:eastAsia="宋体" w:cs="宋体"/>
          <w:color w:val="auto"/>
          <w:szCs w:val="21"/>
        </w:rPr>
      </w:pPr>
      <w:r>
        <w:rPr>
          <w:rFonts w:hint="eastAsia" w:ascii="宋体" w:hAnsi="宋体" w:eastAsia="宋体" w:cs="宋体"/>
          <w:color w:val="auto"/>
          <w:szCs w:val="21"/>
        </w:rPr>
        <w:t>签字（签章）：           公章：</w:t>
      </w:r>
    </w:p>
    <w:p>
      <w:pPr>
        <w:spacing w:line="360" w:lineRule="auto"/>
        <w:rPr>
          <w:rFonts w:ascii="宋体" w:hAnsi="宋体" w:eastAsia="宋体" w:cs="宋体"/>
          <w:b/>
          <w:color w:val="auto"/>
          <w:szCs w:val="21"/>
        </w:rPr>
      </w:pPr>
      <w:r>
        <w:rPr>
          <w:rFonts w:hint="eastAsia" w:ascii="宋体" w:hAnsi="宋体" w:eastAsia="宋体" w:cs="宋体"/>
          <w:color w:val="auto"/>
          <w:szCs w:val="21"/>
        </w:rPr>
        <w:t>日期：</w:t>
      </w:r>
    </w:p>
    <w:p>
      <w:pPr>
        <w:pStyle w:val="3"/>
        <w:numPr>
          <w:ilvl w:val="0"/>
          <w:numId w:val="0"/>
        </w:numPr>
        <w:jc w:val="center"/>
        <w:rPr>
          <w:rFonts w:ascii="宋体" w:hAnsi="宋体" w:eastAsia="宋体" w:cs="宋体"/>
          <w:color w:val="auto"/>
        </w:rPr>
      </w:pPr>
      <w:r>
        <w:rPr>
          <w:rFonts w:hint="eastAsia" w:ascii="宋体" w:hAnsi="宋体" w:eastAsia="宋体" w:cs="宋体"/>
          <w:color w:val="auto"/>
          <w:szCs w:val="21"/>
          <w:lang w:val="zh-CN"/>
        </w:rPr>
        <w:br w:type="page"/>
      </w:r>
      <w:bookmarkStart w:id="70" w:name="_GoBack"/>
      <w:bookmarkEnd w:id="70"/>
      <w:bookmarkStart w:id="35" w:name="_Toc38030882"/>
      <w:r>
        <w:rPr>
          <w:rFonts w:hint="eastAsia" w:ascii="宋体" w:hAnsi="宋体" w:eastAsia="宋体" w:cs="宋体"/>
          <w:color w:val="auto"/>
        </w:rPr>
        <w:t>第三章  评标办法</w:t>
      </w:r>
      <w:bookmarkEnd w:id="35"/>
    </w:p>
    <w:p>
      <w:pPr>
        <w:autoSpaceDE w:val="0"/>
        <w:autoSpaceDN w:val="0"/>
        <w:spacing w:line="360" w:lineRule="auto"/>
        <w:jc w:val="left"/>
        <w:rPr>
          <w:rFonts w:ascii="宋体" w:hAnsi="宋体" w:eastAsia="宋体" w:cs="宋体"/>
          <w:color w:val="auto"/>
          <w:highlight w:val="none"/>
          <w:lang w:val="zh-CN"/>
        </w:rPr>
      </w:pPr>
      <w:r>
        <w:rPr>
          <w:rFonts w:hint="eastAsia" w:ascii="宋体" w:hAnsi="宋体" w:eastAsia="宋体" w:cs="宋体"/>
          <w:color w:val="auto"/>
          <w:lang w:val="zh-CN"/>
        </w:rPr>
        <w:t>评价和比较以投标文件为依据，从“价格部分”、“商务部分”、“技术部分”、三个方面进行评</w:t>
      </w:r>
      <w:r>
        <w:rPr>
          <w:rFonts w:hint="eastAsia" w:ascii="宋体" w:hAnsi="宋体" w:eastAsia="宋体" w:cs="宋体"/>
          <w:color w:val="auto"/>
          <w:highlight w:val="none"/>
          <w:lang w:val="zh-CN"/>
        </w:rPr>
        <w:t>审并综合比较进行赋分。</w:t>
      </w:r>
    </w:p>
    <w:p>
      <w:pPr>
        <w:autoSpaceDE w:val="0"/>
        <w:autoSpaceDN w:val="0"/>
        <w:spacing w:line="360" w:lineRule="auto"/>
        <w:ind w:firstLine="422"/>
        <w:jc w:val="left"/>
        <w:rPr>
          <w:rFonts w:ascii="宋体" w:hAnsi="宋体" w:eastAsia="宋体" w:cs="宋体"/>
          <w:color w:val="auto"/>
          <w:highlight w:val="none"/>
          <w:lang w:val="zh-CN"/>
        </w:rPr>
      </w:pPr>
      <w:r>
        <w:rPr>
          <w:rFonts w:hint="eastAsia" w:ascii="宋体" w:hAnsi="宋体" w:eastAsia="宋体" w:cs="宋体"/>
          <w:b/>
          <w:color w:val="auto"/>
          <w:szCs w:val="21"/>
          <w:highlight w:val="none"/>
          <w:lang w:val="zh-CN"/>
        </w:rPr>
        <w:t>评标办法前附表</w:t>
      </w:r>
    </w:p>
    <w:tbl>
      <w:tblPr>
        <w:tblStyle w:val="23"/>
        <w:tblW w:w="49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941"/>
        <w:gridCol w:w="1051"/>
        <w:gridCol w:w="6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612" w:type="pct"/>
            <w:gridSpan w:val="3"/>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color w:val="auto"/>
                <w:sz w:val="21"/>
                <w:szCs w:val="21"/>
                <w:highlight w:val="none"/>
              </w:rPr>
              <w:t>项目分数</w:t>
            </w:r>
          </w:p>
        </w:tc>
        <w:tc>
          <w:tcPr>
            <w:tcW w:w="3387" w:type="pct"/>
            <w:vMerge w:val="restart"/>
            <w:tcBorders>
              <w:tl2br w:val="nil"/>
              <w:tr2bl w:val="nil"/>
            </w:tcBorders>
            <w:noWrap w:val="0"/>
            <w:tcMar>
              <w:top w:w="15" w:type="dxa"/>
              <w:left w:w="15" w:type="dxa"/>
              <w:right w:w="15" w:type="dxa"/>
            </w:tcMar>
            <w:vAlign w:val="center"/>
          </w:tcPr>
          <w:p>
            <w:pPr>
              <w:adjustRightInd/>
              <w:snapToGrid/>
              <w:spacing w:line="360" w:lineRule="exact"/>
              <w:ind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612" w:type="pct"/>
            <w:gridSpan w:val="3"/>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分值构成（总分100分）</w:t>
            </w:r>
          </w:p>
        </w:tc>
        <w:tc>
          <w:tcPr>
            <w:tcW w:w="3387" w:type="pct"/>
            <w:vMerge w:val="continue"/>
            <w:tcBorders>
              <w:tl2br w:val="nil"/>
              <w:tr2bl w:val="nil"/>
            </w:tcBorders>
            <w:noWrap w:val="0"/>
            <w:tcMar>
              <w:top w:w="15" w:type="dxa"/>
              <w:left w:w="15" w:type="dxa"/>
              <w:right w:w="15" w:type="dxa"/>
            </w:tcMar>
            <w:vAlign w:val="center"/>
          </w:tcPr>
          <w:p>
            <w:pPr>
              <w:adjustRightInd/>
              <w:snapToGrid/>
              <w:spacing w:line="360" w:lineRule="exact"/>
              <w:ind w:firstLine="0" w:firstLineChars="0"/>
              <w:jc w:val="center"/>
              <w:rPr>
                <w:rFonts w:hint="eastAsia" w:ascii="宋体" w:hAnsi="宋体" w:eastAsia="宋体" w:cs="宋体"/>
                <w:b w:val="0"/>
                <w:bCs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503" w:type="pct"/>
            <w:tcBorders>
              <w:tl2br w:val="nil"/>
              <w:tr2bl w:val="nil"/>
            </w:tcBorders>
            <w:noWrap w:val="0"/>
            <w:tcMar>
              <w:top w:w="15" w:type="dxa"/>
              <w:left w:w="15" w:type="dxa"/>
              <w:right w:w="15" w:type="dxa"/>
            </w:tcMar>
            <w:vAlign w:val="center"/>
          </w:tcPr>
          <w:p>
            <w:pPr>
              <w:adjustRightInd/>
              <w:snapToGrid/>
              <w:spacing w:line="360" w:lineRule="exact"/>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价格部分</w:t>
            </w:r>
          </w:p>
        </w:tc>
        <w:tc>
          <w:tcPr>
            <w:tcW w:w="523" w:type="pct"/>
            <w:tcBorders>
              <w:tl2br w:val="nil"/>
              <w:tr2bl w:val="nil"/>
            </w:tcBorders>
            <w:noWrap w:val="0"/>
            <w:tcMar>
              <w:top w:w="15" w:type="dxa"/>
              <w:left w:w="15" w:type="dxa"/>
              <w:right w:w="15" w:type="dxa"/>
            </w:tcMar>
            <w:vAlign w:val="center"/>
          </w:tcPr>
          <w:p>
            <w:pPr>
              <w:adjustRightInd/>
              <w:snapToGrid/>
              <w:spacing w:line="360" w:lineRule="exact"/>
              <w:ind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投标报价</w:t>
            </w:r>
          </w:p>
        </w:tc>
        <w:tc>
          <w:tcPr>
            <w:tcW w:w="584" w:type="pc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30分</w:t>
            </w:r>
          </w:p>
        </w:tc>
        <w:tc>
          <w:tcPr>
            <w:tcW w:w="3387" w:type="pct"/>
            <w:tcBorders>
              <w:tl2br w:val="nil"/>
              <w:tr2bl w:val="nil"/>
            </w:tcBorders>
            <w:noWrap w:val="0"/>
            <w:tcMar>
              <w:top w:w="15" w:type="dxa"/>
              <w:left w:w="15" w:type="dxa"/>
              <w:right w:w="15" w:type="dxa"/>
            </w:tcMar>
            <w:vAlign w:val="center"/>
          </w:tcPr>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投标报价得分计算方法如下（满分30分）：</w:t>
            </w:r>
          </w:p>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以满足磋商文件要求且投标价格最低的投标报价为评标基准价,其价格分为满分30分,其他投标人的价格分按照下列公式计算:</w:t>
            </w:r>
          </w:p>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投标报价得分=(评标基准价/投标报价)×30。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03" w:type="pct"/>
            <w:vMerge w:val="restar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商</w:t>
            </w:r>
          </w:p>
          <w:p>
            <w:pPr>
              <w:ind w:left="0" w:leftChars="0" w:firstLine="0" w:firstLineChars="0"/>
              <w:jc w:val="center"/>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务</w:t>
            </w:r>
          </w:p>
          <w:p>
            <w:pPr>
              <w:ind w:left="0" w:leftChars="0" w:firstLine="0" w:firstLineChars="0"/>
              <w:jc w:val="center"/>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部</w:t>
            </w:r>
          </w:p>
          <w:p>
            <w:pPr>
              <w:ind w:left="0" w:leftChars="0" w:firstLine="0" w:firstLineChars="0"/>
              <w:jc w:val="center"/>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eastAsia="zh-CN"/>
              </w:rPr>
              <w:t>分</w:t>
            </w:r>
          </w:p>
        </w:tc>
        <w:tc>
          <w:tcPr>
            <w:tcW w:w="523" w:type="pc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商务响应</w:t>
            </w:r>
          </w:p>
        </w:tc>
        <w:tc>
          <w:tcPr>
            <w:tcW w:w="584" w:type="pc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5分</w:t>
            </w:r>
          </w:p>
        </w:tc>
        <w:tc>
          <w:tcPr>
            <w:tcW w:w="3387" w:type="pct"/>
            <w:tcBorders>
              <w:tl2br w:val="nil"/>
              <w:tr2bl w:val="nil"/>
            </w:tcBorders>
            <w:noWrap w:val="0"/>
            <w:tcMar>
              <w:top w:w="15" w:type="dxa"/>
              <w:left w:w="15" w:type="dxa"/>
              <w:right w:w="15" w:type="dxa"/>
            </w:tcMar>
            <w:vAlign w:val="center"/>
          </w:tcPr>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经过初审合格的投标人满足商务条款要求，对商务条款要求完全响应且逐项详细说明的计5分，未做详细说明的，不得分。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atLeast"/>
        </w:trPr>
        <w:tc>
          <w:tcPr>
            <w:tcW w:w="503" w:type="pct"/>
            <w:vMerge w:val="continue"/>
            <w:tcBorders>
              <w:tl2br w:val="nil"/>
              <w:tr2bl w:val="nil"/>
            </w:tcBorders>
            <w:noWrap w:val="0"/>
            <w:tcMar>
              <w:top w:w="15" w:type="dxa"/>
              <w:left w:w="15" w:type="dxa"/>
              <w:right w:w="15" w:type="dxa"/>
            </w:tcMar>
            <w:vAlign w:val="center"/>
          </w:tcPr>
          <w:p>
            <w:pPr>
              <w:jc w:val="center"/>
              <w:rPr>
                <w:rFonts w:hint="eastAsia" w:ascii="宋体" w:hAnsi="宋体" w:eastAsia="宋体" w:cs="宋体"/>
                <w:b w:val="0"/>
                <w:bCs w:val="0"/>
                <w:color w:val="auto"/>
                <w:sz w:val="21"/>
                <w:szCs w:val="21"/>
              </w:rPr>
            </w:pPr>
          </w:p>
        </w:tc>
        <w:tc>
          <w:tcPr>
            <w:tcW w:w="523" w:type="pc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企业实力及质量保障</w:t>
            </w:r>
          </w:p>
        </w:tc>
        <w:tc>
          <w:tcPr>
            <w:tcW w:w="584" w:type="pc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3387" w:type="pct"/>
            <w:tcBorders>
              <w:tl2br w:val="nil"/>
              <w:tr2bl w:val="nil"/>
            </w:tcBorders>
            <w:noWrap w:val="0"/>
            <w:tcMar>
              <w:top w:w="15" w:type="dxa"/>
              <w:left w:w="15" w:type="dxa"/>
              <w:right w:w="15" w:type="dxa"/>
            </w:tcMar>
            <w:vAlign w:val="center"/>
          </w:tcPr>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为保证采购的安全产品质量安全稳定可靠，符合国际、国内相关标准。</w:t>
            </w:r>
          </w:p>
          <w:p>
            <w:pPr>
              <w:autoSpaceDE w:val="0"/>
              <w:autoSpaceDN w:val="0"/>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1、投标人所投安全产品制造商具有信息安全服务资质（云计算安全类）证书，投标人具有灾难恢复类及安全工程类证书，全部提供得4分，少提供一个扣2分，扣完为止。</w:t>
            </w:r>
          </w:p>
          <w:p>
            <w:pPr>
              <w:autoSpaceDE w:val="0"/>
              <w:autoSpaceDN w:val="0"/>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2、投标人所投产品提供有产品合法来源渠道证明，全部提供计2分。</w:t>
            </w:r>
          </w:p>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提供证书复印件加盖公章。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3" w:type="pct"/>
            <w:vMerge w:val="continue"/>
            <w:tcBorders>
              <w:tl2br w:val="nil"/>
              <w:tr2bl w:val="nil"/>
            </w:tcBorders>
            <w:noWrap w:val="0"/>
            <w:tcMar>
              <w:top w:w="15" w:type="dxa"/>
              <w:left w:w="15" w:type="dxa"/>
              <w:right w:w="15" w:type="dxa"/>
            </w:tcMar>
            <w:vAlign w:val="center"/>
          </w:tcPr>
          <w:p>
            <w:pPr>
              <w:jc w:val="center"/>
              <w:rPr>
                <w:rFonts w:hint="eastAsia" w:ascii="宋体" w:hAnsi="宋体" w:eastAsia="宋体" w:cs="宋体"/>
                <w:b w:val="0"/>
                <w:bCs w:val="0"/>
                <w:color w:val="auto"/>
                <w:sz w:val="21"/>
                <w:szCs w:val="21"/>
              </w:rPr>
            </w:pPr>
          </w:p>
        </w:tc>
        <w:tc>
          <w:tcPr>
            <w:tcW w:w="523" w:type="pc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项目人员配备</w:t>
            </w:r>
          </w:p>
        </w:tc>
        <w:tc>
          <w:tcPr>
            <w:tcW w:w="584" w:type="pc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7分</w:t>
            </w:r>
          </w:p>
        </w:tc>
        <w:tc>
          <w:tcPr>
            <w:tcW w:w="3387" w:type="pct"/>
            <w:tcBorders>
              <w:tl2br w:val="nil"/>
              <w:tr2bl w:val="nil"/>
            </w:tcBorders>
            <w:noWrap w:val="0"/>
            <w:tcMar>
              <w:top w:w="15" w:type="dxa"/>
              <w:left w:w="15" w:type="dxa"/>
              <w:right w:w="15" w:type="dxa"/>
            </w:tcMar>
            <w:vAlign w:val="center"/>
          </w:tcPr>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为保证项目顺利实施交付、确保供应商能提供专业的运维服务供应商项目团队需至少配置成员 7 人，其中，专职项目经理 1 人、安全工程师 3 人、信息安全保障人员 3 人（提供在本公司缴纳的社保证明加盖公章）。</w:t>
            </w:r>
          </w:p>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项目团队成员需具备：</w:t>
            </w:r>
          </w:p>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（1）专职项目经理同时具备信息安全管理（高级）证书、PRINCE2及CISP证书，均满足得 3 分，否则不得分；</w:t>
            </w:r>
          </w:p>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（2）3名安全工程师均需具备 CISP 证书；满足得 2分，否则不得分；</w:t>
            </w:r>
          </w:p>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（3）3 名服务工程师均需具备 CISAW 证书；满足得 2分，否则不得分。</w:t>
            </w:r>
          </w:p>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提供证书复印件加盖公章。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503" w:type="pct"/>
            <w:vMerge w:val="continue"/>
            <w:tcBorders>
              <w:tl2br w:val="nil"/>
              <w:tr2bl w:val="nil"/>
            </w:tcBorders>
            <w:noWrap w:val="0"/>
            <w:tcMar>
              <w:top w:w="15" w:type="dxa"/>
              <w:left w:w="15" w:type="dxa"/>
              <w:right w:w="15" w:type="dxa"/>
            </w:tcMar>
            <w:vAlign w:val="center"/>
          </w:tcPr>
          <w:p>
            <w:pPr>
              <w:jc w:val="center"/>
              <w:rPr>
                <w:rFonts w:hint="eastAsia" w:ascii="宋体" w:hAnsi="宋体" w:eastAsia="宋体" w:cs="宋体"/>
                <w:b w:val="0"/>
                <w:bCs w:val="0"/>
                <w:color w:val="auto"/>
                <w:sz w:val="21"/>
                <w:szCs w:val="21"/>
                <w:lang w:val="en-US" w:eastAsia="zh-CN"/>
              </w:rPr>
            </w:pPr>
          </w:p>
        </w:tc>
        <w:tc>
          <w:tcPr>
            <w:tcW w:w="523" w:type="pc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项目业绩</w:t>
            </w:r>
          </w:p>
        </w:tc>
        <w:tc>
          <w:tcPr>
            <w:tcW w:w="584" w:type="pc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5分</w:t>
            </w:r>
          </w:p>
        </w:tc>
        <w:tc>
          <w:tcPr>
            <w:tcW w:w="3387" w:type="pct"/>
            <w:tcBorders>
              <w:tl2br w:val="nil"/>
              <w:tr2bl w:val="nil"/>
            </w:tcBorders>
            <w:noWrap w:val="0"/>
            <w:tcMar>
              <w:top w:w="15" w:type="dxa"/>
              <w:left w:w="15" w:type="dxa"/>
              <w:right w:w="15" w:type="dxa"/>
            </w:tcMar>
            <w:vAlign w:val="center"/>
          </w:tcPr>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提供2019年1月1日至今类似项目业绩（合同复印件加盖公章），提供1份得2.5分，最高得5分。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0" w:hRule="atLeast"/>
        </w:trPr>
        <w:tc>
          <w:tcPr>
            <w:tcW w:w="503" w:type="pct"/>
            <w:vMerge w:val="restart"/>
            <w:tcBorders>
              <w:tl2br w:val="nil"/>
              <w:tr2bl w:val="nil"/>
            </w:tcBorders>
            <w:noWrap w:val="0"/>
            <w:tcMar>
              <w:top w:w="15" w:type="dxa"/>
              <w:left w:w="15" w:type="dxa"/>
              <w:right w:w="15" w:type="dxa"/>
            </w:tcMar>
            <w:vAlign w:val="center"/>
          </w:tcPr>
          <w:p>
            <w:pPr>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w:t>
            </w:r>
          </w:p>
          <w:p>
            <w:pPr>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术</w:t>
            </w:r>
          </w:p>
          <w:p>
            <w:pPr>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部</w:t>
            </w:r>
          </w:p>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分</w:t>
            </w:r>
          </w:p>
        </w:tc>
        <w:tc>
          <w:tcPr>
            <w:tcW w:w="523" w:type="pc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技术指标和</w:t>
            </w:r>
            <w:r>
              <w:rPr>
                <w:rFonts w:hint="eastAsia" w:ascii="宋体" w:hAnsi="宋体" w:cs="宋体"/>
                <w:b w:val="0"/>
                <w:bCs w:val="0"/>
                <w:color w:val="auto"/>
                <w:sz w:val="21"/>
                <w:szCs w:val="21"/>
                <w:lang w:val="en-US" w:eastAsia="zh-CN"/>
              </w:rPr>
              <w:t>参数</w:t>
            </w:r>
            <w:r>
              <w:rPr>
                <w:rFonts w:hint="eastAsia" w:ascii="宋体" w:hAnsi="宋体" w:eastAsia="宋体" w:cs="宋体"/>
                <w:b w:val="0"/>
                <w:bCs w:val="0"/>
                <w:color w:val="auto"/>
                <w:sz w:val="21"/>
                <w:szCs w:val="21"/>
                <w:lang w:val="en-US" w:eastAsia="zh-CN"/>
              </w:rPr>
              <w:t>响应</w:t>
            </w:r>
          </w:p>
        </w:tc>
        <w:tc>
          <w:tcPr>
            <w:tcW w:w="584" w:type="pc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20</w:t>
            </w:r>
            <w:r>
              <w:rPr>
                <w:rFonts w:hint="eastAsia" w:ascii="宋体" w:hAnsi="宋体" w:eastAsia="宋体" w:cs="宋体"/>
                <w:b w:val="0"/>
                <w:bCs w:val="0"/>
                <w:color w:val="auto"/>
                <w:sz w:val="21"/>
                <w:szCs w:val="21"/>
                <w:lang w:val="en-US" w:eastAsia="zh-CN"/>
              </w:rPr>
              <w:t>分</w:t>
            </w:r>
          </w:p>
        </w:tc>
        <w:tc>
          <w:tcPr>
            <w:tcW w:w="3387" w:type="pct"/>
            <w:tcBorders>
              <w:tl2br w:val="nil"/>
              <w:tr2bl w:val="nil"/>
            </w:tcBorders>
            <w:noWrap w:val="0"/>
            <w:tcMar>
              <w:top w:w="15" w:type="dxa"/>
              <w:left w:w="15" w:type="dxa"/>
              <w:right w:w="15" w:type="dxa"/>
            </w:tcMar>
            <w:vAlign w:val="center"/>
          </w:tcPr>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投标人具备专业的实施能力，投标产品、测评服务选择科学合理、技术参数和产品功能清晰明确。根据提供的产品技术资料，生产厂家出具的产品质量证书、相应功能证明材料（包括但不限于测试报告、官网和功能截图等）。对所有有效投标人进行横向比较。</w:t>
            </w:r>
          </w:p>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参数完全满足磋商文件要求，证明材料齐全，产品质量、实施能力能够得到充分的证明得14-20分；</w:t>
            </w:r>
          </w:p>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参数基本满足磋商文件要求，证明材料较齐全，产品质量、实施能力基本能够得到保证得7-13分；</w:t>
            </w:r>
          </w:p>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参数有负偏离，证明材料有缺漏，产品质量、实施能力基本能够得到保证得1-6分；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trPr>
        <w:tc>
          <w:tcPr>
            <w:tcW w:w="503" w:type="pct"/>
            <w:vMerge w:val="continue"/>
            <w:tcBorders>
              <w:tl2br w:val="nil"/>
              <w:tr2bl w:val="nil"/>
            </w:tcBorders>
            <w:noWrap w:val="0"/>
            <w:tcMar>
              <w:top w:w="15" w:type="dxa"/>
              <w:left w:w="15" w:type="dxa"/>
              <w:right w:w="15" w:type="dxa"/>
            </w:tcMar>
            <w:vAlign w:val="center"/>
          </w:tcPr>
          <w:p>
            <w:pPr>
              <w:jc w:val="center"/>
              <w:rPr>
                <w:rFonts w:hint="eastAsia" w:ascii="宋体" w:hAnsi="宋体" w:eastAsia="宋体" w:cs="宋体"/>
                <w:b w:val="0"/>
                <w:bCs w:val="0"/>
                <w:color w:val="auto"/>
                <w:sz w:val="21"/>
                <w:szCs w:val="21"/>
              </w:rPr>
            </w:pPr>
          </w:p>
        </w:tc>
        <w:tc>
          <w:tcPr>
            <w:tcW w:w="523" w:type="pc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项目整体方案</w:t>
            </w:r>
          </w:p>
        </w:tc>
        <w:tc>
          <w:tcPr>
            <w:tcW w:w="584" w:type="pc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15分</w:t>
            </w:r>
          </w:p>
        </w:tc>
        <w:tc>
          <w:tcPr>
            <w:tcW w:w="3387" w:type="pct"/>
            <w:tcBorders>
              <w:tl2br w:val="nil"/>
              <w:tr2bl w:val="nil"/>
            </w:tcBorders>
            <w:noWrap w:val="0"/>
            <w:tcMar>
              <w:top w:w="15" w:type="dxa"/>
              <w:left w:w="15" w:type="dxa"/>
              <w:right w:w="15" w:type="dxa"/>
            </w:tcMar>
            <w:vAlign w:val="center"/>
          </w:tcPr>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方案整体条理清晰，科学合理可行，容灾备份安全可靠、具备快速及跨平台部署能力，项目实施进度计划合理、可操作性强，包括人员配置、工作安排等内容。方案详细完整、具体可行的计10～15分；方案基本详细、可行性一般的计1～9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4" w:hRule="atLeast"/>
        </w:trPr>
        <w:tc>
          <w:tcPr>
            <w:tcW w:w="503" w:type="pct"/>
            <w:vMerge w:val="continue"/>
            <w:tcBorders>
              <w:tl2br w:val="nil"/>
              <w:tr2bl w:val="nil"/>
            </w:tcBorders>
            <w:noWrap w:val="0"/>
            <w:tcMar>
              <w:top w:w="15" w:type="dxa"/>
              <w:left w:w="15" w:type="dxa"/>
              <w:right w:w="15" w:type="dxa"/>
            </w:tcMar>
            <w:vAlign w:val="center"/>
          </w:tcPr>
          <w:p>
            <w:pPr>
              <w:jc w:val="center"/>
              <w:rPr>
                <w:rFonts w:hint="eastAsia" w:ascii="宋体" w:hAnsi="宋体" w:eastAsia="宋体" w:cs="宋体"/>
                <w:b w:val="0"/>
                <w:bCs w:val="0"/>
                <w:color w:val="auto"/>
                <w:sz w:val="21"/>
                <w:szCs w:val="21"/>
              </w:rPr>
            </w:pPr>
          </w:p>
        </w:tc>
        <w:tc>
          <w:tcPr>
            <w:tcW w:w="523" w:type="pc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售后服务及培训</w:t>
            </w:r>
          </w:p>
        </w:tc>
        <w:tc>
          <w:tcPr>
            <w:tcW w:w="584" w:type="pct"/>
            <w:tcBorders>
              <w:tl2br w:val="nil"/>
              <w:tr2bl w:val="nil"/>
            </w:tcBorders>
            <w:noWrap w:val="0"/>
            <w:tcMar>
              <w:top w:w="15" w:type="dxa"/>
              <w:left w:w="15" w:type="dxa"/>
              <w:right w:w="15" w:type="dxa"/>
            </w:tcMar>
            <w:vAlign w:val="center"/>
          </w:tcPr>
          <w:p>
            <w:pPr>
              <w:ind w:left="0" w:leftChars="0"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12分</w:t>
            </w:r>
          </w:p>
        </w:tc>
        <w:tc>
          <w:tcPr>
            <w:tcW w:w="3387" w:type="pct"/>
            <w:tcBorders>
              <w:tl2br w:val="nil"/>
              <w:tr2bl w:val="nil"/>
            </w:tcBorders>
            <w:noWrap w:val="0"/>
            <w:tcMar>
              <w:top w:w="15" w:type="dxa"/>
              <w:left w:w="15" w:type="dxa"/>
              <w:right w:w="15" w:type="dxa"/>
            </w:tcMar>
            <w:vAlign w:val="center"/>
          </w:tcPr>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能完全响应商务条款中售后服务要求，提供售后服务承诺，有针对本项目制定规范化的售后服务方案，服务响应、服务标准明确具体，服务措施承诺及应急预案能满足项目需求。方案完整、服务方式全面、响应时间及时的得4～6分；方案基本完整的得1～3分，未提供不得分。</w:t>
            </w:r>
          </w:p>
          <w:p>
            <w:pPr>
              <w:autoSpaceDE w:val="0"/>
              <w:autoSpaceDN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提供完整、可行的培训计划，包括但不限于培训体系、培训目标、培训课程等内容，提供培训计划周全的得4～6分，培训计划内容不完善或过于简单得1～3分，未提供不得分。</w:t>
            </w:r>
          </w:p>
        </w:tc>
      </w:tr>
    </w:tbl>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备注：</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1）若出现综合得分并列时，比较投标报价，投标报价低者者排序在前；若投标报价仍相同，比较技术得分，此分项得分高者排序在前；若技术得分仍相同，则由评标委员会无记名投票，得票高者排序在前。</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2）评委打分超过得分界限或未按本方法赋分时，该评委的打分按废票处理。</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3）各种计算采用插入法，数字均保留两位小数，第三位“四舍五入”。</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4）投标文件技术部分中缺少某分项时，该分项为0分。</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lang w:val="zh-CN"/>
        </w:rPr>
        <w:t>5）最低报价不是中标的唯一依据。</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1.评标方法</w:t>
      </w:r>
    </w:p>
    <w:p>
      <w:pPr>
        <w:autoSpaceDE w:val="0"/>
        <w:autoSpaceDN w:val="0"/>
        <w:spacing w:line="360" w:lineRule="auto"/>
        <w:ind w:firstLine="422"/>
        <w:rPr>
          <w:rFonts w:ascii="宋体" w:hAnsi="宋体" w:eastAsia="宋体" w:cs="宋体"/>
          <w:color w:val="auto"/>
          <w:szCs w:val="21"/>
          <w:lang w:val="zh-CN"/>
        </w:rPr>
      </w:pPr>
      <w:r>
        <w:rPr>
          <w:rFonts w:hint="eastAsia" w:ascii="宋体" w:hAnsi="宋体" w:eastAsia="宋体" w:cs="宋体"/>
          <w:b/>
          <w:bCs/>
          <w:color w:val="auto"/>
          <w:szCs w:val="21"/>
          <w:u w:val="single"/>
          <w:lang w:val="zh-CN"/>
        </w:rPr>
        <w:t>本次评标采用综合评分法。</w:t>
      </w:r>
      <w:r>
        <w:rPr>
          <w:rFonts w:hint="eastAsia" w:ascii="宋体" w:hAnsi="宋体" w:eastAsia="宋体" w:cs="宋体"/>
          <w:color w:val="auto"/>
          <w:szCs w:val="21"/>
          <w:lang w:val="zh-CN"/>
        </w:rPr>
        <w:t>评标委员会对满足招标文件实质性要求的投标文件，按照本章第2款规定的评分标准进行打分，并按得分由高到低顺序推荐中标候选人。</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2.评审标准</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2.1 符合性审查标准：见评标办法前附表。</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2.2 详细评审标准：见评标办法前附表。</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3.评标程序</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3.1 初步评审</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3.1.1 符合性审查</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评标委员会依据本章第 2.1款规定的标准对投标文件进行符合性审查。有一项不符合评审标准的，按无效投标处理。</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3.1.2 供应商有以下情形之一的，其投标按无效处理：</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（1）投标文件没有对招标文件的实质性要求和条件作出响应，或者对招标文件的偏差超出招标文件规定的偏差范围。</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（2）有串通投标、弄虚作假、行贿等违法行为。</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w:t>
      </w:r>
      <w:r>
        <w:rPr>
          <w:rFonts w:hint="eastAsia" w:ascii="宋体" w:hAnsi="宋体" w:eastAsia="宋体" w:cs="宋体"/>
          <w:color w:val="auto"/>
          <w:szCs w:val="21"/>
        </w:rPr>
        <w:t>相关法律法规或招标文件规定的其他无效投标的情况。</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3.1.3 有下列情形之一的，视为供应商串通投标：</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（1）不同供应商的投标文件由同一单位或者个人编制；</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（2）不同供应商委托同一单位或者个人办理投标事宜；</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（3）不同供应商的投标文件载明的项目管理成员或者联系人员为同一人；</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（4）不同供应商的投标文件异常一致或者投标报价呈规律性差异；</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（5）不同供应商的投标文件相互混装；</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3.1.4 投标文件报价出现前后不一致的，按照下列规定修正：</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（1）投标文件中开标一览表内容与投标文件中相应内容不一致的，以开标一览表为准；</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（2）大写金额和小写金额不一致的，以大写金额为准；</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（3）单价金额小数点或者百分比有明显错位的，以开标一览表的总价为准，并修改单价；</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（4）总价金额与按单价汇总金额不一致的，以单价金额计算结果为准。</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同时出现两种以上不一致的，按照前款规定的顺序修正。修正后的报价经供应商确认后产生约束力，供应商不确认的，其投标无效。</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3.2 详细评审</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3.2.1 评标委员会按本章第2.2款规定的量化因素和分值进行打分，并计算出综合评估得分。</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3.2.2 评分分值计算保留小数点后两位，小数点后第三位“四舍五入”。</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3.2.3 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3.3 投标文件的澄清</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3.3.1 在评标过程中，评标委员会可以书面形式要求供应商对投标文件中含义不明确、对同类问题表述不一致或者有明显文字和计算错误的内容作必要的澄清、说明或补正。澄清、说明或补正应以书面方式进行。评标委员会不接受供应商主动提出的澄清、说明或补正。</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3.3.2 澄清、说明或补正不得超出投标文件的范围且不得改变投标文件的实质性内容，并构成投标文件的组成部分。</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3.3.3 评标委员会对供应商提交的澄清、说明或补正有疑问的，可以要求供应商进一步澄清、说明或补正，直至满足评标委员会的要求。</w:t>
      </w:r>
    </w:p>
    <w:p>
      <w:pPr>
        <w:autoSpaceDE w:val="0"/>
        <w:autoSpaceDN w:val="0"/>
        <w:spacing w:line="360" w:lineRule="auto"/>
        <w:ind w:firstLine="422"/>
        <w:rPr>
          <w:rFonts w:ascii="宋体" w:hAnsi="宋体" w:eastAsia="宋体" w:cs="宋体"/>
          <w:b/>
          <w:color w:val="auto"/>
          <w:szCs w:val="21"/>
          <w:lang w:val="zh-CN"/>
        </w:rPr>
      </w:pPr>
      <w:r>
        <w:rPr>
          <w:rFonts w:hint="eastAsia" w:ascii="宋体" w:hAnsi="宋体" w:eastAsia="宋体" w:cs="宋体"/>
          <w:b/>
          <w:color w:val="auto"/>
          <w:szCs w:val="21"/>
          <w:lang w:val="zh-CN"/>
        </w:rPr>
        <w:t>3.4 评标结果</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3.4.1 除第二章“供应商须知”前附表授权直接确定中标人外，评标委员会按照得分由高到低的顺序推荐中标候选人，并标明排序。</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3.4.2 综合评分相等时，以投标报价低的优先；投标报价也相等的，以技术得分高的优先。</w:t>
      </w:r>
    </w:p>
    <w:p>
      <w:pPr>
        <w:autoSpaceDE w:val="0"/>
        <w:autoSpaceDN w:val="0"/>
        <w:spacing w:line="360" w:lineRule="auto"/>
        <w:rPr>
          <w:rFonts w:ascii="宋体" w:hAnsi="宋体" w:eastAsia="宋体" w:cs="宋体"/>
          <w:color w:val="auto"/>
          <w:szCs w:val="21"/>
          <w:lang w:val="zh-CN"/>
        </w:rPr>
      </w:pPr>
    </w:p>
    <w:p>
      <w:pPr>
        <w:pStyle w:val="13"/>
        <w:rPr>
          <w:rFonts w:ascii="宋体" w:hAnsi="宋体" w:cs="宋体"/>
          <w:color w:val="auto"/>
        </w:rPr>
      </w:pPr>
    </w:p>
    <w:p>
      <w:pPr>
        <w:pStyle w:val="14"/>
        <w:rPr>
          <w:rFonts w:ascii="宋体" w:hAnsi="宋体" w:cs="宋体"/>
          <w:color w:val="auto"/>
        </w:rPr>
      </w:pPr>
    </w:p>
    <w:p>
      <w:pPr>
        <w:pStyle w:val="13"/>
        <w:rPr>
          <w:rFonts w:ascii="宋体" w:hAnsi="宋体" w:cs="宋体"/>
          <w:color w:val="auto"/>
        </w:rPr>
      </w:pPr>
    </w:p>
    <w:p>
      <w:pPr>
        <w:pStyle w:val="14"/>
        <w:rPr>
          <w:rFonts w:ascii="宋体" w:hAnsi="宋体" w:cs="宋体"/>
          <w:color w:val="auto"/>
        </w:rPr>
      </w:pPr>
    </w:p>
    <w:p>
      <w:pPr>
        <w:pStyle w:val="13"/>
        <w:rPr>
          <w:rFonts w:ascii="宋体" w:hAnsi="宋体" w:cs="宋体"/>
          <w:color w:val="auto"/>
        </w:rPr>
      </w:pPr>
    </w:p>
    <w:p>
      <w:pPr>
        <w:pStyle w:val="14"/>
        <w:rPr>
          <w:rFonts w:ascii="宋体" w:hAnsi="宋体" w:cs="宋体"/>
          <w:color w:val="auto"/>
        </w:rPr>
      </w:pPr>
    </w:p>
    <w:p>
      <w:pPr>
        <w:pStyle w:val="13"/>
        <w:rPr>
          <w:rFonts w:ascii="宋体" w:hAnsi="宋体" w:cs="宋体"/>
          <w:color w:val="auto"/>
        </w:rPr>
      </w:pPr>
    </w:p>
    <w:p>
      <w:pPr>
        <w:pStyle w:val="14"/>
        <w:rPr>
          <w:rFonts w:ascii="宋体" w:hAnsi="宋体" w:cs="宋体"/>
          <w:color w:val="auto"/>
        </w:rPr>
      </w:pPr>
    </w:p>
    <w:p>
      <w:pPr>
        <w:pStyle w:val="13"/>
        <w:rPr>
          <w:rFonts w:ascii="宋体" w:hAnsi="宋体" w:cs="宋体"/>
          <w:color w:val="auto"/>
        </w:rPr>
      </w:pPr>
    </w:p>
    <w:p>
      <w:pPr>
        <w:pStyle w:val="14"/>
        <w:rPr>
          <w:rFonts w:ascii="宋体" w:hAnsi="宋体" w:cs="宋体"/>
          <w:color w:val="auto"/>
        </w:rPr>
      </w:pPr>
    </w:p>
    <w:p>
      <w:pPr>
        <w:pStyle w:val="13"/>
        <w:rPr>
          <w:rFonts w:ascii="宋体" w:hAnsi="宋体" w:cs="宋体"/>
          <w:color w:val="auto"/>
        </w:rPr>
      </w:pPr>
    </w:p>
    <w:p>
      <w:pPr>
        <w:pStyle w:val="14"/>
        <w:rPr>
          <w:rFonts w:ascii="宋体" w:hAnsi="宋体" w:cs="宋体"/>
          <w:color w:val="auto"/>
        </w:rPr>
      </w:pPr>
    </w:p>
    <w:p>
      <w:pPr>
        <w:pStyle w:val="13"/>
        <w:rPr>
          <w:rFonts w:ascii="宋体" w:hAnsi="宋体" w:cs="宋体"/>
          <w:color w:val="auto"/>
        </w:rPr>
      </w:pPr>
    </w:p>
    <w:p>
      <w:pPr>
        <w:pStyle w:val="14"/>
        <w:rPr>
          <w:rFonts w:ascii="宋体" w:hAnsi="宋体" w:cs="宋体"/>
          <w:color w:val="auto"/>
        </w:rPr>
      </w:pPr>
    </w:p>
    <w:p>
      <w:pPr>
        <w:pStyle w:val="13"/>
        <w:rPr>
          <w:rFonts w:ascii="宋体" w:hAnsi="宋体" w:cs="宋体"/>
          <w:color w:val="auto"/>
        </w:rPr>
      </w:pPr>
    </w:p>
    <w:p>
      <w:pPr>
        <w:pStyle w:val="14"/>
        <w:rPr>
          <w:rFonts w:ascii="宋体" w:hAnsi="宋体" w:cs="宋体"/>
          <w:color w:val="auto"/>
        </w:rPr>
      </w:pPr>
    </w:p>
    <w:p>
      <w:pPr>
        <w:pStyle w:val="13"/>
        <w:rPr>
          <w:rFonts w:ascii="宋体" w:hAnsi="宋体" w:cs="宋体"/>
          <w:color w:val="auto"/>
        </w:rPr>
      </w:pPr>
    </w:p>
    <w:p>
      <w:pPr>
        <w:pStyle w:val="14"/>
        <w:rPr>
          <w:rFonts w:ascii="宋体" w:hAnsi="宋体" w:cs="宋体"/>
          <w:color w:val="auto"/>
        </w:rPr>
      </w:pPr>
    </w:p>
    <w:p>
      <w:pPr>
        <w:pStyle w:val="13"/>
        <w:rPr>
          <w:rFonts w:ascii="宋体" w:hAnsi="宋体" w:cs="宋体"/>
          <w:color w:val="auto"/>
        </w:rPr>
      </w:pPr>
    </w:p>
    <w:p>
      <w:pPr>
        <w:pStyle w:val="14"/>
        <w:ind w:left="0" w:leftChars="0" w:firstLine="0" w:firstLineChars="0"/>
      </w:pPr>
    </w:p>
    <w:p>
      <w:pPr>
        <w:pStyle w:val="3"/>
        <w:numPr>
          <w:ilvl w:val="0"/>
          <w:numId w:val="0"/>
        </w:numPr>
        <w:jc w:val="center"/>
        <w:rPr>
          <w:rFonts w:ascii="宋体" w:hAnsi="宋体" w:eastAsia="宋体" w:cs="宋体"/>
          <w:color w:val="auto"/>
        </w:rPr>
      </w:pPr>
      <w:r>
        <w:rPr>
          <w:rFonts w:hint="eastAsia" w:ascii="宋体" w:hAnsi="宋体" w:eastAsia="宋体" w:cs="宋体"/>
          <w:color w:val="auto"/>
        </w:rPr>
        <w:t xml:space="preserve">第四章 </w:t>
      </w:r>
      <w:r>
        <w:rPr>
          <w:rFonts w:hint="eastAsia" w:ascii="宋体" w:hAnsi="宋体" w:eastAsia="宋体" w:cs="宋体"/>
          <w:color w:val="auto"/>
          <w:highlight w:val="none"/>
        </w:rPr>
        <w:t>采购内容和</w:t>
      </w:r>
      <w:r>
        <w:rPr>
          <w:rFonts w:hint="eastAsia" w:ascii="宋体" w:hAnsi="宋体" w:eastAsia="宋体" w:cs="宋体"/>
          <w:color w:val="auto"/>
          <w:highlight w:val="none"/>
          <w:lang w:val="en-US" w:eastAsia="zh-CN"/>
        </w:rPr>
        <w:t>技术</w:t>
      </w:r>
      <w:r>
        <w:rPr>
          <w:rFonts w:hint="eastAsia" w:ascii="宋体" w:hAnsi="宋体" w:eastAsia="宋体" w:cs="宋体"/>
          <w:color w:val="auto"/>
          <w:highlight w:val="none"/>
        </w:rPr>
        <w:t>要求</w:t>
      </w:r>
    </w:p>
    <w:tbl>
      <w:tblPr>
        <w:tblStyle w:val="23"/>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6"/>
        <w:gridCol w:w="457"/>
        <w:gridCol w:w="516"/>
        <w:gridCol w:w="667"/>
        <w:gridCol w:w="7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0" w:hRule="atLeast"/>
        </w:trPr>
        <w:tc>
          <w:tcPr>
            <w:tcW w:w="4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973" w:type="dxa"/>
            <w:gridSpan w:val="2"/>
            <w:tcBorders>
              <w:top w:val="single" w:color="000000" w:sz="8" w:space="0"/>
              <w:left w:val="single" w:color="000000" w:sz="8" w:space="0"/>
              <w:bottom w:val="single" w:color="000000" w:sz="8" w:space="0"/>
              <w:right w:val="single" w:color="000000" w:sz="8" w:space="0"/>
            </w:tcBorders>
            <w:shd w:val="clear" w:color="auto" w:fill="D0CECE"/>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产品</w:t>
            </w:r>
          </w:p>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667" w:type="dxa"/>
            <w:tcBorders>
              <w:top w:val="single" w:color="000000" w:sz="8" w:space="0"/>
              <w:left w:val="single" w:color="000000" w:sz="8" w:space="0"/>
              <w:bottom w:val="single" w:color="000000" w:sz="8" w:space="0"/>
              <w:right w:val="single" w:color="000000" w:sz="8" w:space="0"/>
            </w:tcBorders>
            <w:shd w:val="clear" w:color="auto" w:fill="D0CECE"/>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7111" w:type="dxa"/>
            <w:tcBorders>
              <w:top w:val="single" w:color="000000" w:sz="8" w:space="0"/>
              <w:left w:val="single" w:color="000000" w:sz="8" w:space="0"/>
              <w:bottom w:val="single" w:color="000000" w:sz="8" w:space="0"/>
              <w:right w:val="single" w:color="000000" w:sz="8" w:space="0"/>
            </w:tcBorders>
            <w:shd w:val="clear" w:color="auto" w:fill="D0CECE"/>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7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堡垒机</w:t>
            </w:r>
          </w:p>
        </w:tc>
        <w:tc>
          <w:tcPr>
            <w:tcW w:w="6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1台</w:t>
            </w:r>
          </w:p>
        </w:tc>
        <w:tc>
          <w:tcPr>
            <w:tcW w:w="7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硬件要求：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标准机架式设备，双电源，≥6个千兆电口，≥4个千兆光口，不少于2T硬盘。支持资产数授权不少于500个。支持最大字符连接不少于500个，最大图型连接不少于100个。本次项目中提供不少于三年硬件质保和软件升级服务。提供公安部销售许可证（增强级）；产品兼容IPV6网络，提供IPv6认证证明；</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功能要求：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Style w:val="47"/>
                <w:rFonts w:hint="eastAsia" w:ascii="宋体" w:hAnsi="宋体" w:eastAsia="宋体" w:cs="宋体"/>
                <w:color w:val="auto"/>
                <w:sz w:val="24"/>
                <w:szCs w:val="24"/>
                <w:lang w:val="en-US" w:eastAsia="zh-CN" w:bidi="ar"/>
              </w:rPr>
              <w:t>1、支持按部门组织架构（至少5个层级的部门）管理用户数据、资产数据、授权数据、审计数据。每个部门可以管理本部门及下级部门的用户角色：部门管理员、运维管理员、审计管理员、运维员。</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2、产品支持多种认证方式，支持与AD</w:t>
            </w:r>
            <w:r>
              <w:rPr>
                <w:rStyle w:val="47"/>
                <w:rFonts w:hint="eastAsia" w:ascii="宋体" w:hAnsi="宋体" w:eastAsia="宋体" w:cs="宋体"/>
                <w:color w:val="auto"/>
                <w:sz w:val="24"/>
                <w:szCs w:val="24"/>
                <w:lang w:val="en-US" w:eastAsia="zh-CN" w:bidi="ar"/>
              </w:rPr>
              <w:t>、LDAP、RADIUS、吉大正元、北京CA认证等联动登录堡垒机，支持自动同步AD/LDAP用户；还支持短信认证、手机APP动态口令认证、同时使用动态令牌和USBKey的双因子认证。</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3、支持常用的运维协议：SSH</w:t>
            </w:r>
            <w:r>
              <w:rPr>
                <w:rStyle w:val="47"/>
                <w:rFonts w:hint="eastAsia" w:ascii="宋体" w:hAnsi="宋体" w:eastAsia="宋体" w:cs="宋体"/>
                <w:color w:val="auto"/>
                <w:sz w:val="24"/>
                <w:szCs w:val="24"/>
                <w:lang w:val="en-US" w:eastAsia="zh-CN" w:bidi="ar"/>
              </w:rPr>
              <w:t>、TELNET、RDP、VNC、FTP、SFTP、rlogin；可通过应用发布的方式进行协议扩展，如数据库Oracle、MSSQL、MySQL、VMware vSphere Client、浏览器等客户端工具；</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4、产品支持CS架构运维客户端，可直接进行运维；</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5、支持自动收集设备IP</w:t>
            </w:r>
            <w:r>
              <w:rPr>
                <w:rStyle w:val="47"/>
                <w:rFonts w:hint="eastAsia" w:ascii="宋体" w:hAnsi="宋体" w:eastAsia="宋体" w:cs="宋体"/>
                <w:color w:val="auto"/>
                <w:sz w:val="24"/>
                <w:szCs w:val="24"/>
                <w:lang w:val="en-US" w:eastAsia="zh-CN" w:bidi="ar"/>
              </w:rPr>
              <w:t>、运维协议、端口号、账号、密码、与用户的权限关系，甚至可自动完成授权；</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6、支持运维工单管理，运维人员可以向管理员申请需要访问的设备。</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7、支持设备自动改密功能，支持定期自动修改windows服务器</w:t>
            </w:r>
            <w:r>
              <w:rPr>
                <w:rStyle w:val="47"/>
                <w:rFonts w:hint="eastAsia" w:ascii="宋体" w:hAnsi="宋体" w:eastAsia="宋体" w:cs="宋体"/>
                <w:color w:val="auto"/>
                <w:sz w:val="24"/>
                <w:szCs w:val="24"/>
                <w:lang w:val="en-US" w:eastAsia="zh-CN" w:bidi="ar"/>
              </w:rPr>
              <w:t>、网络设备、linux/unix等目标设备密码功能。</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8、支持用户便捷操作，可一键批量登录不同协议的主机资产，可记录最近运维的主机，用于快速对主机进行运维</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9、支持对运维操作会话的在线监控</w:t>
            </w:r>
            <w:r>
              <w:rPr>
                <w:rStyle w:val="47"/>
                <w:rFonts w:hint="eastAsia" w:ascii="宋体" w:hAnsi="宋体" w:eastAsia="宋体" w:cs="宋体"/>
                <w:color w:val="auto"/>
                <w:sz w:val="24"/>
                <w:szCs w:val="24"/>
                <w:lang w:val="en-US" w:eastAsia="zh-CN" w:bidi="ar"/>
              </w:rPr>
              <w:t>、实时阻断、日志回放、起止时间、来源用户、来源IP、目标设备、协议/应用类型、命令记录、操作内容等详细行为日志。</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10、支持运维访问控制策略，可通过基于时间</w:t>
            </w:r>
            <w:r>
              <w:rPr>
                <w:rStyle w:val="47"/>
                <w:rFonts w:hint="eastAsia" w:ascii="宋体" w:hAnsi="宋体" w:eastAsia="宋体" w:cs="宋体"/>
                <w:color w:val="auto"/>
                <w:sz w:val="24"/>
                <w:szCs w:val="24"/>
                <w:lang w:val="en-US" w:eastAsia="zh-CN" w:bidi="ar"/>
              </w:rPr>
              <w:t>、IP/IP段、用户/用户组、设备/设备组、设备账号、命令关键字、控制动作、黑白名单等组合访问控制策略，授权用户可访问的目标设备。</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11、支持二次审批功能，可对重要设备启用该功能，运维人员须向管理员申请登录，管理员审批之后才可登录；</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12、支持各种分析报表，符合等级保护和SOX法案要求，报表维度包含总为运维次数</w:t>
            </w:r>
            <w:r>
              <w:rPr>
                <w:rStyle w:val="47"/>
                <w:rFonts w:hint="eastAsia" w:ascii="宋体" w:hAnsi="宋体" w:eastAsia="宋体" w:cs="宋体"/>
                <w:color w:val="auto"/>
                <w:sz w:val="24"/>
                <w:szCs w:val="24"/>
                <w:lang w:val="en-US" w:eastAsia="zh-CN" w:bidi="ar"/>
              </w:rPr>
              <w:t>、时长、活动时长、会话起止时间、会话大小、命令数、上传下载文件数，并支持报表自动发动功能。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9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防病毒</w:t>
            </w:r>
          </w:p>
        </w:tc>
        <w:tc>
          <w:tcPr>
            <w:tcW w:w="6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1套</w:t>
            </w:r>
          </w:p>
        </w:tc>
        <w:tc>
          <w:tcPr>
            <w:tcW w:w="7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产品要求：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产品兼容性强，支持windows server 2003、Windows server 2008、Windows server 2012、Windows server 2016、Win xp 、Win 7、Win 8、Win 10、Centos 5.0 +、Redhat 5.0 + 、Ubuntu 14 +等操作系统，本次项目中提供不少于200套PC端节点授权，10套服务器节点授权，不少于三年软件升级服务授权。提供公安部颁发的销售许可证。产品兼容IPV6网络，提供IPv6认证证明；</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.功能要求：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1、支持对CPU</w:t>
            </w:r>
            <w:r>
              <w:rPr>
                <w:rStyle w:val="47"/>
                <w:rFonts w:hint="eastAsia" w:ascii="宋体" w:hAnsi="宋体" w:eastAsia="宋体" w:cs="宋体"/>
                <w:color w:val="auto"/>
                <w:sz w:val="24"/>
                <w:szCs w:val="24"/>
                <w:lang w:val="en-US" w:eastAsia="zh-CN" w:bidi="ar"/>
              </w:rPr>
              <w:t>、内存、磁盘读写、网络上下行流量达到配置阈值时告警。支持对CPU、内存达到一定阈值时客户端进行熔断。</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2、具备端口防扫描</w:t>
            </w:r>
            <w:r>
              <w:rPr>
                <w:rStyle w:val="47"/>
                <w:rFonts w:hint="eastAsia" w:ascii="宋体" w:hAnsi="宋体" w:eastAsia="宋体" w:cs="宋体"/>
                <w:color w:val="auto"/>
                <w:sz w:val="24"/>
                <w:szCs w:val="24"/>
                <w:lang w:val="en-US" w:eastAsia="zh-CN" w:bidi="ar"/>
              </w:rPr>
              <w:t>、登录防护、违规外联防护、移动存储介质管理、计算机外设管理、web网站防护等安全防护功能；</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3、具备高级威胁防护功能，可对信息收集</w:t>
            </w:r>
            <w:r>
              <w:rPr>
                <w:rStyle w:val="47"/>
                <w:rFonts w:hint="eastAsia" w:ascii="宋体" w:hAnsi="宋体" w:eastAsia="宋体" w:cs="宋体"/>
                <w:color w:val="auto"/>
                <w:sz w:val="24"/>
                <w:szCs w:val="24"/>
                <w:lang w:val="en-US" w:eastAsia="zh-CN" w:bidi="ar"/>
              </w:rPr>
              <w:t>、权限提升，渗透过程中的隧道代理，主机控制中的反弹shell、远程控制，渗透收尾阶段的数据清除行为等进行识别、拦截和控制；</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4、支持主机漏洞扫描，并在扫描后对高危漏洞进行自动修复。</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5、支持对网站服务器进行额外防护，防护内容包括SQL注入</w:t>
            </w:r>
            <w:r>
              <w:rPr>
                <w:rStyle w:val="47"/>
                <w:rFonts w:hint="eastAsia" w:ascii="宋体" w:hAnsi="宋体" w:eastAsia="宋体" w:cs="宋体"/>
                <w:color w:val="auto"/>
                <w:sz w:val="24"/>
                <w:szCs w:val="24"/>
                <w:lang w:val="en-US" w:eastAsia="zh-CN" w:bidi="ar"/>
              </w:rPr>
              <w:t>、XSS、应用程序漏洞等。</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6、支持登录防护功能，包括以系统账号为粒度的异常登录防护</w:t>
            </w:r>
            <w:r>
              <w:rPr>
                <w:rStyle w:val="47"/>
                <w:rFonts w:hint="eastAsia" w:ascii="宋体" w:hAnsi="宋体" w:eastAsia="宋体" w:cs="宋体"/>
                <w:color w:val="auto"/>
                <w:sz w:val="24"/>
                <w:szCs w:val="24"/>
                <w:lang w:val="en-US" w:eastAsia="zh-CN" w:bidi="ar"/>
              </w:rPr>
              <w:t>、支持五个任意维度（任意IP，任意域名，任意计算机名，任意时间）的系统登录访问策略设置。</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7、支持对无线网卡</w:t>
            </w:r>
            <w:r>
              <w:rPr>
                <w:rStyle w:val="47"/>
                <w:rFonts w:hint="eastAsia" w:ascii="宋体" w:hAnsi="宋体" w:eastAsia="宋体" w:cs="宋体"/>
                <w:color w:val="auto"/>
                <w:sz w:val="24"/>
                <w:szCs w:val="24"/>
                <w:lang w:val="en-US" w:eastAsia="zh-CN" w:bidi="ar"/>
              </w:rPr>
              <w:t>、光驱、软驱、打印机、调制解调器、红外设备、蓝牙设备、摄像头、鼠标、键盘、手机/数码设备等外设的管控。</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8、支持联动威胁情报，支持对外联IP</w:t>
            </w:r>
            <w:r>
              <w:rPr>
                <w:rStyle w:val="47"/>
                <w:rFonts w:hint="eastAsia" w:ascii="宋体" w:hAnsi="宋体" w:eastAsia="宋体" w:cs="宋体"/>
                <w:color w:val="auto"/>
                <w:sz w:val="24"/>
                <w:szCs w:val="24"/>
                <w:lang w:val="en-US" w:eastAsia="zh-CN" w:bidi="ar"/>
              </w:rPr>
              <w:t>、DNS解析、可疑文件进行实时情报鉴定，实现风险一站式实时监测。对文件HASH、IP、域名、邮箱等IOC指标进行动静态鉴定，通过和云端威胁情报进行碰撞，实时返回威胁结果。</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9、具备勒索风险评估功能，可对当前终端感染勒索病毒的风险进行评估和识别，并提供专用的针对已知/未知勒索病毒的防护功能；</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10、具备防病毒模块，支持文件实时监控</w:t>
            </w:r>
            <w:r>
              <w:rPr>
                <w:rStyle w:val="47"/>
                <w:rFonts w:hint="eastAsia" w:ascii="宋体" w:hAnsi="宋体" w:eastAsia="宋体" w:cs="宋体"/>
                <w:color w:val="auto"/>
                <w:sz w:val="24"/>
                <w:szCs w:val="24"/>
                <w:lang w:val="en-US" w:eastAsia="zh-CN" w:bidi="ar"/>
              </w:rPr>
              <w:t>、自定义扫描、病毒拦截等功能。</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Style w:val="47"/>
                <w:rFonts w:hint="eastAsia" w:ascii="宋体" w:hAnsi="宋体" w:eastAsia="宋体" w:cs="宋体"/>
                <w:color w:val="auto"/>
                <w:sz w:val="24"/>
                <w:szCs w:val="24"/>
                <w:lang w:val="en-US" w:eastAsia="zh-CN" w:bidi="ar"/>
              </w:rPr>
            </w:pPr>
            <w:r>
              <w:rPr>
                <w:rFonts w:hint="eastAsia" w:ascii="宋体" w:hAnsi="宋体" w:eastAsia="宋体" w:cs="宋体"/>
                <w:i w:val="0"/>
                <w:iCs w:val="0"/>
                <w:color w:val="auto"/>
                <w:kern w:val="0"/>
                <w:sz w:val="24"/>
                <w:szCs w:val="24"/>
                <w:u w:val="none"/>
                <w:lang w:val="en-US" w:eastAsia="zh-CN" w:bidi="ar"/>
              </w:rPr>
              <w:t>11、管理中心支持一键设置客户端卸载密码</w:t>
            </w:r>
            <w:r>
              <w:rPr>
                <w:rStyle w:val="47"/>
                <w:rFonts w:hint="eastAsia" w:ascii="宋体" w:hAnsi="宋体" w:eastAsia="宋体" w:cs="宋体"/>
                <w:color w:val="auto"/>
                <w:sz w:val="24"/>
                <w:szCs w:val="24"/>
                <w:lang w:val="en-US" w:eastAsia="zh-CN" w:bidi="ar"/>
              </w:rPr>
              <w:t>、一键卸载监控端、一键解除绑定、一键停止/恢复所有防护、一键关闭/重启主机、一键重启客户端、一键迁移资产。</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12、支持基于等级保护的基线检查能力，可对当前终端配置进行核查，并可限制扫描范围和扫描策略级别。</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13、需和本次项目中的防火墙产品实现联动。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9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漏洞扫描</w:t>
            </w:r>
          </w:p>
        </w:tc>
        <w:tc>
          <w:tcPr>
            <w:tcW w:w="6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1台</w:t>
            </w:r>
          </w:p>
        </w:tc>
        <w:tc>
          <w:tcPr>
            <w:tcW w:w="7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硬件要求：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标准机架式设备，不少于6个千兆电口，不少于2T硬盘，可扫描IP授权不限，并发IP扫描能力不少于128个，本次项目提供系统漏洞检查，三年硬件质保和漏洞库升级服务。产品具备公安部的《计算机信息系统安全专用产品销售许可证》（增强级）。产品兼容IPV6网络，提供IPv6认证证明；</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功能要求：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1、产品支持系统安全配置核查功能，能够对主流操作系统、中间件、无线设备、虚拟设备的安全配置项目进行检查，Windows系统支持提供离线检查工具，将检查结果导入平台查看。</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2、支持Telnet、SSH、SMB协议的安全基线配置检查方式。</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3、厂商漏洞特征库大于180000条；提供详细的漏洞描述和对应的解决方案描述；漏洞知识库与CVE、CNNVD、Bugtraq、CNCVE、CNVD等国际、国内漏洞库标准兼容。</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4、支持自定义User-Agent、自定义请求头，自定义Cookies或录制获取、自定义LocalStorage、SessionStorage对Web应用进行扫描。</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5、支持云平台扫描，漏洞覆盖OpenStack、Kvm、VMware、Xen等主流的云计算平台。</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6、支持扫描物联网设备的漏洞，至少支持扫描摄像机、打印机及路由器等国内主流产品。</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7、系统内置不同的策略模板如针对Linux、Windows操作系统、工控、大数据、虚拟化、数据库扫描等模板，同时允许用户定制扫描策略模板。</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8、提供采用SMB、SSH、Telnet、SNMP等协议对Windows、Linux系统进行登录授权扫描。</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具备弱口令扫描功能，支持弱口令扫描协议数量≥22种，包括FTP、SMB、RDP、SSH、TELNET、SMTP、IMAP、POP3、Oracle、MySQL、MSSQL、DB2、REDIS、MongoDB、Sybase、Rlogin、RTSP、SIP、Onvif、Weblogic、Tomcat、SNMP等协议进行弱口令扫描，允许用户自定义用户、密码字典。</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10、支持对误报的漏洞进行修正，避免将误报结果导出。</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11、支持Oracle、Mysql、SQLServer、DB2、informix、PostgreSQL、Sybase、达梦、人大金仓的授权数据库漏洞扫描。</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12、数据库扫描的漏洞库数量大于3000条，提供详细的漏洞描述和对应的解决方案描述；漏洞知识库与CVE、CNNVD等国际、国内漏洞库标准兼容。</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13、支持导出漏洞扫描报告，可导出的报告类型≥5种，包括HTML、WORD、PDF、EXCEL等报告格式。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0" w:hRule="atLeast"/>
        </w:trPr>
        <w:tc>
          <w:tcPr>
            <w:tcW w:w="44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9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日志审计</w:t>
            </w:r>
          </w:p>
        </w:tc>
        <w:tc>
          <w:tcPr>
            <w:tcW w:w="6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1台</w:t>
            </w:r>
          </w:p>
        </w:tc>
        <w:tc>
          <w:tcPr>
            <w:tcW w:w="71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硬件要求：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标准机架式设备，双电源，≥6个千兆电口，≥1个扩展插槽，硬盘≥2T，日志处理能力不少于4000条/秒，不少于100点节点授权，三年硬件质保服务和软件升级服务。提供公安部销售许可证（行标三级）；产品兼容IPV6网络，提供IPv6认证证明；</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功能要求：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1、支持采用解决方案包上传对产品进行功能扩展，无需要代码开发；</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2、支持对所有网内设备的日志进行采集和收集，并可通过kafka方式转发日志；</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3、支持多种方式进行日志收集，包括通过Syslog、SNMPTrap、HTTP、ODBC/JDBC、WMI、FTP、SFTP等方式；支持使用代理(Agent)方式提取日志并收集；</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4、支持常见的虚拟机环境日志收集，包括Xen、VMWare、Hyper-V等；</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5、平台需内置5000+解析规则，支持对收集的5000+设备类型日志进行自动解析（标准化、归一化），解析维度多达200+，解析规则可以根据客户要求定制扩展；</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6、支持对解析规则性能以界面列表形式显示，可了解解析耗时、解析成功或失败次数等信息</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7、支持三维关联分析功能；可通过资产、安全知识库、弱点库三个维度分析事件是否存在威胁，并自动形成关联事件。</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8、为方便后期扩展，日志服务中包含的日志平台需支持分布式部署，可在页面一键添加子节点，自动进行子节点的绑定和添加；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9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数据库审计</w:t>
            </w:r>
          </w:p>
        </w:tc>
        <w:tc>
          <w:tcPr>
            <w:tcW w:w="6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1台</w:t>
            </w:r>
          </w:p>
        </w:tc>
        <w:tc>
          <w:tcPr>
            <w:tcW w:w="71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硬件要求：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标准机架式设备，≥6个千兆电口。内置≥2T硬盘，网络层吞吐≥1000Mpbs，可审计双向数据库流量≥100Mbps，峰值事务处理能力≥10000条/秒，可存储≥10亿条日志。本次项目提供≥6个可审计数据库实例授权，提供三年硬件质保服务。具备公安部颁发的销售许可证，数据库安全审计增强级证书，非综合审计或网络审计类证书。</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功能要求：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1、支持在目标数据库安装agent解决云环境、虚拟化环境内部流量无法镜像场景下数据库的审计；</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2、支持对Oracle、PostgreSQL、SQLServer、DB2、Informix、Sybase、MySQL、MariaDB、SybaseIQ等主流数据库的审计；</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3、支持对GuassDB、Teradata、人大金仓（Kingbase）、达梦（DM）、南大通用数据库（Gbase）、Oscar、K-DB等国产数据库的审计；</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4、支持MongoDB、Hbase、Hive、impala、Elastic Search、HDFS、Canssandra、greenplum、LibrA、graphbase、cache、Redis、HANA、ArangoDB、Neo4j、OrientDB等非关系型数据库的审计； </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5、支持通过导入证书的方式实现对采用了加密协议通讯的MySQL5.7及以上版本数据库通信审计；</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6、支持对数据库请求和返回的双向审计，特别是返回字段和结果集、执行状态、返回行数、执行时长、客户端工具、主机名等内容，支持通过返回行数控制返回结果集大小；</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7、支持基于数据库访问日期、时间、源/目的IP、来源、数据库名、数据库表名、字段值、数据库登录账号、SQL关键词、数据库返回码、SQL响应时间、数据库操作类型、影响行数等条件的审计查询。</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8、支持数据库安全攻击检测能力，内置安全特征库不少于900条，可检测SQL注入、缓冲区溢出等数据库类攻击行为；</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9、支持对Agent客户端的批量管理，可在管理端批量安装、卸载、重新安装审计代理，支持在审计管理端启动、停止、挂起审计Agent；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9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服务器区防火墙</w:t>
            </w:r>
          </w:p>
        </w:tc>
        <w:tc>
          <w:tcPr>
            <w:tcW w:w="6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1台</w:t>
            </w:r>
          </w:p>
        </w:tc>
        <w:tc>
          <w:tcPr>
            <w:tcW w:w="71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硬件要求：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标准机架式设备，双交流电源，≥1T硬盘；标配≥8个千兆电口，≥4个千兆光口，≥2个扩展插槽，网络吞吐性能≥8Gbps，最大并发连接数≥350万。支持访问控制、IPS、AV、SSLVPN、IPSECVPN、报表中心等功能模块。本次项目要求提供不少于三年硬件质保和特征库升级服务。提供公安部颁发的第二代防火墙《计算机信息系统安全专用产品销售许可证（增强级）》，提供中华人民共和国工业和信息化部颁发的《电信设备进网许可证》。</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功能要求：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1、支持静态路由、策略路由、动态路由、ISP路由；策略路由支持七元组策略路由；动态路由支持RIP、OSPF等；</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2、支持IPV6网络。</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3、支持服务器负载均衡，支持一个公网IP映射到内网多台服务器</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4、支持弱密码扫描功能，即时了解网内主机是否存在弱口令。</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基于多元组的访问控制；并提供智能策略分析功能，支持策略命中分析、隐藏策略分析、冗余策略分析、冲突策略分析、可合并策略分析、过期策略发现、空策略发现、策略宽松度分析，并在web页面显示分析结果。</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6、支持应用、用户流量统计，应用流量支持趋势图、饼状图呈现，可查看某一应用的流量趋势图和其Top流量用户。</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7、支持WEB Portal认证功能，支持本地认证、Radius认证、LDAP认证 和LDAP用户同步，支持配置强制重新认证间隔，支持配置认证通过后重定向URL。</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8、内置百万级病毒特征库，支持对HTTP、FTP、IMAP、POP3、SMTP协议病毒的查杀。</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9、支持IPS功能，支持基于源、目的地址的入侵防护策略集，内置8000条以上IPS规则库，可自定义攻击特征库，并支持对攻击进行本地报文存储便于事后回溯。</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10、支持标准IPsec VPN，标准IPsecVPN认证方式包括但不限于国密认证、数字证书和预共享密钥；支持基于客户端的SSLVPN功能。</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支持展示全球热门和新型的威胁事件，支持数据下钻查看该威胁事件的时间、威胁级别、描述、类型、应用措施和指示器等信息。支持针对威胁事件提供安全防护的配置向导，通过引导方式帮助用户完成安全加固，规避威胁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9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服务器区入侵防御</w:t>
            </w:r>
          </w:p>
        </w:tc>
        <w:tc>
          <w:tcPr>
            <w:tcW w:w="6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1台</w:t>
            </w:r>
          </w:p>
        </w:tc>
        <w:tc>
          <w:tcPr>
            <w:tcW w:w="71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产品要求：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标准机架式设备，双交流电源，≥1T硬盘；标配≥8个千兆电口，≥4个千兆光口，≥2个扩展插槽，IPS吞吐量≥10 Gbps，最大并发连接数≥400万，每秒新建连接数≥10万，要求支持三年入侵防御特征库升级，三年硬件质保。提供公安部颁发的产品销售许可证；提供信息安全认证证书。</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功能要求：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1、支持透明、路由、混合、旁路工作模式；支持端口镜像功能。支持双机热备，支持主备模式和主主模式；支持同步配置、会话、运行状态、VPN 状态、特征库； </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2、系统定义超过8600+条主流攻击规则，包含用户提权、任意代码执行、木马、后门、挖矿、Web序列化、Webshell等主流防护类型；以及对应IPS规则的攻击类型、严重程度、CVE编号、CNNVD 编号、协议、操作系统、发布年份、漏洞厂商等详细信息，支持在线升级和手动升级。</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3、支持针对攻击进行本地报文存储，方便管理员事后回溯攻击事件，支持针对某一个和某一类攻击设置自动抓包机制；支持针对某一个和某一类攻击的源地址进行隔离，隔离时间可自定义。</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IPS日志聚合，可按照源IP、目的IP、防护规则和源目IP等维度进行聚合，方便管理员快速进行攻击事件统计和回溯。支持IPS高阶告警功能，可以配置多种告警条件，达到告警规则可通过邮件或者syslog告警，不同告警规则可以发送给不同的用户。</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5、支持针对IP、端口进行端口扫描，可选择立即执行或定期执行；支持呈现扫描结果，包括端口、端口状态、端口服务、程序版本、操作系统、风险状态、设备类型和时间等信息，支持导出功能。</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6、支持PING、TCP、DNS方式进行接口、域名、IP地址连通性和时延探测，对整体网络提供清晰的整体网络质量评级，支持以列表形式展示的名单。Web管理界面支持Ping、Traceroute、TCP Syn诊断工具，可支持基于接口、协议、IP地址、端口、应用进行网络抓包，并可下载导出分析。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9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入侵检测</w:t>
            </w:r>
          </w:p>
        </w:tc>
        <w:tc>
          <w:tcPr>
            <w:tcW w:w="667"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1台</w:t>
            </w:r>
          </w:p>
        </w:tc>
        <w:tc>
          <w:tcPr>
            <w:tcW w:w="71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产品要求：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标准机架式设备，标配≥6个千兆电口，≥2T硬盘。吞吐量≥500Mbps。支持全流量多协议威胁检测，网络威胁攻击检测引擎，包含WEB攻击、远程控制、网站后门、DDOS攻击、漏洞利用、弱口令、暴力破解、远程溢出、挖矿等其他威胁安全威胁的实时检测功能，本次项目中提供不少于三年硬件质保服务和特征库升级服务。提供公安部颁发的入侵检测类产品销售许可证。</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功能要求：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1、支持全流量检测功能，可根据需求打开或关闭全流量检测功能</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2、支持IPv4和IPv6网络环境下的部署，可同时对IPv4和IPv6网络流量分析检测</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3、支持风险数据包保存功能，以帮助用户还原攻击过程，进行取证和关联分析</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4、支持检测WEB攻击、恶意文件攻击、远程控制、WEB后门访问、SMB远程溢出攻击、弱口令、拒绝服务攻击、暗链、隧道通信、暴力破解、挖矿、恶意工具利用、漏洞利用等风险</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5、支持端口过滤配置，对指定端口的网络流量不做分析检测；支持IP过滤配置，对指定IP或IP对的网络流量不做分析检测，可通过批量导入、导出等方式完成IP过滤的配置</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详细展现风险等级、时间、威胁名称、攻击状态、攻击方向、客户端IP、客户端IP所在地理位置、服务端IP、服务端IP所在地理位置、报文、操作等信息，包含请求URL、请求类型、请求内容、请求头、Host、User-Agent、Accept、Accept-Language、Accept-Encoding、Accept-Charset、Keep-Alive、Connection、Cookie、请求参数、响应码、返回长度等信息，并提供相应的数据包下载链接</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7、支持对内网主机进行主机威胁分析，详细展示具体的威胁等级、威胁次数、攻击开始时间、攻击结束时间、威胁性指数统计等</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8、可按攻击链阶段（弱点探测、渗透入侵、获取权限、命令与控制、数据盗取）详细展示主机相关事件数量</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9、支持根据来源IP、MAC、HTTP请求方法、URL、请求头、请求参数、响应码等内容设置审计规则高、中、低等风险等级</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10、支持场景化的分析能力，对发现的告警进行二次关联，支持对勒索病毒、网站后门、APT攻击等事件进行预警。</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支持将分析到的SMB远程溢出攻击、扫描行为、Web后门访问、暴力破解、挖矿、远控工具利用等同步到防火墙，实现设备与防火墙联动阻断，同时支持自定义防火墙阻断时长，并展示最新联动状态、状态更新时间；</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12、同时支持至少16个抓包任务抓包，每个抓包任务可配置抓包规则，按照IP、端口、协议等信息进行抓包，将抓取的原始流量包保存于本地以供后续分析和取证使用，每抓包任务最大抓包500MB；</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13、支持解析HTTP、FTP、SMTP、POP3、SMB、IMAP、DNS、MSSQL、Oracle，并提供审计协议类型的端口号配置，可根据需要变更端口号；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9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上网行为管理</w:t>
            </w:r>
          </w:p>
        </w:tc>
        <w:tc>
          <w:tcPr>
            <w:tcW w:w="6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1台</w:t>
            </w:r>
          </w:p>
        </w:tc>
        <w:tc>
          <w:tcPr>
            <w:tcW w:w="71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硬件要求：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标准机架式设备，≥1T硬盘；标配≥14个千兆电口，≥4个千兆光口，网络吞吐性能≥200Mbps，用户数≥1500人。</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功能要求：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1、支持用户全天行为分析，界面同时展示用户名、用户组、在线时长、虚拟身份(如QQ号码、微博账号等)、日志关联情况、全天流量使用分布、网站访问类别分布、全天关键网络行为轴等信息。</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应用特征不少于7000个，其中移动应用特征不少于2200个，支持根据标签选择应用，预置标签分类至少包含安全风险、高带宽消耗、降低工作效率等10大类；支持给每个应用自定义标签；支持根据标签选择一类应用做控制</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自定义应用，包括但不限于数据包方向、协议、端口、IP地址、目标域名、关键字识别等维度，数据包方向包括任意、请求数据、响应数据，关键字匹配模式支持文本或正则表达式；支持DNS域名学习模式，可引用数据包特征中的目标域名或指定域名</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应用智能识别，有效识别P2P和迅雷行为，识别模式可选择严格、适中、宽松，支持排除扫描端口，支持智能和快速两种应用识别模式，在智能识别模式下应用引擎尽可能地用各种方式识别网络流量，在快速识别模式下应用引擎将关闭部分智能分析功能以提高性能。</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5、提供应用控制，支持针对应用动作的细粒度控制，如针对社区类型，支持管控“上传” 、“发表”、“浏览”、“登录”等动作</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6、支持邮件控制，支持基于发件人黑白名单、收件人黑白名单、标题及内容关键字、附件名关键字、邮件大小、附件个数进行行为过滤</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7、支持针对虚拟账号进行黑白名单管理，设定允许登录的QQ账号白名单或禁止登录的QQ账号黑名单</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8、可识别多种文件类型，包括电影、音频、文本、图片、压缩文件（zip、rar、gz、bz2、Z、tgz、tbz、7z、cab、bz等）、应用程序、office系列等；并支持对应用的文件传输行为进行上传、下载、双向的文件类型过滤</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9、支持对FTP、Telnet、DNS等协议的相关操作命令进行过滤控制，支持自定义URL过滤，包括恶意URL白名单、恶意URL黑名单、URL白名单等，并支持URL的模糊匹配</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10、支持基于DNS前置技术实现在DNS解析阶段针对http和https域名进行过滤，防止https域名过滤逃逸情况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9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网闸</w:t>
            </w:r>
          </w:p>
        </w:tc>
        <w:tc>
          <w:tcPr>
            <w:tcW w:w="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1台</w:t>
            </w:r>
          </w:p>
        </w:tc>
        <w:tc>
          <w:tcPr>
            <w:tcW w:w="71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硬件要求：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标准机架式设备，双电源，内网和外网侧接口分别标配不少于4个千兆电口和2个Combo口(光电复用口)，网络层吞吐量不少于600Mbps，并发连接数不少于6万。标配提供文件交换、数据库访问和同步、视频交换、组播代理、访问交换等功能模块。本次项目中提供不少于三年硬件质保服务。提供公安部计算机信息系统安全专用产品销售许可证（增强级）；产品质量合格，符合国家标准，通过GB/T28181-2016标准的产品检测报告；</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功能要求：</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1、采用基于linux内核的多核多线程专用安全操作系统，加固内核。所有管理配置操作通过专用的内网可信端管理接口进行配置。</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2、设备支持透明、代理及路由三种工作模式，管理员可依据实际网络状况进行相应的部署。</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3、支持Samba、FTP等多种文件协议，可以实现内网到外网、外网到内网、双向的文件传送。支持文件病毒检测，支持对文件类型的黑白名单控制，根据文件格式特征进行过滤，并且不依赖于文件扩展名；</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4、支持内置私有协议的主动文件交换模块，支持增量、完全同步、删除源等功能；</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5、支持GB/T 28181国家标准、RFC 3261标准，支持相关厂商协议规范。</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6、支持多机负载均衡，可把视频流按算法分配给多台设备，解决物理带宽限制。</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7、支持Oracle、SQLServer、Mysql、Sybase、DB2、Postgresql等多种主流国外数据库的同步和国产达梦数据库、人大金仓数据库的同步。</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8、同步功能由网闸主动发起并完成，无需在数据库安装方软件，支持Windows、Linux、Unix 等多种数据库操作系统，且网闸无需开放端口以杜绝安全隐患；同时支持客户端方式，提供更高性能的数据库同步。</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9、提供非IP认证系统管理工具，避免客户忘记管理员密码无法登陆设备的情况。</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10、系统可存储和审计包含：系统日志；管理日志；网络活动日志；入侵报警及处理日志；访问控制日志。</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11、支持双机热备及多机热备功能，最大化的保障业务可用性。支持配置同步，通过独立的热备端口实现双机热备。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45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灾备软件</w:t>
            </w:r>
          </w:p>
        </w:tc>
        <w:tc>
          <w:tcPr>
            <w:tcW w:w="5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基础功能</w:t>
            </w:r>
          </w:p>
        </w:tc>
        <w:tc>
          <w:tcPr>
            <w:tcW w:w="66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1套</w:t>
            </w:r>
          </w:p>
        </w:tc>
        <w:tc>
          <w:tcPr>
            <w:tcW w:w="7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1)自主知识产权，非OEM产品，提供软件著作权证书并并加盖原厂商公章；</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2)目标数据库处于读写Open状态，实现业务系统读写分离、灾备系统查询分析等功能；</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3)软件安装和运行无需调整现有数据库和操作系统参数配置。</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4)支持对文件数据的实时/定时同步，包括应用程序、图像数据、音视频数据、网站文件等；需提供相关技术白皮书、彩页等资料证明，并加盖原厂商公章。</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5)支持当生产系统中新创建了表后，复制软件能自动将这些表加入到复制任务中，而不需要单独对单张表进行配置；</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6)支持用户名、表名映射、字段映射，支持目标端增加数据字段、标识数据操作类型和时间，可以按条件进行数据过滤抄写和字符集转换，例如从16gbk到utf8的数据同步；</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7)支持源端数据库为ADG模式下的全量、增量同步；使用这种模式进行全量、增量同步时，对主生产库的CPU、内存、IO及网络带宽等性能没有任何影响。（提供原厂商此项功能性截图盖章证明文件原件）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4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5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兼容性要求</w:t>
            </w:r>
          </w:p>
        </w:tc>
        <w:tc>
          <w:tcPr>
            <w:tcW w:w="6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7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1)支持主流操作系统：AS400、Linux、HP-UNIX、Sun Solaris、IBM AIX、Windows；提供软件对数据库的配置或运行功能截图，可清晰反映数据库的种类和版本，并加盖原厂商公章；</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2)支持Oracle归档和非归档两种运行模式下的数据同步；</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3)支持源端数据库：Oracle、DB2、SQLserver、MySQL、Sybase、informix、PostgreSQL、MongoDB、MariaDB、Redis、GbaseBa、人大金仓、南大通用、神州通用、达梦、浪潮KDB、DBone、华为GaussDB、teradata、hp vertica、greeplum、gbase 8m、cache、sap hana、gemfire等国内外各种主流数据库。提供软件对数据库的配置或运行功能截图，可清晰反映数据库的种类和版本，并加盖原厂商公章；</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4)支持目标端数据库：Oracle、DB2、MySQL、AntDB、SQLServer、GoldenDB、OceanBase、Gbase8M、Sap Hana、Vertica、Greenplum、Kafka、Hbase、Hive、文本类文件（如TXT/XML/CSV等），提供软件对数据库的同步配置或者运行的功能截图，可清晰反映数据库的种类和版本；提供多种方式传输数据给异构的Kafka，并且可生成定制化的文本文件如Txt、Sql、Xml、Json、avro等。（提供原厂商此项功能性截图盖章证明文件原件）5)支持硬件平台异构，支持小型机服务器到X86服务器，X86服务器到小型机服务器的数据同步；</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6)▲数据迁移初始化同步过程中，业务无需停止；对异构平台或跨数据库版本之间的数据初始化过程不需人工干预，提供软件配置或者运行的功能截图，并加盖原厂商公章；</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7)▲支持中间服务器部署模式，避免对数据库服务器造成性能压力，支持中间服务器部署模式，即数据库服务器上不安装任务代理程序，提供软件配置或者运行的功能截图，并加盖原厂商公章。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4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5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功能性要求</w:t>
            </w:r>
          </w:p>
        </w:tc>
        <w:tc>
          <w:tcPr>
            <w:tcW w:w="6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7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1)支持经加密后的数据库实时同步；</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2)支持数据同步时的实时数据动态脱敏；</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3)支持一对一、双向、一对多、多对一和级联复制；</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4)支持数据转换、数据拆分及分发，支持从多个数据库中同一类型表的记录整合到一个表中去。支持对列的数据进行转换，包括列映射、增/删除列、列转换。；</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5)支持SQL server/Oracle/Sybase/DB2/MySQL/南大通用/浪潮KDB/人大金仓/达梦等主流数据库（提供截图或彩页）。</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6)▲支持实时复制过程中的多表关联、数据运算、函数调用等操作，提供软件配置或者运行的功能截图，并加盖原厂商公章；</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7)▲支持自动备份数据库在线日志功能，对在线日志进行备份缓存，避免从备份集中恢复归档日志。提供软件配置或者运行的功能截图，并加盖原厂商公章；</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8)▲支持复制同步内容，支持正则表达式匹配，当同步对象创建后，自动加入到复制范围当中，无须人为干预。提供软件配置或者运行的功能截图，并加盖原厂商公章；</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9)支持关系型数据库的增量事务数据实时交付到大数据平台，支持包括TXT格式、XML格式、JSON格式，或者AVRO封装的数据格式；</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10)支持按照表、用户、整库为单位在线比较，可通过图表方式提醒用户差异结果。支持按照表、用户、整库为单位的一键式修复。</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11)支持同步表的各种数据类型，包括XML、BLOB、CLOB、LONGRAW、LONG和用户定义类型。</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 DML操作：支持同步表的各种数据类型，包括XML、BLOB、CLOB、LONG RAW、LONG 和用户定义类型；支持DML操作复制、支持SEQUENCE、函数、存储过程、视图、同义词、索引、应用包、用户等数据库对象进行复制；持没有PK/UK字段的表的复制、并无需打开或修改数据库参数，可定义并过滤不需要复制的事务；支持按照schema方式设置复制关系，无需单表设置复制关系，支持不同源和目标端在不同的schema名情况下的复制；支持压缩表、IOT表、临时表、物化视图的实时复制</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13)▲支持存量、实时数据增加ROWID列。可实现不添加表级别附加日志时进行同步，可对数据进行增加ROWID列，并以ROWID列为PK进行同步。需要提供软件配置或者运行的功能截图，并加盖原厂商公章；</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14)支持按照schema方式设置复制关系，无需单表设置复制关系，支持不同源和目标端在不同的schema名情况下的复制；</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15)支持压缩表、IOT表、临时表、物化视图的实时复制；</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16)支持对drop、truncate等敏感操作保护功能，可将drop、truncate操作转换为rename或类似的操作；</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17)源数据库对目标库进行指定表、分区、schema同步时，源数据库在线新增表、分区，在不重启应用情况下自动对目标库进行新增表、分区数据同步；</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18)源数据库新建临时表，生成记录到临时表后与生产表交换表名的情况下，源库生产表向目标库的数据同步正常；</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 DDL操作：支持对drop、truncate等敏感操作保护功能，可将drop、truncate 操作转换为rename或类似的操作；源数据库对目标库进行指定表、分区、schema同步时，源数据库在线新增表、分区，在不重启应用情况下自动对目标库进行新增表、分区数据同步；源数据库新建临时表，生成记录到临时表后与生产表交换表名的情况下，源库生产表向目标库的数据同步正常；支持create/truncate/drop/rename/alter等DDL操作。</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20)集中统一界面管理系统：提供中文统一管理平台，安装、配置、业务流启停、监控分析一体化管理。可对接大屏展示等服务功能。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4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5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ETL功能</w:t>
            </w:r>
          </w:p>
        </w:tc>
        <w:tc>
          <w:tcPr>
            <w:tcW w:w="6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7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1、支持在同步过程中随机查表替换，如统一将某个字符替换为另一个随机从中间表中找出的字符。</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2、支持同步过程中洗牌混淆，将全部原数据进行洗牌，按一定规则进行重排。</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3、支持同步过程中建立唯一数据映射变换，对卡号、账号等唯一数据列，按其业务规则生成。</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4、支持同步过程中非唯一数据按业务规则随机生成，对手机号码、邮件等非唯一数据列，按其业务规则随机生成。</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5、支持同步过程中参数算数置换(替换)，对原数据（数字类型）按照某种算法方法计算，参数固定或者随机参数替换。</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6、支持同步过程中码值参数偏移，将原数据码值随机或按照特定便宜算法及参数置为随机或特定新值。</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7、支持同步过程中时间老化，对时间数据或具备时间属性的数据（身份证）按固定值进行老化时间特征。</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8、支持同步过程中字符串部分屏蔽，对字符串部分字符用特定字符屏蔽。</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9、支持同步过程中随机生成不定长度字符串，针对空字符串或者原字符串末端随机生成长度不一的字符串。</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10、支持同步过程中姓名脱敏，对可识别列姓名进行脱敏。</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11、支持同步过程中地址脱敏，对于地址类敏感信息进行转换。</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12、支持同步过程中哈希脱敏，将数据映射为一个定长或者不定长的hash值(不一定是一一映射）。</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13、支持同步过程中进行业务关联性进行数据漂白。</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14、支持同步过程中设定脱敏操作使用的字符范围,或不被使用的字符范围。</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15、支持同步过程中主键/唯一键的加密,保证脱敏的结果依然具有唯一性。</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（以上功能提供证明或测试，证明材料需加盖原厂公章）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4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5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文件同步</w:t>
            </w:r>
          </w:p>
        </w:tc>
        <w:tc>
          <w:tcPr>
            <w:tcW w:w="6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7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1、文件同步功能可支持基于用户管理策略规则，用户可对指定文件进行同步；</w:t>
            </w:r>
          </w:p>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2、文件发生变化后，可以识别变化的部分，只需要传输变化的部分，而不需要重新传输整个文件；</w:t>
            </w:r>
          </w:p>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3、支持镜像保存整个目录树和文件系统；</w:t>
            </w:r>
          </w:p>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4、可保持原来文件的权限、时间、软硬链接；  </w:t>
            </w:r>
          </w:p>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5、优化的流程，文件传输效率高；无须特殊权限即可安装；</w:t>
            </w:r>
          </w:p>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6、可以使用rcp、ssh、socket等方式来传输文件</w:t>
            </w:r>
          </w:p>
          <w:p>
            <w:pPr>
              <w:keepNext w:val="0"/>
              <w:keepLines w:val="0"/>
              <w:pageBreakBefore w:val="0"/>
              <w:widowControl/>
              <w:suppressLineNumbers w:val="0"/>
              <w:kinsoku/>
              <w:wordWrap/>
              <w:overflowPunct/>
              <w:topLinePunct w:val="0"/>
              <w:autoSpaceDE/>
              <w:autoSpaceDN/>
              <w:bidi w:val="0"/>
              <w:ind w:firstLine="0" w:firstLine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7、文件传输可设定压缩选项，来降低网络带宽需求；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4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5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故障应对要求</w:t>
            </w:r>
          </w:p>
        </w:tc>
        <w:tc>
          <w:tcPr>
            <w:tcW w:w="6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7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1)系统错误引起复制中断时，利用分级存储机制能完好保存已经合成的数据信息，故障解决后可恢复从队列传输的中断点开始，数据不丢失；</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2)可在源与目标不停机情况下提供数据比对功能功能，提供值、散列比对等多种方式，并提供图形化的数据差异和改进建议报告；</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对象比较与修复：复制到目标端的数据可以与源库数据进行实时在线比较，比较内容包括但不限于数据库对象比较、数据量比较、数据内容比较，并能通过图表方式提醒用户差异结果。支持差异对象的一键式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0" w:hRule="atLeast"/>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45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5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服务要求</w:t>
            </w:r>
          </w:p>
        </w:tc>
        <w:tc>
          <w:tcPr>
            <w:tcW w:w="6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7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所投标产品厂商具有完善的售后服务团队，陕西省内有技术团队和办公地址，提供原厂安装调试、培训服务，提供原厂技术2小时达到现场技术支持服务。需提供厂商相应技术承诺函、购／租房合同复印件等证明材料、人员社保证明，并加盖原厂商公章；</w:t>
            </w:r>
          </w:p>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2）所投标产品厂商具有完整的开发团队，软件bug保证在2周内解决，针对客户的个性化定制需求，提供15天免费现场支撑响应。提供原厂技术承诺函，并加盖原厂商公章。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44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45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云网资源</w:t>
            </w:r>
          </w:p>
        </w:tc>
        <w:tc>
          <w:tcPr>
            <w:tcW w:w="5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云主机</w:t>
            </w:r>
          </w:p>
        </w:tc>
        <w:tc>
          <w:tcPr>
            <w:tcW w:w="6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1项</w:t>
            </w:r>
          </w:p>
        </w:tc>
        <w:tc>
          <w:tcPr>
            <w:tcW w:w="7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vCPU（核）≧112，内存（G）≧256，存储（G）≧20600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45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p>
        </w:tc>
        <w:tc>
          <w:tcPr>
            <w:tcW w:w="5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云专线</w:t>
            </w:r>
          </w:p>
        </w:tc>
        <w:tc>
          <w:tcPr>
            <w:tcW w:w="6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2条</w:t>
            </w:r>
          </w:p>
        </w:tc>
        <w:tc>
          <w:tcPr>
            <w:tcW w:w="71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带宽≧500M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44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9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ind w:firstLine="0" w:firstLineChars="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等保测评</w:t>
            </w:r>
          </w:p>
        </w:tc>
        <w:tc>
          <w:tcPr>
            <w:tcW w:w="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1项</w:t>
            </w:r>
          </w:p>
        </w:tc>
        <w:tc>
          <w:tcPr>
            <w:tcW w:w="71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提供两次三级等保测评服务</w:t>
            </w:r>
          </w:p>
        </w:tc>
      </w:tr>
    </w:tbl>
    <w:p>
      <w:pPr>
        <w:spacing w:line="360" w:lineRule="auto"/>
        <w:ind w:left="0" w:leftChars="0" w:firstLine="482" w:firstLineChars="200"/>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3.服务要求：</w:t>
      </w:r>
    </w:p>
    <w:p>
      <w:pPr>
        <w:keepNext w:val="0"/>
        <w:keepLines w:val="0"/>
        <w:pageBreakBefore w:val="0"/>
        <w:widowControl/>
        <w:suppressLineNumbers w:val="0"/>
        <w:kinsoku/>
        <w:wordWrap/>
        <w:overflowPunct/>
        <w:topLinePunct w:val="0"/>
        <w:autoSpaceDE/>
        <w:autoSpaceDN/>
        <w:bidi w:val="0"/>
        <w:spacing w:line="480" w:lineRule="auto"/>
        <w:ind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项目要求原厂商提供实施服务。包括现场安装服务及现场培训服务、7*24小时电话支持服务、5*8小时网络远程支持服务、软件更新服务（软件的补丁和小版本升级）。投标人应提供详细的售后服务机构地址、电话、联系人。投标人在接到报修电话后，工作日 2 小时内赶到现场，节假日 6小时内赶至现场进行维修。</w:t>
      </w:r>
    </w:p>
    <w:p>
      <w:pPr>
        <w:tabs>
          <w:tab w:val="left" w:pos="480"/>
        </w:tabs>
        <w:spacing w:line="360" w:lineRule="auto"/>
        <w:ind w:firstLine="723"/>
        <w:jc w:val="center"/>
        <w:rPr>
          <w:rFonts w:hint="eastAsia" w:ascii="宋体" w:hAnsi="宋体" w:eastAsia="宋体" w:cs="宋体"/>
          <w:b/>
          <w:color w:val="auto"/>
          <w:sz w:val="44"/>
          <w:szCs w:val="44"/>
        </w:rPr>
      </w:pPr>
    </w:p>
    <w:p>
      <w:pPr>
        <w:tabs>
          <w:tab w:val="left" w:pos="480"/>
        </w:tabs>
        <w:spacing w:line="360" w:lineRule="auto"/>
        <w:ind w:firstLine="723"/>
        <w:jc w:val="center"/>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pStyle w:val="2"/>
        <w:rPr>
          <w:rFonts w:hint="eastAsia" w:ascii="宋体" w:hAnsi="宋体" w:eastAsia="宋体" w:cs="宋体"/>
          <w:b/>
          <w:color w:val="auto"/>
          <w:sz w:val="44"/>
          <w:szCs w:val="44"/>
        </w:rPr>
      </w:pPr>
    </w:p>
    <w:p>
      <w:pPr>
        <w:tabs>
          <w:tab w:val="left" w:pos="480"/>
        </w:tabs>
        <w:spacing w:line="360" w:lineRule="auto"/>
        <w:ind w:left="0" w:leftChars="0" w:firstLine="0" w:firstLineChars="0"/>
        <w:jc w:val="center"/>
        <w:rPr>
          <w:rFonts w:ascii="宋体" w:hAnsi="宋体" w:eastAsia="宋体" w:cs="宋体"/>
          <w:color w:val="auto"/>
          <w:sz w:val="44"/>
          <w:szCs w:val="44"/>
        </w:rPr>
      </w:pPr>
      <w:r>
        <w:rPr>
          <w:rFonts w:hint="eastAsia" w:ascii="宋体" w:hAnsi="宋体" w:eastAsia="宋体" w:cs="宋体"/>
          <w:b/>
          <w:color w:val="auto"/>
          <w:sz w:val="44"/>
          <w:szCs w:val="44"/>
        </w:rPr>
        <w:t>第五章  拟签订的合同文本</w:t>
      </w:r>
    </w:p>
    <w:p>
      <w:pPr>
        <w:pStyle w:val="14"/>
        <w:ind w:firstLine="542"/>
        <w:jc w:val="center"/>
        <w:rPr>
          <w:rFonts w:hint="eastAsia" w:ascii="宋体" w:hAnsi="宋体" w:cs="宋体"/>
          <w:b/>
          <w:color w:val="auto"/>
          <w:spacing w:val="-20"/>
          <w:sz w:val="44"/>
          <w:szCs w:val="44"/>
          <w:lang w:eastAsia="zh-CN"/>
        </w:rPr>
      </w:pPr>
      <w:r>
        <w:rPr>
          <w:rFonts w:hint="eastAsia" w:ascii="宋体" w:hAnsi="宋体" w:cs="宋体"/>
          <w:b/>
          <w:color w:val="auto"/>
          <w:spacing w:val="-20"/>
          <w:sz w:val="44"/>
          <w:szCs w:val="44"/>
          <w:lang w:eastAsia="zh-CN"/>
        </w:rPr>
        <w:t>汉滨区第三人民医院信息安全等级</w:t>
      </w:r>
    </w:p>
    <w:p>
      <w:pPr>
        <w:pStyle w:val="14"/>
        <w:ind w:firstLine="542"/>
        <w:jc w:val="center"/>
        <w:rPr>
          <w:rFonts w:hint="eastAsia" w:ascii="宋体" w:hAnsi="宋体" w:eastAsia="宋体" w:cs="宋体"/>
          <w:b/>
          <w:color w:val="auto"/>
          <w:spacing w:val="-20"/>
          <w:sz w:val="58"/>
          <w:szCs w:val="58"/>
          <w:lang w:eastAsia="zh-CN"/>
        </w:rPr>
      </w:pPr>
      <w:r>
        <w:rPr>
          <w:rFonts w:hint="eastAsia" w:ascii="宋体" w:hAnsi="宋体" w:cs="宋体"/>
          <w:b/>
          <w:color w:val="auto"/>
          <w:spacing w:val="-20"/>
          <w:sz w:val="44"/>
          <w:szCs w:val="44"/>
          <w:lang w:eastAsia="zh-CN"/>
        </w:rPr>
        <w:t>保护建设项目</w:t>
      </w:r>
    </w:p>
    <w:p>
      <w:pPr>
        <w:pStyle w:val="13"/>
        <w:rPr>
          <w:rFonts w:ascii="宋体" w:hAnsi="宋体" w:cs="宋体"/>
          <w:b/>
          <w:color w:val="auto"/>
          <w:spacing w:val="-20"/>
          <w:sz w:val="58"/>
          <w:szCs w:val="58"/>
        </w:rPr>
      </w:pPr>
    </w:p>
    <w:p>
      <w:pPr>
        <w:pStyle w:val="13"/>
        <w:rPr>
          <w:color w:val="auto"/>
        </w:rPr>
      </w:pPr>
    </w:p>
    <w:p>
      <w:pPr>
        <w:spacing w:line="800" w:lineRule="exact"/>
        <w:ind w:firstLine="1446"/>
        <w:jc w:val="center"/>
        <w:rPr>
          <w:rFonts w:ascii="宋体" w:hAnsi="宋体" w:eastAsia="宋体" w:cs="宋体"/>
          <w:b/>
          <w:color w:val="auto"/>
          <w:sz w:val="72"/>
          <w:szCs w:val="72"/>
        </w:rPr>
      </w:pPr>
      <w:r>
        <w:rPr>
          <w:rFonts w:hint="eastAsia" w:ascii="宋体" w:hAnsi="宋体" w:eastAsia="宋体" w:cs="宋体"/>
          <w:b/>
          <w:color w:val="auto"/>
          <w:sz w:val="72"/>
          <w:szCs w:val="72"/>
        </w:rPr>
        <w:t>供 货 合 同(范本)</w:t>
      </w:r>
    </w:p>
    <w:p>
      <w:pPr>
        <w:spacing w:line="800" w:lineRule="exact"/>
        <w:ind w:firstLine="2891" w:firstLineChars="800"/>
        <w:rPr>
          <w:rFonts w:ascii="宋体" w:hAnsi="宋体" w:eastAsia="宋体" w:cs="宋体"/>
          <w:b/>
          <w:color w:val="auto"/>
          <w:sz w:val="36"/>
          <w:szCs w:val="36"/>
          <w:u w:val="single"/>
        </w:rPr>
      </w:pPr>
      <w:r>
        <w:rPr>
          <w:rFonts w:hint="eastAsia" w:ascii="宋体" w:hAnsi="宋体" w:eastAsia="宋体" w:cs="宋体"/>
          <w:b/>
          <w:color w:val="auto"/>
          <w:sz w:val="36"/>
          <w:szCs w:val="36"/>
        </w:rPr>
        <w:t>项目编号：</w:t>
      </w:r>
      <w:r>
        <w:rPr>
          <w:rFonts w:hint="eastAsia" w:ascii="宋体" w:hAnsi="宋体" w:eastAsia="宋体" w:cs="宋体"/>
          <w:b/>
          <w:color w:val="auto"/>
          <w:sz w:val="36"/>
          <w:szCs w:val="36"/>
          <w:u w:val="single"/>
        </w:rPr>
        <w:t xml:space="preserve">          </w:t>
      </w:r>
    </w:p>
    <w:p>
      <w:pPr>
        <w:ind w:firstLine="600"/>
        <w:jc w:val="center"/>
        <w:rPr>
          <w:rFonts w:ascii="宋体" w:hAnsi="宋体" w:eastAsia="宋体" w:cs="宋体"/>
          <w:color w:val="auto"/>
          <w:sz w:val="30"/>
          <w:szCs w:val="30"/>
        </w:rPr>
      </w:pPr>
    </w:p>
    <w:p>
      <w:pPr>
        <w:ind w:firstLine="600"/>
        <w:jc w:val="center"/>
        <w:rPr>
          <w:rFonts w:ascii="宋体" w:hAnsi="宋体" w:eastAsia="宋体" w:cs="宋体"/>
          <w:color w:val="auto"/>
          <w:sz w:val="30"/>
          <w:szCs w:val="30"/>
        </w:rPr>
      </w:pPr>
    </w:p>
    <w:p>
      <w:pPr>
        <w:ind w:firstLine="600"/>
        <w:jc w:val="center"/>
        <w:rPr>
          <w:rFonts w:ascii="宋体" w:hAnsi="宋体" w:eastAsia="宋体" w:cs="宋体"/>
          <w:color w:val="auto"/>
          <w:sz w:val="30"/>
          <w:szCs w:val="30"/>
        </w:rPr>
      </w:pPr>
    </w:p>
    <w:p>
      <w:pPr>
        <w:ind w:firstLine="600"/>
        <w:jc w:val="center"/>
        <w:rPr>
          <w:rFonts w:ascii="宋体" w:hAnsi="宋体" w:eastAsia="宋体" w:cs="宋体"/>
          <w:color w:val="auto"/>
          <w:sz w:val="30"/>
          <w:szCs w:val="30"/>
        </w:rPr>
      </w:pPr>
    </w:p>
    <w:p>
      <w:pPr>
        <w:ind w:firstLine="600"/>
        <w:jc w:val="center"/>
        <w:rPr>
          <w:rFonts w:ascii="宋体" w:hAnsi="宋体" w:eastAsia="宋体" w:cs="宋体"/>
          <w:color w:val="auto"/>
          <w:sz w:val="30"/>
          <w:szCs w:val="30"/>
        </w:rPr>
      </w:pPr>
    </w:p>
    <w:p>
      <w:pPr>
        <w:ind w:firstLine="600"/>
        <w:jc w:val="center"/>
        <w:rPr>
          <w:rFonts w:ascii="宋体" w:hAnsi="宋体" w:eastAsia="宋体" w:cs="宋体"/>
          <w:color w:val="auto"/>
          <w:sz w:val="30"/>
          <w:szCs w:val="30"/>
        </w:rPr>
      </w:pPr>
    </w:p>
    <w:p>
      <w:pPr>
        <w:ind w:firstLine="600"/>
        <w:jc w:val="center"/>
        <w:rPr>
          <w:rFonts w:ascii="宋体" w:hAnsi="宋体" w:eastAsia="宋体" w:cs="宋体"/>
          <w:color w:val="auto"/>
          <w:sz w:val="30"/>
          <w:szCs w:val="30"/>
        </w:rPr>
      </w:pPr>
    </w:p>
    <w:p>
      <w:pPr>
        <w:pStyle w:val="12"/>
        <w:ind w:firstLine="600"/>
        <w:rPr>
          <w:rFonts w:ascii="宋体" w:hAnsi="宋体" w:eastAsia="宋体" w:cs="宋体"/>
          <w:color w:val="auto"/>
          <w:sz w:val="30"/>
          <w:szCs w:val="30"/>
        </w:rPr>
      </w:pPr>
    </w:p>
    <w:p>
      <w:pPr>
        <w:pStyle w:val="12"/>
        <w:ind w:firstLine="600"/>
        <w:rPr>
          <w:rFonts w:ascii="宋体" w:hAnsi="宋体" w:eastAsia="宋体" w:cs="宋体"/>
          <w:color w:val="auto"/>
          <w:sz w:val="30"/>
          <w:szCs w:val="30"/>
        </w:rPr>
      </w:pPr>
    </w:p>
    <w:p>
      <w:pPr>
        <w:ind w:firstLine="600"/>
        <w:jc w:val="center"/>
        <w:rPr>
          <w:rFonts w:ascii="宋体" w:hAnsi="宋体" w:eastAsia="宋体" w:cs="宋体"/>
          <w:color w:val="auto"/>
          <w:sz w:val="30"/>
          <w:szCs w:val="30"/>
        </w:rPr>
      </w:pPr>
    </w:p>
    <w:p>
      <w:pPr>
        <w:ind w:firstLine="600"/>
        <w:jc w:val="center"/>
        <w:rPr>
          <w:rFonts w:ascii="宋体" w:hAnsi="宋体" w:eastAsia="宋体" w:cs="宋体"/>
          <w:color w:val="auto"/>
          <w:sz w:val="30"/>
          <w:szCs w:val="30"/>
        </w:rPr>
      </w:pPr>
    </w:p>
    <w:p>
      <w:pPr>
        <w:spacing w:line="360" w:lineRule="auto"/>
        <w:ind w:firstLine="2080" w:firstLineChars="650"/>
        <w:rPr>
          <w:rFonts w:ascii="宋体" w:hAnsi="宋体" w:eastAsia="宋体" w:cs="宋体"/>
          <w:color w:val="auto"/>
          <w:sz w:val="32"/>
          <w:szCs w:val="32"/>
        </w:rPr>
      </w:pPr>
      <w:r>
        <w:rPr>
          <w:rFonts w:hint="eastAsia" w:ascii="宋体" w:hAnsi="宋体" w:eastAsia="宋体" w:cs="宋体"/>
          <w:color w:val="auto"/>
          <w:sz w:val="32"/>
          <w:szCs w:val="32"/>
        </w:rPr>
        <w:t>采购人：</w:t>
      </w:r>
      <w:r>
        <w:rPr>
          <w:rFonts w:hint="eastAsia" w:ascii="宋体" w:hAnsi="宋体" w:eastAsia="宋体" w:cs="宋体"/>
          <w:color w:val="auto"/>
          <w:sz w:val="32"/>
          <w:szCs w:val="32"/>
          <w:u w:val="single"/>
        </w:rPr>
        <w:t xml:space="preserve">汉滨区第三人民医院         </w:t>
      </w:r>
    </w:p>
    <w:p>
      <w:pPr>
        <w:tabs>
          <w:tab w:val="left" w:pos="480"/>
        </w:tabs>
        <w:spacing w:line="360" w:lineRule="auto"/>
        <w:ind w:firstLine="640"/>
        <w:rPr>
          <w:rFonts w:ascii="宋体" w:hAnsi="宋体" w:eastAsia="宋体" w:cs="宋体"/>
          <w:color w:val="auto"/>
          <w:sz w:val="32"/>
          <w:szCs w:val="32"/>
          <w:u w:val="single"/>
        </w:rPr>
      </w:pPr>
      <w:r>
        <w:rPr>
          <w:rFonts w:hint="eastAsia" w:ascii="宋体" w:hAnsi="宋体" w:eastAsia="宋体" w:cs="宋体"/>
          <w:color w:val="auto"/>
          <w:sz w:val="32"/>
          <w:szCs w:val="32"/>
        </w:rPr>
        <w:t xml:space="preserve">         供货商：</w:t>
      </w:r>
      <w:r>
        <w:rPr>
          <w:rFonts w:hint="eastAsia" w:ascii="宋体" w:hAnsi="宋体" w:eastAsia="宋体" w:cs="宋体"/>
          <w:color w:val="auto"/>
          <w:sz w:val="32"/>
          <w:szCs w:val="32"/>
          <w:u w:val="single"/>
        </w:rPr>
        <w:t xml:space="preserve">                           </w:t>
      </w:r>
    </w:p>
    <w:p>
      <w:pPr>
        <w:spacing w:line="360" w:lineRule="auto"/>
        <w:ind w:firstLine="640"/>
        <w:jc w:val="center"/>
        <w:rPr>
          <w:rFonts w:ascii="宋体" w:hAnsi="宋体" w:eastAsia="宋体" w:cs="宋体"/>
          <w:color w:val="auto"/>
          <w:sz w:val="32"/>
          <w:szCs w:val="32"/>
        </w:rPr>
      </w:pP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月</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日</w:t>
      </w:r>
    </w:p>
    <w:p>
      <w:pPr>
        <w:spacing w:line="360" w:lineRule="auto"/>
        <w:ind w:firstLine="640"/>
        <w:jc w:val="center"/>
        <w:rPr>
          <w:rFonts w:ascii="宋体" w:hAnsi="宋体" w:eastAsia="宋体" w:cs="宋体"/>
          <w:b/>
          <w:color w:val="auto"/>
          <w:sz w:val="32"/>
          <w:szCs w:val="32"/>
        </w:rPr>
      </w:pPr>
      <w:r>
        <w:rPr>
          <w:rFonts w:hint="eastAsia" w:ascii="宋体" w:hAnsi="宋体" w:eastAsia="宋体" w:cs="宋体"/>
          <w:color w:val="auto"/>
          <w:sz w:val="32"/>
          <w:szCs w:val="32"/>
        </w:rPr>
        <w:br w:type="page"/>
      </w:r>
      <w:r>
        <w:rPr>
          <w:rFonts w:hint="eastAsia" w:ascii="宋体" w:hAnsi="宋体" w:eastAsia="宋体" w:cs="宋体"/>
          <w:color w:val="auto"/>
          <w:sz w:val="32"/>
          <w:szCs w:val="32"/>
          <w:lang w:val="en-US" w:eastAsia="zh-CN"/>
        </w:rPr>
        <w:t>·</w:t>
      </w:r>
      <w:r>
        <w:rPr>
          <w:rFonts w:hint="eastAsia" w:ascii="宋体" w:hAnsi="宋体" w:eastAsia="宋体" w:cs="宋体"/>
          <w:b/>
          <w:color w:val="auto"/>
          <w:sz w:val="32"/>
          <w:szCs w:val="32"/>
        </w:rPr>
        <w:t>供 货 合 同</w:t>
      </w:r>
    </w:p>
    <w:p>
      <w:pPr>
        <w:spacing w:line="360" w:lineRule="auto"/>
        <w:rPr>
          <w:rFonts w:ascii="宋体" w:hAnsi="宋体" w:eastAsia="宋体" w:cs="宋体"/>
          <w:color w:val="auto"/>
          <w:szCs w:val="21"/>
        </w:rPr>
      </w:pPr>
      <w:r>
        <w:rPr>
          <w:rFonts w:hint="eastAsia" w:ascii="宋体" w:hAnsi="宋体" w:eastAsia="宋体" w:cs="宋体"/>
          <w:color w:val="auto"/>
          <w:szCs w:val="21"/>
        </w:rPr>
        <w:t>甲方：汉滨区第三人民医院</w:t>
      </w:r>
    </w:p>
    <w:p>
      <w:pPr>
        <w:spacing w:line="360" w:lineRule="auto"/>
        <w:rPr>
          <w:rFonts w:ascii="宋体" w:hAnsi="宋体" w:eastAsia="宋体" w:cs="宋体"/>
          <w:color w:val="auto"/>
          <w:szCs w:val="21"/>
        </w:rPr>
      </w:pPr>
      <w:r>
        <w:rPr>
          <w:rFonts w:hint="eastAsia" w:ascii="宋体" w:hAnsi="宋体" w:eastAsia="宋体" w:cs="宋体"/>
          <w:color w:val="auto"/>
          <w:szCs w:val="21"/>
        </w:rPr>
        <w:t>住所地：</w:t>
      </w:r>
    </w:p>
    <w:p>
      <w:pPr>
        <w:spacing w:line="360" w:lineRule="auto"/>
        <w:rPr>
          <w:rFonts w:ascii="宋体" w:hAnsi="宋体" w:eastAsia="宋体" w:cs="宋体"/>
          <w:color w:val="auto"/>
          <w:szCs w:val="21"/>
        </w:rPr>
      </w:pPr>
      <w:r>
        <w:rPr>
          <w:rFonts w:hint="eastAsia" w:ascii="宋体" w:hAnsi="宋体" w:eastAsia="宋体" w:cs="宋体"/>
          <w:color w:val="auto"/>
          <w:szCs w:val="21"/>
        </w:rPr>
        <w:t>法定代表人：</w:t>
      </w:r>
    </w:p>
    <w:p>
      <w:pPr>
        <w:spacing w:line="360" w:lineRule="auto"/>
        <w:rPr>
          <w:rFonts w:ascii="宋体" w:hAnsi="宋体" w:eastAsia="宋体" w:cs="宋体"/>
          <w:color w:val="auto"/>
          <w:szCs w:val="21"/>
        </w:rPr>
      </w:pPr>
      <w:r>
        <w:rPr>
          <w:rFonts w:hint="eastAsia" w:ascii="宋体" w:hAnsi="宋体" w:eastAsia="宋体" w:cs="宋体"/>
          <w:color w:val="auto"/>
          <w:szCs w:val="21"/>
        </w:rPr>
        <w:t>联系方式：</w:t>
      </w:r>
    </w:p>
    <w:p>
      <w:pPr>
        <w:spacing w:line="360" w:lineRule="auto"/>
        <w:rPr>
          <w:rFonts w:ascii="宋体" w:hAnsi="宋体" w:eastAsia="宋体" w:cs="宋体"/>
          <w:color w:val="auto"/>
          <w:szCs w:val="21"/>
        </w:rPr>
      </w:pPr>
      <w:r>
        <w:rPr>
          <w:rFonts w:hint="eastAsia" w:ascii="宋体" w:hAnsi="宋体" w:eastAsia="宋体" w:cs="宋体"/>
          <w:color w:val="auto"/>
          <w:szCs w:val="21"/>
        </w:rPr>
        <w:t>乙方：</w:t>
      </w:r>
    </w:p>
    <w:p>
      <w:pPr>
        <w:spacing w:line="360" w:lineRule="auto"/>
        <w:rPr>
          <w:rFonts w:ascii="宋体" w:hAnsi="宋体" w:eastAsia="宋体" w:cs="宋体"/>
          <w:color w:val="auto"/>
          <w:szCs w:val="21"/>
        </w:rPr>
      </w:pPr>
      <w:r>
        <w:rPr>
          <w:rFonts w:hint="eastAsia" w:ascii="宋体" w:hAnsi="宋体" w:eastAsia="宋体" w:cs="宋体"/>
          <w:color w:val="auto"/>
          <w:szCs w:val="21"/>
        </w:rPr>
        <w:t>住所地：</w:t>
      </w:r>
    </w:p>
    <w:p>
      <w:pPr>
        <w:spacing w:line="360" w:lineRule="auto"/>
        <w:rPr>
          <w:rFonts w:ascii="宋体" w:hAnsi="宋体" w:eastAsia="宋体" w:cs="宋体"/>
          <w:color w:val="auto"/>
          <w:szCs w:val="21"/>
        </w:rPr>
      </w:pPr>
      <w:r>
        <w:rPr>
          <w:rFonts w:hint="eastAsia" w:ascii="宋体" w:hAnsi="宋体" w:eastAsia="宋体" w:cs="宋体"/>
          <w:color w:val="auto"/>
          <w:szCs w:val="21"/>
        </w:rPr>
        <w:t>法定代表人：</w:t>
      </w:r>
    </w:p>
    <w:p>
      <w:pPr>
        <w:spacing w:line="360" w:lineRule="auto"/>
        <w:rPr>
          <w:rFonts w:ascii="宋体" w:hAnsi="宋体" w:eastAsia="宋体" w:cs="宋体"/>
          <w:color w:val="auto"/>
          <w:szCs w:val="21"/>
        </w:rPr>
      </w:pPr>
      <w:r>
        <w:rPr>
          <w:rFonts w:hint="eastAsia" w:ascii="宋体" w:hAnsi="宋体" w:eastAsia="宋体" w:cs="宋体"/>
          <w:color w:val="auto"/>
          <w:szCs w:val="21"/>
        </w:rPr>
        <w:t>联系方式：</w:t>
      </w:r>
    </w:p>
    <w:p>
      <w:pPr>
        <w:spacing w:line="360" w:lineRule="auto"/>
        <w:jc w:val="left"/>
        <w:rPr>
          <w:rFonts w:ascii="宋体" w:hAnsi="宋体" w:eastAsia="宋体" w:cs="宋体"/>
          <w:color w:val="auto"/>
          <w:szCs w:val="21"/>
        </w:rPr>
      </w:pPr>
      <w:r>
        <w:rPr>
          <w:rFonts w:hint="eastAsia" w:ascii="宋体" w:hAnsi="宋体" w:eastAsia="宋体" w:cs="宋体"/>
          <w:color w:val="auto"/>
          <w:szCs w:val="21"/>
        </w:rPr>
        <w:t>汉滨区第三人民医院（以下简称甲方）所需本合同项目下的终端接入设备，在汉滨区财政局的监督管理下，由</w:t>
      </w:r>
      <w:r>
        <w:rPr>
          <w:rFonts w:hint="eastAsia" w:ascii="宋体" w:hAnsi="宋体" w:eastAsia="宋体" w:cs="宋体"/>
          <w:color w:val="auto"/>
          <w:szCs w:val="21"/>
          <w:u w:val="single"/>
        </w:rPr>
        <w:t>陕西方得项目管理有限公司</w:t>
      </w:r>
      <w:r>
        <w:rPr>
          <w:rFonts w:hint="eastAsia" w:ascii="宋体" w:hAnsi="宋体" w:eastAsia="宋体" w:cs="宋体"/>
          <w:color w:val="auto"/>
          <w:szCs w:val="21"/>
        </w:rPr>
        <w:t>按照政府采购程序组织公开招标，确定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以下简称乙方）为中标供应商。依据《中华人民共和国政府采购法》、《中华人民共和国招标投标法》、《机电产品国际招标投标实施办法》、《中华人民共和国民法典》以及招标文件、中标供应商投标文件正本和中标通知书，经甲、乙双方协商，见证方确认，达成如下条款。</w:t>
      </w:r>
    </w:p>
    <w:p>
      <w:pPr>
        <w:tabs>
          <w:tab w:val="left" w:pos="480"/>
        </w:tabs>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一、合同标的物内容及数量</w:t>
      </w:r>
      <w:r>
        <w:rPr>
          <w:rFonts w:hint="eastAsia" w:ascii="宋体" w:hAnsi="宋体" w:eastAsia="宋体" w:cs="宋体"/>
          <w:color w:val="auto"/>
          <w:szCs w:val="21"/>
        </w:rPr>
        <w:t>（以投标文件正本和澄清表〈函〉为准，标的物规格标准详见附件一、附件二）</w:t>
      </w:r>
    </w:p>
    <w:tbl>
      <w:tblPr>
        <w:tblStyle w:val="23"/>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318"/>
        <w:gridCol w:w="1200"/>
        <w:gridCol w:w="1232"/>
        <w:gridCol w:w="707"/>
        <w:gridCol w:w="1414"/>
        <w:gridCol w:w="141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序号</w:t>
            </w:r>
          </w:p>
        </w:tc>
        <w:tc>
          <w:tcPr>
            <w:tcW w:w="131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货物名称</w:t>
            </w: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型号规格</w:t>
            </w:r>
          </w:p>
        </w:tc>
        <w:tc>
          <w:tcPr>
            <w:tcW w:w="1232"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生产厂家</w:t>
            </w: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数量</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单价（万元）</w:t>
            </w:r>
          </w:p>
        </w:tc>
        <w:tc>
          <w:tcPr>
            <w:tcW w:w="141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总价（万元）</w:t>
            </w:r>
          </w:p>
        </w:tc>
        <w:tc>
          <w:tcPr>
            <w:tcW w:w="14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1</w:t>
            </w:r>
          </w:p>
        </w:tc>
        <w:tc>
          <w:tcPr>
            <w:tcW w:w="131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ascii="宋体" w:hAnsi="宋体" w:eastAsia="宋体" w:cs="宋体"/>
                <w:color w:val="auto"/>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ascii="宋体" w:hAnsi="宋体" w:eastAsia="宋体" w:cs="宋体"/>
                <w:color w:val="auto"/>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ascii="宋体" w:hAnsi="宋体" w:eastAsia="宋体" w:cs="宋体"/>
                <w:color w:val="auto"/>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eastAsia="宋体" w:cs="宋体"/>
                <w:color w:val="auto"/>
                <w:szCs w:val="21"/>
              </w:rPr>
            </w:pP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eastAsia="宋体" w:cs="宋体"/>
                <w:color w:val="auto"/>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eastAsia="宋体" w:cs="宋体"/>
                <w:color w:val="auto"/>
                <w:szCs w:val="21"/>
              </w:rPr>
            </w:pPr>
          </w:p>
        </w:tc>
        <w:tc>
          <w:tcPr>
            <w:tcW w:w="14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2</w:t>
            </w:r>
          </w:p>
        </w:tc>
        <w:tc>
          <w:tcPr>
            <w:tcW w:w="131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ascii="宋体" w:hAnsi="宋体" w:eastAsia="宋体" w:cs="宋体"/>
                <w:color w:val="auto"/>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ascii="宋体" w:hAnsi="宋体" w:eastAsia="宋体" w:cs="宋体"/>
                <w:color w:val="auto"/>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ascii="宋体" w:hAnsi="宋体" w:eastAsia="宋体" w:cs="宋体"/>
                <w:color w:val="auto"/>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eastAsia="宋体" w:cs="宋体"/>
                <w:color w:val="auto"/>
                <w:szCs w:val="21"/>
              </w:rPr>
            </w:pP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eastAsia="宋体" w:cs="宋体"/>
                <w:color w:val="auto"/>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eastAsia="宋体" w:cs="宋体"/>
                <w:color w:val="auto"/>
                <w:szCs w:val="21"/>
              </w:rPr>
            </w:pPr>
          </w:p>
        </w:tc>
        <w:tc>
          <w:tcPr>
            <w:tcW w:w="14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3</w:t>
            </w:r>
          </w:p>
        </w:tc>
        <w:tc>
          <w:tcPr>
            <w:tcW w:w="131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ascii="宋体" w:hAnsi="宋体" w:eastAsia="宋体" w:cs="宋体"/>
                <w:color w:val="auto"/>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ascii="宋体" w:hAnsi="宋体" w:eastAsia="宋体" w:cs="宋体"/>
                <w:color w:val="auto"/>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ascii="宋体" w:hAnsi="宋体" w:eastAsia="宋体" w:cs="宋体"/>
                <w:color w:val="auto"/>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eastAsia="宋体" w:cs="宋体"/>
                <w:color w:val="auto"/>
                <w:szCs w:val="21"/>
              </w:rPr>
            </w:pP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eastAsia="宋体" w:cs="宋体"/>
                <w:color w:val="auto"/>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eastAsia="宋体" w:cs="宋体"/>
                <w:color w:val="auto"/>
                <w:szCs w:val="21"/>
              </w:rPr>
            </w:pPr>
          </w:p>
        </w:tc>
        <w:tc>
          <w:tcPr>
            <w:tcW w:w="14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eastAsia="宋体" w:cs="宋体"/>
                <w:color w:val="auto"/>
                <w:szCs w:val="21"/>
              </w:rPr>
            </w:pPr>
          </w:p>
        </w:tc>
      </w:tr>
    </w:tbl>
    <w:p>
      <w:pPr>
        <w:tabs>
          <w:tab w:val="left" w:pos="480"/>
        </w:tabs>
        <w:spacing w:line="360" w:lineRule="auto"/>
        <w:ind w:firstLine="422"/>
        <w:rPr>
          <w:rFonts w:ascii="宋体" w:hAnsi="宋体" w:eastAsia="宋体" w:cs="宋体"/>
          <w:b/>
          <w:color w:val="auto"/>
          <w:szCs w:val="21"/>
        </w:rPr>
      </w:pPr>
    </w:p>
    <w:p>
      <w:pPr>
        <w:tabs>
          <w:tab w:val="left" w:pos="480"/>
        </w:tabs>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二、合同价款</w:t>
      </w:r>
    </w:p>
    <w:p>
      <w:pPr>
        <w:tabs>
          <w:tab w:val="left" w:pos="480"/>
        </w:tabs>
        <w:spacing w:line="360" w:lineRule="auto"/>
        <w:jc w:val="left"/>
        <w:rPr>
          <w:rFonts w:ascii="宋体" w:hAnsi="宋体" w:eastAsia="宋体" w:cs="宋体"/>
          <w:color w:val="auto"/>
          <w:szCs w:val="21"/>
        </w:rPr>
      </w:pPr>
      <w:r>
        <w:rPr>
          <w:rFonts w:hint="eastAsia" w:ascii="宋体" w:hAnsi="宋体" w:eastAsia="宋体" w:cs="宋体"/>
          <w:color w:val="auto"/>
          <w:szCs w:val="21"/>
        </w:rPr>
        <w:t>（一）合同总价款为人民币（大写）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（二）合同总价包括：货物费、运输费（含保险费）、装卸、安装调试费、检测验收、培训、技术服务及其它全部费用。</w:t>
      </w:r>
    </w:p>
    <w:p>
      <w:pPr>
        <w:tabs>
          <w:tab w:val="left" w:pos="480"/>
        </w:tabs>
        <w:spacing w:line="360" w:lineRule="auto"/>
        <w:rPr>
          <w:rFonts w:ascii="宋体" w:hAnsi="宋体" w:eastAsia="宋体" w:cs="宋体"/>
          <w:color w:val="auto"/>
          <w:szCs w:val="21"/>
          <w:highlight w:val="none"/>
        </w:rPr>
      </w:pPr>
      <w:r>
        <w:rPr>
          <w:rFonts w:hint="eastAsia" w:ascii="宋体" w:hAnsi="宋体" w:eastAsia="宋体" w:cs="宋体"/>
          <w:color w:val="auto"/>
          <w:szCs w:val="21"/>
        </w:rPr>
        <w:t>（三）合同总价一</w:t>
      </w:r>
      <w:r>
        <w:rPr>
          <w:rFonts w:hint="eastAsia" w:ascii="宋体" w:hAnsi="宋体" w:eastAsia="宋体" w:cs="宋体"/>
          <w:color w:val="auto"/>
          <w:szCs w:val="21"/>
          <w:highlight w:val="none"/>
        </w:rPr>
        <w:t>次性包死，不受市场价格变化因素的影响。</w:t>
      </w:r>
    </w:p>
    <w:p>
      <w:pPr>
        <w:tabs>
          <w:tab w:val="left" w:pos="480"/>
        </w:tabs>
        <w:spacing w:line="360" w:lineRule="auto"/>
        <w:ind w:firstLine="422"/>
        <w:rPr>
          <w:rFonts w:ascii="宋体" w:hAnsi="宋体" w:eastAsia="宋体" w:cs="宋体"/>
          <w:b/>
          <w:color w:val="auto"/>
          <w:szCs w:val="21"/>
          <w:highlight w:val="none"/>
        </w:rPr>
      </w:pPr>
      <w:r>
        <w:rPr>
          <w:rFonts w:hint="eastAsia" w:ascii="宋体" w:hAnsi="宋体" w:eastAsia="宋体" w:cs="宋体"/>
          <w:b/>
          <w:color w:val="auto"/>
          <w:szCs w:val="21"/>
          <w:highlight w:val="none"/>
        </w:rPr>
        <w:t>三、款项结算</w:t>
      </w:r>
    </w:p>
    <w:p>
      <w:pPr>
        <w:spacing w:line="360" w:lineRule="auto"/>
        <w:jc w:val="left"/>
        <w:rPr>
          <w:rFonts w:ascii="宋体" w:hAnsi="宋体" w:eastAsia="宋体" w:cs="宋体"/>
          <w:color w:val="auto"/>
          <w:szCs w:val="21"/>
          <w:highlight w:val="none"/>
        </w:rPr>
      </w:pPr>
      <w:r>
        <w:rPr>
          <w:rFonts w:hint="eastAsia" w:ascii="宋体" w:hAnsi="宋体" w:eastAsia="宋体" w:cs="宋体"/>
          <w:bCs/>
          <w:color w:val="auto"/>
          <w:szCs w:val="21"/>
          <w:highlight w:val="none"/>
        </w:rPr>
        <w:t>（一）</w:t>
      </w:r>
      <w:r>
        <w:rPr>
          <w:rFonts w:hint="eastAsia" w:ascii="宋体" w:hAnsi="宋体" w:eastAsia="宋体" w:cs="宋体"/>
          <w:color w:val="auto"/>
          <w:szCs w:val="21"/>
          <w:highlight w:val="none"/>
        </w:rPr>
        <w:t>合同签订后，甲方</w:t>
      </w:r>
      <w:r>
        <w:rPr>
          <w:rFonts w:hint="eastAsia" w:ascii="宋体" w:hAnsi="宋体" w:eastAsia="宋体" w:cs="宋体"/>
          <w:color w:val="auto"/>
          <w:szCs w:val="21"/>
          <w:highlight w:val="none"/>
          <w:lang w:eastAsia="zh-CN"/>
        </w:rPr>
        <w:t>预</w:t>
      </w:r>
      <w:r>
        <w:rPr>
          <w:rFonts w:hint="eastAsia" w:ascii="宋体" w:hAnsi="宋体" w:eastAsia="宋体" w:cs="宋体"/>
          <w:color w:val="auto"/>
          <w:szCs w:val="21"/>
          <w:highlight w:val="none"/>
        </w:rPr>
        <w:t>付合同总价款的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25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，即人民币（大写）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p>
    <w:p>
      <w:pPr>
        <w:tabs>
          <w:tab w:val="left" w:pos="480"/>
        </w:tabs>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rPr>
        <w:t>安装调试后达到试运行阶段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eastAsia="zh-CN"/>
        </w:rPr>
        <w:t>剩余</w:t>
      </w:r>
      <w:r>
        <w:rPr>
          <w:rFonts w:hint="eastAsia" w:ascii="宋体" w:hAnsi="宋体" w:eastAsia="宋体" w:cs="宋体"/>
          <w:color w:val="auto"/>
          <w:szCs w:val="21"/>
          <w:highlight w:val="none"/>
        </w:rPr>
        <w:t>合同总价款的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，即人民币（大写）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en-US" w:eastAsia="zh-CN"/>
        </w:rPr>
        <w:t xml:space="preserve">                                                                                                               </w:t>
      </w:r>
    </w:p>
    <w:p>
      <w:pPr>
        <w:tabs>
          <w:tab w:val="left" w:pos="480"/>
        </w:tabs>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（三）</w:t>
      </w:r>
      <w:r>
        <w:rPr>
          <w:rFonts w:hint="eastAsia" w:ascii="宋体" w:hAnsi="宋体" w:eastAsia="宋体" w:cs="宋体"/>
          <w:bCs/>
          <w:color w:val="auto"/>
          <w:szCs w:val="21"/>
          <w:highlight w:val="none"/>
          <w:lang w:eastAsia="zh-CN"/>
        </w:rPr>
        <w:t>经过</w:t>
      </w:r>
      <w:r>
        <w:rPr>
          <w:rFonts w:hint="eastAsia" w:ascii="宋体" w:hAnsi="宋体" w:eastAsia="宋体" w:cs="宋体"/>
          <w:bCs/>
          <w:color w:val="auto"/>
          <w:szCs w:val="21"/>
          <w:highlight w:val="none"/>
          <w:lang w:val="en-US" w:eastAsia="zh-CN"/>
        </w:rPr>
        <w:t>相关部门</w:t>
      </w:r>
      <w:r>
        <w:rPr>
          <w:rFonts w:hint="eastAsia" w:ascii="宋体" w:hAnsi="宋体" w:eastAsia="宋体" w:cs="宋体"/>
          <w:bCs/>
          <w:color w:val="auto"/>
          <w:szCs w:val="21"/>
          <w:highlight w:val="none"/>
          <w:lang w:eastAsia="zh-CN"/>
        </w:rPr>
        <w:t>专业</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lang w:eastAsia="zh-CN"/>
        </w:rPr>
        <w:t>后，</w:t>
      </w:r>
      <w:r>
        <w:rPr>
          <w:rFonts w:hint="eastAsia" w:ascii="宋体" w:hAnsi="宋体" w:eastAsia="宋体" w:cs="宋体"/>
          <w:bCs/>
          <w:color w:val="auto"/>
          <w:szCs w:val="21"/>
          <w:highlight w:val="none"/>
          <w:lang w:val="en-US" w:eastAsia="zh-CN"/>
        </w:rPr>
        <w:t>拿到信息安全等级保护（三级）测评报告后</w:t>
      </w:r>
      <w:r>
        <w:rPr>
          <w:rFonts w:hint="eastAsia" w:ascii="宋体" w:hAnsi="宋体" w:eastAsia="宋体" w:cs="宋体"/>
          <w:bCs/>
          <w:color w:val="auto"/>
          <w:szCs w:val="21"/>
          <w:highlight w:val="none"/>
          <w:lang w:eastAsia="zh-CN"/>
        </w:rPr>
        <w:t>，</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eastAsia="zh-CN"/>
        </w:rPr>
        <w:t>剩余</w:t>
      </w:r>
      <w:r>
        <w:rPr>
          <w:rFonts w:hint="eastAsia" w:ascii="宋体" w:hAnsi="宋体" w:eastAsia="宋体" w:cs="宋体"/>
          <w:color w:val="auto"/>
          <w:szCs w:val="21"/>
          <w:highlight w:val="none"/>
        </w:rPr>
        <w:t>合同总价款的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，即人民币（大写）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p>
    <w:p>
      <w:pPr>
        <w:pStyle w:val="12"/>
        <w:spacing w:line="360" w:lineRule="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（四）</w:t>
      </w:r>
      <w:r>
        <w:rPr>
          <w:rFonts w:hint="eastAsia" w:ascii="宋体" w:hAnsi="宋体" w:eastAsia="宋体" w:cs="宋体"/>
          <w:bCs/>
          <w:color w:val="auto"/>
          <w:szCs w:val="21"/>
          <w:highlight w:val="none"/>
          <w:lang w:eastAsia="zh-CN"/>
        </w:rPr>
        <w:t>经最终验收</w:t>
      </w:r>
      <w:r>
        <w:rPr>
          <w:rFonts w:hint="eastAsia" w:ascii="宋体" w:hAnsi="宋体" w:eastAsia="宋体" w:cs="宋体"/>
          <w:bCs/>
          <w:color w:val="auto"/>
          <w:szCs w:val="21"/>
          <w:highlight w:val="none"/>
          <w:lang w:val="en-US" w:eastAsia="zh-CN"/>
        </w:rPr>
        <w:t>审计</w:t>
      </w:r>
      <w:r>
        <w:rPr>
          <w:rFonts w:hint="eastAsia" w:ascii="宋体" w:hAnsi="宋体" w:eastAsia="宋体" w:cs="宋体"/>
          <w:bCs/>
          <w:color w:val="auto"/>
          <w:szCs w:val="21"/>
          <w:highlight w:val="none"/>
          <w:lang w:eastAsia="zh-CN"/>
        </w:rPr>
        <w:t>后，</w:t>
      </w:r>
      <w:r>
        <w:rPr>
          <w:rFonts w:hint="eastAsia" w:ascii="宋体" w:hAnsi="宋体" w:eastAsia="宋体" w:cs="宋体"/>
          <w:bCs/>
          <w:color w:val="auto"/>
          <w:szCs w:val="21"/>
          <w:highlight w:val="none"/>
          <w:u w:val="single"/>
          <w:lang w:val="en-US" w:eastAsia="zh-CN"/>
        </w:rPr>
        <w:t xml:space="preserve"> 60 </w:t>
      </w:r>
      <w:r>
        <w:rPr>
          <w:rFonts w:hint="eastAsia" w:ascii="宋体" w:hAnsi="宋体" w:eastAsia="宋体" w:cs="宋体"/>
          <w:bCs/>
          <w:color w:val="auto"/>
          <w:szCs w:val="21"/>
          <w:highlight w:val="none"/>
          <w:lang w:val="en-US" w:eastAsia="zh-CN"/>
        </w:rPr>
        <w:t>日内</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向</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将</w:t>
      </w:r>
      <w:r>
        <w:rPr>
          <w:rFonts w:hint="eastAsia" w:ascii="宋体" w:hAnsi="宋体" w:eastAsia="宋体" w:cs="宋体"/>
          <w:bCs/>
          <w:color w:val="auto"/>
          <w:szCs w:val="21"/>
          <w:highlight w:val="none"/>
          <w:lang w:val="en-US" w:eastAsia="zh-CN"/>
        </w:rPr>
        <w:t>剩余款项全部付清。</w:t>
      </w:r>
    </w:p>
    <w:p>
      <w:pPr>
        <w:tabs>
          <w:tab w:val="left" w:pos="480"/>
        </w:tabs>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（五）</w:t>
      </w:r>
      <w:r>
        <w:rPr>
          <w:rFonts w:hint="eastAsia" w:ascii="宋体" w:hAnsi="宋体" w:eastAsia="宋体" w:cs="宋体"/>
          <w:bCs/>
          <w:color w:val="auto"/>
          <w:szCs w:val="21"/>
          <w:highlight w:val="none"/>
        </w:rPr>
        <w:t>支付方式：银行转账。</w:t>
      </w:r>
    </w:p>
    <w:p>
      <w:pPr>
        <w:tabs>
          <w:tab w:val="left" w:pos="480"/>
        </w:tabs>
        <w:spacing w:line="360" w:lineRule="auto"/>
        <w:ind w:left="0" w:leftChars="0" w:firstLine="420" w:firstLineChars="200"/>
        <w:rPr>
          <w:rFonts w:ascii="宋体" w:hAnsi="宋体" w:eastAsia="宋体" w:cs="宋体"/>
          <w:bCs/>
          <w:color w:val="auto"/>
          <w:szCs w:val="21"/>
        </w:rPr>
      </w:pPr>
      <w:r>
        <w:rPr>
          <w:rFonts w:hint="eastAsia" w:ascii="宋体" w:hAnsi="宋体" w:eastAsia="宋体" w:cs="宋体"/>
          <w:bCs/>
          <w:color w:val="auto"/>
          <w:szCs w:val="21"/>
          <w:highlight w:val="none"/>
          <w:lang w:eastAsia="zh-CN"/>
        </w:rPr>
        <w:t>（六）</w:t>
      </w:r>
      <w:r>
        <w:rPr>
          <w:rFonts w:hint="eastAsia" w:ascii="宋体" w:hAnsi="宋体" w:eastAsia="宋体" w:cs="宋体"/>
          <w:bCs/>
          <w:color w:val="auto"/>
          <w:szCs w:val="21"/>
          <w:highlight w:val="none"/>
        </w:rPr>
        <w:t>结算方式：</w:t>
      </w:r>
      <w:r>
        <w:rPr>
          <w:rFonts w:hint="eastAsia" w:ascii="宋体" w:hAnsi="宋体" w:eastAsia="宋体" w:cs="宋体"/>
          <w:bCs/>
          <w:color w:val="auto"/>
          <w:szCs w:val="21"/>
          <w:highlight w:val="none"/>
          <w:u w:val="single"/>
        </w:rPr>
        <w:t>具体以签订合同约定为准</w:t>
      </w:r>
      <w:r>
        <w:rPr>
          <w:rFonts w:hint="eastAsia" w:ascii="宋体" w:hAnsi="宋体" w:eastAsia="宋体" w:cs="宋体"/>
          <w:bCs/>
          <w:color w:val="auto"/>
          <w:szCs w:val="21"/>
          <w:highlight w:val="none"/>
        </w:rPr>
        <w:t>，乙方持验</w:t>
      </w:r>
      <w:r>
        <w:rPr>
          <w:rFonts w:hint="eastAsia" w:ascii="宋体" w:hAnsi="宋体" w:eastAsia="宋体" w:cs="宋体"/>
          <w:color w:val="auto"/>
          <w:szCs w:val="21"/>
          <w:highlight w:val="none"/>
        </w:rPr>
        <w:t>收合格单，全额合规发票（按合</w:t>
      </w:r>
      <w:r>
        <w:rPr>
          <w:rFonts w:hint="eastAsia" w:ascii="宋体" w:hAnsi="宋体" w:eastAsia="宋体" w:cs="宋体"/>
          <w:color w:val="auto"/>
          <w:szCs w:val="21"/>
        </w:rPr>
        <w:t>同总价值开甲方），中标通知书、供货合同，与甲方结算。</w:t>
      </w:r>
    </w:p>
    <w:p>
      <w:pPr>
        <w:spacing w:line="360" w:lineRule="auto"/>
        <w:ind w:firstLine="422"/>
        <w:rPr>
          <w:rFonts w:ascii="宋体" w:hAnsi="宋体" w:eastAsia="宋体" w:cs="宋体"/>
          <w:color w:val="auto"/>
          <w:szCs w:val="21"/>
        </w:rPr>
      </w:pPr>
      <w:r>
        <w:rPr>
          <w:rFonts w:hint="eastAsia" w:ascii="宋体" w:hAnsi="宋体" w:eastAsia="宋体" w:cs="宋体"/>
          <w:b/>
          <w:color w:val="auto"/>
          <w:szCs w:val="21"/>
        </w:rPr>
        <w:t>四、交货条件：</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（一）交货地点：</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（二）交货期：</w:t>
      </w:r>
    </w:p>
    <w:p>
      <w:pPr>
        <w:tabs>
          <w:tab w:val="left" w:pos="480"/>
        </w:tabs>
        <w:spacing w:line="360" w:lineRule="auto"/>
        <w:rPr>
          <w:rFonts w:ascii="宋体" w:hAnsi="宋体" w:eastAsia="宋体" w:cs="宋体"/>
          <w:bCs/>
          <w:color w:val="auto"/>
          <w:szCs w:val="21"/>
        </w:rPr>
      </w:pPr>
      <w:r>
        <w:rPr>
          <w:rFonts w:hint="eastAsia" w:ascii="宋体" w:hAnsi="宋体" w:eastAsia="宋体" w:cs="宋体"/>
          <w:bCs/>
          <w:color w:val="auto"/>
          <w:szCs w:val="21"/>
        </w:rPr>
        <w:t xml:space="preserve">  1、交货期：</w:t>
      </w:r>
    </w:p>
    <w:p>
      <w:pPr>
        <w:spacing w:line="360" w:lineRule="auto"/>
        <w:rPr>
          <w:rFonts w:ascii="宋体" w:hAnsi="宋体" w:eastAsia="宋体" w:cs="宋体"/>
          <w:color w:val="auto"/>
          <w:szCs w:val="21"/>
        </w:rPr>
      </w:pPr>
      <w:r>
        <w:rPr>
          <w:rFonts w:hint="eastAsia" w:ascii="宋体" w:hAnsi="宋体" w:eastAsia="宋体" w:cs="宋体"/>
          <w:color w:val="auto"/>
          <w:szCs w:val="21"/>
        </w:rPr>
        <w:t xml:space="preserve">  2、合同签订后，乙方即刻派遣负责人到达安装现场勘察，甲方协助按照供货期要求组织货物到达、安装事宜。场地不满足安装验收条件时，由乙方保存货物，费用由乙方全部承担。</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3、如果乙方交货时间比合同约定的供货时间延迟，每推迟一天扣除合同总价款的1%；如果交货时间超过合同约定的供货时间十五天，视乙方根本违约，甲方享有单方解除合同权，合同自甲方书面解除通知送达乙方之日起解除。乙方还应按照本供货合同第十条第二款之约定承担违约责任。</w:t>
      </w:r>
    </w:p>
    <w:p>
      <w:pPr>
        <w:tabs>
          <w:tab w:val="left" w:pos="480"/>
        </w:tabs>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五、运输</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（一）运输由乙方负责，运杂费已包含在合同总价内，包括从货物供应地点至交货地点所含的运输费、装卸费、仓储费、保险费等全部费用。</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（二）运输方式由乙方自行选择，但必须保证按期交货。</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（三）因运输产生的一切风险及质量问题均由乙方承担。</w:t>
      </w:r>
    </w:p>
    <w:p>
      <w:pPr>
        <w:tabs>
          <w:tab w:val="left" w:pos="480"/>
        </w:tabs>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六、质量保证</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乙方所供货物必须执行下列条款：</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（一）保证技术指标先进、产品全新、质量性能可靠、进货渠道正常，配置合理，全面满足招标文件要求。</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（二）符合国家有关规范要求和标准，确保达到最佳运行状态，对于由于产品设计、工艺或材料的缺陷而产生的质量问题负责。</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（三）具有良好的外观，适合安装场所的使用。</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（四）自安装、调试正常运行并验收合格之日起：</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1、质保期：</w:t>
      </w:r>
      <w:r>
        <w:rPr>
          <w:rFonts w:hint="eastAsia" w:ascii="宋体" w:hAnsi="宋体" w:eastAsia="宋体" w:cs="宋体"/>
          <w:b/>
          <w:bCs/>
          <w:color w:val="auto"/>
          <w:szCs w:val="21"/>
        </w:rPr>
        <w:t>提供原厂免费质保</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三</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年，终身免费维护</w:t>
      </w:r>
      <w:r>
        <w:rPr>
          <w:rFonts w:hint="eastAsia" w:ascii="宋体" w:hAnsi="宋体" w:eastAsia="宋体" w:cs="宋体"/>
          <w:color w:val="auto"/>
          <w:szCs w:val="21"/>
        </w:rPr>
        <w:t>，质保期内，同一主要部件出现质量问题经过两次维修后仍无法正常使用的，必须免费更换同型号、同规格的产品，服务响应时间及解决方案按照本合同“售后服务”中的约定执行；若乙方未按照上述约定期限内及时解决问题,造成甲方损失扩大的,乙方应就损失扩大部分承担赔偿责任。</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2、30天内，如出现质量问题，甲方可以选择换货或退货；</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3、7天内，如出现质量问题，甲方可选择换货。</w:t>
      </w:r>
    </w:p>
    <w:p>
      <w:pPr>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七、售后服务</w:t>
      </w:r>
    </w:p>
    <w:p>
      <w:pPr>
        <w:spacing w:line="360" w:lineRule="auto"/>
        <w:rPr>
          <w:rFonts w:ascii="宋体" w:hAnsi="宋体" w:eastAsia="宋体" w:cs="宋体"/>
          <w:b/>
          <w:color w:val="auto"/>
          <w:szCs w:val="21"/>
        </w:rPr>
      </w:pPr>
      <w:r>
        <w:rPr>
          <w:rFonts w:hint="eastAsia" w:ascii="宋体" w:hAnsi="宋体" w:eastAsia="宋体" w:cs="宋体"/>
          <w:color w:val="auto"/>
          <w:szCs w:val="21"/>
        </w:rPr>
        <w:t>乙方为所供货物提供以下售后服务：</w:t>
      </w:r>
    </w:p>
    <w:p>
      <w:pPr>
        <w:spacing w:line="360" w:lineRule="auto"/>
        <w:rPr>
          <w:rFonts w:ascii="宋体" w:hAnsi="宋体" w:eastAsia="宋体" w:cs="宋体"/>
          <w:color w:val="auto"/>
          <w:szCs w:val="21"/>
        </w:rPr>
      </w:pPr>
      <w:r>
        <w:rPr>
          <w:rFonts w:hint="eastAsia" w:ascii="宋体" w:hAnsi="宋体" w:eastAsia="宋体" w:cs="宋体"/>
          <w:color w:val="auto"/>
          <w:szCs w:val="21"/>
        </w:rPr>
        <w:t>（一）质保期内：</w:t>
      </w:r>
    </w:p>
    <w:p>
      <w:pPr>
        <w:spacing w:line="360" w:lineRule="auto"/>
        <w:rPr>
          <w:rFonts w:ascii="宋体" w:hAnsi="宋体" w:eastAsia="宋体" w:cs="宋体"/>
          <w:color w:val="auto"/>
          <w:szCs w:val="21"/>
        </w:rPr>
      </w:pPr>
      <w:r>
        <w:rPr>
          <w:rFonts w:hint="eastAsia" w:ascii="宋体" w:hAnsi="宋体" w:eastAsia="宋体" w:cs="宋体"/>
          <w:color w:val="auto"/>
          <w:szCs w:val="21"/>
        </w:rPr>
        <w:t>1、发生质量问题，接到甲方通知后，应于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小时内派出专业的维修人员到现场进行检测维修，发生的全部费用由乙方承担，若需送回生产厂，乙方承担由此产生的一切费用；</w:t>
      </w:r>
    </w:p>
    <w:p>
      <w:pPr>
        <w:spacing w:line="360" w:lineRule="auto"/>
        <w:rPr>
          <w:rFonts w:ascii="宋体" w:hAnsi="宋体" w:eastAsia="宋体" w:cs="宋体"/>
          <w:color w:val="auto"/>
          <w:szCs w:val="21"/>
        </w:rPr>
      </w:pPr>
      <w:r>
        <w:rPr>
          <w:rFonts w:hint="eastAsia" w:ascii="宋体" w:hAnsi="宋体" w:eastAsia="宋体" w:cs="宋体"/>
          <w:color w:val="auto"/>
          <w:szCs w:val="21"/>
        </w:rPr>
        <w:t>2、每年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次派技术人员到现场走访，给予检查维护；</w:t>
      </w:r>
    </w:p>
    <w:p>
      <w:pPr>
        <w:spacing w:line="360" w:lineRule="auto"/>
        <w:rPr>
          <w:rFonts w:ascii="宋体" w:hAnsi="宋体" w:eastAsia="宋体" w:cs="宋体"/>
          <w:color w:val="auto"/>
          <w:szCs w:val="21"/>
        </w:rPr>
      </w:pPr>
      <w:r>
        <w:rPr>
          <w:rFonts w:hint="eastAsia" w:ascii="宋体" w:hAnsi="宋体" w:eastAsia="宋体" w:cs="宋体"/>
          <w:color w:val="auto"/>
          <w:szCs w:val="21"/>
        </w:rPr>
        <w:t>3、排除故障的期限不超过24小时。否则甲方有权指定第三方维修，维修费用由乙方承担，直接从质保金中扣除，质保金已付或无法支付全部维修费用的，超出部分由乙方另行承担。</w:t>
      </w:r>
    </w:p>
    <w:p>
      <w:pPr>
        <w:spacing w:line="360" w:lineRule="auto"/>
        <w:rPr>
          <w:rFonts w:ascii="宋体" w:hAnsi="宋体" w:eastAsia="宋体" w:cs="宋体"/>
          <w:color w:val="auto"/>
          <w:szCs w:val="21"/>
        </w:rPr>
      </w:pPr>
      <w:r>
        <w:rPr>
          <w:rFonts w:hint="eastAsia" w:ascii="宋体" w:hAnsi="宋体" w:eastAsia="宋体" w:cs="宋体"/>
          <w:color w:val="auto"/>
          <w:szCs w:val="21"/>
        </w:rPr>
        <w:t>（二）质保期结束前，乙方进行系统测试，全面保养维护，确保正常运行。</w:t>
      </w:r>
    </w:p>
    <w:p>
      <w:pPr>
        <w:tabs>
          <w:tab w:val="left" w:pos="480"/>
        </w:tabs>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八、技术与服务</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（一）技术资料：</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1、货物合格证；</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2、货物使用说明书（中文）；</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3、乙方提供相关部门出具的检验测试报告；</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5、其它资料。</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（二）培训：乙方须在设备安装调试完成后对甲方操作人员进行完整使用、保养等培训，是否完成培训视为货物验收必备条件之一；</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（三）服务承诺：以投标文件、澄清表（函）、合同和随货物的相关文件为准。</w:t>
      </w:r>
    </w:p>
    <w:p>
      <w:pPr>
        <w:tabs>
          <w:tab w:val="left" w:pos="480"/>
        </w:tabs>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九、验收</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（一）货物到达甲方指定地点后，甲方根据合同要求，进行外观验收，确认产地、规格、型号和数量。甲乙双方需在约定的时间和地点共同开箱检验。</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（二）货物安装、调试过程中，属于国家计量法规定需要检测的设备及配件，乙方需提供计量检测部门的检测报告，属于特种设备的，乙方需办理注册登记和使用许可，而后能够正常使用时书面通知甲方。</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（三）乙方向甲方提交原厂质保证明文件，要求覆盖乙方所承诺的全部质保期限。</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（四）甲方确认接收乙方的自检内容后，进行验收，验收合格后，由乙方对甲方操作人员进行培训，完成培训后，甲方填写</w:t>
      </w:r>
      <w:r>
        <w:rPr>
          <w:rFonts w:hint="eastAsia" w:ascii="宋体" w:hAnsi="宋体" w:eastAsia="宋体" w:cs="宋体"/>
          <w:bCs/>
          <w:color w:val="auto"/>
          <w:szCs w:val="21"/>
        </w:rPr>
        <w:t>验收单</w:t>
      </w:r>
      <w:r>
        <w:rPr>
          <w:rFonts w:hint="eastAsia" w:ascii="宋体" w:hAnsi="宋体" w:eastAsia="宋体" w:cs="宋体"/>
          <w:color w:val="auto"/>
          <w:szCs w:val="21"/>
        </w:rPr>
        <w:t>作为对货物的最终认可。</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（五）乙方向甲方提交货物实施过程中的所有资料，以便甲方日后管理和维护。</w:t>
      </w:r>
    </w:p>
    <w:p>
      <w:pPr>
        <w:tabs>
          <w:tab w:val="left" w:pos="480"/>
        </w:tabs>
        <w:spacing w:line="360" w:lineRule="auto"/>
        <w:rPr>
          <w:rFonts w:ascii="宋体" w:hAnsi="宋体" w:eastAsia="宋体" w:cs="宋体"/>
          <w:color w:val="auto"/>
          <w:szCs w:val="21"/>
        </w:rPr>
      </w:pPr>
      <w:r>
        <w:rPr>
          <w:rFonts w:hint="eastAsia" w:ascii="宋体" w:hAnsi="宋体" w:eastAsia="宋体" w:cs="宋体"/>
          <w:bCs/>
          <w:color w:val="auto"/>
          <w:szCs w:val="21"/>
        </w:rPr>
        <w:t>（六）</w:t>
      </w:r>
      <w:r>
        <w:rPr>
          <w:rFonts w:hint="eastAsia" w:ascii="宋体" w:hAnsi="宋体" w:eastAsia="宋体" w:cs="宋体"/>
          <w:color w:val="auto"/>
          <w:szCs w:val="21"/>
        </w:rPr>
        <w:t>验收依据：</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1、本合同及合同附件。</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2、国家相应的标准、规范。</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3、招标文件、投标文件、澄清表（函）。</w:t>
      </w:r>
    </w:p>
    <w:p>
      <w:pPr>
        <w:tabs>
          <w:tab w:val="left" w:pos="480"/>
        </w:tabs>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十、违约责任</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（一）按《政府采购法》、《中华人民共和国民法典》中的相关条款执行。</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二）未按合同要求提供货物、质保服务或质量不能满足招标文件技术要求，在约定的条件下，乙方必须无条件更换，提高技术，完善质量，提供质保服务，否则，甲方有权解除合同，解除合同书面通知书到达乙方之日视为合同已解除，并按以下两种方式追究乙方的违约责任：</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1、乙方赔偿甲方解除合同的全部损失（包括但不限于重新采购产生的费用、合同未履行导致设备不能按规划交付使用可能产生的租赁费用及其它由此造成的甲方对第三方的违约损失）；</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2、乙方支付甲方违约金，违约金计算方法：以合同总价为基数，支付甲方合同总价的30%为违约金，同时，对乙方的违约行为报监管机构进行相应的处罚。</w:t>
      </w:r>
    </w:p>
    <w:p>
      <w:pPr>
        <w:tabs>
          <w:tab w:val="left" w:pos="480"/>
        </w:tabs>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十一、合同争议解决的方式</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本合同在履行过程中发生的争议，由甲、乙双方当事人协商解决，协商不成的依法向甲方所在地人民法院起诉。</w:t>
      </w:r>
    </w:p>
    <w:p>
      <w:pPr>
        <w:tabs>
          <w:tab w:val="left" w:pos="480"/>
        </w:tabs>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十二、合同生效</w:t>
      </w:r>
    </w:p>
    <w:p>
      <w:pPr>
        <w:tabs>
          <w:tab w:val="left" w:pos="480"/>
        </w:tabs>
        <w:spacing w:line="360" w:lineRule="auto"/>
        <w:rPr>
          <w:rFonts w:ascii="宋体" w:hAnsi="宋体" w:eastAsia="宋体" w:cs="宋体"/>
          <w:color w:val="auto"/>
          <w:szCs w:val="21"/>
        </w:rPr>
      </w:pPr>
      <w:bookmarkStart w:id="36" w:name="_Hlk527448041"/>
      <w:r>
        <w:rPr>
          <w:rFonts w:hint="eastAsia" w:ascii="宋体" w:hAnsi="宋体" w:eastAsia="宋体" w:cs="宋体"/>
          <w:color w:val="auto"/>
          <w:szCs w:val="21"/>
        </w:rPr>
        <w:t>本合同一式肆份，甲方贰份，乙方贰份，本合同自甲方、乙方双方签字盖章之日起生效，质保期结束后，自动终止（但合同的服务承诺除外）。</w:t>
      </w:r>
    </w:p>
    <w:bookmarkEnd w:id="36"/>
    <w:p>
      <w:pPr>
        <w:tabs>
          <w:tab w:val="left" w:pos="480"/>
        </w:tabs>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十三、其他事项</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（一）见证方作为政府集中采购代理机构对合同进行确认。</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（二）汉滨区财政局在合同的履行期间以及履行期后，可以随时检查项目的执行情况，对采购内容、标准进行调查核实，并对发现的问题进行处理。</w:t>
      </w:r>
    </w:p>
    <w:p>
      <w:pPr>
        <w:tabs>
          <w:tab w:val="left" w:pos="480"/>
        </w:tabs>
        <w:spacing w:line="360" w:lineRule="auto"/>
        <w:rPr>
          <w:rFonts w:ascii="宋体" w:hAnsi="宋体" w:eastAsia="宋体" w:cs="宋体"/>
          <w:color w:val="auto"/>
          <w:spacing w:val="-6"/>
          <w:sz w:val="21"/>
          <w:szCs w:val="21"/>
        </w:rPr>
      </w:pPr>
      <w:r>
        <w:rPr>
          <w:rFonts w:hint="eastAsia" w:ascii="宋体" w:hAnsi="宋体" w:eastAsia="宋体" w:cs="宋体"/>
          <w:color w:val="auto"/>
          <w:szCs w:val="21"/>
        </w:rPr>
        <w:t>（三）招标文件、投标文件、澄清表（函）、中标通知书、</w:t>
      </w:r>
      <w:r>
        <w:rPr>
          <w:rFonts w:hint="eastAsia" w:ascii="宋体" w:hAnsi="宋体" w:eastAsia="宋体" w:cs="宋体"/>
          <w:color w:val="auto"/>
          <w:spacing w:val="-6"/>
          <w:sz w:val="21"/>
          <w:szCs w:val="21"/>
        </w:rPr>
        <w:t>合同附件均成为合同不可分割的部分。</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（四）合同未尽事宜，由甲、乙双方协商，经见证方确认后，签订补充协议，与本合同具有同等法律效力。补充协议与本合同不一致的，以补充协议为准。</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（五）合同一经签订，不得擅自变更、中止或终止合同。对确需变更、调整或中止、终止合同的，有法律规定的按照法律规定，除合同约定外，由甲乙双方再行协商，协商一致前，原合同或条款继续履行。</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（六）本合同按照中华人民共和国的现行法律进行解释。</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（七）本合同附件作为本合同的组成部分，与本合同具有同等法律效力。</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（以下无正文）</w:t>
      </w:r>
    </w:p>
    <w:p>
      <w:pPr>
        <w:tabs>
          <w:tab w:val="left" w:pos="480"/>
        </w:tabs>
        <w:spacing w:line="360" w:lineRule="auto"/>
        <w:rPr>
          <w:rFonts w:ascii="宋体" w:hAnsi="宋体" w:eastAsia="宋体" w:cs="宋体"/>
          <w:color w:val="auto"/>
          <w:szCs w:val="21"/>
        </w:rPr>
      </w:pP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甲  方（法人公章）                  乙  方（法人公章）</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单位名称：                          单位名称:</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地  址：                            地  址：</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 xml:space="preserve">法定代表人：（签章）                法定代表人：（签章） </w:t>
      </w:r>
    </w:p>
    <w:p>
      <w:pPr>
        <w:tabs>
          <w:tab w:val="left" w:pos="480"/>
        </w:tabs>
        <w:spacing w:line="360" w:lineRule="auto"/>
        <w:ind w:firstLine="2940" w:firstLineChars="1400"/>
        <w:jc w:val="left"/>
        <w:rPr>
          <w:rFonts w:ascii="宋体" w:hAnsi="宋体" w:eastAsia="宋体" w:cs="宋体"/>
          <w:color w:val="auto"/>
          <w:szCs w:val="21"/>
        </w:rPr>
      </w:pPr>
      <w:r>
        <w:rPr>
          <w:rFonts w:hint="eastAsia" w:ascii="宋体" w:hAnsi="宋体" w:eastAsia="宋体" w:cs="宋体"/>
          <w:color w:val="auto"/>
          <w:szCs w:val="21"/>
        </w:rPr>
        <w:t xml:space="preserve">            开户银行:</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 xml:space="preserve">                                    账   号：</w:t>
      </w:r>
    </w:p>
    <w:p>
      <w:pPr>
        <w:tabs>
          <w:tab w:val="left" w:pos="480"/>
        </w:tabs>
        <w:spacing w:line="360" w:lineRule="auto"/>
        <w:rPr>
          <w:rFonts w:ascii="宋体" w:hAnsi="宋体" w:eastAsia="宋体" w:cs="宋体"/>
          <w:color w:val="auto"/>
          <w:szCs w:val="21"/>
        </w:rPr>
      </w:pPr>
      <w:r>
        <w:rPr>
          <w:rFonts w:hint="eastAsia" w:ascii="宋体" w:hAnsi="宋体" w:eastAsia="宋体" w:cs="宋体"/>
          <w:color w:val="auto"/>
          <w:szCs w:val="21"/>
        </w:rPr>
        <w:t>签订日期： 年  月  日               签订日期： 年  月  日</w:t>
      </w:r>
    </w:p>
    <w:p>
      <w:pPr>
        <w:pStyle w:val="3"/>
        <w:numPr>
          <w:ilvl w:val="0"/>
          <w:numId w:val="0"/>
        </w:numPr>
        <w:spacing w:line="360" w:lineRule="auto"/>
        <w:jc w:val="center"/>
        <w:rPr>
          <w:rFonts w:ascii="宋体" w:hAnsi="宋体" w:eastAsia="宋体" w:cs="宋体"/>
          <w:color w:val="auto"/>
        </w:rPr>
      </w:pPr>
      <w:r>
        <w:rPr>
          <w:rFonts w:hint="eastAsia" w:ascii="宋体" w:hAnsi="宋体" w:eastAsia="宋体" w:cs="宋体"/>
          <w:color w:val="auto"/>
        </w:rPr>
        <w:t>第六章 投标文件格式</w:t>
      </w:r>
    </w:p>
    <w:p>
      <w:pPr>
        <w:ind w:firstLine="422"/>
        <w:jc w:val="center"/>
        <w:rPr>
          <w:rFonts w:ascii="宋体" w:hAnsi="宋体" w:eastAsia="宋体" w:cs="宋体"/>
          <w:b/>
          <w:color w:val="auto"/>
          <w:szCs w:val="21"/>
        </w:rPr>
      </w:pPr>
      <w:r>
        <w:rPr>
          <w:rFonts w:hint="eastAsia" w:ascii="宋体" w:hAnsi="宋体" w:eastAsia="宋体" w:cs="宋体"/>
          <w:b/>
          <w:color w:val="auto"/>
          <w:szCs w:val="21"/>
        </w:rPr>
        <w:t>投标文件编制说明</w:t>
      </w:r>
    </w:p>
    <w:p>
      <w:pPr>
        <w:spacing w:line="360" w:lineRule="auto"/>
        <w:rPr>
          <w:rFonts w:ascii="宋体" w:hAnsi="宋体" w:eastAsia="宋体" w:cs="宋体"/>
          <w:color w:val="auto"/>
          <w:szCs w:val="21"/>
        </w:rPr>
      </w:pPr>
    </w:p>
    <w:p>
      <w:pPr>
        <w:spacing w:line="360" w:lineRule="auto"/>
        <w:rPr>
          <w:rFonts w:ascii="宋体" w:hAnsi="宋体" w:eastAsia="宋体" w:cs="宋体"/>
          <w:color w:val="auto"/>
          <w:szCs w:val="21"/>
        </w:rPr>
      </w:pPr>
      <w:r>
        <w:rPr>
          <w:rFonts w:hint="eastAsia" w:ascii="宋体" w:hAnsi="宋体" w:eastAsia="宋体" w:cs="宋体"/>
          <w:color w:val="auto"/>
          <w:szCs w:val="21"/>
        </w:rPr>
        <w:t>1、代理公司提供的投标文件格式，起到样式作用，编制投标文件前，请详细阅读招标文件，理解招标文件中的每一项要求。</w:t>
      </w:r>
    </w:p>
    <w:p>
      <w:pPr>
        <w:spacing w:line="360" w:lineRule="auto"/>
        <w:rPr>
          <w:rFonts w:ascii="宋体" w:hAnsi="宋体" w:eastAsia="宋体" w:cs="宋体"/>
          <w:color w:val="auto"/>
          <w:szCs w:val="21"/>
        </w:rPr>
      </w:pPr>
      <w:r>
        <w:rPr>
          <w:rFonts w:hint="eastAsia" w:ascii="宋体" w:hAnsi="宋体" w:eastAsia="宋体" w:cs="宋体"/>
          <w:color w:val="auto"/>
          <w:szCs w:val="21"/>
        </w:rPr>
        <w:t>2、投标文件的编制应按照样本格式提供的内容，做出逐一明确的答复；供应商认为有必要，还可以做其它补充说明。</w:t>
      </w:r>
    </w:p>
    <w:p>
      <w:pPr>
        <w:pStyle w:val="13"/>
        <w:jc w:val="center"/>
        <w:rPr>
          <w:rFonts w:ascii="宋体" w:hAnsi="宋体" w:cs="宋体"/>
          <w:b/>
          <w:color w:val="auto"/>
          <w:sz w:val="24"/>
          <w:szCs w:val="24"/>
        </w:rPr>
      </w:pPr>
      <w:r>
        <w:rPr>
          <w:rFonts w:hint="eastAsia" w:ascii="宋体" w:hAnsi="宋体" w:cs="宋体"/>
          <w:color w:val="auto"/>
          <w:szCs w:val="21"/>
        </w:rPr>
        <w:br w:type="page"/>
      </w:r>
    </w:p>
    <w:p>
      <w:pPr>
        <w:spacing w:line="360" w:lineRule="auto"/>
        <w:ind w:firstLine="0" w:firstLineChars="0"/>
        <w:rPr>
          <w:rFonts w:ascii="宋体" w:hAnsi="宋体" w:eastAsia="宋体" w:cs="宋体"/>
          <w:b/>
          <w:color w:val="auto"/>
          <w:sz w:val="28"/>
        </w:rPr>
      </w:pPr>
      <w:r>
        <w:rPr>
          <w:rFonts w:hint="eastAsia" w:ascii="宋体" w:hAnsi="宋体" w:eastAsia="宋体" w:cs="宋体"/>
          <w:b/>
          <w:color w:val="auto"/>
          <w:sz w:val="28"/>
        </w:rPr>
        <w:t xml:space="preserve">项目编号： </w:t>
      </w:r>
    </w:p>
    <w:p>
      <w:pPr>
        <w:pStyle w:val="13"/>
        <w:rPr>
          <w:rFonts w:ascii="宋体" w:hAnsi="宋体" w:cs="宋体"/>
          <w:b/>
          <w:color w:val="auto"/>
        </w:rPr>
      </w:pPr>
    </w:p>
    <w:p>
      <w:pPr>
        <w:pStyle w:val="13"/>
        <w:rPr>
          <w:rFonts w:ascii="宋体" w:hAnsi="宋体" w:cs="宋体"/>
          <w:b/>
          <w:color w:val="auto"/>
        </w:rPr>
      </w:pPr>
    </w:p>
    <w:p>
      <w:pPr>
        <w:ind w:firstLine="867"/>
        <w:jc w:val="center"/>
        <w:rPr>
          <w:rFonts w:ascii="宋体" w:hAnsi="宋体" w:eastAsia="宋体" w:cs="宋体"/>
          <w:b/>
          <w:color w:val="auto"/>
          <w:spacing w:val="-4"/>
          <w:sz w:val="44"/>
          <w:szCs w:val="44"/>
        </w:rPr>
      </w:pPr>
    </w:p>
    <w:p>
      <w:pPr>
        <w:pStyle w:val="14"/>
        <w:ind w:firstLine="542"/>
        <w:jc w:val="center"/>
        <w:rPr>
          <w:rFonts w:hint="eastAsia" w:ascii="宋体" w:hAnsi="宋体" w:cs="宋体"/>
          <w:b/>
          <w:color w:val="auto"/>
          <w:spacing w:val="-20"/>
          <w:sz w:val="44"/>
          <w:szCs w:val="44"/>
          <w:lang w:eastAsia="zh-CN"/>
        </w:rPr>
      </w:pPr>
      <w:r>
        <w:rPr>
          <w:rFonts w:hint="eastAsia" w:ascii="宋体" w:hAnsi="宋体" w:cs="宋体"/>
          <w:b/>
          <w:color w:val="auto"/>
          <w:spacing w:val="-20"/>
          <w:sz w:val="44"/>
          <w:szCs w:val="44"/>
          <w:lang w:eastAsia="zh-CN"/>
        </w:rPr>
        <w:t>汉滨区第三人民医院信息安全等级保护</w:t>
      </w:r>
    </w:p>
    <w:p>
      <w:pPr>
        <w:pStyle w:val="14"/>
        <w:ind w:firstLine="542"/>
        <w:jc w:val="center"/>
        <w:rPr>
          <w:rFonts w:hint="eastAsia" w:ascii="宋体" w:hAnsi="宋体" w:eastAsia="宋体" w:cs="宋体"/>
          <w:b/>
          <w:color w:val="auto"/>
          <w:spacing w:val="-20"/>
          <w:sz w:val="58"/>
          <w:szCs w:val="58"/>
          <w:lang w:eastAsia="zh-CN"/>
        </w:rPr>
      </w:pPr>
      <w:r>
        <w:rPr>
          <w:rFonts w:hint="eastAsia" w:ascii="宋体" w:hAnsi="宋体" w:cs="宋体"/>
          <w:b/>
          <w:color w:val="auto"/>
          <w:spacing w:val="-20"/>
          <w:sz w:val="44"/>
          <w:szCs w:val="44"/>
          <w:lang w:eastAsia="zh-CN"/>
        </w:rPr>
        <w:t>建设项目</w:t>
      </w:r>
    </w:p>
    <w:p>
      <w:pPr>
        <w:ind w:firstLine="707"/>
        <w:jc w:val="center"/>
        <w:rPr>
          <w:rFonts w:ascii="宋体" w:hAnsi="宋体" w:eastAsia="宋体" w:cs="宋体"/>
          <w:b/>
          <w:color w:val="auto"/>
          <w:spacing w:val="-4"/>
          <w:sz w:val="36"/>
          <w:szCs w:val="36"/>
        </w:rPr>
      </w:pPr>
    </w:p>
    <w:p>
      <w:pPr>
        <w:ind w:firstLine="707"/>
        <w:jc w:val="center"/>
        <w:rPr>
          <w:rFonts w:ascii="宋体" w:hAnsi="宋体" w:eastAsia="宋体" w:cs="宋体"/>
          <w:b/>
          <w:color w:val="auto"/>
          <w:spacing w:val="-4"/>
          <w:sz w:val="36"/>
          <w:szCs w:val="36"/>
        </w:rPr>
      </w:pPr>
    </w:p>
    <w:p>
      <w:pPr>
        <w:ind w:firstLine="1265"/>
        <w:jc w:val="center"/>
        <w:rPr>
          <w:rFonts w:ascii="宋体" w:hAnsi="宋体" w:eastAsia="宋体" w:cs="宋体"/>
          <w:b/>
          <w:color w:val="auto"/>
          <w:sz w:val="63"/>
          <w:szCs w:val="63"/>
        </w:rPr>
      </w:pPr>
      <w:r>
        <w:rPr>
          <w:rFonts w:hint="eastAsia" w:ascii="宋体" w:hAnsi="宋体" w:eastAsia="宋体" w:cs="宋体"/>
          <w:b/>
          <w:color w:val="auto"/>
          <w:sz w:val="63"/>
          <w:szCs w:val="63"/>
        </w:rPr>
        <w:t>投 标 文 件</w:t>
      </w:r>
    </w:p>
    <w:p>
      <w:pPr>
        <w:tabs>
          <w:tab w:val="left" w:pos="2520"/>
        </w:tabs>
        <w:ind w:firstLine="723"/>
        <w:jc w:val="center"/>
        <w:rPr>
          <w:rFonts w:ascii="宋体" w:hAnsi="宋体" w:eastAsia="宋体" w:cs="宋体"/>
          <w:b/>
          <w:color w:val="auto"/>
          <w:sz w:val="36"/>
        </w:rPr>
      </w:pPr>
    </w:p>
    <w:p>
      <w:pPr>
        <w:pStyle w:val="13"/>
        <w:rPr>
          <w:rFonts w:ascii="宋体" w:hAnsi="宋体" w:cs="宋体"/>
          <w:b/>
          <w:color w:val="auto"/>
          <w:sz w:val="36"/>
        </w:rPr>
      </w:pPr>
    </w:p>
    <w:p>
      <w:pPr>
        <w:pStyle w:val="13"/>
        <w:rPr>
          <w:rFonts w:ascii="宋体" w:hAnsi="宋体" w:cs="宋体"/>
          <w:b/>
          <w:color w:val="auto"/>
          <w:sz w:val="36"/>
        </w:rPr>
      </w:pPr>
    </w:p>
    <w:p>
      <w:pPr>
        <w:ind w:firstLine="480"/>
        <w:jc w:val="center"/>
        <w:rPr>
          <w:rFonts w:ascii="宋体" w:hAnsi="宋体" w:eastAsia="宋体" w:cs="宋体"/>
          <w:color w:val="auto"/>
          <w:sz w:val="24"/>
        </w:rPr>
      </w:pPr>
    </w:p>
    <w:p>
      <w:pPr>
        <w:ind w:firstLine="480"/>
        <w:rPr>
          <w:rFonts w:ascii="宋体" w:hAnsi="宋体" w:eastAsia="宋体" w:cs="宋体"/>
          <w:color w:val="auto"/>
          <w:sz w:val="24"/>
        </w:rPr>
      </w:pPr>
    </w:p>
    <w:p>
      <w:pPr>
        <w:pStyle w:val="12"/>
        <w:ind w:firstLine="0" w:firstLineChars="0"/>
        <w:rPr>
          <w:rFonts w:ascii="宋体" w:hAnsi="宋体" w:eastAsia="宋体" w:cs="宋体"/>
          <w:color w:val="auto"/>
          <w:sz w:val="24"/>
        </w:rPr>
      </w:pPr>
    </w:p>
    <w:p>
      <w:pPr>
        <w:pStyle w:val="12"/>
        <w:ind w:firstLine="0" w:firstLineChars="0"/>
        <w:rPr>
          <w:rFonts w:ascii="宋体" w:hAnsi="宋体" w:eastAsia="宋体" w:cs="宋体"/>
          <w:color w:val="auto"/>
          <w:sz w:val="24"/>
        </w:rPr>
      </w:pPr>
    </w:p>
    <w:p>
      <w:pPr>
        <w:pStyle w:val="12"/>
        <w:ind w:firstLine="480"/>
        <w:rPr>
          <w:rFonts w:ascii="宋体" w:hAnsi="宋体" w:eastAsia="宋体" w:cs="宋体"/>
          <w:color w:val="auto"/>
          <w:sz w:val="24"/>
        </w:rPr>
      </w:pPr>
    </w:p>
    <w:p>
      <w:pPr>
        <w:pStyle w:val="12"/>
        <w:ind w:firstLine="480"/>
        <w:rPr>
          <w:rFonts w:ascii="宋体" w:hAnsi="宋体" w:eastAsia="宋体" w:cs="宋体"/>
          <w:color w:val="auto"/>
          <w:sz w:val="24"/>
        </w:rPr>
      </w:pPr>
    </w:p>
    <w:p>
      <w:pPr>
        <w:pStyle w:val="12"/>
        <w:ind w:firstLine="480"/>
        <w:rPr>
          <w:rFonts w:ascii="宋体" w:hAnsi="宋体" w:eastAsia="宋体" w:cs="宋体"/>
          <w:color w:val="auto"/>
          <w:sz w:val="24"/>
        </w:rPr>
      </w:pPr>
    </w:p>
    <w:p>
      <w:pPr>
        <w:pStyle w:val="12"/>
        <w:ind w:firstLine="480"/>
        <w:rPr>
          <w:rFonts w:ascii="宋体" w:hAnsi="宋体" w:eastAsia="宋体" w:cs="宋体"/>
          <w:color w:val="auto"/>
          <w:sz w:val="24"/>
        </w:rPr>
      </w:pPr>
    </w:p>
    <w:p>
      <w:pPr>
        <w:pStyle w:val="12"/>
        <w:ind w:firstLine="480"/>
        <w:rPr>
          <w:rFonts w:ascii="宋体" w:hAnsi="宋体" w:eastAsia="宋体" w:cs="宋体"/>
          <w:color w:val="auto"/>
          <w:sz w:val="24"/>
        </w:rPr>
      </w:pPr>
    </w:p>
    <w:p>
      <w:pPr>
        <w:ind w:firstLine="480"/>
        <w:rPr>
          <w:rFonts w:ascii="宋体" w:hAnsi="宋体" w:eastAsia="宋体" w:cs="宋体"/>
          <w:color w:val="auto"/>
          <w:sz w:val="24"/>
        </w:rPr>
      </w:pPr>
    </w:p>
    <w:p>
      <w:pPr>
        <w:spacing w:line="720" w:lineRule="auto"/>
        <w:ind w:firstLine="1084" w:firstLineChars="450"/>
        <w:rPr>
          <w:rFonts w:ascii="宋体" w:hAnsi="宋体" w:eastAsia="宋体" w:cs="宋体"/>
          <w:b/>
          <w:color w:val="auto"/>
          <w:sz w:val="24"/>
          <w:szCs w:val="24"/>
          <w:u w:val="single"/>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（盖单位公章）</w:t>
      </w:r>
    </w:p>
    <w:p>
      <w:pPr>
        <w:spacing w:line="720" w:lineRule="auto"/>
        <w:ind w:firstLine="1084" w:firstLineChars="450"/>
        <w:rPr>
          <w:rFonts w:ascii="宋体" w:hAnsi="宋体" w:eastAsia="宋体" w:cs="宋体"/>
          <w:b/>
          <w:color w:val="auto"/>
          <w:sz w:val="24"/>
          <w:szCs w:val="24"/>
          <w:u w:val="single"/>
        </w:rPr>
      </w:pPr>
      <w:r>
        <w:rPr>
          <w:rFonts w:hint="eastAsia" w:ascii="宋体" w:hAnsi="宋体" w:eastAsia="宋体" w:cs="宋体"/>
          <w:b/>
          <w:color w:val="auto"/>
          <w:sz w:val="24"/>
          <w:szCs w:val="24"/>
        </w:rPr>
        <w:t>法定代表人（单位负责人）或其委托代理人：</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（签字或盖章）</w:t>
      </w:r>
    </w:p>
    <w:p>
      <w:pPr>
        <w:spacing w:line="720" w:lineRule="auto"/>
        <w:ind w:firstLine="3494" w:firstLineChars="1450"/>
        <w:rPr>
          <w:rFonts w:ascii="宋体" w:hAnsi="宋体" w:eastAsia="宋体" w:cs="宋体"/>
          <w:b/>
          <w:color w:val="auto"/>
          <w:sz w:val="24"/>
          <w:szCs w:val="24"/>
        </w:rPr>
      </w:pPr>
      <w:r>
        <w:rPr>
          <w:rFonts w:hint="eastAsia" w:ascii="宋体" w:hAnsi="宋体" w:eastAsia="宋体" w:cs="宋体"/>
          <w:b/>
          <w:color w:val="auto"/>
          <w:sz w:val="24"/>
          <w:szCs w:val="24"/>
        </w:rPr>
        <w:t xml:space="preserve">    年   月   日</w:t>
      </w:r>
    </w:p>
    <w:p>
      <w:pPr>
        <w:autoSpaceDE w:val="0"/>
        <w:autoSpaceDN w:val="0"/>
        <w:spacing w:line="360" w:lineRule="auto"/>
        <w:jc w:val="center"/>
        <w:rPr>
          <w:rFonts w:ascii="宋体" w:hAnsi="宋体" w:eastAsia="宋体" w:cs="宋体"/>
          <w:b/>
          <w:color w:val="auto"/>
          <w:sz w:val="32"/>
          <w:szCs w:val="32"/>
          <w:lang w:val="zh-CN"/>
        </w:rPr>
      </w:pPr>
      <w:r>
        <w:rPr>
          <w:rFonts w:hint="eastAsia" w:ascii="宋体" w:hAnsi="宋体" w:eastAsia="宋体" w:cs="宋体"/>
          <w:color w:val="auto"/>
          <w:szCs w:val="21"/>
          <w:lang w:val="zh-CN"/>
        </w:rPr>
        <w:br w:type="page"/>
      </w:r>
      <w:r>
        <w:rPr>
          <w:rFonts w:hint="eastAsia" w:ascii="宋体" w:hAnsi="宋体" w:eastAsia="宋体" w:cs="宋体"/>
          <w:b/>
          <w:color w:val="auto"/>
          <w:sz w:val="32"/>
          <w:szCs w:val="32"/>
          <w:lang w:val="zh-CN"/>
        </w:rPr>
        <w:t>目</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zh-CN"/>
        </w:rPr>
        <w:t>录</w:t>
      </w:r>
    </w:p>
    <w:p>
      <w:pPr>
        <w:autoSpaceDE w:val="0"/>
        <w:autoSpaceDN w:val="0"/>
        <w:spacing w:line="360" w:lineRule="auto"/>
        <w:rPr>
          <w:rFonts w:ascii="宋体" w:hAnsi="宋体" w:eastAsia="宋体" w:cs="宋体"/>
          <w:color w:val="auto"/>
          <w:szCs w:val="21"/>
          <w:lang w:val="zh-CN"/>
        </w:rPr>
      </w:pPr>
    </w:p>
    <w:p>
      <w:pPr>
        <w:autoSpaceDE w:val="0"/>
        <w:autoSpaceDN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一、投标函................................................................ 页码</w:t>
      </w:r>
    </w:p>
    <w:p>
      <w:pPr>
        <w:autoSpaceDE w:val="0"/>
        <w:autoSpaceDN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二、开标一览表............................................................ 页码</w:t>
      </w:r>
    </w:p>
    <w:p>
      <w:pPr>
        <w:autoSpaceDE w:val="0"/>
        <w:autoSpaceDN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三、资格审查资料......... ................................................ 页码</w:t>
      </w:r>
    </w:p>
    <w:p>
      <w:pPr>
        <w:autoSpaceDE w:val="0"/>
        <w:autoSpaceDN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四、商务</w:t>
      </w:r>
      <w:r>
        <w:rPr>
          <w:rFonts w:hint="eastAsia" w:ascii="宋体" w:hAnsi="宋体" w:eastAsia="宋体" w:cs="宋体"/>
          <w:color w:val="auto"/>
          <w:szCs w:val="21"/>
        </w:rPr>
        <w:t>响应偏离表</w:t>
      </w:r>
      <w:r>
        <w:rPr>
          <w:rFonts w:hint="eastAsia" w:ascii="宋体" w:hAnsi="宋体" w:eastAsia="宋体" w:cs="宋体"/>
          <w:color w:val="auto"/>
          <w:szCs w:val="21"/>
          <w:lang w:val="zh-CN"/>
        </w:rPr>
        <w:t>...................................... ..................页码</w:t>
      </w:r>
    </w:p>
    <w:p>
      <w:pPr>
        <w:autoSpaceDE w:val="0"/>
        <w:autoSpaceDN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五、商务和技术响应........................................................ 页码</w:t>
      </w:r>
    </w:p>
    <w:p>
      <w:pPr>
        <w:autoSpaceDE w:val="0"/>
        <w:autoSpaceDN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六、承诺书................................................................ 页码</w:t>
      </w:r>
    </w:p>
    <w:p>
      <w:pPr>
        <w:autoSpaceDE w:val="0"/>
        <w:autoSpaceDN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七、其他资料............... ... .......................................... 页码</w:t>
      </w:r>
    </w:p>
    <w:p>
      <w:pPr>
        <w:spacing w:line="360" w:lineRule="auto"/>
        <w:jc w:val="center"/>
        <w:outlineLvl w:val="0"/>
        <w:rPr>
          <w:rFonts w:ascii="宋体" w:hAnsi="宋体" w:eastAsia="宋体" w:cs="宋体"/>
          <w:b/>
          <w:color w:val="auto"/>
          <w:sz w:val="32"/>
          <w:szCs w:val="32"/>
        </w:rPr>
      </w:pPr>
      <w:r>
        <w:rPr>
          <w:rFonts w:hint="eastAsia" w:ascii="宋体" w:hAnsi="宋体" w:eastAsia="宋体" w:cs="宋体"/>
          <w:color w:val="auto"/>
          <w:szCs w:val="21"/>
          <w:lang w:val="zh-CN"/>
        </w:rPr>
        <w:br w:type="page"/>
      </w:r>
      <w:bookmarkStart w:id="37" w:name="_Toc233636425"/>
      <w:bookmarkStart w:id="38" w:name="_Toc293999384"/>
      <w:bookmarkStart w:id="39" w:name="_Toc233636514"/>
      <w:bookmarkStart w:id="40" w:name="_Toc233636187"/>
      <w:bookmarkStart w:id="41" w:name="_Toc269407892"/>
      <w:bookmarkStart w:id="42" w:name="_Toc269407677"/>
      <w:bookmarkStart w:id="43" w:name="_Toc293999499"/>
      <w:bookmarkStart w:id="44" w:name="_Toc232673690"/>
      <w:bookmarkStart w:id="45" w:name="_Toc2172"/>
      <w:bookmarkStart w:id="46" w:name="_Toc233636373"/>
      <w:bookmarkStart w:id="47" w:name="_Toc238899445"/>
      <w:bookmarkStart w:id="48" w:name="_Toc233636463"/>
      <w:bookmarkStart w:id="49" w:name="_Toc235544713"/>
      <w:bookmarkStart w:id="50" w:name="_Toc250572326"/>
      <w:bookmarkStart w:id="51" w:name="_Toc260140533"/>
      <w:r>
        <w:rPr>
          <w:rFonts w:ascii="宋体" w:hAnsi="宋体" w:eastAsia="宋体" w:cs="宋体"/>
          <w:b/>
          <w:color w:val="auto"/>
          <w:sz w:val="32"/>
          <w:szCs w:val="32"/>
        </w:rPr>
        <w:t>一、投标函</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致：陕西方得项目管理有限公司</w:t>
      </w:r>
    </w:p>
    <w:p>
      <w:pPr>
        <w:spacing w:line="360" w:lineRule="auto"/>
        <w:rPr>
          <w:rFonts w:ascii="宋体" w:hAnsi="宋体" w:eastAsia="宋体" w:cs="宋体"/>
          <w:color w:val="auto"/>
          <w:szCs w:val="21"/>
        </w:rPr>
      </w:pPr>
      <w:r>
        <w:rPr>
          <w:rFonts w:hint="eastAsia" w:ascii="宋体" w:hAnsi="宋体" w:eastAsia="宋体" w:cs="宋体"/>
          <w:color w:val="auto"/>
          <w:szCs w:val="21"/>
        </w:rPr>
        <w:t>我方收到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项目（项目编号：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）招标文件，决定参加该项目投标活动，并参与投标会议。为此，我方郑重声明以下诸点，并负法律责任。</w:t>
      </w:r>
    </w:p>
    <w:p>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1.愿意按照招标文件中的所有技术及商务要求，完成本项目的供货、安装、调试、售后服务等全部内容。投标报价为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元（大写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w:t>
      </w:r>
    </w:p>
    <w:p>
      <w:pPr>
        <w:spacing w:line="360" w:lineRule="auto"/>
        <w:rPr>
          <w:rFonts w:ascii="宋体" w:hAnsi="宋体" w:eastAsia="宋体" w:cs="宋体"/>
          <w:color w:val="auto"/>
          <w:szCs w:val="21"/>
        </w:rPr>
      </w:pPr>
      <w:r>
        <w:rPr>
          <w:rFonts w:hint="eastAsia" w:ascii="宋体" w:hAnsi="宋体" w:eastAsia="宋体" w:cs="宋体"/>
          <w:color w:val="auto"/>
          <w:szCs w:val="21"/>
        </w:rPr>
        <w:t>2.如果我们投标文件被接受，我们将履行招标文件中规定的每一项要求，按期、按质、按量完成任务。</w:t>
      </w:r>
    </w:p>
    <w:p>
      <w:pPr>
        <w:spacing w:line="360" w:lineRule="auto"/>
        <w:rPr>
          <w:rFonts w:ascii="宋体" w:hAnsi="宋体" w:eastAsia="宋体" w:cs="宋体"/>
          <w:color w:val="auto"/>
          <w:szCs w:val="21"/>
        </w:rPr>
      </w:pPr>
      <w:r>
        <w:rPr>
          <w:rFonts w:hint="eastAsia" w:ascii="宋体" w:hAnsi="宋体" w:eastAsia="宋体" w:cs="宋体"/>
          <w:color w:val="auto"/>
          <w:szCs w:val="21"/>
        </w:rPr>
        <w:t>3.我们理解，最低报价不是中标的唯一条件，你方有选择供应商的权力。</w:t>
      </w:r>
    </w:p>
    <w:p>
      <w:pPr>
        <w:spacing w:line="360" w:lineRule="auto"/>
        <w:rPr>
          <w:rFonts w:ascii="宋体" w:hAnsi="宋体" w:eastAsia="宋体" w:cs="宋体"/>
          <w:color w:val="auto"/>
          <w:szCs w:val="21"/>
        </w:rPr>
      </w:pPr>
      <w:r>
        <w:rPr>
          <w:rFonts w:hint="eastAsia" w:ascii="宋体" w:hAnsi="宋体" w:eastAsia="宋体" w:cs="宋体"/>
          <w:color w:val="auto"/>
          <w:szCs w:val="21"/>
        </w:rPr>
        <w:t>4.我们愿按《中华人民共和国合同法》履行自己的全部责任。</w:t>
      </w:r>
    </w:p>
    <w:p>
      <w:pPr>
        <w:spacing w:line="360" w:lineRule="auto"/>
        <w:rPr>
          <w:rFonts w:ascii="宋体" w:hAnsi="宋体" w:eastAsia="宋体" w:cs="宋体"/>
          <w:color w:val="auto"/>
          <w:szCs w:val="21"/>
        </w:rPr>
      </w:pPr>
      <w:r>
        <w:rPr>
          <w:rFonts w:hint="eastAsia" w:ascii="宋体" w:hAnsi="宋体" w:eastAsia="宋体" w:cs="宋体"/>
          <w:color w:val="auto"/>
          <w:szCs w:val="21"/>
        </w:rPr>
        <w:t>5.我们同意按招标文件规定，遵守贵公司有关规定和收费标准。</w:t>
      </w:r>
    </w:p>
    <w:p>
      <w:pPr>
        <w:spacing w:line="360" w:lineRule="auto"/>
        <w:rPr>
          <w:rFonts w:ascii="宋体" w:hAnsi="宋体" w:eastAsia="宋体" w:cs="宋体"/>
          <w:color w:val="auto"/>
          <w:szCs w:val="21"/>
        </w:rPr>
      </w:pPr>
      <w:r>
        <w:rPr>
          <w:rFonts w:hint="eastAsia" w:ascii="宋体" w:hAnsi="宋体" w:eastAsia="宋体" w:cs="宋体"/>
          <w:color w:val="auto"/>
          <w:szCs w:val="21"/>
        </w:rPr>
        <w:t>6.我方的投标文件有效期为</w:t>
      </w:r>
      <w:r>
        <w:rPr>
          <w:rFonts w:hint="eastAsia" w:ascii="宋体" w:hAnsi="宋体" w:eastAsia="宋体" w:cs="宋体"/>
          <w:color w:val="auto"/>
          <w:szCs w:val="21"/>
          <w:lang w:val="en-US" w:eastAsia="zh-CN"/>
        </w:rPr>
        <w:t>90日历</w:t>
      </w:r>
      <w:r>
        <w:rPr>
          <w:rFonts w:hint="eastAsia" w:ascii="宋体" w:hAnsi="宋体" w:eastAsia="宋体" w:cs="宋体"/>
          <w:color w:val="auto"/>
          <w:szCs w:val="21"/>
        </w:rPr>
        <w:t>日。</w:t>
      </w:r>
    </w:p>
    <w:p>
      <w:pPr>
        <w:spacing w:line="360" w:lineRule="auto"/>
        <w:rPr>
          <w:rFonts w:ascii="宋体" w:hAnsi="宋体" w:eastAsia="宋体" w:cs="宋体"/>
          <w:color w:val="auto"/>
          <w:szCs w:val="21"/>
        </w:rPr>
      </w:pPr>
      <w:r>
        <w:rPr>
          <w:rFonts w:hint="eastAsia" w:ascii="宋体" w:hAnsi="宋体" w:eastAsia="宋体" w:cs="宋体"/>
          <w:color w:val="auto"/>
          <w:szCs w:val="21"/>
        </w:rPr>
        <w:t>7.我方完全接受并响应招标文件、答疑文件（如有）、评标办法等关于本项目相关文件的要求，严格遵守招标过程的时间安排、程序安排等细节，对此无任何异议。</w:t>
      </w:r>
    </w:p>
    <w:p>
      <w:pPr>
        <w:spacing w:line="360" w:lineRule="auto"/>
        <w:rPr>
          <w:rFonts w:ascii="宋体" w:hAnsi="宋体" w:eastAsia="宋体" w:cs="宋体"/>
          <w:color w:val="auto"/>
          <w:szCs w:val="21"/>
        </w:rPr>
      </w:pPr>
      <w:r>
        <w:rPr>
          <w:rFonts w:hint="eastAsia" w:ascii="宋体" w:hAnsi="宋体" w:eastAsia="宋体" w:cs="宋体"/>
          <w:color w:val="auto"/>
          <w:szCs w:val="21"/>
        </w:rPr>
        <w:t>8.所有关于本投标文件的函电，请按下列地址联系。</w:t>
      </w:r>
    </w:p>
    <w:p>
      <w:pPr>
        <w:spacing w:line="480" w:lineRule="auto"/>
        <w:jc w:val="left"/>
        <w:rPr>
          <w:rFonts w:ascii="宋体" w:hAnsi="宋体" w:eastAsia="宋体" w:cs="宋体"/>
          <w:color w:val="auto"/>
          <w:szCs w:val="21"/>
        </w:rPr>
      </w:pPr>
    </w:p>
    <w:p>
      <w:pPr>
        <w:spacing w:line="480" w:lineRule="auto"/>
        <w:jc w:val="left"/>
        <w:rPr>
          <w:rFonts w:ascii="宋体" w:hAnsi="宋体" w:eastAsia="宋体" w:cs="宋体"/>
          <w:color w:val="auto"/>
          <w:szCs w:val="21"/>
        </w:rPr>
      </w:pPr>
      <w:r>
        <w:rPr>
          <w:rFonts w:hint="eastAsia" w:ascii="宋体" w:hAnsi="宋体" w:eastAsia="宋体" w:cs="宋体"/>
          <w:color w:val="auto"/>
          <w:szCs w:val="21"/>
        </w:rPr>
        <w:t>投标人全称：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（盖章）</w:t>
      </w:r>
    </w:p>
    <w:p>
      <w:pPr>
        <w:spacing w:line="480" w:lineRule="auto"/>
        <w:jc w:val="left"/>
        <w:rPr>
          <w:rFonts w:ascii="宋体" w:hAnsi="宋体" w:eastAsia="宋体" w:cs="宋体"/>
          <w:color w:val="auto"/>
          <w:szCs w:val="21"/>
        </w:rPr>
      </w:pPr>
      <w:r>
        <w:rPr>
          <w:rFonts w:hint="eastAsia" w:ascii="宋体" w:hAnsi="宋体" w:eastAsia="宋体" w:cs="宋体"/>
          <w:color w:val="auto"/>
          <w:szCs w:val="21"/>
        </w:rPr>
        <w:t>法定代表人或被授权人：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（签字或盖章）</w:t>
      </w:r>
    </w:p>
    <w:p>
      <w:pPr>
        <w:spacing w:line="480" w:lineRule="auto"/>
        <w:jc w:val="left"/>
        <w:rPr>
          <w:rFonts w:ascii="宋体" w:hAnsi="宋体" w:eastAsia="宋体" w:cs="宋体"/>
          <w:color w:val="auto"/>
          <w:szCs w:val="21"/>
          <w:u w:val="single"/>
        </w:rPr>
      </w:pPr>
      <w:r>
        <w:rPr>
          <w:rFonts w:hint="eastAsia" w:ascii="宋体" w:hAnsi="宋体" w:eastAsia="宋体" w:cs="宋体"/>
          <w:color w:val="auto"/>
          <w:szCs w:val="21"/>
        </w:rPr>
        <w:t>地    址：</w:t>
      </w:r>
      <w:r>
        <w:rPr>
          <w:rFonts w:hint="eastAsia" w:ascii="宋体" w:hAnsi="宋体" w:eastAsia="宋体" w:cs="宋体"/>
          <w:color w:val="auto"/>
          <w:szCs w:val="21"/>
          <w:u w:val="single"/>
        </w:rPr>
        <w:t xml:space="preserve">                                    </w:t>
      </w:r>
    </w:p>
    <w:p>
      <w:pPr>
        <w:spacing w:line="480" w:lineRule="auto"/>
        <w:jc w:val="left"/>
        <w:rPr>
          <w:rFonts w:ascii="宋体" w:hAnsi="宋体" w:eastAsia="宋体" w:cs="宋体"/>
          <w:color w:val="auto"/>
          <w:szCs w:val="21"/>
          <w:u w:val="single"/>
        </w:rPr>
      </w:pPr>
      <w:r>
        <w:rPr>
          <w:rFonts w:hint="eastAsia" w:ascii="宋体" w:hAnsi="宋体" w:eastAsia="宋体" w:cs="宋体"/>
          <w:color w:val="auto"/>
          <w:szCs w:val="21"/>
        </w:rPr>
        <w:t>开 户 行：</w:t>
      </w:r>
      <w:r>
        <w:rPr>
          <w:rFonts w:hint="eastAsia" w:ascii="宋体" w:hAnsi="宋体" w:eastAsia="宋体" w:cs="宋体"/>
          <w:color w:val="auto"/>
          <w:szCs w:val="21"/>
          <w:u w:val="single"/>
        </w:rPr>
        <w:t xml:space="preserve">                                    </w:t>
      </w:r>
    </w:p>
    <w:p>
      <w:pPr>
        <w:spacing w:line="480" w:lineRule="auto"/>
        <w:jc w:val="left"/>
        <w:rPr>
          <w:rFonts w:ascii="宋体" w:hAnsi="宋体" w:eastAsia="宋体" w:cs="宋体"/>
          <w:color w:val="auto"/>
          <w:szCs w:val="21"/>
        </w:rPr>
      </w:pPr>
      <w:r>
        <w:rPr>
          <w:rFonts w:hint="eastAsia" w:ascii="宋体" w:hAnsi="宋体" w:eastAsia="宋体" w:cs="宋体"/>
          <w:color w:val="auto"/>
          <w:szCs w:val="21"/>
        </w:rPr>
        <w:t>帐    号：</w:t>
      </w:r>
      <w:r>
        <w:rPr>
          <w:rFonts w:hint="eastAsia" w:ascii="宋体" w:hAnsi="宋体" w:eastAsia="宋体" w:cs="宋体"/>
          <w:color w:val="auto"/>
          <w:szCs w:val="21"/>
          <w:u w:val="single"/>
        </w:rPr>
        <w:t xml:space="preserve">                                    </w:t>
      </w:r>
    </w:p>
    <w:p>
      <w:pPr>
        <w:spacing w:line="480" w:lineRule="auto"/>
        <w:jc w:val="left"/>
        <w:rPr>
          <w:rFonts w:ascii="宋体" w:hAnsi="宋体" w:eastAsia="宋体" w:cs="宋体"/>
          <w:color w:val="auto"/>
          <w:szCs w:val="21"/>
        </w:rPr>
      </w:pPr>
      <w:r>
        <w:rPr>
          <w:rFonts w:hint="eastAsia" w:ascii="宋体" w:hAnsi="宋体" w:eastAsia="宋体" w:cs="宋体"/>
          <w:color w:val="auto"/>
          <w:szCs w:val="21"/>
        </w:rPr>
        <w:t>电    话：</w:t>
      </w:r>
      <w:r>
        <w:rPr>
          <w:rFonts w:hint="eastAsia" w:ascii="宋体" w:hAnsi="宋体" w:eastAsia="宋体" w:cs="宋体"/>
          <w:color w:val="auto"/>
          <w:szCs w:val="21"/>
          <w:u w:val="single"/>
        </w:rPr>
        <w:t xml:space="preserve">                                    </w:t>
      </w:r>
    </w:p>
    <w:p>
      <w:pPr>
        <w:spacing w:line="480" w:lineRule="auto"/>
        <w:jc w:val="left"/>
        <w:rPr>
          <w:rFonts w:ascii="宋体" w:hAnsi="宋体" w:eastAsia="宋体" w:cs="宋体"/>
          <w:color w:val="auto"/>
          <w:szCs w:val="21"/>
        </w:rPr>
      </w:pPr>
      <w:r>
        <w:rPr>
          <w:rFonts w:hint="eastAsia" w:ascii="宋体" w:hAnsi="宋体" w:eastAsia="宋体" w:cs="宋体"/>
          <w:color w:val="auto"/>
          <w:szCs w:val="21"/>
        </w:rPr>
        <w:t>传    真：</w:t>
      </w:r>
      <w:r>
        <w:rPr>
          <w:rFonts w:hint="eastAsia" w:ascii="宋体" w:hAnsi="宋体" w:eastAsia="宋体" w:cs="宋体"/>
          <w:color w:val="auto"/>
          <w:szCs w:val="21"/>
          <w:u w:val="single"/>
        </w:rPr>
        <w:t xml:space="preserve">                                    </w:t>
      </w:r>
    </w:p>
    <w:p>
      <w:pPr>
        <w:spacing w:line="480" w:lineRule="auto"/>
        <w:jc w:val="left"/>
        <w:rPr>
          <w:rFonts w:ascii="宋体" w:hAnsi="宋体" w:eastAsia="宋体" w:cs="宋体"/>
          <w:color w:val="auto"/>
          <w:szCs w:val="21"/>
          <w:u w:val="single"/>
        </w:rPr>
      </w:pPr>
      <w:r>
        <w:rPr>
          <w:rFonts w:hint="eastAsia" w:ascii="宋体" w:hAnsi="宋体" w:eastAsia="宋体" w:cs="宋体"/>
          <w:color w:val="auto"/>
          <w:szCs w:val="21"/>
        </w:rPr>
        <w:t>邮    编：</w:t>
      </w:r>
      <w:r>
        <w:rPr>
          <w:rFonts w:hint="eastAsia" w:ascii="宋体" w:hAnsi="宋体" w:eastAsia="宋体" w:cs="宋体"/>
          <w:color w:val="auto"/>
          <w:szCs w:val="21"/>
          <w:u w:val="single"/>
        </w:rPr>
        <w:t xml:space="preserve">                                    </w:t>
      </w:r>
    </w:p>
    <w:p>
      <w:pPr>
        <w:rPr>
          <w:rFonts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spacing w:line="360" w:lineRule="auto"/>
        <w:ind w:firstLine="643"/>
        <w:jc w:val="center"/>
        <w:rPr>
          <w:rFonts w:ascii="宋体" w:hAnsi="宋体" w:eastAsia="宋体" w:cs="宋体"/>
          <w:b/>
          <w:color w:val="auto"/>
          <w:sz w:val="32"/>
          <w:szCs w:val="32"/>
        </w:rPr>
      </w:pPr>
    </w:p>
    <w:p>
      <w:pPr>
        <w:spacing w:line="360" w:lineRule="auto"/>
        <w:ind w:firstLine="643"/>
        <w:jc w:val="center"/>
        <w:rPr>
          <w:rFonts w:ascii="宋体" w:hAnsi="宋体" w:eastAsia="宋体" w:cs="宋体"/>
          <w:b/>
          <w:color w:val="auto"/>
          <w:sz w:val="32"/>
          <w:szCs w:val="32"/>
        </w:rPr>
      </w:pPr>
    </w:p>
    <w:p>
      <w:pPr>
        <w:spacing w:line="360" w:lineRule="auto"/>
        <w:ind w:firstLine="643"/>
        <w:jc w:val="center"/>
        <w:rPr>
          <w:rFonts w:ascii="宋体" w:hAnsi="宋体" w:eastAsia="宋体" w:cs="宋体"/>
          <w:b/>
          <w:color w:val="auto"/>
          <w:sz w:val="32"/>
          <w:szCs w:val="32"/>
        </w:rPr>
      </w:pPr>
    </w:p>
    <w:p>
      <w:pPr>
        <w:spacing w:line="360" w:lineRule="auto"/>
        <w:ind w:firstLine="643"/>
        <w:jc w:val="center"/>
        <w:rPr>
          <w:rFonts w:ascii="宋体" w:hAnsi="宋体" w:eastAsia="宋体" w:cs="宋体"/>
          <w:b/>
          <w:color w:val="auto"/>
          <w:sz w:val="32"/>
          <w:szCs w:val="32"/>
        </w:rPr>
      </w:pPr>
    </w:p>
    <w:p>
      <w:pPr>
        <w:spacing w:line="360" w:lineRule="auto"/>
        <w:ind w:firstLine="643"/>
        <w:jc w:val="center"/>
        <w:rPr>
          <w:rFonts w:ascii="宋体" w:hAnsi="宋体" w:eastAsia="宋体" w:cs="宋体"/>
          <w:b/>
          <w:color w:val="auto"/>
          <w:sz w:val="32"/>
          <w:szCs w:val="32"/>
        </w:rPr>
      </w:pPr>
      <w:r>
        <w:rPr>
          <w:rFonts w:hint="eastAsia" w:ascii="宋体" w:hAnsi="宋体" w:eastAsia="宋体" w:cs="宋体"/>
          <w:b/>
          <w:color w:val="auto"/>
          <w:sz w:val="32"/>
          <w:szCs w:val="32"/>
        </w:rPr>
        <w:t>二、开标一览表</w:t>
      </w:r>
    </w:p>
    <w:p>
      <w:pPr>
        <w:pStyle w:val="14"/>
        <w:ind w:firstLine="321"/>
        <w:jc w:val="center"/>
        <w:rPr>
          <w:color w:val="auto"/>
        </w:rPr>
      </w:pPr>
      <w:r>
        <w:rPr>
          <w:rFonts w:hint="eastAsia" w:ascii="宋体" w:hAnsi="宋体" w:cs="宋体"/>
          <w:b/>
          <w:color w:val="auto"/>
          <w:sz w:val="32"/>
          <w:szCs w:val="32"/>
        </w:rPr>
        <w:t>2.1开标一览表</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（采购人名称）：</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我方已仔细研究了《汉滨区第三人民医院信息安全等级保护建设项目》招标文件的全部内容，决定参加本项目投标。为此，我方郑重声明以下诸点，并负法律责任。</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6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2013" w:type="dxa"/>
            <w:vAlign w:val="center"/>
          </w:tcPr>
          <w:p>
            <w:pPr>
              <w:pStyle w:val="16"/>
              <w:spacing w:line="360" w:lineRule="auto"/>
              <w:ind w:firstLine="0" w:firstLineChars="0"/>
              <w:jc w:val="center"/>
              <w:rPr>
                <w:rFonts w:hAnsi="宋体" w:eastAsia="宋体" w:cs="宋体"/>
                <w:b/>
                <w:color w:val="auto"/>
                <w:szCs w:val="21"/>
              </w:rPr>
            </w:pPr>
            <w:r>
              <w:rPr>
                <w:rFonts w:hint="eastAsia" w:hAnsi="宋体" w:eastAsia="宋体" w:cs="宋体"/>
                <w:b/>
                <w:color w:val="auto"/>
                <w:szCs w:val="21"/>
              </w:rPr>
              <w:t>投标总报价</w:t>
            </w:r>
          </w:p>
          <w:p>
            <w:pPr>
              <w:pStyle w:val="16"/>
              <w:spacing w:line="360" w:lineRule="auto"/>
              <w:ind w:firstLine="0" w:firstLineChars="0"/>
              <w:jc w:val="center"/>
              <w:rPr>
                <w:rFonts w:hAnsi="宋体" w:eastAsia="宋体" w:cs="宋体"/>
                <w:b/>
                <w:color w:val="auto"/>
                <w:szCs w:val="21"/>
              </w:rPr>
            </w:pPr>
            <w:r>
              <w:rPr>
                <w:rFonts w:hint="eastAsia" w:hAnsi="宋体" w:eastAsia="宋体" w:cs="宋体"/>
                <w:b/>
                <w:color w:val="auto"/>
                <w:szCs w:val="21"/>
              </w:rPr>
              <w:t>（元）</w:t>
            </w:r>
          </w:p>
        </w:tc>
        <w:tc>
          <w:tcPr>
            <w:tcW w:w="6466" w:type="dxa"/>
            <w:vAlign w:val="center"/>
          </w:tcPr>
          <w:p>
            <w:pPr>
              <w:pStyle w:val="16"/>
              <w:spacing w:line="360" w:lineRule="auto"/>
              <w:rPr>
                <w:rFonts w:hAnsi="宋体" w:eastAsia="宋体" w:cs="宋体"/>
                <w:color w:val="auto"/>
                <w:szCs w:val="21"/>
                <w:u w:val="single"/>
              </w:rPr>
            </w:pPr>
            <w:r>
              <w:rPr>
                <w:rFonts w:hint="eastAsia" w:hAnsi="宋体" w:eastAsia="宋体" w:cs="宋体"/>
                <w:color w:val="auto"/>
                <w:szCs w:val="21"/>
              </w:rPr>
              <w:t>大写：</w:t>
            </w:r>
          </w:p>
          <w:p>
            <w:pPr>
              <w:pStyle w:val="16"/>
              <w:spacing w:line="360" w:lineRule="auto"/>
              <w:rPr>
                <w:rFonts w:hAnsi="宋体" w:eastAsia="宋体" w:cs="宋体"/>
                <w:color w:val="auto"/>
                <w:szCs w:val="21"/>
                <w:u w:val="single"/>
              </w:rPr>
            </w:pPr>
            <w:r>
              <w:rPr>
                <w:rFonts w:hint="eastAsia" w:hAnsi="宋体" w:eastAsia="宋体" w:cs="宋体"/>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2013" w:type="dxa"/>
            <w:vAlign w:val="center"/>
          </w:tcPr>
          <w:p>
            <w:pPr>
              <w:pStyle w:val="16"/>
              <w:spacing w:line="360" w:lineRule="auto"/>
              <w:ind w:firstLine="0" w:firstLineChars="0"/>
              <w:jc w:val="center"/>
              <w:rPr>
                <w:rFonts w:hAnsi="宋体" w:eastAsia="宋体" w:cs="宋体"/>
                <w:b/>
                <w:color w:val="auto"/>
                <w:szCs w:val="21"/>
              </w:rPr>
            </w:pPr>
            <w:r>
              <w:rPr>
                <w:rFonts w:hint="eastAsia" w:hAnsi="宋体" w:eastAsia="宋体" w:cs="宋体"/>
                <w:b/>
                <w:color w:val="auto"/>
                <w:szCs w:val="21"/>
              </w:rPr>
              <w:t>交货期</w:t>
            </w:r>
          </w:p>
        </w:tc>
        <w:tc>
          <w:tcPr>
            <w:tcW w:w="6466" w:type="dxa"/>
            <w:vAlign w:val="center"/>
          </w:tcPr>
          <w:p>
            <w:pPr>
              <w:pStyle w:val="16"/>
              <w:spacing w:line="360" w:lineRule="auto"/>
              <w:ind w:firstLine="422"/>
              <w:rPr>
                <w:rFonts w:hAnsi="宋体" w:eastAsia="宋体" w:cs="宋体"/>
                <w:color w:val="auto"/>
                <w:szCs w:val="21"/>
              </w:rPr>
            </w:pPr>
            <w:r>
              <w:rPr>
                <w:rFonts w:hint="eastAsia" w:hAnsi="宋体" w:eastAsia="宋体" w:cs="宋体"/>
                <w:b/>
                <w:color w:val="auto"/>
                <w:szCs w:val="21"/>
              </w:rPr>
              <w:t xml:space="preserve">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2013" w:type="dxa"/>
            <w:vAlign w:val="center"/>
          </w:tcPr>
          <w:p>
            <w:pPr>
              <w:pStyle w:val="16"/>
              <w:spacing w:line="360" w:lineRule="auto"/>
              <w:ind w:firstLine="0" w:firstLineChars="0"/>
              <w:jc w:val="center"/>
              <w:rPr>
                <w:rFonts w:hAnsi="宋体" w:eastAsia="宋体" w:cs="宋体"/>
                <w:b/>
                <w:color w:val="auto"/>
                <w:szCs w:val="21"/>
              </w:rPr>
            </w:pPr>
            <w:r>
              <w:rPr>
                <w:rFonts w:hint="eastAsia" w:hAnsi="宋体" w:eastAsia="宋体" w:cs="宋体"/>
                <w:b/>
                <w:color w:val="auto"/>
                <w:szCs w:val="21"/>
              </w:rPr>
              <w:t>质保期</w:t>
            </w:r>
          </w:p>
        </w:tc>
        <w:tc>
          <w:tcPr>
            <w:tcW w:w="6466" w:type="dxa"/>
            <w:vAlign w:val="center"/>
          </w:tcPr>
          <w:p>
            <w:pPr>
              <w:pStyle w:val="16"/>
              <w:spacing w:line="360" w:lineRule="auto"/>
              <w:ind w:firstLine="2530" w:firstLineChars="1200"/>
              <w:rPr>
                <w:rFonts w:hAnsi="宋体" w:eastAsia="宋体" w:cs="宋体"/>
                <w:color w:val="auto"/>
                <w:szCs w:val="21"/>
              </w:rPr>
            </w:pPr>
            <w:r>
              <w:rPr>
                <w:rFonts w:hint="eastAsia" w:hAnsi="宋体" w:eastAsia="宋体" w:cs="宋体"/>
                <w:b/>
                <w:bCs/>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2013" w:type="dxa"/>
            <w:vAlign w:val="center"/>
          </w:tcPr>
          <w:p>
            <w:pPr>
              <w:pStyle w:val="16"/>
              <w:spacing w:line="360" w:lineRule="auto"/>
              <w:ind w:firstLine="422"/>
              <w:jc w:val="center"/>
              <w:rPr>
                <w:rFonts w:hAnsi="宋体" w:eastAsia="宋体" w:cs="宋体"/>
                <w:b/>
                <w:color w:val="auto"/>
                <w:szCs w:val="21"/>
              </w:rPr>
            </w:pPr>
            <w:r>
              <w:rPr>
                <w:rFonts w:hint="eastAsia" w:hAnsi="宋体" w:eastAsia="宋体" w:cs="宋体"/>
                <w:b/>
                <w:color w:val="auto"/>
                <w:szCs w:val="21"/>
              </w:rPr>
              <w:t>其他说明事项</w:t>
            </w:r>
          </w:p>
        </w:tc>
        <w:tc>
          <w:tcPr>
            <w:tcW w:w="6466" w:type="dxa"/>
            <w:vAlign w:val="center"/>
          </w:tcPr>
          <w:p>
            <w:pPr>
              <w:pStyle w:val="16"/>
              <w:spacing w:line="360" w:lineRule="auto"/>
              <w:rPr>
                <w:rFonts w:hAnsi="宋体" w:eastAsia="宋体" w:cs="宋体"/>
                <w:color w:val="auto"/>
                <w:szCs w:val="21"/>
                <w:u w:val="single"/>
              </w:rPr>
            </w:pPr>
          </w:p>
        </w:tc>
      </w:tr>
    </w:tbl>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1．我方承诺除商务和技术偏差表列出的偏差外，我方响应招标文件的全部要求。</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2．我方承诺的投标有效期为投标截止之日起90日历天，且在投标有效期内不撤销投标文件。</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3．如我方中标，我方承诺：</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（1）收到中标通知书后，在规定的期限内与采购人签订合同；</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（2）在签订合同时不向采购人提出附加条件；</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（3）按照招标文件要求提交履约保证金；</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（4）在合同约定的期限内完成合同规定的全部义务。</w:t>
      </w:r>
    </w:p>
    <w:p>
      <w:pPr>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4．我方在此声明，所递交的投标文件及有关资料内容完整、真实和准确，且不存在第二章“供应商须知”第 2.3.3 项规定的任何一种情形。</w:t>
      </w:r>
    </w:p>
    <w:p>
      <w:pPr>
        <w:autoSpaceDE w:val="0"/>
        <w:autoSpaceDN w:val="0"/>
        <w:spacing w:line="360" w:lineRule="auto"/>
        <w:rPr>
          <w:rFonts w:ascii="宋体" w:hAnsi="宋体" w:eastAsia="宋体" w:cs="宋体"/>
          <w:color w:val="auto"/>
          <w:szCs w:val="21"/>
          <w:lang w:val="zh-CN"/>
        </w:rPr>
      </w:pPr>
    </w:p>
    <w:p>
      <w:pPr>
        <w:wordWrap w:val="0"/>
        <w:autoSpaceDE w:val="0"/>
        <w:autoSpaceDN w:val="0"/>
        <w:spacing w:line="360" w:lineRule="auto"/>
        <w:jc w:val="right"/>
        <w:rPr>
          <w:rFonts w:ascii="宋体" w:hAnsi="宋体" w:eastAsia="宋体" w:cs="宋体"/>
          <w:color w:val="auto"/>
          <w:szCs w:val="21"/>
          <w:lang w:val="zh-CN"/>
        </w:rPr>
      </w:pPr>
      <w:r>
        <w:rPr>
          <w:rFonts w:hint="eastAsia" w:ascii="宋体" w:hAnsi="宋体" w:eastAsia="宋体" w:cs="宋体"/>
          <w:color w:val="auto"/>
          <w:szCs w:val="21"/>
          <w:lang w:val="zh-CN"/>
        </w:rPr>
        <w:t>供应商：</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（盖单位公章）</w:t>
      </w:r>
    </w:p>
    <w:p>
      <w:pPr>
        <w:autoSpaceDE w:val="0"/>
        <w:autoSpaceDN w:val="0"/>
        <w:spacing w:line="360" w:lineRule="auto"/>
        <w:jc w:val="right"/>
        <w:rPr>
          <w:rFonts w:ascii="宋体" w:hAnsi="宋体" w:eastAsia="宋体" w:cs="宋体"/>
          <w:color w:val="auto"/>
          <w:szCs w:val="21"/>
          <w:lang w:val="zh-CN"/>
        </w:rPr>
      </w:pPr>
      <w:r>
        <w:rPr>
          <w:rFonts w:hint="eastAsia" w:ascii="宋体" w:hAnsi="宋体" w:eastAsia="宋体" w:cs="宋体"/>
          <w:color w:val="auto"/>
          <w:szCs w:val="21"/>
          <w:lang w:val="zh-CN"/>
        </w:rPr>
        <w:t>法定代表人（单位负责人）或其委托代理人：</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（签字或盖章）</w:t>
      </w:r>
    </w:p>
    <w:p>
      <w:pPr>
        <w:wordWrap w:val="0"/>
        <w:autoSpaceDE w:val="0"/>
        <w:autoSpaceDN w:val="0"/>
        <w:spacing w:line="360" w:lineRule="auto"/>
        <w:jc w:val="right"/>
        <w:rPr>
          <w:rFonts w:ascii="宋体" w:hAnsi="宋体" w:eastAsia="宋体" w:cs="宋体"/>
          <w:color w:val="auto"/>
          <w:szCs w:val="21"/>
          <w:lang w:val="zh-CN"/>
        </w:rPr>
      </w:pPr>
      <w:r>
        <w:rPr>
          <w:rFonts w:hint="eastAsia" w:ascii="宋体" w:hAnsi="宋体" w:eastAsia="宋体" w:cs="宋体"/>
          <w:color w:val="auto"/>
          <w:szCs w:val="21"/>
          <w:lang w:val="zh-CN"/>
        </w:rPr>
        <w:t>联系地址：</w:t>
      </w:r>
      <w:r>
        <w:rPr>
          <w:rFonts w:hint="eastAsia" w:ascii="宋体" w:hAnsi="宋体" w:eastAsia="宋体" w:cs="宋体"/>
          <w:color w:val="auto"/>
          <w:szCs w:val="21"/>
          <w:u w:val="single"/>
          <w:lang w:val="zh-CN"/>
        </w:rPr>
        <w:t xml:space="preserve">                                                    </w:t>
      </w:r>
    </w:p>
    <w:p>
      <w:pPr>
        <w:wordWrap w:val="0"/>
        <w:autoSpaceDE w:val="0"/>
        <w:autoSpaceDN w:val="0"/>
        <w:spacing w:line="360" w:lineRule="auto"/>
        <w:jc w:val="right"/>
        <w:rPr>
          <w:rFonts w:ascii="宋体" w:hAnsi="宋体" w:eastAsia="宋体" w:cs="宋体"/>
          <w:color w:val="auto"/>
          <w:szCs w:val="21"/>
          <w:lang w:val="zh-CN"/>
        </w:rPr>
      </w:pPr>
      <w:r>
        <w:rPr>
          <w:rFonts w:hint="eastAsia" w:ascii="宋体" w:hAnsi="宋体" w:eastAsia="宋体" w:cs="宋体"/>
          <w:color w:val="auto"/>
          <w:szCs w:val="21"/>
          <w:lang w:val="zh-CN"/>
        </w:rPr>
        <w:t>联系电话：</w:t>
      </w:r>
      <w:r>
        <w:rPr>
          <w:rFonts w:hint="eastAsia" w:ascii="宋体" w:hAnsi="宋体" w:eastAsia="宋体" w:cs="宋体"/>
          <w:color w:val="auto"/>
          <w:szCs w:val="21"/>
          <w:u w:val="single"/>
          <w:lang w:val="zh-CN"/>
        </w:rPr>
        <w:t xml:space="preserve">                                                    </w:t>
      </w:r>
    </w:p>
    <w:p>
      <w:pPr>
        <w:autoSpaceDE w:val="0"/>
        <w:autoSpaceDN w:val="0"/>
        <w:spacing w:line="360" w:lineRule="auto"/>
        <w:ind w:firstLine="5250" w:firstLineChars="2500"/>
        <w:jc w:val="right"/>
        <w:rPr>
          <w:rFonts w:ascii="宋体" w:hAnsi="宋体" w:eastAsia="宋体" w:cs="宋体"/>
          <w:color w:val="auto"/>
          <w:szCs w:val="21"/>
          <w:lang w:val="zh-CN"/>
        </w:rPr>
      </w:pPr>
      <w:r>
        <w:rPr>
          <w:rFonts w:hint="eastAsia" w:ascii="宋体" w:hAnsi="宋体" w:eastAsia="宋体" w:cs="宋体"/>
          <w:color w:val="auto"/>
          <w:szCs w:val="21"/>
          <w:lang w:val="zh-CN"/>
        </w:rPr>
        <w:t>年    月    日</w:t>
      </w:r>
    </w:p>
    <w:p>
      <w:pPr>
        <w:spacing w:line="360" w:lineRule="auto"/>
        <w:jc w:val="center"/>
        <w:rPr>
          <w:rFonts w:ascii="宋体" w:hAnsi="宋体" w:eastAsia="宋体" w:cs="宋体"/>
          <w:b/>
          <w:color w:val="auto"/>
          <w:sz w:val="32"/>
          <w:szCs w:val="32"/>
        </w:rPr>
      </w:pPr>
      <w:r>
        <w:rPr>
          <w:rFonts w:hint="eastAsia" w:ascii="宋体" w:hAnsi="宋体" w:eastAsia="宋体" w:cs="宋体"/>
          <w:color w:val="auto"/>
          <w:szCs w:val="21"/>
          <w:lang w:val="zh-CN"/>
        </w:rPr>
        <w:br w:type="page"/>
      </w:r>
      <w:r>
        <w:rPr>
          <w:rFonts w:hint="eastAsia" w:ascii="宋体" w:hAnsi="宋体" w:eastAsia="宋体" w:cs="宋体"/>
          <w:b/>
          <w:color w:val="auto"/>
          <w:sz w:val="32"/>
          <w:szCs w:val="32"/>
        </w:rPr>
        <w:t>2.2 分项报价表</w:t>
      </w:r>
    </w:p>
    <w:p>
      <w:pPr>
        <w:spacing w:line="360" w:lineRule="auto"/>
        <w:ind w:firstLine="6300" w:firstLineChars="3000"/>
        <w:rPr>
          <w:rFonts w:ascii="宋体" w:hAnsi="宋体" w:eastAsia="宋体" w:cs="宋体"/>
          <w:color w:val="auto"/>
          <w:szCs w:val="21"/>
        </w:rPr>
      </w:pPr>
      <w:r>
        <w:rPr>
          <w:rFonts w:hint="eastAsia" w:ascii="宋体" w:hAnsi="宋体" w:eastAsia="宋体" w:cs="宋体"/>
          <w:color w:val="auto"/>
          <w:szCs w:val="21"/>
        </w:rPr>
        <w:t xml:space="preserve">单位: </w:t>
      </w:r>
      <w:r>
        <w:rPr>
          <w:rFonts w:hint="eastAsia" w:ascii="宋体" w:hAnsi="宋体" w:eastAsia="宋体" w:cs="宋体"/>
          <w:color w:val="auto"/>
          <w:szCs w:val="21"/>
          <w:lang w:val="zh-CN"/>
        </w:rPr>
        <w:t>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134"/>
        <w:gridCol w:w="992"/>
        <w:gridCol w:w="993"/>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widowControl/>
              <w:ind w:firstLine="0" w:firstLineChars="0"/>
              <w:rPr>
                <w:rFonts w:ascii="宋体" w:hAnsi="宋体" w:eastAsia="宋体" w:cs="宋体"/>
                <w:b/>
                <w:bCs/>
                <w:color w:val="auto"/>
                <w:szCs w:val="21"/>
              </w:rPr>
            </w:pPr>
            <w:r>
              <w:rPr>
                <w:rFonts w:hint="eastAsia" w:ascii="宋体" w:hAnsi="宋体" w:eastAsia="宋体" w:cs="宋体"/>
                <w:b/>
                <w:bCs/>
                <w:color w:val="auto"/>
                <w:szCs w:val="21"/>
              </w:rPr>
              <w:t>序号</w:t>
            </w:r>
          </w:p>
        </w:tc>
        <w:tc>
          <w:tcPr>
            <w:tcW w:w="1843" w:type="dxa"/>
            <w:vAlign w:val="center"/>
          </w:tcPr>
          <w:p>
            <w:pPr>
              <w:widowControl/>
              <w:ind w:firstLine="422"/>
              <w:rPr>
                <w:rFonts w:ascii="宋体" w:hAnsi="宋体" w:eastAsia="宋体" w:cs="宋体"/>
                <w:b/>
                <w:bCs/>
                <w:color w:val="auto"/>
                <w:szCs w:val="21"/>
              </w:rPr>
            </w:pPr>
            <w:r>
              <w:rPr>
                <w:rFonts w:hint="eastAsia" w:ascii="宋体" w:hAnsi="宋体" w:eastAsia="宋体" w:cs="宋体"/>
                <w:b/>
                <w:bCs/>
                <w:color w:val="auto"/>
                <w:szCs w:val="21"/>
              </w:rPr>
              <w:t>货物名称</w:t>
            </w:r>
          </w:p>
        </w:tc>
        <w:tc>
          <w:tcPr>
            <w:tcW w:w="1134" w:type="dxa"/>
            <w:vAlign w:val="center"/>
          </w:tcPr>
          <w:p>
            <w:pPr>
              <w:widowControl/>
              <w:ind w:firstLine="0" w:firstLineChars="0"/>
              <w:jc w:val="center"/>
              <w:rPr>
                <w:rFonts w:ascii="宋体" w:hAnsi="宋体" w:eastAsia="宋体" w:cs="宋体"/>
                <w:b/>
                <w:bCs/>
                <w:color w:val="auto"/>
                <w:szCs w:val="21"/>
              </w:rPr>
            </w:pPr>
            <w:r>
              <w:rPr>
                <w:rFonts w:hint="eastAsia" w:ascii="宋体" w:hAnsi="宋体" w:eastAsia="宋体" w:cs="宋体"/>
                <w:b/>
                <w:color w:val="auto"/>
                <w:szCs w:val="21"/>
                <w:lang w:val="zh-CN"/>
              </w:rPr>
              <w:t>生产厂家及品牌</w:t>
            </w:r>
          </w:p>
        </w:tc>
        <w:tc>
          <w:tcPr>
            <w:tcW w:w="992" w:type="dxa"/>
            <w:vAlign w:val="center"/>
          </w:tcPr>
          <w:p>
            <w:pPr>
              <w:widowControl/>
              <w:ind w:firstLine="0" w:firstLineChars="0"/>
              <w:jc w:val="center"/>
              <w:rPr>
                <w:rFonts w:ascii="宋体" w:hAnsi="宋体" w:eastAsia="宋体" w:cs="宋体"/>
                <w:b/>
                <w:bCs/>
                <w:color w:val="auto"/>
                <w:szCs w:val="21"/>
              </w:rPr>
            </w:pPr>
            <w:r>
              <w:rPr>
                <w:rFonts w:hint="eastAsia" w:ascii="宋体" w:hAnsi="宋体" w:eastAsia="宋体" w:cs="宋体"/>
                <w:b/>
                <w:bCs/>
                <w:color w:val="auto"/>
                <w:szCs w:val="21"/>
              </w:rPr>
              <w:t>规格</w:t>
            </w:r>
          </w:p>
          <w:p>
            <w:pPr>
              <w:widowControl/>
              <w:ind w:firstLine="0" w:firstLineChars="0"/>
              <w:jc w:val="center"/>
              <w:rPr>
                <w:rFonts w:ascii="宋体" w:hAnsi="宋体" w:eastAsia="宋体" w:cs="宋体"/>
                <w:b/>
                <w:color w:val="auto"/>
                <w:szCs w:val="21"/>
                <w:lang w:val="zh-CN"/>
              </w:rPr>
            </w:pPr>
            <w:r>
              <w:rPr>
                <w:rFonts w:hint="eastAsia" w:ascii="宋体" w:hAnsi="宋体" w:eastAsia="宋体" w:cs="宋体"/>
                <w:b/>
                <w:bCs/>
                <w:color w:val="auto"/>
                <w:szCs w:val="21"/>
              </w:rPr>
              <w:t>型号</w:t>
            </w:r>
          </w:p>
        </w:tc>
        <w:tc>
          <w:tcPr>
            <w:tcW w:w="993" w:type="dxa"/>
            <w:vAlign w:val="center"/>
          </w:tcPr>
          <w:p>
            <w:pPr>
              <w:widowControl/>
              <w:ind w:firstLine="0" w:firstLineChars="0"/>
              <w:jc w:val="center"/>
              <w:rPr>
                <w:rFonts w:ascii="宋体" w:hAnsi="宋体" w:eastAsia="宋体" w:cs="宋体"/>
                <w:b/>
                <w:color w:val="auto"/>
                <w:szCs w:val="21"/>
                <w:lang w:val="zh-CN"/>
              </w:rPr>
            </w:pPr>
            <w:r>
              <w:rPr>
                <w:rFonts w:hint="eastAsia" w:ascii="宋体" w:hAnsi="宋体" w:eastAsia="宋体" w:cs="宋体"/>
                <w:b/>
                <w:color w:val="auto"/>
                <w:szCs w:val="21"/>
                <w:lang w:val="zh-CN"/>
              </w:rPr>
              <w:t>数量</w:t>
            </w:r>
          </w:p>
        </w:tc>
        <w:tc>
          <w:tcPr>
            <w:tcW w:w="1417" w:type="dxa"/>
            <w:vAlign w:val="center"/>
          </w:tcPr>
          <w:p>
            <w:pPr>
              <w:widowControl/>
              <w:ind w:firstLine="0" w:firstLineChars="0"/>
              <w:jc w:val="center"/>
              <w:rPr>
                <w:rFonts w:ascii="宋体" w:hAnsi="宋体" w:eastAsia="宋体" w:cs="宋体"/>
                <w:b/>
                <w:color w:val="auto"/>
                <w:szCs w:val="21"/>
                <w:lang w:val="zh-CN"/>
              </w:rPr>
            </w:pPr>
            <w:r>
              <w:rPr>
                <w:rFonts w:hint="eastAsia" w:ascii="宋体" w:hAnsi="宋体" w:eastAsia="宋体" w:cs="宋体"/>
                <w:b/>
                <w:color w:val="auto"/>
                <w:szCs w:val="21"/>
                <w:lang w:val="zh-CN"/>
              </w:rPr>
              <w:t>单价</w:t>
            </w:r>
          </w:p>
        </w:tc>
        <w:tc>
          <w:tcPr>
            <w:tcW w:w="1276" w:type="dxa"/>
            <w:vAlign w:val="center"/>
          </w:tcPr>
          <w:p>
            <w:pPr>
              <w:widowControl/>
              <w:ind w:firstLine="0" w:firstLineChars="0"/>
              <w:jc w:val="center"/>
              <w:rPr>
                <w:rFonts w:ascii="宋体" w:hAnsi="宋体" w:eastAsia="宋体" w:cs="宋体"/>
                <w:b/>
                <w:color w:val="auto"/>
                <w:szCs w:val="21"/>
                <w:lang w:val="zh-CN"/>
              </w:rPr>
            </w:pPr>
            <w:r>
              <w:rPr>
                <w:rFonts w:hint="eastAsia" w:ascii="宋体" w:hAnsi="宋体" w:eastAsia="宋体" w:cs="宋体"/>
                <w:b/>
                <w:color w:val="auto"/>
                <w:szCs w:val="21"/>
                <w:lang w:val="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widowControl/>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1</w:t>
            </w:r>
          </w:p>
        </w:tc>
        <w:tc>
          <w:tcPr>
            <w:tcW w:w="1843" w:type="dxa"/>
            <w:vAlign w:val="center"/>
          </w:tcPr>
          <w:p>
            <w:pPr>
              <w:widowControl/>
              <w:jc w:val="center"/>
              <w:rPr>
                <w:rFonts w:ascii="宋体" w:hAnsi="宋体" w:eastAsia="宋体" w:cs="宋体"/>
                <w:color w:val="auto"/>
                <w:szCs w:val="21"/>
              </w:rPr>
            </w:pPr>
          </w:p>
        </w:tc>
        <w:tc>
          <w:tcPr>
            <w:tcW w:w="1134" w:type="dxa"/>
            <w:vAlign w:val="center"/>
          </w:tcPr>
          <w:p>
            <w:pPr>
              <w:widowControl/>
              <w:jc w:val="center"/>
              <w:rPr>
                <w:rFonts w:ascii="宋体" w:hAnsi="宋体" w:eastAsia="宋体" w:cs="宋体"/>
                <w:color w:val="auto"/>
                <w:szCs w:val="21"/>
              </w:rPr>
            </w:pPr>
          </w:p>
        </w:tc>
        <w:tc>
          <w:tcPr>
            <w:tcW w:w="992" w:type="dxa"/>
            <w:vAlign w:val="center"/>
          </w:tcPr>
          <w:p>
            <w:pPr>
              <w:spacing w:line="400" w:lineRule="atLeast"/>
              <w:ind w:right="893"/>
              <w:jc w:val="center"/>
              <w:rPr>
                <w:rFonts w:ascii="宋体" w:hAnsi="宋体" w:eastAsia="宋体" w:cs="宋体"/>
                <w:color w:val="auto"/>
                <w:szCs w:val="21"/>
                <w:lang w:val="zh-CN"/>
              </w:rPr>
            </w:pPr>
          </w:p>
        </w:tc>
        <w:tc>
          <w:tcPr>
            <w:tcW w:w="993" w:type="dxa"/>
            <w:vAlign w:val="center"/>
          </w:tcPr>
          <w:p>
            <w:pPr>
              <w:spacing w:line="276" w:lineRule="auto"/>
              <w:jc w:val="center"/>
              <w:rPr>
                <w:rFonts w:ascii="宋体" w:hAnsi="宋体" w:eastAsia="宋体" w:cs="宋体"/>
                <w:color w:val="auto"/>
                <w:szCs w:val="21"/>
              </w:rPr>
            </w:pPr>
          </w:p>
        </w:tc>
        <w:tc>
          <w:tcPr>
            <w:tcW w:w="1417" w:type="dxa"/>
            <w:vAlign w:val="center"/>
          </w:tcPr>
          <w:p>
            <w:pPr>
              <w:spacing w:line="400" w:lineRule="atLeast"/>
              <w:ind w:right="893"/>
              <w:jc w:val="center"/>
              <w:rPr>
                <w:rFonts w:ascii="宋体" w:hAnsi="宋体" w:eastAsia="宋体" w:cs="宋体"/>
                <w:color w:val="auto"/>
                <w:szCs w:val="21"/>
                <w:lang w:val="zh-CN"/>
              </w:rPr>
            </w:pPr>
          </w:p>
        </w:tc>
        <w:tc>
          <w:tcPr>
            <w:tcW w:w="1276" w:type="dxa"/>
            <w:vAlign w:val="center"/>
          </w:tcPr>
          <w:p>
            <w:pPr>
              <w:spacing w:line="400" w:lineRule="atLeast"/>
              <w:ind w:right="893"/>
              <w:jc w:val="center"/>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widowControl/>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2</w:t>
            </w:r>
          </w:p>
        </w:tc>
        <w:tc>
          <w:tcPr>
            <w:tcW w:w="1843" w:type="dxa"/>
            <w:vAlign w:val="center"/>
          </w:tcPr>
          <w:p>
            <w:pPr>
              <w:widowControl/>
              <w:jc w:val="center"/>
              <w:rPr>
                <w:rFonts w:ascii="宋体" w:hAnsi="宋体" w:eastAsia="宋体" w:cs="宋体"/>
                <w:color w:val="auto"/>
                <w:szCs w:val="21"/>
              </w:rPr>
            </w:pPr>
          </w:p>
        </w:tc>
        <w:tc>
          <w:tcPr>
            <w:tcW w:w="1134" w:type="dxa"/>
            <w:vAlign w:val="center"/>
          </w:tcPr>
          <w:p>
            <w:pPr>
              <w:widowControl/>
              <w:jc w:val="center"/>
              <w:rPr>
                <w:rFonts w:ascii="宋体" w:hAnsi="宋体" w:eastAsia="宋体" w:cs="宋体"/>
                <w:color w:val="auto"/>
                <w:szCs w:val="21"/>
              </w:rPr>
            </w:pPr>
          </w:p>
        </w:tc>
        <w:tc>
          <w:tcPr>
            <w:tcW w:w="992" w:type="dxa"/>
            <w:vAlign w:val="center"/>
          </w:tcPr>
          <w:p>
            <w:pPr>
              <w:spacing w:line="400" w:lineRule="atLeast"/>
              <w:ind w:right="893"/>
              <w:jc w:val="center"/>
              <w:rPr>
                <w:rFonts w:ascii="宋体" w:hAnsi="宋体" w:eastAsia="宋体" w:cs="宋体"/>
                <w:color w:val="auto"/>
                <w:szCs w:val="21"/>
                <w:lang w:val="zh-CN"/>
              </w:rPr>
            </w:pPr>
          </w:p>
        </w:tc>
        <w:tc>
          <w:tcPr>
            <w:tcW w:w="993" w:type="dxa"/>
            <w:vAlign w:val="center"/>
          </w:tcPr>
          <w:p>
            <w:pPr>
              <w:spacing w:line="276" w:lineRule="auto"/>
              <w:jc w:val="center"/>
              <w:rPr>
                <w:rFonts w:ascii="宋体" w:hAnsi="宋体" w:eastAsia="宋体" w:cs="宋体"/>
                <w:color w:val="auto"/>
                <w:szCs w:val="21"/>
              </w:rPr>
            </w:pPr>
          </w:p>
        </w:tc>
        <w:tc>
          <w:tcPr>
            <w:tcW w:w="1417" w:type="dxa"/>
            <w:vAlign w:val="center"/>
          </w:tcPr>
          <w:p>
            <w:pPr>
              <w:spacing w:line="400" w:lineRule="atLeast"/>
              <w:ind w:right="893"/>
              <w:jc w:val="center"/>
              <w:rPr>
                <w:rFonts w:ascii="宋体" w:hAnsi="宋体" w:eastAsia="宋体" w:cs="宋体"/>
                <w:color w:val="auto"/>
                <w:szCs w:val="21"/>
                <w:lang w:val="zh-CN"/>
              </w:rPr>
            </w:pPr>
          </w:p>
        </w:tc>
        <w:tc>
          <w:tcPr>
            <w:tcW w:w="1276" w:type="dxa"/>
            <w:vAlign w:val="center"/>
          </w:tcPr>
          <w:p>
            <w:pPr>
              <w:spacing w:line="400" w:lineRule="atLeast"/>
              <w:ind w:right="893"/>
              <w:jc w:val="center"/>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widowControl/>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3</w:t>
            </w:r>
          </w:p>
        </w:tc>
        <w:tc>
          <w:tcPr>
            <w:tcW w:w="1843" w:type="dxa"/>
            <w:vAlign w:val="center"/>
          </w:tcPr>
          <w:p>
            <w:pPr>
              <w:widowControl/>
              <w:jc w:val="center"/>
              <w:rPr>
                <w:rFonts w:ascii="宋体" w:hAnsi="宋体" w:eastAsia="宋体" w:cs="宋体"/>
                <w:color w:val="auto"/>
                <w:szCs w:val="21"/>
              </w:rPr>
            </w:pPr>
          </w:p>
        </w:tc>
        <w:tc>
          <w:tcPr>
            <w:tcW w:w="1134" w:type="dxa"/>
            <w:vAlign w:val="center"/>
          </w:tcPr>
          <w:p>
            <w:pPr>
              <w:widowControl/>
              <w:jc w:val="center"/>
              <w:rPr>
                <w:rFonts w:ascii="宋体" w:hAnsi="宋体" w:eastAsia="宋体" w:cs="宋体"/>
                <w:color w:val="auto"/>
                <w:szCs w:val="21"/>
              </w:rPr>
            </w:pPr>
          </w:p>
        </w:tc>
        <w:tc>
          <w:tcPr>
            <w:tcW w:w="992" w:type="dxa"/>
            <w:vAlign w:val="center"/>
          </w:tcPr>
          <w:p>
            <w:pPr>
              <w:spacing w:line="400" w:lineRule="atLeast"/>
              <w:ind w:right="893"/>
              <w:jc w:val="center"/>
              <w:rPr>
                <w:rFonts w:ascii="宋体" w:hAnsi="宋体" w:eastAsia="宋体" w:cs="宋体"/>
                <w:color w:val="auto"/>
                <w:szCs w:val="21"/>
                <w:lang w:val="zh-CN"/>
              </w:rPr>
            </w:pPr>
          </w:p>
        </w:tc>
        <w:tc>
          <w:tcPr>
            <w:tcW w:w="993" w:type="dxa"/>
            <w:vAlign w:val="center"/>
          </w:tcPr>
          <w:p>
            <w:pPr>
              <w:spacing w:line="276" w:lineRule="auto"/>
              <w:jc w:val="center"/>
              <w:rPr>
                <w:rFonts w:ascii="宋体" w:hAnsi="宋体" w:eastAsia="宋体" w:cs="宋体"/>
                <w:color w:val="auto"/>
                <w:szCs w:val="21"/>
              </w:rPr>
            </w:pPr>
          </w:p>
        </w:tc>
        <w:tc>
          <w:tcPr>
            <w:tcW w:w="1417" w:type="dxa"/>
            <w:vAlign w:val="center"/>
          </w:tcPr>
          <w:p>
            <w:pPr>
              <w:spacing w:line="400" w:lineRule="atLeast"/>
              <w:ind w:right="893"/>
              <w:jc w:val="center"/>
              <w:rPr>
                <w:rFonts w:ascii="宋体" w:hAnsi="宋体" w:eastAsia="宋体" w:cs="宋体"/>
                <w:color w:val="auto"/>
                <w:szCs w:val="21"/>
                <w:lang w:val="zh-CN"/>
              </w:rPr>
            </w:pPr>
          </w:p>
        </w:tc>
        <w:tc>
          <w:tcPr>
            <w:tcW w:w="1276" w:type="dxa"/>
            <w:vAlign w:val="center"/>
          </w:tcPr>
          <w:p>
            <w:pPr>
              <w:spacing w:line="400" w:lineRule="atLeast"/>
              <w:ind w:right="893"/>
              <w:jc w:val="center"/>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widowControl/>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4</w:t>
            </w:r>
          </w:p>
        </w:tc>
        <w:tc>
          <w:tcPr>
            <w:tcW w:w="1843" w:type="dxa"/>
            <w:vAlign w:val="center"/>
          </w:tcPr>
          <w:p>
            <w:pPr>
              <w:widowControl/>
              <w:jc w:val="center"/>
              <w:rPr>
                <w:rFonts w:ascii="宋体" w:hAnsi="宋体" w:eastAsia="宋体" w:cs="宋体"/>
                <w:color w:val="auto"/>
                <w:szCs w:val="21"/>
              </w:rPr>
            </w:pPr>
          </w:p>
        </w:tc>
        <w:tc>
          <w:tcPr>
            <w:tcW w:w="1134" w:type="dxa"/>
            <w:vAlign w:val="center"/>
          </w:tcPr>
          <w:p>
            <w:pPr>
              <w:widowControl/>
              <w:jc w:val="center"/>
              <w:rPr>
                <w:rFonts w:ascii="宋体" w:hAnsi="宋体" w:eastAsia="宋体" w:cs="宋体"/>
                <w:color w:val="auto"/>
                <w:szCs w:val="21"/>
              </w:rPr>
            </w:pPr>
          </w:p>
        </w:tc>
        <w:tc>
          <w:tcPr>
            <w:tcW w:w="992" w:type="dxa"/>
            <w:vAlign w:val="center"/>
          </w:tcPr>
          <w:p>
            <w:pPr>
              <w:spacing w:line="400" w:lineRule="atLeast"/>
              <w:ind w:right="893"/>
              <w:jc w:val="center"/>
              <w:rPr>
                <w:rFonts w:ascii="宋体" w:hAnsi="宋体" w:eastAsia="宋体" w:cs="宋体"/>
                <w:color w:val="auto"/>
                <w:szCs w:val="21"/>
                <w:lang w:val="zh-CN"/>
              </w:rPr>
            </w:pPr>
          </w:p>
        </w:tc>
        <w:tc>
          <w:tcPr>
            <w:tcW w:w="993" w:type="dxa"/>
            <w:vAlign w:val="center"/>
          </w:tcPr>
          <w:p>
            <w:pPr>
              <w:spacing w:line="276" w:lineRule="auto"/>
              <w:jc w:val="center"/>
              <w:rPr>
                <w:rFonts w:ascii="宋体" w:hAnsi="宋体" w:eastAsia="宋体" w:cs="宋体"/>
                <w:color w:val="auto"/>
                <w:szCs w:val="21"/>
              </w:rPr>
            </w:pPr>
          </w:p>
        </w:tc>
        <w:tc>
          <w:tcPr>
            <w:tcW w:w="1417" w:type="dxa"/>
            <w:vAlign w:val="center"/>
          </w:tcPr>
          <w:p>
            <w:pPr>
              <w:spacing w:line="400" w:lineRule="atLeast"/>
              <w:ind w:right="893"/>
              <w:jc w:val="center"/>
              <w:rPr>
                <w:rFonts w:ascii="宋体" w:hAnsi="宋体" w:eastAsia="宋体" w:cs="宋体"/>
                <w:color w:val="auto"/>
                <w:szCs w:val="21"/>
                <w:lang w:val="zh-CN"/>
              </w:rPr>
            </w:pPr>
          </w:p>
        </w:tc>
        <w:tc>
          <w:tcPr>
            <w:tcW w:w="1276" w:type="dxa"/>
            <w:vAlign w:val="center"/>
          </w:tcPr>
          <w:p>
            <w:pPr>
              <w:spacing w:line="400" w:lineRule="atLeast"/>
              <w:ind w:right="893"/>
              <w:jc w:val="center"/>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widowControl/>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5</w:t>
            </w:r>
          </w:p>
        </w:tc>
        <w:tc>
          <w:tcPr>
            <w:tcW w:w="1843" w:type="dxa"/>
            <w:vAlign w:val="center"/>
          </w:tcPr>
          <w:p>
            <w:pPr>
              <w:widowControl/>
              <w:jc w:val="center"/>
              <w:rPr>
                <w:rFonts w:ascii="宋体" w:hAnsi="宋体" w:eastAsia="宋体" w:cs="宋体"/>
                <w:color w:val="auto"/>
                <w:szCs w:val="21"/>
              </w:rPr>
            </w:pPr>
          </w:p>
        </w:tc>
        <w:tc>
          <w:tcPr>
            <w:tcW w:w="1134" w:type="dxa"/>
            <w:vAlign w:val="center"/>
          </w:tcPr>
          <w:p>
            <w:pPr>
              <w:widowControl/>
              <w:jc w:val="center"/>
              <w:rPr>
                <w:rFonts w:ascii="宋体" w:hAnsi="宋体" w:eastAsia="宋体" w:cs="宋体"/>
                <w:color w:val="auto"/>
                <w:szCs w:val="21"/>
              </w:rPr>
            </w:pPr>
          </w:p>
        </w:tc>
        <w:tc>
          <w:tcPr>
            <w:tcW w:w="992" w:type="dxa"/>
            <w:vAlign w:val="center"/>
          </w:tcPr>
          <w:p>
            <w:pPr>
              <w:spacing w:line="400" w:lineRule="atLeast"/>
              <w:ind w:right="893"/>
              <w:jc w:val="center"/>
              <w:rPr>
                <w:rFonts w:ascii="宋体" w:hAnsi="宋体" w:eastAsia="宋体" w:cs="宋体"/>
                <w:color w:val="auto"/>
                <w:szCs w:val="21"/>
                <w:lang w:val="zh-CN"/>
              </w:rPr>
            </w:pPr>
          </w:p>
        </w:tc>
        <w:tc>
          <w:tcPr>
            <w:tcW w:w="993" w:type="dxa"/>
            <w:vAlign w:val="center"/>
          </w:tcPr>
          <w:p>
            <w:pPr>
              <w:spacing w:line="276" w:lineRule="auto"/>
              <w:jc w:val="center"/>
              <w:rPr>
                <w:rFonts w:ascii="宋体" w:hAnsi="宋体" w:eastAsia="宋体" w:cs="宋体"/>
                <w:color w:val="auto"/>
                <w:szCs w:val="21"/>
              </w:rPr>
            </w:pPr>
          </w:p>
        </w:tc>
        <w:tc>
          <w:tcPr>
            <w:tcW w:w="1417" w:type="dxa"/>
            <w:vAlign w:val="center"/>
          </w:tcPr>
          <w:p>
            <w:pPr>
              <w:spacing w:line="400" w:lineRule="atLeast"/>
              <w:ind w:right="893"/>
              <w:jc w:val="center"/>
              <w:rPr>
                <w:rFonts w:ascii="宋体" w:hAnsi="宋体" w:eastAsia="宋体" w:cs="宋体"/>
                <w:color w:val="auto"/>
                <w:szCs w:val="21"/>
                <w:lang w:val="zh-CN"/>
              </w:rPr>
            </w:pPr>
          </w:p>
        </w:tc>
        <w:tc>
          <w:tcPr>
            <w:tcW w:w="1276" w:type="dxa"/>
            <w:vAlign w:val="center"/>
          </w:tcPr>
          <w:p>
            <w:pPr>
              <w:spacing w:line="400" w:lineRule="atLeast"/>
              <w:ind w:right="893"/>
              <w:jc w:val="center"/>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widowControl/>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6</w:t>
            </w:r>
          </w:p>
        </w:tc>
        <w:tc>
          <w:tcPr>
            <w:tcW w:w="1843" w:type="dxa"/>
            <w:vAlign w:val="center"/>
          </w:tcPr>
          <w:p>
            <w:pPr>
              <w:widowControl/>
              <w:jc w:val="center"/>
              <w:rPr>
                <w:rFonts w:ascii="宋体" w:hAnsi="宋体" w:eastAsia="宋体" w:cs="宋体"/>
                <w:color w:val="auto"/>
                <w:szCs w:val="21"/>
              </w:rPr>
            </w:pPr>
          </w:p>
        </w:tc>
        <w:tc>
          <w:tcPr>
            <w:tcW w:w="1134" w:type="dxa"/>
            <w:vAlign w:val="center"/>
          </w:tcPr>
          <w:p>
            <w:pPr>
              <w:widowControl/>
              <w:jc w:val="center"/>
              <w:rPr>
                <w:rFonts w:ascii="宋体" w:hAnsi="宋体" w:eastAsia="宋体" w:cs="宋体"/>
                <w:color w:val="auto"/>
                <w:szCs w:val="21"/>
              </w:rPr>
            </w:pPr>
          </w:p>
        </w:tc>
        <w:tc>
          <w:tcPr>
            <w:tcW w:w="992" w:type="dxa"/>
            <w:vAlign w:val="center"/>
          </w:tcPr>
          <w:p>
            <w:pPr>
              <w:spacing w:line="400" w:lineRule="atLeast"/>
              <w:ind w:right="893"/>
              <w:jc w:val="center"/>
              <w:rPr>
                <w:rFonts w:ascii="宋体" w:hAnsi="宋体" w:eastAsia="宋体" w:cs="宋体"/>
                <w:color w:val="auto"/>
                <w:szCs w:val="21"/>
                <w:lang w:val="zh-CN"/>
              </w:rPr>
            </w:pPr>
          </w:p>
        </w:tc>
        <w:tc>
          <w:tcPr>
            <w:tcW w:w="993" w:type="dxa"/>
            <w:vAlign w:val="center"/>
          </w:tcPr>
          <w:p>
            <w:pPr>
              <w:spacing w:line="276" w:lineRule="auto"/>
              <w:jc w:val="center"/>
              <w:rPr>
                <w:rFonts w:ascii="宋体" w:hAnsi="宋体" w:eastAsia="宋体" w:cs="宋体"/>
                <w:color w:val="auto"/>
                <w:szCs w:val="21"/>
              </w:rPr>
            </w:pPr>
          </w:p>
        </w:tc>
        <w:tc>
          <w:tcPr>
            <w:tcW w:w="1417" w:type="dxa"/>
            <w:vAlign w:val="center"/>
          </w:tcPr>
          <w:p>
            <w:pPr>
              <w:spacing w:line="400" w:lineRule="atLeast"/>
              <w:ind w:right="893"/>
              <w:jc w:val="center"/>
              <w:rPr>
                <w:rFonts w:ascii="宋体" w:hAnsi="宋体" w:eastAsia="宋体" w:cs="宋体"/>
                <w:color w:val="auto"/>
                <w:szCs w:val="21"/>
                <w:lang w:val="zh-CN"/>
              </w:rPr>
            </w:pPr>
          </w:p>
        </w:tc>
        <w:tc>
          <w:tcPr>
            <w:tcW w:w="1276" w:type="dxa"/>
            <w:vAlign w:val="center"/>
          </w:tcPr>
          <w:p>
            <w:pPr>
              <w:spacing w:line="400" w:lineRule="atLeast"/>
              <w:ind w:right="893"/>
              <w:jc w:val="center"/>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widowControl/>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7</w:t>
            </w:r>
          </w:p>
        </w:tc>
        <w:tc>
          <w:tcPr>
            <w:tcW w:w="1843" w:type="dxa"/>
            <w:vAlign w:val="center"/>
          </w:tcPr>
          <w:p>
            <w:pPr>
              <w:widowControl/>
              <w:jc w:val="center"/>
              <w:rPr>
                <w:rFonts w:ascii="宋体" w:hAnsi="宋体" w:eastAsia="宋体" w:cs="宋体"/>
                <w:color w:val="auto"/>
                <w:szCs w:val="21"/>
              </w:rPr>
            </w:pPr>
          </w:p>
        </w:tc>
        <w:tc>
          <w:tcPr>
            <w:tcW w:w="1134" w:type="dxa"/>
            <w:vAlign w:val="center"/>
          </w:tcPr>
          <w:p>
            <w:pPr>
              <w:widowControl/>
              <w:jc w:val="center"/>
              <w:rPr>
                <w:rFonts w:ascii="宋体" w:hAnsi="宋体" w:eastAsia="宋体" w:cs="宋体"/>
                <w:color w:val="auto"/>
                <w:szCs w:val="21"/>
              </w:rPr>
            </w:pPr>
          </w:p>
        </w:tc>
        <w:tc>
          <w:tcPr>
            <w:tcW w:w="992" w:type="dxa"/>
            <w:vAlign w:val="center"/>
          </w:tcPr>
          <w:p>
            <w:pPr>
              <w:spacing w:line="400" w:lineRule="atLeast"/>
              <w:ind w:right="893"/>
              <w:jc w:val="center"/>
              <w:rPr>
                <w:rFonts w:ascii="宋体" w:hAnsi="宋体" w:eastAsia="宋体" w:cs="宋体"/>
                <w:color w:val="auto"/>
                <w:szCs w:val="21"/>
                <w:lang w:val="zh-CN"/>
              </w:rPr>
            </w:pPr>
          </w:p>
        </w:tc>
        <w:tc>
          <w:tcPr>
            <w:tcW w:w="993" w:type="dxa"/>
            <w:vAlign w:val="center"/>
          </w:tcPr>
          <w:p>
            <w:pPr>
              <w:spacing w:line="276" w:lineRule="auto"/>
              <w:jc w:val="center"/>
              <w:rPr>
                <w:rFonts w:ascii="宋体" w:hAnsi="宋体" w:eastAsia="宋体" w:cs="宋体"/>
                <w:color w:val="auto"/>
                <w:szCs w:val="21"/>
              </w:rPr>
            </w:pPr>
          </w:p>
        </w:tc>
        <w:tc>
          <w:tcPr>
            <w:tcW w:w="1417" w:type="dxa"/>
            <w:vAlign w:val="center"/>
          </w:tcPr>
          <w:p>
            <w:pPr>
              <w:spacing w:line="400" w:lineRule="atLeast"/>
              <w:ind w:right="893"/>
              <w:jc w:val="center"/>
              <w:rPr>
                <w:rFonts w:ascii="宋体" w:hAnsi="宋体" w:eastAsia="宋体" w:cs="宋体"/>
                <w:color w:val="auto"/>
                <w:szCs w:val="21"/>
                <w:lang w:val="zh-CN"/>
              </w:rPr>
            </w:pPr>
          </w:p>
        </w:tc>
        <w:tc>
          <w:tcPr>
            <w:tcW w:w="1276" w:type="dxa"/>
            <w:vAlign w:val="center"/>
          </w:tcPr>
          <w:p>
            <w:pPr>
              <w:spacing w:line="400" w:lineRule="atLeast"/>
              <w:ind w:right="893"/>
              <w:jc w:val="center"/>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widowControl/>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8</w:t>
            </w:r>
          </w:p>
        </w:tc>
        <w:tc>
          <w:tcPr>
            <w:tcW w:w="1843" w:type="dxa"/>
            <w:vAlign w:val="center"/>
          </w:tcPr>
          <w:p>
            <w:pPr>
              <w:widowControl/>
              <w:jc w:val="center"/>
              <w:rPr>
                <w:rFonts w:ascii="宋体" w:hAnsi="宋体" w:eastAsia="宋体" w:cs="宋体"/>
                <w:color w:val="auto"/>
                <w:szCs w:val="21"/>
              </w:rPr>
            </w:pPr>
          </w:p>
        </w:tc>
        <w:tc>
          <w:tcPr>
            <w:tcW w:w="1134" w:type="dxa"/>
            <w:vAlign w:val="center"/>
          </w:tcPr>
          <w:p>
            <w:pPr>
              <w:widowControl/>
              <w:jc w:val="center"/>
              <w:rPr>
                <w:rFonts w:ascii="宋体" w:hAnsi="宋体" w:eastAsia="宋体" w:cs="宋体"/>
                <w:color w:val="auto"/>
                <w:szCs w:val="21"/>
              </w:rPr>
            </w:pPr>
          </w:p>
        </w:tc>
        <w:tc>
          <w:tcPr>
            <w:tcW w:w="992" w:type="dxa"/>
            <w:vAlign w:val="center"/>
          </w:tcPr>
          <w:p>
            <w:pPr>
              <w:spacing w:line="400" w:lineRule="atLeast"/>
              <w:ind w:right="893"/>
              <w:jc w:val="center"/>
              <w:rPr>
                <w:rFonts w:ascii="宋体" w:hAnsi="宋体" w:eastAsia="宋体" w:cs="宋体"/>
                <w:color w:val="auto"/>
                <w:szCs w:val="21"/>
                <w:lang w:val="zh-CN"/>
              </w:rPr>
            </w:pPr>
          </w:p>
        </w:tc>
        <w:tc>
          <w:tcPr>
            <w:tcW w:w="993" w:type="dxa"/>
            <w:vAlign w:val="center"/>
          </w:tcPr>
          <w:p>
            <w:pPr>
              <w:spacing w:line="276" w:lineRule="auto"/>
              <w:jc w:val="center"/>
              <w:rPr>
                <w:rFonts w:ascii="宋体" w:hAnsi="宋体" w:eastAsia="宋体" w:cs="宋体"/>
                <w:color w:val="auto"/>
                <w:szCs w:val="21"/>
              </w:rPr>
            </w:pPr>
          </w:p>
        </w:tc>
        <w:tc>
          <w:tcPr>
            <w:tcW w:w="1417" w:type="dxa"/>
            <w:vAlign w:val="center"/>
          </w:tcPr>
          <w:p>
            <w:pPr>
              <w:spacing w:line="400" w:lineRule="atLeast"/>
              <w:ind w:right="893"/>
              <w:jc w:val="center"/>
              <w:rPr>
                <w:rFonts w:ascii="宋体" w:hAnsi="宋体" w:eastAsia="宋体" w:cs="宋体"/>
                <w:color w:val="auto"/>
                <w:szCs w:val="21"/>
                <w:lang w:val="zh-CN"/>
              </w:rPr>
            </w:pPr>
          </w:p>
        </w:tc>
        <w:tc>
          <w:tcPr>
            <w:tcW w:w="1276" w:type="dxa"/>
            <w:vAlign w:val="center"/>
          </w:tcPr>
          <w:p>
            <w:pPr>
              <w:spacing w:line="400" w:lineRule="atLeast"/>
              <w:ind w:right="893"/>
              <w:jc w:val="center"/>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widowControl/>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9</w:t>
            </w:r>
          </w:p>
        </w:tc>
        <w:tc>
          <w:tcPr>
            <w:tcW w:w="1843" w:type="dxa"/>
            <w:vAlign w:val="center"/>
          </w:tcPr>
          <w:p>
            <w:pPr>
              <w:widowControl/>
              <w:jc w:val="center"/>
              <w:rPr>
                <w:rFonts w:ascii="宋体" w:hAnsi="宋体" w:eastAsia="宋体" w:cs="宋体"/>
                <w:color w:val="auto"/>
                <w:szCs w:val="21"/>
              </w:rPr>
            </w:pPr>
          </w:p>
        </w:tc>
        <w:tc>
          <w:tcPr>
            <w:tcW w:w="1134" w:type="dxa"/>
            <w:vAlign w:val="center"/>
          </w:tcPr>
          <w:p>
            <w:pPr>
              <w:widowControl/>
              <w:jc w:val="center"/>
              <w:rPr>
                <w:rFonts w:ascii="宋体" w:hAnsi="宋体" w:eastAsia="宋体" w:cs="宋体"/>
                <w:color w:val="auto"/>
                <w:szCs w:val="21"/>
              </w:rPr>
            </w:pPr>
          </w:p>
        </w:tc>
        <w:tc>
          <w:tcPr>
            <w:tcW w:w="992" w:type="dxa"/>
            <w:vAlign w:val="center"/>
          </w:tcPr>
          <w:p>
            <w:pPr>
              <w:spacing w:line="400" w:lineRule="atLeast"/>
              <w:ind w:right="893"/>
              <w:jc w:val="center"/>
              <w:rPr>
                <w:rFonts w:ascii="宋体" w:hAnsi="宋体" w:eastAsia="宋体" w:cs="宋体"/>
                <w:color w:val="auto"/>
                <w:szCs w:val="21"/>
                <w:lang w:val="zh-CN"/>
              </w:rPr>
            </w:pPr>
          </w:p>
        </w:tc>
        <w:tc>
          <w:tcPr>
            <w:tcW w:w="993" w:type="dxa"/>
            <w:vAlign w:val="center"/>
          </w:tcPr>
          <w:p>
            <w:pPr>
              <w:spacing w:line="276" w:lineRule="auto"/>
              <w:jc w:val="center"/>
              <w:rPr>
                <w:rFonts w:ascii="宋体" w:hAnsi="宋体" w:eastAsia="宋体" w:cs="宋体"/>
                <w:color w:val="auto"/>
                <w:szCs w:val="21"/>
              </w:rPr>
            </w:pPr>
          </w:p>
        </w:tc>
        <w:tc>
          <w:tcPr>
            <w:tcW w:w="1417" w:type="dxa"/>
            <w:vAlign w:val="center"/>
          </w:tcPr>
          <w:p>
            <w:pPr>
              <w:spacing w:line="400" w:lineRule="atLeast"/>
              <w:ind w:right="893"/>
              <w:jc w:val="center"/>
              <w:rPr>
                <w:rFonts w:ascii="宋体" w:hAnsi="宋体" w:eastAsia="宋体" w:cs="宋体"/>
                <w:color w:val="auto"/>
                <w:szCs w:val="21"/>
                <w:lang w:val="zh-CN"/>
              </w:rPr>
            </w:pPr>
          </w:p>
        </w:tc>
        <w:tc>
          <w:tcPr>
            <w:tcW w:w="1276" w:type="dxa"/>
            <w:vAlign w:val="center"/>
          </w:tcPr>
          <w:p>
            <w:pPr>
              <w:spacing w:line="400" w:lineRule="atLeast"/>
              <w:ind w:right="893"/>
              <w:jc w:val="center"/>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widowControl/>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10</w:t>
            </w:r>
          </w:p>
        </w:tc>
        <w:tc>
          <w:tcPr>
            <w:tcW w:w="1843" w:type="dxa"/>
            <w:vAlign w:val="center"/>
          </w:tcPr>
          <w:p>
            <w:pPr>
              <w:widowControl/>
              <w:jc w:val="center"/>
              <w:rPr>
                <w:rFonts w:ascii="宋体" w:hAnsi="宋体" w:eastAsia="宋体" w:cs="宋体"/>
                <w:color w:val="auto"/>
                <w:szCs w:val="21"/>
              </w:rPr>
            </w:pPr>
          </w:p>
        </w:tc>
        <w:tc>
          <w:tcPr>
            <w:tcW w:w="1134" w:type="dxa"/>
            <w:vAlign w:val="center"/>
          </w:tcPr>
          <w:p>
            <w:pPr>
              <w:widowControl/>
              <w:jc w:val="center"/>
              <w:rPr>
                <w:rFonts w:ascii="宋体" w:hAnsi="宋体" w:eastAsia="宋体" w:cs="宋体"/>
                <w:color w:val="auto"/>
                <w:szCs w:val="21"/>
              </w:rPr>
            </w:pPr>
          </w:p>
        </w:tc>
        <w:tc>
          <w:tcPr>
            <w:tcW w:w="992" w:type="dxa"/>
            <w:vAlign w:val="center"/>
          </w:tcPr>
          <w:p>
            <w:pPr>
              <w:spacing w:line="400" w:lineRule="atLeast"/>
              <w:ind w:right="893"/>
              <w:jc w:val="center"/>
              <w:rPr>
                <w:rFonts w:ascii="宋体" w:hAnsi="宋体" w:eastAsia="宋体" w:cs="宋体"/>
                <w:color w:val="auto"/>
                <w:szCs w:val="21"/>
                <w:lang w:val="zh-CN"/>
              </w:rPr>
            </w:pPr>
          </w:p>
        </w:tc>
        <w:tc>
          <w:tcPr>
            <w:tcW w:w="993" w:type="dxa"/>
            <w:vAlign w:val="center"/>
          </w:tcPr>
          <w:p>
            <w:pPr>
              <w:spacing w:line="276" w:lineRule="auto"/>
              <w:jc w:val="center"/>
              <w:rPr>
                <w:rFonts w:ascii="宋体" w:hAnsi="宋体" w:eastAsia="宋体" w:cs="宋体"/>
                <w:color w:val="auto"/>
                <w:szCs w:val="21"/>
              </w:rPr>
            </w:pPr>
          </w:p>
        </w:tc>
        <w:tc>
          <w:tcPr>
            <w:tcW w:w="1417" w:type="dxa"/>
            <w:vAlign w:val="center"/>
          </w:tcPr>
          <w:p>
            <w:pPr>
              <w:spacing w:line="400" w:lineRule="atLeast"/>
              <w:ind w:right="893"/>
              <w:jc w:val="center"/>
              <w:rPr>
                <w:rFonts w:ascii="宋体" w:hAnsi="宋体" w:eastAsia="宋体" w:cs="宋体"/>
                <w:color w:val="auto"/>
                <w:szCs w:val="21"/>
                <w:lang w:val="zh-CN"/>
              </w:rPr>
            </w:pPr>
          </w:p>
        </w:tc>
        <w:tc>
          <w:tcPr>
            <w:tcW w:w="1276" w:type="dxa"/>
            <w:vAlign w:val="center"/>
          </w:tcPr>
          <w:p>
            <w:pPr>
              <w:spacing w:line="400" w:lineRule="atLeast"/>
              <w:ind w:right="893"/>
              <w:jc w:val="center"/>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pPr>
              <w:widowControl/>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11</w:t>
            </w:r>
          </w:p>
        </w:tc>
        <w:tc>
          <w:tcPr>
            <w:tcW w:w="1843" w:type="dxa"/>
            <w:vAlign w:val="center"/>
          </w:tcPr>
          <w:p>
            <w:pPr>
              <w:widowControl/>
              <w:jc w:val="center"/>
              <w:rPr>
                <w:rFonts w:ascii="宋体" w:hAnsi="宋体" w:eastAsia="宋体" w:cs="宋体"/>
                <w:color w:val="auto"/>
                <w:szCs w:val="21"/>
              </w:rPr>
            </w:pPr>
          </w:p>
        </w:tc>
        <w:tc>
          <w:tcPr>
            <w:tcW w:w="1134" w:type="dxa"/>
            <w:vAlign w:val="center"/>
          </w:tcPr>
          <w:p>
            <w:pPr>
              <w:widowControl/>
              <w:jc w:val="center"/>
              <w:rPr>
                <w:rFonts w:ascii="宋体" w:hAnsi="宋体" w:eastAsia="宋体" w:cs="宋体"/>
                <w:color w:val="auto"/>
                <w:szCs w:val="21"/>
              </w:rPr>
            </w:pPr>
          </w:p>
        </w:tc>
        <w:tc>
          <w:tcPr>
            <w:tcW w:w="992" w:type="dxa"/>
            <w:vAlign w:val="center"/>
          </w:tcPr>
          <w:p>
            <w:pPr>
              <w:spacing w:line="400" w:lineRule="atLeast"/>
              <w:ind w:right="893"/>
              <w:jc w:val="center"/>
              <w:rPr>
                <w:rFonts w:ascii="宋体" w:hAnsi="宋体" w:eastAsia="宋体" w:cs="宋体"/>
                <w:color w:val="auto"/>
                <w:szCs w:val="21"/>
                <w:lang w:val="zh-CN"/>
              </w:rPr>
            </w:pPr>
          </w:p>
        </w:tc>
        <w:tc>
          <w:tcPr>
            <w:tcW w:w="993" w:type="dxa"/>
            <w:vAlign w:val="center"/>
          </w:tcPr>
          <w:p>
            <w:pPr>
              <w:spacing w:line="276" w:lineRule="auto"/>
              <w:jc w:val="center"/>
              <w:rPr>
                <w:rFonts w:ascii="宋体" w:hAnsi="宋体" w:eastAsia="宋体" w:cs="宋体"/>
                <w:color w:val="auto"/>
                <w:szCs w:val="21"/>
              </w:rPr>
            </w:pPr>
          </w:p>
        </w:tc>
        <w:tc>
          <w:tcPr>
            <w:tcW w:w="1417" w:type="dxa"/>
            <w:vAlign w:val="center"/>
          </w:tcPr>
          <w:p>
            <w:pPr>
              <w:spacing w:line="400" w:lineRule="atLeast"/>
              <w:ind w:right="893"/>
              <w:jc w:val="center"/>
              <w:rPr>
                <w:rFonts w:ascii="宋体" w:hAnsi="宋体" w:eastAsia="宋体" w:cs="宋体"/>
                <w:color w:val="auto"/>
                <w:szCs w:val="21"/>
                <w:lang w:val="zh-CN"/>
              </w:rPr>
            </w:pPr>
          </w:p>
        </w:tc>
        <w:tc>
          <w:tcPr>
            <w:tcW w:w="1276" w:type="dxa"/>
            <w:vAlign w:val="center"/>
          </w:tcPr>
          <w:p>
            <w:pPr>
              <w:spacing w:line="400" w:lineRule="atLeast"/>
              <w:ind w:right="893"/>
              <w:jc w:val="center"/>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72" w:type="dxa"/>
            <w:gridSpan w:val="7"/>
            <w:vAlign w:val="center"/>
          </w:tcPr>
          <w:p>
            <w:pPr>
              <w:spacing w:line="400" w:lineRule="atLeast"/>
              <w:ind w:right="893" w:firstLine="422"/>
              <w:jc w:val="left"/>
              <w:rPr>
                <w:rFonts w:ascii="宋体" w:hAnsi="宋体" w:eastAsia="宋体" w:cs="宋体"/>
                <w:color w:val="auto"/>
                <w:szCs w:val="21"/>
                <w:lang w:val="zh-CN"/>
              </w:rPr>
            </w:pPr>
            <w:r>
              <w:rPr>
                <w:rFonts w:hint="eastAsia" w:ascii="宋体" w:hAnsi="宋体" w:eastAsia="宋体" w:cs="宋体"/>
                <w:b/>
                <w:color w:val="auto"/>
                <w:szCs w:val="21"/>
              </w:rPr>
              <w:t>投标总报价（元）：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72" w:type="dxa"/>
            <w:gridSpan w:val="7"/>
            <w:vAlign w:val="center"/>
          </w:tcPr>
          <w:p>
            <w:pPr>
              <w:spacing w:line="400" w:lineRule="atLeast"/>
              <w:ind w:right="893" w:firstLine="422"/>
              <w:jc w:val="left"/>
              <w:rPr>
                <w:rFonts w:ascii="宋体" w:hAnsi="宋体" w:eastAsia="宋体" w:cs="宋体"/>
                <w:color w:val="auto"/>
                <w:szCs w:val="21"/>
                <w:lang w:val="zh-CN"/>
              </w:rPr>
            </w:pPr>
            <w:r>
              <w:rPr>
                <w:rFonts w:hint="eastAsia" w:ascii="宋体" w:hAnsi="宋体" w:eastAsia="宋体" w:cs="宋体"/>
                <w:b/>
                <w:color w:val="auto"/>
                <w:szCs w:val="21"/>
              </w:rPr>
              <w:t>其他说明事项  ：</w:t>
            </w:r>
          </w:p>
        </w:tc>
      </w:tr>
    </w:tbl>
    <w:p>
      <w:pPr>
        <w:tabs>
          <w:tab w:val="left" w:pos="3750"/>
        </w:tabs>
        <w:autoSpaceDE w:val="0"/>
        <w:autoSpaceDN w:val="0"/>
        <w:spacing w:line="360" w:lineRule="auto"/>
        <w:jc w:val="left"/>
        <w:rPr>
          <w:rFonts w:ascii="宋体" w:hAnsi="宋体" w:eastAsia="宋体" w:cs="宋体"/>
          <w:color w:val="auto"/>
          <w:szCs w:val="21"/>
        </w:rPr>
      </w:pPr>
    </w:p>
    <w:p>
      <w:pPr>
        <w:autoSpaceDE w:val="0"/>
        <w:autoSpaceDN w:val="0"/>
        <w:spacing w:line="360" w:lineRule="auto"/>
        <w:jc w:val="left"/>
        <w:rPr>
          <w:rFonts w:ascii="宋体" w:hAnsi="宋体" w:eastAsia="宋体" w:cs="宋体"/>
          <w:color w:val="auto"/>
          <w:szCs w:val="21"/>
        </w:rPr>
      </w:pPr>
      <w:r>
        <w:rPr>
          <w:rFonts w:hint="eastAsia" w:ascii="宋体" w:hAnsi="宋体" w:eastAsia="宋体" w:cs="宋体"/>
          <w:color w:val="auto"/>
          <w:szCs w:val="21"/>
        </w:rPr>
        <w:t>备注：分项报价表投标总报价一栏须与开标一览表中投标总报价一致。</w:t>
      </w:r>
    </w:p>
    <w:p>
      <w:pPr>
        <w:tabs>
          <w:tab w:val="left" w:pos="3750"/>
        </w:tabs>
        <w:autoSpaceDE w:val="0"/>
        <w:autoSpaceDN w:val="0"/>
        <w:spacing w:line="360" w:lineRule="auto"/>
        <w:jc w:val="left"/>
        <w:rPr>
          <w:rFonts w:ascii="宋体" w:hAnsi="宋体" w:eastAsia="宋体" w:cs="宋体"/>
          <w:color w:val="auto"/>
          <w:szCs w:val="21"/>
        </w:rPr>
      </w:pPr>
    </w:p>
    <w:p>
      <w:pPr>
        <w:autoSpaceDE w:val="0"/>
        <w:autoSpaceDN w:val="0"/>
        <w:spacing w:line="360" w:lineRule="auto"/>
        <w:jc w:val="right"/>
        <w:rPr>
          <w:rFonts w:ascii="宋体" w:hAnsi="宋体" w:eastAsia="宋体" w:cs="宋体"/>
          <w:color w:val="auto"/>
          <w:szCs w:val="21"/>
          <w:lang w:val="zh-CN"/>
        </w:rPr>
      </w:pPr>
      <w:r>
        <w:rPr>
          <w:rFonts w:hint="eastAsia" w:ascii="宋体" w:hAnsi="宋体" w:eastAsia="宋体" w:cs="宋体"/>
          <w:color w:val="auto"/>
          <w:szCs w:val="21"/>
          <w:lang w:val="zh-CN"/>
        </w:rPr>
        <w:t>供应商：</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（盖单位公章）</w:t>
      </w:r>
    </w:p>
    <w:p>
      <w:pPr>
        <w:autoSpaceDE w:val="0"/>
        <w:autoSpaceDN w:val="0"/>
        <w:spacing w:line="360" w:lineRule="auto"/>
        <w:jc w:val="right"/>
        <w:rPr>
          <w:rFonts w:ascii="宋体" w:hAnsi="宋体" w:eastAsia="宋体" w:cs="宋体"/>
          <w:color w:val="auto"/>
          <w:szCs w:val="21"/>
          <w:lang w:val="zh-CN"/>
        </w:rPr>
      </w:pPr>
      <w:r>
        <w:rPr>
          <w:rFonts w:hint="eastAsia" w:ascii="宋体" w:hAnsi="宋体" w:eastAsia="宋体" w:cs="宋体"/>
          <w:color w:val="auto"/>
          <w:szCs w:val="21"/>
          <w:lang w:val="zh-CN"/>
        </w:rPr>
        <w:t>法定代表人（单位负责人）或其委托代理人：</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（签字或盖章）</w:t>
      </w:r>
    </w:p>
    <w:p>
      <w:pPr>
        <w:autoSpaceDE w:val="0"/>
        <w:autoSpaceDN w:val="0"/>
        <w:spacing w:line="360" w:lineRule="auto"/>
        <w:ind w:firstLine="5250" w:firstLineChars="2500"/>
        <w:jc w:val="center"/>
        <w:rPr>
          <w:rFonts w:ascii="宋体" w:hAnsi="宋体" w:eastAsia="宋体" w:cs="宋体"/>
          <w:color w:val="auto"/>
          <w:szCs w:val="21"/>
          <w:lang w:val="zh-CN"/>
        </w:rPr>
      </w:pPr>
      <w:r>
        <w:rPr>
          <w:rFonts w:hint="eastAsia" w:ascii="宋体" w:hAnsi="宋体" w:eastAsia="宋体" w:cs="宋体"/>
          <w:color w:val="auto"/>
          <w:szCs w:val="21"/>
        </w:rPr>
        <w:t xml:space="preserve">                </w:t>
      </w:r>
      <w:r>
        <w:rPr>
          <w:rFonts w:hint="eastAsia" w:ascii="宋体" w:hAnsi="宋体" w:eastAsia="宋体" w:cs="宋体"/>
          <w:color w:val="auto"/>
          <w:szCs w:val="21"/>
          <w:lang w:val="zh-CN"/>
        </w:rPr>
        <w:t>年    月    日</w:t>
      </w:r>
    </w:p>
    <w:p>
      <w:pPr>
        <w:spacing w:line="360" w:lineRule="auto"/>
        <w:jc w:val="both"/>
        <w:rPr>
          <w:rFonts w:ascii="宋体" w:hAnsi="宋体" w:eastAsia="宋体" w:cs="宋体"/>
          <w:b/>
          <w:color w:val="auto"/>
          <w:sz w:val="32"/>
          <w:szCs w:val="32"/>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三、</w:t>
      </w:r>
      <w:bookmarkStart w:id="52" w:name="_Toc49019237"/>
      <w:bookmarkStart w:id="53" w:name="_Toc47261691"/>
      <w:bookmarkStart w:id="54" w:name="_Toc47262070"/>
      <w:bookmarkStart w:id="55" w:name="_Toc47418939"/>
      <w:bookmarkStart w:id="56" w:name="_Toc49019498"/>
      <w:bookmarkStart w:id="57" w:name="_Toc47418732"/>
      <w:bookmarkStart w:id="58" w:name="_Toc47418256"/>
      <w:bookmarkStart w:id="59" w:name="_Toc48995852"/>
      <w:bookmarkStart w:id="60" w:name="_Toc47261886"/>
      <w:bookmarkStart w:id="61" w:name="_Toc48791236"/>
      <w:r>
        <w:rPr>
          <w:rFonts w:hint="eastAsia" w:ascii="宋体" w:hAnsi="宋体" w:eastAsia="宋体" w:cs="宋体"/>
          <w:b/>
          <w:color w:val="auto"/>
          <w:sz w:val="32"/>
          <w:szCs w:val="32"/>
        </w:rPr>
        <w:t>资格</w:t>
      </w:r>
      <w:bookmarkEnd w:id="52"/>
      <w:bookmarkEnd w:id="53"/>
      <w:bookmarkEnd w:id="54"/>
      <w:bookmarkEnd w:id="55"/>
      <w:bookmarkEnd w:id="56"/>
      <w:bookmarkEnd w:id="57"/>
      <w:bookmarkEnd w:id="58"/>
      <w:bookmarkEnd w:id="59"/>
      <w:bookmarkEnd w:id="60"/>
      <w:bookmarkEnd w:id="61"/>
      <w:r>
        <w:rPr>
          <w:rFonts w:hint="eastAsia" w:ascii="宋体" w:hAnsi="宋体" w:eastAsia="宋体" w:cs="宋体"/>
          <w:b/>
          <w:color w:val="auto"/>
          <w:sz w:val="32"/>
          <w:szCs w:val="32"/>
        </w:rPr>
        <w:t>证明文件</w:t>
      </w:r>
    </w:p>
    <w:p>
      <w:pPr>
        <w:spacing w:line="360" w:lineRule="auto"/>
        <w:ind w:firstLine="630" w:firstLineChars="300"/>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1.满足《中华人民共和国政府采购法》第二十二条规定;</w:t>
      </w:r>
    </w:p>
    <w:p>
      <w:pPr>
        <w:spacing w:line="480" w:lineRule="auto"/>
        <w:jc w:val="left"/>
        <w:rPr>
          <w:rFonts w:hint="eastAsia" w:ascii="宋体" w:hAnsi="宋体" w:eastAsia="宋体" w:cs="宋体"/>
          <w:color w:val="auto"/>
          <w:szCs w:val="21"/>
        </w:rPr>
      </w:pPr>
      <w:r>
        <w:rPr>
          <w:rFonts w:hint="eastAsia" w:ascii="宋体" w:hAnsi="宋体" w:eastAsia="宋体" w:cs="宋体"/>
          <w:color w:val="auto"/>
          <w:szCs w:val="21"/>
        </w:rPr>
        <w:t>（1）具有独立承担民事责任能力的法人、其他组织或自然人，并出具经年检合格的营业执照或事业单位法人证书等国家规定的相关证明，自然人参与的提供其身份证明；</w:t>
      </w:r>
    </w:p>
    <w:p>
      <w:pPr>
        <w:spacing w:line="480" w:lineRule="auto"/>
        <w:jc w:val="left"/>
        <w:rPr>
          <w:rFonts w:hint="eastAsia" w:ascii="宋体" w:hAnsi="宋体" w:eastAsia="宋体" w:cs="宋体"/>
          <w:color w:val="auto"/>
          <w:szCs w:val="21"/>
        </w:rPr>
      </w:pPr>
      <w:r>
        <w:rPr>
          <w:rFonts w:hint="eastAsia" w:ascii="宋体" w:hAnsi="宋体" w:eastAsia="宋体" w:cs="宋体"/>
          <w:color w:val="auto"/>
          <w:szCs w:val="21"/>
        </w:rPr>
        <w:t>（2）提供法定代表人授权书（附法定代表人身份证复印件加盖公章）及被授权人身份证（法定代表人直接参加投标的，须出具法人身份证原件）；</w:t>
      </w:r>
    </w:p>
    <w:p>
      <w:pPr>
        <w:spacing w:line="480" w:lineRule="auto"/>
        <w:jc w:val="left"/>
        <w:rPr>
          <w:rFonts w:hint="eastAsia" w:ascii="宋体" w:hAnsi="宋体" w:eastAsia="宋体" w:cs="宋体"/>
          <w:color w:val="auto"/>
          <w:szCs w:val="21"/>
        </w:rPr>
      </w:pPr>
      <w:r>
        <w:rPr>
          <w:rFonts w:hint="eastAsia" w:ascii="宋体" w:hAnsi="宋体" w:eastAsia="宋体" w:cs="宋体"/>
          <w:color w:val="auto"/>
          <w:szCs w:val="21"/>
        </w:rPr>
        <w:t>（3）具有履行合同所必需的设备和专业技术能力（提供自述材料加盖公章）；</w:t>
      </w:r>
    </w:p>
    <w:p>
      <w:pPr>
        <w:spacing w:line="480" w:lineRule="auto"/>
        <w:jc w:val="left"/>
        <w:rPr>
          <w:rFonts w:hint="eastAsia" w:ascii="宋体" w:hAnsi="宋体" w:eastAsia="宋体" w:cs="宋体"/>
          <w:color w:val="auto"/>
          <w:szCs w:val="21"/>
        </w:rPr>
      </w:pPr>
      <w:r>
        <w:rPr>
          <w:rFonts w:hint="eastAsia" w:ascii="宋体" w:hAnsi="宋体" w:eastAsia="宋体" w:cs="宋体"/>
          <w:color w:val="auto"/>
          <w:szCs w:val="21"/>
        </w:rPr>
        <w:t>（4）参加政府采购活动前三年内，在经营活动中没有重大违法记录的书面声明；</w:t>
      </w:r>
    </w:p>
    <w:p>
      <w:pPr>
        <w:spacing w:line="480" w:lineRule="auto"/>
        <w:jc w:val="left"/>
        <w:rPr>
          <w:rFonts w:hint="eastAsia" w:ascii="宋体" w:hAnsi="宋体" w:eastAsia="宋体" w:cs="宋体"/>
          <w:color w:val="auto"/>
          <w:szCs w:val="21"/>
        </w:rPr>
      </w:pPr>
      <w:r>
        <w:rPr>
          <w:rFonts w:hint="eastAsia" w:ascii="宋体" w:hAnsi="宋体" w:eastAsia="宋体" w:cs="宋体"/>
          <w:color w:val="auto"/>
          <w:szCs w:val="21"/>
        </w:rPr>
        <w:t>（5）社会保障资金缴纳证明：提供 2021年 9月至今已缴存的至少三个月的社会保障资金缴存单据或社保机构开具的社会保险参保缴费情况证明，依法不需要缴纳社会保障资金的单位应提供相关证明材料；</w:t>
      </w:r>
    </w:p>
    <w:p>
      <w:pPr>
        <w:spacing w:line="480" w:lineRule="auto"/>
        <w:jc w:val="left"/>
        <w:rPr>
          <w:rFonts w:hint="eastAsia" w:ascii="宋体" w:hAnsi="宋体" w:eastAsia="宋体" w:cs="宋体"/>
          <w:color w:val="auto"/>
          <w:szCs w:val="21"/>
        </w:rPr>
      </w:pPr>
      <w:r>
        <w:rPr>
          <w:rFonts w:hint="eastAsia" w:ascii="宋体" w:hAnsi="宋体" w:eastAsia="宋体" w:cs="宋体"/>
          <w:color w:val="auto"/>
          <w:szCs w:val="21"/>
        </w:rPr>
        <w:t>（6）提供 2021 年的财务审计报告（至少包括资产负债表和利润表，成立时间至提交响应文件截止时间不足一年的可提供成立后任意时段的资产负债表）须加盖</w:t>
      </w:r>
      <w:r>
        <w:rPr>
          <w:rFonts w:hint="eastAsia" w:ascii="宋体" w:hAnsi="宋体" w:eastAsia="宋体" w:cs="宋体"/>
          <w:color w:val="auto"/>
          <w:szCs w:val="21"/>
          <w:lang w:eastAsia="zh-CN"/>
        </w:rPr>
        <w:t>投标人</w:t>
      </w:r>
      <w:r>
        <w:rPr>
          <w:rFonts w:hint="eastAsia" w:ascii="宋体" w:hAnsi="宋体" w:eastAsia="宋体" w:cs="宋体"/>
          <w:color w:val="auto"/>
          <w:szCs w:val="21"/>
        </w:rPr>
        <w:t>财务</w:t>
      </w:r>
      <w:r>
        <w:rPr>
          <w:rFonts w:hint="eastAsia" w:ascii="宋体" w:hAnsi="宋体" w:eastAsia="宋体" w:cs="宋体"/>
          <w:color w:val="auto"/>
          <w:szCs w:val="21"/>
          <w:lang w:eastAsia="zh-CN"/>
        </w:rPr>
        <w:t>专用</w:t>
      </w:r>
      <w:r>
        <w:rPr>
          <w:rFonts w:hint="eastAsia" w:ascii="宋体" w:hAnsi="宋体" w:eastAsia="宋体" w:cs="宋体"/>
          <w:color w:val="auto"/>
          <w:szCs w:val="21"/>
        </w:rPr>
        <w:t>章，或其基本存款账户开户银行出具的资信证明及基本存款账户开户许可证；</w:t>
      </w:r>
    </w:p>
    <w:p>
      <w:pPr>
        <w:spacing w:line="480" w:lineRule="auto"/>
        <w:jc w:val="left"/>
        <w:rPr>
          <w:rFonts w:ascii="宋体" w:hAnsi="宋体" w:eastAsia="宋体" w:cs="宋体"/>
          <w:color w:val="auto"/>
          <w:szCs w:val="21"/>
        </w:rPr>
      </w:pPr>
      <w:r>
        <w:rPr>
          <w:rFonts w:hint="eastAsia" w:ascii="宋体" w:hAnsi="宋体" w:eastAsia="宋体" w:cs="宋体"/>
          <w:color w:val="auto"/>
          <w:szCs w:val="21"/>
        </w:rPr>
        <w:t>（7）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color w:val="auto"/>
          <w:szCs w:val="21"/>
          <w:lang w:eastAsia="zh-CN"/>
        </w:rPr>
        <w:t>，</w:t>
      </w:r>
      <w:r>
        <w:rPr>
          <w:rFonts w:hint="eastAsia" w:ascii="宋体" w:hAnsi="宋体" w:eastAsia="宋体" w:cs="宋体"/>
          <w:i w:val="0"/>
          <w:caps w:val="0"/>
          <w:color w:val="auto"/>
          <w:spacing w:val="0"/>
          <w:sz w:val="21"/>
          <w:szCs w:val="21"/>
          <w:shd w:val="clear" w:color="auto" w:fill="FFFFFF"/>
          <w:lang w:eastAsia="zh-CN"/>
        </w:rPr>
        <w:t>提供投标截止时间前</w:t>
      </w:r>
      <w:r>
        <w:rPr>
          <w:rFonts w:hint="eastAsia" w:ascii="宋体" w:hAnsi="宋体" w:eastAsia="宋体" w:cs="宋体"/>
          <w:i w:val="0"/>
          <w:caps w:val="0"/>
          <w:color w:val="auto"/>
          <w:spacing w:val="0"/>
          <w:sz w:val="21"/>
          <w:szCs w:val="21"/>
          <w:shd w:val="clear" w:color="auto" w:fill="FFFFFF"/>
          <w:lang w:val="en-US" w:eastAsia="zh-CN"/>
        </w:rPr>
        <w:t>5日内</w:t>
      </w:r>
      <w:r>
        <w:rPr>
          <w:rFonts w:hint="eastAsia" w:ascii="宋体" w:hAnsi="宋体" w:eastAsia="宋体" w:cs="宋体"/>
          <w:i w:val="0"/>
          <w:caps w:val="0"/>
          <w:color w:val="auto"/>
          <w:spacing w:val="0"/>
          <w:sz w:val="21"/>
          <w:szCs w:val="21"/>
          <w:shd w:val="clear" w:color="auto" w:fill="FFFFFF"/>
          <w:lang w:eastAsia="zh-CN"/>
        </w:rPr>
        <w:t>网站截图；</w:t>
      </w:r>
    </w:p>
    <w:p>
      <w:pPr>
        <w:spacing w:line="360" w:lineRule="auto"/>
        <w:ind w:firstLine="422"/>
        <w:rPr>
          <w:rFonts w:ascii="宋体" w:hAnsi="宋体" w:eastAsia="宋体" w:cs="宋体"/>
          <w:b/>
          <w:color w:val="auto"/>
          <w:szCs w:val="21"/>
        </w:rPr>
      </w:pPr>
      <w:r>
        <w:rPr>
          <w:rFonts w:hint="eastAsia" w:ascii="宋体" w:hAnsi="宋体" w:eastAsia="宋体" w:cs="宋体"/>
          <w:b/>
          <w:color w:val="auto"/>
          <w:szCs w:val="21"/>
        </w:rPr>
        <w:t>备注：以上相关资料若出现内容模糊等情况，造成对供应商不利的评审结果，由供应商自负。</w:t>
      </w:r>
    </w:p>
    <w:p>
      <w:pPr>
        <w:spacing w:line="360" w:lineRule="auto"/>
        <w:jc w:val="left"/>
        <w:outlineLvl w:val="2"/>
        <w:rPr>
          <w:rFonts w:ascii="宋体" w:hAnsi="宋体" w:eastAsia="宋体" w:cs="宋体"/>
          <w:color w:val="auto"/>
          <w:szCs w:val="21"/>
        </w:rPr>
      </w:pPr>
    </w:p>
    <w:p>
      <w:pPr>
        <w:spacing w:line="360" w:lineRule="auto"/>
        <w:rPr>
          <w:rFonts w:ascii="宋体" w:hAnsi="宋体" w:eastAsia="宋体" w:cs="宋体"/>
          <w:color w:val="auto"/>
          <w:szCs w:val="21"/>
          <w:lang w:val="zh-CN"/>
        </w:rPr>
      </w:pPr>
    </w:p>
    <w:p>
      <w:pPr>
        <w:spacing w:line="360" w:lineRule="auto"/>
        <w:ind w:firstLine="643"/>
        <w:jc w:val="center"/>
        <w:rPr>
          <w:rFonts w:ascii="宋体" w:hAnsi="宋体" w:eastAsia="宋体" w:cs="宋体"/>
          <w:b/>
          <w:color w:val="auto"/>
          <w:sz w:val="32"/>
          <w:szCs w:val="32"/>
        </w:rPr>
      </w:pPr>
      <w:r>
        <w:rPr>
          <w:rFonts w:hint="eastAsia" w:ascii="宋体" w:hAnsi="宋体" w:eastAsia="宋体" w:cs="宋体"/>
          <w:color w:val="auto"/>
          <w:szCs w:val="21"/>
        </w:rPr>
        <w:br w:type="page"/>
      </w:r>
      <w:r>
        <w:rPr>
          <w:rFonts w:hint="eastAsia" w:ascii="宋体" w:hAnsi="宋体" w:eastAsia="宋体" w:cs="宋体"/>
          <w:b/>
          <w:color w:val="auto"/>
          <w:sz w:val="32"/>
          <w:szCs w:val="32"/>
          <w:lang w:val="en-US" w:eastAsia="zh-CN"/>
        </w:rPr>
        <w:t>3.1</w:t>
      </w:r>
      <w:r>
        <w:rPr>
          <w:rFonts w:hint="eastAsia" w:ascii="宋体" w:hAnsi="宋体" w:eastAsia="宋体" w:cs="宋体"/>
          <w:b/>
          <w:color w:val="auto"/>
          <w:sz w:val="32"/>
          <w:szCs w:val="32"/>
        </w:rPr>
        <w:t>法定代表人（单位负责人/自然人）身份证明</w:t>
      </w:r>
    </w:p>
    <w:p>
      <w:pPr>
        <w:autoSpaceDE w:val="0"/>
        <w:autoSpaceDN w:val="0"/>
        <w:spacing w:line="360" w:lineRule="auto"/>
        <w:jc w:val="right"/>
        <w:rPr>
          <w:rFonts w:ascii="宋体" w:hAnsi="宋体" w:eastAsia="宋体" w:cs="宋体"/>
          <w:color w:val="auto"/>
          <w:szCs w:val="21"/>
          <w:lang w:val="zh-CN"/>
        </w:rPr>
      </w:pPr>
    </w:p>
    <w:p>
      <w:pPr>
        <w:autoSpaceDE w:val="0"/>
        <w:autoSpaceDN w:val="0"/>
        <w:spacing w:line="360" w:lineRule="auto"/>
        <w:ind w:right="105"/>
        <w:jc w:val="left"/>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u w:val="single"/>
          <w:lang w:val="zh-CN"/>
        </w:rPr>
        <w:t xml:space="preserve">                                    </w:t>
      </w:r>
    </w:p>
    <w:p>
      <w:pPr>
        <w:autoSpaceDE w:val="0"/>
        <w:autoSpaceDN w:val="0"/>
        <w:spacing w:line="360" w:lineRule="auto"/>
        <w:ind w:right="105"/>
        <w:jc w:val="left"/>
        <w:rPr>
          <w:rFonts w:ascii="宋体" w:hAnsi="宋体" w:eastAsia="宋体" w:cs="宋体"/>
          <w:color w:val="auto"/>
          <w:szCs w:val="21"/>
          <w:lang w:val="zh-CN"/>
        </w:rPr>
      </w:pPr>
      <w:r>
        <w:rPr>
          <w:rFonts w:hint="eastAsia" w:ascii="宋体" w:hAnsi="宋体" w:eastAsia="宋体" w:cs="宋体"/>
          <w:color w:val="auto"/>
          <w:szCs w:val="21"/>
          <w:lang w:val="zh-CN"/>
        </w:rPr>
        <w:t>姓名：</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性别：</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年龄：</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职务：</w:t>
      </w:r>
      <w:r>
        <w:rPr>
          <w:rFonts w:hint="eastAsia" w:ascii="宋体" w:hAnsi="宋体" w:eastAsia="宋体" w:cs="宋体"/>
          <w:color w:val="auto"/>
          <w:szCs w:val="21"/>
          <w:u w:val="single"/>
          <w:lang w:val="zh-CN"/>
        </w:rPr>
        <w:t xml:space="preserve">      </w:t>
      </w:r>
    </w:p>
    <w:p>
      <w:pPr>
        <w:autoSpaceDE w:val="0"/>
        <w:autoSpaceDN w:val="0"/>
        <w:spacing w:line="360" w:lineRule="auto"/>
        <w:ind w:right="105"/>
        <w:jc w:val="left"/>
        <w:rPr>
          <w:rFonts w:ascii="宋体" w:hAnsi="宋体" w:eastAsia="宋体" w:cs="宋体"/>
          <w:color w:val="auto"/>
          <w:szCs w:val="21"/>
          <w:lang w:val="zh-CN"/>
        </w:rPr>
      </w:pPr>
      <w:r>
        <w:rPr>
          <w:rFonts w:hint="eastAsia" w:ascii="宋体" w:hAnsi="宋体" w:eastAsia="宋体" w:cs="宋体"/>
          <w:color w:val="auto"/>
          <w:szCs w:val="21"/>
          <w:lang w:val="zh-CN"/>
        </w:rPr>
        <w:t>系</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（供应商名称）的法定代表人（单位负责人）。</w:t>
      </w:r>
    </w:p>
    <w:p>
      <w:pPr>
        <w:autoSpaceDE w:val="0"/>
        <w:autoSpaceDN w:val="0"/>
        <w:spacing w:line="360" w:lineRule="auto"/>
        <w:ind w:right="105"/>
        <w:jc w:val="left"/>
        <w:rPr>
          <w:rFonts w:ascii="宋体" w:hAnsi="宋体" w:eastAsia="宋体" w:cs="宋体"/>
          <w:color w:val="auto"/>
          <w:szCs w:val="21"/>
          <w:lang w:val="zh-CN"/>
        </w:rPr>
      </w:pPr>
      <w:r>
        <w:rPr>
          <w:rFonts w:hint="eastAsia" w:ascii="宋体" w:hAnsi="宋体" w:eastAsia="宋体" w:cs="宋体"/>
          <w:color w:val="auto"/>
          <w:szCs w:val="21"/>
          <w:lang w:val="zh-CN"/>
        </w:rPr>
        <w:t>特此证明。</w:t>
      </w:r>
    </w:p>
    <w:p>
      <w:pPr>
        <w:autoSpaceDE w:val="0"/>
        <w:autoSpaceDN w:val="0"/>
        <w:spacing w:line="360" w:lineRule="auto"/>
        <w:ind w:right="105"/>
        <w:jc w:val="left"/>
        <w:rPr>
          <w:rFonts w:ascii="宋体" w:hAnsi="宋体" w:eastAsia="宋体" w:cs="宋体"/>
          <w:color w:val="auto"/>
          <w:szCs w:val="21"/>
          <w:lang w:val="zh-CN"/>
        </w:rPr>
      </w:pPr>
    </w:p>
    <w:p>
      <w:pPr>
        <w:autoSpaceDE w:val="0"/>
        <w:autoSpaceDN w:val="0"/>
        <w:spacing w:line="360" w:lineRule="auto"/>
        <w:ind w:right="105"/>
        <w:jc w:val="left"/>
        <w:rPr>
          <w:rFonts w:ascii="宋体" w:hAnsi="宋体" w:eastAsia="宋体" w:cs="宋体"/>
          <w:color w:val="auto"/>
          <w:szCs w:val="21"/>
          <w:lang w:val="zh-CN"/>
        </w:rPr>
      </w:pPr>
      <w:r>
        <w:rPr>
          <w:rFonts w:hint="eastAsia" w:ascii="宋体" w:hAnsi="宋体" w:eastAsia="宋体" w:cs="宋体"/>
          <w:color w:val="auto"/>
          <w:szCs w:val="21"/>
          <w:lang w:val="zh-CN"/>
        </w:rPr>
        <w:t>附：法定代表人（单位负责人）身份证复印件。</w:t>
      </w:r>
    </w:p>
    <w:p>
      <w:pPr>
        <w:autoSpaceDE w:val="0"/>
        <w:autoSpaceDN w:val="0"/>
        <w:spacing w:line="360" w:lineRule="auto"/>
        <w:ind w:right="105"/>
        <w:jc w:val="left"/>
        <w:rPr>
          <w:rFonts w:ascii="宋体" w:hAnsi="宋体" w:eastAsia="宋体" w:cs="宋体"/>
          <w:color w:val="auto"/>
          <w:szCs w:val="21"/>
          <w:lang w:val="zh-CN"/>
        </w:rPr>
      </w:pPr>
    </w:p>
    <w:p>
      <w:pPr>
        <w:autoSpaceDE w:val="0"/>
        <w:autoSpaceDN w:val="0"/>
        <w:spacing w:line="360" w:lineRule="auto"/>
        <w:ind w:right="105"/>
        <w:jc w:val="left"/>
        <w:rPr>
          <w:rFonts w:ascii="宋体" w:hAnsi="宋体" w:eastAsia="宋体" w:cs="宋体"/>
          <w:color w:val="auto"/>
          <w:szCs w:val="21"/>
          <w:lang w:val="zh-CN"/>
        </w:rPr>
      </w:pPr>
    </w:p>
    <w:p>
      <w:pPr>
        <w:autoSpaceDE w:val="0"/>
        <w:autoSpaceDN w:val="0"/>
        <w:spacing w:line="360" w:lineRule="auto"/>
        <w:ind w:right="105"/>
        <w:jc w:val="left"/>
        <w:rPr>
          <w:rFonts w:ascii="宋体" w:hAnsi="宋体" w:eastAsia="宋体" w:cs="宋体"/>
          <w:color w:val="auto"/>
          <w:szCs w:val="21"/>
          <w:lang w:val="zh-CN"/>
        </w:rPr>
      </w:pPr>
    </w:p>
    <w:p>
      <w:pPr>
        <w:autoSpaceDE w:val="0"/>
        <w:autoSpaceDN w:val="0"/>
        <w:spacing w:line="360" w:lineRule="auto"/>
        <w:jc w:val="right"/>
        <w:rPr>
          <w:rFonts w:ascii="宋体" w:hAnsi="宋体" w:eastAsia="宋体" w:cs="宋体"/>
          <w:color w:val="auto"/>
          <w:szCs w:val="21"/>
          <w:lang w:val="zh-CN"/>
        </w:rPr>
      </w:pPr>
      <w:r>
        <w:rPr>
          <w:rFonts w:hint="eastAsia" w:ascii="宋体" w:hAnsi="宋体" w:eastAsia="宋体" w:cs="宋体"/>
          <w:color w:val="auto"/>
          <w:szCs w:val="21"/>
          <w:lang w:val="zh-CN"/>
        </w:rPr>
        <w:t>供应商：</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（盖单位公章）</w:t>
      </w:r>
    </w:p>
    <w:p>
      <w:pPr>
        <w:autoSpaceDE w:val="0"/>
        <w:autoSpaceDN w:val="0"/>
        <w:spacing w:line="360" w:lineRule="auto"/>
        <w:jc w:val="right"/>
        <w:rPr>
          <w:rFonts w:ascii="宋体" w:hAnsi="宋体" w:eastAsia="宋体" w:cs="宋体"/>
          <w:color w:val="auto"/>
          <w:szCs w:val="21"/>
          <w:lang w:val="zh-CN"/>
        </w:rPr>
      </w:pPr>
      <w:r>
        <w:rPr>
          <w:rFonts w:hint="eastAsia" w:ascii="宋体" w:hAnsi="宋体" w:eastAsia="宋体" w:cs="宋体"/>
          <w:color w:val="auto"/>
          <w:szCs w:val="21"/>
          <w:lang w:val="zh-CN"/>
        </w:rPr>
        <w:t>年    月    日</w:t>
      </w: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p>
    <w:p>
      <w:pPr>
        <w:spacing w:line="360" w:lineRule="auto"/>
        <w:jc w:val="center"/>
        <w:rPr>
          <w:rFonts w:ascii="宋体" w:hAnsi="宋体" w:eastAsia="宋体" w:cs="宋体"/>
          <w:b/>
          <w:color w:val="auto"/>
          <w:sz w:val="32"/>
          <w:szCs w:val="32"/>
        </w:rPr>
      </w:pPr>
      <w:r>
        <w:rPr>
          <w:rFonts w:hint="eastAsia" w:ascii="宋体" w:hAnsi="宋体" w:eastAsia="宋体" w:cs="宋体"/>
          <w:color w:val="auto"/>
          <w:szCs w:val="21"/>
          <w:lang w:val="zh-CN"/>
        </w:rPr>
        <w:br w:type="page"/>
      </w:r>
      <w:r>
        <w:rPr>
          <w:rFonts w:hint="eastAsia" w:ascii="宋体" w:hAnsi="宋体" w:eastAsia="宋体" w:cs="宋体"/>
          <w:b/>
          <w:color w:val="auto"/>
          <w:sz w:val="32"/>
          <w:szCs w:val="32"/>
          <w:lang w:val="en-US" w:eastAsia="zh-CN"/>
        </w:rPr>
        <w:t>3.2</w:t>
      </w:r>
      <w:r>
        <w:rPr>
          <w:rFonts w:hint="eastAsia" w:ascii="宋体" w:hAnsi="宋体" w:eastAsia="宋体" w:cs="宋体"/>
          <w:b/>
          <w:color w:val="auto"/>
          <w:sz w:val="32"/>
          <w:szCs w:val="32"/>
        </w:rPr>
        <w:t>法定代表人（单位负责人）授权委托书</w:t>
      </w:r>
    </w:p>
    <w:p>
      <w:pPr>
        <w:autoSpaceDE w:val="0"/>
        <w:autoSpaceDN w:val="0"/>
        <w:spacing w:line="360" w:lineRule="auto"/>
        <w:jc w:val="righ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本人</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（姓名）系</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（供应商名称）的法定代表人（单位负责人），现委托</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（姓名）为我方代理人。代理人以我方名义签署、澄清确认、递交、撤回、修改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w:t>
      </w:r>
      <w:r>
        <w:rPr>
          <w:rFonts w:hint="eastAsia" w:ascii="宋体" w:hAnsi="宋体" w:eastAsia="宋体" w:cs="宋体"/>
          <w:color w:val="auto"/>
          <w:szCs w:val="21"/>
          <w:lang w:val="zh-CN"/>
        </w:rPr>
        <w:t>投标文件、签订合同和处理投标有关事宜，其法律后果由我方承担。</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委托期限：自委托生效之日起至开标后90天。</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代理人无转委托权。</w:t>
      </w: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附：法定代表人（单位负责人）身份证复印件及委托代理人身份证复印件</w:t>
      </w: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p>
    <w:p>
      <w:pPr>
        <w:wordWrap w:val="0"/>
        <w:autoSpaceDE w:val="0"/>
        <w:autoSpaceDN w:val="0"/>
        <w:spacing w:line="360" w:lineRule="auto"/>
        <w:jc w:val="right"/>
        <w:rPr>
          <w:rFonts w:ascii="宋体" w:hAnsi="宋体" w:eastAsia="宋体" w:cs="宋体"/>
          <w:color w:val="auto"/>
          <w:szCs w:val="21"/>
          <w:lang w:val="zh-CN"/>
        </w:rPr>
      </w:pPr>
      <w:r>
        <w:rPr>
          <w:rFonts w:hint="eastAsia" w:ascii="宋体" w:hAnsi="宋体" w:eastAsia="宋体" w:cs="宋体"/>
          <w:color w:val="auto"/>
          <w:szCs w:val="21"/>
          <w:lang w:val="zh-CN"/>
        </w:rPr>
        <w:t>供应商：</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（盖单位公章）</w:t>
      </w:r>
    </w:p>
    <w:p>
      <w:pPr>
        <w:wordWrap w:val="0"/>
        <w:autoSpaceDE w:val="0"/>
        <w:autoSpaceDN w:val="0"/>
        <w:spacing w:line="360" w:lineRule="auto"/>
        <w:jc w:val="right"/>
        <w:rPr>
          <w:rFonts w:ascii="宋体" w:hAnsi="宋体" w:eastAsia="宋体" w:cs="宋体"/>
          <w:color w:val="auto"/>
          <w:szCs w:val="21"/>
          <w:lang w:val="zh-CN"/>
        </w:rPr>
      </w:pPr>
    </w:p>
    <w:p>
      <w:pPr>
        <w:autoSpaceDE w:val="0"/>
        <w:autoSpaceDN w:val="0"/>
        <w:spacing w:line="360" w:lineRule="auto"/>
        <w:jc w:val="right"/>
        <w:rPr>
          <w:rFonts w:ascii="宋体" w:hAnsi="宋体" w:eastAsia="宋体" w:cs="宋体"/>
          <w:color w:val="auto"/>
          <w:szCs w:val="21"/>
          <w:lang w:val="zh-CN"/>
        </w:rPr>
      </w:pPr>
      <w:r>
        <w:rPr>
          <w:rFonts w:hint="eastAsia" w:ascii="宋体" w:hAnsi="宋体" w:eastAsia="宋体" w:cs="宋体"/>
          <w:color w:val="auto"/>
          <w:szCs w:val="21"/>
          <w:lang w:val="zh-CN"/>
        </w:rPr>
        <w:t>法定代表人（单位负责人）：</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（签字或盖章）</w:t>
      </w:r>
    </w:p>
    <w:p>
      <w:pPr>
        <w:wordWrap w:val="0"/>
        <w:autoSpaceDE w:val="0"/>
        <w:autoSpaceDN w:val="0"/>
        <w:spacing w:line="360" w:lineRule="auto"/>
        <w:jc w:val="right"/>
        <w:rPr>
          <w:rFonts w:ascii="宋体" w:hAnsi="宋体" w:eastAsia="宋体" w:cs="宋体"/>
          <w:color w:val="auto"/>
          <w:szCs w:val="21"/>
          <w:lang w:val="zh-CN"/>
        </w:rPr>
      </w:pPr>
    </w:p>
    <w:p>
      <w:pPr>
        <w:autoSpaceDE w:val="0"/>
        <w:autoSpaceDN w:val="0"/>
        <w:spacing w:line="360" w:lineRule="auto"/>
        <w:jc w:val="right"/>
        <w:rPr>
          <w:rFonts w:ascii="宋体" w:hAnsi="宋体" w:eastAsia="宋体" w:cs="宋体"/>
          <w:color w:val="auto"/>
          <w:szCs w:val="21"/>
          <w:lang w:val="zh-CN"/>
        </w:rPr>
      </w:pPr>
      <w:r>
        <w:rPr>
          <w:rFonts w:hint="eastAsia" w:ascii="宋体" w:hAnsi="宋体" w:eastAsia="宋体" w:cs="宋体"/>
          <w:color w:val="auto"/>
          <w:szCs w:val="21"/>
          <w:lang w:val="zh-CN"/>
        </w:rPr>
        <w:t>委托代理人：</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（签字或盖章）</w:t>
      </w:r>
    </w:p>
    <w:p>
      <w:pPr>
        <w:autoSpaceDE w:val="0"/>
        <w:autoSpaceDN w:val="0"/>
        <w:spacing w:line="360" w:lineRule="auto"/>
        <w:ind w:firstLine="5250" w:firstLineChars="2500"/>
        <w:jc w:val="right"/>
        <w:rPr>
          <w:rFonts w:ascii="宋体" w:hAnsi="宋体" w:eastAsia="宋体" w:cs="宋体"/>
          <w:color w:val="auto"/>
          <w:szCs w:val="21"/>
          <w:lang w:val="zh-CN"/>
        </w:rPr>
      </w:pPr>
    </w:p>
    <w:p>
      <w:pPr>
        <w:autoSpaceDE w:val="0"/>
        <w:autoSpaceDN w:val="0"/>
        <w:spacing w:line="360" w:lineRule="auto"/>
        <w:ind w:firstLine="5250" w:firstLineChars="2500"/>
        <w:jc w:val="right"/>
        <w:rPr>
          <w:rFonts w:ascii="宋体" w:hAnsi="宋体" w:eastAsia="宋体" w:cs="宋体"/>
          <w:color w:val="auto"/>
          <w:szCs w:val="21"/>
          <w:lang w:val="zh-CN"/>
        </w:rPr>
      </w:pPr>
      <w:r>
        <w:rPr>
          <w:rFonts w:hint="eastAsia" w:ascii="宋体" w:hAnsi="宋体" w:eastAsia="宋体" w:cs="宋体"/>
          <w:color w:val="auto"/>
          <w:szCs w:val="21"/>
          <w:lang w:val="zh-CN"/>
        </w:rPr>
        <w:t>年    月    日</w:t>
      </w: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p>
    <w:p>
      <w:pPr>
        <w:spacing w:line="360" w:lineRule="auto"/>
        <w:jc w:val="center"/>
        <w:rPr>
          <w:rFonts w:hint="eastAsia" w:ascii="宋体" w:hAnsi="宋体" w:eastAsia="宋体" w:cs="宋体"/>
          <w:b/>
          <w:color w:val="auto"/>
          <w:sz w:val="32"/>
          <w:szCs w:val="32"/>
          <w:lang w:eastAsia="zh-CN"/>
        </w:rPr>
      </w:pPr>
    </w:p>
    <w:p>
      <w:pPr>
        <w:spacing w:line="360" w:lineRule="auto"/>
        <w:jc w:val="center"/>
        <w:rPr>
          <w:rFonts w:hint="eastAsia" w:ascii="宋体" w:hAnsi="宋体" w:eastAsia="宋体" w:cs="宋体"/>
          <w:b/>
          <w:color w:val="auto"/>
          <w:sz w:val="32"/>
          <w:szCs w:val="32"/>
          <w:lang w:eastAsia="zh-CN"/>
        </w:rPr>
      </w:pPr>
    </w:p>
    <w:p>
      <w:pPr>
        <w:spacing w:line="360" w:lineRule="auto"/>
        <w:jc w:val="center"/>
        <w:rPr>
          <w:rFonts w:hint="eastAsia" w:ascii="宋体" w:hAnsi="宋体" w:eastAsia="宋体" w:cs="宋体"/>
          <w:b/>
          <w:color w:val="auto"/>
          <w:sz w:val="32"/>
          <w:szCs w:val="32"/>
          <w:lang w:eastAsia="zh-CN"/>
        </w:rPr>
      </w:pPr>
    </w:p>
    <w:p>
      <w:pPr>
        <w:spacing w:line="360" w:lineRule="auto"/>
        <w:jc w:val="center"/>
        <w:rPr>
          <w:rFonts w:hint="eastAsia" w:ascii="宋体" w:hAnsi="宋体" w:eastAsia="宋体" w:cs="宋体"/>
          <w:b/>
          <w:color w:val="auto"/>
          <w:sz w:val="32"/>
          <w:szCs w:val="32"/>
          <w:lang w:eastAsia="zh-CN"/>
        </w:rPr>
      </w:pPr>
    </w:p>
    <w:p>
      <w:pPr>
        <w:spacing w:line="360" w:lineRule="auto"/>
        <w:jc w:val="center"/>
        <w:rPr>
          <w:rFonts w:hint="eastAsia" w:ascii="宋体" w:hAnsi="宋体" w:eastAsia="宋体" w:cs="宋体"/>
          <w:b/>
          <w:color w:val="auto"/>
          <w:sz w:val="32"/>
          <w:szCs w:val="32"/>
          <w:lang w:eastAsia="zh-CN"/>
        </w:rPr>
      </w:pPr>
    </w:p>
    <w:p>
      <w:pPr>
        <w:spacing w:line="360" w:lineRule="auto"/>
        <w:ind w:left="0" w:leftChars="0" w:firstLine="0" w:firstLineChars="0"/>
        <w:jc w:val="both"/>
        <w:rPr>
          <w:rFonts w:hint="eastAsia" w:ascii="宋体" w:hAnsi="宋体" w:eastAsia="宋体" w:cs="宋体"/>
          <w:b/>
          <w:color w:val="auto"/>
          <w:sz w:val="32"/>
          <w:szCs w:val="32"/>
          <w:lang w:eastAsia="zh-CN"/>
        </w:rPr>
      </w:pPr>
    </w:p>
    <w:p>
      <w:pPr>
        <w:spacing w:line="360" w:lineRule="auto"/>
        <w:jc w:val="center"/>
        <w:rPr>
          <w:rFonts w:ascii="宋体" w:hAnsi="宋体" w:eastAsia="宋体" w:cs="宋体"/>
          <w:b/>
          <w:color w:val="auto"/>
          <w:sz w:val="32"/>
          <w:szCs w:val="32"/>
        </w:rPr>
      </w:pPr>
      <w:r>
        <w:rPr>
          <w:rFonts w:hint="eastAsia" w:ascii="宋体" w:hAnsi="宋体" w:eastAsia="宋体" w:cs="宋体"/>
          <w:b/>
          <w:color w:val="auto"/>
          <w:sz w:val="32"/>
          <w:szCs w:val="32"/>
          <w:lang w:eastAsia="zh-CN"/>
        </w:rPr>
        <w:t>四</w:t>
      </w:r>
      <w:r>
        <w:rPr>
          <w:rFonts w:hint="eastAsia" w:ascii="宋体" w:hAnsi="宋体" w:eastAsia="宋体" w:cs="宋体"/>
          <w:b/>
          <w:color w:val="auto"/>
          <w:sz w:val="32"/>
          <w:szCs w:val="32"/>
        </w:rPr>
        <w:t>、商务响应偏离表</w:t>
      </w:r>
    </w:p>
    <w:p>
      <w:pPr>
        <w:autoSpaceDE w:val="0"/>
        <w:autoSpaceDN w:val="0"/>
        <w:spacing w:line="360" w:lineRule="auto"/>
        <w:jc w:val="left"/>
        <w:rPr>
          <w:rFonts w:ascii="宋体" w:hAnsi="宋体" w:eastAsia="宋体" w:cs="宋体"/>
          <w:color w:val="auto"/>
          <w:szCs w:val="21"/>
          <w:lang w:val="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3281"/>
        <w:gridCol w:w="2590"/>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82" w:type="dxa"/>
            <w:vAlign w:val="center"/>
          </w:tcPr>
          <w:p>
            <w:pPr>
              <w:autoSpaceDE w:val="0"/>
              <w:autoSpaceDN w:val="0"/>
              <w:spacing w:line="360" w:lineRule="auto"/>
              <w:ind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序号</w:t>
            </w:r>
          </w:p>
        </w:tc>
        <w:tc>
          <w:tcPr>
            <w:tcW w:w="3281" w:type="dxa"/>
            <w:vAlign w:val="center"/>
          </w:tcPr>
          <w:p>
            <w:pPr>
              <w:autoSpaceDE w:val="0"/>
              <w:autoSpaceDN w:val="0"/>
              <w:spacing w:line="360" w:lineRule="auto"/>
              <w:ind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招标文件合同条款/商务要求</w:t>
            </w:r>
          </w:p>
        </w:tc>
        <w:tc>
          <w:tcPr>
            <w:tcW w:w="2590" w:type="dxa"/>
            <w:vAlign w:val="center"/>
          </w:tcPr>
          <w:p>
            <w:pPr>
              <w:autoSpaceDE w:val="0"/>
              <w:autoSpaceDN w:val="0"/>
              <w:spacing w:line="360" w:lineRule="auto"/>
              <w:ind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投标文件响应情况</w:t>
            </w:r>
          </w:p>
        </w:tc>
        <w:tc>
          <w:tcPr>
            <w:tcW w:w="1705" w:type="dxa"/>
            <w:vAlign w:val="center"/>
          </w:tcPr>
          <w:p>
            <w:pPr>
              <w:autoSpaceDE w:val="0"/>
              <w:autoSpaceDN w:val="0"/>
              <w:spacing w:line="360" w:lineRule="auto"/>
              <w:ind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82" w:type="dxa"/>
          </w:tcPr>
          <w:p>
            <w:pPr>
              <w:autoSpaceDE w:val="0"/>
              <w:autoSpaceDN w:val="0"/>
              <w:spacing w:line="360" w:lineRule="auto"/>
              <w:ind w:left="0" w:leftChars="0"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1</w:t>
            </w:r>
          </w:p>
        </w:tc>
        <w:tc>
          <w:tcPr>
            <w:tcW w:w="3281" w:type="dxa"/>
          </w:tcPr>
          <w:p>
            <w:pPr>
              <w:autoSpaceDE w:val="0"/>
              <w:autoSpaceDN w:val="0"/>
              <w:spacing w:line="360" w:lineRule="auto"/>
              <w:jc w:val="left"/>
              <w:rPr>
                <w:rFonts w:ascii="宋体" w:hAnsi="宋体" w:eastAsia="宋体" w:cs="宋体"/>
                <w:color w:val="auto"/>
                <w:szCs w:val="21"/>
                <w:lang w:val="zh-CN"/>
              </w:rPr>
            </w:pPr>
          </w:p>
        </w:tc>
        <w:tc>
          <w:tcPr>
            <w:tcW w:w="2590" w:type="dxa"/>
          </w:tcPr>
          <w:p>
            <w:pPr>
              <w:autoSpaceDE w:val="0"/>
              <w:autoSpaceDN w:val="0"/>
              <w:spacing w:line="360" w:lineRule="auto"/>
              <w:jc w:val="left"/>
              <w:rPr>
                <w:rFonts w:ascii="宋体" w:hAnsi="宋体" w:eastAsia="宋体" w:cs="宋体"/>
                <w:color w:val="auto"/>
                <w:szCs w:val="21"/>
                <w:lang w:val="zh-CN"/>
              </w:rPr>
            </w:pPr>
          </w:p>
        </w:tc>
        <w:tc>
          <w:tcPr>
            <w:tcW w:w="1705" w:type="dxa"/>
          </w:tcPr>
          <w:p>
            <w:pPr>
              <w:autoSpaceDE w:val="0"/>
              <w:autoSpaceDN w:val="0"/>
              <w:spacing w:line="360" w:lineRule="auto"/>
              <w:jc w:val="left"/>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82" w:type="dxa"/>
          </w:tcPr>
          <w:p>
            <w:pPr>
              <w:autoSpaceDE w:val="0"/>
              <w:autoSpaceDN w:val="0"/>
              <w:spacing w:line="360" w:lineRule="auto"/>
              <w:ind w:left="0" w:leftChars="0"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2</w:t>
            </w:r>
          </w:p>
        </w:tc>
        <w:tc>
          <w:tcPr>
            <w:tcW w:w="3281" w:type="dxa"/>
          </w:tcPr>
          <w:p>
            <w:pPr>
              <w:autoSpaceDE w:val="0"/>
              <w:autoSpaceDN w:val="0"/>
              <w:spacing w:line="360" w:lineRule="auto"/>
              <w:jc w:val="left"/>
              <w:rPr>
                <w:rFonts w:ascii="宋体" w:hAnsi="宋体" w:eastAsia="宋体" w:cs="宋体"/>
                <w:color w:val="auto"/>
                <w:szCs w:val="21"/>
                <w:lang w:val="zh-CN"/>
              </w:rPr>
            </w:pPr>
          </w:p>
        </w:tc>
        <w:tc>
          <w:tcPr>
            <w:tcW w:w="2590" w:type="dxa"/>
          </w:tcPr>
          <w:p>
            <w:pPr>
              <w:autoSpaceDE w:val="0"/>
              <w:autoSpaceDN w:val="0"/>
              <w:spacing w:line="360" w:lineRule="auto"/>
              <w:jc w:val="left"/>
              <w:rPr>
                <w:rFonts w:ascii="宋体" w:hAnsi="宋体" w:eastAsia="宋体" w:cs="宋体"/>
                <w:color w:val="auto"/>
                <w:szCs w:val="21"/>
                <w:lang w:val="zh-CN"/>
              </w:rPr>
            </w:pPr>
          </w:p>
        </w:tc>
        <w:tc>
          <w:tcPr>
            <w:tcW w:w="1705" w:type="dxa"/>
          </w:tcPr>
          <w:p>
            <w:pPr>
              <w:autoSpaceDE w:val="0"/>
              <w:autoSpaceDN w:val="0"/>
              <w:spacing w:line="360" w:lineRule="auto"/>
              <w:jc w:val="left"/>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82" w:type="dxa"/>
          </w:tcPr>
          <w:p>
            <w:pPr>
              <w:autoSpaceDE w:val="0"/>
              <w:autoSpaceDN w:val="0"/>
              <w:spacing w:line="360" w:lineRule="auto"/>
              <w:ind w:left="0" w:leftChars="0"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3</w:t>
            </w:r>
          </w:p>
        </w:tc>
        <w:tc>
          <w:tcPr>
            <w:tcW w:w="3281" w:type="dxa"/>
          </w:tcPr>
          <w:p>
            <w:pPr>
              <w:autoSpaceDE w:val="0"/>
              <w:autoSpaceDN w:val="0"/>
              <w:spacing w:line="360" w:lineRule="auto"/>
              <w:jc w:val="left"/>
              <w:rPr>
                <w:rFonts w:ascii="宋体" w:hAnsi="宋体" w:eastAsia="宋体" w:cs="宋体"/>
                <w:color w:val="auto"/>
                <w:szCs w:val="21"/>
                <w:lang w:val="zh-CN"/>
              </w:rPr>
            </w:pPr>
          </w:p>
        </w:tc>
        <w:tc>
          <w:tcPr>
            <w:tcW w:w="2590" w:type="dxa"/>
          </w:tcPr>
          <w:p>
            <w:pPr>
              <w:autoSpaceDE w:val="0"/>
              <w:autoSpaceDN w:val="0"/>
              <w:spacing w:line="360" w:lineRule="auto"/>
              <w:jc w:val="left"/>
              <w:rPr>
                <w:rFonts w:ascii="宋体" w:hAnsi="宋体" w:eastAsia="宋体" w:cs="宋体"/>
                <w:color w:val="auto"/>
                <w:szCs w:val="21"/>
                <w:lang w:val="zh-CN"/>
              </w:rPr>
            </w:pPr>
          </w:p>
        </w:tc>
        <w:tc>
          <w:tcPr>
            <w:tcW w:w="1705" w:type="dxa"/>
          </w:tcPr>
          <w:p>
            <w:pPr>
              <w:autoSpaceDE w:val="0"/>
              <w:autoSpaceDN w:val="0"/>
              <w:spacing w:line="360" w:lineRule="auto"/>
              <w:jc w:val="left"/>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82" w:type="dxa"/>
          </w:tcPr>
          <w:p>
            <w:pPr>
              <w:autoSpaceDE w:val="0"/>
              <w:autoSpaceDN w:val="0"/>
              <w:spacing w:line="360" w:lineRule="auto"/>
              <w:ind w:left="0" w:leftChars="0"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4</w:t>
            </w:r>
          </w:p>
        </w:tc>
        <w:tc>
          <w:tcPr>
            <w:tcW w:w="3281" w:type="dxa"/>
          </w:tcPr>
          <w:p>
            <w:pPr>
              <w:autoSpaceDE w:val="0"/>
              <w:autoSpaceDN w:val="0"/>
              <w:spacing w:line="360" w:lineRule="auto"/>
              <w:jc w:val="left"/>
              <w:rPr>
                <w:rFonts w:ascii="宋体" w:hAnsi="宋体" w:eastAsia="宋体" w:cs="宋体"/>
                <w:color w:val="auto"/>
                <w:szCs w:val="21"/>
                <w:lang w:val="zh-CN"/>
              </w:rPr>
            </w:pPr>
          </w:p>
        </w:tc>
        <w:tc>
          <w:tcPr>
            <w:tcW w:w="2590" w:type="dxa"/>
          </w:tcPr>
          <w:p>
            <w:pPr>
              <w:autoSpaceDE w:val="0"/>
              <w:autoSpaceDN w:val="0"/>
              <w:spacing w:line="360" w:lineRule="auto"/>
              <w:jc w:val="left"/>
              <w:rPr>
                <w:rFonts w:ascii="宋体" w:hAnsi="宋体" w:eastAsia="宋体" w:cs="宋体"/>
                <w:color w:val="auto"/>
                <w:szCs w:val="21"/>
                <w:lang w:val="zh-CN"/>
              </w:rPr>
            </w:pPr>
          </w:p>
        </w:tc>
        <w:tc>
          <w:tcPr>
            <w:tcW w:w="1705" w:type="dxa"/>
          </w:tcPr>
          <w:p>
            <w:pPr>
              <w:autoSpaceDE w:val="0"/>
              <w:autoSpaceDN w:val="0"/>
              <w:spacing w:line="360" w:lineRule="auto"/>
              <w:jc w:val="left"/>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82" w:type="dxa"/>
          </w:tcPr>
          <w:p>
            <w:pPr>
              <w:autoSpaceDE w:val="0"/>
              <w:autoSpaceDN w:val="0"/>
              <w:spacing w:line="360" w:lineRule="auto"/>
              <w:ind w:left="0" w:leftChars="0"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5</w:t>
            </w:r>
          </w:p>
        </w:tc>
        <w:tc>
          <w:tcPr>
            <w:tcW w:w="3281" w:type="dxa"/>
          </w:tcPr>
          <w:p>
            <w:pPr>
              <w:autoSpaceDE w:val="0"/>
              <w:autoSpaceDN w:val="0"/>
              <w:spacing w:line="360" w:lineRule="auto"/>
              <w:jc w:val="left"/>
              <w:rPr>
                <w:rFonts w:ascii="宋体" w:hAnsi="宋体" w:eastAsia="宋体" w:cs="宋体"/>
                <w:color w:val="auto"/>
                <w:szCs w:val="21"/>
                <w:lang w:val="zh-CN"/>
              </w:rPr>
            </w:pPr>
          </w:p>
        </w:tc>
        <w:tc>
          <w:tcPr>
            <w:tcW w:w="2590" w:type="dxa"/>
          </w:tcPr>
          <w:p>
            <w:pPr>
              <w:autoSpaceDE w:val="0"/>
              <w:autoSpaceDN w:val="0"/>
              <w:spacing w:line="360" w:lineRule="auto"/>
              <w:jc w:val="left"/>
              <w:rPr>
                <w:rFonts w:ascii="宋体" w:hAnsi="宋体" w:eastAsia="宋体" w:cs="宋体"/>
                <w:color w:val="auto"/>
                <w:szCs w:val="21"/>
                <w:lang w:val="zh-CN"/>
              </w:rPr>
            </w:pPr>
          </w:p>
        </w:tc>
        <w:tc>
          <w:tcPr>
            <w:tcW w:w="1705" w:type="dxa"/>
          </w:tcPr>
          <w:p>
            <w:pPr>
              <w:autoSpaceDE w:val="0"/>
              <w:autoSpaceDN w:val="0"/>
              <w:spacing w:line="360" w:lineRule="auto"/>
              <w:jc w:val="left"/>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82" w:type="dxa"/>
          </w:tcPr>
          <w:p>
            <w:pPr>
              <w:autoSpaceDE w:val="0"/>
              <w:autoSpaceDN w:val="0"/>
              <w:spacing w:line="360" w:lineRule="auto"/>
              <w:ind w:left="0" w:leftChars="0" w:firstLine="0" w:firstLineChars="0"/>
              <w:jc w:val="center"/>
              <w:rPr>
                <w:rFonts w:ascii="宋体" w:hAnsi="宋体" w:eastAsia="宋体" w:cs="宋体"/>
                <w:color w:val="auto"/>
                <w:szCs w:val="21"/>
                <w:lang w:val="zh-CN"/>
              </w:rPr>
            </w:pPr>
            <w:r>
              <w:rPr>
                <w:rFonts w:hint="eastAsia" w:ascii="宋体" w:hAnsi="宋体" w:eastAsia="宋体" w:cs="宋体"/>
                <w:color w:val="auto"/>
                <w:szCs w:val="21"/>
                <w:lang w:val="zh-CN"/>
              </w:rPr>
              <w:t>…</w:t>
            </w:r>
          </w:p>
        </w:tc>
        <w:tc>
          <w:tcPr>
            <w:tcW w:w="3281" w:type="dxa"/>
          </w:tcPr>
          <w:p>
            <w:pPr>
              <w:autoSpaceDE w:val="0"/>
              <w:autoSpaceDN w:val="0"/>
              <w:spacing w:line="360" w:lineRule="auto"/>
              <w:jc w:val="left"/>
              <w:rPr>
                <w:rFonts w:ascii="宋体" w:hAnsi="宋体" w:eastAsia="宋体" w:cs="宋体"/>
                <w:color w:val="auto"/>
                <w:szCs w:val="21"/>
                <w:lang w:val="zh-CN"/>
              </w:rPr>
            </w:pPr>
          </w:p>
        </w:tc>
        <w:tc>
          <w:tcPr>
            <w:tcW w:w="2590" w:type="dxa"/>
          </w:tcPr>
          <w:p>
            <w:pPr>
              <w:autoSpaceDE w:val="0"/>
              <w:autoSpaceDN w:val="0"/>
              <w:spacing w:line="360" w:lineRule="auto"/>
              <w:jc w:val="left"/>
              <w:rPr>
                <w:rFonts w:ascii="宋体" w:hAnsi="宋体" w:eastAsia="宋体" w:cs="宋体"/>
                <w:color w:val="auto"/>
                <w:szCs w:val="21"/>
                <w:lang w:val="zh-CN"/>
              </w:rPr>
            </w:pPr>
          </w:p>
        </w:tc>
        <w:tc>
          <w:tcPr>
            <w:tcW w:w="1705" w:type="dxa"/>
          </w:tcPr>
          <w:p>
            <w:pPr>
              <w:autoSpaceDE w:val="0"/>
              <w:autoSpaceDN w:val="0"/>
              <w:spacing w:line="360" w:lineRule="auto"/>
              <w:jc w:val="left"/>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58" w:type="dxa"/>
            <w:gridSpan w:val="4"/>
          </w:tcPr>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备注：</w:t>
            </w:r>
          </w:p>
        </w:tc>
      </w:tr>
    </w:tbl>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rPr>
        <w:t>1、本表即为对本项目“采购内容及要求”以及拟签订的合同文本条款中所列要求进行响应。</w:t>
      </w:r>
      <w:r>
        <w:rPr>
          <w:rFonts w:hint="eastAsia" w:ascii="宋体" w:hAnsi="宋体" w:eastAsia="宋体" w:cs="宋体"/>
          <w:color w:val="auto"/>
          <w:szCs w:val="21"/>
          <w:lang w:val="zh-CN"/>
        </w:rPr>
        <w:t>若无偏差的，</w:t>
      </w:r>
      <w:r>
        <w:rPr>
          <w:rFonts w:hint="eastAsia" w:ascii="宋体" w:hAnsi="宋体" w:eastAsia="宋体" w:cs="宋体"/>
          <w:color w:val="auto"/>
          <w:szCs w:val="21"/>
        </w:rPr>
        <w:t>在“</w:t>
      </w:r>
      <w:r>
        <w:rPr>
          <w:rFonts w:hint="eastAsia" w:ascii="宋体" w:hAnsi="宋体" w:eastAsia="宋体" w:cs="宋体"/>
          <w:color w:val="auto"/>
          <w:szCs w:val="21"/>
          <w:lang w:val="zh-CN"/>
        </w:rPr>
        <w:t>偏离说明</w:t>
      </w:r>
      <w:r>
        <w:rPr>
          <w:rFonts w:hint="eastAsia" w:ascii="宋体" w:hAnsi="宋体" w:eastAsia="宋体" w:cs="宋体"/>
          <w:color w:val="auto"/>
          <w:szCs w:val="21"/>
        </w:rPr>
        <w:t>”栏中注明</w:t>
      </w:r>
      <w:r>
        <w:rPr>
          <w:rFonts w:hint="eastAsia" w:ascii="宋体" w:hAnsi="宋体" w:eastAsia="宋体" w:cs="宋体"/>
          <w:b/>
          <w:color w:val="auto"/>
          <w:szCs w:val="21"/>
        </w:rPr>
        <w:t xml:space="preserve"> “无偏离”</w:t>
      </w:r>
      <w:r>
        <w:rPr>
          <w:rFonts w:hint="eastAsia" w:ascii="宋体" w:hAnsi="宋体" w:eastAsia="宋体" w:cs="宋体"/>
          <w:color w:val="auto"/>
          <w:szCs w:val="21"/>
        </w:rPr>
        <w:t>，</w:t>
      </w:r>
      <w:r>
        <w:rPr>
          <w:rFonts w:hint="eastAsia" w:ascii="宋体" w:hAnsi="宋体" w:eastAsia="宋体" w:cs="宋体"/>
          <w:color w:val="auto"/>
          <w:szCs w:val="21"/>
          <w:lang w:val="zh-CN"/>
        </w:rPr>
        <w:t xml:space="preserve"> 视为完全响应本项目合同条款及商务条款要求。</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zh-CN"/>
        </w:rPr>
        <w:t>若有偏离的，须体现在表格中。在“偏离说明”栏中填“</w:t>
      </w:r>
      <w:r>
        <w:rPr>
          <w:rFonts w:hint="eastAsia" w:ascii="宋体" w:hAnsi="宋体" w:eastAsia="宋体" w:cs="宋体"/>
          <w:b/>
          <w:color w:val="auto"/>
          <w:szCs w:val="21"/>
          <w:lang w:val="zh-CN"/>
        </w:rPr>
        <w:t>正偏离</w:t>
      </w:r>
      <w:r>
        <w:rPr>
          <w:rFonts w:hint="eastAsia" w:ascii="宋体" w:hAnsi="宋体" w:eastAsia="宋体" w:cs="宋体"/>
          <w:color w:val="auto"/>
          <w:szCs w:val="21"/>
          <w:lang w:val="zh-CN"/>
        </w:rPr>
        <w:t>”或“</w:t>
      </w:r>
      <w:r>
        <w:rPr>
          <w:rFonts w:hint="eastAsia" w:ascii="宋体" w:hAnsi="宋体" w:eastAsia="宋体" w:cs="宋体"/>
          <w:b/>
          <w:color w:val="auto"/>
          <w:szCs w:val="21"/>
          <w:lang w:val="zh-CN"/>
        </w:rPr>
        <w:t>负偏离</w:t>
      </w:r>
      <w:r>
        <w:rPr>
          <w:rFonts w:hint="eastAsia" w:ascii="宋体" w:hAnsi="宋体" w:eastAsia="宋体" w:cs="宋体"/>
          <w:color w:val="auto"/>
          <w:szCs w:val="21"/>
          <w:lang w:val="zh-CN"/>
        </w:rPr>
        <w:t>”。</w:t>
      </w:r>
      <w:r>
        <w:rPr>
          <w:rFonts w:hint="eastAsia" w:ascii="宋体" w:hAnsi="宋体" w:eastAsia="宋体" w:cs="宋体"/>
          <w:b/>
          <w:color w:val="auto"/>
          <w:szCs w:val="21"/>
        </w:rPr>
        <w:t>列写完所有偏离项后，在备注栏填写：除本偏离表所列的偏离项外，其他所有条款均完全响应招标文件要求。</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rPr>
        <w:t>3、正偏离是指应答的条件高于招标文件要求，负偏离是指应答的条件低于招标文件要求。凡是投标文件的商务响应部分与招标文件的要求之间存在负偏离的（即不能满足招标文件要求），必须在本表格中明确说明，否则在中标后采购人一律不予考虑。</w:t>
      </w:r>
      <w:r>
        <w:rPr>
          <w:rFonts w:hint="eastAsia" w:ascii="宋体" w:hAnsi="宋体" w:eastAsia="宋体" w:cs="宋体"/>
          <w:b/>
          <w:color w:val="auto"/>
          <w:szCs w:val="21"/>
        </w:rPr>
        <w:t>如果在投标文件的“商务响应偏离表”之外发现负偏离的，评标委员会将作出对供应商不利的评估。</w:t>
      </w:r>
    </w:p>
    <w:p>
      <w:pPr>
        <w:autoSpaceDE w:val="0"/>
        <w:autoSpaceDN w:val="0"/>
        <w:spacing w:line="360" w:lineRule="auto"/>
        <w:rPr>
          <w:rFonts w:ascii="宋体" w:hAnsi="宋体" w:eastAsia="宋体" w:cs="宋体"/>
          <w:b/>
          <w:color w:val="auto"/>
          <w:szCs w:val="21"/>
        </w:rPr>
      </w:pPr>
      <w:r>
        <w:rPr>
          <w:rFonts w:hint="eastAsia" w:ascii="宋体" w:hAnsi="宋体" w:eastAsia="宋体" w:cs="宋体"/>
          <w:color w:val="auto"/>
          <w:szCs w:val="21"/>
        </w:rPr>
        <w:t>4、采购商务要求为对供应商提出的最低要求，将作为采购人与中标人签定合同的实质性要求。</w:t>
      </w:r>
      <w:r>
        <w:rPr>
          <w:rFonts w:hint="eastAsia" w:ascii="宋体" w:hAnsi="宋体" w:eastAsia="宋体" w:cs="宋体"/>
          <w:b/>
          <w:color w:val="auto"/>
          <w:szCs w:val="21"/>
        </w:rPr>
        <w:t>对于其中任意一项条款，供应商如不满足，其投标文件可以被否决。</w:t>
      </w:r>
    </w:p>
    <w:p>
      <w:pPr>
        <w:widowControl/>
        <w:spacing w:line="360" w:lineRule="auto"/>
        <w:rPr>
          <w:rFonts w:ascii="宋体" w:hAnsi="宋体" w:eastAsia="宋体" w:cs="宋体"/>
          <w:color w:val="auto"/>
          <w:szCs w:val="21"/>
        </w:rPr>
      </w:pPr>
      <w:r>
        <w:rPr>
          <w:rFonts w:hint="eastAsia" w:ascii="宋体" w:hAnsi="宋体" w:eastAsia="宋体" w:cs="宋体"/>
          <w:color w:val="auto"/>
          <w:szCs w:val="21"/>
        </w:rPr>
        <w:t>5、该表可扩展，并逐页</w:t>
      </w:r>
      <w:r>
        <w:rPr>
          <w:rFonts w:hint="eastAsia" w:ascii="宋体" w:hAnsi="宋体" w:eastAsia="宋体" w:cs="宋体"/>
          <w:color w:val="auto"/>
          <w:szCs w:val="21"/>
          <w:lang w:eastAsia="zh-CN"/>
        </w:rPr>
        <w:t>由法人签字</w:t>
      </w:r>
      <w:r>
        <w:rPr>
          <w:rFonts w:hint="eastAsia" w:ascii="宋体" w:hAnsi="宋体" w:eastAsia="宋体" w:cs="宋体"/>
          <w:color w:val="auto"/>
          <w:szCs w:val="21"/>
          <w:lang w:val="en-US" w:eastAsia="zh-CN"/>
        </w:rPr>
        <w:t>及</w:t>
      </w:r>
      <w:r>
        <w:rPr>
          <w:rFonts w:hint="eastAsia" w:ascii="宋体" w:hAnsi="宋体" w:eastAsia="宋体" w:cs="宋体"/>
          <w:color w:val="auto"/>
          <w:szCs w:val="21"/>
          <w:lang w:eastAsia="zh-CN"/>
        </w:rPr>
        <w:t>加盖公</w:t>
      </w:r>
      <w:r>
        <w:rPr>
          <w:rFonts w:hint="eastAsia" w:ascii="宋体" w:hAnsi="宋体" w:eastAsia="宋体" w:cs="宋体"/>
          <w:color w:val="auto"/>
          <w:szCs w:val="21"/>
        </w:rPr>
        <w:t>章。</w:t>
      </w:r>
      <w:r>
        <w:rPr>
          <w:rFonts w:hint="eastAsia" w:ascii="宋体" w:hAnsi="宋体" w:eastAsia="宋体" w:cs="宋体"/>
          <w:color w:val="auto"/>
        </w:rPr>
        <w:t xml:space="preserve"> </w:t>
      </w:r>
    </w:p>
    <w:p>
      <w:pPr>
        <w:spacing w:line="360" w:lineRule="auto"/>
        <w:rPr>
          <w:rFonts w:ascii="宋体" w:hAnsi="宋体" w:eastAsia="宋体" w:cs="宋体"/>
          <w:color w:val="auto"/>
          <w:szCs w:val="21"/>
        </w:rPr>
      </w:pPr>
    </w:p>
    <w:p>
      <w:pPr>
        <w:autoSpaceDE w:val="0"/>
        <w:autoSpaceDN w:val="0"/>
        <w:spacing w:line="360" w:lineRule="auto"/>
        <w:jc w:val="left"/>
        <w:rPr>
          <w:rFonts w:ascii="宋体" w:hAnsi="宋体" w:eastAsia="宋体" w:cs="宋体"/>
          <w:color w:val="auto"/>
          <w:szCs w:val="21"/>
          <w:lang w:val="zh-CN"/>
        </w:rPr>
      </w:pPr>
    </w:p>
    <w:p>
      <w:pPr>
        <w:spacing w:line="360" w:lineRule="auto"/>
        <w:jc w:val="center"/>
        <w:rPr>
          <w:rFonts w:ascii="宋体" w:hAnsi="宋体" w:eastAsia="宋体" w:cs="宋体"/>
          <w:b/>
          <w:color w:val="auto"/>
          <w:sz w:val="32"/>
          <w:szCs w:val="32"/>
        </w:rPr>
      </w:pPr>
      <w:r>
        <w:rPr>
          <w:rFonts w:hint="eastAsia" w:ascii="宋体" w:hAnsi="宋体" w:eastAsia="宋体" w:cs="宋体"/>
          <w:color w:val="auto"/>
          <w:szCs w:val="21"/>
          <w:lang w:val="zh-CN"/>
        </w:rPr>
        <w:br w:type="page"/>
      </w:r>
      <w:r>
        <w:rPr>
          <w:rFonts w:hint="eastAsia" w:ascii="宋体" w:hAnsi="宋体" w:eastAsia="宋体" w:cs="宋体"/>
          <w:b/>
          <w:color w:val="auto"/>
          <w:sz w:val="32"/>
          <w:szCs w:val="32"/>
          <w:lang w:eastAsia="zh-CN"/>
        </w:rPr>
        <w:t>五</w:t>
      </w:r>
      <w:r>
        <w:rPr>
          <w:rFonts w:hint="eastAsia" w:ascii="宋体" w:hAnsi="宋体" w:eastAsia="宋体" w:cs="宋体"/>
          <w:b/>
          <w:color w:val="auto"/>
          <w:sz w:val="32"/>
          <w:szCs w:val="32"/>
        </w:rPr>
        <w:t>、商务和技术响应</w:t>
      </w: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商务和技术响应包括但不限于：</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1.商务部分：</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（1）企业实力及质量保障</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（2）项目人员配备</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（3）项目业绩</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2.技术部分：</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（1）技术指标和参数响应情况</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①</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技术响应偏离表（格式见附件一）</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②</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货物详细配置（格式见附件二）</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2</w:t>
      </w:r>
      <w:r>
        <w:rPr>
          <w:rFonts w:hint="eastAsia" w:ascii="宋体" w:hAnsi="宋体" w:eastAsia="宋体" w:cs="宋体"/>
          <w:color w:val="auto"/>
          <w:szCs w:val="21"/>
          <w:lang w:val="zh-CN"/>
        </w:rPr>
        <w:t>）项目方案</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3</w:t>
      </w:r>
      <w:r>
        <w:rPr>
          <w:rFonts w:hint="eastAsia" w:ascii="宋体" w:hAnsi="宋体" w:eastAsia="宋体" w:cs="宋体"/>
          <w:color w:val="auto"/>
          <w:szCs w:val="21"/>
          <w:lang w:val="zh-CN"/>
        </w:rPr>
        <w:t>）售后服务体系</w:t>
      </w:r>
    </w:p>
    <w:p>
      <w:pPr>
        <w:autoSpaceDE w:val="0"/>
        <w:autoSpaceDN w:val="0"/>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）培训计划</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lang w:val="zh-CN"/>
        </w:rPr>
        <w:t>）其他资料</w:t>
      </w:r>
    </w:p>
    <w:p>
      <w:pPr>
        <w:tabs>
          <w:tab w:val="left" w:pos="735"/>
        </w:tabs>
        <w:autoSpaceDE w:val="0"/>
        <w:autoSpaceDN w:val="0"/>
        <w:spacing w:line="360" w:lineRule="auto"/>
        <w:jc w:val="left"/>
        <w:rPr>
          <w:rFonts w:ascii="宋体" w:hAnsi="宋体" w:eastAsia="宋体" w:cs="宋体"/>
          <w:color w:val="auto"/>
          <w:szCs w:val="21"/>
        </w:rPr>
      </w:pPr>
    </w:p>
    <w:p>
      <w:pPr>
        <w:tabs>
          <w:tab w:val="left" w:pos="735"/>
        </w:tabs>
        <w:autoSpaceDE w:val="0"/>
        <w:autoSpaceDN w:val="0"/>
        <w:spacing w:line="360" w:lineRule="auto"/>
        <w:jc w:val="left"/>
        <w:rPr>
          <w:rFonts w:ascii="宋体" w:hAnsi="宋体" w:eastAsia="宋体" w:cs="宋体"/>
          <w:color w:val="auto"/>
          <w:szCs w:val="21"/>
        </w:rPr>
      </w:pPr>
    </w:p>
    <w:p>
      <w:pPr>
        <w:spacing w:line="360" w:lineRule="auto"/>
        <w:jc w:val="left"/>
        <w:rPr>
          <w:rFonts w:ascii="宋体" w:hAnsi="宋体" w:eastAsia="宋体" w:cs="宋体"/>
          <w:b/>
          <w:color w:val="auto"/>
          <w:sz w:val="24"/>
          <w:szCs w:val="24"/>
        </w:rPr>
      </w:pPr>
      <w:r>
        <w:rPr>
          <w:rFonts w:hint="eastAsia" w:ascii="宋体" w:hAnsi="宋体" w:eastAsia="宋体" w:cs="宋体"/>
          <w:color w:val="auto"/>
          <w:szCs w:val="21"/>
          <w:lang w:val="zh-CN"/>
        </w:rPr>
        <w:br w:type="page"/>
      </w:r>
      <w:r>
        <w:rPr>
          <w:rFonts w:hint="eastAsia" w:ascii="宋体" w:hAnsi="宋体" w:eastAsia="宋体" w:cs="宋体"/>
          <w:b/>
          <w:color w:val="auto"/>
          <w:szCs w:val="21"/>
        </w:rPr>
        <w:t>附件一：</w:t>
      </w:r>
    </w:p>
    <w:p>
      <w:pPr>
        <w:spacing w:line="360" w:lineRule="auto"/>
        <w:ind w:firstLine="482"/>
        <w:jc w:val="center"/>
        <w:rPr>
          <w:rFonts w:ascii="宋体" w:hAnsi="宋体" w:eastAsia="宋体" w:cs="宋体"/>
          <w:b/>
          <w:color w:val="auto"/>
          <w:sz w:val="24"/>
          <w:szCs w:val="24"/>
          <w:highlight w:val="yellow"/>
        </w:rPr>
      </w:pPr>
      <w:r>
        <w:rPr>
          <w:rFonts w:hint="eastAsia" w:ascii="宋体" w:hAnsi="宋体" w:eastAsia="宋体" w:cs="宋体"/>
          <w:b/>
          <w:color w:val="auto"/>
          <w:sz w:val="24"/>
          <w:szCs w:val="24"/>
        </w:rPr>
        <w:t>技术响应偏离表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1470"/>
        <w:gridCol w:w="1896"/>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40" w:type="dxa"/>
            <w:vAlign w:val="center"/>
          </w:tcPr>
          <w:p>
            <w:pPr>
              <w:ind w:firstLine="0" w:firstLineChars="0"/>
              <w:jc w:val="center"/>
              <w:rPr>
                <w:rFonts w:ascii="宋体" w:hAnsi="宋体" w:eastAsia="宋体" w:cs="宋体"/>
                <w:color w:val="auto"/>
                <w:szCs w:val="21"/>
              </w:rPr>
            </w:pPr>
            <w:r>
              <w:rPr>
                <w:rFonts w:hint="eastAsia" w:ascii="宋体" w:hAnsi="宋体" w:eastAsia="宋体" w:cs="宋体"/>
                <w:color w:val="auto"/>
                <w:szCs w:val="21"/>
              </w:rPr>
              <w:t>序号</w:t>
            </w:r>
          </w:p>
        </w:tc>
        <w:tc>
          <w:tcPr>
            <w:tcW w:w="1890" w:type="dxa"/>
            <w:vAlign w:val="center"/>
          </w:tcPr>
          <w:p>
            <w:pPr>
              <w:ind w:firstLine="0" w:firstLineChars="0"/>
              <w:jc w:val="center"/>
              <w:rPr>
                <w:rFonts w:ascii="宋体" w:hAnsi="宋体" w:eastAsia="宋体" w:cs="宋体"/>
                <w:color w:val="auto"/>
                <w:szCs w:val="21"/>
              </w:rPr>
            </w:pPr>
            <w:r>
              <w:rPr>
                <w:rFonts w:hint="eastAsia" w:ascii="宋体" w:hAnsi="宋体" w:eastAsia="宋体" w:cs="宋体"/>
                <w:color w:val="auto"/>
                <w:szCs w:val="21"/>
              </w:rPr>
              <w:t>货物名称</w:t>
            </w:r>
          </w:p>
        </w:tc>
        <w:tc>
          <w:tcPr>
            <w:tcW w:w="1470" w:type="dxa"/>
            <w:vAlign w:val="center"/>
          </w:tcPr>
          <w:p>
            <w:pPr>
              <w:ind w:firstLine="0" w:firstLineChars="0"/>
              <w:jc w:val="center"/>
              <w:rPr>
                <w:rFonts w:ascii="宋体" w:hAnsi="宋体" w:eastAsia="宋体" w:cs="宋体"/>
                <w:color w:val="auto"/>
                <w:szCs w:val="21"/>
              </w:rPr>
            </w:pPr>
            <w:r>
              <w:rPr>
                <w:rFonts w:hint="eastAsia" w:ascii="宋体" w:hAnsi="宋体" w:eastAsia="宋体" w:cs="宋体"/>
                <w:color w:val="auto"/>
                <w:szCs w:val="21"/>
              </w:rPr>
              <w:t>规格/型号</w:t>
            </w:r>
          </w:p>
        </w:tc>
        <w:tc>
          <w:tcPr>
            <w:tcW w:w="1896" w:type="dxa"/>
            <w:vAlign w:val="center"/>
          </w:tcPr>
          <w:p>
            <w:pPr>
              <w:ind w:firstLine="0" w:firstLineChars="0"/>
              <w:jc w:val="center"/>
              <w:rPr>
                <w:rFonts w:ascii="宋体" w:hAnsi="宋体" w:eastAsia="宋体" w:cs="宋体"/>
                <w:color w:val="auto"/>
                <w:szCs w:val="21"/>
              </w:rPr>
            </w:pPr>
            <w:r>
              <w:rPr>
                <w:rFonts w:hint="eastAsia" w:ascii="宋体" w:hAnsi="宋体" w:eastAsia="宋体" w:cs="宋体"/>
                <w:color w:val="auto"/>
                <w:szCs w:val="21"/>
              </w:rPr>
              <w:t>招标文件要求</w:t>
            </w:r>
          </w:p>
          <w:p>
            <w:pPr>
              <w:ind w:firstLine="0" w:firstLineChars="0"/>
              <w:jc w:val="center"/>
              <w:rPr>
                <w:rFonts w:ascii="宋体" w:hAnsi="宋体" w:eastAsia="宋体" w:cs="宋体"/>
                <w:color w:val="auto"/>
                <w:szCs w:val="21"/>
              </w:rPr>
            </w:pPr>
            <w:r>
              <w:rPr>
                <w:rFonts w:hint="eastAsia" w:ascii="宋体" w:hAnsi="宋体" w:eastAsia="宋体" w:cs="宋体"/>
                <w:color w:val="auto"/>
                <w:szCs w:val="21"/>
              </w:rPr>
              <w:t>数据/材质</w:t>
            </w:r>
          </w:p>
        </w:tc>
        <w:tc>
          <w:tcPr>
            <w:tcW w:w="1701" w:type="dxa"/>
            <w:vAlign w:val="center"/>
          </w:tcPr>
          <w:p>
            <w:pPr>
              <w:ind w:firstLine="0" w:firstLineChars="0"/>
              <w:jc w:val="center"/>
              <w:rPr>
                <w:rFonts w:ascii="宋体" w:hAnsi="宋体" w:eastAsia="宋体" w:cs="宋体"/>
                <w:color w:val="auto"/>
                <w:szCs w:val="21"/>
              </w:rPr>
            </w:pPr>
            <w:r>
              <w:rPr>
                <w:rFonts w:hint="eastAsia" w:ascii="宋体" w:hAnsi="宋体" w:eastAsia="宋体" w:cs="宋体"/>
                <w:color w:val="auto"/>
                <w:szCs w:val="21"/>
              </w:rPr>
              <w:t>投标文件响应</w:t>
            </w:r>
          </w:p>
          <w:p>
            <w:pPr>
              <w:ind w:firstLine="0" w:firstLineChars="0"/>
              <w:jc w:val="center"/>
              <w:rPr>
                <w:rFonts w:ascii="宋体" w:hAnsi="宋体" w:eastAsia="宋体" w:cs="宋体"/>
                <w:color w:val="auto"/>
                <w:szCs w:val="21"/>
              </w:rPr>
            </w:pPr>
            <w:r>
              <w:rPr>
                <w:rFonts w:hint="eastAsia" w:ascii="宋体" w:hAnsi="宋体" w:eastAsia="宋体" w:cs="宋体"/>
                <w:color w:val="auto"/>
                <w:szCs w:val="21"/>
              </w:rPr>
              <w:t>数据/材质</w:t>
            </w:r>
          </w:p>
        </w:tc>
        <w:tc>
          <w:tcPr>
            <w:tcW w:w="1701" w:type="dxa"/>
            <w:vAlign w:val="center"/>
          </w:tcPr>
          <w:p>
            <w:pPr>
              <w:ind w:firstLine="0" w:firstLineChars="0"/>
              <w:jc w:val="center"/>
              <w:rPr>
                <w:rFonts w:ascii="宋体" w:hAnsi="宋体" w:eastAsia="宋体" w:cs="宋体"/>
                <w:color w:val="auto"/>
                <w:szCs w:val="21"/>
              </w:rPr>
            </w:pPr>
            <w:r>
              <w:rPr>
                <w:rFonts w:hint="eastAsia" w:ascii="宋体" w:hAnsi="宋体" w:eastAsia="宋体" w:cs="宋体"/>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40" w:type="dxa"/>
          </w:tcPr>
          <w:p>
            <w:pPr>
              <w:spacing w:line="360" w:lineRule="auto"/>
              <w:rPr>
                <w:rFonts w:ascii="宋体" w:hAnsi="宋体" w:eastAsia="宋体" w:cs="宋体"/>
                <w:color w:val="auto"/>
                <w:szCs w:val="21"/>
              </w:rPr>
            </w:pPr>
          </w:p>
        </w:tc>
        <w:tc>
          <w:tcPr>
            <w:tcW w:w="1890" w:type="dxa"/>
          </w:tcPr>
          <w:p>
            <w:pPr>
              <w:spacing w:line="360" w:lineRule="auto"/>
              <w:rPr>
                <w:rFonts w:ascii="宋体" w:hAnsi="宋体" w:eastAsia="宋体" w:cs="宋体"/>
                <w:color w:val="auto"/>
                <w:szCs w:val="21"/>
              </w:rPr>
            </w:pPr>
          </w:p>
        </w:tc>
        <w:tc>
          <w:tcPr>
            <w:tcW w:w="1470" w:type="dxa"/>
          </w:tcPr>
          <w:p>
            <w:pPr>
              <w:spacing w:line="360" w:lineRule="auto"/>
              <w:rPr>
                <w:rFonts w:ascii="宋体" w:hAnsi="宋体" w:eastAsia="宋体" w:cs="宋体"/>
                <w:color w:val="auto"/>
                <w:szCs w:val="21"/>
              </w:rPr>
            </w:pPr>
          </w:p>
        </w:tc>
        <w:tc>
          <w:tcPr>
            <w:tcW w:w="1896"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40" w:type="dxa"/>
          </w:tcPr>
          <w:p>
            <w:pPr>
              <w:spacing w:line="360" w:lineRule="auto"/>
              <w:rPr>
                <w:rFonts w:ascii="宋体" w:hAnsi="宋体" w:eastAsia="宋体" w:cs="宋体"/>
                <w:color w:val="auto"/>
                <w:szCs w:val="21"/>
              </w:rPr>
            </w:pPr>
          </w:p>
        </w:tc>
        <w:tc>
          <w:tcPr>
            <w:tcW w:w="1890" w:type="dxa"/>
          </w:tcPr>
          <w:p>
            <w:pPr>
              <w:spacing w:line="360" w:lineRule="auto"/>
              <w:rPr>
                <w:rFonts w:ascii="宋体" w:hAnsi="宋体" w:eastAsia="宋体" w:cs="宋体"/>
                <w:color w:val="auto"/>
                <w:szCs w:val="21"/>
              </w:rPr>
            </w:pPr>
          </w:p>
        </w:tc>
        <w:tc>
          <w:tcPr>
            <w:tcW w:w="1470" w:type="dxa"/>
          </w:tcPr>
          <w:p>
            <w:pPr>
              <w:spacing w:line="360" w:lineRule="auto"/>
              <w:rPr>
                <w:rFonts w:ascii="宋体" w:hAnsi="宋体" w:eastAsia="宋体" w:cs="宋体"/>
                <w:color w:val="auto"/>
                <w:szCs w:val="21"/>
              </w:rPr>
            </w:pPr>
          </w:p>
        </w:tc>
        <w:tc>
          <w:tcPr>
            <w:tcW w:w="1896"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40" w:type="dxa"/>
          </w:tcPr>
          <w:p>
            <w:pPr>
              <w:spacing w:line="360" w:lineRule="auto"/>
              <w:rPr>
                <w:rFonts w:ascii="宋体" w:hAnsi="宋体" w:eastAsia="宋体" w:cs="宋体"/>
                <w:color w:val="auto"/>
                <w:szCs w:val="21"/>
              </w:rPr>
            </w:pPr>
          </w:p>
        </w:tc>
        <w:tc>
          <w:tcPr>
            <w:tcW w:w="1890" w:type="dxa"/>
          </w:tcPr>
          <w:p>
            <w:pPr>
              <w:spacing w:line="360" w:lineRule="auto"/>
              <w:rPr>
                <w:rFonts w:ascii="宋体" w:hAnsi="宋体" w:eastAsia="宋体" w:cs="宋体"/>
                <w:color w:val="auto"/>
                <w:szCs w:val="21"/>
              </w:rPr>
            </w:pPr>
          </w:p>
        </w:tc>
        <w:tc>
          <w:tcPr>
            <w:tcW w:w="1470" w:type="dxa"/>
          </w:tcPr>
          <w:p>
            <w:pPr>
              <w:spacing w:line="360" w:lineRule="auto"/>
              <w:rPr>
                <w:rFonts w:ascii="宋体" w:hAnsi="宋体" w:eastAsia="宋体" w:cs="宋体"/>
                <w:color w:val="auto"/>
                <w:szCs w:val="21"/>
              </w:rPr>
            </w:pPr>
          </w:p>
        </w:tc>
        <w:tc>
          <w:tcPr>
            <w:tcW w:w="1896"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40" w:type="dxa"/>
          </w:tcPr>
          <w:p>
            <w:pPr>
              <w:spacing w:line="360" w:lineRule="auto"/>
              <w:rPr>
                <w:rFonts w:ascii="宋体" w:hAnsi="宋体" w:eastAsia="宋体" w:cs="宋体"/>
                <w:color w:val="auto"/>
                <w:szCs w:val="21"/>
              </w:rPr>
            </w:pPr>
          </w:p>
        </w:tc>
        <w:tc>
          <w:tcPr>
            <w:tcW w:w="1890" w:type="dxa"/>
          </w:tcPr>
          <w:p>
            <w:pPr>
              <w:spacing w:line="360" w:lineRule="auto"/>
              <w:rPr>
                <w:rFonts w:ascii="宋体" w:hAnsi="宋体" w:eastAsia="宋体" w:cs="宋体"/>
                <w:color w:val="auto"/>
                <w:szCs w:val="21"/>
              </w:rPr>
            </w:pPr>
          </w:p>
        </w:tc>
        <w:tc>
          <w:tcPr>
            <w:tcW w:w="1470" w:type="dxa"/>
          </w:tcPr>
          <w:p>
            <w:pPr>
              <w:spacing w:line="360" w:lineRule="auto"/>
              <w:rPr>
                <w:rFonts w:ascii="宋体" w:hAnsi="宋体" w:eastAsia="宋体" w:cs="宋体"/>
                <w:color w:val="auto"/>
                <w:szCs w:val="21"/>
              </w:rPr>
            </w:pPr>
          </w:p>
        </w:tc>
        <w:tc>
          <w:tcPr>
            <w:tcW w:w="1896"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40" w:type="dxa"/>
          </w:tcPr>
          <w:p>
            <w:pPr>
              <w:spacing w:line="360" w:lineRule="auto"/>
              <w:rPr>
                <w:rFonts w:ascii="宋体" w:hAnsi="宋体" w:eastAsia="宋体" w:cs="宋体"/>
                <w:color w:val="auto"/>
                <w:szCs w:val="21"/>
              </w:rPr>
            </w:pPr>
          </w:p>
        </w:tc>
        <w:tc>
          <w:tcPr>
            <w:tcW w:w="1890" w:type="dxa"/>
          </w:tcPr>
          <w:p>
            <w:pPr>
              <w:spacing w:line="360" w:lineRule="auto"/>
              <w:rPr>
                <w:rFonts w:ascii="宋体" w:hAnsi="宋体" w:eastAsia="宋体" w:cs="宋体"/>
                <w:color w:val="auto"/>
                <w:szCs w:val="21"/>
              </w:rPr>
            </w:pPr>
          </w:p>
        </w:tc>
        <w:tc>
          <w:tcPr>
            <w:tcW w:w="1470" w:type="dxa"/>
          </w:tcPr>
          <w:p>
            <w:pPr>
              <w:spacing w:line="360" w:lineRule="auto"/>
              <w:rPr>
                <w:rFonts w:ascii="宋体" w:hAnsi="宋体" w:eastAsia="宋体" w:cs="宋体"/>
                <w:color w:val="auto"/>
                <w:szCs w:val="21"/>
              </w:rPr>
            </w:pPr>
          </w:p>
        </w:tc>
        <w:tc>
          <w:tcPr>
            <w:tcW w:w="1896"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40" w:type="dxa"/>
          </w:tcPr>
          <w:p>
            <w:pPr>
              <w:spacing w:line="360" w:lineRule="auto"/>
              <w:rPr>
                <w:rFonts w:ascii="宋体" w:hAnsi="宋体" w:eastAsia="宋体" w:cs="宋体"/>
                <w:color w:val="auto"/>
                <w:szCs w:val="21"/>
              </w:rPr>
            </w:pPr>
          </w:p>
        </w:tc>
        <w:tc>
          <w:tcPr>
            <w:tcW w:w="1890" w:type="dxa"/>
          </w:tcPr>
          <w:p>
            <w:pPr>
              <w:spacing w:line="360" w:lineRule="auto"/>
              <w:rPr>
                <w:rFonts w:ascii="宋体" w:hAnsi="宋体" w:eastAsia="宋体" w:cs="宋体"/>
                <w:color w:val="auto"/>
                <w:szCs w:val="21"/>
              </w:rPr>
            </w:pPr>
          </w:p>
        </w:tc>
        <w:tc>
          <w:tcPr>
            <w:tcW w:w="1470" w:type="dxa"/>
          </w:tcPr>
          <w:p>
            <w:pPr>
              <w:spacing w:line="360" w:lineRule="auto"/>
              <w:rPr>
                <w:rFonts w:ascii="宋体" w:hAnsi="宋体" w:eastAsia="宋体" w:cs="宋体"/>
                <w:color w:val="auto"/>
                <w:szCs w:val="21"/>
              </w:rPr>
            </w:pPr>
          </w:p>
        </w:tc>
        <w:tc>
          <w:tcPr>
            <w:tcW w:w="1896"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40" w:type="dxa"/>
          </w:tcPr>
          <w:p>
            <w:pPr>
              <w:spacing w:line="360" w:lineRule="auto"/>
              <w:rPr>
                <w:rFonts w:ascii="宋体" w:hAnsi="宋体" w:eastAsia="宋体" w:cs="宋体"/>
                <w:color w:val="auto"/>
                <w:szCs w:val="21"/>
              </w:rPr>
            </w:pPr>
          </w:p>
        </w:tc>
        <w:tc>
          <w:tcPr>
            <w:tcW w:w="1890" w:type="dxa"/>
          </w:tcPr>
          <w:p>
            <w:pPr>
              <w:spacing w:line="360" w:lineRule="auto"/>
              <w:rPr>
                <w:rFonts w:ascii="宋体" w:hAnsi="宋体" w:eastAsia="宋体" w:cs="宋体"/>
                <w:color w:val="auto"/>
                <w:szCs w:val="21"/>
              </w:rPr>
            </w:pPr>
          </w:p>
        </w:tc>
        <w:tc>
          <w:tcPr>
            <w:tcW w:w="1470" w:type="dxa"/>
          </w:tcPr>
          <w:p>
            <w:pPr>
              <w:spacing w:line="360" w:lineRule="auto"/>
              <w:rPr>
                <w:rFonts w:ascii="宋体" w:hAnsi="宋体" w:eastAsia="宋体" w:cs="宋体"/>
                <w:color w:val="auto"/>
                <w:szCs w:val="21"/>
              </w:rPr>
            </w:pPr>
          </w:p>
        </w:tc>
        <w:tc>
          <w:tcPr>
            <w:tcW w:w="1896"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40" w:type="dxa"/>
          </w:tcPr>
          <w:p>
            <w:pPr>
              <w:spacing w:line="360" w:lineRule="auto"/>
              <w:rPr>
                <w:rFonts w:ascii="宋体" w:hAnsi="宋体" w:eastAsia="宋体" w:cs="宋体"/>
                <w:color w:val="auto"/>
                <w:szCs w:val="21"/>
              </w:rPr>
            </w:pPr>
          </w:p>
        </w:tc>
        <w:tc>
          <w:tcPr>
            <w:tcW w:w="1890" w:type="dxa"/>
          </w:tcPr>
          <w:p>
            <w:pPr>
              <w:spacing w:line="360" w:lineRule="auto"/>
              <w:rPr>
                <w:rFonts w:ascii="宋体" w:hAnsi="宋体" w:eastAsia="宋体" w:cs="宋体"/>
                <w:color w:val="auto"/>
                <w:szCs w:val="21"/>
              </w:rPr>
            </w:pPr>
          </w:p>
        </w:tc>
        <w:tc>
          <w:tcPr>
            <w:tcW w:w="1470" w:type="dxa"/>
          </w:tcPr>
          <w:p>
            <w:pPr>
              <w:spacing w:line="360" w:lineRule="auto"/>
              <w:rPr>
                <w:rFonts w:ascii="宋体" w:hAnsi="宋体" w:eastAsia="宋体" w:cs="宋体"/>
                <w:color w:val="auto"/>
                <w:szCs w:val="21"/>
              </w:rPr>
            </w:pPr>
          </w:p>
        </w:tc>
        <w:tc>
          <w:tcPr>
            <w:tcW w:w="1896"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40" w:type="dxa"/>
          </w:tcPr>
          <w:p>
            <w:pPr>
              <w:spacing w:line="360" w:lineRule="auto"/>
              <w:rPr>
                <w:rFonts w:ascii="宋体" w:hAnsi="宋体" w:eastAsia="宋体" w:cs="宋体"/>
                <w:color w:val="auto"/>
                <w:szCs w:val="21"/>
              </w:rPr>
            </w:pPr>
          </w:p>
        </w:tc>
        <w:tc>
          <w:tcPr>
            <w:tcW w:w="1890" w:type="dxa"/>
          </w:tcPr>
          <w:p>
            <w:pPr>
              <w:spacing w:line="360" w:lineRule="auto"/>
              <w:rPr>
                <w:rFonts w:ascii="宋体" w:hAnsi="宋体" w:eastAsia="宋体" w:cs="宋体"/>
                <w:color w:val="auto"/>
                <w:szCs w:val="21"/>
              </w:rPr>
            </w:pPr>
          </w:p>
        </w:tc>
        <w:tc>
          <w:tcPr>
            <w:tcW w:w="1470" w:type="dxa"/>
          </w:tcPr>
          <w:p>
            <w:pPr>
              <w:spacing w:line="360" w:lineRule="auto"/>
              <w:rPr>
                <w:rFonts w:ascii="宋体" w:hAnsi="宋体" w:eastAsia="宋体" w:cs="宋体"/>
                <w:color w:val="auto"/>
                <w:szCs w:val="21"/>
              </w:rPr>
            </w:pPr>
          </w:p>
        </w:tc>
        <w:tc>
          <w:tcPr>
            <w:tcW w:w="1896"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c>
          <w:tcPr>
            <w:tcW w:w="1701" w:type="dxa"/>
          </w:tcPr>
          <w:p>
            <w:pPr>
              <w:spacing w:line="360" w:lineRule="auto"/>
              <w:rPr>
                <w:rFonts w:ascii="宋体" w:hAnsi="宋体" w:eastAsia="宋体" w:cs="宋体"/>
                <w:color w:val="auto"/>
                <w:szCs w:val="21"/>
              </w:rPr>
            </w:pPr>
          </w:p>
        </w:tc>
      </w:tr>
    </w:tbl>
    <w:p>
      <w:pPr>
        <w:spacing w:line="360" w:lineRule="auto"/>
        <w:rPr>
          <w:rFonts w:ascii="宋体" w:hAnsi="宋体" w:eastAsia="宋体" w:cs="宋体"/>
          <w:color w:val="auto"/>
          <w:szCs w:val="21"/>
        </w:rPr>
      </w:pPr>
      <w:r>
        <w:rPr>
          <w:rFonts w:hint="eastAsia" w:ascii="宋体" w:hAnsi="宋体" w:eastAsia="宋体" w:cs="宋体"/>
          <w:color w:val="auto"/>
          <w:szCs w:val="21"/>
        </w:rPr>
        <w:t>注：</w:t>
      </w:r>
    </w:p>
    <w:p>
      <w:pPr>
        <w:spacing w:line="360" w:lineRule="auto"/>
        <w:rPr>
          <w:rFonts w:ascii="宋体" w:hAnsi="宋体" w:eastAsia="宋体" w:cs="宋体"/>
          <w:color w:val="auto"/>
          <w:szCs w:val="21"/>
        </w:rPr>
      </w:pPr>
      <w:r>
        <w:rPr>
          <w:rFonts w:hint="eastAsia" w:ascii="宋体" w:hAnsi="宋体" w:eastAsia="宋体" w:cs="宋体"/>
          <w:color w:val="auto"/>
          <w:szCs w:val="21"/>
        </w:rPr>
        <w:t>1、偏离说明填写：“</w:t>
      </w:r>
      <w:r>
        <w:rPr>
          <w:rFonts w:hint="eastAsia" w:ascii="宋体" w:hAnsi="宋体" w:eastAsia="宋体" w:cs="宋体"/>
          <w:b/>
          <w:color w:val="auto"/>
          <w:szCs w:val="21"/>
        </w:rPr>
        <w:t>正偏离</w:t>
      </w:r>
      <w:r>
        <w:rPr>
          <w:rFonts w:hint="eastAsia" w:ascii="宋体" w:hAnsi="宋体" w:eastAsia="宋体" w:cs="宋体"/>
          <w:color w:val="auto"/>
          <w:szCs w:val="21"/>
        </w:rPr>
        <w:t>”或“</w:t>
      </w:r>
      <w:r>
        <w:rPr>
          <w:rFonts w:hint="eastAsia" w:ascii="宋体" w:hAnsi="宋体" w:eastAsia="宋体" w:cs="宋体"/>
          <w:b/>
          <w:color w:val="auto"/>
          <w:szCs w:val="21"/>
        </w:rPr>
        <w:t>负偏离</w:t>
      </w:r>
      <w:r>
        <w:rPr>
          <w:rFonts w:hint="eastAsia" w:ascii="宋体" w:hAnsi="宋体" w:eastAsia="宋体" w:cs="宋体"/>
          <w:color w:val="auto"/>
          <w:szCs w:val="21"/>
        </w:rPr>
        <w:t>”</w:t>
      </w:r>
      <w:r>
        <w:rPr>
          <w:rFonts w:hint="eastAsia" w:ascii="宋体" w:hAnsi="宋体" w:eastAsia="宋体" w:cs="宋体"/>
          <w:b/>
          <w:color w:val="auto"/>
          <w:szCs w:val="21"/>
        </w:rPr>
        <w:t>，</w:t>
      </w:r>
      <w:r>
        <w:rPr>
          <w:rFonts w:hint="eastAsia" w:ascii="宋体" w:hAnsi="宋体" w:eastAsia="宋体" w:cs="宋体"/>
          <w:b w:val="0"/>
          <w:bCs/>
          <w:color w:val="auto"/>
          <w:szCs w:val="21"/>
        </w:rPr>
        <w:t xml:space="preserve">若无偏差的，在“偏离说明”栏中注明 </w:t>
      </w:r>
      <w:r>
        <w:rPr>
          <w:rFonts w:hint="eastAsia" w:ascii="宋体" w:hAnsi="宋体" w:eastAsia="宋体" w:cs="宋体"/>
          <w:b/>
          <w:color w:val="auto"/>
          <w:szCs w:val="21"/>
        </w:rPr>
        <w:t>“无偏离”</w:t>
      </w:r>
      <w:r>
        <w:rPr>
          <w:rFonts w:hint="eastAsia" w:ascii="宋体" w:hAnsi="宋体" w:eastAsia="宋体" w:cs="宋体"/>
          <w:b w:val="0"/>
          <w:bCs/>
          <w:color w:val="auto"/>
          <w:szCs w:val="21"/>
        </w:rPr>
        <w:t>， 视为完全响应本项目</w:t>
      </w:r>
      <w:r>
        <w:rPr>
          <w:rFonts w:hint="eastAsia" w:ascii="宋体" w:hAnsi="宋体" w:eastAsia="宋体" w:cs="宋体"/>
          <w:b w:val="0"/>
          <w:bCs/>
          <w:color w:val="auto"/>
          <w:szCs w:val="21"/>
          <w:lang w:eastAsia="zh-CN"/>
        </w:rPr>
        <w:t>技术</w:t>
      </w:r>
      <w:r>
        <w:rPr>
          <w:rFonts w:hint="eastAsia" w:ascii="宋体" w:hAnsi="宋体" w:eastAsia="宋体" w:cs="宋体"/>
          <w:b w:val="0"/>
          <w:bCs/>
          <w:color w:val="auto"/>
          <w:szCs w:val="21"/>
        </w:rPr>
        <w:t>要求。</w:t>
      </w:r>
      <w:r>
        <w:rPr>
          <w:rFonts w:hint="eastAsia" w:ascii="宋体" w:hAnsi="宋体" w:eastAsia="宋体" w:cs="宋体"/>
          <w:color w:val="auto"/>
          <w:szCs w:val="21"/>
        </w:rPr>
        <w:t>并</w:t>
      </w:r>
      <w:r>
        <w:rPr>
          <w:rFonts w:hint="eastAsia" w:ascii="宋体" w:hAnsi="宋体" w:eastAsia="宋体" w:cs="宋体"/>
          <w:b/>
          <w:color w:val="auto"/>
          <w:szCs w:val="21"/>
        </w:rPr>
        <w:t>注明技术支撑材料所在页码或位置（说明不清楚将导致评标委员会做出对供应商不利判定）</w:t>
      </w:r>
    </w:p>
    <w:p>
      <w:pPr>
        <w:autoSpaceDE w:val="0"/>
        <w:autoSpaceDN w:val="0"/>
        <w:spacing w:line="360" w:lineRule="auto"/>
        <w:rPr>
          <w:rFonts w:ascii="宋体" w:hAnsi="宋体" w:eastAsia="宋体" w:cs="宋体"/>
          <w:color w:val="auto"/>
          <w:szCs w:val="21"/>
        </w:rPr>
      </w:pPr>
      <w:r>
        <w:rPr>
          <w:rFonts w:hint="eastAsia" w:ascii="宋体" w:hAnsi="宋体" w:eastAsia="宋体" w:cs="宋体"/>
          <w:color w:val="auto"/>
          <w:szCs w:val="21"/>
        </w:rPr>
        <w:t>2、表格不够用，供应商可按此表复制。</w:t>
      </w:r>
    </w:p>
    <w:p>
      <w:pPr>
        <w:spacing w:line="360" w:lineRule="auto"/>
        <w:rPr>
          <w:rFonts w:ascii="宋体" w:hAnsi="宋体" w:eastAsia="宋体" w:cs="宋体"/>
          <w:color w:val="auto"/>
          <w:szCs w:val="21"/>
        </w:rPr>
      </w:pPr>
      <w:r>
        <w:rPr>
          <w:rFonts w:hint="eastAsia" w:ascii="宋体" w:hAnsi="宋体" w:eastAsia="宋体" w:cs="宋体"/>
          <w:color w:val="auto"/>
          <w:szCs w:val="21"/>
        </w:rPr>
        <w:t>3、投标单位须如实填写该表，如有隐瞒，后果由供应商自负。</w:t>
      </w:r>
    </w:p>
    <w:p>
      <w:pPr>
        <w:spacing w:line="360" w:lineRule="auto"/>
        <w:rPr>
          <w:rFonts w:ascii="宋体" w:hAnsi="宋体" w:eastAsia="宋体" w:cs="宋体"/>
          <w:color w:val="auto"/>
          <w:szCs w:val="21"/>
        </w:rPr>
      </w:pPr>
    </w:p>
    <w:p>
      <w:pPr>
        <w:spacing w:line="360" w:lineRule="auto"/>
        <w:rPr>
          <w:rFonts w:ascii="宋体" w:hAnsi="宋体" w:eastAsia="宋体" w:cs="宋体"/>
          <w:color w:val="auto"/>
          <w:szCs w:val="21"/>
        </w:rPr>
      </w:pPr>
      <w:r>
        <w:rPr>
          <w:rFonts w:hint="eastAsia" w:ascii="宋体" w:hAnsi="宋体" w:eastAsia="宋体" w:cs="宋体"/>
          <w:color w:val="auto"/>
          <w:szCs w:val="21"/>
        </w:rPr>
        <w:br w:type="page"/>
      </w:r>
      <w:r>
        <w:rPr>
          <w:rFonts w:hint="eastAsia" w:ascii="宋体" w:hAnsi="宋体" w:eastAsia="宋体" w:cs="宋体"/>
          <w:b/>
          <w:color w:val="auto"/>
          <w:szCs w:val="21"/>
        </w:rPr>
        <w:t>附件二</w:t>
      </w:r>
    </w:p>
    <w:p>
      <w:pPr>
        <w:spacing w:line="360" w:lineRule="auto"/>
        <w:ind w:firstLine="482"/>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货物详细配置</w:t>
      </w:r>
    </w:p>
    <w:tbl>
      <w:tblPr>
        <w:tblStyle w:val="23"/>
        <w:tblW w:w="97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13"/>
        <w:gridCol w:w="1279"/>
        <w:gridCol w:w="1406"/>
        <w:gridCol w:w="2536"/>
        <w:gridCol w:w="1427"/>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649" w:type="dxa"/>
            <w:vAlign w:val="center"/>
          </w:tcPr>
          <w:p>
            <w:pPr>
              <w:ind w:firstLine="0" w:firstLineChars="0"/>
              <w:jc w:val="center"/>
              <w:rPr>
                <w:rFonts w:ascii="宋体" w:hAnsi="宋体" w:eastAsia="宋体" w:cs="宋体"/>
                <w:bCs/>
                <w:color w:val="auto"/>
                <w:szCs w:val="21"/>
              </w:rPr>
            </w:pPr>
            <w:r>
              <w:rPr>
                <w:rFonts w:hint="eastAsia" w:ascii="宋体" w:hAnsi="宋体" w:eastAsia="宋体" w:cs="宋体"/>
                <w:bCs/>
                <w:color w:val="auto"/>
                <w:szCs w:val="21"/>
              </w:rPr>
              <w:t>序号</w:t>
            </w:r>
          </w:p>
        </w:tc>
        <w:tc>
          <w:tcPr>
            <w:tcW w:w="1013" w:type="dxa"/>
            <w:vAlign w:val="center"/>
          </w:tcPr>
          <w:p>
            <w:pPr>
              <w:ind w:firstLine="0" w:firstLineChars="0"/>
              <w:jc w:val="center"/>
              <w:rPr>
                <w:rFonts w:ascii="宋体" w:hAnsi="宋体" w:eastAsia="宋体" w:cs="宋体"/>
                <w:bCs/>
                <w:color w:val="auto"/>
                <w:szCs w:val="21"/>
              </w:rPr>
            </w:pPr>
            <w:r>
              <w:rPr>
                <w:rFonts w:hint="eastAsia" w:ascii="宋体" w:hAnsi="宋体" w:eastAsia="宋体" w:cs="宋体"/>
                <w:bCs/>
                <w:color w:val="auto"/>
                <w:szCs w:val="21"/>
              </w:rPr>
              <w:t>产品名称</w:t>
            </w:r>
          </w:p>
        </w:tc>
        <w:tc>
          <w:tcPr>
            <w:tcW w:w="1279" w:type="dxa"/>
            <w:vAlign w:val="center"/>
          </w:tcPr>
          <w:p>
            <w:pPr>
              <w:ind w:firstLine="0" w:firstLineChars="0"/>
              <w:jc w:val="center"/>
              <w:rPr>
                <w:rFonts w:ascii="宋体" w:hAnsi="宋体" w:eastAsia="宋体" w:cs="宋体"/>
                <w:bCs/>
                <w:color w:val="auto"/>
                <w:szCs w:val="21"/>
              </w:rPr>
            </w:pPr>
            <w:r>
              <w:rPr>
                <w:rFonts w:hint="eastAsia" w:ascii="宋体" w:hAnsi="宋体" w:eastAsia="宋体" w:cs="宋体"/>
                <w:bCs/>
                <w:color w:val="auto"/>
                <w:szCs w:val="21"/>
              </w:rPr>
              <w:t>生产厂家</w:t>
            </w:r>
          </w:p>
        </w:tc>
        <w:tc>
          <w:tcPr>
            <w:tcW w:w="1406" w:type="dxa"/>
            <w:vAlign w:val="center"/>
          </w:tcPr>
          <w:p>
            <w:pPr>
              <w:ind w:firstLine="0" w:firstLineChars="0"/>
              <w:jc w:val="center"/>
              <w:rPr>
                <w:rFonts w:ascii="宋体" w:hAnsi="宋体" w:eastAsia="宋体" w:cs="宋体"/>
                <w:bCs/>
                <w:color w:val="auto"/>
                <w:szCs w:val="21"/>
              </w:rPr>
            </w:pPr>
            <w:r>
              <w:rPr>
                <w:rFonts w:hint="eastAsia" w:ascii="宋体" w:hAnsi="宋体" w:eastAsia="宋体" w:cs="宋体"/>
                <w:bCs/>
                <w:color w:val="auto"/>
                <w:szCs w:val="21"/>
              </w:rPr>
              <w:t>规格型号</w:t>
            </w:r>
          </w:p>
        </w:tc>
        <w:tc>
          <w:tcPr>
            <w:tcW w:w="2536" w:type="dxa"/>
            <w:vAlign w:val="center"/>
          </w:tcPr>
          <w:p>
            <w:pPr>
              <w:ind w:firstLine="0" w:firstLineChars="0"/>
              <w:jc w:val="center"/>
              <w:rPr>
                <w:rFonts w:ascii="宋体" w:hAnsi="宋体" w:eastAsia="宋体" w:cs="宋体"/>
                <w:bCs/>
                <w:color w:val="auto"/>
                <w:szCs w:val="21"/>
              </w:rPr>
            </w:pPr>
            <w:r>
              <w:rPr>
                <w:rFonts w:hint="eastAsia" w:ascii="宋体" w:hAnsi="宋体" w:eastAsia="宋体" w:cs="宋体"/>
                <w:bCs/>
                <w:color w:val="auto"/>
                <w:szCs w:val="21"/>
              </w:rPr>
              <w:t>详细技术参数</w:t>
            </w:r>
          </w:p>
        </w:tc>
        <w:tc>
          <w:tcPr>
            <w:tcW w:w="1427" w:type="dxa"/>
            <w:vAlign w:val="center"/>
          </w:tcPr>
          <w:p>
            <w:pPr>
              <w:ind w:firstLine="0" w:firstLineChars="0"/>
              <w:jc w:val="center"/>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质保期</w:t>
            </w:r>
          </w:p>
        </w:tc>
        <w:tc>
          <w:tcPr>
            <w:tcW w:w="1427" w:type="dxa"/>
            <w:vAlign w:val="center"/>
          </w:tcPr>
          <w:p>
            <w:pPr>
              <w:ind w:firstLine="0" w:firstLineChars="0"/>
              <w:jc w:val="center"/>
              <w:rPr>
                <w:rFonts w:ascii="宋体" w:hAnsi="宋体" w:eastAsia="宋体" w:cs="宋体"/>
                <w:bCs/>
                <w:color w:val="auto"/>
                <w:szCs w:val="21"/>
              </w:rPr>
            </w:pPr>
            <w:r>
              <w:rPr>
                <w:rFonts w:hint="eastAsia" w:ascii="宋体" w:hAnsi="宋体" w:eastAsia="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649" w:type="dxa"/>
            <w:vAlign w:val="center"/>
          </w:tcPr>
          <w:p>
            <w:pPr>
              <w:spacing w:line="360" w:lineRule="auto"/>
              <w:jc w:val="center"/>
              <w:rPr>
                <w:rFonts w:ascii="宋体" w:hAnsi="宋体" w:eastAsia="宋体" w:cs="宋体"/>
                <w:color w:val="auto"/>
                <w:szCs w:val="21"/>
              </w:rPr>
            </w:pPr>
          </w:p>
        </w:tc>
        <w:tc>
          <w:tcPr>
            <w:tcW w:w="1013" w:type="dxa"/>
            <w:vAlign w:val="center"/>
          </w:tcPr>
          <w:p>
            <w:pPr>
              <w:spacing w:line="360" w:lineRule="auto"/>
              <w:jc w:val="center"/>
              <w:rPr>
                <w:rFonts w:ascii="宋体" w:hAnsi="宋体" w:eastAsia="宋体" w:cs="宋体"/>
                <w:color w:val="auto"/>
                <w:szCs w:val="21"/>
              </w:rPr>
            </w:pPr>
          </w:p>
        </w:tc>
        <w:tc>
          <w:tcPr>
            <w:tcW w:w="1279" w:type="dxa"/>
            <w:vAlign w:val="center"/>
          </w:tcPr>
          <w:p>
            <w:pPr>
              <w:pStyle w:val="19"/>
              <w:ind w:firstLine="422"/>
              <w:rPr>
                <w:rFonts w:ascii="宋体" w:hAnsi="宋体" w:eastAsia="宋体" w:cs="宋体"/>
                <w:color w:val="auto"/>
                <w:sz w:val="21"/>
                <w:szCs w:val="21"/>
              </w:rPr>
            </w:pPr>
          </w:p>
        </w:tc>
        <w:tc>
          <w:tcPr>
            <w:tcW w:w="1406" w:type="dxa"/>
            <w:vAlign w:val="center"/>
          </w:tcPr>
          <w:p>
            <w:pPr>
              <w:spacing w:line="360" w:lineRule="auto"/>
              <w:jc w:val="center"/>
              <w:rPr>
                <w:rFonts w:ascii="宋体" w:hAnsi="宋体" w:eastAsia="宋体" w:cs="宋体"/>
                <w:color w:val="auto"/>
                <w:szCs w:val="21"/>
              </w:rPr>
            </w:pPr>
          </w:p>
        </w:tc>
        <w:tc>
          <w:tcPr>
            <w:tcW w:w="2536" w:type="dxa"/>
            <w:vAlign w:val="center"/>
          </w:tcPr>
          <w:p>
            <w:pPr>
              <w:spacing w:line="360" w:lineRule="auto"/>
              <w:jc w:val="center"/>
              <w:rPr>
                <w:rFonts w:ascii="宋体" w:hAnsi="宋体" w:eastAsia="宋体" w:cs="宋体"/>
                <w:color w:val="auto"/>
                <w:szCs w:val="21"/>
              </w:rPr>
            </w:pPr>
          </w:p>
        </w:tc>
        <w:tc>
          <w:tcPr>
            <w:tcW w:w="1427" w:type="dxa"/>
            <w:vAlign w:val="center"/>
          </w:tcPr>
          <w:p>
            <w:pPr>
              <w:spacing w:line="360" w:lineRule="auto"/>
              <w:jc w:val="center"/>
              <w:rPr>
                <w:rFonts w:ascii="宋体" w:hAnsi="宋体" w:eastAsia="宋体" w:cs="宋体"/>
                <w:color w:val="auto"/>
                <w:szCs w:val="21"/>
              </w:rPr>
            </w:pPr>
          </w:p>
        </w:tc>
        <w:tc>
          <w:tcPr>
            <w:tcW w:w="1427" w:type="dxa"/>
            <w:vAlign w:val="center"/>
          </w:tcPr>
          <w:p>
            <w:pPr>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649" w:type="dxa"/>
            <w:vAlign w:val="center"/>
          </w:tcPr>
          <w:p>
            <w:pPr>
              <w:spacing w:line="360" w:lineRule="auto"/>
              <w:jc w:val="center"/>
              <w:rPr>
                <w:rFonts w:ascii="宋体" w:hAnsi="宋体" w:eastAsia="宋体" w:cs="宋体"/>
                <w:color w:val="auto"/>
                <w:szCs w:val="21"/>
              </w:rPr>
            </w:pPr>
          </w:p>
        </w:tc>
        <w:tc>
          <w:tcPr>
            <w:tcW w:w="1013" w:type="dxa"/>
            <w:vAlign w:val="center"/>
          </w:tcPr>
          <w:p>
            <w:pPr>
              <w:spacing w:line="360" w:lineRule="auto"/>
              <w:jc w:val="center"/>
              <w:rPr>
                <w:rFonts w:ascii="宋体" w:hAnsi="宋体" w:eastAsia="宋体" w:cs="宋体"/>
                <w:color w:val="auto"/>
                <w:szCs w:val="21"/>
              </w:rPr>
            </w:pPr>
          </w:p>
        </w:tc>
        <w:tc>
          <w:tcPr>
            <w:tcW w:w="1279" w:type="dxa"/>
            <w:vAlign w:val="center"/>
          </w:tcPr>
          <w:p>
            <w:pPr>
              <w:spacing w:line="360" w:lineRule="auto"/>
              <w:jc w:val="center"/>
              <w:rPr>
                <w:rFonts w:ascii="宋体" w:hAnsi="宋体" w:eastAsia="宋体" w:cs="宋体"/>
                <w:color w:val="auto"/>
                <w:szCs w:val="21"/>
              </w:rPr>
            </w:pPr>
          </w:p>
        </w:tc>
        <w:tc>
          <w:tcPr>
            <w:tcW w:w="1406" w:type="dxa"/>
            <w:vAlign w:val="center"/>
          </w:tcPr>
          <w:p>
            <w:pPr>
              <w:spacing w:line="360" w:lineRule="auto"/>
              <w:jc w:val="center"/>
              <w:rPr>
                <w:rFonts w:ascii="宋体" w:hAnsi="宋体" w:eastAsia="宋体" w:cs="宋体"/>
                <w:color w:val="auto"/>
                <w:szCs w:val="21"/>
              </w:rPr>
            </w:pPr>
          </w:p>
        </w:tc>
        <w:tc>
          <w:tcPr>
            <w:tcW w:w="2536" w:type="dxa"/>
            <w:vAlign w:val="center"/>
          </w:tcPr>
          <w:p>
            <w:pPr>
              <w:spacing w:line="360" w:lineRule="auto"/>
              <w:jc w:val="center"/>
              <w:rPr>
                <w:rFonts w:ascii="宋体" w:hAnsi="宋体" w:eastAsia="宋体" w:cs="宋体"/>
                <w:color w:val="auto"/>
                <w:szCs w:val="21"/>
              </w:rPr>
            </w:pPr>
          </w:p>
        </w:tc>
        <w:tc>
          <w:tcPr>
            <w:tcW w:w="1427" w:type="dxa"/>
            <w:vAlign w:val="center"/>
          </w:tcPr>
          <w:p>
            <w:pPr>
              <w:spacing w:line="360" w:lineRule="auto"/>
              <w:jc w:val="center"/>
              <w:rPr>
                <w:rFonts w:ascii="宋体" w:hAnsi="宋体" w:eastAsia="宋体" w:cs="宋体"/>
                <w:color w:val="auto"/>
                <w:szCs w:val="21"/>
              </w:rPr>
            </w:pPr>
          </w:p>
        </w:tc>
        <w:tc>
          <w:tcPr>
            <w:tcW w:w="1427" w:type="dxa"/>
            <w:vAlign w:val="center"/>
          </w:tcPr>
          <w:p>
            <w:pPr>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649" w:type="dxa"/>
            <w:vAlign w:val="center"/>
          </w:tcPr>
          <w:p>
            <w:pPr>
              <w:spacing w:line="360" w:lineRule="auto"/>
              <w:jc w:val="center"/>
              <w:rPr>
                <w:rFonts w:ascii="宋体" w:hAnsi="宋体" w:eastAsia="宋体" w:cs="宋体"/>
                <w:color w:val="auto"/>
                <w:szCs w:val="21"/>
              </w:rPr>
            </w:pPr>
          </w:p>
        </w:tc>
        <w:tc>
          <w:tcPr>
            <w:tcW w:w="1013" w:type="dxa"/>
            <w:vAlign w:val="center"/>
          </w:tcPr>
          <w:p>
            <w:pPr>
              <w:spacing w:line="360" w:lineRule="auto"/>
              <w:jc w:val="center"/>
              <w:rPr>
                <w:rFonts w:ascii="宋体" w:hAnsi="宋体" w:eastAsia="宋体" w:cs="宋体"/>
                <w:color w:val="auto"/>
                <w:szCs w:val="21"/>
              </w:rPr>
            </w:pPr>
          </w:p>
        </w:tc>
        <w:tc>
          <w:tcPr>
            <w:tcW w:w="1279" w:type="dxa"/>
            <w:vAlign w:val="center"/>
          </w:tcPr>
          <w:p>
            <w:pPr>
              <w:spacing w:line="360" w:lineRule="auto"/>
              <w:jc w:val="center"/>
              <w:rPr>
                <w:rFonts w:ascii="宋体" w:hAnsi="宋体" w:eastAsia="宋体" w:cs="宋体"/>
                <w:color w:val="auto"/>
                <w:szCs w:val="21"/>
              </w:rPr>
            </w:pPr>
          </w:p>
        </w:tc>
        <w:tc>
          <w:tcPr>
            <w:tcW w:w="1406" w:type="dxa"/>
            <w:vAlign w:val="center"/>
          </w:tcPr>
          <w:p>
            <w:pPr>
              <w:spacing w:line="360" w:lineRule="auto"/>
              <w:jc w:val="center"/>
              <w:rPr>
                <w:rFonts w:ascii="宋体" w:hAnsi="宋体" w:eastAsia="宋体" w:cs="宋体"/>
                <w:color w:val="auto"/>
                <w:szCs w:val="21"/>
              </w:rPr>
            </w:pPr>
          </w:p>
        </w:tc>
        <w:tc>
          <w:tcPr>
            <w:tcW w:w="2536" w:type="dxa"/>
            <w:vAlign w:val="center"/>
          </w:tcPr>
          <w:p>
            <w:pPr>
              <w:spacing w:line="360" w:lineRule="auto"/>
              <w:jc w:val="center"/>
              <w:rPr>
                <w:rFonts w:ascii="宋体" w:hAnsi="宋体" w:eastAsia="宋体" w:cs="宋体"/>
                <w:color w:val="auto"/>
                <w:szCs w:val="21"/>
              </w:rPr>
            </w:pPr>
          </w:p>
        </w:tc>
        <w:tc>
          <w:tcPr>
            <w:tcW w:w="1427" w:type="dxa"/>
            <w:vAlign w:val="center"/>
          </w:tcPr>
          <w:p>
            <w:pPr>
              <w:spacing w:line="360" w:lineRule="auto"/>
              <w:jc w:val="center"/>
              <w:rPr>
                <w:rFonts w:ascii="宋体" w:hAnsi="宋体" w:eastAsia="宋体" w:cs="宋体"/>
                <w:color w:val="auto"/>
                <w:szCs w:val="21"/>
              </w:rPr>
            </w:pPr>
          </w:p>
        </w:tc>
        <w:tc>
          <w:tcPr>
            <w:tcW w:w="1427" w:type="dxa"/>
            <w:vAlign w:val="center"/>
          </w:tcPr>
          <w:p>
            <w:pPr>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649" w:type="dxa"/>
            <w:vAlign w:val="center"/>
          </w:tcPr>
          <w:p>
            <w:pPr>
              <w:spacing w:line="360" w:lineRule="auto"/>
              <w:jc w:val="center"/>
              <w:rPr>
                <w:rFonts w:ascii="宋体" w:hAnsi="宋体" w:eastAsia="宋体" w:cs="宋体"/>
                <w:color w:val="auto"/>
                <w:szCs w:val="21"/>
              </w:rPr>
            </w:pPr>
          </w:p>
        </w:tc>
        <w:tc>
          <w:tcPr>
            <w:tcW w:w="1013" w:type="dxa"/>
            <w:vAlign w:val="center"/>
          </w:tcPr>
          <w:p>
            <w:pPr>
              <w:spacing w:line="360" w:lineRule="auto"/>
              <w:jc w:val="center"/>
              <w:rPr>
                <w:rFonts w:ascii="宋体" w:hAnsi="宋体" w:eastAsia="宋体" w:cs="宋体"/>
                <w:color w:val="auto"/>
                <w:szCs w:val="21"/>
              </w:rPr>
            </w:pPr>
          </w:p>
        </w:tc>
        <w:tc>
          <w:tcPr>
            <w:tcW w:w="1279" w:type="dxa"/>
            <w:vAlign w:val="center"/>
          </w:tcPr>
          <w:p>
            <w:pPr>
              <w:spacing w:line="360" w:lineRule="auto"/>
              <w:jc w:val="center"/>
              <w:rPr>
                <w:rFonts w:ascii="宋体" w:hAnsi="宋体" w:eastAsia="宋体" w:cs="宋体"/>
                <w:color w:val="auto"/>
                <w:szCs w:val="21"/>
              </w:rPr>
            </w:pPr>
          </w:p>
        </w:tc>
        <w:tc>
          <w:tcPr>
            <w:tcW w:w="1406" w:type="dxa"/>
            <w:vAlign w:val="center"/>
          </w:tcPr>
          <w:p>
            <w:pPr>
              <w:spacing w:line="360" w:lineRule="auto"/>
              <w:jc w:val="center"/>
              <w:rPr>
                <w:rFonts w:ascii="宋体" w:hAnsi="宋体" w:eastAsia="宋体" w:cs="宋体"/>
                <w:color w:val="auto"/>
                <w:szCs w:val="21"/>
              </w:rPr>
            </w:pPr>
          </w:p>
        </w:tc>
        <w:tc>
          <w:tcPr>
            <w:tcW w:w="2536" w:type="dxa"/>
            <w:vAlign w:val="center"/>
          </w:tcPr>
          <w:p>
            <w:pPr>
              <w:spacing w:line="360" w:lineRule="auto"/>
              <w:jc w:val="center"/>
              <w:rPr>
                <w:rFonts w:ascii="宋体" w:hAnsi="宋体" w:eastAsia="宋体" w:cs="宋体"/>
                <w:color w:val="auto"/>
                <w:szCs w:val="21"/>
              </w:rPr>
            </w:pPr>
          </w:p>
        </w:tc>
        <w:tc>
          <w:tcPr>
            <w:tcW w:w="1427" w:type="dxa"/>
            <w:vAlign w:val="center"/>
          </w:tcPr>
          <w:p>
            <w:pPr>
              <w:spacing w:line="360" w:lineRule="auto"/>
              <w:jc w:val="center"/>
              <w:rPr>
                <w:rFonts w:ascii="宋体" w:hAnsi="宋体" w:eastAsia="宋体" w:cs="宋体"/>
                <w:color w:val="auto"/>
                <w:szCs w:val="21"/>
              </w:rPr>
            </w:pPr>
          </w:p>
        </w:tc>
        <w:tc>
          <w:tcPr>
            <w:tcW w:w="1427" w:type="dxa"/>
            <w:vAlign w:val="center"/>
          </w:tcPr>
          <w:p>
            <w:pPr>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649" w:type="dxa"/>
            <w:vAlign w:val="center"/>
          </w:tcPr>
          <w:p>
            <w:pPr>
              <w:spacing w:line="360" w:lineRule="auto"/>
              <w:jc w:val="center"/>
              <w:rPr>
                <w:rFonts w:ascii="宋体" w:hAnsi="宋体" w:eastAsia="宋体" w:cs="宋体"/>
                <w:color w:val="auto"/>
                <w:szCs w:val="21"/>
              </w:rPr>
            </w:pPr>
          </w:p>
        </w:tc>
        <w:tc>
          <w:tcPr>
            <w:tcW w:w="1013" w:type="dxa"/>
            <w:vAlign w:val="center"/>
          </w:tcPr>
          <w:p>
            <w:pPr>
              <w:spacing w:line="360" w:lineRule="auto"/>
              <w:jc w:val="center"/>
              <w:rPr>
                <w:rFonts w:ascii="宋体" w:hAnsi="宋体" w:eastAsia="宋体" w:cs="宋体"/>
                <w:color w:val="auto"/>
                <w:szCs w:val="21"/>
              </w:rPr>
            </w:pPr>
          </w:p>
        </w:tc>
        <w:tc>
          <w:tcPr>
            <w:tcW w:w="1279" w:type="dxa"/>
            <w:vAlign w:val="center"/>
          </w:tcPr>
          <w:p>
            <w:pPr>
              <w:spacing w:line="360" w:lineRule="auto"/>
              <w:jc w:val="center"/>
              <w:rPr>
                <w:rFonts w:ascii="宋体" w:hAnsi="宋体" w:eastAsia="宋体" w:cs="宋体"/>
                <w:color w:val="auto"/>
                <w:szCs w:val="21"/>
              </w:rPr>
            </w:pPr>
          </w:p>
        </w:tc>
        <w:tc>
          <w:tcPr>
            <w:tcW w:w="1406" w:type="dxa"/>
            <w:vAlign w:val="center"/>
          </w:tcPr>
          <w:p>
            <w:pPr>
              <w:spacing w:line="360" w:lineRule="auto"/>
              <w:jc w:val="center"/>
              <w:rPr>
                <w:rFonts w:ascii="宋体" w:hAnsi="宋体" w:eastAsia="宋体" w:cs="宋体"/>
                <w:color w:val="auto"/>
                <w:szCs w:val="21"/>
              </w:rPr>
            </w:pPr>
          </w:p>
        </w:tc>
        <w:tc>
          <w:tcPr>
            <w:tcW w:w="2536" w:type="dxa"/>
            <w:vAlign w:val="center"/>
          </w:tcPr>
          <w:p>
            <w:pPr>
              <w:spacing w:line="360" w:lineRule="auto"/>
              <w:jc w:val="center"/>
              <w:rPr>
                <w:rFonts w:ascii="宋体" w:hAnsi="宋体" w:eastAsia="宋体" w:cs="宋体"/>
                <w:color w:val="auto"/>
                <w:szCs w:val="21"/>
              </w:rPr>
            </w:pPr>
          </w:p>
        </w:tc>
        <w:tc>
          <w:tcPr>
            <w:tcW w:w="1427" w:type="dxa"/>
            <w:vAlign w:val="center"/>
          </w:tcPr>
          <w:p>
            <w:pPr>
              <w:spacing w:line="360" w:lineRule="auto"/>
              <w:jc w:val="center"/>
              <w:rPr>
                <w:rFonts w:ascii="宋体" w:hAnsi="宋体" w:eastAsia="宋体" w:cs="宋体"/>
                <w:color w:val="auto"/>
                <w:szCs w:val="21"/>
              </w:rPr>
            </w:pPr>
          </w:p>
        </w:tc>
        <w:tc>
          <w:tcPr>
            <w:tcW w:w="1427" w:type="dxa"/>
            <w:vAlign w:val="center"/>
          </w:tcPr>
          <w:p>
            <w:pPr>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649" w:type="dxa"/>
            <w:vAlign w:val="center"/>
          </w:tcPr>
          <w:p>
            <w:pPr>
              <w:spacing w:line="360" w:lineRule="auto"/>
              <w:jc w:val="center"/>
              <w:rPr>
                <w:rFonts w:ascii="宋体" w:hAnsi="宋体" w:eastAsia="宋体" w:cs="宋体"/>
                <w:color w:val="auto"/>
                <w:szCs w:val="21"/>
              </w:rPr>
            </w:pPr>
          </w:p>
        </w:tc>
        <w:tc>
          <w:tcPr>
            <w:tcW w:w="1013" w:type="dxa"/>
            <w:vAlign w:val="center"/>
          </w:tcPr>
          <w:p>
            <w:pPr>
              <w:spacing w:line="360" w:lineRule="auto"/>
              <w:jc w:val="center"/>
              <w:rPr>
                <w:rFonts w:ascii="宋体" w:hAnsi="宋体" w:eastAsia="宋体" w:cs="宋体"/>
                <w:color w:val="auto"/>
                <w:szCs w:val="21"/>
              </w:rPr>
            </w:pPr>
          </w:p>
        </w:tc>
        <w:tc>
          <w:tcPr>
            <w:tcW w:w="1279" w:type="dxa"/>
            <w:vAlign w:val="center"/>
          </w:tcPr>
          <w:p>
            <w:pPr>
              <w:spacing w:line="360" w:lineRule="auto"/>
              <w:jc w:val="center"/>
              <w:rPr>
                <w:rFonts w:ascii="宋体" w:hAnsi="宋体" w:eastAsia="宋体" w:cs="宋体"/>
                <w:color w:val="auto"/>
                <w:szCs w:val="21"/>
              </w:rPr>
            </w:pPr>
          </w:p>
        </w:tc>
        <w:tc>
          <w:tcPr>
            <w:tcW w:w="1406" w:type="dxa"/>
            <w:vAlign w:val="center"/>
          </w:tcPr>
          <w:p>
            <w:pPr>
              <w:spacing w:line="360" w:lineRule="auto"/>
              <w:jc w:val="center"/>
              <w:rPr>
                <w:rFonts w:ascii="宋体" w:hAnsi="宋体" w:eastAsia="宋体" w:cs="宋体"/>
                <w:color w:val="auto"/>
                <w:szCs w:val="21"/>
              </w:rPr>
            </w:pPr>
          </w:p>
        </w:tc>
        <w:tc>
          <w:tcPr>
            <w:tcW w:w="2536" w:type="dxa"/>
            <w:vAlign w:val="center"/>
          </w:tcPr>
          <w:p>
            <w:pPr>
              <w:spacing w:line="360" w:lineRule="auto"/>
              <w:jc w:val="center"/>
              <w:rPr>
                <w:rFonts w:ascii="宋体" w:hAnsi="宋体" w:eastAsia="宋体" w:cs="宋体"/>
                <w:color w:val="auto"/>
                <w:szCs w:val="21"/>
              </w:rPr>
            </w:pPr>
          </w:p>
        </w:tc>
        <w:tc>
          <w:tcPr>
            <w:tcW w:w="1427" w:type="dxa"/>
            <w:vAlign w:val="center"/>
          </w:tcPr>
          <w:p>
            <w:pPr>
              <w:spacing w:line="360" w:lineRule="auto"/>
              <w:jc w:val="center"/>
              <w:rPr>
                <w:rFonts w:ascii="宋体" w:hAnsi="宋体" w:eastAsia="宋体" w:cs="宋体"/>
                <w:color w:val="auto"/>
                <w:szCs w:val="21"/>
              </w:rPr>
            </w:pPr>
          </w:p>
        </w:tc>
        <w:tc>
          <w:tcPr>
            <w:tcW w:w="1427" w:type="dxa"/>
            <w:vAlign w:val="center"/>
          </w:tcPr>
          <w:p>
            <w:pPr>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649" w:type="dxa"/>
            <w:vAlign w:val="center"/>
          </w:tcPr>
          <w:p>
            <w:pPr>
              <w:spacing w:line="360" w:lineRule="auto"/>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w:t>
            </w:r>
          </w:p>
        </w:tc>
        <w:tc>
          <w:tcPr>
            <w:tcW w:w="1013" w:type="dxa"/>
            <w:vAlign w:val="center"/>
          </w:tcPr>
          <w:p>
            <w:pPr>
              <w:spacing w:line="360" w:lineRule="auto"/>
              <w:jc w:val="center"/>
              <w:rPr>
                <w:rFonts w:ascii="宋体" w:hAnsi="宋体" w:eastAsia="宋体" w:cs="宋体"/>
                <w:color w:val="auto"/>
                <w:szCs w:val="21"/>
              </w:rPr>
            </w:pPr>
          </w:p>
        </w:tc>
        <w:tc>
          <w:tcPr>
            <w:tcW w:w="1279" w:type="dxa"/>
            <w:vAlign w:val="center"/>
          </w:tcPr>
          <w:p>
            <w:pPr>
              <w:spacing w:line="360" w:lineRule="auto"/>
              <w:jc w:val="center"/>
              <w:rPr>
                <w:rFonts w:ascii="宋体" w:hAnsi="宋体" w:eastAsia="宋体" w:cs="宋体"/>
                <w:color w:val="auto"/>
                <w:szCs w:val="21"/>
              </w:rPr>
            </w:pPr>
          </w:p>
        </w:tc>
        <w:tc>
          <w:tcPr>
            <w:tcW w:w="1406" w:type="dxa"/>
            <w:vAlign w:val="center"/>
          </w:tcPr>
          <w:p>
            <w:pPr>
              <w:spacing w:line="360" w:lineRule="auto"/>
              <w:jc w:val="center"/>
              <w:rPr>
                <w:rFonts w:ascii="宋体" w:hAnsi="宋体" w:eastAsia="宋体" w:cs="宋体"/>
                <w:color w:val="auto"/>
                <w:szCs w:val="21"/>
              </w:rPr>
            </w:pPr>
          </w:p>
        </w:tc>
        <w:tc>
          <w:tcPr>
            <w:tcW w:w="2536" w:type="dxa"/>
            <w:vAlign w:val="center"/>
          </w:tcPr>
          <w:p>
            <w:pPr>
              <w:spacing w:line="360" w:lineRule="auto"/>
              <w:jc w:val="center"/>
              <w:rPr>
                <w:rFonts w:ascii="宋体" w:hAnsi="宋体" w:eastAsia="宋体" w:cs="宋体"/>
                <w:color w:val="auto"/>
                <w:szCs w:val="21"/>
              </w:rPr>
            </w:pPr>
          </w:p>
        </w:tc>
        <w:tc>
          <w:tcPr>
            <w:tcW w:w="1427" w:type="dxa"/>
            <w:vAlign w:val="center"/>
          </w:tcPr>
          <w:p>
            <w:pPr>
              <w:spacing w:line="360" w:lineRule="auto"/>
              <w:jc w:val="center"/>
              <w:rPr>
                <w:rFonts w:ascii="宋体" w:hAnsi="宋体" w:eastAsia="宋体" w:cs="宋体"/>
                <w:color w:val="auto"/>
                <w:szCs w:val="21"/>
              </w:rPr>
            </w:pPr>
          </w:p>
        </w:tc>
        <w:tc>
          <w:tcPr>
            <w:tcW w:w="1427" w:type="dxa"/>
            <w:vAlign w:val="center"/>
          </w:tcPr>
          <w:p>
            <w:pPr>
              <w:spacing w:line="360" w:lineRule="auto"/>
              <w:jc w:val="center"/>
              <w:rPr>
                <w:rFonts w:ascii="宋体" w:hAnsi="宋体" w:eastAsia="宋体" w:cs="宋体"/>
                <w:color w:val="auto"/>
                <w:szCs w:val="21"/>
              </w:rPr>
            </w:pPr>
          </w:p>
        </w:tc>
      </w:tr>
    </w:tbl>
    <w:p>
      <w:pPr>
        <w:spacing w:line="360" w:lineRule="auto"/>
        <w:rPr>
          <w:rFonts w:ascii="宋体" w:hAnsi="宋体" w:eastAsia="宋体" w:cs="宋体"/>
          <w:color w:val="auto"/>
          <w:szCs w:val="21"/>
        </w:rPr>
      </w:pPr>
    </w:p>
    <w:p>
      <w:pPr>
        <w:tabs>
          <w:tab w:val="left" w:pos="735"/>
        </w:tabs>
        <w:autoSpaceDE w:val="0"/>
        <w:autoSpaceDN w:val="0"/>
        <w:spacing w:line="360" w:lineRule="auto"/>
        <w:jc w:val="left"/>
        <w:rPr>
          <w:rFonts w:ascii="宋体" w:hAnsi="宋体" w:eastAsia="宋体" w:cs="宋体"/>
          <w:color w:val="auto"/>
          <w:szCs w:val="21"/>
          <w:lang w:val="zh-CN"/>
        </w:rPr>
      </w:pPr>
    </w:p>
    <w:p>
      <w:pPr>
        <w:spacing w:line="360" w:lineRule="auto"/>
        <w:rPr>
          <w:rFonts w:ascii="宋体" w:hAnsi="宋体" w:eastAsia="宋体" w:cs="宋体"/>
          <w:color w:val="auto"/>
          <w:szCs w:val="21"/>
        </w:rPr>
      </w:pPr>
      <w:r>
        <w:rPr>
          <w:rFonts w:hint="eastAsia" w:ascii="宋体" w:hAnsi="宋体" w:eastAsia="宋体" w:cs="宋体"/>
          <w:color w:val="auto"/>
          <w:szCs w:val="21"/>
        </w:rPr>
        <w:t>注：1、表格不够用，供应商可按此表复制。</w:t>
      </w:r>
    </w:p>
    <w:p>
      <w:pPr>
        <w:spacing w:line="360" w:lineRule="auto"/>
        <w:ind w:firstLine="840" w:firstLineChars="400"/>
        <w:rPr>
          <w:rFonts w:ascii="宋体" w:hAnsi="宋体" w:eastAsia="宋体" w:cs="宋体"/>
          <w:color w:val="auto"/>
          <w:szCs w:val="21"/>
        </w:rPr>
      </w:pPr>
      <w:r>
        <w:rPr>
          <w:rFonts w:hint="eastAsia" w:ascii="宋体" w:hAnsi="宋体" w:eastAsia="宋体" w:cs="宋体"/>
          <w:color w:val="auto"/>
          <w:szCs w:val="21"/>
        </w:rPr>
        <w:t>2、投标单位须如实填写该表，如有隐瞒，后果由供应商自负。</w:t>
      </w:r>
    </w:p>
    <w:p>
      <w:pPr>
        <w:autoSpaceDE w:val="0"/>
        <w:autoSpaceDN w:val="0"/>
        <w:spacing w:line="360" w:lineRule="auto"/>
        <w:jc w:val="left"/>
        <w:rPr>
          <w:rFonts w:ascii="宋体" w:hAnsi="宋体" w:eastAsia="宋体" w:cs="宋体"/>
          <w:color w:val="auto"/>
          <w:szCs w:val="21"/>
          <w:lang w:val="zh-CN"/>
        </w:rPr>
      </w:pPr>
    </w:p>
    <w:p>
      <w:pPr>
        <w:spacing w:line="360" w:lineRule="auto"/>
        <w:jc w:val="left"/>
        <w:rPr>
          <w:rFonts w:ascii="宋体" w:hAnsi="宋体" w:eastAsia="宋体" w:cs="宋体"/>
          <w:color w:val="auto"/>
          <w:szCs w:val="21"/>
        </w:rPr>
      </w:pPr>
    </w:p>
    <w:p>
      <w:pPr>
        <w:spacing w:line="360" w:lineRule="auto"/>
        <w:jc w:val="center"/>
        <w:rPr>
          <w:rFonts w:ascii="宋体" w:hAnsi="宋体" w:eastAsia="宋体" w:cs="宋体"/>
          <w:b/>
          <w:color w:val="auto"/>
          <w:szCs w:val="21"/>
          <w:lang w:val="zh-CN"/>
        </w:rPr>
      </w:pPr>
      <w:r>
        <w:rPr>
          <w:rFonts w:hint="eastAsia" w:ascii="宋体" w:hAnsi="宋体" w:eastAsia="宋体" w:cs="宋体"/>
          <w:color w:val="auto"/>
          <w:szCs w:val="21"/>
        </w:rPr>
        <w:br w:type="page"/>
      </w:r>
      <w:r>
        <w:rPr>
          <w:rFonts w:hint="eastAsia" w:ascii="宋体" w:hAnsi="宋体" w:eastAsia="宋体" w:cs="宋体"/>
          <w:b/>
          <w:color w:val="auto"/>
          <w:sz w:val="32"/>
          <w:szCs w:val="32"/>
          <w:lang w:eastAsia="zh-CN"/>
        </w:rPr>
        <w:t>六</w:t>
      </w:r>
      <w:r>
        <w:rPr>
          <w:rFonts w:hint="eastAsia" w:ascii="宋体" w:hAnsi="宋体" w:eastAsia="宋体" w:cs="宋体"/>
          <w:b/>
          <w:color w:val="auto"/>
          <w:sz w:val="32"/>
          <w:szCs w:val="32"/>
        </w:rPr>
        <w:t>、承诺书</w:t>
      </w:r>
    </w:p>
    <w:p>
      <w:pPr>
        <w:autoSpaceDE w:val="0"/>
        <w:autoSpaceDN w:val="0"/>
        <w:spacing w:line="360" w:lineRule="auto"/>
        <w:ind w:firstLine="562"/>
        <w:jc w:val="center"/>
        <w:rPr>
          <w:rFonts w:ascii="宋体" w:hAnsi="宋体" w:eastAsia="宋体" w:cs="宋体"/>
          <w:b/>
          <w:color w:val="auto"/>
          <w:sz w:val="28"/>
          <w:szCs w:val="28"/>
          <w:lang w:val="zh-CN"/>
        </w:rPr>
      </w:pPr>
      <w:r>
        <w:rPr>
          <w:rFonts w:hint="eastAsia" w:ascii="宋体" w:hAnsi="宋体" w:eastAsia="宋体" w:cs="宋体"/>
          <w:b/>
          <w:color w:val="auto"/>
          <w:sz w:val="28"/>
          <w:szCs w:val="28"/>
          <w:lang w:val="zh-CN"/>
        </w:rPr>
        <w:t>1、政府采购供应商拒绝政府采购领域商业贿赂承诺书</w:t>
      </w: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为响应党中央、国务院关于治理采购领域商业贿赂行为的号召，我公司再次承诺：</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1.在参与采购活动中遵纪守法、诚信经营、公平竞标。</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2.不向采购人、采购代理机构和采购评审专家进行任何形式的商业贿赂以谋取交易机会。</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3.不向采购代理机构和采购人提供虚假资质文件或采用虚假应标方式参与采购市场竞争并谋取中标、成交。</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4.不采取“围标、陪标”等商业欺诈手段获取采购订单。</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5.不采取不正当手段诋毁、排挤其他供应商。</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6.不在提供商品和服务时“偷梁换柱、以次充好”损害采购人的合法权益。</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7.不与采购人、采购代理机构、采购评审专家或其他供应商恶意串通，进行质疑和投诉，维护采购市场秩序。</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8.尊重和接受采购监督管理部门的监督和采购代理机构招标采购要求，承担因违约行为给采购人造成的损失。</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9.不发生其他有悖于政府采购公开、公平、公正和诚信原则的行为。</w:t>
      </w: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供应商：（盖单位公章）              </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地址：</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邮编：</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电话：       </w:t>
      </w:r>
    </w:p>
    <w:p>
      <w:pPr>
        <w:autoSpaceDE w:val="0"/>
        <w:autoSpaceDN w:val="0"/>
        <w:spacing w:line="360" w:lineRule="auto"/>
        <w:jc w:val="right"/>
        <w:rPr>
          <w:rFonts w:ascii="宋体" w:hAnsi="宋体" w:eastAsia="宋体" w:cs="宋体"/>
          <w:color w:val="auto"/>
          <w:szCs w:val="21"/>
          <w:lang w:val="zh-CN"/>
        </w:rPr>
      </w:pPr>
      <w:r>
        <w:rPr>
          <w:rFonts w:hint="eastAsia" w:ascii="宋体" w:hAnsi="宋体" w:eastAsia="宋体" w:cs="宋体"/>
          <w:color w:val="auto"/>
          <w:szCs w:val="21"/>
          <w:lang w:val="zh-CN"/>
        </w:rPr>
        <w:t xml:space="preserve">                      年    月    日</w:t>
      </w: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center"/>
        <w:rPr>
          <w:rFonts w:ascii="宋体" w:hAnsi="宋体" w:eastAsia="宋体" w:cs="宋体"/>
          <w:b/>
          <w:color w:val="auto"/>
          <w:sz w:val="28"/>
          <w:szCs w:val="28"/>
          <w:lang w:val="zh-CN"/>
        </w:rPr>
      </w:pPr>
      <w:r>
        <w:rPr>
          <w:rFonts w:hint="eastAsia" w:ascii="宋体" w:hAnsi="宋体" w:eastAsia="宋体" w:cs="宋体"/>
          <w:color w:val="auto"/>
          <w:szCs w:val="21"/>
          <w:lang w:val="zh-CN"/>
        </w:rPr>
        <w:br w:type="page"/>
      </w:r>
      <w:r>
        <w:rPr>
          <w:rFonts w:hint="eastAsia" w:ascii="宋体" w:hAnsi="宋体" w:eastAsia="宋体" w:cs="宋体"/>
          <w:b/>
          <w:color w:val="auto"/>
          <w:sz w:val="28"/>
          <w:szCs w:val="28"/>
          <w:lang w:val="zh-CN"/>
        </w:rPr>
        <w:t>2、供应商投标资格承诺书</w:t>
      </w: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我方承诺，不存在相关法律法规规定的禁止投标的情形。我单位的股权关系、与其他单位的管理关系和其他与本项目有关的利害关系等，作如下说明和承诺：</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1.我方在本项目投标中，不存在与其他供应商单位负责人为同一人或者存在直接控股、管理关系。</w:t>
      </w:r>
    </w:p>
    <w:p>
      <w:pPr>
        <w:autoSpaceDE w:val="0"/>
        <w:autoSpaceDN w:val="0"/>
        <w:spacing w:line="360" w:lineRule="auto"/>
        <w:jc w:val="left"/>
        <w:rPr>
          <w:rFonts w:ascii="宋体" w:hAnsi="宋体" w:eastAsia="宋体" w:cs="宋体"/>
          <w:color w:val="auto"/>
          <w:szCs w:val="21"/>
          <w:lang w:val="zh-CN"/>
        </w:rPr>
      </w:pPr>
      <w:bookmarkStart w:id="62" w:name="_Toc10578_WPSOffice_Level2"/>
      <w:bookmarkStart w:id="63" w:name="_Toc14125_WPSOffice_Level2"/>
      <w:bookmarkStart w:id="64" w:name="_Toc16297_WPSOffice_Level2"/>
      <w:r>
        <w:rPr>
          <w:rFonts w:hint="eastAsia" w:ascii="宋体" w:hAnsi="宋体" w:eastAsia="宋体" w:cs="宋体"/>
          <w:color w:val="auto"/>
          <w:szCs w:val="21"/>
          <w:lang w:val="zh-CN"/>
        </w:rPr>
        <w:t>1.1 股权关系说明</w:t>
      </w:r>
      <w:bookmarkEnd w:id="62"/>
      <w:bookmarkEnd w:id="63"/>
      <w:bookmarkEnd w:id="64"/>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1.1.1 我单位法定代表人（单位负责人）姓名：</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w:t>
      </w:r>
    </w:p>
    <w:p>
      <w:pPr>
        <w:autoSpaceDE w:val="0"/>
        <w:autoSpaceDN w:val="0"/>
        <w:spacing w:line="360" w:lineRule="auto"/>
        <w:jc w:val="left"/>
        <w:rPr>
          <w:rFonts w:ascii="宋体" w:hAnsi="宋体" w:eastAsia="宋体" w:cs="宋体"/>
          <w:color w:val="auto"/>
          <w:szCs w:val="21"/>
          <w:u w:val="single"/>
          <w:lang w:val="zh-CN"/>
        </w:rPr>
      </w:pPr>
      <w:r>
        <w:rPr>
          <w:rFonts w:hint="eastAsia" w:ascii="宋体" w:hAnsi="宋体" w:eastAsia="宋体" w:cs="宋体"/>
          <w:color w:val="auto"/>
          <w:szCs w:val="21"/>
          <w:lang w:val="zh-CN"/>
        </w:rPr>
        <w:t>1.1.2 我单位控股的单位有</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1.1.3 我单位被</w:t>
      </w:r>
      <w:r>
        <w:rPr>
          <w:rFonts w:hint="eastAsia" w:ascii="宋体" w:hAnsi="宋体" w:eastAsia="宋体" w:cs="宋体"/>
          <w:color w:val="auto"/>
          <w:szCs w:val="21"/>
          <w:u w:val="single"/>
          <w:lang w:val="zh-CN"/>
        </w:rPr>
        <w:t xml:space="preserve">                  （单位或自然人）                     </w:t>
      </w:r>
      <w:r>
        <w:rPr>
          <w:rFonts w:hint="eastAsia" w:ascii="宋体" w:hAnsi="宋体" w:eastAsia="宋体" w:cs="宋体"/>
          <w:color w:val="auto"/>
          <w:szCs w:val="21"/>
          <w:lang w:val="zh-CN"/>
        </w:rPr>
        <w:t>控股。</w:t>
      </w:r>
    </w:p>
    <w:p>
      <w:pPr>
        <w:autoSpaceDE w:val="0"/>
        <w:autoSpaceDN w:val="0"/>
        <w:spacing w:line="360" w:lineRule="auto"/>
        <w:jc w:val="left"/>
        <w:rPr>
          <w:rFonts w:ascii="宋体" w:hAnsi="宋体" w:eastAsia="宋体" w:cs="宋体"/>
          <w:color w:val="auto"/>
          <w:szCs w:val="21"/>
          <w:lang w:val="zh-CN"/>
        </w:rPr>
      </w:pPr>
      <w:bookmarkStart w:id="65" w:name="_Toc1335_WPSOffice_Level2"/>
      <w:bookmarkStart w:id="66" w:name="_Toc20668_WPSOffice_Level2"/>
      <w:bookmarkStart w:id="67" w:name="_Toc26574_WPSOffice_Level2"/>
      <w:r>
        <w:rPr>
          <w:rFonts w:hint="eastAsia" w:ascii="宋体" w:hAnsi="宋体" w:eastAsia="宋体" w:cs="宋体"/>
          <w:color w:val="auto"/>
          <w:szCs w:val="21"/>
          <w:lang w:val="zh-CN"/>
        </w:rPr>
        <w:t>1.2.管理关系说明</w:t>
      </w:r>
      <w:bookmarkEnd w:id="65"/>
      <w:bookmarkEnd w:id="66"/>
      <w:bookmarkEnd w:id="67"/>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1.2.1 我单位管理的下属单位有</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1.2.2 我单位的上级管理单位有</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2.我方与采购人不存在利害关系及其他可能影响招标公正性的情形。</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3.我方没有为采购项目提供整体设计、规范编制或者项目管理、监理、检测等服务；</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4.其他与本项目有关的利害关系说明：</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5.信用记录</w:t>
      </w:r>
    </w:p>
    <w:p>
      <w:pPr>
        <w:spacing w:line="500" w:lineRule="exact"/>
        <w:rPr>
          <w:rFonts w:ascii="宋体" w:hAnsi="宋体" w:eastAsia="宋体" w:cs="宋体"/>
          <w:color w:val="auto"/>
        </w:rPr>
      </w:pPr>
      <w:r>
        <w:rPr>
          <w:rFonts w:hint="eastAsia" w:ascii="宋体" w:hAnsi="宋体" w:eastAsia="宋体" w:cs="宋体"/>
          <w:color w:val="auto"/>
          <w:szCs w:val="21"/>
          <w:lang w:val="zh-CN"/>
        </w:rPr>
        <w:t>5.1</w:t>
      </w:r>
      <w:r>
        <w:rPr>
          <w:rFonts w:hint="eastAsia" w:ascii="宋体" w:hAnsi="宋体" w:eastAsia="宋体" w:cs="宋体"/>
          <w:color w:val="auto"/>
        </w:rPr>
        <w:t>我方______（填“未被列入”或“被列入”）失信被执行人名单。</w:t>
      </w:r>
    </w:p>
    <w:p>
      <w:pPr>
        <w:spacing w:line="500" w:lineRule="exact"/>
        <w:rPr>
          <w:rFonts w:ascii="宋体" w:hAnsi="宋体" w:eastAsia="宋体" w:cs="宋体"/>
          <w:color w:val="auto"/>
        </w:rPr>
      </w:pPr>
      <w:r>
        <w:rPr>
          <w:rFonts w:hint="eastAsia" w:ascii="宋体" w:hAnsi="宋体" w:eastAsia="宋体" w:cs="宋体"/>
          <w:color w:val="auto"/>
        </w:rPr>
        <w:t>5.2我方______（填“未被列入”或“被列入”）重大税收违法案件当事人名单。</w:t>
      </w:r>
    </w:p>
    <w:p>
      <w:pPr>
        <w:spacing w:line="500" w:lineRule="exact"/>
        <w:rPr>
          <w:rFonts w:ascii="宋体" w:hAnsi="宋体" w:eastAsia="宋体" w:cs="宋体"/>
          <w:color w:val="auto"/>
        </w:rPr>
      </w:pPr>
      <w:r>
        <w:rPr>
          <w:rFonts w:hint="eastAsia" w:ascii="宋体" w:hAnsi="宋体" w:eastAsia="宋体" w:cs="宋体"/>
          <w:color w:val="auto"/>
        </w:rPr>
        <w:t>5.3我方______（填“未被列入”或“被列入”）政府采购严重违法失信行为记录名单。</w:t>
      </w:r>
    </w:p>
    <w:p>
      <w:pPr>
        <w:spacing w:line="500" w:lineRule="exact"/>
        <w:rPr>
          <w:rFonts w:ascii="宋体" w:hAnsi="宋体" w:eastAsia="宋体" w:cs="宋体"/>
          <w:color w:val="auto"/>
        </w:rPr>
      </w:pPr>
      <w:r>
        <w:rPr>
          <w:rFonts w:hint="eastAsia" w:ascii="宋体" w:hAnsi="宋体" w:eastAsia="宋体" w:cs="宋体"/>
          <w:color w:val="auto"/>
          <w:szCs w:val="21"/>
          <w:lang w:val="zh-CN"/>
        </w:rPr>
        <w:t>我方承诺以上说明</w:t>
      </w:r>
      <w:r>
        <w:rPr>
          <w:rFonts w:hint="eastAsia" w:ascii="宋体" w:hAnsi="宋体" w:eastAsia="宋体" w:cs="宋体"/>
          <w:color w:val="auto"/>
        </w:rPr>
        <w:t>如有不实，我方将无条件地退出本项目的采购活动，并遵照《政府采购法》有关“提供虚假材料的规定”接受处罚。</w:t>
      </w:r>
    </w:p>
    <w:p>
      <w:pPr>
        <w:autoSpaceDE w:val="0"/>
        <w:autoSpaceDN w:val="0"/>
        <w:spacing w:line="360" w:lineRule="auto"/>
        <w:jc w:val="left"/>
        <w:rPr>
          <w:rFonts w:ascii="宋体" w:hAnsi="宋体" w:eastAsia="宋体" w:cs="宋体"/>
          <w:color w:val="auto"/>
          <w:szCs w:val="21"/>
        </w:rPr>
      </w:pPr>
    </w:p>
    <w:p>
      <w:pPr>
        <w:wordWrap w:val="0"/>
        <w:autoSpaceDE w:val="0"/>
        <w:autoSpaceDN w:val="0"/>
        <w:spacing w:line="360" w:lineRule="auto"/>
        <w:jc w:val="right"/>
        <w:rPr>
          <w:rFonts w:ascii="宋体" w:hAnsi="宋体" w:eastAsia="宋体" w:cs="宋体"/>
          <w:color w:val="auto"/>
          <w:szCs w:val="21"/>
          <w:lang w:val="zh-CN"/>
        </w:rPr>
      </w:pPr>
      <w:r>
        <w:rPr>
          <w:rFonts w:hint="eastAsia" w:ascii="宋体" w:hAnsi="宋体" w:eastAsia="宋体" w:cs="宋体"/>
          <w:color w:val="auto"/>
          <w:szCs w:val="21"/>
          <w:lang w:val="zh-CN"/>
        </w:rPr>
        <w:t>供应商：</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（盖单位公章）</w:t>
      </w:r>
    </w:p>
    <w:p>
      <w:pPr>
        <w:autoSpaceDE w:val="0"/>
        <w:autoSpaceDN w:val="0"/>
        <w:spacing w:line="360" w:lineRule="auto"/>
        <w:jc w:val="right"/>
        <w:rPr>
          <w:rFonts w:ascii="宋体" w:hAnsi="宋体" w:eastAsia="宋体" w:cs="宋体"/>
          <w:color w:val="auto"/>
          <w:szCs w:val="21"/>
          <w:lang w:val="zh-CN"/>
        </w:rPr>
      </w:pPr>
      <w:r>
        <w:rPr>
          <w:rFonts w:hint="eastAsia" w:ascii="宋体" w:hAnsi="宋体" w:eastAsia="宋体" w:cs="宋体"/>
          <w:color w:val="auto"/>
          <w:szCs w:val="21"/>
          <w:lang w:val="zh-CN"/>
        </w:rPr>
        <w:t>法定代表人（单位负责人）或其委托代理人：</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（签字或盖章）</w:t>
      </w:r>
    </w:p>
    <w:p>
      <w:pPr>
        <w:autoSpaceDE w:val="0"/>
        <w:autoSpaceDN w:val="0"/>
        <w:spacing w:line="360" w:lineRule="auto"/>
        <w:ind w:firstLine="5250" w:firstLineChars="2500"/>
        <w:jc w:val="right"/>
        <w:rPr>
          <w:rFonts w:ascii="宋体" w:hAnsi="宋体" w:eastAsia="宋体" w:cs="宋体"/>
          <w:color w:val="auto"/>
          <w:szCs w:val="21"/>
          <w:lang w:val="zh-CN"/>
        </w:rPr>
      </w:pPr>
      <w:r>
        <w:rPr>
          <w:rFonts w:hint="eastAsia" w:ascii="宋体" w:hAnsi="宋体" w:eastAsia="宋体" w:cs="宋体"/>
          <w:color w:val="auto"/>
          <w:szCs w:val="21"/>
          <w:lang w:val="zh-CN"/>
        </w:rPr>
        <w:t>年    月    日</w:t>
      </w: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p>
    <w:p>
      <w:pPr>
        <w:autoSpaceDE w:val="0"/>
        <w:autoSpaceDN w:val="0"/>
        <w:spacing w:line="360" w:lineRule="auto"/>
        <w:jc w:val="left"/>
        <w:rPr>
          <w:rFonts w:ascii="宋体" w:hAnsi="宋体" w:eastAsia="宋体" w:cs="宋体"/>
          <w:color w:val="auto"/>
          <w:szCs w:val="21"/>
          <w:lang w:val="zh-CN"/>
        </w:rPr>
      </w:pPr>
    </w:p>
    <w:p>
      <w:pPr>
        <w:pStyle w:val="12"/>
        <w:rPr>
          <w:color w:val="auto"/>
          <w:lang w:val="zh-CN"/>
        </w:rPr>
      </w:pPr>
    </w:p>
    <w:p>
      <w:pPr>
        <w:pStyle w:val="14"/>
        <w:ind w:firstLine="200"/>
        <w:rPr>
          <w:rFonts w:ascii="宋体" w:hAnsi="宋体" w:cs="宋体"/>
          <w:color w:val="auto"/>
          <w:szCs w:val="21"/>
          <w:lang w:val="zh-CN"/>
        </w:rPr>
      </w:pPr>
    </w:p>
    <w:p>
      <w:pPr>
        <w:pStyle w:val="13"/>
        <w:rPr>
          <w:color w:val="auto"/>
          <w:lang w:val="zh-CN"/>
        </w:rPr>
      </w:pPr>
    </w:p>
    <w:p>
      <w:pPr>
        <w:spacing w:line="360" w:lineRule="auto"/>
        <w:ind w:firstLine="0" w:firstLineChars="0"/>
        <w:jc w:val="center"/>
        <w:rPr>
          <w:rFonts w:ascii="宋体" w:hAnsi="宋体" w:eastAsia="宋体" w:cs="宋体"/>
          <w:b/>
          <w:color w:val="auto"/>
          <w:sz w:val="32"/>
          <w:szCs w:val="32"/>
        </w:rPr>
      </w:pPr>
      <w:r>
        <w:rPr>
          <w:rFonts w:hint="eastAsia" w:ascii="宋体" w:hAnsi="宋体" w:eastAsia="宋体" w:cs="宋体"/>
          <w:b/>
          <w:color w:val="auto"/>
          <w:sz w:val="32"/>
          <w:szCs w:val="32"/>
          <w:lang w:eastAsia="zh-CN"/>
        </w:rPr>
        <w:t>七</w:t>
      </w:r>
      <w:r>
        <w:rPr>
          <w:rFonts w:hint="eastAsia" w:ascii="宋体" w:hAnsi="宋体" w:eastAsia="宋体" w:cs="宋体"/>
          <w:b/>
          <w:color w:val="auto"/>
          <w:sz w:val="32"/>
          <w:szCs w:val="32"/>
        </w:rPr>
        <w:t>、其他资料</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1.中小企业声明函（</w:t>
      </w:r>
      <w:r>
        <w:rPr>
          <w:rFonts w:hint="eastAsia" w:ascii="宋体" w:hAnsi="宋体" w:eastAsia="宋体" w:cs="宋体"/>
          <w:bCs/>
          <w:color w:val="auto"/>
          <w:szCs w:val="21"/>
        </w:rPr>
        <w:t>如适用，请提供，格式见</w:t>
      </w:r>
      <w:r>
        <w:rPr>
          <w:rFonts w:hint="eastAsia" w:ascii="宋体" w:hAnsi="宋体" w:eastAsia="宋体" w:cs="宋体"/>
          <w:color w:val="auto"/>
          <w:szCs w:val="21"/>
          <w:lang w:val="zh-CN"/>
        </w:rPr>
        <w:t>附件一）；</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2.残疾人福利性单位声明函（</w:t>
      </w:r>
      <w:r>
        <w:rPr>
          <w:rFonts w:hint="eastAsia" w:ascii="宋体" w:hAnsi="宋体" w:eastAsia="宋体" w:cs="宋体"/>
          <w:bCs/>
          <w:color w:val="auto"/>
          <w:szCs w:val="21"/>
        </w:rPr>
        <w:t>如适用，请提供，格式见</w:t>
      </w:r>
      <w:r>
        <w:rPr>
          <w:rFonts w:hint="eastAsia" w:ascii="宋体" w:hAnsi="宋体" w:eastAsia="宋体" w:cs="宋体"/>
          <w:color w:val="auto"/>
          <w:szCs w:val="21"/>
          <w:lang w:val="zh-CN"/>
        </w:rPr>
        <w:t>附件二）；</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3.监狱企业证明文件</w:t>
      </w:r>
      <w:r>
        <w:rPr>
          <w:rFonts w:hint="eastAsia" w:ascii="宋体" w:hAnsi="宋体" w:eastAsia="宋体" w:cs="宋体"/>
          <w:bCs/>
          <w:color w:val="auto"/>
          <w:szCs w:val="21"/>
        </w:rPr>
        <w:t>（如适用，请提供证明材料）</w:t>
      </w:r>
      <w:r>
        <w:rPr>
          <w:rFonts w:hint="eastAsia" w:ascii="宋体" w:hAnsi="宋体" w:eastAsia="宋体" w:cs="宋体"/>
          <w:color w:val="auto"/>
          <w:szCs w:val="21"/>
          <w:lang w:val="zh-CN"/>
        </w:rPr>
        <w:t>；</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4.节能产品和环境标志产品证明材料</w:t>
      </w:r>
      <w:r>
        <w:rPr>
          <w:rFonts w:hint="eastAsia" w:ascii="宋体" w:hAnsi="宋体" w:eastAsia="宋体" w:cs="宋体"/>
          <w:bCs/>
          <w:color w:val="auto"/>
          <w:szCs w:val="21"/>
        </w:rPr>
        <w:t>（如适用，请按招标文件</w:t>
      </w:r>
      <w:r>
        <w:rPr>
          <w:rFonts w:hint="eastAsia" w:ascii="宋体" w:hAnsi="宋体" w:eastAsia="宋体" w:cs="宋体"/>
          <w:color w:val="auto"/>
          <w:lang w:val="zh-CN"/>
        </w:rPr>
        <w:t>政府采购政策</w:t>
      </w:r>
      <w:r>
        <w:rPr>
          <w:rFonts w:hint="eastAsia" w:ascii="宋体" w:hAnsi="宋体" w:eastAsia="宋体" w:cs="宋体"/>
          <w:bCs/>
          <w:color w:val="auto"/>
          <w:szCs w:val="21"/>
        </w:rPr>
        <w:t>4.2条提供相关证明材料）</w:t>
      </w:r>
      <w:r>
        <w:rPr>
          <w:rFonts w:hint="eastAsia" w:ascii="宋体" w:hAnsi="宋体" w:eastAsia="宋体" w:cs="宋体"/>
          <w:color w:val="auto"/>
          <w:szCs w:val="21"/>
          <w:lang w:val="zh-CN"/>
        </w:rPr>
        <w:t>；</w:t>
      </w:r>
    </w:p>
    <w:p>
      <w:pPr>
        <w:autoSpaceDE w:val="0"/>
        <w:autoSpaceDN w:val="0"/>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5.其他资料。</w:t>
      </w:r>
    </w:p>
    <w:p>
      <w:pPr>
        <w:autoSpaceDE w:val="0"/>
        <w:autoSpaceDN w:val="0"/>
        <w:spacing w:line="360" w:lineRule="auto"/>
        <w:jc w:val="left"/>
        <w:rPr>
          <w:rFonts w:ascii="宋体" w:hAnsi="宋体" w:eastAsia="宋体" w:cs="宋体"/>
          <w:b/>
          <w:color w:val="auto"/>
          <w:szCs w:val="21"/>
          <w:lang w:val="zh-CN"/>
        </w:rPr>
      </w:pPr>
      <w:r>
        <w:rPr>
          <w:rFonts w:hint="eastAsia" w:ascii="宋体" w:hAnsi="宋体" w:eastAsia="宋体" w:cs="宋体"/>
          <w:color w:val="auto"/>
          <w:szCs w:val="21"/>
          <w:lang w:val="zh-CN"/>
        </w:rPr>
        <w:br w:type="page"/>
      </w:r>
      <w:r>
        <w:rPr>
          <w:rFonts w:hint="eastAsia" w:ascii="宋体" w:hAnsi="宋体" w:eastAsia="宋体" w:cs="宋体"/>
          <w:b/>
          <w:color w:val="auto"/>
          <w:szCs w:val="21"/>
          <w:lang w:val="zh-CN"/>
        </w:rPr>
        <w:t>附件一</w:t>
      </w:r>
    </w:p>
    <w:p>
      <w:pPr>
        <w:autoSpaceDE w:val="0"/>
        <w:autoSpaceDN w:val="0"/>
        <w:spacing w:line="360" w:lineRule="auto"/>
        <w:ind w:firstLine="562"/>
        <w:jc w:val="center"/>
        <w:rPr>
          <w:rFonts w:ascii="宋体" w:hAnsi="宋体" w:eastAsia="宋体" w:cs="宋体"/>
          <w:b/>
          <w:color w:val="auto"/>
          <w:sz w:val="28"/>
          <w:szCs w:val="28"/>
          <w:lang w:val="zh-CN"/>
        </w:rPr>
      </w:pPr>
    </w:p>
    <w:p>
      <w:pPr>
        <w:spacing w:line="360" w:lineRule="auto"/>
        <w:ind w:firstLine="562"/>
        <w:jc w:val="center"/>
        <w:rPr>
          <w:rFonts w:ascii="宋体" w:hAnsi="宋体" w:eastAsia="宋体" w:cs="宋体"/>
          <w:b/>
          <w:color w:val="auto"/>
          <w:sz w:val="28"/>
          <w:szCs w:val="28"/>
          <w:lang w:val="zh-CN"/>
        </w:rPr>
      </w:pPr>
      <w:r>
        <w:rPr>
          <w:rFonts w:hint="eastAsia" w:ascii="宋体" w:hAnsi="宋体" w:eastAsia="宋体" w:cs="宋体"/>
          <w:b/>
          <w:color w:val="auto"/>
          <w:sz w:val="28"/>
          <w:szCs w:val="28"/>
          <w:lang w:val="zh-CN"/>
        </w:rPr>
        <w:t>中小企业声明函(货物)</w:t>
      </w:r>
    </w:p>
    <w:p>
      <w:pPr>
        <w:pStyle w:val="21"/>
        <w:shd w:val="clear" w:color="auto" w:fill="FFFFFF"/>
        <w:spacing w:beforeAutospacing="0" w:afterAutospacing="0" w:line="360" w:lineRule="auto"/>
        <w:ind w:firstLine="480"/>
        <w:jc w:val="both"/>
        <w:rPr>
          <w:rFonts w:eastAsia="宋体" w:cs="宋体"/>
          <w:color w:val="auto"/>
          <w:spacing w:val="8"/>
          <w:sz w:val="21"/>
          <w:szCs w:val="21"/>
        </w:rPr>
      </w:pPr>
      <w:r>
        <w:rPr>
          <w:rFonts w:hint="eastAsia" w:eastAsia="宋体" w:cs="宋体"/>
          <w:color w:val="auto"/>
          <w:spacing w:val="15"/>
          <w:sz w:val="21"/>
          <w:szCs w:val="21"/>
          <w:shd w:val="clear" w:color="auto" w:fill="FFFFFF"/>
        </w:rPr>
        <w:t>本公司（或联合体）郑重声明，根据《政府采购促进中小企业发展管理办法》(财库〔2020〕46 号)的规定，本公司（或联合体）参加</w:t>
      </w:r>
      <w:r>
        <w:rPr>
          <w:rFonts w:hint="eastAsia" w:eastAsia="宋体" w:cs="宋体"/>
          <w:color w:val="auto"/>
          <w:spacing w:val="15"/>
          <w:sz w:val="21"/>
          <w:szCs w:val="21"/>
          <w:u w:val="single"/>
          <w:shd w:val="clear" w:color="auto" w:fill="FFFFFF"/>
        </w:rPr>
        <w:t>汉滨区第三人民医院</w:t>
      </w:r>
      <w:r>
        <w:rPr>
          <w:rFonts w:hint="eastAsia" w:eastAsia="宋体" w:cs="宋体"/>
          <w:color w:val="auto"/>
          <w:spacing w:val="15"/>
          <w:sz w:val="21"/>
          <w:szCs w:val="21"/>
          <w:shd w:val="clear" w:color="auto" w:fill="FFFFFF"/>
        </w:rPr>
        <w:t>的</w:t>
      </w:r>
      <w:r>
        <w:rPr>
          <w:rFonts w:hint="eastAsia" w:eastAsia="宋体" w:cs="宋体"/>
          <w:color w:val="auto"/>
          <w:spacing w:val="15"/>
          <w:sz w:val="21"/>
          <w:szCs w:val="21"/>
          <w:u w:val="single"/>
          <w:shd w:val="clear" w:color="auto" w:fill="FFFFFF"/>
          <w:lang w:eastAsia="zh-CN"/>
        </w:rPr>
        <w:t>汉滨区第三人民医院信息安全等级保护建设项目</w:t>
      </w:r>
      <w:r>
        <w:rPr>
          <w:rFonts w:hint="eastAsia" w:eastAsia="宋体" w:cs="宋体"/>
          <w:color w:val="auto"/>
          <w:spacing w:val="15"/>
          <w:sz w:val="21"/>
          <w:szCs w:val="21"/>
          <w:shd w:val="clear" w:color="auto" w:fill="FFFFFF"/>
        </w:rPr>
        <w:t>采购活动，提供的货物全部由符合政策要求的中小企业制造。相关企业 (含联合体中的中小企业、签订分包意向协议的中小企业) 的具体情况如下:</w:t>
      </w:r>
    </w:p>
    <w:p>
      <w:pPr>
        <w:pStyle w:val="21"/>
        <w:shd w:val="clear" w:color="auto" w:fill="FFFFFF"/>
        <w:spacing w:beforeAutospacing="0" w:afterAutospacing="0" w:line="360" w:lineRule="auto"/>
        <w:ind w:firstLine="480"/>
        <w:jc w:val="both"/>
        <w:rPr>
          <w:rFonts w:eastAsia="宋体" w:cs="宋体"/>
          <w:color w:val="auto"/>
          <w:spacing w:val="8"/>
          <w:sz w:val="21"/>
          <w:szCs w:val="21"/>
        </w:rPr>
      </w:pPr>
      <w:r>
        <w:rPr>
          <w:rFonts w:hint="eastAsia" w:eastAsia="宋体" w:cs="宋体"/>
          <w:color w:val="auto"/>
          <w:spacing w:val="15"/>
          <w:sz w:val="21"/>
          <w:szCs w:val="21"/>
          <w:shd w:val="clear" w:color="auto" w:fill="FFFFFF"/>
        </w:rPr>
        <w:t>1.</w:t>
      </w:r>
      <w:r>
        <w:rPr>
          <w:rFonts w:hint="eastAsia" w:eastAsia="宋体" w:cs="宋体"/>
          <w:color w:val="auto"/>
          <w:spacing w:val="15"/>
          <w:sz w:val="21"/>
          <w:szCs w:val="21"/>
          <w:u w:val="single"/>
          <w:shd w:val="clear" w:color="auto" w:fill="FFFFFF"/>
        </w:rPr>
        <w:t xml:space="preserve">                 ，</w:t>
      </w:r>
      <w:r>
        <w:rPr>
          <w:rFonts w:hint="eastAsia" w:eastAsia="宋体" w:cs="宋体"/>
          <w:color w:val="auto"/>
          <w:spacing w:val="15"/>
          <w:sz w:val="21"/>
          <w:szCs w:val="21"/>
          <w:shd w:val="clear" w:color="auto" w:fill="FFFFFF"/>
        </w:rPr>
        <w:t>属于</w:t>
      </w:r>
      <w:r>
        <w:rPr>
          <w:rFonts w:hint="eastAsia" w:eastAsia="宋体" w:cs="宋体"/>
          <w:color w:val="auto"/>
          <w:spacing w:val="15"/>
          <w:sz w:val="21"/>
          <w:szCs w:val="21"/>
          <w:u w:val="single"/>
          <w:shd w:val="clear" w:color="auto" w:fill="FFFFFF"/>
        </w:rPr>
        <w:t>工业;</w:t>
      </w:r>
      <w:r>
        <w:rPr>
          <w:rFonts w:hint="eastAsia" w:eastAsia="宋体" w:cs="宋体"/>
          <w:color w:val="auto"/>
          <w:spacing w:val="15"/>
          <w:sz w:val="21"/>
          <w:szCs w:val="21"/>
          <w:shd w:val="clear" w:color="auto" w:fill="FFFFFF"/>
        </w:rPr>
        <w:t>制造商为</w:t>
      </w:r>
      <w:r>
        <w:rPr>
          <w:rFonts w:hint="eastAsia" w:eastAsia="宋体" w:cs="宋体"/>
          <w:color w:val="auto"/>
          <w:spacing w:val="15"/>
          <w:sz w:val="21"/>
          <w:szCs w:val="21"/>
          <w:u w:val="single"/>
          <w:shd w:val="clear" w:color="auto" w:fill="FFFFFF"/>
        </w:rPr>
        <w:t>(企业名称)</w:t>
      </w:r>
      <w:r>
        <w:rPr>
          <w:rFonts w:hint="eastAsia" w:eastAsia="宋体" w:cs="宋体"/>
          <w:color w:val="auto"/>
          <w:spacing w:val="15"/>
          <w:sz w:val="21"/>
          <w:szCs w:val="21"/>
          <w:shd w:val="clear" w:color="auto" w:fill="FFFFFF"/>
        </w:rPr>
        <w:t>，从业人员</w:t>
      </w:r>
      <w:r>
        <w:rPr>
          <w:rFonts w:hint="eastAsia" w:eastAsia="宋体" w:cs="宋体"/>
          <w:color w:val="auto"/>
          <w:spacing w:val="15"/>
          <w:sz w:val="21"/>
          <w:szCs w:val="21"/>
          <w:u w:val="single"/>
          <w:shd w:val="clear" w:color="auto" w:fill="FFFFFF"/>
        </w:rPr>
        <w:t>   </w:t>
      </w:r>
      <w:r>
        <w:rPr>
          <w:rFonts w:hint="eastAsia" w:eastAsia="宋体" w:cs="宋体"/>
          <w:color w:val="auto"/>
          <w:spacing w:val="15"/>
          <w:sz w:val="21"/>
          <w:szCs w:val="21"/>
          <w:shd w:val="clear" w:color="auto" w:fill="FFFFFF"/>
        </w:rPr>
        <w:t>人，营业收入为</w:t>
      </w:r>
      <w:r>
        <w:rPr>
          <w:rFonts w:hint="eastAsia" w:eastAsia="宋体" w:cs="宋体"/>
          <w:color w:val="auto"/>
          <w:spacing w:val="15"/>
          <w:sz w:val="21"/>
          <w:szCs w:val="21"/>
          <w:u w:val="single"/>
          <w:shd w:val="clear" w:color="auto" w:fill="FFFFFF"/>
        </w:rPr>
        <w:t>   </w:t>
      </w:r>
      <w:r>
        <w:rPr>
          <w:rFonts w:hint="eastAsia" w:eastAsia="宋体" w:cs="宋体"/>
          <w:color w:val="auto"/>
          <w:spacing w:val="15"/>
          <w:sz w:val="21"/>
          <w:szCs w:val="21"/>
          <w:shd w:val="clear" w:color="auto" w:fill="FFFFFF"/>
        </w:rPr>
        <w:t>万元，资产总额为</w:t>
      </w:r>
      <w:r>
        <w:rPr>
          <w:rFonts w:hint="eastAsia" w:eastAsia="宋体" w:cs="宋体"/>
          <w:color w:val="auto"/>
          <w:spacing w:val="15"/>
          <w:sz w:val="21"/>
          <w:szCs w:val="21"/>
          <w:u w:val="single"/>
          <w:shd w:val="clear" w:color="auto" w:fill="FFFFFF"/>
        </w:rPr>
        <w:t>   </w:t>
      </w:r>
      <w:r>
        <w:rPr>
          <w:rFonts w:hint="eastAsia" w:eastAsia="宋体" w:cs="宋体"/>
          <w:color w:val="auto"/>
          <w:spacing w:val="15"/>
          <w:sz w:val="21"/>
          <w:szCs w:val="21"/>
          <w:shd w:val="clear" w:color="auto" w:fill="FFFFFF"/>
        </w:rPr>
        <w:t>万元</w:t>
      </w:r>
      <w:r>
        <w:rPr>
          <w:rFonts w:hint="eastAsia" w:eastAsia="宋体" w:cs="宋体"/>
          <w:color w:val="auto"/>
          <w:spacing w:val="15"/>
          <w:sz w:val="21"/>
          <w:szCs w:val="21"/>
          <w:shd w:val="clear" w:color="auto" w:fill="FFFFFF"/>
          <w:vertAlign w:val="superscript"/>
        </w:rPr>
        <w:t>1</w:t>
      </w:r>
      <w:r>
        <w:rPr>
          <w:rFonts w:hint="eastAsia" w:eastAsia="宋体" w:cs="宋体"/>
          <w:color w:val="auto"/>
          <w:spacing w:val="15"/>
          <w:sz w:val="21"/>
          <w:szCs w:val="21"/>
          <w:shd w:val="clear" w:color="auto" w:fill="FFFFFF"/>
        </w:rPr>
        <w:t>，属于</w:t>
      </w:r>
      <w:r>
        <w:rPr>
          <w:rFonts w:hint="eastAsia" w:eastAsia="宋体" w:cs="宋体"/>
          <w:color w:val="auto"/>
          <w:spacing w:val="15"/>
          <w:sz w:val="21"/>
          <w:szCs w:val="21"/>
          <w:u w:val="single"/>
          <w:shd w:val="clear" w:color="auto" w:fill="FFFFFF"/>
        </w:rPr>
        <w:t>(中型企业、小型企业、微型企业)</w:t>
      </w:r>
      <w:r>
        <w:rPr>
          <w:rFonts w:hint="eastAsia" w:eastAsia="宋体" w:cs="宋体"/>
          <w:color w:val="auto"/>
          <w:spacing w:val="15"/>
          <w:sz w:val="21"/>
          <w:szCs w:val="21"/>
          <w:shd w:val="clear" w:color="auto" w:fill="FFFFFF"/>
        </w:rPr>
        <w:t>;</w:t>
      </w:r>
    </w:p>
    <w:p>
      <w:pPr>
        <w:pStyle w:val="21"/>
        <w:shd w:val="clear" w:color="auto" w:fill="FFFFFF"/>
        <w:spacing w:beforeAutospacing="0" w:afterAutospacing="0" w:line="360" w:lineRule="auto"/>
        <w:ind w:firstLine="480"/>
        <w:jc w:val="both"/>
        <w:rPr>
          <w:rFonts w:eastAsia="宋体" w:cs="宋体"/>
          <w:color w:val="auto"/>
          <w:spacing w:val="8"/>
          <w:sz w:val="21"/>
          <w:szCs w:val="21"/>
        </w:rPr>
      </w:pPr>
      <w:r>
        <w:rPr>
          <w:rFonts w:hint="eastAsia" w:eastAsia="宋体" w:cs="宋体"/>
          <w:color w:val="auto"/>
          <w:spacing w:val="15"/>
          <w:sz w:val="21"/>
          <w:szCs w:val="21"/>
          <w:shd w:val="clear" w:color="auto" w:fill="FFFFFF"/>
        </w:rPr>
        <w:t>......</w:t>
      </w:r>
    </w:p>
    <w:p>
      <w:pPr>
        <w:pStyle w:val="21"/>
        <w:shd w:val="clear" w:color="auto" w:fill="FFFFFF"/>
        <w:spacing w:beforeAutospacing="0" w:afterAutospacing="0" w:line="360" w:lineRule="auto"/>
        <w:ind w:firstLine="480"/>
        <w:jc w:val="both"/>
        <w:rPr>
          <w:rFonts w:eastAsia="宋体" w:cs="宋体"/>
          <w:color w:val="auto"/>
          <w:spacing w:val="8"/>
          <w:sz w:val="21"/>
          <w:szCs w:val="21"/>
        </w:rPr>
      </w:pPr>
      <w:r>
        <w:rPr>
          <w:rFonts w:hint="eastAsia" w:eastAsia="宋体" w:cs="宋体"/>
          <w:color w:val="auto"/>
          <w:spacing w:val="15"/>
          <w:sz w:val="21"/>
          <w:szCs w:val="21"/>
          <w:shd w:val="clear" w:color="auto" w:fill="FFFFFF"/>
        </w:rPr>
        <w:t>以上企业，不属于大企业的分支机构，不存在控股股东为大企业的情形，也不存在与大企业的负责人为同一人的情形。</w:t>
      </w:r>
    </w:p>
    <w:p>
      <w:pPr>
        <w:pStyle w:val="21"/>
        <w:shd w:val="clear" w:color="auto" w:fill="FFFFFF"/>
        <w:spacing w:beforeAutospacing="0" w:afterAutospacing="0" w:line="360" w:lineRule="auto"/>
        <w:ind w:firstLine="480"/>
        <w:jc w:val="both"/>
        <w:rPr>
          <w:rFonts w:eastAsia="宋体" w:cs="宋体"/>
          <w:color w:val="auto"/>
          <w:spacing w:val="8"/>
          <w:sz w:val="21"/>
          <w:szCs w:val="21"/>
        </w:rPr>
      </w:pPr>
      <w:r>
        <w:rPr>
          <w:rFonts w:hint="eastAsia" w:eastAsia="宋体" w:cs="宋体"/>
          <w:color w:val="auto"/>
          <w:spacing w:val="15"/>
          <w:sz w:val="21"/>
          <w:szCs w:val="21"/>
          <w:shd w:val="clear" w:color="auto" w:fill="FFFFFF"/>
        </w:rPr>
        <w:t>本企业对上述声明内容的真实性负责。如有虚假，将依法承担相应责任。</w:t>
      </w:r>
    </w:p>
    <w:p>
      <w:pPr>
        <w:pStyle w:val="21"/>
        <w:shd w:val="clear" w:color="auto" w:fill="FFFFFF"/>
        <w:spacing w:beforeAutospacing="0" w:afterAutospacing="0" w:line="360" w:lineRule="auto"/>
        <w:ind w:firstLine="4080" w:firstLineChars="1700"/>
        <w:jc w:val="both"/>
        <w:rPr>
          <w:rFonts w:eastAsia="宋体" w:cs="宋体"/>
          <w:color w:val="auto"/>
          <w:spacing w:val="15"/>
          <w:sz w:val="21"/>
          <w:szCs w:val="21"/>
          <w:shd w:val="clear" w:color="auto" w:fill="FFFFFF"/>
        </w:rPr>
      </w:pPr>
    </w:p>
    <w:p>
      <w:pPr>
        <w:pStyle w:val="21"/>
        <w:shd w:val="clear" w:color="auto" w:fill="FFFFFF"/>
        <w:spacing w:beforeAutospacing="0" w:afterAutospacing="0" w:line="360" w:lineRule="auto"/>
        <w:ind w:firstLine="4080" w:firstLineChars="1700"/>
        <w:jc w:val="both"/>
        <w:rPr>
          <w:rFonts w:eastAsia="宋体" w:cs="宋体"/>
          <w:color w:val="auto"/>
          <w:spacing w:val="15"/>
          <w:sz w:val="21"/>
          <w:szCs w:val="21"/>
          <w:shd w:val="clear" w:color="auto" w:fill="FFFFFF"/>
        </w:rPr>
      </w:pPr>
      <w:r>
        <w:rPr>
          <w:rFonts w:hint="eastAsia" w:eastAsia="宋体" w:cs="宋体"/>
          <w:color w:val="auto"/>
          <w:spacing w:val="15"/>
          <w:sz w:val="21"/>
          <w:szCs w:val="21"/>
          <w:shd w:val="clear" w:color="auto" w:fill="FFFFFF"/>
        </w:rPr>
        <w:t xml:space="preserve">企业名称(盖章): </w:t>
      </w:r>
    </w:p>
    <w:p>
      <w:pPr>
        <w:pStyle w:val="21"/>
        <w:shd w:val="clear" w:color="auto" w:fill="FFFFFF"/>
        <w:spacing w:beforeAutospacing="0" w:afterAutospacing="0" w:line="360" w:lineRule="auto"/>
        <w:ind w:firstLine="4080" w:firstLineChars="1700"/>
        <w:jc w:val="both"/>
        <w:rPr>
          <w:rFonts w:eastAsia="宋体" w:cs="宋体"/>
          <w:color w:val="auto"/>
          <w:spacing w:val="8"/>
          <w:sz w:val="21"/>
          <w:szCs w:val="21"/>
        </w:rPr>
      </w:pPr>
      <w:r>
        <w:rPr>
          <w:rFonts w:hint="eastAsia" w:eastAsia="宋体" w:cs="宋体"/>
          <w:color w:val="auto"/>
          <w:spacing w:val="15"/>
          <w:sz w:val="21"/>
          <w:szCs w:val="21"/>
          <w:shd w:val="clear" w:color="auto" w:fill="FFFFFF"/>
        </w:rPr>
        <w:t>日期:</w:t>
      </w:r>
    </w:p>
    <w:p>
      <w:pPr>
        <w:pStyle w:val="21"/>
        <w:shd w:val="clear" w:color="auto" w:fill="FFFFFF"/>
        <w:spacing w:beforeAutospacing="0" w:afterAutospacing="0" w:line="360" w:lineRule="auto"/>
        <w:ind w:firstLine="480"/>
        <w:jc w:val="both"/>
        <w:rPr>
          <w:rFonts w:eastAsia="宋体" w:cs="宋体"/>
          <w:color w:val="auto"/>
          <w:spacing w:val="15"/>
          <w:sz w:val="21"/>
          <w:szCs w:val="21"/>
          <w:shd w:val="clear" w:color="auto" w:fill="FFFFFF"/>
        </w:rPr>
      </w:pPr>
      <w:r>
        <w:rPr>
          <w:rFonts w:hint="eastAsia" w:eastAsia="宋体" w:cs="宋体"/>
          <w:color w:val="auto"/>
          <w:spacing w:val="15"/>
          <w:sz w:val="21"/>
          <w:szCs w:val="21"/>
          <w:shd w:val="clear" w:color="auto" w:fill="FFFFFF"/>
        </w:rPr>
        <w:t>1、从业人员、营业收入、资产总额填报上一年度数据，无上一年度数据的新成立企业可不填报。</w:t>
      </w:r>
    </w:p>
    <w:p>
      <w:pPr>
        <w:autoSpaceDE w:val="0"/>
        <w:autoSpaceDN w:val="0"/>
        <w:spacing w:line="360" w:lineRule="auto"/>
        <w:ind w:firstLine="422"/>
        <w:jc w:val="left"/>
        <w:rPr>
          <w:rFonts w:ascii="宋体" w:hAnsi="宋体" w:eastAsia="宋体" w:cs="宋体"/>
          <w:b/>
          <w:color w:val="auto"/>
          <w:szCs w:val="21"/>
          <w:lang w:val="zh-CN"/>
        </w:rPr>
      </w:pPr>
      <w:r>
        <w:rPr>
          <w:rFonts w:hint="eastAsia" w:ascii="宋体" w:hAnsi="宋体" w:eastAsia="宋体" w:cs="宋体"/>
          <w:b/>
          <w:color w:val="auto"/>
          <w:szCs w:val="21"/>
          <w:lang w:val="zh-CN"/>
        </w:rPr>
        <w:t>注：</w:t>
      </w:r>
      <w:r>
        <w:rPr>
          <w:rFonts w:hint="eastAsia" w:ascii="宋体" w:hAnsi="宋体" w:eastAsia="宋体" w:cs="宋体"/>
          <w:color w:val="auto"/>
          <w:szCs w:val="21"/>
          <w:lang w:val="zh-CN"/>
        </w:rPr>
        <w:t>提供此声明函的，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宋体" w:hAnsi="宋体" w:eastAsia="宋体" w:cs="宋体"/>
          <w:color w:val="auto"/>
          <w:szCs w:val="21"/>
          <w:lang w:val="zh-CN"/>
        </w:rPr>
        <w:br w:type="page"/>
      </w:r>
      <w:r>
        <w:rPr>
          <w:rFonts w:hint="eastAsia" w:ascii="宋体" w:hAnsi="宋体" w:eastAsia="宋体" w:cs="宋体"/>
          <w:b/>
          <w:color w:val="auto"/>
          <w:szCs w:val="21"/>
          <w:lang w:val="zh-CN"/>
        </w:rPr>
        <w:t>附件二</w:t>
      </w:r>
    </w:p>
    <w:p>
      <w:pPr>
        <w:spacing w:line="360" w:lineRule="auto"/>
        <w:jc w:val="center"/>
        <w:rPr>
          <w:rFonts w:ascii="宋体" w:hAnsi="宋体" w:eastAsia="宋体" w:cs="宋体"/>
          <w:color w:val="auto"/>
          <w:szCs w:val="21"/>
          <w:lang w:val="zh-CN"/>
        </w:rPr>
      </w:pPr>
      <w:bookmarkStart w:id="68" w:name="OLE_LINK13"/>
      <w:bookmarkStart w:id="69" w:name="OLE_LINK14"/>
    </w:p>
    <w:p>
      <w:pPr>
        <w:spacing w:line="360" w:lineRule="auto"/>
        <w:ind w:firstLine="562"/>
        <w:jc w:val="center"/>
        <w:rPr>
          <w:rFonts w:ascii="宋体" w:hAnsi="宋体" w:eastAsia="宋体" w:cs="宋体"/>
          <w:b/>
          <w:color w:val="auto"/>
          <w:sz w:val="28"/>
          <w:szCs w:val="28"/>
          <w:lang w:val="zh-CN"/>
        </w:rPr>
      </w:pPr>
      <w:r>
        <w:rPr>
          <w:rFonts w:hint="eastAsia" w:ascii="宋体" w:hAnsi="宋体" w:eastAsia="宋体" w:cs="宋体"/>
          <w:b/>
          <w:color w:val="auto"/>
          <w:sz w:val="28"/>
          <w:szCs w:val="28"/>
          <w:lang w:val="zh-CN"/>
        </w:rPr>
        <w:t>残疾人福利性单位声明函</w:t>
      </w:r>
    </w:p>
    <w:bookmarkEnd w:id="68"/>
    <w:bookmarkEnd w:id="69"/>
    <w:p>
      <w:pPr>
        <w:spacing w:line="360" w:lineRule="auto"/>
        <w:rPr>
          <w:rFonts w:ascii="宋体" w:hAnsi="宋体" w:eastAsia="宋体" w:cs="宋体"/>
          <w:color w:val="auto"/>
          <w:szCs w:val="21"/>
          <w:lang w:val="zh-CN"/>
        </w:rPr>
      </w:pPr>
    </w:p>
    <w:p>
      <w:pPr>
        <w:spacing w:line="360" w:lineRule="auto"/>
        <w:rPr>
          <w:rFonts w:ascii="宋体" w:hAnsi="宋体" w:eastAsia="宋体" w:cs="宋体"/>
          <w:color w:val="auto"/>
          <w:szCs w:val="24"/>
        </w:rPr>
      </w:pPr>
      <w:r>
        <w:rPr>
          <w:rFonts w:hint="eastAsia" w:ascii="宋体" w:hAnsi="宋体" w:eastAsia="宋体" w:cs="宋体"/>
          <w:color w:val="auto"/>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单位的</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项目采购活动提供本单位制造的货物（由本单位承担工程/提供服务），或者提供其他残疾人福利性单位制造的货物（不包括使用非残疾人福利性单位注册商标的货物）。</w:t>
      </w:r>
    </w:p>
    <w:p>
      <w:pPr>
        <w:spacing w:line="360" w:lineRule="auto"/>
        <w:rPr>
          <w:rFonts w:ascii="宋体" w:hAnsi="宋体" w:eastAsia="宋体" w:cs="宋体"/>
          <w:color w:val="auto"/>
          <w:szCs w:val="24"/>
        </w:rPr>
      </w:pPr>
      <w:r>
        <w:rPr>
          <w:rFonts w:hint="eastAsia" w:ascii="宋体" w:hAnsi="宋体" w:eastAsia="宋体" w:cs="宋体"/>
          <w:color w:val="auto"/>
          <w:szCs w:val="24"/>
        </w:rPr>
        <w:t xml:space="preserve">    本单位对上述声明的真实性负责。如有虚假，将依法承担相应责任。</w:t>
      </w:r>
    </w:p>
    <w:p>
      <w:pPr>
        <w:spacing w:line="360" w:lineRule="auto"/>
        <w:rPr>
          <w:rFonts w:ascii="宋体" w:hAnsi="宋体" w:eastAsia="宋体" w:cs="宋体"/>
          <w:color w:val="auto"/>
          <w:szCs w:val="24"/>
        </w:rPr>
      </w:pPr>
    </w:p>
    <w:p>
      <w:pPr>
        <w:spacing w:line="360" w:lineRule="auto"/>
        <w:rPr>
          <w:rFonts w:ascii="宋体" w:hAnsi="宋体" w:eastAsia="宋体" w:cs="宋体"/>
          <w:color w:val="auto"/>
          <w:szCs w:val="24"/>
        </w:rPr>
      </w:pPr>
    </w:p>
    <w:p>
      <w:pPr>
        <w:spacing w:line="360" w:lineRule="auto"/>
        <w:ind w:firstLine="5355" w:firstLineChars="2550"/>
        <w:outlineLvl w:val="0"/>
        <w:rPr>
          <w:rFonts w:ascii="宋体" w:hAnsi="宋体" w:eastAsia="宋体" w:cs="宋体"/>
          <w:color w:val="auto"/>
          <w:szCs w:val="24"/>
        </w:rPr>
      </w:pPr>
      <w:r>
        <w:rPr>
          <w:rFonts w:hint="eastAsia" w:ascii="宋体" w:hAnsi="宋体" w:eastAsia="宋体" w:cs="宋体"/>
          <w:color w:val="auto"/>
          <w:szCs w:val="24"/>
        </w:rPr>
        <w:t>供应商名称（公章）</w:t>
      </w:r>
    </w:p>
    <w:p>
      <w:pPr>
        <w:spacing w:line="360" w:lineRule="auto"/>
        <w:ind w:firstLine="5775" w:firstLineChars="2750"/>
        <w:outlineLvl w:val="0"/>
        <w:rPr>
          <w:rFonts w:ascii="宋体" w:hAnsi="宋体" w:eastAsia="宋体" w:cs="宋体"/>
          <w:color w:val="auto"/>
          <w:szCs w:val="24"/>
        </w:rPr>
      </w:pPr>
      <w:r>
        <w:rPr>
          <w:rFonts w:hint="eastAsia" w:ascii="宋体" w:hAnsi="宋体" w:eastAsia="宋体" w:cs="宋体"/>
          <w:color w:val="auto"/>
          <w:szCs w:val="24"/>
        </w:rPr>
        <w:t>年  月  日</w:t>
      </w:r>
    </w:p>
    <w:p>
      <w:pPr>
        <w:spacing w:line="360" w:lineRule="auto"/>
        <w:rPr>
          <w:rFonts w:ascii="宋体" w:hAnsi="宋体" w:eastAsia="宋体" w:cs="宋体"/>
          <w:color w:val="auto"/>
          <w:szCs w:val="21"/>
        </w:rPr>
      </w:pPr>
      <w:r>
        <w:rPr>
          <w:rFonts w:hint="eastAsia" w:ascii="宋体" w:hAnsi="宋体" w:eastAsia="宋体" w:cs="宋体"/>
          <w:color w:val="auto"/>
          <w:szCs w:val="21"/>
        </w:rPr>
        <w:t>注：1、非残疾人福利性单位不提供此声明函</w:t>
      </w:r>
    </w:p>
    <w:p>
      <w:pPr>
        <w:spacing w:line="360" w:lineRule="auto"/>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zh-CN"/>
        </w:rPr>
        <w:t>提供此声明函的，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宋体" w:hAnsi="宋体" w:eastAsia="宋体" w:cs="宋体"/>
          <w:color w:val="auto"/>
          <w:szCs w:val="21"/>
        </w:rPr>
      </w:pPr>
    </w:p>
    <w:p>
      <w:pPr>
        <w:autoSpaceDE w:val="0"/>
        <w:autoSpaceDN w:val="0"/>
        <w:spacing w:line="360" w:lineRule="auto"/>
        <w:jc w:val="left"/>
        <w:rPr>
          <w:rFonts w:ascii="宋体" w:hAnsi="宋体" w:eastAsia="宋体" w:cs="宋体"/>
          <w:color w:val="auto"/>
          <w:szCs w:val="21"/>
        </w:rPr>
      </w:pPr>
    </w:p>
    <w:p>
      <w:pPr>
        <w:spacing w:line="360" w:lineRule="auto"/>
        <w:rPr>
          <w:rFonts w:ascii="宋体" w:hAnsi="宋体" w:eastAsia="宋体" w:cs="宋体"/>
          <w:color w:val="auto"/>
          <w:szCs w:val="21"/>
          <w:lang w:val="zh-CN"/>
        </w:rPr>
      </w:pPr>
    </w:p>
    <w:p>
      <w:pPr>
        <w:spacing w:line="360" w:lineRule="auto"/>
        <w:jc w:val="center"/>
        <w:rPr>
          <w:rFonts w:ascii="宋体" w:hAnsi="宋体" w:eastAsia="宋体" w:cs="宋体"/>
          <w:color w:val="auto"/>
          <w:szCs w:val="21"/>
        </w:rPr>
      </w:pPr>
    </w:p>
    <w:p>
      <w:pPr>
        <w:autoSpaceDE w:val="0"/>
        <w:autoSpaceDN w:val="0"/>
        <w:spacing w:line="360" w:lineRule="auto"/>
        <w:rPr>
          <w:rFonts w:ascii="宋体" w:hAnsi="宋体" w:eastAsia="宋体" w:cs="宋体"/>
          <w:color w:val="auto"/>
          <w:szCs w:val="21"/>
        </w:rPr>
      </w:pPr>
    </w:p>
    <w:p>
      <w:pPr>
        <w:spacing w:line="360" w:lineRule="auto"/>
        <w:jc w:val="center"/>
        <w:rPr>
          <w:rFonts w:ascii="宋体" w:hAnsi="宋体" w:eastAsia="宋体" w:cs="宋体"/>
          <w:color w:val="auto"/>
          <w:szCs w:val="21"/>
        </w:rPr>
      </w:pPr>
      <w:r>
        <w:rPr>
          <w:rFonts w:hint="eastAsia" w:ascii="宋体" w:hAnsi="宋体" w:eastAsia="宋体" w:cs="宋体"/>
          <w:color w:val="auto"/>
          <w:szCs w:val="21"/>
        </w:rPr>
        <w:t xml:space="preserve"> </w:t>
      </w:r>
    </w:p>
    <w:p>
      <w:pPr>
        <w:spacing w:line="360" w:lineRule="auto"/>
        <w:jc w:val="left"/>
        <w:rPr>
          <w:rFonts w:ascii="宋体" w:hAnsi="宋体" w:eastAsia="宋体" w:cs="宋体"/>
          <w:color w:val="auto"/>
          <w:szCs w:val="24"/>
        </w:rPr>
      </w:pPr>
      <w:r>
        <w:rPr>
          <w:rFonts w:hint="eastAsia" w:ascii="宋体" w:hAnsi="宋体" w:eastAsia="宋体" w:cs="宋体"/>
          <w:color w:val="auto"/>
          <w:szCs w:val="21"/>
          <w:lang w:val="zh-CN"/>
        </w:rPr>
        <w:br w:type="page"/>
      </w:r>
      <w:r>
        <w:rPr>
          <w:rFonts w:hint="eastAsia" w:ascii="宋体" w:hAnsi="宋体" w:eastAsia="宋体" w:cs="宋体"/>
          <w:b/>
          <w:color w:val="auto"/>
          <w:sz w:val="24"/>
          <w:szCs w:val="28"/>
        </w:rPr>
        <w:t>附件三：</w:t>
      </w:r>
    </w:p>
    <w:p>
      <w:pPr>
        <w:spacing w:line="360" w:lineRule="auto"/>
        <w:ind w:firstLine="482"/>
        <w:jc w:val="center"/>
        <w:rPr>
          <w:rFonts w:ascii="宋体" w:hAnsi="宋体" w:eastAsia="宋体" w:cs="宋体"/>
          <w:color w:val="auto"/>
          <w:sz w:val="24"/>
          <w:szCs w:val="28"/>
        </w:rPr>
      </w:pPr>
      <w:r>
        <w:rPr>
          <w:rFonts w:hint="eastAsia" w:ascii="宋体" w:hAnsi="宋体" w:eastAsia="宋体" w:cs="宋体"/>
          <w:b/>
          <w:bCs/>
          <w:color w:val="auto"/>
          <w:sz w:val="24"/>
          <w:szCs w:val="28"/>
        </w:rPr>
        <w:t>节能环保、环境标志产品明细表</w:t>
      </w:r>
    </w:p>
    <w:p>
      <w:pPr>
        <w:spacing w:line="360" w:lineRule="auto"/>
        <w:rPr>
          <w:rFonts w:ascii="宋体" w:hAnsi="宋体" w:eastAsia="宋体" w:cs="宋体"/>
          <w:color w:val="auto"/>
          <w:szCs w:val="21"/>
        </w:rPr>
      </w:pPr>
    </w:p>
    <w:p>
      <w:pPr>
        <w:pStyle w:val="12"/>
        <w:rPr>
          <w:rFonts w:ascii="宋体" w:hAnsi="宋体" w:eastAsia="宋体" w:cs="宋体"/>
          <w:color w:val="auto"/>
        </w:rPr>
      </w:pPr>
    </w:p>
    <w:sectPr>
      <w:footerReference r:id="rId11"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3E9A5"/>
    <w:multiLevelType w:val="singleLevel"/>
    <w:tmpl w:val="80C3E9A5"/>
    <w:lvl w:ilvl="0" w:tentative="0">
      <w:start w:val="1"/>
      <w:numFmt w:val="decimal"/>
      <w:suff w:val="nothing"/>
      <w:lvlText w:val="（%1）"/>
      <w:lvlJc w:val="left"/>
    </w:lvl>
  </w:abstractNum>
  <w:abstractNum w:abstractNumId="1">
    <w:nsid w:val="46B853D5"/>
    <w:multiLevelType w:val="multilevel"/>
    <w:tmpl w:val="46B853D5"/>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2">
    <w:nsid w:val="5946F73F"/>
    <w:multiLevelType w:val="singleLevel"/>
    <w:tmpl w:val="5946F73F"/>
    <w:lvl w:ilvl="0" w:tentative="0">
      <w:start w:val="3"/>
      <w:numFmt w:val="decimal"/>
      <w:lvlText w:val="%1."/>
      <w:lvlJc w:val="left"/>
      <w:pPr>
        <w:tabs>
          <w:tab w:val="left" w:pos="312"/>
        </w:tabs>
      </w:pPr>
    </w:lvl>
  </w:abstractNum>
  <w:abstractNum w:abstractNumId="3">
    <w:nsid w:val="5E09F280"/>
    <w:multiLevelType w:val="singleLevel"/>
    <w:tmpl w:val="5E09F280"/>
    <w:lvl w:ilvl="0" w:tentative="0">
      <w:start w:val="4"/>
      <w:numFmt w:val="chineseCounting"/>
      <w:suff w:val="nothing"/>
      <w:lvlText w:val="%1、"/>
      <w:lvlJc w:val="left"/>
      <w:rPr>
        <w:rFonts w:hint="eastAsia"/>
      </w:rPr>
    </w:lvl>
  </w:abstractNum>
  <w:abstractNum w:abstractNumId="4">
    <w:nsid w:val="75BB1CBA"/>
    <w:multiLevelType w:val="singleLevel"/>
    <w:tmpl w:val="75BB1CBA"/>
    <w:lvl w:ilvl="0" w:tentative="0">
      <w:start w:val="6"/>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wOGUzODhiNzNmOTVmN2RkYWM4ZTk1ZDI5OWViMjEifQ=="/>
  </w:docVars>
  <w:rsids>
    <w:rsidRoot w:val="007044C5"/>
    <w:rsid w:val="00000F8F"/>
    <w:rsid w:val="00006230"/>
    <w:rsid w:val="000104DF"/>
    <w:rsid w:val="000370B8"/>
    <w:rsid w:val="000432AA"/>
    <w:rsid w:val="00057F9D"/>
    <w:rsid w:val="00076233"/>
    <w:rsid w:val="0007721E"/>
    <w:rsid w:val="000817EA"/>
    <w:rsid w:val="000835D4"/>
    <w:rsid w:val="000A5397"/>
    <w:rsid w:val="000D49BA"/>
    <w:rsid w:val="000E2F05"/>
    <w:rsid w:val="000E5B6D"/>
    <w:rsid w:val="000F3A9F"/>
    <w:rsid w:val="00125D81"/>
    <w:rsid w:val="001412BF"/>
    <w:rsid w:val="00182BC5"/>
    <w:rsid w:val="001970D6"/>
    <w:rsid w:val="001A6A68"/>
    <w:rsid w:val="001B14F5"/>
    <w:rsid w:val="001B21DA"/>
    <w:rsid w:val="001C005E"/>
    <w:rsid w:val="001C7135"/>
    <w:rsid w:val="001D73E4"/>
    <w:rsid w:val="001E4094"/>
    <w:rsid w:val="001E50CB"/>
    <w:rsid w:val="001E7A1A"/>
    <w:rsid w:val="001F28FB"/>
    <w:rsid w:val="00200353"/>
    <w:rsid w:val="0020234F"/>
    <w:rsid w:val="00204578"/>
    <w:rsid w:val="00210797"/>
    <w:rsid w:val="00215730"/>
    <w:rsid w:val="00215AC0"/>
    <w:rsid w:val="00215E28"/>
    <w:rsid w:val="002232BF"/>
    <w:rsid w:val="00224547"/>
    <w:rsid w:val="00275AF7"/>
    <w:rsid w:val="00280A3F"/>
    <w:rsid w:val="0029110E"/>
    <w:rsid w:val="002A0132"/>
    <w:rsid w:val="002B6E1B"/>
    <w:rsid w:val="00301FAC"/>
    <w:rsid w:val="0030328B"/>
    <w:rsid w:val="00332A55"/>
    <w:rsid w:val="00336288"/>
    <w:rsid w:val="003364BC"/>
    <w:rsid w:val="003663F4"/>
    <w:rsid w:val="00370C12"/>
    <w:rsid w:val="0037514C"/>
    <w:rsid w:val="0039566C"/>
    <w:rsid w:val="003B0379"/>
    <w:rsid w:val="003B57E6"/>
    <w:rsid w:val="003E361A"/>
    <w:rsid w:val="003E7321"/>
    <w:rsid w:val="003F7690"/>
    <w:rsid w:val="00400959"/>
    <w:rsid w:val="00412B41"/>
    <w:rsid w:val="00417EF4"/>
    <w:rsid w:val="00442E12"/>
    <w:rsid w:val="00460362"/>
    <w:rsid w:val="00480B56"/>
    <w:rsid w:val="00493E45"/>
    <w:rsid w:val="004C550D"/>
    <w:rsid w:val="004D4DF5"/>
    <w:rsid w:val="004E7588"/>
    <w:rsid w:val="004F36E3"/>
    <w:rsid w:val="00502C67"/>
    <w:rsid w:val="00517394"/>
    <w:rsid w:val="00527611"/>
    <w:rsid w:val="00537C00"/>
    <w:rsid w:val="00545BEA"/>
    <w:rsid w:val="005546E1"/>
    <w:rsid w:val="005571C7"/>
    <w:rsid w:val="00564BB0"/>
    <w:rsid w:val="005A537F"/>
    <w:rsid w:val="005B441C"/>
    <w:rsid w:val="005B6DF2"/>
    <w:rsid w:val="005C3F74"/>
    <w:rsid w:val="005C5CD7"/>
    <w:rsid w:val="005D0F50"/>
    <w:rsid w:val="005E306E"/>
    <w:rsid w:val="005E4792"/>
    <w:rsid w:val="005E676A"/>
    <w:rsid w:val="005F0A4F"/>
    <w:rsid w:val="005F72F6"/>
    <w:rsid w:val="006015AB"/>
    <w:rsid w:val="00606A65"/>
    <w:rsid w:val="00616D75"/>
    <w:rsid w:val="006210F6"/>
    <w:rsid w:val="00633805"/>
    <w:rsid w:val="00644208"/>
    <w:rsid w:val="006507BF"/>
    <w:rsid w:val="00653AC4"/>
    <w:rsid w:val="00663692"/>
    <w:rsid w:val="00663728"/>
    <w:rsid w:val="00667145"/>
    <w:rsid w:val="00673599"/>
    <w:rsid w:val="00674E9B"/>
    <w:rsid w:val="0068609B"/>
    <w:rsid w:val="006A0038"/>
    <w:rsid w:val="0070216C"/>
    <w:rsid w:val="007044C5"/>
    <w:rsid w:val="00707A04"/>
    <w:rsid w:val="00726C39"/>
    <w:rsid w:val="00730B7E"/>
    <w:rsid w:val="00737508"/>
    <w:rsid w:val="00743F27"/>
    <w:rsid w:val="007452AE"/>
    <w:rsid w:val="007579F3"/>
    <w:rsid w:val="00773456"/>
    <w:rsid w:val="00795F63"/>
    <w:rsid w:val="007D3034"/>
    <w:rsid w:val="007F28B4"/>
    <w:rsid w:val="0081070F"/>
    <w:rsid w:val="00847568"/>
    <w:rsid w:val="00847FF7"/>
    <w:rsid w:val="008729ED"/>
    <w:rsid w:val="00893C1C"/>
    <w:rsid w:val="008D1D20"/>
    <w:rsid w:val="008F311E"/>
    <w:rsid w:val="00906412"/>
    <w:rsid w:val="009129BA"/>
    <w:rsid w:val="00922AAA"/>
    <w:rsid w:val="00953EB4"/>
    <w:rsid w:val="00961E31"/>
    <w:rsid w:val="00974B6B"/>
    <w:rsid w:val="00976CBE"/>
    <w:rsid w:val="00992BD7"/>
    <w:rsid w:val="009A0070"/>
    <w:rsid w:val="009B720E"/>
    <w:rsid w:val="009C1C77"/>
    <w:rsid w:val="009C3EFB"/>
    <w:rsid w:val="009F5231"/>
    <w:rsid w:val="00A12E91"/>
    <w:rsid w:val="00A16451"/>
    <w:rsid w:val="00A22133"/>
    <w:rsid w:val="00A22F15"/>
    <w:rsid w:val="00A76297"/>
    <w:rsid w:val="00AB747D"/>
    <w:rsid w:val="00AD477E"/>
    <w:rsid w:val="00AF0265"/>
    <w:rsid w:val="00B25DCC"/>
    <w:rsid w:val="00B33037"/>
    <w:rsid w:val="00B36776"/>
    <w:rsid w:val="00B6146B"/>
    <w:rsid w:val="00B620A4"/>
    <w:rsid w:val="00B92F05"/>
    <w:rsid w:val="00BA161C"/>
    <w:rsid w:val="00BA30B3"/>
    <w:rsid w:val="00BB4E25"/>
    <w:rsid w:val="00BC57CD"/>
    <w:rsid w:val="00BD0977"/>
    <w:rsid w:val="00BD42BD"/>
    <w:rsid w:val="00BD46FE"/>
    <w:rsid w:val="00BD772F"/>
    <w:rsid w:val="00BF210A"/>
    <w:rsid w:val="00BF2196"/>
    <w:rsid w:val="00C21ACE"/>
    <w:rsid w:val="00C30BE7"/>
    <w:rsid w:val="00C3601D"/>
    <w:rsid w:val="00C36C34"/>
    <w:rsid w:val="00C452CD"/>
    <w:rsid w:val="00C527D2"/>
    <w:rsid w:val="00C94716"/>
    <w:rsid w:val="00CB2430"/>
    <w:rsid w:val="00CD417E"/>
    <w:rsid w:val="00CD45D3"/>
    <w:rsid w:val="00CE7A4C"/>
    <w:rsid w:val="00CF0EE5"/>
    <w:rsid w:val="00CF6E53"/>
    <w:rsid w:val="00D17B68"/>
    <w:rsid w:val="00D32BE1"/>
    <w:rsid w:val="00D33BA9"/>
    <w:rsid w:val="00D35C25"/>
    <w:rsid w:val="00D44BF5"/>
    <w:rsid w:val="00D84A20"/>
    <w:rsid w:val="00DA61CE"/>
    <w:rsid w:val="00DB2A8F"/>
    <w:rsid w:val="00DC4E33"/>
    <w:rsid w:val="00DE25CB"/>
    <w:rsid w:val="00E15B24"/>
    <w:rsid w:val="00E33444"/>
    <w:rsid w:val="00E54D24"/>
    <w:rsid w:val="00E577BC"/>
    <w:rsid w:val="00E63A0E"/>
    <w:rsid w:val="00E74D64"/>
    <w:rsid w:val="00E82A5B"/>
    <w:rsid w:val="00E8743C"/>
    <w:rsid w:val="00EC6B9F"/>
    <w:rsid w:val="00ED3BD8"/>
    <w:rsid w:val="00EF0EEB"/>
    <w:rsid w:val="00EF3621"/>
    <w:rsid w:val="00EF61BF"/>
    <w:rsid w:val="00F60E58"/>
    <w:rsid w:val="00F650DC"/>
    <w:rsid w:val="00F77B3A"/>
    <w:rsid w:val="00FA032F"/>
    <w:rsid w:val="00FA5BF8"/>
    <w:rsid w:val="00FB0FB5"/>
    <w:rsid w:val="012515C4"/>
    <w:rsid w:val="01543C57"/>
    <w:rsid w:val="015772A4"/>
    <w:rsid w:val="016B61D2"/>
    <w:rsid w:val="01B6046E"/>
    <w:rsid w:val="01E23B3D"/>
    <w:rsid w:val="021F2DE0"/>
    <w:rsid w:val="0236309D"/>
    <w:rsid w:val="024B505A"/>
    <w:rsid w:val="027469F5"/>
    <w:rsid w:val="02C6660A"/>
    <w:rsid w:val="02DE2654"/>
    <w:rsid w:val="02F474A0"/>
    <w:rsid w:val="03310735"/>
    <w:rsid w:val="03421430"/>
    <w:rsid w:val="039C25AE"/>
    <w:rsid w:val="03A04F32"/>
    <w:rsid w:val="03AF7088"/>
    <w:rsid w:val="0403326E"/>
    <w:rsid w:val="04082AD7"/>
    <w:rsid w:val="04202D2B"/>
    <w:rsid w:val="042363D0"/>
    <w:rsid w:val="04304467"/>
    <w:rsid w:val="0442423B"/>
    <w:rsid w:val="04545BBE"/>
    <w:rsid w:val="0461174D"/>
    <w:rsid w:val="047F0FEB"/>
    <w:rsid w:val="04D550AF"/>
    <w:rsid w:val="05300538"/>
    <w:rsid w:val="053242B0"/>
    <w:rsid w:val="05B178CA"/>
    <w:rsid w:val="05DA33F4"/>
    <w:rsid w:val="05EC0902"/>
    <w:rsid w:val="065704AC"/>
    <w:rsid w:val="0665002B"/>
    <w:rsid w:val="067B1C86"/>
    <w:rsid w:val="068648B3"/>
    <w:rsid w:val="06A64F55"/>
    <w:rsid w:val="06BB45A7"/>
    <w:rsid w:val="06D00FD6"/>
    <w:rsid w:val="06D7536B"/>
    <w:rsid w:val="06DB44D3"/>
    <w:rsid w:val="07035F04"/>
    <w:rsid w:val="073836D3"/>
    <w:rsid w:val="076F40CB"/>
    <w:rsid w:val="0776347C"/>
    <w:rsid w:val="078A1921"/>
    <w:rsid w:val="079A4449"/>
    <w:rsid w:val="07AB5A1C"/>
    <w:rsid w:val="07AD2313"/>
    <w:rsid w:val="07CA29F9"/>
    <w:rsid w:val="0800698A"/>
    <w:rsid w:val="085A5FF7"/>
    <w:rsid w:val="085E0865"/>
    <w:rsid w:val="097A6225"/>
    <w:rsid w:val="099A0675"/>
    <w:rsid w:val="099A2B3A"/>
    <w:rsid w:val="09A84B40"/>
    <w:rsid w:val="0A334D52"/>
    <w:rsid w:val="0AA4449E"/>
    <w:rsid w:val="0AC0235E"/>
    <w:rsid w:val="0B04224A"/>
    <w:rsid w:val="0B1358AA"/>
    <w:rsid w:val="0B1416DB"/>
    <w:rsid w:val="0B1F7084"/>
    <w:rsid w:val="0B356D77"/>
    <w:rsid w:val="0C171899"/>
    <w:rsid w:val="0C250562"/>
    <w:rsid w:val="0C851DD9"/>
    <w:rsid w:val="0C8C6349"/>
    <w:rsid w:val="0C9E47EA"/>
    <w:rsid w:val="0CE27C09"/>
    <w:rsid w:val="0CF22D56"/>
    <w:rsid w:val="0D1C4718"/>
    <w:rsid w:val="0D336263"/>
    <w:rsid w:val="0D6160C5"/>
    <w:rsid w:val="0D9E207D"/>
    <w:rsid w:val="0DA03BB0"/>
    <w:rsid w:val="0DAF1383"/>
    <w:rsid w:val="0DCB316F"/>
    <w:rsid w:val="0E39045D"/>
    <w:rsid w:val="0E6D0107"/>
    <w:rsid w:val="0E741495"/>
    <w:rsid w:val="0E9A221B"/>
    <w:rsid w:val="1001144E"/>
    <w:rsid w:val="10202706"/>
    <w:rsid w:val="10437B58"/>
    <w:rsid w:val="10523A58"/>
    <w:rsid w:val="105864C2"/>
    <w:rsid w:val="10AE22C2"/>
    <w:rsid w:val="10C5422A"/>
    <w:rsid w:val="10C761F4"/>
    <w:rsid w:val="10CE71E8"/>
    <w:rsid w:val="10D75D0B"/>
    <w:rsid w:val="1122342A"/>
    <w:rsid w:val="114C494B"/>
    <w:rsid w:val="114D2BF2"/>
    <w:rsid w:val="11553800"/>
    <w:rsid w:val="115A7068"/>
    <w:rsid w:val="116577BB"/>
    <w:rsid w:val="11A6405B"/>
    <w:rsid w:val="11DA60EE"/>
    <w:rsid w:val="12105979"/>
    <w:rsid w:val="123E6AF7"/>
    <w:rsid w:val="12612590"/>
    <w:rsid w:val="1281089F"/>
    <w:rsid w:val="12900868"/>
    <w:rsid w:val="12BB58E4"/>
    <w:rsid w:val="12C23FCA"/>
    <w:rsid w:val="12DD2633"/>
    <w:rsid w:val="130D68CA"/>
    <w:rsid w:val="13274D28"/>
    <w:rsid w:val="13315561"/>
    <w:rsid w:val="13320584"/>
    <w:rsid w:val="134A0A16"/>
    <w:rsid w:val="13590033"/>
    <w:rsid w:val="13D10B4B"/>
    <w:rsid w:val="13D7676B"/>
    <w:rsid w:val="13EE3A98"/>
    <w:rsid w:val="142406D2"/>
    <w:rsid w:val="142B6A9A"/>
    <w:rsid w:val="144638D4"/>
    <w:rsid w:val="14593E9D"/>
    <w:rsid w:val="14AD3953"/>
    <w:rsid w:val="14B06F9F"/>
    <w:rsid w:val="14B544D8"/>
    <w:rsid w:val="14BF0C39"/>
    <w:rsid w:val="14E1184E"/>
    <w:rsid w:val="14FD1E12"/>
    <w:rsid w:val="150E67E6"/>
    <w:rsid w:val="1511751C"/>
    <w:rsid w:val="1534260A"/>
    <w:rsid w:val="15565D98"/>
    <w:rsid w:val="15597637"/>
    <w:rsid w:val="15843924"/>
    <w:rsid w:val="158E5532"/>
    <w:rsid w:val="15D464CE"/>
    <w:rsid w:val="163A7468"/>
    <w:rsid w:val="16444D02"/>
    <w:rsid w:val="16857738"/>
    <w:rsid w:val="169A16F2"/>
    <w:rsid w:val="16A62152"/>
    <w:rsid w:val="16B801A2"/>
    <w:rsid w:val="16C32FBA"/>
    <w:rsid w:val="172D6CF2"/>
    <w:rsid w:val="173B6FF4"/>
    <w:rsid w:val="17562080"/>
    <w:rsid w:val="177C2DE0"/>
    <w:rsid w:val="178766DD"/>
    <w:rsid w:val="17A70B2D"/>
    <w:rsid w:val="17A96653"/>
    <w:rsid w:val="17BA172E"/>
    <w:rsid w:val="17CA65CA"/>
    <w:rsid w:val="17D8196A"/>
    <w:rsid w:val="17DE07C9"/>
    <w:rsid w:val="17EA0172"/>
    <w:rsid w:val="17EB45A2"/>
    <w:rsid w:val="18291542"/>
    <w:rsid w:val="182C4B8E"/>
    <w:rsid w:val="186B3909"/>
    <w:rsid w:val="18B52DD6"/>
    <w:rsid w:val="19015801"/>
    <w:rsid w:val="192D57F8"/>
    <w:rsid w:val="19424558"/>
    <w:rsid w:val="194A79C2"/>
    <w:rsid w:val="196245FF"/>
    <w:rsid w:val="19902A9C"/>
    <w:rsid w:val="19E92F6B"/>
    <w:rsid w:val="1A110E89"/>
    <w:rsid w:val="1A361CF4"/>
    <w:rsid w:val="1A371E1A"/>
    <w:rsid w:val="1A5F124B"/>
    <w:rsid w:val="1A957298"/>
    <w:rsid w:val="1AC13CB4"/>
    <w:rsid w:val="1B067919"/>
    <w:rsid w:val="1B226884"/>
    <w:rsid w:val="1B4B7BA9"/>
    <w:rsid w:val="1BC244CE"/>
    <w:rsid w:val="1C2A14F6"/>
    <w:rsid w:val="1C2C7853"/>
    <w:rsid w:val="1C3E38D0"/>
    <w:rsid w:val="1C76287C"/>
    <w:rsid w:val="1C801EA3"/>
    <w:rsid w:val="1C90118D"/>
    <w:rsid w:val="1CB6536F"/>
    <w:rsid w:val="1CDA105D"/>
    <w:rsid w:val="1CE26164"/>
    <w:rsid w:val="1CFC5877"/>
    <w:rsid w:val="1D547061"/>
    <w:rsid w:val="1D644DCB"/>
    <w:rsid w:val="1D7F39B2"/>
    <w:rsid w:val="1DA04055"/>
    <w:rsid w:val="1DA318F9"/>
    <w:rsid w:val="1DAD6772"/>
    <w:rsid w:val="1DB23D88"/>
    <w:rsid w:val="1DBA1716"/>
    <w:rsid w:val="1DD520AF"/>
    <w:rsid w:val="1DD7559C"/>
    <w:rsid w:val="1E366767"/>
    <w:rsid w:val="1E635119"/>
    <w:rsid w:val="1EDB0CF1"/>
    <w:rsid w:val="1EF40362"/>
    <w:rsid w:val="1F1E756F"/>
    <w:rsid w:val="1F477E12"/>
    <w:rsid w:val="1F4B7FF0"/>
    <w:rsid w:val="1F505606"/>
    <w:rsid w:val="1F7E03C6"/>
    <w:rsid w:val="1FC12229"/>
    <w:rsid w:val="1FCE29D8"/>
    <w:rsid w:val="20020FF7"/>
    <w:rsid w:val="2006034A"/>
    <w:rsid w:val="20525B35"/>
    <w:rsid w:val="206375BB"/>
    <w:rsid w:val="20647CC9"/>
    <w:rsid w:val="20AB3681"/>
    <w:rsid w:val="20C242E2"/>
    <w:rsid w:val="214B4A8E"/>
    <w:rsid w:val="21B07D7C"/>
    <w:rsid w:val="21B26104"/>
    <w:rsid w:val="21B322BA"/>
    <w:rsid w:val="21D50045"/>
    <w:rsid w:val="21EB4D45"/>
    <w:rsid w:val="21FF3314"/>
    <w:rsid w:val="22252C92"/>
    <w:rsid w:val="225E003A"/>
    <w:rsid w:val="22C01F17"/>
    <w:rsid w:val="22CA2888"/>
    <w:rsid w:val="22EF5136"/>
    <w:rsid w:val="2309444A"/>
    <w:rsid w:val="2329689A"/>
    <w:rsid w:val="235C0CFE"/>
    <w:rsid w:val="23AD74CB"/>
    <w:rsid w:val="23DC56BB"/>
    <w:rsid w:val="24257892"/>
    <w:rsid w:val="242B219E"/>
    <w:rsid w:val="243B4AD7"/>
    <w:rsid w:val="243F2679"/>
    <w:rsid w:val="245C0A31"/>
    <w:rsid w:val="24900CFF"/>
    <w:rsid w:val="249917FE"/>
    <w:rsid w:val="24997A50"/>
    <w:rsid w:val="249E2894"/>
    <w:rsid w:val="24A02B8C"/>
    <w:rsid w:val="24A03F2D"/>
    <w:rsid w:val="24D85A15"/>
    <w:rsid w:val="24DD7D2E"/>
    <w:rsid w:val="24E40C63"/>
    <w:rsid w:val="2502158B"/>
    <w:rsid w:val="252E0198"/>
    <w:rsid w:val="253C026C"/>
    <w:rsid w:val="254E083A"/>
    <w:rsid w:val="256443F1"/>
    <w:rsid w:val="25695674"/>
    <w:rsid w:val="257C0035"/>
    <w:rsid w:val="258A2857"/>
    <w:rsid w:val="2599518D"/>
    <w:rsid w:val="25A925A5"/>
    <w:rsid w:val="25D509C6"/>
    <w:rsid w:val="25F359F5"/>
    <w:rsid w:val="25FC3DF2"/>
    <w:rsid w:val="267047E0"/>
    <w:rsid w:val="2681079B"/>
    <w:rsid w:val="26BE51EB"/>
    <w:rsid w:val="26DA7DE5"/>
    <w:rsid w:val="271433BD"/>
    <w:rsid w:val="27160E08"/>
    <w:rsid w:val="27301088"/>
    <w:rsid w:val="27B91BD3"/>
    <w:rsid w:val="27C31956"/>
    <w:rsid w:val="27FA25B3"/>
    <w:rsid w:val="28126A09"/>
    <w:rsid w:val="28176BAF"/>
    <w:rsid w:val="28256F9A"/>
    <w:rsid w:val="28307AB8"/>
    <w:rsid w:val="28333D17"/>
    <w:rsid w:val="285C271F"/>
    <w:rsid w:val="28650375"/>
    <w:rsid w:val="289C366A"/>
    <w:rsid w:val="28A357E3"/>
    <w:rsid w:val="28B2446A"/>
    <w:rsid w:val="28B34C88"/>
    <w:rsid w:val="28CC03F4"/>
    <w:rsid w:val="28DC43AF"/>
    <w:rsid w:val="29114058"/>
    <w:rsid w:val="29173DE8"/>
    <w:rsid w:val="294413B4"/>
    <w:rsid w:val="29665C1C"/>
    <w:rsid w:val="29954423"/>
    <w:rsid w:val="29983971"/>
    <w:rsid w:val="29B30E0C"/>
    <w:rsid w:val="29C941B3"/>
    <w:rsid w:val="29D2615A"/>
    <w:rsid w:val="29D84B76"/>
    <w:rsid w:val="29E35DCC"/>
    <w:rsid w:val="29E96D83"/>
    <w:rsid w:val="2A1E28C6"/>
    <w:rsid w:val="2A662182"/>
    <w:rsid w:val="2A86249D"/>
    <w:rsid w:val="2A8E6DB0"/>
    <w:rsid w:val="2AC3052A"/>
    <w:rsid w:val="2AC375D4"/>
    <w:rsid w:val="2ACB6489"/>
    <w:rsid w:val="2ACD1B61"/>
    <w:rsid w:val="2B177920"/>
    <w:rsid w:val="2B192750"/>
    <w:rsid w:val="2B520958"/>
    <w:rsid w:val="2B5E674A"/>
    <w:rsid w:val="2B81747C"/>
    <w:rsid w:val="2BBD04C8"/>
    <w:rsid w:val="2BC2762A"/>
    <w:rsid w:val="2BEA4046"/>
    <w:rsid w:val="2BF86525"/>
    <w:rsid w:val="2C0C3664"/>
    <w:rsid w:val="2C574478"/>
    <w:rsid w:val="2C974875"/>
    <w:rsid w:val="2CB01DDA"/>
    <w:rsid w:val="2CBF7689"/>
    <w:rsid w:val="2CE808B5"/>
    <w:rsid w:val="2D7D16BF"/>
    <w:rsid w:val="2D9E7D40"/>
    <w:rsid w:val="2DAE730F"/>
    <w:rsid w:val="2DC84AC1"/>
    <w:rsid w:val="2DE32073"/>
    <w:rsid w:val="2DEE2BBA"/>
    <w:rsid w:val="2E2D59AF"/>
    <w:rsid w:val="2E456552"/>
    <w:rsid w:val="2E4647A4"/>
    <w:rsid w:val="2E563B1E"/>
    <w:rsid w:val="2E5B685C"/>
    <w:rsid w:val="2E862DF3"/>
    <w:rsid w:val="2EAD10B5"/>
    <w:rsid w:val="2EAF7AF5"/>
    <w:rsid w:val="2EC036AC"/>
    <w:rsid w:val="2EE91DEC"/>
    <w:rsid w:val="2F0F1BF6"/>
    <w:rsid w:val="2F1B5E2D"/>
    <w:rsid w:val="2F210D6D"/>
    <w:rsid w:val="2F3D7C09"/>
    <w:rsid w:val="2F4A36C5"/>
    <w:rsid w:val="2F54359F"/>
    <w:rsid w:val="2F601896"/>
    <w:rsid w:val="2F7075FF"/>
    <w:rsid w:val="2F9D2A78"/>
    <w:rsid w:val="2FD93636"/>
    <w:rsid w:val="3053535F"/>
    <w:rsid w:val="3075311F"/>
    <w:rsid w:val="30D140CD"/>
    <w:rsid w:val="31D75713"/>
    <w:rsid w:val="31E00A6C"/>
    <w:rsid w:val="32221084"/>
    <w:rsid w:val="322425CE"/>
    <w:rsid w:val="329C1A55"/>
    <w:rsid w:val="32A46FBF"/>
    <w:rsid w:val="33062754"/>
    <w:rsid w:val="33184235"/>
    <w:rsid w:val="33E7651C"/>
    <w:rsid w:val="34050C5E"/>
    <w:rsid w:val="34360E17"/>
    <w:rsid w:val="344B5D45"/>
    <w:rsid w:val="347B2CCE"/>
    <w:rsid w:val="348523F9"/>
    <w:rsid w:val="34866527"/>
    <w:rsid w:val="34C76D58"/>
    <w:rsid w:val="34E91A45"/>
    <w:rsid w:val="34EF75D8"/>
    <w:rsid w:val="34F0546A"/>
    <w:rsid w:val="350C1B78"/>
    <w:rsid w:val="35103416"/>
    <w:rsid w:val="35193CB3"/>
    <w:rsid w:val="355359F9"/>
    <w:rsid w:val="35920D2C"/>
    <w:rsid w:val="35B02067"/>
    <w:rsid w:val="35B60B4E"/>
    <w:rsid w:val="35CE2C68"/>
    <w:rsid w:val="35CF32D1"/>
    <w:rsid w:val="35D00DF7"/>
    <w:rsid w:val="35E65AF5"/>
    <w:rsid w:val="360A5764"/>
    <w:rsid w:val="36166A3A"/>
    <w:rsid w:val="36743E79"/>
    <w:rsid w:val="368816D2"/>
    <w:rsid w:val="36AD51B3"/>
    <w:rsid w:val="36BF7973"/>
    <w:rsid w:val="36C64772"/>
    <w:rsid w:val="36E42DAC"/>
    <w:rsid w:val="36FD5C1C"/>
    <w:rsid w:val="37222535"/>
    <w:rsid w:val="379A790F"/>
    <w:rsid w:val="379E22DD"/>
    <w:rsid w:val="37BC5AD7"/>
    <w:rsid w:val="37CE7882"/>
    <w:rsid w:val="37D029A4"/>
    <w:rsid w:val="37F063E3"/>
    <w:rsid w:val="381B11BB"/>
    <w:rsid w:val="38353194"/>
    <w:rsid w:val="3838311F"/>
    <w:rsid w:val="388F0AF6"/>
    <w:rsid w:val="389D1465"/>
    <w:rsid w:val="38BB7B3D"/>
    <w:rsid w:val="38E745A8"/>
    <w:rsid w:val="39421415"/>
    <w:rsid w:val="39625583"/>
    <w:rsid w:val="39876AF4"/>
    <w:rsid w:val="39AE1450"/>
    <w:rsid w:val="3A433EE4"/>
    <w:rsid w:val="3A475F84"/>
    <w:rsid w:val="3A8A3C6B"/>
    <w:rsid w:val="3ACB159F"/>
    <w:rsid w:val="3B071421"/>
    <w:rsid w:val="3B0F23C2"/>
    <w:rsid w:val="3B344874"/>
    <w:rsid w:val="3B4068E3"/>
    <w:rsid w:val="3B457B92"/>
    <w:rsid w:val="3B514788"/>
    <w:rsid w:val="3B8D0E19"/>
    <w:rsid w:val="3BB86527"/>
    <w:rsid w:val="3BEB698B"/>
    <w:rsid w:val="3BF27D19"/>
    <w:rsid w:val="3C3B1EF8"/>
    <w:rsid w:val="3C7C06DD"/>
    <w:rsid w:val="3C8F0749"/>
    <w:rsid w:val="3C937EB7"/>
    <w:rsid w:val="3CBA010B"/>
    <w:rsid w:val="3D2748F6"/>
    <w:rsid w:val="3D624A2B"/>
    <w:rsid w:val="3D844DA2"/>
    <w:rsid w:val="3DA725FB"/>
    <w:rsid w:val="3DA908AC"/>
    <w:rsid w:val="3DDD0555"/>
    <w:rsid w:val="3DEF3674"/>
    <w:rsid w:val="3E143A42"/>
    <w:rsid w:val="3E6350CC"/>
    <w:rsid w:val="3E6357BE"/>
    <w:rsid w:val="3ED05551"/>
    <w:rsid w:val="3EEA2F2A"/>
    <w:rsid w:val="3EF1250A"/>
    <w:rsid w:val="3F3B5533"/>
    <w:rsid w:val="3F4C0164"/>
    <w:rsid w:val="3F4F5483"/>
    <w:rsid w:val="3F76656C"/>
    <w:rsid w:val="3FB9574C"/>
    <w:rsid w:val="40046104"/>
    <w:rsid w:val="404928AB"/>
    <w:rsid w:val="40496D29"/>
    <w:rsid w:val="407231D7"/>
    <w:rsid w:val="408F1FDB"/>
    <w:rsid w:val="40901573"/>
    <w:rsid w:val="40F24CC2"/>
    <w:rsid w:val="412751C6"/>
    <w:rsid w:val="415B010F"/>
    <w:rsid w:val="415C79E3"/>
    <w:rsid w:val="421A0D47"/>
    <w:rsid w:val="422B1C80"/>
    <w:rsid w:val="42A17DA3"/>
    <w:rsid w:val="42A204FA"/>
    <w:rsid w:val="42C4167E"/>
    <w:rsid w:val="42DF6B1E"/>
    <w:rsid w:val="43202856"/>
    <w:rsid w:val="43430E5B"/>
    <w:rsid w:val="43B35FE0"/>
    <w:rsid w:val="43B6162D"/>
    <w:rsid w:val="43C95142"/>
    <w:rsid w:val="43DD2F62"/>
    <w:rsid w:val="43E20674"/>
    <w:rsid w:val="441F3676"/>
    <w:rsid w:val="44380CC6"/>
    <w:rsid w:val="444A6219"/>
    <w:rsid w:val="44B570C5"/>
    <w:rsid w:val="44CD4187"/>
    <w:rsid w:val="44EA48C7"/>
    <w:rsid w:val="44F54982"/>
    <w:rsid w:val="44FF5255"/>
    <w:rsid w:val="45252F0E"/>
    <w:rsid w:val="46034C70"/>
    <w:rsid w:val="46044723"/>
    <w:rsid w:val="46641814"/>
    <w:rsid w:val="466C6651"/>
    <w:rsid w:val="46856EB6"/>
    <w:rsid w:val="46957C1F"/>
    <w:rsid w:val="46AC6D17"/>
    <w:rsid w:val="470F30E8"/>
    <w:rsid w:val="47296FE8"/>
    <w:rsid w:val="47340B7A"/>
    <w:rsid w:val="47370C69"/>
    <w:rsid w:val="47456C49"/>
    <w:rsid w:val="479E48B1"/>
    <w:rsid w:val="47A125F4"/>
    <w:rsid w:val="47FE17F4"/>
    <w:rsid w:val="4824355C"/>
    <w:rsid w:val="48396CD0"/>
    <w:rsid w:val="485E5B67"/>
    <w:rsid w:val="48651873"/>
    <w:rsid w:val="48653621"/>
    <w:rsid w:val="48DD28EF"/>
    <w:rsid w:val="48F00D72"/>
    <w:rsid w:val="491379D2"/>
    <w:rsid w:val="49842F0B"/>
    <w:rsid w:val="498462D2"/>
    <w:rsid w:val="49C273D1"/>
    <w:rsid w:val="4A097E00"/>
    <w:rsid w:val="4A1C41B3"/>
    <w:rsid w:val="4A1F71D6"/>
    <w:rsid w:val="4A280DAA"/>
    <w:rsid w:val="4A317278"/>
    <w:rsid w:val="4A3E66CC"/>
    <w:rsid w:val="4A673681"/>
    <w:rsid w:val="4A6E3879"/>
    <w:rsid w:val="4A6E745B"/>
    <w:rsid w:val="4A872577"/>
    <w:rsid w:val="4AD122BB"/>
    <w:rsid w:val="4AD43B00"/>
    <w:rsid w:val="4B5300A9"/>
    <w:rsid w:val="4B7324F9"/>
    <w:rsid w:val="4B98654A"/>
    <w:rsid w:val="4BAE0F6B"/>
    <w:rsid w:val="4C011E58"/>
    <w:rsid w:val="4C2F01CE"/>
    <w:rsid w:val="4C3677AE"/>
    <w:rsid w:val="4C374B30"/>
    <w:rsid w:val="4C693F46"/>
    <w:rsid w:val="4C7B1868"/>
    <w:rsid w:val="4CAC181F"/>
    <w:rsid w:val="4CE91401"/>
    <w:rsid w:val="4D461563"/>
    <w:rsid w:val="4DBE6729"/>
    <w:rsid w:val="4DD56540"/>
    <w:rsid w:val="4DDA6B7D"/>
    <w:rsid w:val="4DFF4747"/>
    <w:rsid w:val="4E09462B"/>
    <w:rsid w:val="4E0D79DB"/>
    <w:rsid w:val="4E22755F"/>
    <w:rsid w:val="4E3E0B9C"/>
    <w:rsid w:val="4E3E5079"/>
    <w:rsid w:val="4E3F17A3"/>
    <w:rsid w:val="4E436750"/>
    <w:rsid w:val="4E5E04DF"/>
    <w:rsid w:val="4EAC6361"/>
    <w:rsid w:val="4F2C4E99"/>
    <w:rsid w:val="4F4130FC"/>
    <w:rsid w:val="4F4915A7"/>
    <w:rsid w:val="4FB01713"/>
    <w:rsid w:val="4FC21359"/>
    <w:rsid w:val="500077E6"/>
    <w:rsid w:val="50061FA8"/>
    <w:rsid w:val="501F0EB1"/>
    <w:rsid w:val="5041052D"/>
    <w:rsid w:val="509B62C6"/>
    <w:rsid w:val="50AC6291"/>
    <w:rsid w:val="510559A1"/>
    <w:rsid w:val="51165E00"/>
    <w:rsid w:val="5153495F"/>
    <w:rsid w:val="5189131B"/>
    <w:rsid w:val="519B62E5"/>
    <w:rsid w:val="51BA49DE"/>
    <w:rsid w:val="51CD70D5"/>
    <w:rsid w:val="52214A5D"/>
    <w:rsid w:val="52335E82"/>
    <w:rsid w:val="524771BA"/>
    <w:rsid w:val="52592449"/>
    <w:rsid w:val="52AA4A52"/>
    <w:rsid w:val="52CC2C1B"/>
    <w:rsid w:val="52D9245C"/>
    <w:rsid w:val="53055F80"/>
    <w:rsid w:val="533D5A23"/>
    <w:rsid w:val="536E5666"/>
    <w:rsid w:val="53964FD7"/>
    <w:rsid w:val="539716FD"/>
    <w:rsid w:val="53AB395F"/>
    <w:rsid w:val="53AE02BA"/>
    <w:rsid w:val="53C438F2"/>
    <w:rsid w:val="53D53D51"/>
    <w:rsid w:val="53FA53F2"/>
    <w:rsid w:val="543E53EF"/>
    <w:rsid w:val="54442C85"/>
    <w:rsid w:val="544E3225"/>
    <w:rsid w:val="545A6004"/>
    <w:rsid w:val="55345C09"/>
    <w:rsid w:val="558A2919"/>
    <w:rsid w:val="559317CE"/>
    <w:rsid w:val="561E0617"/>
    <w:rsid w:val="562240AD"/>
    <w:rsid w:val="56746F44"/>
    <w:rsid w:val="56A417B8"/>
    <w:rsid w:val="56B12842"/>
    <w:rsid w:val="56DC52A2"/>
    <w:rsid w:val="57062473"/>
    <w:rsid w:val="574873DF"/>
    <w:rsid w:val="57770C7B"/>
    <w:rsid w:val="577E46FF"/>
    <w:rsid w:val="57834E6B"/>
    <w:rsid w:val="5798124F"/>
    <w:rsid w:val="57A2219C"/>
    <w:rsid w:val="57C86C90"/>
    <w:rsid w:val="57D255E7"/>
    <w:rsid w:val="57D916D9"/>
    <w:rsid w:val="57E73CFE"/>
    <w:rsid w:val="57FD5624"/>
    <w:rsid w:val="58443253"/>
    <w:rsid w:val="58726907"/>
    <w:rsid w:val="58727DC0"/>
    <w:rsid w:val="58977827"/>
    <w:rsid w:val="58F944CD"/>
    <w:rsid w:val="59123351"/>
    <w:rsid w:val="59975605"/>
    <w:rsid w:val="59B30690"/>
    <w:rsid w:val="59ED3476"/>
    <w:rsid w:val="59FE71A1"/>
    <w:rsid w:val="5A0D45CB"/>
    <w:rsid w:val="5A126706"/>
    <w:rsid w:val="5A4E3EC3"/>
    <w:rsid w:val="5A8819BD"/>
    <w:rsid w:val="5AB273A6"/>
    <w:rsid w:val="5AEB1428"/>
    <w:rsid w:val="5B162CB3"/>
    <w:rsid w:val="5B1C5BAC"/>
    <w:rsid w:val="5B8878FB"/>
    <w:rsid w:val="5BA364E3"/>
    <w:rsid w:val="5C076101"/>
    <w:rsid w:val="5C921181"/>
    <w:rsid w:val="5C9A5B38"/>
    <w:rsid w:val="5CB96E6C"/>
    <w:rsid w:val="5CD65E8D"/>
    <w:rsid w:val="5D332FD9"/>
    <w:rsid w:val="5D431D2B"/>
    <w:rsid w:val="5D450717"/>
    <w:rsid w:val="5D537A94"/>
    <w:rsid w:val="5D7460ED"/>
    <w:rsid w:val="5D992397"/>
    <w:rsid w:val="5DA45DDB"/>
    <w:rsid w:val="5E164F9F"/>
    <w:rsid w:val="5E245420"/>
    <w:rsid w:val="5E2A0C16"/>
    <w:rsid w:val="5E47584B"/>
    <w:rsid w:val="5E4A533B"/>
    <w:rsid w:val="5E9058C6"/>
    <w:rsid w:val="5ED9571B"/>
    <w:rsid w:val="5F0D0843"/>
    <w:rsid w:val="5FBC6BF8"/>
    <w:rsid w:val="5FD2369C"/>
    <w:rsid w:val="5FDE1325"/>
    <w:rsid w:val="5FED41D0"/>
    <w:rsid w:val="5FF941C5"/>
    <w:rsid w:val="601479AF"/>
    <w:rsid w:val="6040670C"/>
    <w:rsid w:val="60875EA6"/>
    <w:rsid w:val="610C1529"/>
    <w:rsid w:val="611853DC"/>
    <w:rsid w:val="61562976"/>
    <w:rsid w:val="61831064"/>
    <w:rsid w:val="61BA081E"/>
    <w:rsid w:val="61F23D20"/>
    <w:rsid w:val="621719D8"/>
    <w:rsid w:val="62202A47"/>
    <w:rsid w:val="622C5484"/>
    <w:rsid w:val="624C7C24"/>
    <w:rsid w:val="62683450"/>
    <w:rsid w:val="626B20F6"/>
    <w:rsid w:val="62A325AA"/>
    <w:rsid w:val="62E80D13"/>
    <w:rsid w:val="63AD2407"/>
    <w:rsid w:val="63B76F2E"/>
    <w:rsid w:val="64090828"/>
    <w:rsid w:val="64272733"/>
    <w:rsid w:val="645762D1"/>
    <w:rsid w:val="64592C2F"/>
    <w:rsid w:val="646F6157"/>
    <w:rsid w:val="64774C83"/>
    <w:rsid w:val="648F3CAE"/>
    <w:rsid w:val="64D769E5"/>
    <w:rsid w:val="65102E3B"/>
    <w:rsid w:val="65384140"/>
    <w:rsid w:val="65730121"/>
    <w:rsid w:val="65751386"/>
    <w:rsid w:val="65A42430"/>
    <w:rsid w:val="65A719D2"/>
    <w:rsid w:val="65BC7A46"/>
    <w:rsid w:val="65CB6D62"/>
    <w:rsid w:val="65D81F3E"/>
    <w:rsid w:val="66124991"/>
    <w:rsid w:val="66313668"/>
    <w:rsid w:val="666A6307"/>
    <w:rsid w:val="66784883"/>
    <w:rsid w:val="66A3383B"/>
    <w:rsid w:val="66B7293D"/>
    <w:rsid w:val="66BE2423"/>
    <w:rsid w:val="66DE146A"/>
    <w:rsid w:val="66E348EF"/>
    <w:rsid w:val="673E7F8F"/>
    <w:rsid w:val="674548F2"/>
    <w:rsid w:val="67517AAE"/>
    <w:rsid w:val="6773665D"/>
    <w:rsid w:val="678319BB"/>
    <w:rsid w:val="678D4D32"/>
    <w:rsid w:val="679F04A6"/>
    <w:rsid w:val="67B04461"/>
    <w:rsid w:val="67CB129B"/>
    <w:rsid w:val="68376930"/>
    <w:rsid w:val="68425D9D"/>
    <w:rsid w:val="685F19E3"/>
    <w:rsid w:val="689C2C37"/>
    <w:rsid w:val="68B2073E"/>
    <w:rsid w:val="68D2550C"/>
    <w:rsid w:val="68E02B24"/>
    <w:rsid w:val="69185360"/>
    <w:rsid w:val="69450E38"/>
    <w:rsid w:val="69A022B3"/>
    <w:rsid w:val="69BA48EF"/>
    <w:rsid w:val="69CA7330"/>
    <w:rsid w:val="69F33097"/>
    <w:rsid w:val="6A6257BB"/>
    <w:rsid w:val="6A744B29"/>
    <w:rsid w:val="6A7633FB"/>
    <w:rsid w:val="6A771266"/>
    <w:rsid w:val="6A97135E"/>
    <w:rsid w:val="6AFE3937"/>
    <w:rsid w:val="6B046BEB"/>
    <w:rsid w:val="6B2E7245"/>
    <w:rsid w:val="6B355D51"/>
    <w:rsid w:val="6B6E4966"/>
    <w:rsid w:val="6B8121CF"/>
    <w:rsid w:val="6B887001"/>
    <w:rsid w:val="6B8D0247"/>
    <w:rsid w:val="6C1539A4"/>
    <w:rsid w:val="6C3B132D"/>
    <w:rsid w:val="6C9121CF"/>
    <w:rsid w:val="6CC1002E"/>
    <w:rsid w:val="6CE4695B"/>
    <w:rsid w:val="6CEC3059"/>
    <w:rsid w:val="6D312A89"/>
    <w:rsid w:val="6D5B4B57"/>
    <w:rsid w:val="6D5F207F"/>
    <w:rsid w:val="6D7B7659"/>
    <w:rsid w:val="6DBA55FC"/>
    <w:rsid w:val="6DD23B29"/>
    <w:rsid w:val="6E0F45B2"/>
    <w:rsid w:val="6E2C4C4F"/>
    <w:rsid w:val="6E2C680B"/>
    <w:rsid w:val="6E380A90"/>
    <w:rsid w:val="6E414065"/>
    <w:rsid w:val="6E42770B"/>
    <w:rsid w:val="6E5A5851"/>
    <w:rsid w:val="6E7445FF"/>
    <w:rsid w:val="6E930736"/>
    <w:rsid w:val="6EA168B2"/>
    <w:rsid w:val="6EA22AE8"/>
    <w:rsid w:val="6EBC193D"/>
    <w:rsid w:val="6EE964AB"/>
    <w:rsid w:val="6F3911E0"/>
    <w:rsid w:val="6F3F60CB"/>
    <w:rsid w:val="6F412182"/>
    <w:rsid w:val="6F740686"/>
    <w:rsid w:val="6F902726"/>
    <w:rsid w:val="6F910C97"/>
    <w:rsid w:val="6FB2492F"/>
    <w:rsid w:val="6FD131C7"/>
    <w:rsid w:val="7020414E"/>
    <w:rsid w:val="705A140E"/>
    <w:rsid w:val="70C26FB3"/>
    <w:rsid w:val="70FB0818"/>
    <w:rsid w:val="70FB12F0"/>
    <w:rsid w:val="7125628F"/>
    <w:rsid w:val="712C41AA"/>
    <w:rsid w:val="71A83F40"/>
    <w:rsid w:val="71CB4B3B"/>
    <w:rsid w:val="71E511AB"/>
    <w:rsid w:val="722872EA"/>
    <w:rsid w:val="72353657"/>
    <w:rsid w:val="72646910"/>
    <w:rsid w:val="729E6E1D"/>
    <w:rsid w:val="72CF0D44"/>
    <w:rsid w:val="72F378F8"/>
    <w:rsid w:val="732E6B82"/>
    <w:rsid w:val="736305DA"/>
    <w:rsid w:val="73655E5D"/>
    <w:rsid w:val="73886292"/>
    <w:rsid w:val="73A71426"/>
    <w:rsid w:val="73AE409F"/>
    <w:rsid w:val="73C117A4"/>
    <w:rsid w:val="73CC2623"/>
    <w:rsid w:val="73DD02F0"/>
    <w:rsid w:val="73E13BF4"/>
    <w:rsid w:val="73E57241"/>
    <w:rsid w:val="742A6D76"/>
    <w:rsid w:val="742D6E39"/>
    <w:rsid w:val="744A1799"/>
    <w:rsid w:val="74654825"/>
    <w:rsid w:val="74710609"/>
    <w:rsid w:val="74B310ED"/>
    <w:rsid w:val="74B80510"/>
    <w:rsid w:val="74F743EA"/>
    <w:rsid w:val="75297256"/>
    <w:rsid w:val="757F1917"/>
    <w:rsid w:val="75A86778"/>
    <w:rsid w:val="75B16F76"/>
    <w:rsid w:val="75F850C5"/>
    <w:rsid w:val="761429BF"/>
    <w:rsid w:val="7621652A"/>
    <w:rsid w:val="76372DA2"/>
    <w:rsid w:val="766E410F"/>
    <w:rsid w:val="76AE24B4"/>
    <w:rsid w:val="770D607D"/>
    <w:rsid w:val="772A38F0"/>
    <w:rsid w:val="7730111A"/>
    <w:rsid w:val="77A31398"/>
    <w:rsid w:val="77A45665"/>
    <w:rsid w:val="77F03269"/>
    <w:rsid w:val="780516DE"/>
    <w:rsid w:val="78450BF6"/>
    <w:rsid w:val="78590B0C"/>
    <w:rsid w:val="78917997"/>
    <w:rsid w:val="78CD3270"/>
    <w:rsid w:val="78CD4747"/>
    <w:rsid w:val="78F45C2F"/>
    <w:rsid w:val="79071BC9"/>
    <w:rsid w:val="791F3411"/>
    <w:rsid w:val="79283D6B"/>
    <w:rsid w:val="796F7AAB"/>
    <w:rsid w:val="79775469"/>
    <w:rsid w:val="79D55FA9"/>
    <w:rsid w:val="7A431165"/>
    <w:rsid w:val="7A9F0687"/>
    <w:rsid w:val="7ABE6A3D"/>
    <w:rsid w:val="7AE04583"/>
    <w:rsid w:val="7AEF4E49"/>
    <w:rsid w:val="7B7B66DC"/>
    <w:rsid w:val="7B807969"/>
    <w:rsid w:val="7B937DBA"/>
    <w:rsid w:val="7BA7127F"/>
    <w:rsid w:val="7BD227A0"/>
    <w:rsid w:val="7BFD3595"/>
    <w:rsid w:val="7C3C40BE"/>
    <w:rsid w:val="7C887303"/>
    <w:rsid w:val="7CC0084B"/>
    <w:rsid w:val="7CCE78A7"/>
    <w:rsid w:val="7D1D43C4"/>
    <w:rsid w:val="7D420907"/>
    <w:rsid w:val="7D440C77"/>
    <w:rsid w:val="7D6124C2"/>
    <w:rsid w:val="7D7A4E9D"/>
    <w:rsid w:val="7D7D673C"/>
    <w:rsid w:val="7D8F0CD2"/>
    <w:rsid w:val="7DFC3B04"/>
    <w:rsid w:val="7E13212B"/>
    <w:rsid w:val="7E3E411D"/>
    <w:rsid w:val="7E44021D"/>
    <w:rsid w:val="7E643B3C"/>
    <w:rsid w:val="7E7318ED"/>
    <w:rsid w:val="7EF667A6"/>
    <w:rsid w:val="7F1E3F4E"/>
    <w:rsid w:val="7F431AE6"/>
    <w:rsid w:val="7F4671F8"/>
    <w:rsid w:val="7F47383C"/>
    <w:rsid w:val="7F7678E7"/>
    <w:rsid w:val="7F985AAF"/>
    <w:rsid w:val="7F9D4E73"/>
    <w:rsid w:val="7FA73F44"/>
    <w:rsid w:val="7FC76394"/>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ind w:firstLine="420" w:firstLineChars="200"/>
      <w:jc w:val="both"/>
    </w:pPr>
    <w:rPr>
      <w:rFonts w:ascii="微软雅黑" w:hAnsi="微软雅黑" w:eastAsia="微软雅黑" w:cstheme="minorBidi"/>
      <w:sz w:val="21"/>
      <w:szCs w:val="22"/>
      <w:lang w:val="en-US" w:eastAsia="zh-CN" w:bidi="ar-SA"/>
    </w:rPr>
  </w:style>
  <w:style w:type="paragraph" w:styleId="3">
    <w:name w:val="heading 1"/>
    <w:basedOn w:val="1"/>
    <w:next w:val="1"/>
    <w:link w:val="30"/>
    <w:qFormat/>
    <w:uiPriority w:val="9"/>
    <w:pPr>
      <w:keepNext/>
      <w:keepLines/>
      <w:numPr>
        <w:ilvl w:val="0"/>
        <w:numId w:val="1"/>
      </w:numPr>
      <w:spacing w:before="340" w:after="330"/>
      <w:ind w:firstLine="0" w:firstLineChars="0"/>
      <w:outlineLvl w:val="0"/>
    </w:pPr>
    <w:rPr>
      <w:b/>
      <w:bCs/>
      <w:kern w:val="44"/>
      <w:sz w:val="44"/>
      <w:szCs w:val="44"/>
    </w:rPr>
  </w:style>
  <w:style w:type="paragraph" w:styleId="4">
    <w:name w:val="heading 2"/>
    <w:basedOn w:val="1"/>
    <w:next w:val="1"/>
    <w:link w:val="31"/>
    <w:unhideWhenUsed/>
    <w:qFormat/>
    <w:uiPriority w:val="9"/>
    <w:pPr>
      <w:keepNext/>
      <w:keepLines/>
      <w:numPr>
        <w:ilvl w:val="1"/>
        <w:numId w:val="1"/>
      </w:numPr>
      <w:spacing w:before="260" w:after="260"/>
      <w:ind w:firstLine="0" w:firstLineChars="0"/>
      <w:outlineLvl w:val="1"/>
    </w:pPr>
    <w:rPr>
      <w:rFonts w:cstheme="majorBidi"/>
      <w:b/>
      <w:bCs/>
      <w:sz w:val="32"/>
      <w:szCs w:val="32"/>
    </w:rPr>
  </w:style>
  <w:style w:type="paragraph" w:styleId="5">
    <w:name w:val="heading 3"/>
    <w:basedOn w:val="1"/>
    <w:next w:val="1"/>
    <w:link w:val="32"/>
    <w:unhideWhenUsed/>
    <w:qFormat/>
    <w:uiPriority w:val="9"/>
    <w:pPr>
      <w:keepNext/>
      <w:keepLines/>
      <w:numPr>
        <w:ilvl w:val="2"/>
        <w:numId w:val="1"/>
      </w:numPr>
      <w:spacing w:before="260" w:after="260"/>
      <w:ind w:firstLine="0" w:firstLineChars="0"/>
      <w:outlineLvl w:val="2"/>
    </w:pPr>
    <w:rPr>
      <w:b/>
      <w:bCs/>
      <w:sz w:val="28"/>
      <w:szCs w:val="32"/>
    </w:rPr>
  </w:style>
  <w:style w:type="paragraph" w:styleId="6">
    <w:name w:val="heading 4"/>
    <w:basedOn w:val="1"/>
    <w:next w:val="1"/>
    <w:unhideWhenUsed/>
    <w:qFormat/>
    <w:uiPriority w:val="9"/>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7">
    <w:name w:val="heading 5"/>
    <w:basedOn w:val="1"/>
    <w:next w:val="1"/>
    <w:unhideWhenUsed/>
    <w:qFormat/>
    <w:uiPriority w:val="9"/>
    <w:pPr>
      <w:keepNext/>
      <w:keepLines/>
      <w:numPr>
        <w:ilvl w:val="4"/>
        <w:numId w:val="1"/>
      </w:numPr>
      <w:spacing w:before="280" w:after="290" w:line="372" w:lineRule="auto"/>
      <w:ind w:firstLine="0" w:firstLineChars="0"/>
      <w:outlineLvl w:val="4"/>
    </w:pPr>
    <w:rPr>
      <w:b/>
      <w:sz w:val="28"/>
    </w:rPr>
  </w:style>
  <w:style w:type="paragraph" w:styleId="8">
    <w:name w:val="heading 6"/>
    <w:basedOn w:val="1"/>
    <w:next w:val="1"/>
    <w:semiHidden/>
    <w:unhideWhenUsed/>
    <w:qFormat/>
    <w:uiPriority w:val="9"/>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9">
    <w:name w:val="heading 7"/>
    <w:basedOn w:val="1"/>
    <w:next w:val="1"/>
    <w:semiHidden/>
    <w:unhideWhenUsed/>
    <w:qFormat/>
    <w:uiPriority w:val="9"/>
    <w:pPr>
      <w:keepNext/>
      <w:keepLines/>
      <w:numPr>
        <w:ilvl w:val="6"/>
        <w:numId w:val="1"/>
      </w:numPr>
      <w:spacing w:before="240" w:after="64" w:line="317" w:lineRule="auto"/>
      <w:ind w:firstLine="0" w:firstLineChars="0"/>
      <w:outlineLvl w:val="6"/>
    </w:pPr>
    <w:rPr>
      <w:b/>
      <w:sz w:val="24"/>
    </w:rPr>
  </w:style>
  <w:style w:type="paragraph" w:styleId="10">
    <w:name w:val="heading 8"/>
    <w:basedOn w:val="1"/>
    <w:next w:val="1"/>
    <w:semiHidden/>
    <w:unhideWhenUsed/>
    <w:qFormat/>
    <w:uiPriority w:val="9"/>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1">
    <w:name w:val="heading 9"/>
    <w:basedOn w:val="1"/>
    <w:next w:val="1"/>
    <w:semiHidden/>
    <w:unhideWhenUsed/>
    <w:qFormat/>
    <w:uiPriority w:val="9"/>
    <w:pPr>
      <w:keepNext/>
      <w:keepLines/>
      <w:numPr>
        <w:ilvl w:val="8"/>
        <w:numId w:val="1"/>
      </w:numPr>
      <w:spacing w:before="240" w:after="64" w:line="317" w:lineRule="auto"/>
      <w:ind w:firstLine="0" w:firstLineChars="0"/>
      <w:outlineLvl w:val="8"/>
    </w:pPr>
    <w:rPr>
      <w:rFonts w:ascii="Arial" w:hAnsi="Arial" w:eastAsia="黑体"/>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12">
    <w:name w:val="Normal Indent"/>
    <w:basedOn w:val="1"/>
    <w:qFormat/>
    <w:uiPriority w:val="0"/>
    <w:rPr>
      <w:szCs w:val="20"/>
    </w:rPr>
  </w:style>
  <w:style w:type="paragraph" w:styleId="13">
    <w:name w:val="Body Text"/>
    <w:basedOn w:val="1"/>
    <w:next w:val="14"/>
    <w:link w:val="43"/>
    <w:unhideWhenUsed/>
    <w:qFormat/>
    <w:uiPriority w:val="99"/>
    <w:pPr>
      <w:adjustRightInd/>
      <w:snapToGrid/>
      <w:spacing w:after="120"/>
      <w:ind w:firstLine="0" w:firstLineChars="0"/>
    </w:pPr>
    <w:rPr>
      <w:rFonts w:ascii="Times New Roman" w:hAnsi="Times New Roman" w:eastAsia="宋体" w:cs="Times New Roman"/>
      <w:sz w:val="20"/>
      <w:szCs w:val="20"/>
    </w:rPr>
  </w:style>
  <w:style w:type="paragraph" w:styleId="14">
    <w:name w:val="Body Text First Indent"/>
    <w:basedOn w:val="13"/>
    <w:next w:val="13"/>
    <w:qFormat/>
    <w:uiPriority w:val="0"/>
    <w:pPr>
      <w:ind w:firstLine="420" w:firstLineChars="100"/>
    </w:pPr>
  </w:style>
  <w:style w:type="paragraph" w:styleId="15">
    <w:name w:val="Body Text Indent"/>
    <w:basedOn w:val="1"/>
    <w:qFormat/>
    <w:uiPriority w:val="0"/>
    <w:pPr>
      <w:spacing w:after="120"/>
      <w:ind w:left="420" w:leftChars="200"/>
    </w:pPr>
  </w:style>
  <w:style w:type="paragraph" w:styleId="16">
    <w:name w:val="Plain Text"/>
    <w:basedOn w:val="1"/>
    <w:qFormat/>
    <w:uiPriority w:val="99"/>
    <w:rPr>
      <w:rFonts w:ascii="宋体" w:hAnsi="Courier New"/>
    </w:rPr>
  </w:style>
  <w:style w:type="paragraph" w:styleId="17">
    <w:name w:val="footer"/>
    <w:basedOn w:val="1"/>
    <w:link w:val="39"/>
    <w:unhideWhenUsed/>
    <w:qFormat/>
    <w:uiPriority w:val="99"/>
    <w:pPr>
      <w:tabs>
        <w:tab w:val="center" w:pos="4153"/>
        <w:tab w:val="right" w:pos="8306"/>
      </w:tabs>
      <w:jc w:val="left"/>
    </w:pPr>
    <w:rPr>
      <w:sz w:val="18"/>
      <w:szCs w:val="18"/>
    </w:rPr>
  </w:style>
  <w:style w:type="paragraph" w:styleId="18">
    <w:name w:val="header"/>
    <w:basedOn w:val="1"/>
    <w:link w:val="38"/>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qFormat/>
    <w:uiPriority w:val="39"/>
    <w:pPr>
      <w:widowControl/>
      <w:jc w:val="left"/>
    </w:pPr>
    <w:rPr>
      <w:b/>
      <w:sz w:val="30"/>
    </w:rPr>
  </w:style>
  <w:style w:type="paragraph" w:styleId="20">
    <w:name w:val="Subtitle"/>
    <w:basedOn w:val="1"/>
    <w:next w:val="1"/>
    <w:link w:val="45"/>
    <w:qFormat/>
    <w:uiPriority w:val="11"/>
    <w:pPr>
      <w:adjustRightInd/>
      <w:snapToGrid/>
      <w:spacing w:before="240" w:after="60" w:line="312" w:lineRule="auto"/>
      <w:ind w:firstLine="0" w:firstLineChars="0"/>
      <w:jc w:val="center"/>
      <w:outlineLvl w:val="1"/>
    </w:pPr>
    <w:rPr>
      <w:rFonts w:eastAsia="宋体" w:asciiTheme="majorHAnsi" w:hAnsiTheme="majorHAnsi" w:cstheme="majorBidi"/>
      <w:b/>
      <w:bCs/>
      <w:kern w:val="28"/>
      <w:sz w:val="32"/>
      <w:szCs w:val="32"/>
    </w:rPr>
  </w:style>
  <w:style w:type="paragraph" w:styleId="21">
    <w:name w:val="Normal (Web)"/>
    <w:basedOn w:val="1"/>
    <w:qFormat/>
    <w:uiPriority w:val="99"/>
    <w:pPr>
      <w:widowControl/>
      <w:spacing w:before="100" w:beforeAutospacing="1" w:after="100" w:afterAutospacing="1"/>
      <w:jc w:val="left"/>
    </w:pPr>
    <w:rPr>
      <w:rFonts w:ascii="宋体" w:hAnsi="宋体"/>
      <w:sz w:val="24"/>
    </w:rPr>
  </w:style>
  <w:style w:type="paragraph" w:styleId="22">
    <w:name w:val="Body Text First Indent 2"/>
    <w:basedOn w:val="15"/>
    <w:qFormat/>
    <w:uiPriority w:val="0"/>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Table Theme"/>
    <w:basedOn w:val="23"/>
    <w:qFormat/>
    <w:uiPriority w:val="99"/>
    <w:pPr>
      <w:widowControl w:val="0"/>
      <w:jc w:val="both"/>
    </w:pPr>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Hyperlink"/>
    <w:basedOn w:val="26"/>
    <w:unhideWhenUsed/>
    <w:qFormat/>
    <w:uiPriority w:val="99"/>
    <w:rPr>
      <w:color w:val="0563C1" w:themeColor="hyperlink"/>
      <w:u w:val="single"/>
      <w14:textFill>
        <w14:solidFill>
          <w14:schemeClr w14:val="hlink"/>
        </w14:solidFill>
      </w14:textFill>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标题 1 字符"/>
    <w:basedOn w:val="26"/>
    <w:link w:val="3"/>
    <w:qFormat/>
    <w:uiPriority w:val="9"/>
    <w:rPr>
      <w:rFonts w:ascii="微软雅黑" w:hAnsi="微软雅黑" w:eastAsia="微软雅黑" w:cstheme="minorBidi"/>
      <w:b/>
      <w:bCs/>
      <w:kern w:val="44"/>
      <w:sz w:val="44"/>
      <w:szCs w:val="44"/>
    </w:rPr>
  </w:style>
  <w:style w:type="character" w:customStyle="1" w:styleId="31">
    <w:name w:val="标题 2 字符"/>
    <w:basedOn w:val="26"/>
    <w:link w:val="4"/>
    <w:qFormat/>
    <w:uiPriority w:val="9"/>
    <w:rPr>
      <w:rFonts w:ascii="微软雅黑" w:hAnsi="微软雅黑" w:eastAsia="微软雅黑" w:cstheme="majorBidi"/>
      <w:b/>
      <w:bCs/>
      <w:sz w:val="32"/>
      <w:szCs w:val="32"/>
    </w:rPr>
  </w:style>
  <w:style w:type="character" w:customStyle="1" w:styleId="32">
    <w:name w:val="标题 3 字符"/>
    <w:basedOn w:val="26"/>
    <w:link w:val="5"/>
    <w:qFormat/>
    <w:uiPriority w:val="9"/>
    <w:rPr>
      <w:rFonts w:ascii="微软雅黑" w:hAnsi="微软雅黑" w:eastAsia="微软雅黑" w:cstheme="minorBidi"/>
      <w:b/>
      <w:bCs/>
      <w:sz w:val="28"/>
      <w:szCs w:val="32"/>
    </w:rPr>
  </w:style>
  <w:style w:type="paragraph" w:customStyle="1" w:styleId="33">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styleId="34">
    <w:name w:val="List Paragraph"/>
    <w:basedOn w:val="1"/>
    <w:next w:val="1"/>
    <w:link w:val="35"/>
    <w:qFormat/>
    <w:uiPriority w:val="34"/>
    <w:pPr>
      <w:adjustRightInd/>
      <w:snapToGrid/>
    </w:pPr>
    <w:rPr>
      <w:rFonts w:ascii="Calibri" w:hAnsi="Calibri" w:eastAsia="宋体" w:cs="Times New Roman"/>
      <w:kern w:val="2"/>
      <w:lang w:val="zh-CN"/>
    </w:rPr>
  </w:style>
  <w:style w:type="character" w:customStyle="1" w:styleId="35">
    <w:name w:val="列表段落 字符"/>
    <w:link w:val="34"/>
    <w:qFormat/>
    <w:uiPriority w:val="34"/>
    <w:rPr>
      <w:rFonts w:ascii="Calibri" w:hAnsi="Calibri" w:eastAsia="宋体" w:cs="Times New Roman"/>
      <w:lang w:val="zh-CN" w:eastAsia="zh-CN"/>
    </w:rPr>
  </w:style>
  <w:style w:type="paragraph" w:customStyle="1" w:styleId="36">
    <w:name w:val="列出段落1"/>
    <w:basedOn w:val="1"/>
    <w:link w:val="37"/>
    <w:qFormat/>
    <w:uiPriority w:val="34"/>
    <w:pPr>
      <w:adjustRightInd/>
      <w:snapToGrid/>
    </w:pPr>
    <w:rPr>
      <w:rFonts w:ascii="Times New Roman" w:hAnsi="Times New Roman" w:eastAsia="宋体" w:cs="Times New Roman"/>
      <w:kern w:val="2"/>
      <w:szCs w:val="20"/>
    </w:rPr>
  </w:style>
  <w:style w:type="character" w:customStyle="1" w:styleId="37">
    <w:name w:val="List Paragraph Char"/>
    <w:link w:val="36"/>
    <w:qFormat/>
    <w:uiPriority w:val="0"/>
    <w:rPr>
      <w:rFonts w:ascii="Times New Roman" w:hAnsi="Times New Roman" w:eastAsia="宋体" w:cs="Times New Roman"/>
      <w:szCs w:val="20"/>
    </w:rPr>
  </w:style>
  <w:style w:type="character" w:customStyle="1" w:styleId="38">
    <w:name w:val="页眉 字符"/>
    <w:basedOn w:val="26"/>
    <w:link w:val="18"/>
    <w:qFormat/>
    <w:uiPriority w:val="99"/>
    <w:rPr>
      <w:rFonts w:ascii="微软雅黑" w:hAnsi="微软雅黑" w:eastAsia="微软雅黑"/>
      <w:kern w:val="0"/>
      <w:sz w:val="18"/>
      <w:szCs w:val="18"/>
    </w:rPr>
  </w:style>
  <w:style w:type="character" w:customStyle="1" w:styleId="39">
    <w:name w:val="页脚 字符"/>
    <w:basedOn w:val="26"/>
    <w:link w:val="17"/>
    <w:qFormat/>
    <w:uiPriority w:val="99"/>
    <w:rPr>
      <w:rFonts w:ascii="微软雅黑" w:hAnsi="微软雅黑" w:eastAsia="微软雅黑"/>
      <w:kern w:val="0"/>
      <w:sz w:val="18"/>
      <w:szCs w:val="18"/>
    </w:rPr>
  </w:style>
  <w:style w:type="character" w:customStyle="1" w:styleId="40">
    <w:name w:val="列出段落 Char"/>
    <w:qFormat/>
    <w:uiPriority w:val="0"/>
    <w:rPr>
      <w:kern w:val="2"/>
      <w:sz w:val="21"/>
      <w:szCs w:val="22"/>
    </w:rPr>
  </w:style>
  <w:style w:type="paragraph" w:customStyle="1" w:styleId="41">
    <w:name w:val="List Paragraph1"/>
    <w:basedOn w:val="1"/>
    <w:qFormat/>
    <w:uiPriority w:val="99"/>
    <w:pPr>
      <w:adjustRightInd/>
      <w:snapToGrid/>
    </w:pPr>
    <w:rPr>
      <w:rFonts w:ascii="Times New Roman" w:hAnsi="Times New Roman" w:eastAsia="仿宋_GB2312" w:cs="Times New Roman"/>
      <w:kern w:val="2"/>
      <w:sz w:val="32"/>
      <w:szCs w:val="24"/>
    </w:rPr>
  </w:style>
  <w:style w:type="paragraph" w:customStyle="1" w:styleId="42">
    <w:name w:val="无间隔1"/>
    <w:qFormat/>
    <w:uiPriority w:val="1"/>
    <w:pPr>
      <w:widowControl w:val="0"/>
      <w:adjustRightInd w:val="0"/>
      <w:snapToGrid w:val="0"/>
      <w:jc w:val="both"/>
    </w:pPr>
    <w:rPr>
      <w:rFonts w:ascii="Times New Roman" w:hAnsi="Times New Roman" w:eastAsia="幼圆" w:cs="Times New Roman"/>
      <w:kern w:val="2"/>
      <w:sz w:val="21"/>
      <w:szCs w:val="24"/>
      <w:lang w:val="en-US" w:eastAsia="zh-CN" w:bidi="ar-SA"/>
    </w:rPr>
  </w:style>
  <w:style w:type="character" w:customStyle="1" w:styleId="43">
    <w:name w:val="正文文本 字符"/>
    <w:basedOn w:val="26"/>
    <w:link w:val="13"/>
    <w:qFormat/>
    <w:uiPriority w:val="99"/>
  </w:style>
  <w:style w:type="paragraph" w:customStyle="1" w:styleId="44">
    <w:name w:val="☆ 正文"/>
    <w:basedOn w:val="1"/>
    <w:qFormat/>
    <w:uiPriority w:val="0"/>
    <w:pPr>
      <w:adjustRightInd/>
      <w:snapToGrid/>
      <w:ind w:firstLine="0" w:firstLineChars="0"/>
    </w:pPr>
    <w:rPr>
      <w:rFonts w:ascii="Calibri" w:hAnsi="Calibri" w:eastAsiaTheme="minorEastAsia"/>
      <w:kern w:val="2"/>
    </w:rPr>
  </w:style>
  <w:style w:type="character" w:customStyle="1" w:styleId="45">
    <w:name w:val="副标题 字符"/>
    <w:basedOn w:val="26"/>
    <w:link w:val="20"/>
    <w:qFormat/>
    <w:uiPriority w:val="11"/>
    <w:rPr>
      <w:rFonts w:asciiTheme="majorHAnsi" w:hAnsiTheme="majorHAnsi" w:cstheme="majorBidi"/>
      <w:b/>
      <w:bCs/>
      <w:kern w:val="28"/>
      <w:sz w:val="32"/>
      <w:szCs w:val="32"/>
    </w:rPr>
  </w:style>
  <w:style w:type="paragraph" w:customStyle="1" w:styleId="46">
    <w:name w:val="Table Paragraph"/>
    <w:basedOn w:val="1"/>
    <w:unhideWhenUsed/>
    <w:qFormat/>
    <w:uiPriority w:val="1"/>
    <w:rPr>
      <w:sz w:val="24"/>
    </w:rPr>
  </w:style>
  <w:style w:type="character" w:customStyle="1" w:styleId="47">
    <w:name w:val="font01"/>
    <w:basedOn w:val="26"/>
    <w:qFormat/>
    <w:uiPriority w:val="0"/>
    <w:rPr>
      <w:rFonts w:hint="eastAsia" w:ascii="宋体" w:hAnsi="宋体" w:eastAsia="宋体" w:cs="宋体"/>
      <w:color w:val="000000"/>
      <w:sz w:val="22"/>
      <w:szCs w:val="22"/>
      <w:u w:val="none"/>
    </w:rPr>
  </w:style>
  <w:style w:type="character" w:customStyle="1" w:styleId="48">
    <w:name w:val="font11"/>
    <w:basedOn w:val="26"/>
    <w:qFormat/>
    <w:uiPriority w:val="0"/>
    <w:rPr>
      <w:rFonts w:hint="eastAsia" w:ascii="宋体" w:hAnsi="宋体" w:eastAsia="宋体" w:cs="宋体"/>
      <w:color w:val="FF0000"/>
      <w:sz w:val="22"/>
      <w:szCs w:val="22"/>
      <w:u w:val="none"/>
    </w:rPr>
  </w:style>
  <w:style w:type="paragraph" w:customStyle="1" w:styleId="49">
    <w:name w:val="正文1"/>
    <w:qFormat/>
    <w:uiPriority w:val="0"/>
    <w:pPr>
      <w:widowControl w:val="0"/>
      <w:jc w:val="both"/>
    </w:pPr>
    <w:rPr>
      <w:rFonts w:ascii="Calibri" w:hAnsi="Calibri" w:eastAsia="宋体" w:cs="Times New Roman"/>
      <w:lang w:val="en-US" w:eastAsia="zh-CN" w:bidi="ar-SA"/>
    </w:rPr>
  </w:style>
  <w:style w:type="paragraph" w:customStyle="1" w:styleId="50">
    <w:name w:val="Revision"/>
    <w:hidden/>
    <w:semiHidden/>
    <w:qFormat/>
    <w:uiPriority w:val="99"/>
    <w:rPr>
      <w:rFonts w:ascii="微软雅黑" w:hAnsi="微软雅黑" w:eastAsia="微软雅黑" w:cstheme="minorBidi"/>
      <w:sz w:val="21"/>
      <w:szCs w:val="22"/>
      <w:lang w:val="en-US" w:eastAsia="zh-CN" w:bidi="ar-SA"/>
    </w:rPr>
  </w:style>
  <w:style w:type="character" w:customStyle="1" w:styleId="51">
    <w:name w:val="font41"/>
    <w:basedOn w:val="26"/>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32975</Words>
  <Characters>36620</Characters>
  <Lines>343</Lines>
  <Paragraphs>96</Paragraphs>
  <TotalTime>1</TotalTime>
  <ScaleCrop>false</ScaleCrop>
  <LinksUpToDate>false</LinksUpToDate>
  <CharactersWithSpaces>39797</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2022-09-01T08:59:00Z</dcterms:created>
  <dc:creator>wang feng</dc:creator>
  <cp:lastModifiedBy>Administrator</cp:lastModifiedBy>
  <cp:lastPrinted>2022-09-19T02:37:00Z</cp:lastPrinted>
  <dcterms:modified xsi:type="dcterms:W3CDTF">2022-09-29T06:21:59Z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CD70A92DD7644589935FBEFEC0347487</vt:lpwstr>
  </property>
</Properties>
</file>