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val="0"/>
        <w:bidi w:val="0"/>
        <w:adjustRightInd/>
        <w:snapToGrid/>
        <w:spacing w:before="5" w:line="520" w:lineRule="exact"/>
        <w:jc w:val="center"/>
        <w:textAlignment w:val="auto"/>
        <w:rPr>
          <w:rFonts w:hint="eastAsia" w:ascii="Times New Roman" w:eastAsia="宋体"/>
          <w:b/>
          <w:bCs/>
          <w:sz w:val="32"/>
          <w:szCs w:val="32"/>
          <w:lang w:eastAsia="zh-CN"/>
        </w:rPr>
      </w:pPr>
      <w:bookmarkStart w:id="2" w:name="_GoBack"/>
      <w:r>
        <w:rPr>
          <w:rFonts w:hint="eastAsia" w:ascii="Times New Roman"/>
          <w:b/>
          <w:bCs/>
          <w:sz w:val="32"/>
          <w:szCs w:val="32"/>
          <w:lang w:eastAsia="zh-CN"/>
        </w:rPr>
        <w:t>采购需求</w:t>
      </w:r>
    </w:p>
    <w:bookmarkEnd w:id="2"/>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bookmarkStart w:id="0" w:name="004(4)"/>
      <w:bookmarkEnd w:id="0"/>
      <w:r>
        <w:rPr>
          <w:rFonts w:hint="eastAsia" w:ascii="宋体" w:hAnsi="宋体" w:eastAsia="宋体" w:cs="宋体"/>
          <w:color w:val="auto"/>
          <w:kern w:val="2"/>
          <w:sz w:val="32"/>
          <w:szCs w:val="32"/>
          <w:highlight w:val="none"/>
          <w:lang w:val="en-US" w:eastAsia="zh-CN"/>
        </w:rPr>
        <w:t>一、项目名称：汉滨区中心城区餐饮油烟治理项目</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二、采购需求</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 xml:space="preserve">1、指定区域餐饮油烟治理设施现状调查、排放数据监测采集、区域油烟 </w:t>
      </w:r>
      <w:r>
        <w:rPr>
          <w:rFonts w:hint="eastAsia" w:cs="宋体"/>
          <w:color w:val="auto"/>
          <w:kern w:val="2"/>
          <w:sz w:val="32"/>
          <w:szCs w:val="32"/>
          <w:highlight w:val="none"/>
          <w:lang w:val="en-US" w:eastAsia="zh-CN"/>
        </w:rPr>
        <w:t>VOC</w:t>
      </w:r>
      <w:r>
        <w:rPr>
          <w:rFonts w:hint="eastAsia" w:ascii="宋体" w:hAnsi="宋体" w:eastAsia="宋体" w:cs="宋体"/>
          <w:color w:val="auto"/>
          <w:kern w:val="2"/>
          <w:sz w:val="32"/>
          <w:szCs w:val="32"/>
          <w:highlight w:val="none"/>
          <w:lang w:val="en-US" w:eastAsia="zh-CN"/>
        </w:rPr>
        <w:t>s 总量削减规划、各重点排放点位深度治理方案设计、施工方案设计及实施、长效管控监管措施及平台建设。</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2、实现对划定区域指定餐饮经营单元及油烟排放口的深度治理。包括但不限于餐饮门店、固定区域内的移动餐车排放口、居民楼</w:t>
      </w:r>
      <w:r>
        <w:rPr>
          <w:rFonts w:hint="eastAsia" w:cs="宋体"/>
          <w:color w:val="auto"/>
          <w:kern w:val="2"/>
          <w:sz w:val="32"/>
          <w:szCs w:val="32"/>
          <w:highlight w:val="none"/>
          <w:lang w:val="en-US" w:eastAsia="zh-CN"/>
        </w:rPr>
        <w:t>公共</w:t>
      </w:r>
      <w:r>
        <w:rPr>
          <w:rFonts w:hint="eastAsia" w:ascii="宋体" w:hAnsi="宋体" w:eastAsia="宋体" w:cs="宋体"/>
          <w:color w:val="auto"/>
          <w:kern w:val="2"/>
          <w:sz w:val="32"/>
          <w:szCs w:val="32"/>
          <w:highlight w:val="none"/>
          <w:lang w:val="en-US" w:eastAsia="zh-CN"/>
        </w:rPr>
        <w:t>烟道排放口。</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3、所有深度治理设施均与排放风机实现联动和根据用户实际使用要素改变自动开启／关闭，高效节能，智能化程度高，性能稳定可靠。</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4、基于激光散射法的高效精准餐饮油烟在线监测系统及在线监管平台。设备实时运行状态、排放浓度、运行时长等运行要素数据可追溯30天以上。</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5、对于集中度不高或受地理空间位置无法采用集中处理的，配置移动式油烟处理装置。与管道改造后的移动餐车接驳即可使用。或者是配置专用高效油烟净化移动餐车，实现收集处理一体化。</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6、设立项</w:t>
      </w:r>
      <w:r>
        <w:rPr>
          <w:rFonts w:hint="eastAsia" w:cs="宋体"/>
          <w:color w:val="auto"/>
          <w:kern w:val="2"/>
          <w:sz w:val="32"/>
          <w:szCs w:val="32"/>
          <w:highlight w:val="none"/>
          <w:lang w:val="en-US" w:eastAsia="zh-CN"/>
        </w:rPr>
        <w:t>目</w:t>
      </w:r>
      <w:r>
        <w:rPr>
          <w:rFonts w:hint="eastAsia" w:ascii="宋体" w:hAnsi="宋体" w:eastAsia="宋体" w:cs="宋体"/>
          <w:color w:val="auto"/>
          <w:kern w:val="2"/>
          <w:sz w:val="32"/>
          <w:szCs w:val="32"/>
          <w:highlight w:val="none"/>
          <w:lang w:val="en-US" w:eastAsia="zh-CN"/>
        </w:rPr>
        <w:t>3年的保驾运营期，对目标区域内的餐饮进行动态管理，对业态变化的及时进行治理工艺及设备调整。</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7、提供项目的独立运营监管平台，对项目运行动态，排放指标，设施设备运维情况进行动态管理。实现人机协同、智慧化监管。</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cs="宋体"/>
          <w:color w:val="auto"/>
          <w:kern w:val="2"/>
          <w:sz w:val="32"/>
          <w:szCs w:val="32"/>
          <w:highlight w:val="none"/>
          <w:lang w:val="en-US" w:eastAsia="zh-CN"/>
        </w:rPr>
        <w:t>8、</w:t>
      </w:r>
      <w:r>
        <w:rPr>
          <w:rFonts w:hint="eastAsia" w:ascii="宋体" w:hAnsi="宋体" w:eastAsia="宋体" w:cs="宋体"/>
          <w:color w:val="auto"/>
          <w:kern w:val="2"/>
          <w:sz w:val="32"/>
          <w:szCs w:val="32"/>
          <w:highlight w:val="none"/>
          <w:lang w:val="en-US" w:eastAsia="zh-CN"/>
        </w:rPr>
        <w:t>在设备投入使用前对使用方提供技术培训与保养常识培训。</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cs="宋体"/>
          <w:color w:val="auto"/>
          <w:kern w:val="2"/>
          <w:sz w:val="32"/>
          <w:szCs w:val="32"/>
          <w:highlight w:val="none"/>
          <w:lang w:val="en-US" w:eastAsia="zh-CN"/>
        </w:rPr>
        <w:t>9、</w:t>
      </w:r>
      <w:r>
        <w:rPr>
          <w:rFonts w:hint="eastAsia" w:ascii="宋体" w:hAnsi="宋体" w:eastAsia="宋体" w:cs="宋体"/>
          <w:color w:val="auto"/>
          <w:kern w:val="2"/>
          <w:sz w:val="32"/>
          <w:szCs w:val="32"/>
          <w:highlight w:val="none"/>
          <w:lang w:val="en-US" w:eastAsia="zh-CN"/>
        </w:rPr>
        <w:t>在质保期内保障净化系统稳定运行，达标排放。</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10、售后服务：出现故障在0.5小时内对用户的服务要求作出响应，如果需要上门服务，保证在4小时内到场并进行设备故障排查，给出解决方案。一般问题在8小时内解决，重大问题或其它无法迅速解决的问题在24小时内完成，提供备品备件服务，直至设备运行正常为止，保证餐厅排烟系统的高效正常运转。</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三、排放标准</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1 、餐饮油烟排放限值符合《 饮食业油烟排放标准》(GB18483- 2001）的要求。</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2、本项目所涉及单位排放口油烟排放浓度＜1.Omg/m3，单套净化效率》95 %，且区域内油烟排放总量削减》95%。</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四、验收标准</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1、污染物排放口排放浓度《1.Omg/m3，单套净化效率》95%,油烟排放总量削减95%以上。</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2、标准排放口在线监测设备运行率100%。</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205" w:rightChars="-93" w:firstLine="640" w:firstLineChars="200"/>
        <w:jc w:val="left"/>
        <w:textAlignment w:val="auto"/>
        <w:rPr>
          <w:rFonts w:hint="eastAsia" w:ascii="宋体" w:hAnsi="宋体" w:eastAsia="宋体" w:cs="宋体"/>
          <w:color w:val="auto"/>
          <w:kern w:val="2"/>
          <w:sz w:val="32"/>
          <w:szCs w:val="32"/>
          <w:highlight w:val="none"/>
          <w:lang w:val="en-US" w:eastAsia="zh-CN"/>
        </w:rPr>
        <w:sectPr>
          <w:type w:val="continuous"/>
          <w:pgSz w:w="11910" w:h="16840"/>
          <w:pgMar w:top="1440" w:right="1080" w:bottom="1440" w:left="1080" w:header="720" w:footer="720" w:gutter="0"/>
        </w:sectPr>
      </w:pPr>
      <w:r>
        <w:rPr>
          <w:rFonts w:hint="eastAsia" w:cs="宋体"/>
          <w:color w:val="auto"/>
          <w:kern w:val="2"/>
          <w:sz w:val="32"/>
          <w:szCs w:val="32"/>
          <w:highlight w:val="none"/>
          <w:lang w:val="en-US" w:eastAsia="zh-CN"/>
        </w:rPr>
        <w:t>3、</w:t>
      </w:r>
      <w:r>
        <w:rPr>
          <w:rFonts w:hint="eastAsia" w:ascii="宋体" w:hAnsi="宋体" w:eastAsia="宋体" w:cs="宋体"/>
          <w:color w:val="auto"/>
          <w:kern w:val="2"/>
          <w:sz w:val="32"/>
          <w:szCs w:val="32"/>
          <w:highlight w:val="none"/>
          <w:lang w:val="en-US" w:eastAsia="zh-CN"/>
        </w:rPr>
        <w:t>在线监测平台各项功能全部实现，运行稳定可靠</w:t>
      </w:r>
      <w:r>
        <w:rPr>
          <w:rFonts w:hint="eastAsia" w:ascii="宋体" w:hAnsi="宋体" w:eastAsia="宋体" w:cs="宋体"/>
          <w:color w:val="auto"/>
          <w:kern w:val="2"/>
          <w:sz w:val="32"/>
          <w:szCs w:val="32"/>
          <w:highlight w:val="none"/>
          <w:lang w:val="en-US" w:eastAsia="zh-CN"/>
        </w:rPr>
        <w:pict>
          <v:line id="_x0000_s1026" o:spid="_x0000_s1026" o:spt="20" style="position:absolute;left:0pt;margin-left:499.95pt;margin-top:11.4pt;height:0pt;width:56.15pt;mso-position-horizontal-relative:page;mso-wrap-distance-bottom:0pt;mso-wrap-distance-top:0pt;z-index:2048;mso-width-relative:page;mso-height-relative:page;" stroked="t" coordsize="21600,21600">
            <v:path arrowok="t"/>
            <v:fill focussize="0,0"/>
            <v:stroke weight="0.238110236220472pt" color="#D8D8DF"/>
            <v:imagedata o:title=""/>
            <o:lock v:ext="edit"/>
            <w10:wrap type="topAndBottom"/>
          </v:line>
        </w:pict>
      </w:r>
      <w:r>
        <w:rPr>
          <w:rFonts w:hint="eastAsia" w:ascii="宋体" w:hAnsi="宋体" w:eastAsia="宋体" w:cs="宋体"/>
          <w:color w:val="auto"/>
          <w:kern w:val="2"/>
          <w:sz w:val="32"/>
          <w:szCs w:val="32"/>
          <w:highlight w:val="none"/>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right="-205" w:rightChars="-93"/>
        <w:jc w:val="left"/>
        <w:rPr>
          <w:rFonts w:hint="eastAsia" w:ascii="宋体" w:hAnsi="宋体" w:eastAsia="宋体" w:cs="宋体"/>
          <w:color w:val="auto"/>
          <w:kern w:val="2"/>
          <w:sz w:val="28"/>
          <w:szCs w:val="28"/>
          <w:highlight w:val="none"/>
          <w:lang w:val="en-US" w:eastAsia="zh-CN"/>
        </w:rPr>
      </w:pPr>
      <w:bookmarkStart w:id="1" w:name="005"/>
      <w:bookmarkEnd w:id="1"/>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13"/>
        </w:rPr>
      </w:pPr>
      <w:r>
        <w:pict>
          <v:line id="_x0000_s1027" o:spid="_x0000_s1027" o:spt="20" style="position:absolute;left:0pt;margin-left:367.75pt;margin-top:10.65pt;height:0pt;width:75.65pt;mso-position-horizontal-relative:page;mso-wrap-distance-bottom:0pt;mso-wrap-distance-top:0pt;z-index:2048;mso-width-relative:page;mso-height-relative:page;" stroked="t" coordsize="21600,21600">
            <v:path arrowok="t"/>
            <v:fill focussize="0,0"/>
            <v:stroke weight="0.239448818897638pt" color="#D4D4DB"/>
            <v:imagedata o:title=""/>
            <o:lock v:ext="edit"/>
            <w10:wrap type="topAndBottom"/>
          </v:line>
        </w:pict>
      </w:r>
    </w:p>
    <w:sectPr>
      <w:pgSz w:w="11910" w:h="16840"/>
      <w:pgMar w:top="1580" w:right="1300" w:bottom="0" w:left="14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2"/>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234A60A3"/>
    <w:rsid w:val="2EBD1BA1"/>
    <w:rsid w:val="30A71A5B"/>
    <w:rsid w:val="3CF14F4D"/>
    <w:rsid w:val="3F1E69EE"/>
    <w:rsid w:val="3FBE4FA8"/>
    <w:rsid w:val="69187BA0"/>
    <w:rsid w:val="6E193C82"/>
    <w:rsid w:val="76573A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4"/>
    <w:basedOn w:val="1"/>
    <w:next w:val="1"/>
    <w:qFormat/>
    <w:uiPriority w:val="9"/>
    <w:pPr>
      <w:keepNext/>
      <w:keepLines/>
      <w:numPr>
        <w:ilvl w:val="3"/>
        <w:numId w:val="1"/>
      </w:numPr>
      <w:spacing w:before="280" w:after="290" w:line="376" w:lineRule="atLeast"/>
      <w:textAlignment w:val="baseline"/>
      <w:outlineLvl w:val="3"/>
    </w:pPr>
    <w:rPr>
      <w:rFonts w:ascii="Arial" w:hAnsi="Arial"/>
      <w:b/>
      <w:spacing w:val="20"/>
      <w:sz w:val="28"/>
      <w:szCs w:val="20"/>
    </w:rPr>
  </w:style>
  <w:style w:type="character" w:default="1" w:styleId="4">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2022-10-13T17:41:00Z</dcterms:created>
  <dc:creator>Administrator</dc:creator>
  <cp:lastModifiedBy>Administrator</cp:lastModifiedBy>
  <dcterms:modified xsi:type="dcterms:W3CDTF">2022-10-14T08:40:01Z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Adobe Acrobat 9.0</vt:lpwstr>
  </property>
  <property fmtid="{D5CDD505-2E9C-101B-9397-08002B2CF9AE}" pid="4" name="LastSaved">
    <vt:filetime>2022-10-13T00:00:00Z</vt:filetime>
  </property>
  <property fmtid="{D5CDD505-2E9C-101B-9397-08002B2CF9AE}" pid="5" name="KSOProductBuildVer">
    <vt:lpwstr>2052-11.8.2.8053</vt:lpwstr>
  </property>
</Properties>
</file>