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s="仿宋"/>
          <w:b/>
          <w:color w:val="auto"/>
          <w:sz w:val="36"/>
          <w:highlight w:val="none"/>
          <w:lang w:eastAsia="zh-CN"/>
        </w:rPr>
      </w:pPr>
      <w:r>
        <w:rPr>
          <w:rFonts w:hint="eastAsia" w:ascii="楷体" w:hAnsi="楷体" w:eastAsia="楷体" w:cs="仿宋"/>
          <w:b/>
          <w:bCs/>
          <w:color w:val="auto"/>
          <w:sz w:val="32"/>
          <w:szCs w:val="32"/>
          <w:highlight w:val="none"/>
        </w:rPr>
        <w:t>项目编号：</w:t>
      </w:r>
      <w:r>
        <w:rPr>
          <w:rFonts w:hint="eastAsia" w:ascii="楷体" w:hAnsi="楷体" w:eastAsia="楷体" w:cs="仿宋"/>
          <w:b/>
          <w:bCs/>
          <w:color w:val="auto"/>
          <w:sz w:val="32"/>
          <w:szCs w:val="32"/>
          <w:highlight w:val="none"/>
          <w:lang w:eastAsia="zh-CN"/>
        </w:rPr>
        <w:t>ZYZB2022-CS1115</w:t>
      </w:r>
    </w:p>
    <w:p>
      <w:pPr>
        <w:rPr>
          <w:rFonts w:hint="eastAsia" w:ascii="楷体" w:hAnsi="楷体" w:eastAsia="楷体" w:cs="仿宋"/>
          <w:b/>
          <w:color w:val="auto"/>
          <w:sz w:val="36"/>
          <w:highlight w:val="none"/>
        </w:rPr>
      </w:pPr>
    </w:p>
    <w:p>
      <w:pPr>
        <w:jc w:val="center"/>
        <w:rPr>
          <w:rFonts w:ascii="楷体" w:hAnsi="楷体" w:eastAsia="楷体" w:cs="仿宋"/>
          <w:b/>
          <w:color w:val="auto"/>
          <w:sz w:val="36"/>
          <w:szCs w:val="36"/>
          <w:highlight w:val="none"/>
        </w:rPr>
      </w:pPr>
    </w:p>
    <w:p>
      <w:pPr>
        <w:pStyle w:val="21"/>
        <w:rPr>
          <w:color w:val="auto"/>
          <w:highlight w:val="none"/>
        </w:rPr>
      </w:pPr>
    </w:p>
    <w:p>
      <w:pPr>
        <w:pStyle w:val="14"/>
        <w:rPr>
          <w:rFonts w:hint="eastAsia" w:ascii="楷体" w:hAnsi="楷体" w:eastAsia="楷体"/>
          <w:color w:val="auto"/>
          <w:highlight w:val="none"/>
        </w:rPr>
      </w:pPr>
    </w:p>
    <w:p>
      <w:pPr>
        <w:spacing w:line="780" w:lineRule="auto"/>
        <w:jc w:val="center"/>
        <w:rPr>
          <w:rFonts w:hint="eastAsia" w:ascii="楷体" w:hAnsi="楷体" w:eastAsia="楷体" w:cs="仿宋"/>
          <w:b/>
          <w:color w:val="auto"/>
          <w:sz w:val="64"/>
          <w:szCs w:val="64"/>
          <w:highlight w:val="none"/>
          <w:lang w:eastAsia="zh-CN"/>
        </w:rPr>
      </w:pPr>
      <w:r>
        <w:rPr>
          <w:rFonts w:hint="eastAsia" w:ascii="楷体" w:hAnsi="楷体" w:eastAsia="楷体" w:cs="仿宋"/>
          <w:b/>
          <w:color w:val="auto"/>
          <w:sz w:val="64"/>
          <w:szCs w:val="64"/>
          <w:highlight w:val="none"/>
          <w:lang w:eastAsia="zh-CN"/>
        </w:rPr>
        <w:t>汉阴县汉阴中学教学主楼</w:t>
      </w:r>
    </w:p>
    <w:p>
      <w:pPr>
        <w:spacing w:line="780" w:lineRule="auto"/>
        <w:jc w:val="center"/>
        <w:rPr>
          <w:rFonts w:hint="eastAsia" w:ascii="楷体" w:hAnsi="楷体" w:eastAsia="楷体" w:cs="仿宋"/>
          <w:b/>
          <w:color w:val="auto"/>
          <w:sz w:val="64"/>
          <w:szCs w:val="64"/>
          <w:highlight w:val="none"/>
          <w:lang w:eastAsia="zh-CN"/>
        </w:rPr>
      </w:pPr>
      <w:r>
        <w:rPr>
          <w:rFonts w:hint="eastAsia" w:ascii="楷体" w:hAnsi="楷体" w:eastAsia="楷体" w:cs="仿宋"/>
          <w:b/>
          <w:color w:val="auto"/>
          <w:sz w:val="64"/>
          <w:szCs w:val="64"/>
          <w:highlight w:val="none"/>
          <w:lang w:eastAsia="zh-CN"/>
        </w:rPr>
        <w:t>智慧黑板采购项目</w:t>
      </w:r>
    </w:p>
    <w:p>
      <w:pPr>
        <w:rPr>
          <w:rFonts w:hint="eastAsia" w:ascii="楷体" w:hAnsi="楷体" w:eastAsia="楷体" w:cs="仿宋"/>
          <w:b/>
          <w:color w:val="auto"/>
          <w:sz w:val="36"/>
          <w:szCs w:val="36"/>
          <w:highlight w:val="none"/>
        </w:rPr>
      </w:pPr>
    </w:p>
    <w:p>
      <w:pPr>
        <w:jc w:val="center"/>
        <w:rPr>
          <w:rFonts w:hint="eastAsia" w:ascii="楷体" w:hAnsi="楷体" w:eastAsia="楷体" w:cs="仿宋"/>
          <w:b/>
          <w:color w:val="auto"/>
          <w:sz w:val="36"/>
          <w:szCs w:val="36"/>
          <w:highlight w:val="none"/>
        </w:rPr>
      </w:pPr>
    </w:p>
    <w:p>
      <w:pPr>
        <w:pStyle w:val="32"/>
        <w:rPr>
          <w:rFonts w:hint="eastAsia" w:ascii="楷体" w:hAnsi="楷体" w:eastAsia="楷体" w:cs="仿宋"/>
          <w:b/>
          <w:color w:val="auto"/>
          <w:sz w:val="36"/>
          <w:szCs w:val="36"/>
          <w:highlight w:val="none"/>
        </w:rPr>
      </w:pPr>
    </w:p>
    <w:p>
      <w:pPr>
        <w:rPr>
          <w:rFonts w:hint="eastAsia"/>
          <w:color w:val="auto"/>
          <w:highlight w:val="none"/>
        </w:rPr>
      </w:pPr>
    </w:p>
    <w:p>
      <w:pPr>
        <w:spacing w:line="780" w:lineRule="auto"/>
        <w:jc w:val="center"/>
        <w:rPr>
          <w:rFonts w:hint="eastAsia" w:ascii="楷体" w:hAnsi="楷体" w:eastAsia="楷体" w:cs="仿宋"/>
          <w:b/>
          <w:color w:val="auto"/>
          <w:sz w:val="88"/>
          <w:szCs w:val="88"/>
          <w:highlight w:val="none"/>
        </w:rPr>
      </w:pPr>
      <w:r>
        <w:rPr>
          <w:rFonts w:hint="eastAsia" w:ascii="楷体" w:hAnsi="楷体" w:eastAsia="楷体" w:cs="仿宋"/>
          <w:b/>
          <w:color w:val="auto"/>
          <w:sz w:val="88"/>
          <w:szCs w:val="88"/>
          <w:highlight w:val="none"/>
        </w:rPr>
        <w:t>磋商文件</w:t>
      </w:r>
    </w:p>
    <w:p>
      <w:pPr>
        <w:rPr>
          <w:rFonts w:hint="eastAsia" w:ascii="楷体" w:hAnsi="楷体" w:eastAsia="楷体" w:cs="仿宋"/>
          <w:color w:val="auto"/>
          <w:sz w:val="36"/>
          <w:szCs w:val="36"/>
          <w:highlight w:val="none"/>
        </w:rPr>
      </w:pPr>
    </w:p>
    <w:p>
      <w:pPr>
        <w:pStyle w:val="21"/>
        <w:rPr>
          <w:rFonts w:hint="eastAsia" w:ascii="楷体" w:hAnsi="楷体" w:eastAsia="楷体" w:cs="仿宋"/>
          <w:color w:val="auto"/>
          <w:sz w:val="36"/>
          <w:szCs w:val="36"/>
          <w:highlight w:val="none"/>
        </w:rPr>
      </w:pPr>
    </w:p>
    <w:p>
      <w:pPr>
        <w:pStyle w:val="39"/>
        <w:rPr>
          <w:rFonts w:hint="eastAsia"/>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jc w:val="center"/>
        <w:rPr>
          <w:rFonts w:hint="eastAsia" w:ascii="楷体" w:hAnsi="楷体" w:eastAsia="楷体" w:cs="仿宋"/>
          <w:b/>
          <w:bCs/>
          <w:color w:val="auto"/>
          <w:sz w:val="32"/>
          <w:szCs w:val="32"/>
          <w:highlight w:val="none"/>
        </w:rPr>
      </w:pPr>
      <w:r>
        <w:rPr>
          <w:rFonts w:hint="eastAsia" w:ascii="楷体" w:hAnsi="楷体" w:eastAsia="楷体" w:cs="仿宋"/>
          <w:b/>
          <w:bCs/>
          <w:color w:val="auto"/>
          <w:sz w:val="32"/>
          <w:szCs w:val="32"/>
          <w:highlight w:val="none"/>
        </w:rPr>
        <w:t>陕西正翼招标代理有限公司</w:t>
      </w:r>
    </w:p>
    <w:p>
      <w:pPr>
        <w:tabs>
          <w:tab w:val="left" w:pos="525"/>
        </w:tabs>
        <w:ind w:left="-2" w:leftChars="-1" w:firstLine="1"/>
        <w:jc w:val="center"/>
        <w:rPr>
          <w:rFonts w:hint="eastAsia" w:ascii="楷体" w:hAnsi="楷体" w:eastAsia="楷体" w:cs="仿宋"/>
          <w:b/>
          <w:bCs/>
          <w:color w:val="auto"/>
          <w:sz w:val="32"/>
          <w:szCs w:val="32"/>
          <w:highlight w:val="none"/>
        </w:rPr>
      </w:pPr>
      <w:r>
        <w:rPr>
          <w:rFonts w:hint="eastAsia" w:ascii="楷体" w:hAnsi="楷体" w:eastAsia="楷体" w:cs="仿宋"/>
          <w:b/>
          <w:bCs/>
          <w:color w:val="auto"/>
          <w:sz w:val="32"/>
          <w:szCs w:val="32"/>
          <w:highlight w:val="none"/>
        </w:rPr>
        <w:t>202</w:t>
      </w:r>
      <w:r>
        <w:rPr>
          <w:rFonts w:hint="eastAsia" w:ascii="楷体" w:hAnsi="楷体" w:eastAsia="楷体" w:cs="仿宋"/>
          <w:b/>
          <w:bCs/>
          <w:color w:val="auto"/>
          <w:sz w:val="32"/>
          <w:szCs w:val="32"/>
          <w:highlight w:val="none"/>
          <w:lang w:val="en-US" w:eastAsia="zh-CN"/>
        </w:rPr>
        <w:t>2</w:t>
      </w:r>
      <w:r>
        <w:rPr>
          <w:rFonts w:hint="eastAsia" w:ascii="楷体" w:hAnsi="楷体" w:eastAsia="楷体" w:cs="仿宋"/>
          <w:b/>
          <w:bCs/>
          <w:color w:val="auto"/>
          <w:sz w:val="32"/>
          <w:szCs w:val="32"/>
          <w:highlight w:val="none"/>
        </w:rPr>
        <w:t>年</w:t>
      </w:r>
      <w:r>
        <w:rPr>
          <w:rFonts w:hint="eastAsia" w:ascii="楷体" w:hAnsi="楷体" w:eastAsia="楷体" w:cs="仿宋"/>
          <w:b/>
          <w:bCs/>
          <w:color w:val="auto"/>
          <w:sz w:val="32"/>
          <w:szCs w:val="32"/>
          <w:highlight w:val="none"/>
          <w:lang w:val="en-US" w:eastAsia="zh-CN"/>
        </w:rPr>
        <w:t>7</w:t>
      </w:r>
      <w:r>
        <w:rPr>
          <w:rFonts w:hint="eastAsia" w:ascii="楷体" w:hAnsi="楷体" w:eastAsia="楷体" w:cs="仿宋"/>
          <w:b/>
          <w:bCs/>
          <w:color w:val="auto"/>
          <w:sz w:val="32"/>
          <w:szCs w:val="32"/>
          <w:highlight w:val="none"/>
        </w:rPr>
        <w:t>月</w:t>
      </w:r>
    </w:p>
    <w:p>
      <w:pPr>
        <w:pStyle w:val="21"/>
        <w:rPr>
          <w:rFonts w:hint="eastAsia"/>
          <w:color w:val="auto"/>
          <w:highlight w:val="none"/>
        </w:rPr>
      </w:pPr>
    </w:p>
    <w:p>
      <w:pPr>
        <w:spacing w:line="360" w:lineRule="auto"/>
        <w:jc w:val="center"/>
        <w:rPr>
          <w:rFonts w:hint="eastAsia" w:ascii="楷体" w:hAnsi="楷体" w:eastAsia="楷体" w:cs="楷体"/>
          <w:b/>
          <w:color w:val="auto"/>
          <w:sz w:val="44"/>
          <w:szCs w:val="44"/>
          <w:highlight w:val="none"/>
        </w:rPr>
      </w:pPr>
      <w:r>
        <w:rPr>
          <w:rFonts w:hint="eastAsia" w:ascii="楷体" w:hAnsi="楷体" w:eastAsia="楷体" w:cs="楷体"/>
          <w:b/>
          <w:color w:val="auto"/>
          <w:sz w:val="44"/>
          <w:szCs w:val="44"/>
          <w:highlight w:val="none"/>
        </w:rPr>
        <w:t>注意事项</w:t>
      </w:r>
    </w:p>
    <w:p>
      <w:pPr>
        <w:pStyle w:val="200"/>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textAlignment w:val="auto"/>
        <w:rPr>
          <w:rFonts w:hint="eastAsia" w:ascii="楷体" w:hAnsi="楷体" w:eastAsia="楷体" w:cs="仿宋"/>
          <w:b w:val="0"/>
          <w:bCs w:val="0"/>
          <w:color w:val="auto"/>
          <w:szCs w:val="24"/>
          <w:highlight w:val="none"/>
          <w:lang w:eastAsia="zh-CN"/>
        </w:rPr>
      </w:pPr>
      <w:r>
        <w:rPr>
          <w:rFonts w:hint="eastAsia" w:ascii="楷体" w:hAnsi="楷体" w:eastAsia="楷体" w:cs="仿宋"/>
          <w:b w:val="0"/>
          <w:bCs w:val="0"/>
          <w:color w:val="auto"/>
          <w:szCs w:val="24"/>
          <w:highlight w:val="none"/>
        </w:rPr>
        <w:t>1、</w:t>
      </w:r>
      <w:r>
        <w:rPr>
          <w:rFonts w:hint="eastAsia" w:ascii="楷体" w:hAnsi="楷体" w:eastAsia="楷体" w:cs="仿宋"/>
          <w:b/>
          <w:bCs/>
          <w:color w:val="auto"/>
          <w:szCs w:val="24"/>
          <w:highlight w:val="none"/>
        </w:rPr>
        <w:t>本项目采用电子化投标方式</w:t>
      </w:r>
      <w:r>
        <w:rPr>
          <w:rFonts w:hint="eastAsia" w:ascii="楷体" w:hAnsi="楷体" w:eastAsia="楷体" w:cs="仿宋"/>
          <w:b w:val="0"/>
          <w:bCs w:val="0"/>
          <w:color w:val="auto"/>
          <w:szCs w:val="24"/>
          <w:highlight w:val="none"/>
        </w:rPr>
        <w:t>。投标人须使用数字认证证书对电子投标文件进行签章、加密、递交及开标时解密等相关招投标事宜。开标时请务必带数字认证证书，如因</w:t>
      </w:r>
      <w:r>
        <w:rPr>
          <w:rFonts w:hint="eastAsia" w:ascii="楷体" w:hAnsi="楷体" w:eastAsia="楷体" w:cs="仿宋"/>
          <w:b w:val="0"/>
          <w:bCs w:val="0"/>
          <w:color w:val="auto"/>
          <w:szCs w:val="24"/>
          <w:highlight w:val="none"/>
          <w:lang w:eastAsia="zh-CN"/>
        </w:rPr>
        <w:t>投标单位</w:t>
      </w:r>
      <w:r>
        <w:rPr>
          <w:rFonts w:hint="eastAsia" w:ascii="楷体" w:hAnsi="楷体" w:eastAsia="楷体" w:cs="仿宋"/>
          <w:b w:val="0"/>
          <w:bCs w:val="0"/>
          <w:color w:val="auto"/>
          <w:szCs w:val="24"/>
          <w:highlight w:val="none"/>
        </w:rPr>
        <w:t>自身原因未携带数字认证证书造成无法解投标文件，按无效投标对待。</w:t>
      </w:r>
    </w:p>
    <w:p>
      <w:pPr>
        <w:pStyle w:val="20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仿宋"/>
          <w:b w:val="0"/>
          <w:bCs w:val="0"/>
          <w:color w:val="auto"/>
          <w:szCs w:val="24"/>
          <w:highlight w:val="none"/>
          <w:lang w:eastAsia="zh-CN"/>
        </w:rPr>
      </w:pPr>
      <w:r>
        <w:rPr>
          <w:rFonts w:hint="eastAsia" w:ascii="楷体" w:hAnsi="楷体" w:eastAsia="楷体" w:cs="仿宋"/>
          <w:b w:val="0"/>
          <w:bCs w:val="0"/>
          <w:color w:val="auto"/>
          <w:szCs w:val="24"/>
          <w:highlight w:val="none"/>
        </w:rPr>
        <w:t>   </w:t>
      </w:r>
      <w:r>
        <w:rPr>
          <w:rFonts w:hint="eastAsia" w:ascii="楷体" w:hAnsi="楷体" w:eastAsia="楷体" w:cs="仿宋"/>
          <w:b w:val="0"/>
          <w:bCs w:val="0"/>
          <w:color w:val="auto"/>
          <w:szCs w:val="24"/>
          <w:highlight w:val="none"/>
          <w:lang w:val="en-US" w:eastAsia="zh-CN"/>
        </w:rPr>
        <w:t>2</w:t>
      </w:r>
      <w:r>
        <w:rPr>
          <w:rFonts w:hint="eastAsia" w:ascii="楷体" w:hAnsi="楷体" w:eastAsia="楷体" w:cs="仿宋"/>
          <w:b w:val="0"/>
          <w:bCs w:val="0"/>
          <w:color w:val="auto"/>
          <w:szCs w:val="24"/>
          <w:highlight w:val="none"/>
        </w:rPr>
        <w:t>、制作电子投标文件。投标人须在“全国公共资源交易中心平合(陕西省)</w:t>
      </w:r>
      <w:r>
        <w:rPr>
          <w:rFonts w:hint="eastAsia" w:ascii="楷体" w:hAnsi="楷体" w:eastAsia="楷体" w:cs="仿宋"/>
          <w:b w:val="0"/>
          <w:bCs w:val="0"/>
          <w:color w:val="auto"/>
          <w:szCs w:val="24"/>
          <w:highlight w:val="none"/>
          <w:lang w:val="en-US" w:eastAsia="zh-CN"/>
        </w:rPr>
        <w:t>h</w:t>
      </w:r>
      <w:r>
        <w:rPr>
          <w:rFonts w:hint="eastAsia" w:ascii="楷体" w:hAnsi="楷体" w:eastAsia="楷体" w:cs="仿宋"/>
          <w:b w:val="0"/>
          <w:bCs w:val="0"/>
          <w:color w:val="auto"/>
          <w:szCs w:val="24"/>
          <w:highlight w:val="none"/>
        </w:rPr>
        <w:t>tt</w:t>
      </w:r>
      <w:r>
        <w:rPr>
          <w:rFonts w:hint="eastAsia" w:ascii="楷体" w:hAnsi="楷体" w:eastAsia="楷体" w:cs="仿宋"/>
          <w:b w:val="0"/>
          <w:bCs w:val="0"/>
          <w:color w:val="auto"/>
          <w:szCs w:val="24"/>
          <w:highlight w:val="none"/>
          <w:lang w:val="en-US" w:eastAsia="zh-CN"/>
        </w:rPr>
        <w:t>p</w:t>
      </w:r>
      <w:r>
        <w:rPr>
          <w:rFonts w:hint="eastAsia" w:ascii="楷体" w:hAnsi="楷体" w:eastAsia="楷体" w:cs="仿宋"/>
          <w:b w:val="0"/>
          <w:bCs w:val="0"/>
          <w:color w:val="auto"/>
          <w:szCs w:val="24"/>
          <w:highlight w:val="none"/>
        </w:rPr>
        <w:t>:/</w:t>
      </w:r>
      <w:r>
        <w:rPr>
          <w:rFonts w:hint="eastAsia" w:ascii="楷体" w:hAnsi="楷体" w:eastAsia="楷体" w:cs="仿宋"/>
          <w:b w:val="0"/>
          <w:bCs w:val="0"/>
          <w:color w:val="auto"/>
          <w:szCs w:val="24"/>
          <w:highlight w:val="none"/>
          <w:lang w:val="en-US" w:eastAsia="zh-CN"/>
        </w:rPr>
        <w:t>w</w:t>
      </w:r>
      <w:r>
        <w:rPr>
          <w:rFonts w:hint="eastAsia" w:ascii="楷体" w:hAnsi="楷体" w:eastAsia="楷体" w:cs="仿宋"/>
          <w:b w:val="0"/>
          <w:bCs w:val="0"/>
          <w:color w:val="auto"/>
          <w:szCs w:val="24"/>
          <w:highlight w:val="none"/>
        </w:rPr>
        <w:t>ww.</w:t>
      </w:r>
      <w:r>
        <w:rPr>
          <w:rFonts w:hint="eastAsia" w:ascii="楷体" w:hAnsi="楷体" w:eastAsia="楷体" w:cs="仿宋"/>
          <w:b w:val="0"/>
          <w:bCs w:val="0"/>
          <w:color w:val="auto"/>
          <w:szCs w:val="24"/>
          <w:highlight w:val="none"/>
          <w:lang w:val="en-US" w:eastAsia="zh-CN"/>
        </w:rPr>
        <w:t>s</w:t>
      </w:r>
      <w:r>
        <w:rPr>
          <w:rFonts w:hint="eastAsia" w:ascii="楷体" w:hAnsi="楷体" w:eastAsia="楷体" w:cs="仿宋"/>
          <w:b w:val="0"/>
          <w:bCs w:val="0"/>
          <w:color w:val="auto"/>
          <w:szCs w:val="24"/>
          <w:highlight w:val="none"/>
        </w:rPr>
        <w:t>xggzyjy.cn/的“服务指南”栏目“下载专区”中，免费下载“陕西省公共资源交易平台政府采购电子标书制作工具)”，并升级至最新版本，使用该客户端制作电子投标文件，制作扩展名为“. SXSTF”的电子投标文件。”</w:t>
      </w:r>
    </w:p>
    <w:p>
      <w:pPr>
        <w:pStyle w:val="20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仿宋"/>
          <w:b w:val="0"/>
          <w:bCs w:val="0"/>
          <w:color w:val="auto"/>
          <w:szCs w:val="24"/>
          <w:highlight w:val="none"/>
          <w:lang w:eastAsia="zh-CN"/>
        </w:rPr>
      </w:pPr>
      <w:r>
        <w:rPr>
          <w:rFonts w:hint="eastAsia" w:ascii="楷体" w:hAnsi="楷体" w:eastAsia="楷体" w:cs="仿宋"/>
          <w:b w:val="0"/>
          <w:bCs w:val="0"/>
          <w:color w:val="auto"/>
          <w:szCs w:val="24"/>
          <w:highlight w:val="none"/>
        </w:rPr>
        <w:t>   </w:t>
      </w:r>
      <w:r>
        <w:rPr>
          <w:rFonts w:hint="eastAsia" w:ascii="楷体" w:hAnsi="楷体" w:eastAsia="楷体" w:cs="仿宋"/>
          <w:b w:val="0"/>
          <w:bCs w:val="0"/>
          <w:color w:val="auto"/>
          <w:szCs w:val="24"/>
          <w:highlight w:val="none"/>
          <w:lang w:val="en-US" w:eastAsia="zh-CN"/>
        </w:rPr>
        <w:t>3</w:t>
      </w:r>
      <w:r>
        <w:rPr>
          <w:rFonts w:hint="eastAsia" w:ascii="楷体" w:hAnsi="楷体" w:eastAsia="楷体" w:cs="仿宋"/>
          <w:b w:val="0"/>
          <w:bCs w:val="0"/>
          <w:color w:val="auto"/>
          <w:szCs w:val="24"/>
          <w:highlight w:val="none"/>
        </w:rPr>
        <w:t>、递交电子投标文件。登录全国公共资源交易中心平台(陕西省)</w:t>
      </w:r>
      <w:r>
        <w:rPr>
          <w:rFonts w:hint="eastAsia" w:ascii="楷体" w:hAnsi="楷体" w:eastAsia="楷体" w:cs="仿宋"/>
          <w:b w:val="0"/>
          <w:bCs w:val="0"/>
          <w:color w:val="auto"/>
          <w:szCs w:val="24"/>
          <w:highlight w:val="none"/>
          <w:lang w:val="en-US" w:eastAsia="zh-CN"/>
        </w:rPr>
        <w:t>h</w:t>
      </w:r>
      <w:r>
        <w:rPr>
          <w:rFonts w:hint="eastAsia" w:ascii="楷体" w:hAnsi="楷体" w:eastAsia="楷体" w:cs="仿宋"/>
          <w:b w:val="0"/>
          <w:bCs w:val="0"/>
          <w:color w:val="auto"/>
          <w:szCs w:val="24"/>
          <w:highlight w:val="none"/>
        </w:rPr>
        <w:t>tt</w:t>
      </w:r>
      <w:r>
        <w:rPr>
          <w:rFonts w:hint="eastAsia" w:ascii="楷体" w:hAnsi="楷体" w:eastAsia="楷体" w:cs="仿宋"/>
          <w:b w:val="0"/>
          <w:bCs w:val="0"/>
          <w:color w:val="auto"/>
          <w:szCs w:val="24"/>
          <w:highlight w:val="none"/>
          <w:lang w:val="en-US" w:eastAsia="zh-CN"/>
        </w:rPr>
        <w:t>p</w:t>
      </w:r>
      <w:r>
        <w:rPr>
          <w:rFonts w:hint="eastAsia" w:ascii="楷体" w:hAnsi="楷体" w:eastAsia="楷体" w:cs="仿宋"/>
          <w:b w:val="0"/>
          <w:bCs w:val="0"/>
          <w:color w:val="auto"/>
          <w:szCs w:val="24"/>
          <w:highlight w:val="none"/>
        </w:rPr>
        <w:t>:/</w:t>
      </w:r>
      <w:r>
        <w:rPr>
          <w:rFonts w:hint="eastAsia" w:ascii="楷体" w:hAnsi="楷体" w:eastAsia="楷体" w:cs="仿宋"/>
          <w:b w:val="0"/>
          <w:bCs w:val="0"/>
          <w:color w:val="auto"/>
          <w:szCs w:val="24"/>
          <w:highlight w:val="none"/>
          <w:lang w:val="en-US" w:eastAsia="zh-CN"/>
        </w:rPr>
        <w:t>w</w:t>
      </w:r>
      <w:r>
        <w:rPr>
          <w:rFonts w:hint="eastAsia" w:ascii="楷体" w:hAnsi="楷体" w:eastAsia="楷体" w:cs="仿宋"/>
          <w:b w:val="0"/>
          <w:bCs w:val="0"/>
          <w:color w:val="auto"/>
          <w:szCs w:val="24"/>
          <w:highlight w:val="none"/>
        </w:rPr>
        <w:t>ww.sxggzyj</w:t>
      </w:r>
      <w:r>
        <w:rPr>
          <w:rFonts w:hint="eastAsia" w:ascii="楷体" w:hAnsi="楷体" w:eastAsia="楷体" w:cs="仿宋"/>
          <w:b w:val="0"/>
          <w:bCs w:val="0"/>
          <w:color w:val="auto"/>
          <w:szCs w:val="24"/>
          <w:highlight w:val="none"/>
          <w:lang w:val="en-US" w:eastAsia="zh-CN"/>
        </w:rPr>
        <w:t>y.</w:t>
      </w:r>
      <w:r>
        <w:rPr>
          <w:rFonts w:hint="eastAsia" w:ascii="楷体" w:hAnsi="楷体" w:eastAsia="楷体" w:cs="仿宋"/>
          <w:b w:val="0"/>
          <w:bCs w:val="0"/>
          <w:color w:val="auto"/>
          <w:szCs w:val="24"/>
          <w:highlight w:val="none"/>
        </w:rPr>
        <w:t>cn/),选择“电子交易平台一陕西政府采购交易系统- 企业端”进行登录，登录后选择“交易乙方”身份进入，进入菜单“采购业务-我的项目一项目流程- -. 上传响应文件”，上传加密的电子投标文件。上传成功后，电子化平台将予以记录。</w:t>
      </w:r>
    </w:p>
    <w:p>
      <w:pPr>
        <w:pStyle w:val="20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仿宋"/>
          <w:b w:val="0"/>
          <w:bCs w:val="0"/>
          <w:color w:val="auto"/>
          <w:szCs w:val="24"/>
          <w:highlight w:val="none"/>
        </w:rPr>
      </w:pPr>
      <w:r>
        <w:rPr>
          <w:rFonts w:hint="eastAsia" w:ascii="楷体" w:hAnsi="楷体" w:eastAsia="楷体" w:cs="仿宋"/>
          <w:b w:val="0"/>
          <w:bCs w:val="0"/>
          <w:color w:val="auto"/>
          <w:szCs w:val="24"/>
          <w:highlight w:val="none"/>
          <w:lang w:val="en-US" w:eastAsia="zh-CN"/>
        </w:rPr>
        <w:t xml:space="preserve">   4</w:t>
      </w:r>
      <w:r>
        <w:rPr>
          <w:rFonts w:hint="eastAsia" w:ascii="楷体" w:hAnsi="楷体" w:eastAsia="楷体" w:cs="仿宋"/>
          <w:b w:val="0"/>
          <w:bCs w:val="0"/>
          <w:color w:val="auto"/>
          <w:szCs w:val="24"/>
          <w:highlight w:val="none"/>
        </w:rPr>
        <w:t>、</w:t>
      </w:r>
      <w:r>
        <w:rPr>
          <w:rFonts w:hint="eastAsia" w:ascii="楷体" w:hAnsi="楷体" w:eastAsia="楷体" w:cs="仿宋"/>
          <w:b w:val="0"/>
          <w:bCs w:val="0"/>
          <w:color w:val="auto"/>
          <w:szCs w:val="24"/>
          <w:highlight w:val="none"/>
          <w:lang w:eastAsia="zh-CN"/>
        </w:rPr>
        <w:t>投标单位</w:t>
      </w:r>
      <w:r>
        <w:rPr>
          <w:rFonts w:hint="eastAsia" w:ascii="楷体" w:hAnsi="楷体" w:eastAsia="楷体" w:cs="仿宋"/>
          <w:b w:val="0"/>
          <w:bCs w:val="0"/>
          <w:color w:val="auto"/>
          <w:szCs w:val="24"/>
          <w:highlight w:val="none"/>
        </w:rPr>
        <w:t>拒绝对电子投标文件进行解密的;因</w:t>
      </w:r>
      <w:r>
        <w:rPr>
          <w:rFonts w:hint="eastAsia" w:ascii="楷体" w:hAnsi="楷体" w:eastAsia="楷体" w:cs="仿宋"/>
          <w:b w:val="0"/>
          <w:bCs w:val="0"/>
          <w:color w:val="auto"/>
          <w:szCs w:val="24"/>
          <w:highlight w:val="none"/>
          <w:lang w:eastAsia="zh-CN"/>
        </w:rPr>
        <w:t>投标单位</w:t>
      </w:r>
      <w:r>
        <w:rPr>
          <w:rFonts w:hint="eastAsia" w:ascii="楷体" w:hAnsi="楷体" w:eastAsia="楷体" w:cs="仿宋"/>
          <w:b w:val="0"/>
          <w:bCs w:val="0"/>
          <w:color w:val="auto"/>
          <w:szCs w:val="24"/>
          <w:highlight w:val="none"/>
        </w:rPr>
        <w:t>自身原因(如未带CA锁、或所带CA锁与制作电子投标文件使用的CA锁不一致、或沿用旧版招标文件编制投标文件等情形)导致在规定时间内无法解密投标文件的，上传的电子投标文件无法打开的都将按照无效处理。</w:t>
      </w:r>
    </w:p>
    <w:p>
      <w:pPr>
        <w:pStyle w:val="20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楷体" w:hAnsi="楷体" w:eastAsia="楷体" w:cs="仿宋"/>
          <w:b w:val="0"/>
          <w:bCs w:val="0"/>
          <w:color w:val="auto"/>
          <w:szCs w:val="24"/>
          <w:highlight w:val="none"/>
          <w:lang w:val="en-US" w:eastAsia="zh-CN"/>
        </w:rPr>
      </w:pPr>
      <w:r>
        <w:rPr>
          <w:rFonts w:hint="eastAsia" w:ascii="楷体" w:hAnsi="楷体" w:eastAsia="楷体" w:cs="仿宋"/>
          <w:b w:val="0"/>
          <w:bCs w:val="0"/>
          <w:color w:val="auto"/>
          <w:szCs w:val="24"/>
          <w:highlight w:val="none"/>
          <w:lang w:val="en-US" w:eastAsia="zh-CN"/>
        </w:rPr>
        <w:t>5、已报名单位如不参与项目投标，须在递交投标文件截止时间至少前一日以书面形式告知采购代理机构（接收邮箱：sxzyzbgs@163.com）。否则，采购代理机构将向财政部门如实反应相关情况。投标人一年内累计出现三次该情形，将被监督部门记录为失信行为。</w:t>
      </w:r>
    </w:p>
    <w:p>
      <w:pPr>
        <w:rPr>
          <w:rFonts w:hint="eastAsia" w:ascii="楷体" w:hAnsi="楷体" w:eastAsia="楷体" w:cs="仿宋"/>
          <w:b/>
          <w:color w:val="auto"/>
          <w:sz w:val="52"/>
          <w:szCs w:val="52"/>
          <w:highlight w:val="none"/>
        </w:rPr>
      </w:pPr>
    </w:p>
    <w:p>
      <w:pPr>
        <w:pStyle w:val="21"/>
        <w:rPr>
          <w:rFonts w:hint="eastAsia" w:ascii="楷体" w:hAnsi="楷体" w:eastAsia="楷体" w:cs="仿宋"/>
          <w:b/>
          <w:color w:val="auto"/>
          <w:sz w:val="52"/>
          <w:szCs w:val="52"/>
          <w:highlight w:val="none"/>
        </w:rPr>
      </w:pPr>
    </w:p>
    <w:p>
      <w:pPr>
        <w:rPr>
          <w:rFonts w:hint="eastAsia"/>
          <w:color w:val="auto"/>
          <w:highlight w:val="none"/>
        </w:rPr>
      </w:pPr>
    </w:p>
    <w:p>
      <w:pPr>
        <w:jc w:val="center"/>
        <w:rPr>
          <w:rFonts w:hint="eastAsia" w:ascii="楷体" w:hAnsi="楷体" w:eastAsia="楷体" w:cs="仿宋"/>
          <w:b/>
          <w:color w:val="auto"/>
          <w:sz w:val="52"/>
          <w:szCs w:val="52"/>
          <w:highlight w:val="none"/>
        </w:rPr>
      </w:pPr>
    </w:p>
    <w:p>
      <w:pPr>
        <w:jc w:val="center"/>
        <w:rPr>
          <w:rFonts w:hint="eastAsia" w:ascii="楷体" w:hAnsi="楷体" w:eastAsia="楷体" w:cs="仿宋"/>
          <w:b/>
          <w:color w:val="auto"/>
          <w:sz w:val="52"/>
          <w:szCs w:val="52"/>
          <w:highlight w:val="none"/>
        </w:rPr>
      </w:pPr>
      <w:r>
        <w:rPr>
          <w:rFonts w:hint="eastAsia" w:ascii="楷体" w:hAnsi="楷体" w:eastAsia="楷体" w:cs="仿宋"/>
          <w:b/>
          <w:color w:val="auto"/>
          <w:sz w:val="52"/>
          <w:szCs w:val="52"/>
          <w:highlight w:val="none"/>
        </w:rPr>
        <w:t>目   录</w:t>
      </w:r>
    </w:p>
    <w:p>
      <w:pPr>
        <w:pStyle w:val="32"/>
        <w:tabs>
          <w:tab w:val="right" w:leader="dot" w:pos="8302"/>
        </w:tabs>
        <w:spacing w:line="720" w:lineRule="auto"/>
        <w:rPr>
          <w:rFonts w:hint="eastAsia" w:ascii="楷体" w:hAnsi="楷体" w:eastAsia="楷体" w:cs="仿宋"/>
          <w:color w:val="auto"/>
          <w:sz w:val="28"/>
          <w:szCs w:val="28"/>
          <w:highlight w:val="none"/>
        </w:rPr>
      </w:pPr>
    </w:p>
    <w:p>
      <w:pPr>
        <w:pStyle w:val="32"/>
        <w:tabs>
          <w:tab w:val="right" w:leader="dot" w:pos="8296"/>
        </w:tabs>
        <w:spacing w:line="600" w:lineRule="auto"/>
        <w:rPr>
          <w:rFonts w:ascii="楷体" w:hAnsi="楷体" w:eastAsia="楷体"/>
          <w:color w:val="auto"/>
          <w:kern w:val="2"/>
          <w:sz w:val="30"/>
          <w:szCs w:val="30"/>
          <w:highlight w:val="none"/>
          <w:lang w:val="en-US" w:eastAsia="zh-CN"/>
        </w:rPr>
      </w:pPr>
      <w:bookmarkStart w:id="0" w:name="_Toc19886"/>
      <w:bookmarkStart w:id="1" w:name="_Toc5293"/>
      <w:bookmarkStart w:id="2" w:name="_Toc20858"/>
      <w:bookmarkStart w:id="3" w:name="_Toc20652"/>
      <w:bookmarkStart w:id="4" w:name="_Toc389582033"/>
      <w:bookmarkStart w:id="5" w:name="_Toc16218"/>
      <w:bookmarkStart w:id="6" w:name="_Toc21518"/>
      <w:bookmarkStart w:id="7" w:name="_Toc27420"/>
      <w:bookmarkStart w:id="8" w:name="_Toc363474016"/>
      <w:bookmarkStart w:id="9" w:name="_Toc403077638"/>
      <w:bookmarkStart w:id="10" w:name="_Toc363473971"/>
      <w:r>
        <w:rPr>
          <w:rFonts w:ascii="楷体" w:hAnsi="楷体" w:eastAsia="楷体" w:cs="仿宋"/>
          <w:color w:val="auto"/>
          <w:sz w:val="32"/>
          <w:szCs w:val="28"/>
          <w:highlight w:val="none"/>
        </w:rPr>
        <w:fldChar w:fldCharType="begin"/>
      </w:r>
      <w:r>
        <w:rPr>
          <w:rFonts w:ascii="楷体" w:hAnsi="楷体" w:eastAsia="楷体" w:cs="仿宋"/>
          <w:color w:val="auto"/>
          <w:sz w:val="32"/>
          <w:szCs w:val="28"/>
          <w:highlight w:val="none"/>
        </w:rPr>
        <w:instrText xml:space="preserve"> </w:instrText>
      </w:r>
      <w:r>
        <w:rPr>
          <w:rFonts w:hint="eastAsia" w:ascii="楷体" w:hAnsi="楷体" w:eastAsia="楷体" w:cs="仿宋"/>
          <w:color w:val="auto"/>
          <w:sz w:val="32"/>
          <w:szCs w:val="28"/>
          <w:highlight w:val="none"/>
        </w:rPr>
        <w:instrText xml:space="preserve">TOC \o "1-1" \h \z \u</w:instrText>
      </w:r>
      <w:r>
        <w:rPr>
          <w:rFonts w:ascii="楷体" w:hAnsi="楷体" w:eastAsia="楷体" w:cs="仿宋"/>
          <w:color w:val="auto"/>
          <w:sz w:val="32"/>
          <w:szCs w:val="28"/>
          <w:highlight w:val="none"/>
        </w:rPr>
        <w:instrText xml:space="preserve"> </w:instrText>
      </w:r>
      <w:r>
        <w:rPr>
          <w:rFonts w:ascii="楷体" w:hAnsi="楷体" w:eastAsia="楷体" w:cs="仿宋"/>
          <w:color w:val="auto"/>
          <w:sz w:val="32"/>
          <w:szCs w:val="28"/>
          <w:highlight w:val="none"/>
        </w:rPr>
        <w:fldChar w:fldCharType="separate"/>
      </w:r>
      <w:r>
        <w:rPr>
          <w:color w:val="auto"/>
          <w:highlight w:val="none"/>
        </w:rPr>
        <w:fldChar w:fldCharType="begin"/>
      </w:r>
      <w:r>
        <w:rPr>
          <w:color w:val="auto"/>
          <w:highlight w:val="none"/>
        </w:rPr>
        <w:instrText xml:space="preserve"> HYPERLINK \l "_Toc31882570" </w:instrText>
      </w:r>
      <w:r>
        <w:rPr>
          <w:color w:val="auto"/>
          <w:highlight w:val="none"/>
        </w:rPr>
        <w:fldChar w:fldCharType="separate"/>
      </w:r>
      <w:r>
        <w:rPr>
          <w:rStyle w:val="57"/>
          <w:rFonts w:hint="eastAsia" w:ascii="楷体" w:hAnsi="楷体" w:eastAsia="楷体" w:cs="仿宋"/>
          <w:bCs/>
          <w:color w:val="auto"/>
          <w:sz w:val="30"/>
          <w:szCs w:val="30"/>
          <w:highlight w:val="none"/>
          <w:lang w:val="en-US" w:eastAsia="zh-CN"/>
        </w:rPr>
        <w:t>第一章</w:t>
      </w:r>
      <w:r>
        <w:rPr>
          <w:rStyle w:val="57"/>
          <w:rFonts w:ascii="楷体" w:hAnsi="楷体" w:eastAsia="楷体" w:cs="仿宋"/>
          <w:bCs/>
          <w:color w:val="auto"/>
          <w:sz w:val="30"/>
          <w:szCs w:val="30"/>
          <w:highlight w:val="none"/>
          <w:lang w:val="en-US" w:eastAsia="zh-CN"/>
        </w:rPr>
        <w:t xml:space="preserve">  </w:t>
      </w:r>
      <w:r>
        <w:rPr>
          <w:rStyle w:val="57"/>
          <w:rFonts w:hint="eastAsia" w:ascii="楷体" w:hAnsi="楷体" w:eastAsia="楷体" w:cs="仿宋"/>
          <w:bCs/>
          <w:color w:val="auto"/>
          <w:sz w:val="30"/>
          <w:szCs w:val="30"/>
          <w:highlight w:val="none"/>
          <w:lang w:val="en-US" w:eastAsia="zh-CN"/>
        </w:rPr>
        <w:t>磋商公告</w:t>
      </w:r>
      <w:r>
        <w:rPr>
          <w:rFonts w:ascii="楷体" w:hAnsi="楷体" w:eastAsia="楷体"/>
          <w:color w:val="auto"/>
          <w:sz w:val="30"/>
          <w:szCs w:val="30"/>
          <w:highlight w:val="none"/>
          <w:lang w:val="en-US" w:eastAsia="zh-CN"/>
        </w:rPr>
        <w:tab/>
      </w:r>
      <w:r>
        <w:rPr>
          <w:rFonts w:ascii="楷体" w:hAnsi="楷体" w:eastAsia="楷体"/>
          <w:color w:val="auto"/>
          <w:sz w:val="30"/>
          <w:szCs w:val="30"/>
          <w:highlight w:val="none"/>
          <w:lang w:val="en-US" w:eastAsia="zh-CN"/>
        </w:rPr>
        <w:fldChar w:fldCharType="begin"/>
      </w:r>
      <w:r>
        <w:rPr>
          <w:rFonts w:ascii="楷体" w:hAnsi="楷体" w:eastAsia="楷体"/>
          <w:color w:val="auto"/>
          <w:sz w:val="30"/>
          <w:szCs w:val="30"/>
          <w:highlight w:val="none"/>
          <w:lang w:val="en-US" w:eastAsia="zh-CN"/>
        </w:rPr>
        <w:instrText xml:space="preserve"> PAGEREF _Toc31882570 \h </w:instrText>
      </w:r>
      <w:r>
        <w:rPr>
          <w:rFonts w:ascii="楷体" w:hAnsi="楷体" w:eastAsia="楷体"/>
          <w:color w:val="auto"/>
          <w:sz w:val="30"/>
          <w:szCs w:val="30"/>
          <w:highlight w:val="none"/>
          <w:lang w:val="en-US" w:eastAsia="zh-CN"/>
        </w:rPr>
        <w:fldChar w:fldCharType="separate"/>
      </w:r>
      <w:r>
        <w:rPr>
          <w:rFonts w:ascii="楷体" w:hAnsi="楷体" w:eastAsia="楷体"/>
          <w:color w:val="auto"/>
          <w:sz w:val="30"/>
          <w:szCs w:val="30"/>
          <w:highlight w:val="none"/>
          <w:lang w:val="en-US" w:eastAsia="zh-CN"/>
        </w:rPr>
        <w:t>1</w:t>
      </w:r>
      <w:r>
        <w:rPr>
          <w:rFonts w:ascii="楷体" w:hAnsi="楷体" w:eastAsia="楷体"/>
          <w:color w:val="auto"/>
          <w:sz w:val="30"/>
          <w:szCs w:val="30"/>
          <w:highlight w:val="none"/>
          <w:lang w:val="en-US" w:eastAsia="zh-CN"/>
        </w:rPr>
        <w:fldChar w:fldCharType="end"/>
      </w:r>
      <w:r>
        <w:rPr>
          <w:rFonts w:ascii="楷体" w:hAnsi="楷体" w:eastAsia="楷体"/>
          <w:color w:val="auto"/>
          <w:sz w:val="30"/>
          <w:szCs w:val="30"/>
          <w:highlight w:val="none"/>
          <w:lang w:val="en-US" w:eastAsia="zh-CN"/>
        </w:rPr>
        <w:fldChar w:fldCharType="end"/>
      </w:r>
    </w:p>
    <w:p>
      <w:pPr>
        <w:pStyle w:val="32"/>
        <w:tabs>
          <w:tab w:val="right" w:leader="dot" w:pos="8296"/>
        </w:tabs>
        <w:spacing w:line="600" w:lineRule="auto"/>
        <w:rPr>
          <w:rFonts w:ascii="楷体" w:hAnsi="楷体" w:eastAsia="楷体"/>
          <w:color w:val="auto"/>
          <w:kern w:val="2"/>
          <w:sz w:val="30"/>
          <w:szCs w:val="30"/>
          <w:highlight w:val="none"/>
          <w:lang w:val="en-US" w:eastAsia="zh-CN"/>
        </w:rPr>
      </w:pPr>
      <w:r>
        <w:rPr>
          <w:color w:val="auto"/>
          <w:highlight w:val="none"/>
        </w:rPr>
        <w:fldChar w:fldCharType="begin"/>
      </w:r>
      <w:r>
        <w:rPr>
          <w:color w:val="auto"/>
          <w:highlight w:val="none"/>
        </w:rPr>
        <w:instrText xml:space="preserve"> HYPERLINK \l "_Toc31882571" </w:instrText>
      </w:r>
      <w:r>
        <w:rPr>
          <w:color w:val="auto"/>
          <w:highlight w:val="none"/>
        </w:rPr>
        <w:fldChar w:fldCharType="separate"/>
      </w:r>
      <w:r>
        <w:rPr>
          <w:rStyle w:val="57"/>
          <w:rFonts w:hint="eastAsia" w:ascii="楷体" w:hAnsi="楷体" w:eastAsia="楷体" w:cs="仿宋"/>
          <w:bCs/>
          <w:color w:val="auto"/>
          <w:sz w:val="30"/>
          <w:szCs w:val="30"/>
          <w:highlight w:val="none"/>
          <w:lang w:val="en-US" w:eastAsia="zh-CN"/>
        </w:rPr>
        <w:t>第二章</w:t>
      </w:r>
      <w:r>
        <w:rPr>
          <w:rStyle w:val="57"/>
          <w:rFonts w:ascii="楷体" w:hAnsi="楷体" w:eastAsia="楷体" w:cs="仿宋"/>
          <w:bCs/>
          <w:color w:val="auto"/>
          <w:sz w:val="30"/>
          <w:szCs w:val="30"/>
          <w:highlight w:val="none"/>
          <w:lang w:val="en-US" w:eastAsia="zh-CN"/>
        </w:rPr>
        <w:t xml:space="preserve">  </w:t>
      </w:r>
      <w:r>
        <w:rPr>
          <w:rStyle w:val="57"/>
          <w:rFonts w:hint="eastAsia" w:ascii="楷体" w:hAnsi="楷体" w:eastAsia="楷体" w:cs="仿宋"/>
          <w:bCs/>
          <w:color w:val="auto"/>
          <w:sz w:val="30"/>
          <w:szCs w:val="30"/>
          <w:highlight w:val="none"/>
          <w:lang w:val="en-US" w:eastAsia="zh-CN"/>
        </w:rPr>
        <w:t>供应商须知</w:t>
      </w:r>
      <w:r>
        <w:rPr>
          <w:rFonts w:ascii="楷体" w:hAnsi="楷体" w:eastAsia="楷体"/>
          <w:color w:val="auto"/>
          <w:sz w:val="30"/>
          <w:szCs w:val="30"/>
          <w:highlight w:val="none"/>
          <w:lang w:val="en-US" w:eastAsia="zh-CN"/>
        </w:rPr>
        <w:tab/>
      </w:r>
      <w:r>
        <w:rPr>
          <w:rFonts w:hint="eastAsia" w:ascii="楷体" w:hAnsi="楷体" w:eastAsia="楷体"/>
          <w:color w:val="auto"/>
          <w:sz w:val="30"/>
          <w:szCs w:val="30"/>
          <w:highlight w:val="none"/>
          <w:lang w:val="en-US" w:eastAsia="zh-CN"/>
        </w:rPr>
        <w:t>5</w:t>
      </w:r>
      <w:r>
        <w:rPr>
          <w:rFonts w:ascii="楷体" w:hAnsi="楷体" w:eastAsia="楷体"/>
          <w:color w:val="auto"/>
          <w:sz w:val="30"/>
          <w:szCs w:val="30"/>
          <w:highlight w:val="none"/>
          <w:lang w:val="en-US" w:eastAsia="zh-CN"/>
        </w:rPr>
        <w:fldChar w:fldCharType="end"/>
      </w:r>
    </w:p>
    <w:p>
      <w:pPr>
        <w:pStyle w:val="32"/>
        <w:tabs>
          <w:tab w:val="right" w:leader="dot" w:pos="8296"/>
        </w:tabs>
        <w:spacing w:line="600" w:lineRule="auto"/>
        <w:rPr>
          <w:rFonts w:ascii="楷体" w:hAnsi="楷体" w:eastAsia="楷体"/>
          <w:color w:val="auto"/>
          <w:kern w:val="2"/>
          <w:sz w:val="30"/>
          <w:szCs w:val="30"/>
          <w:highlight w:val="none"/>
          <w:lang w:val="en-US" w:eastAsia="zh-CN"/>
        </w:rPr>
      </w:pPr>
      <w:r>
        <w:rPr>
          <w:color w:val="auto"/>
          <w:highlight w:val="none"/>
        </w:rPr>
        <w:fldChar w:fldCharType="begin"/>
      </w:r>
      <w:r>
        <w:rPr>
          <w:color w:val="auto"/>
          <w:highlight w:val="none"/>
        </w:rPr>
        <w:instrText xml:space="preserve"> HYPERLINK \l "_Toc31882572" </w:instrText>
      </w:r>
      <w:r>
        <w:rPr>
          <w:color w:val="auto"/>
          <w:highlight w:val="none"/>
        </w:rPr>
        <w:fldChar w:fldCharType="separate"/>
      </w:r>
      <w:r>
        <w:rPr>
          <w:rStyle w:val="57"/>
          <w:rFonts w:hint="eastAsia" w:ascii="楷体" w:hAnsi="楷体" w:eastAsia="楷体" w:cs="仿宋"/>
          <w:bCs/>
          <w:color w:val="auto"/>
          <w:sz w:val="30"/>
          <w:szCs w:val="30"/>
          <w:highlight w:val="none"/>
          <w:lang w:val="en-US" w:eastAsia="zh-CN"/>
        </w:rPr>
        <w:t>第三章  合同条款及格式</w:t>
      </w:r>
      <w:r>
        <w:rPr>
          <w:rFonts w:ascii="楷体" w:hAnsi="楷体" w:eastAsia="楷体"/>
          <w:color w:val="auto"/>
          <w:sz w:val="30"/>
          <w:szCs w:val="30"/>
          <w:highlight w:val="none"/>
          <w:lang w:val="en-US" w:eastAsia="zh-CN"/>
        </w:rPr>
        <w:tab/>
      </w:r>
      <w:r>
        <w:rPr>
          <w:rFonts w:ascii="楷体" w:hAnsi="楷体" w:eastAsia="楷体"/>
          <w:color w:val="auto"/>
          <w:sz w:val="30"/>
          <w:szCs w:val="30"/>
          <w:highlight w:val="none"/>
          <w:lang w:val="en-US" w:eastAsia="zh-CN"/>
        </w:rPr>
        <w:fldChar w:fldCharType="begin"/>
      </w:r>
      <w:r>
        <w:rPr>
          <w:rFonts w:ascii="楷体" w:hAnsi="楷体" w:eastAsia="楷体"/>
          <w:color w:val="auto"/>
          <w:sz w:val="30"/>
          <w:szCs w:val="30"/>
          <w:highlight w:val="none"/>
          <w:lang w:val="en-US" w:eastAsia="zh-CN"/>
        </w:rPr>
        <w:instrText xml:space="preserve"> PAGEREF _Toc31882572 \h </w:instrText>
      </w:r>
      <w:r>
        <w:rPr>
          <w:rFonts w:ascii="楷体" w:hAnsi="楷体" w:eastAsia="楷体"/>
          <w:color w:val="auto"/>
          <w:sz w:val="30"/>
          <w:szCs w:val="30"/>
          <w:highlight w:val="none"/>
          <w:lang w:val="en-US" w:eastAsia="zh-CN"/>
        </w:rPr>
        <w:fldChar w:fldCharType="separate"/>
      </w:r>
      <w:r>
        <w:rPr>
          <w:rFonts w:ascii="楷体" w:hAnsi="楷体" w:eastAsia="楷体"/>
          <w:color w:val="auto"/>
          <w:sz w:val="30"/>
          <w:szCs w:val="30"/>
          <w:highlight w:val="none"/>
          <w:lang w:val="en-US" w:eastAsia="zh-CN"/>
        </w:rPr>
        <w:t>22</w:t>
      </w:r>
      <w:r>
        <w:rPr>
          <w:rFonts w:ascii="楷体" w:hAnsi="楷体" w:eastAsia="楷体"/>
          <w:color w:val="auto"/>
          <w:sz w:val="30"/>
          <w:szCs w:val="30"/>
          <w:highlight w:val="none"/>
          <w:lang w:val="en-US" w:eastAsia="zh-CN"/>
        </w:rPr>
        <w:fldChar w:fldCharType="end"/>
      </w:r>
      <w:r>
        <w:rPr>
          <w:rFonts w:ascii="楷体" w:hAnsi="楷体" w:eastAsia="楷体"/>
          <w:color w:val="auto"/>
          <w:sz w:val="30"/>
          <w:szCs w:val="30"/>
          <w:highlight w:val="none"/>
          <w:lang w:val="en-US" w:eastAsia="zh-CN"/>
        </w:rPr>
        <w:fldChar w:fldCharType="end"/>
      </w:r>
    </w:p>
    <w:p>
      <w:pPr>
        <w:pStyle w:val="32"/>
        <w:tabs>
          <w:tab w:val="right" w:leader="dot" w:pos="8296"/>
        </w:tabs>
        <w:spacing w:line="600" w:lineRule="auto"/>
        <w:rPr>
          <w:rFonts w:ascii="楷体" w:hAnsi="楷体" w:eastAsia="楷体"/>
          <w:color w:val="auto"/>
          <w:kern w:val="2"/>
          <w:sz w:val="30"/>
          <w:szCs w:val="30"/>
          <w:highlight w:val="none"/>
          <w:lang w:val="en-US" w:eastAsia="zh-CN"/>
        </w:rPr>
      </w:pPr>
      <w:r>
        <w:rPr>
          <w:color w:val="auto"/>
          <w:highlight w:val="none"/>
        </w:rPr>
        <w:fldChar w:fldCharType="begin"/>
      </w:r>
      <w:r>
        <w:rPr>
          <w:color w:val="auto"/>
          <w:highlight w:val="none"/>
        </w:rPr>
        <w:instrText xml:space="preserve"> HYPERLINK \l "_Toc31882573" </w:instrText>
      </w:r>
      <w:r>
        <w:rPr>
          <w:color w:val="auto"/>
          <w:highlight w:val="none"/>
        </w:rPr>
        <w:fldChar w:fldCharType="separate"/>
      </w:r>
      <w:r>
        <w:rPr>
          <w:rStyle w:val="57"/>
          <w:rFonts w:hint="eastAsia" w:ascii="楷体" w:hAnsi="楷体" w:eastAsia="楷体"/>
          <w:color w:val="auto"/>
          <w:sz w:val="30"/>
          <w:szCs w:val="30"/>
          <w:highlight w:val="none"/>
          <w:lang w:val="en-US" w:eastAsia="zh-CN"/>
        </w:rPr>
        <w:t>第四章</w:t>
      </w:r>
      <w:r>
        <w:rPr>
          <w:rStyle w:val="57"/>
          <w:rFonts w:ascii="楷体" w:hAnsi="楷体" w:eastAsia="楷体"/>
          <w:color w:val="auto"/>
          <w:sz w:val="30"/>
          <w:szCs w:val="30"/>
          <w:highlight w:val="none"/>
          <w:lang w:val="en-US" w:eastAsia="zh-CN"/>
        </w:rPr>
        <w:t xml:space="preserve"> </w:t>
      </w:r>
      <w:r>
        <w:rPr>
          <w:rStyle w:val="57"/>
          <w:rFonts w:hint="eastAsia" w:ascii="楷体" w:hAnsi="楷体" w:eastAsia="楷体"/>
          <w:color w:val="auto"/>
          <w:sz w:val="30"/>
          <w:szCs w:val="30"/>
          <w:highlight w:val="none"/>
          <w:lang w:val="en-US" w:eastAsia="zh-CN"/>
        </w:rPr>
        <w:t xml:space="preserve"> 磋商内容及技术要求</w:t>
      </w:r>
      <w:r>
        <w:rPr>
          <w:rFonts w:ascii="楷体" w:hAnsi="楷体" w:eastAsia="楷体"/>
          <w:color w:val="auto"/>
          <w:sz w:val="30"/>
          <w:szCs w:val="30"/>
          <w:highlight w:val="none"/>
          <w:lang w:val="en-US" w:eastAsia="zh-CN"/>
        </w:rPr>
        <w:tab/>
      </w:r>
      <w:r>
        <w:rPr>
          <w:rFonts w:ascii="楷体" w:hAnsi="楷体" w:eastAsia="楷体"/>
          <w:color w:val="auto"/>
          <w:sz w:val="30"/>
          <w:szCs w:val="30"/>
          <w:highlight w:val="none"/>
          <w:lang w:val="en-US" w:eastAsia="zh-CN"/>
        </w:rPr>
        <w:fldChar w:fldCharType="begin"/>
      </w:r>
      <w:r>
        <w:rPr>
          <w:rFonts w:ascii="楷体" w:hAnsi="楷体" w:eastAsia="楷体"/>
          <w:color w:val="auto"/>
          <w:sz w:val="30"/>
          <w:szCs w:val="30"/>
          <w:highlight w:val="none"/>
          <w:lang w:val="en-US" w:eastAsia="zh-CN"/>
        </w:rPr>
        <w:instrText xml:space="preserve"> PAGEREF _Toc31882573 \h </w:instrText>
      </w:r>
      <w:r>
        <w:rPr>
          <w:rFonts w:ascii="楷体" w:hAnsi="楷体" w:eastAsia="楷体"/>
          <w:color w:val="auto"/>
          <w:sz w:val="30"/>
          <w:szCs w:val="30"/>
          <w:highlight w:val="none"/>
          <w:lang w:val="en-US" w:eastAsia="zh-CN"/>
        </w:rPr>
        <w:fldChar w:fldCharType="separate"/>
      </w:r>
      <w:r>
        <w:rPr>
          <w:rFonts w:ascii="楷体" w:hAnsi="楷体" w:eastAsia="楷体"/>
          <w:color w:val="auto"/>
          <w:sz w:val="30"/>
          <w:szCs w:val="30"/>
          <w:highlight w:val="none"/>
          <w:lang w:val="en-US" w:eastAsia="zh-CN"/>
        </w:rPr>
        <w:t>29</w:t>
      </w:r>
      <w:r>
        <w:rPr>
          <w:rFonts w:ascii="楷体" w:hAnsi="楷体" w:eastAsia="楷体"/>
          <w:color w:val="auto"/>
          <w:sz w:val="30"/>
          <w:szCs w:val="30"/>
          <w:highlight w:val="none"/>
          <w:lang w:val="en-US" w:eastAsia="zh-CN"/>
        </w:rPr>
        <w:fldChar w:fldCharType="end"/>
      </w:r>
      <w:r>
        <w:rPr>
          <w:rFonts w:ascii="楷体" w:hAnsi="楷体" w:eastAsia="楷体"/>
          <w:color w:val="auto"/>
          <w:sz w:val="30"/>
          <w:szCs w:val="30"/>
          <w:highlight w:val="none"/>
          <w:lang w:val="en-US" w:eastAsia="zh-CN"/>
        </w:rPr>
        <w:fldChar w:fldCharType="end"/>
      </w:r>
    </w:p>
    <w:p>
      <w:pPr>
        <w:pStyle w:val="32"/>
        <w:tabs>
          <w:tab w:val="right" w:leader="dot" w:pos="8296"/>
        </w:tabs>
        <w:spacing w:line="600" w:lineRule="auto"/>
        <w:rPr>
          <w:rFonts w:ascii="楷体" w:hAnsi="楷体" w:eastAsia="楷体"/>
          <w:color w:val="auto"/>
          <w:kern w:val="2"/>
          <w:sz w:val="30"/>
          <w:szCs w:val="30"/>
          <w:highlight w:val="none"/>
          <w:lang w:val="en-US" w:eastAsia="zh-CN"/>
        </w:rPr>
      </w:pPr>
      <w:r>
        <w:rPr>
          <w:color w:val="auto"/>
          <w:highlight w:val="none"/>
        </w:rPr>
        <w:fldChar w:fldCharType="begin"/>
      </w:r>
      <w:r>
        <w:rPr>
          <w:color w:val="auto"/>
          <w:highlight w:val="none"/>
        </w:rPr>
        <w:instrText xml:space="preserve"> HYPERLINK \l "_Toc31882574" </w:instrText>
      </w:r>
      <w:r>
        <w:rPr>
          <w:color w:val="auto"/>
          <w:highlight w:val="none"/>
        </w:rPr>
        <w:fldChar w:fldCharType="separate"/>
      </w:r>
      <w:r>
        <w:rPr>
          <w:rStyle w:val="57"/>
          <w:rFonts w:hint="eastAsia" w:ascii="楷体" w:hAnsi="楷体" w:eastAsia="楷体" w:cs="仿宋"/>
          <w:bCs/>
          <w:color w:val="auto"/>
          <w:sz w:val="30"/>
          <w:szCs w:val="30"/>
          <w:highlight w:val="none"/>
          <w:lang w:val="en-US" w:eastAsia="zh-CN"/>
        </w:rPr>
        <w:t>第五章</w:t>
      </w:r>
      <w:r>
        <w:rPr>
          <w:rStyle w:val="57"/>
          <w:rFonts w:ascii="楷体" w:hAnsi="楷体" w:eastAsia="楷体" w:cs="仿宋"/>
          <w:bCs/>
          <w:color w:val="auto"/>
          <w:sz w:val="30"/>
          <w:szCs w:val="30"/>
          <w:highlight w:val="none"/>
          <w:lang w:val="en-US" w:eastAsia="zh-CN"/>
        </w:rPr>
        <w:t xml:space="preserve">  </w:t>
      </w:r>
      <w:r>
        <w:rPr>
          <w:rStyle w:val="57"/>
          <w:rFonts w:hint="eastAsia" w:ascii="楷体" w:hAnsi="楷体" w:eastAsia="楷体" w:cs="仿宋"/>
          <w:bCs/>
          <w:color w:val="auto"/>
          <w:sz w:val="30"/>
          <w:szCs w:val="30"/>
          <w:highlight w:val="none"/>
          <w:lang w:val="en-US" w:eastAsia="zh-CN"/>
        </w:rPr>
        <w:t>评审方法</w:t>
      </w:r>
      <w:r>
        <w:rPr>
          <w:rFonts w:ascii="楷体" w:hAnsi="楷体" w:eastAsia="楷体"/>
          <w:color w:val="auto"/>
          <w:sz w:val="30"/>
          <w:szCs w:val="30"/>
          <w:highlight w:val="none"/>
          <w:lang w:val="en-US" w:eastAsia="zh-CN"/>
        </w:rPr>
        <w:tab/>
      </w:r>
      <w:r>
        <w:rPr>
          <w:rFonts w:ascii="楷体" w:hAnsi="楷体" w:eastAsia="楷体"/>
          <w:color w:val="auto"/>
          <w:sz w:val="30"/>
          <w:szCs w:val="30"/>
          <w:highlight w:val="none"/>
          <w:lang w:val="en-US" w:eastAsia="zh-CN"/>
        </w:rPr>
        <w:fldChar w:fldCharType="begin"/>
      </w:r>
      <w:r>
        <w:rPr>
          <w:rFonts w:ascii="楷体" w:hAnsi="楷体" w:eastAsia="楷体"/>
          <w:color w:val="auto"/>
          <w:sz w:val="30"/>
          <w:szCs w:val="30"/>
          <w:highlight w:val="none"/>
          <w:lang w:val="en-US" w:eastAsia="zh-CN"/>
        </w:rPr>
        <w:instrText xml:space="preserve"> PAGEREF _Toc31882574 \h </w:instrText>
      </w:r>
      <w:r>
        <w:rPr>
          <w:rFonts w:ascii="楷体" w:hAnsi="楷体" w:eastAsia="楷体"/>
          <w:color w:val="auto"/>
          <w:sz w:val="30"/>
          <w:szCs w:val="30"/>
          <w:highlight w:val="none"/>
          <w:lang w:val="en-US" w:eastAsia="zh-CN"/>
        </w:rPr>
        <w:fldChar w:fldCharType="separate"/>
      </w:r>
      <w:r>
        <w:rPr>
          <w:rFonts w:hint="eastAsia" w:ascii="楷体" w:hAnsi="楷体" w:eastAsia="楷体"/>
          <w:color w:val="auto"/>
          <w:sz w:val="30"/>
          <w:szCs w:val="30"/>
          <w:highlight w:val="none"/>
          <w:lang w:val="en-US" w:eastAsia="zh-CN"/>
        </w:rPr>
        <w:t>41</w:t>
      </w:r>
      <w:r>
        <w:rPr>
          <w:rFonts w:ascii="楷体" w:hAnsi="楷体" w:eastAsia="楷体"/>
          <w:color w:val="auto"/>
          <w:sz w:val="30"/>
          <w:szCs w:val="30"/>
          <w:highlight w:val="none"/>
          <w:lang w:val="en-US" w:eastAsia="zh-CN"/>
        </w:rPr>
        <w:fldChar w:fldCharType="end"/>
      </w:r>
      <w:r>
        <w:rPr>
          <w:rFonts w:ascii="楷体" w:hAnsi="楷体" w:eastAsia="楷体"/>
          <w:color w:val="auto"/>
          <w:sz w:val="30"/>
          <w:szCs w:val="30"/>
          <w:highlight w:val="none"/>
          <w:lang w:val="en-US" w:eastAsia="zh-CN"/>
        </w:rPr>
        <w:fldChar w:fldCharType="end"/>
      </w:r>
    </w:p>
    <w:p>
      <w:pPr>
        <w:pStyle w:val="32"/>
        <w:tabs>
          <w:tab w:val="right" w:leader="dot" w:pos="8296"/>
        </w:tabs>
        <w:spacing w:line="600" w:lineRule="auto"/>
        <w:rPr>
          <w:rFonts w:ascii="楷体" w:hAnsi="楷体" w:eastAsia="楷体"/>
          <w:color w:val="auto"/>
          <w:kern w:val="2"/>
          <w:sz w:val="21"/>
          <w:szCs w:val="22"/>
          <w:highlight w:val="none"/>
          <w:lang w:val="en-US" w:eastAsia="zh-CN"/>
        </w:rPr>
      </w:pPr>
      <w:r>
        <w:rPr>
          <w:color w:val="auto"/>
          <w:highlight w:val="none"/>
        </w:rPr>
        <w:fldChar w:fldCharType="begin"/>
      </w:r>
      <w:r>
        <w:rPr>
          <w:color w:val="auto"/>
          <w:highlight w:val="none"/>
        </w:rPr>
        <w:instrText xml:space="preserve"> HYPERLINK \l "_Toc31882575" </w:instrText>
      </w:r>
      <w:r>
        <w:rPr>
          <w:color w:val="auto"/>
          <w:highlight w:val="none"/>
        </w:rPr>
        <w:fldChar w:fldCharType="separate"/>
      </w:r>
      <w:r>
        <w:rPr>
          <w:rStyle w:val="57"/>
          <w:rFonts w:hint="eastAsia" w:ascii="楷体" w:hAnsi="楷体" w:eastAsia="楷体" w:cs="仿宋"/>
          <w:bCs/>
          <w:color w:val="auto"/>
          <w:sz w:val="30"/>
          <w:szCs w:val="30"/>
          <w:highlight w:val="none"/>
          <w:lang w:val="en-US" w:eastAsia="zh-CN"/>
        </w:rPr>
        <w:t>第六章</w:t>
      </w:r>
      <w:r>
        <w:rPr>
          <w:rStyle w:val="57"/>
          <w:rFonts w:ascii="楷体" w:hAnsi="楷体" w:eastAsia="楷体" w:cs="仿宋"/>
          <w:bCs/>
          <w:color w:val="auto"/>
          <w:sz w:val="30"/>
          <w:szCs w:val="30"/>
          <w:highlight w:val="none"/>
          <w:lang w:val="en-US" w:eastAsia="zh-CN"/>
        </w:rPr>
        <w:t xml:space="preserve"> </w:t>
      </w:r>
      <w:r>
        <w:rPr>
          <w:rStyle w:val="57"/>
          <w:rFonts w:hint="eastAsia" w:ascii="楷体" w:hAnsi="楷体" w:eastAsia="楷体" w:cs="仿宋"/>
          <w:bCs/>
          <w:color w:val="auto"/>
          <w:sz w:val="30"/>
          <w:szCs w:val="30"/>
          <w:highlight w:val="none"/>
          <w:lang w:val="en-US" w:eastAsia="zh-CN"/>
        </w:rPr>
        <w:t xml:space="preserve"> 磋商响应文件格式</w:t>
      </w:r>
      <w:r>
        <w:rPr>
          <w:rFonts w:ascii="楷体" w:hAnsi="楷体" w:eastAsia="楷体"/>
          <w:color w:val="auto"/>
          <w:sz w:val="30"/>
          <w:szCs w:val="30"/>
          <w:highlight w:val="none"/>
          <w:lang w:val="en-US" w:eastAsia="zh-CN"/>
        </w:rPr>
        <w:tab/>
      </w:r>
      <w:r>
        <w:rPr>
          <w:rFonts w:ascii="楷体" w:hAnsi="楷体" w:eastAsia="楷体"/>
          <w:color w:val="auto"/>
          <w:sz w:val="30"/>
          <w:szCs w:val="30"/>
          <w:highlight w:val="none"/>
          <w:lang w:val="en-US" w:eastAsia="zh-CN"/>
        </w:rPr>
        <w:fldChar w:fldCharType="begin"/>
      </w:r>
      <w:r>
        <w:rPr>
          <w:rFonts w:ascii="楷体" w:hAnsi="楷体" w:eastAsia="楷体"/>
          <w:color w:val="auto"/>
          <w:sz w:val="30"/>
          <w:szCs w:val="30"/>
          <w:highlight w:val="none"/>
          <w:lang w:val="en-US" w:eastAsia="zh-CN"/>
        </w:rPr>
        <w:instrText xml:space="preserve"> PAGEREF _Toc31882575 \h </w:instrText>
      </w:r>
      <w:r>
        <w:rPr>
          <w:rFonts w:ascii="楷体" w:hAnsi="楷体" w:eastAsia="楷体"/>
          <w:color w:val="auto"/>
          <w:sz w:val="30"/>
          <w:szCs w:val="30"/>
          <w:highlight w:val="none"/>
          <w:lang w:val="en-US" w:eastAsia="zh-CN"/>
        </w:rPr>
        <w:fldChar w:fldCharType="separate"/>
      </w:r>
      <w:r>
        <w:rPr>
          <w:rFonts w:ascii="楷体" w:hAnsi="楷体" w:eastAsia="楷体"/>
          <w:color w:val="auto"/>
          <w:sz w:val="30"/>
          <w:szCs w:val="30"/>
          <w:highlight w:val="none"/>
          <w:lang w:val="en-US" w:eastAsia="zh-CN"/>
        </w:rPr>
        <w:t>50</w:t>
      </w:r>
      <w:r>
        <w:rPr>
          <w:rFonts w:ascii="楷体" w:hAnsi="楷体" w:eastAsia="楷体"/>
          <w:color w:val="auto"/>
          <w:sz w:val="30"/>
          <w:szCs w:val="30"/>
          <w:highlight w:val="none"/>
          <w:lang w:val="en-US" w:eastAsia="zh-CN"/>
        </w:rPr>
        <w:fldChar w:fldCharType="end"/>
      </w:r>
      <w:r>
        <w:rPr>
          <w:rFonts w:ascii="楷体" w:hAnsi="楷体" w:eastAsia="楷体"/>
          <w:color w:val="auto"/>
          <w:sz w:val="30"/>
          <w:szCs w:val="30"/>
          <w:highlight w:val="none"/>
          <w:lang w:val="en-US" w:eastAsia="zh-CN"/>
        </w:rPr>
        <w:fldChar w:fldCharType="end"/>
      </w:r>
    </w:p>
    <w:p>
      <w:pPr>
        <w:pStyle w:val="32"/>
        <w:tabs>
          <w:tab w:val="center" w:pos="4393"/>
        </w:tabs>
        <w:spacing w:line="720" w:lineRule="auto"/>
        <w:rPr>
          <w:rFonts w:hint="eastAsia" w:ascii="楷体" w:hAnsi="楷体" w:eastAsia="楷体" w:cs="仿宋"/>
          <w:bCs/>
          <w:color w:val="auto"/>
          <w:sz w:val="40"/>
          <w:szCs w:val="36"/>
          <w:highlight w:val="none"/>
        </w:rPr>
      </w:pPr>
      <w:r>
        <w:rPr>
          <w:rFonts w:ascii="楷体" w:hAnsi="楷体" w:eastAsia="楷体" w:cs="仿宋"/>
          <w:color w:val="auto"/>
          <w:sz w:val="32"/>
          <w:szCs w:val="28"/>
          <w:highlight w:val="none"/>
        </w:rPr>
        <w:fldChar w:fldCharType="end"/>
      </w:r>
      <w:r>
        <w:rPr>
          <w:rFonts w:hint="eastAsia" w:ascii="楷体" w:hAnsi="楷体" w:eastAsia="楷体" w:cs="仿宋"/>
          <w:color w:val="auto"/>
          <w:sz w:val="32"/>
          <w:szCs w:val="28"/>
          <w:highlight w:val="none"/>
        </w:rPr>
        <w:t xml:space="preserve"> </w:t>
      </w:r>
      <w:r>
        <w:rPr>
          <w:rFonts w:hint="eastAsia" w:ascii="楷体" w:hAnsi="楷体" w:eastAsia="楷体" w:cs="仿宋"/>
          <w:color w:val="auto"/>
          <w:sz w:val="32"/>
          <w:szCs w:val="28"/>
          <w:highlight w:val="none"/>
        </w:rPr>
        <w:tab/>
      </w:r>
    </w:p>
    <w:p>
      <w:pPr>
        <w:pStyle w:val="4"/>
        <w:spacing w:beforeLines="100"/>
        <w:rPr>
          <w:rFonts w:hint="eastAsia" w:ascii="楷体" w:hAnsi="楷体" w:cs="仿宋"/>
          <w:bCs/>
          <w:color w:val="auto"/>
          <w:szCs w:val="36"/>
          <w:highlight w:val="none"/>
        </w:rPr>
      </w:pPr>
    </w:p>
    <w:p>
      <w:pPr>
        <w:rPr>
          <w:rFonts w:hint="eastAsia" w:ascii="楷体" w:hAnsi="楷体" w:eastAsia="楷体" w:cs="仿宋"/>
          <w:bCs/>
          <w:color w:val="auto"/>
          <w:sz w:val="36"/>
          <w:szCs w:val="36"/>
          <w:highlight w:val="none"/>
        </w:rPr>
      </w:pPr>
    </w:p>
    <w:p>
      <w:pPr>
        <w:rPr>
          <w:rFonts w:hint="eastAsia" w:ascii="楷体" w:hAnsi="楷体" w:eastAsia="楷体" w:cs="仿宋"/>
          <w:bCs/>
          <w:color w:val="auto"/>
          <w:sz w:val="36"/>
          <w:szCs w:val="36"/>
          <w:highlight w:val="none"/>
        </w:rPr>
      </w:pPr>
    </w:p>
    <w:p>
      <w:pPr>
        <w:rPr>
          <w:rFonts w:hint="eastAsia" w:ascii="楷体" w:hAnsi="楷体" w:eastAsia="楷体" w:cs="仿宋"/>
          <w:bCs/>
          <w:color w:val="auto"/>
          <w:sz w:val="36"/>
          <w:szCs w:val="36"/>
          <w:highlight w:val="none"/>
        </w:rPr>
      </w:pPr>
    </w:p>
    <w:p>
      <w:pPr>
        <w:tabs>
          <w:tab w:val="left" w:pos="1471"/>
        </w:tabs>
        <w:jc w:val="left"/>
        <w:rPr>
          <w:rFonts w:hint="eastAsia" w:ascii="楷体" w:hAnsi="楷体" w:eastAsia="楷体" w:cs="仿宋"/>
          <w:color w:val="auto"/>
          <w:highlight w:val="none"/>
        </w:rPr>
        <w:sectPr>
          <w:footerReference r:id="rId3" w:type="default"/>
          <w:type w:val="continuous"/>
          <w:pgSz w:w="11906" w:h="16838"/>
          <w:pgMar w:top="1440" w:right="1800" w:bottom="1440" w:left="1800" w:header="851" w:footer="992" w:gutter="0"/>
          <w:cols w:space="720" w:num="1"/>
          <w:titlePg/>
          <w:docGrid w:type="lines" w:linePitch="312" w:charSpace="0"/>
        </w:sectPr>
      </w:pPr>
      <w:r>
        <w:rPr>
          <w:rFonts w:hint="eastAsia" w:ascii="楷体" w:hAnsi="楷体" w:eastAsia="楷体" w:cs="仿宋"/>
          <w:bCs/>
          <w:color w:val="auto"/>
          <w:sz w:val="36"/>
          <w:szCs w:val="36"/>
          <w:highlight w:val="none"/>
        </w:rPr>
        <w:tab/>
      </w:r>
    </w:p>
    <w:p>
      <w:pPr>
        <w:pStyle w:val="4"/>
        <w:keepNext w:val="0"/>
        <w:keepLines/>
        <w:pageBreakBefore/>
        <w:spacing w:line="360" w:lineRule="auto"/>
        <w:rPr>
          <w:rFonts w:hint="eastAsia" w:ascii="楷体" w:hAnsi="楷体" w:cs="仿宋"/>
          <w:bCs/>
          <w:color w:val="auto"/>
          <w:szCs w:val="36"/>
          <w:highlight w:val="none"/>
        </w:rPr>
      </w:pPr>
      <w:bookmarkStart w:id="11" w:name="_Toc31882570"/>
      <w:r>
        <w:rPr>
          <w:rFonts w:hint="eastAsia" w:ascii="楷体" w:hAnsi="楷体" w:cs="仿宋"/>
          <w:bCs/>
          <w:color w:val="auto"/>
          <w:szCs w:val="36"/>
          <w:highlight w:val="none"/>
        </w:rPr>
        <w:t xml:space="preserve">第一章  </w:t>
      </w:r>
      <w:bookmarkEnd w:id="0"/>
      <w:bookmarkEnd w:id="1"/>
      <w:bookmarkEnd w:id="2"/>
      <w:bookmarkEnd w:id="3"/>
      <w:bookmarkEnd w:id="4"/>
      <w:bookmarkEnd w:id="5"/>
      <w:bookmarkEnd w:id="6"/>
      <w:r>
        <w:rPr>
          <w:rFonts w:hint="eastAsia" w:ascii="楷体" w:hAnsi="楷体" w:cs="仿宋"/>
          <w:bCs/>
          <w:color w:val="auto"/>
          <w:szCs w:val="36"/>
          <w:highlight w:val="none"/>
        </w:rPr>
        <w:t>磋商公告</w:t>
      </w:r>
      <w:bookmarkEnd w:id="7"/>
      <w:bookmarkEnd w:id="11"/>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Style w:val="49"/>
          <w:rFonts w:hint="eastAsia" w:ascii="楷体" w:hAnsi="楷体" w:eastAsia="楷体" w:cs="楷体"/>
          <w:b/>
          <w:bCs/>
          <w:i w:val="0"/>
          <w:iCs w:val="0"/>
          <w:caps w:val="0"/>
          <w:color w:val="auto"/>
          <w:spacing w:val="0"/>
          <w:sz w:val="24"/>
          <w:szCs w:val="24"/>
          <w:shd w:val="clear" w:fill="FFFFFF"/>
        </w:rPr>
      </w:pPr>
      <w:bookmarkStart w:id="12" w:name="_Toc2929"/>
      <w:bookmarkStart w:id="13" w:name="_Toc389582035"/>
      <w:bookmarkStart w:id="14" w:name="_Toc31882571"/>
      <w:bookmarkStart w:id="15" w:name="_Toc29249"/>
      <w:r>
        <w:rPr>
          <w:rStyle w:val="49"/>
          <w:rFonts w:hint="eastAsia" w:ascii="楷体" w:hAnsi="楷体" w:eastAsia="楷体" w:cs="楷体"/>
          <w:b/>
          <w:bCs/>
          <w:i w:val="0"/>
          <w:iCs w:val="0"/>
          <w:caps w:val="0"/>
          <w:color w:val="auto"/>
          <w:spacing w:val="0"/>
          <w:sz w:val="24"/>
          <w:szCs w:val="24"/>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480" w:firstLineChars="200"/>
        <w:jc w:val="left"/>
        <w:rPr>
          <w:rStyle w:val="49"/>
          <w:rFonts w:hint="eastAsia" w:ascii="楷体" w:hAnsi="楷体" w:eastAsia="楷体" w:cs="楷体"/>
          <w:b w:val="0"/>
          <w:bCs w:val="0"/>
          <w:i w:val="0"/>
          <w:iCs w:val="0"/>
          <w:caps w:val="0"/>
          <w:color w:val="auto"/>
          <w:spacing w:val="0"/>
          <w:sz w:val="24"/>
          <w:szCs w:val="24"/>
          <w:shd w:val="clear" w:fill="FFFFFF"/>
        </w:rPr>
      </w:pPr>
      <w:r>
        <w:rPr>
          <w:rStyle w:val="49"/>
          <w:rFonts w:hint="eastAsia" w:ascii="楷体" w:hAnsi="楷体" w:eastAsia="楷体" w:cs="楷体"/>
          <w:b w:val="0"/>
          <w:bCs w:val="0"/>
          <w:i w:val="0"/>
          <w:iCs w:val="0"/>
          <w:caps w:val="0"/>
          <w:color w:val="auto"/>
          <w:spacing w:val="0"/>
          <w:sz w:val="24"/>
          <w:szCs w:val="24"/>
          <w:shd w:val="clear" w:fill="FFFFFF"/>
        </w:rPr>
        <w:t>汉阴县汉阴中学教学主楼智慧黑板采购项目采购项目的潜在供应商应在全国公共资源交易中心平台（陕西省.安康市）获取采购文件，并于 2022年08月10日 14时00分 （北京时间）前提交响应文件。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auto"/>
          <w:spacing w:val="0"/>
          <w:sz w:val="24"/>
          <w:szCs w:val="24"/>
        </w:rPr>
      </w:pPr>
      <w:r>
        <w:rPr>
          <w:rStyle w:val="49"/>
          <w:rFonts w:hint="eastAsia" w:ascii="楷体" w:hAnsi="楷体" w:eastAsia="楷体" w:cs="楷体"/>
          <w:b/>
          <w:bCs/>
          <w:i w:val="0"/>
          <w:iCs w:val="0"/>
          <w:caps w:val="0"/>
          <w:color w:val="auto"/>
          <w:spacing w:val="0"/>
          <w:sz w:val="24"/>
          <w:szCs w:val="24"/>
          <w:shd w:val="clear" w:fill="FFFFFF"/>
          <w:vertAlign w:val="baseline"/>
        </w:rPr>
        <w:t>一、项目基本情况</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项目编号：ZYZB2022-CS1115</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项目名称：汉阴县汉阴中学教学主楼智慧黑板采购项目</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采购方式：竞争性磋商</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预算金额：907,450.00元</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采购需求：</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合同包1(汉阴县汉阴中学教学主楼智慧黑板采购项目):</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合同包预算金额：907,450.00元</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合同包最高限价：907,450.00元</w:t>
      </w:r>
    </w:p>
    <w:tbl>
      <w:tblPr>
        <w:tblStyle w:val="46"/>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14"/>
        <w:gridCol w:w="1476"/>
        <w:gridCol w:w="1752"/>
        <w:gridCol w:w="1272"/>
        <w:gridCol w:w="1440"/>
        <w:gridCol w:w="1548"/>
        <w:gridCol w:w="1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7" w:hRule="atLeast"/>
          <w:tblHeader/>
        </w:trPr>
        <w:tc>
          <w:tcPr>
            <w:tcW w:w="71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品目号</w:t>
            </w:r>
          </w:p>
        </w:tc>
        <w:tc>
          <w:tcPr>
            <w:tcW w:w="147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品目名称</w:t>
            </w:r>
          </w:p>
        </w:tc>
        <w:tc>
          <w:tcPr>
            <w:tcW w:w="17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采购标的</w:t>
            </w:r>
          </w:p>
        </w:tc>
        <w:tc>
          <w:tcPr>
            <w:tcW w:w="127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（单位）</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技术规格、参数及要求</w:t>
            </w:r>
          </w:p>
        </w:tc>
        <w:tc>
          <w:tcPr>
            <w:tcW w:w="154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品目预算(元)</w:t>
            </w:r>
          </w:p>
        </w:tc>
        <w:tc>
          <w:tcPr>
            <w:tcW w:w="148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7" w:hRule="atLeast"/>
        </w:trPr>
        <w:tc>
          <w:tcPr>
            <w:tcW w:w="71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1-1</w:t>
            </w:r>
          </w:p>
        </w:tc>
        <w:tc>
          <w:tcPr>
            <w:tcW w:w="147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触摸式终端设备</w:t>
            </w:r>
          </w:p>
        </w:tc>
        <w:tc>
          <w:tcPr>
            <w:tcW w:w="17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汉阴中学教学主楼智慧黑板</w:t>
            </w:r>
          </w:p>
        </w:tc>
        <w:tc>
          <w:tcPr>
            <w:tcW w:w="127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25(台)</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详见采购</w:t>
            </w:r>
          </w:p>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文件</w:t>
            </w:r>
          </w:p>
        </w:tc>
        <w:tc>
          <w:tcPr>
            <w:tcW w:w="154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vertAlign w:val="baseline"/>
                <w:lang w:val="en-US" w:eastAsia="zh-CN" w:bidi="ar"/>
              </w:rPr>
              <w:t>907,450.00</w:t>
            </w:r>
          </w:p>
        </w:tc>
        <w:tc>
          <w:tcPr>
            <w:tcW w:w="1488"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vertAlign w:val="baseline"/>
                <w:lang w:val="en-US" w:eastAsia="zh-CN" w:bidi="ar"/>
              </w:rPr>
              <w:t>907,450.00</w:t>
            </w:r>
          </w:p>
        </w:tc>
      </w:tr>
    </w:tbl>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本合同包不接受联合体投标</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合同履行期限：合同签订之日起15个日历日（具体起止日期可随合同签订时间相应顺延）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auto"/>
          <w:spacing w:val="0"/>
          <w:sz w:val="24"/>
          <w:szCs w:val="24"/>
        </w:rPr>
      </w:pPr>
      <w:r>
        <w:rPr>
          <w:rStyle w:val="49"/>
          <w:rFonts w:hint="eastAsia" w:ascii="楷体" w:hAnsi="楷体" w:eastAsia="楷体" w:cs="楷体"/>
          <w:b/>
          <w:bCs/>
          <w:i w:val="0"/>
          <w:iCs w:val="0"/>
          <w:caps w:val="0"/>
          <w:color w:val="auto"/>
          <w:spacing w:val="0"/>
          <w:sz w:val="24"/>
          <w:szCs w:val="24"/>
          <w:shd w:val="clear" w:fill="FFFFFF"/>
          <w:vertAlign w:val="baseline"/>
        </w:rPr>
        <w:t>二、申请人的资格要求：</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1.满足《中华人民共和国政府采购法》第二十二条规定;</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2.落实政府采购政策需满足的资格要求：</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合同包1(汉阴县汉阴中学教学主楼智慧黑板采购项目)落实政府采购政策需满足的资格要求如下:</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本项目专门面向中小企业采购，供应商所投产品须为中小微企业或监狱企业或残疾人福利性单位制造。</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1、《政府采购促进中小企业发展管理办法》（财库〔2020〕46号）；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2、《财政部 司法部关于政府采购支持监狱企业发展有关问题的通知》（财库〔2014〕68号）；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3、《国务院办公厅关于建立政府强制采购节能产品制度的通知》（国办发〔2007〕51号）；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4、《财政部 环保总局关于环境标志产品政府采购实施的意见》（财库〔2006〕90号）；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5、《财政部 国家发展改革委关于印发〈节能产品政府采购实施意见〉的通知》（财库〔2004〕185号）；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6、《财政部 民政部 中国残疾人联合会关于促进残疾人就业政府采购政策的通知》（财库〔2017〕141号）；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7、《财政部 发展改革委 生态环境部 市场监管总局关于调整优化节能产品、环境标志产品政府采购执行机制的通知》（财库〔2019〕9号）；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8、《关于印发环境标志产品政府采购品目清单的通知》（财库〔2019〕18号）；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9、《关于印发节能产品政府采购品目清单的通知》（财库〔2019〕19号）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10、《财政部 农业农村部 国家乡村振兴局关于运用政府采购政策支持乡村产业振兴的通知》财库〔2021〕19号；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11、《陕西省财政厅关于印发陕西省中小企业政府采购信用融资办法》（陕财办采〔2018〕23号）；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12、《陕西省财政厅关于加快推进我省中小企业政府采购信用融资工作的通知》（陕财办采〔2020〕15号）。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若享受以上政策优惠的企业，须提供相应声明函。</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3.本项目的特定资格要求：</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合同包1(汉阴县汉阴中学教学主楼智慧黑板采购项目)特定资格要求如下:</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（1）提供有效合格的社会统一信用代码的营业执照，其他组织经营的须提供合法凭证，自然人的提供身份证明文件;</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（2）法定代表人授权委托书、被授权人身份证（法定代表人参加磋商时,只需提供法定代表人身份证）；</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（3）财务状况报告：提供2020年度或2021年度经审计的财务报告，或其基本存款账户开户银行出具的资信证明及基本存款账户开户许可证（基本账户信息表）；</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（4）税收缴纳证明：提供2021年1月至今已缴纳的至少一个月的纳税证明或完税证明（任意税种），依法免税的单位应提供相关证明材料；</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（5）社会保障资金缴纳证明：提供2021年1月至今已缴纳的至少一个月的社会保障资金缴存单据或社保机构开具的社会保险参保缴费情况证明，依法不需要缴纳社会保障资金的单位应提供相关证明材料；</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（6）具备履行合同所必须的设备和专业技术能力的书面声明;</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（7）参加政府采购活动前三年内，在经营活动中没有重大违法记录的书面声明；</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（8）供应商未被列入信用中国网站(www.creditchina.gov.cn)“失信被执行人、重大税收违法失信主体”；不处于中国政府采购网(www.ccgp.gov.cn)“政府采购严重违法失信行为信息记录”中的禁止参加政府采购活动期间。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auto"/>
          <w:spacing w:val="0"/>
          <w:sz w:val="24"/>
          <w:szCs w:val="24"/>
        </w:rPr>
      </w:pPr>
      <w:r>
        <w:rPr>
          <w:rStyle w:val="49"/>
          <w:rFonts w:hint="eastAsia" w:ascii="楷体" w:hAnsi="楷体" w:eastAsia="楷体" w:cs="楷体"/>
          <w:b/>
          <w:bCs/>
          <w:i w:val="0"/>
          <w:iCs w:val="0"/>
          <w:caps w:val="0"/>
          <w:color w:val="auto"/>
          <w:spacing w:val="0"/>
          <w:sz w:val="24"/>
          <w:szCs w:val="24"/>
          <w:shd w:val="clear" w:fill="FFFFFF"/>
          <w:vertAlign w:val="baseline"/>
        </w:rPr>
        <w:t>三、获取采购文件</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时间： 2022年07月26日 至 2022年08月01日 ，每天上午 09:00:00 至 12:00:00 ，下午 12:00:00 至 17:00:00 （北京时间,法定节假日除外）</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地点：全国公共资源交易中心平台（陕西省.安康市）</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方式：在线获取</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售价： 500元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auto"/>
          <w:spacing w:val="0"/>
          <w:sz w:val="24"/>
          <w:szCs w:val="24"/>
        </w:rPr>
      </w:pPr>
      <w:r>
        <w:rPr>
          <w:rStyle w:val="49"/>
          <w:rFonts w:hint="eastAsia" w:ascii="楷体" w:hAnsi="楷体" w:eastAsia="楷体" w:cs="楷体"/>
          <w:b/>
          <w:bCs/>
          <w:i w:val="0"/>
          <w:iCs w:val="0"/>
          <w:caps w:val="0"/>
          <w:color w:val="auto"/>
          <w:spacing w:val="0"/>
          <w:sz w:val="24"/>
          <w:szCs w:val="24"/>
          <w:shd w:val="clear" w:fill="FFFFFF"/>
          <w:vertAlign w:val="baseline"/>
        </w:rPr>
        <w:t>四、响应文件提交</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截止时间： 2022年08月10日 14时00分00秒 （北京时间）</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地点：全国公共资源交易中心平台（陕西省.安康市）/安康市公共资源交易中心303第三开标室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auto"/>
          <w:spacing w:val="0"/>
          <w:sz w:val="24"/>
          <w:szCs w:val="24"/>
        </w:rPr>
      </w:pPr>
      <w:r>
        <w:rPr>
          <w:rStyle w:val="49"/>
          <w:rFonts w:hint="eastAsia" w:ascii="楷体" w:hAnsi="楷体" w:eastAsia="楷体" w:cs="楷体"/>
          <w:b/>
          <w:bCs/>
          <w:i w:val="0"/>
          <w:iCs w:val="0"/>
          <w:caps w:val="0"/>
          <w:color w:val="auto"/>
          <w:spacing w:val="0"/>
          <w:sz w:val="24"/>
          <w:szCs w:val="24"/>
          <w:shd w:val="clear" w:fill="FFFFFF"/>
          <w:vertAlign w:val="baseline"/>
        </w:rPr>
        <w:t>五、开启</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时间： 2022年08月10日 14时00分00秒 （北京时间）</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地点：全国公共资源交易中心平台（陕西省.安康市）/安康市公共资源交易中心303第三开标室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470" w:lineRule="exact"/>
        <w:ind w:left="0" w:right="0" w:firstLine="0"/>
        <w:jc w:val="left"/>
        <w:textAlignment w:val="baseline"/>
        <w:rPr>
          <w:rFonts w:hint="eastAsia" w:ascii="楷体" w:hAnsi="楷体" w:eastAsia="楷体" w:cs="楷体"/>
          <w:b w:val="0"/>
          <w:bCs w:val="0"/>
          <w:i w:val="0"/>
          <w:iCs w:val="0"/>
          <w:caps w:val="0"/>
          <w:color w:val="auto"/>
          <w:spacing w:val="0"/>
          <w:sz w:val="24"/>
          <w:szCs w:val="24"/>
        </w:rPr>
      </w:pPr>
      <w:r>
        <w:rPr>
          <w:rStyle w:val="49"/>
          <w:rFonts w:hint="eastAsia" w:ascii="楷体" w:hAnsi="楷体" w:eastAsia="楷体" w:cs="楷体"/>
          <w:b/>
          <w:bCs/>
          <w:i w:val="0"/>
          <w:iCs w:val="0"/>
          <w:caps w:val="0"/>
          <w:color w:val="auto"/>
          <w:spacing w:val="0"/>
          <w:sz w:val="24"/>
          <w:szCs w:val="24"/>
          <w:shd w:val="clear" w:fill="FFFFFF"/>
          <w:vertAlign w:val="baseline"/>
        </w:rPr>
        <w:t>六、公告期限</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470" w:lineRule="exact"/>
        <w:ind w:left="0" w:right="0" w:firstLine="0"/>
        <w:jc w:val="left"/>
        <w:textAlignment w:val="baseline"/>
        <w:rPr>
          <w:rFonts w:hint="eastAsia" w:ascii="楷体" w:hAnsi="楷体" w:eastAsia="楷体" w:cs="楷体"/>
          <w:b w:val="0"/>
          <w:bCs w:val="0"/>
          <w:i w:val="0"/>
          <w:iCs w:val="0"/>
          <w:caps w:val="0"/>
          <w:color w:val="auto"/>
          <w:spacing w:val="0"/>
          <w:sz w:val="24"/>
          <w:szCs w:val="24"/>
        </w:rPr>
      </w:pPr>
      <w:r>
        <w:rPr>
          <w:rStyle w:val="49"/>
          <w:rFonts w:hint="eastAsia" w:ascii="楷体" w:hAnsi="楷体" w:eastAsia="楷体" w:cs="楷体"/>
          <w:b/>
          <w:bCs/>
          <w:i w:val="0"/>
          <w:iCs w:val="0"/>
          <w:caps w:val="0"/>
          <w:color w:val="auto"/>
          <w:spacing w:val="0"/>
          <w:sz w:val="24"/>
          <w:szCs w:val="24"/>
          <w:shd w:val="clear" w:fill="FFFFFF"/>
          <w:vertAlign w:val="baseline"/>
        </w:rPr>
        <w:t>七、其他补充事宜</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1）报名登记：投标人使用捆绑CA证书登录安康市公共资源交易中心（http://ak.sxggzyjy.cn/），选择电子交易平台中的陕西政府采购交易系统（http://www.sxggzyjy.cn:9002/TPBidder）进行登录，登录后选择“交易乙方”身份进入供应商界面进行网上报名。（2）网上报名成功后须携带介绍信、网上报名回执单、经办人身份证复印件（以上资料须加盖公章）到西安经济技术开发区凤城一路6号利君V时代B座9F陕西正翼招标代理有限公司提交报名资料，报名资料审核完成后缴纳报名费；未在规定发售时间缴费登记的，报名无效；（3）招标文件的获取：投标人交纳招标文件费用后，务必在报名期限内登录安康市公共资源交易中心（http://ak.sxggzyjy.cn/），选择“交易乙方”身份进入投标人界面下载招标文件；（4）本项目采用电子化投标方式，相关操作流程详见全国公共资源交易平台（陕西省）网站[服务指南-下载专区]中的《陕西省公共资源交易中心政府采购项目投标指南》；（5）电子投标文件技术支持：4009280095、4009980000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470" w:lineRule="exact"/>
        <w:ind w:left="0" w:right="0" w:firstLine="0"/>
        <w:jc w:val="left"/>
        <w:textAlignment w:val="baseline"/>
        <w:rPr>
          <w:rFonts w:hint="eastAsia" w:ascii="楷体" w:hAnsi="楷体" w:eastAsia="楷体" w:cs="楷体"/>
          <w:b w:val="0"/>
          <w:bCs w:val="0"/>
          <w:i w:val="0"/>
          <w:iCs w:val="0"/>
          <w:caps w:val="0"/>
          <w:color w:val="auto"/>
          <w:spacing w:val="0"/>
          <w:sz w:val="24"/>
          <w:szCs w:val="24"/>
        </w:rPr>
      </w:pPr>
      <w:r>
        <w:rPr>
          <w:rStyle w:val="49"/>
          <w:rFonts w:hint="eastAsia" w:ascii="楷体" w:hAnsi="楷体" w:eastAsia="楷体" w:cs="楷体"/>
          <w:b/>
          <w:bCs/>
          <w:i w:val="0"/>
          <w:iCs w:val="0"/>
          <w:caps w:val="0"/>
          <w:color w:val="auto"/>
          <w:spacing w:val="0"/>
          <w:sz w:val="24"/>
          <w:szCs w:val="24"/>
          <w:shd w:val="clear" w:fill="FFFFFF"/>
          <w:vertAlign w:val="baseline"/>
        </w:rPr>
        <w:t>八、凡对本次采购提出询问，请按以下方式联系。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149" w:leftChars="100" w:right="0" w:hanging="909" w:hangingChars="379"/>
        <w:jc w:val="left"/>
        <w:textAlignment w:val="baseline"/>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shd w:val="clear" w:fill="FFFFFF"/>
          <w:vertAlign w:val="baseline"/>
        </w:rPr>
        <w:t>1.采购人信息</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名称：汉阴县教育体育和科技局（汉阴县汉阴中学）</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地址：陕西安康</w:t>
      </w:r>
      <w:r>
        <w:rPr>
          <w:rFonts w:hint="eastAsia" w:ascii="楷体" w:hAnsi="楷体" w:eastAsia="楷体" w:cs="楷体"/>
          <w:i w:val="0"/>
          <w:iCs w:val="0"/>
          <w:caps w:val="0"/>
          <w:color w:val="auto"/>
          <w:spacing w:val="0"/>
          <w:sz w:val="24"/>
          <w:szCs w:val="24"/>
          <w:shd w:val="clear" w:fill="FFFFFF"/>
          <w:vertAlign w:val="baseline"/>
          <w:lang w:val="en-US" w:eastAsia="zh-CN"/>
        </w:rPr>
        <w:t>汉阴县</w:t>
      </w:r>
      <w:r>
        <w:rPr>
          <w:rFonts w:hint="eastAsia" w:ascii="楷体" w:hAnsi="楷体" w:eastAsia="楷体" w:cs="楷体"/>
          <w:i w:val="0"/>
          <w:iCs w:val="0"/>
          <w:caps w:val="0"/>
          <w:color w:val="auto"/>
          <w:spacing w:val="0"/>
          <w:sz w:val="24"/>
          <w:szCs w:val="24"/>
          <w:shd w:val="clear" w:fill="FFFFFF"/>
          <w:vertAlign w:val="baseline"/>
        </w:rPr>
        <w:t>城关镇民主街72号</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联系方式：0915-5272530</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149" w:leftChars="100" w:right="0" w:hanging="909" w:hangingChars="379"/>
        <w:jc w:val="left"/>
        <w:textAlignment w:val="baseline"/>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shd w:val="clear" w:fill="FFFFFF"/>
          <w:vertAlign w:val="baseline"/>
        </w:rPr>
        <w:t>2.采购代理机构信息</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名称：陕西正翼招标代理有限公司</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地址：西安经济技术开发区凤城一路6号利君V时代B座9F</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联系方式：029-86210100转806</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149" w:leftChars="100" w:right="0" w:hanging="909" w:hangingChars="379"/>
        <w:jc w:val="left"/>
        <w:textAlignment w:val="baseline"/>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shd w:val="clear" w:fill="FFFFFF"/>
          <w:vertAlign w:val="baseline"/>
        </w:rPr>
        <w:t>3.项目联系方式</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项目联系人：刘媚、杨慧</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电话：029-86210100转806</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70" w:lineRule="exact"/>
        <w:ind w:left="0" w:right="0" w:firstLine="384"/>
        <w:jc w:val="right"/>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陕西正翼招标代理有限公司</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70" w:lineRule="exact"/>
        <w:ind w:left="0" w:right="0" w:firstLine="384"/>
        <w:jc w:val="right"/>
        <w:textAlignment w:val="baseline"/>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shd w:val="clear" w:fill="FFFFFF"/>
          <w:vertAlign w:val="baseline"/>
        </w:rPr>
        <w:t>2022年07月26日</w:t>
      </w:r>
    </w:p>
    <w:p>
      <w:pPr>
        <w:pStyle w:val="4"/>
        <w:keepNext w:val="0"/>
        <w:keepLines/>
        <w:pageBreakBefore/>
        <w:spacing w:line="360" w:lineRule="auto"/>
        <w:rPr>
          <w:rFonts w:hint="eastAsia" w:ascii="楷体" w:hAnsi="楷体" w:cs="仿宋"/>
          <w:bCs/>
          <w:color w:val="auto"/>
          <w:szCs w:val="36"/>
          <w:highlight w:val="none"/>
        </w:rPr>
      </w:pPr>
      <w:r>
        <w:rPr>
          <w:rFonts w:hint="eastAsia" w:ascii="楷体" w:hAnsi="楷体" w:cs="仿宋"/>
          <w:bCs/>
          <w:color w:val="auto"/>
          <w:szCs w:val="36"/>
          <w:highlight w:val="none"/>
        </w:rPr>
        <w:t xml:space="preserve">第二章  </w:t>
      </w:r>
      <w:bookmarkEnd w:id="12"/>
      <w:bookmarkEnd w:id="13"/>
      <w:r>
        <w:rPr>
          <w:rFonts w:hint="eastAsia" w:ascii="楷体" w:hAnsi="楷体" w:cs="仿宋"/>
          <w:bCs/>
          <w:color w:val="auto"/>
          <w:szCs w:val="36"/>
          <w:highlight w:val="none"/>
        </w:rPr>
        <w:t>供应商须知</w:t>
      </w:r>
      <w:bookmarkEnd w:id="14"/>
      <w:bookmarkEnd w:id="15"/>
    </w:p>
    <w:p>
      <w:pPr>
        <w:pStyle w:val="5"/>
        <w:widowControl w:val="0"/>
        <w:spacing w:before="0" w:after="0" w:line="360" w:lineRule="auto"/>
        <w:ind w:left="0"/>
        <w:jc w:val="center"/>
        <w:rPr>
          <w:rFonts w:hint="eastAsia" w:ascii="楷体" w:hAnsi="楷体" w:eastAsia="楷体" w:cs="仿宋"/>
          <w:color w:val="auto"/>
          <w:sz w:val="32"/>
          <w:highlight w:val="none"/>
        </w:rPr>
      </w:pPr>
      <w:bookmarkStart w:id="16" w:name="_Toc19364"/>
      <w:bookmarkStart w:id="17" w:name="_Toc423973073"/>
      <w:bookmarkStart w:id="18" w:name="_Toc2257"/>
      <w:r>
        <w:rPr>
          <w:rFonts w:hint="eastAsia" w:ascii="楷体" w:hAnsi="楷体" w:eastAsia="楷体" w:cs="仿宋"/>
          <w:color w:val="auto"/>
          <w:sz w:val="32"/>
          <w:highlight w:val="none"/>
        </w:rPr>
        <w:t>供应商须知前附表</w:t>
      </w:r>
      <w:bookmarkEnd w:id="16"/>
      <w:bookmarkEnd w:id="17"/>
      <w:bookmarkEnd w:id="18"/>
    </w:p>
    <w:tbl>
      <w:tblPr>
        <w:tblStyle w:val="46"/>
        <w:tblW w:w="90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3"/>
        <w:gridCol w:w="847"/>
        <w:gridCol w:w="76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tblHeader/>
          <w:jc w:val="center"/>
        </w:trPr>
        <w:tc>
          <w:tcPr>
            <w:tcW w:w="543" w:type="dxa"/>
            <w:vAlign w:val="center"/>
          </w:tcPr>
          <w:p>
            <w:pPr>
              <w:spacing w:line="360" w:lineRule="auto"/>
              <w:jc w:val="center"/>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序号</w:t>
            </w:r>
          </w:p>
        </w:tc>
        <w:tc>
          <w:tcPr>
            <w:tcW w:w="847" w:type="dxa"/>
            <w:vAlign w:val="center"/>
          </w:tcPr>
          <w:p>
            <w:pPr>
              <w:spacing w:line="360" w:lineRule="auto"/>
              <w:jc w:val="center"/>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条款号</w:t>
            </w:r>
          </w:p>
        </w:tc>
        <w:tc>
          <w:tcPr>
            <w:tcW w:w="7610" w:type="dxa"/>
            <w:vAlign w:val="center"/>
          </w:tcPr>
          <w:p>
            <w:pPr>
              <w:spacing w:line="360" w:lineRule="auto"/>
              <w:jc w:val="center"/>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55" w:hRule="atLeast"/>
          <w:jc w:val="center"/>
        </w:trPr>
        <w:tc>
          <w:tcPr>
            <w:tcW w:w="543"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2.1</w:t>
            </w:r>
          </w:p>
        </w:tc>
        <w:tc>
          <w:tcPr>
            <w:tcW w:w="7610" w:type="dxa"/>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招标代理机构：陕西正翼招标代理有限公司</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地址：西安经济技术开发区凤城一路6号利君V时代B座9F</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采购项目联系人：</w:t>
            </w:r>
            <w:r>
              <w:rPr>
                <w:rFonts w:hint="eastAsia" w:ascii="楷体" w:hAnsi="楷体" w:eastAsia="楷体" w:cs="宋体"/>
                <w:color w:val="auto"/>
                <w:szCs w:val="24"/>
                <w:highlight w:val="none"/>
                <w:lang w:eastAsia="zh-CN"/>
              </w:rPr>
              <w:t>刘媚</w:t>
            </w:r>
            <w:r>
              <w:rPr>
                <w:rFonts w:hint="eastAsia" w:ascii="楷体" w:hAnsi="楷体" w:eastAsia="楷体" w:cs="宋体"/>
                <w:color w:val="auto"/>
                <w:szCs w:val="24"/>
                <w:highlight w:val="none"/>
              </w:rPr>
              <w:t>、杨慧</w:t>
            </w:r>
          </w:p>
          <w:p>
            <w:pPr>
              <w:spacing w:line="360" w:lineRule="auto"/>
              <w:jc w:val="left"/>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rPr>
              <w:t>电话：029-86210100转80</w:t>
            </w:r>
            <w:r>
              <w:rPr>
                <w:rFonts w:hint="eastAsia" w:ascii="楷体" w:hAnsi="楷体" w:eastAsia="楷体" w:cs="仿宋"/>
                <w:color w:val="auto"/>
                <w:szCs w:val="24"/>
                <w:highlight w:val="none"/>
                <w:lang w:val="en-US" w:eastAsia="zh-CN"/>
              </w:rPr>
              <w:t>6</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邮箱：sxzyzbgs@163.com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543"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2.2.5</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543"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3</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9.2</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3"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4</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9.3</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本次磋商的最小单元为</w:t>
            </w:r>
            <w:r>
              <w:rPr>
                <w:rFonts w:hint="eastAsia" w:ascii="楷体" w:hAnsi="楷体" w:eastAsia="楷体" w:cs="仿宋"/>
                <w:color w:val="auto"/>
                <w:szCs w:val="24"/>
                <w:highlight w:val="none"/>
                <w:lang w:eastAsia="zh-CN"/>
              </w:rPr>
              <w:t>“项目</w:t>
            </w:r>
            <w:r>
              <w:rPr>
                <w:rFonts w:hint="eastAsia" w:ascii="楷体" w:hAnsi="楷体" w:eastAsia="楷体" w:cs="仿宋"/>
                <w:color w:val="auto"/>
                <w:szCs w:val="24"/>
                <w:highlight w:val="none"/>
              </w:rPr>
              <w:t>”。供应商可根据自身的资质情况和经营范围进行磋商，不得将其子目再行分解或针对本项目中的品目进行不完全磋商，任何不完全的响应将会被拒绝。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3"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5</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11.1</w:t>
            </w:r>
          </w:p>
        </w:tc>
        <w:tc>
          <w:tcPr>
            <w:tcW w:w="7610" w:type="dxa"/>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磋商报价：</w:t>
            </w:r>
            <w:r>
              <w:rPr>
                <w:rFonts w:hint="eastAsia" w:ascii="楷体" w:hAnsi="楷体" w:eastAsia="楷体" w:cs="楷体"/>
                <w:color w:val="auto"/>
                <w:szCs w:val="24"/>
                <w:highlight w:val="none"/>
              </w:rPr>
              <w:t>供应商应在磋商报价表中标明完成本次磋商所要求的货物、服务且验收合格的所有费用，包括但不限于产品费（含相关配件、附件、安装材料）、安装调试费、运杂费（含保险）、仓储保管费、技术培训费、检测费、招标代理服务费、税金等其他一切相关费用。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43"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6</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12.1</w:t>
            </w:r>
          </w:p>
        </w:tc>
        <w:tc>
          <w:tcPr>
            <w:tcW w:w="7610" w:type="dxa"/>
          </w:tcPr>
          <w:p>
            <w:pPr>
              <w:spacing w:line="360" w:lineRule="auto"/>
              <w:rPr>
                <w:rFonts w:hint="eastAsia" w:ascii="楷体" w:hAnsi="楷体" w:eastAsia="楷体" w:cs="仿宋"/>
                <w:b/>
                <w:bCs/>
                <w:color w:val="auto"/>
                <w:szCs w:val="24"/>
                <w:highlight w:val="none"/>
              </w:rPr>
            </w:pPr>
            <w:r>
              <w:rPr>
                <w:rFonts w:hint="eastAsia" w:ascii="楷体" w:hAnsi="楷体" w:eastAsia="楷体" w:cs="仿宋"/>
                <w:b/>
                <w:bCs/>
                <w:color w:val="auto"/>
                <w:szCs w:val="24"/>
                <w:highlight w:val="none"/>
              </w:rPr>
              <w:t>供应商资质要求：</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楷体" w:hAnsi="楷体" w:eastAsia="楷体" w:cs="楷体"/>
                <w:b w:val="0"/>
                <w:bCs w:val="0"/>
                <w:i w:val="0"/>
                <w:iCs w:val="0"/>
                <w:caps w:val="0"/>
                <w:color w:val="auto"/>
                <w:spacing w:val="0"/>
                <w:sz w:val="24"/>
                <w:szCs w:val="24"/>
                <w:highlight w:val="none"/>
                <w:shd w:val="clear" w:fill="FFFFFF"/>
                <w:vertAlign w:val="baseline"/>
              </w:rPr>
            </w:pPr>
            <w:r>
              <w:rPr>
                <w:rFonts w:hint="eastAsia" w:ascii="楷体" w:hAnsi="楷体" w:eastAsia="楷体" w:cs="楷体"/>
                <w:i w:val="0"/>
                <w:iCs w:val="0"/>
                <w:caps w:val="0"/>
                <w:color w:val="333333"/>
                <w:spacing w:val="0"/>
                <w:sz w:val="24"/>
                <w:szCs w:val="24"/>
                <w:shd w:val="clear" w:fill="FFFFFF"/>
                <w:vertAlign w:val="baseline"/>
              </w:rPr>
              <w:t>（1）提供有效合格的社会统一信用代码的营业执照，其他组织经营的须提供合法凭证，自然人的提供身份证明文件;</w:t>
            </w:r>
            <w:r>
              <w:rPr>
                <w:rFonts w:hint="eastAsia" w:ascii="楷体" w:hAnsi="楷体" w:eastAsia="楷体" w:cs="楷体"/>
                <w:i w:val="0"/>
                <w:iCs w:val="0"/>
                <w:caps w:val="0"/>
                <w:color w:val="333333"/>
                <w:spacing w:val="0"/>
                <w:sz w:val="24"/>
                <w:szCs w:val="24"/>
                <w:shd w:val="clear" w:fill="FFFFFF"/>
                <w:vertAlign w:val="baseline"/>
              </w:rPr>
              <w:br w:type="textWrapping"/>
            </w:r>
            <w:r>
              <w:rPr>
                <w:rFonts w:hint="eastAsia" w:ascii="楷体" w:hAnsi="楷体" w:eastAsia="楷体" w:cs="楷体"/>
                <w:i w:val="0"/>
                <w:iCs w:val="0"/>
                <w:caps w:val="0"/>
                <w:color w:val="333333"/>
                <w:spacing w:val="0"/>
                <w:sz w:val="24"/>
                <w:szCs w:val="24"/>
                <w:shd w:val="clear" w:fill="FFFFFF"/>
                <w:vertAlign w:val="baseline"/>
              </w:rPr>
              <w:t>（2）法定代表人授权委托书、被授权人身份证（法定代表人参加磋商时,只需提供法定代表人身份证）；</w:t>
            </w:r>
            <w:r>
              <w:rPr>
                <w:rFonts w:hint="eastAsia" w:ascii="楷体" w:hAnsi="楷体" w:eastAsia="楷体" w:cs="楷体"/>
                <w:i w:val="0"/>
                <w:iCs w:val="0"/>
                <w:caps w:val="0"/>
                <w:color w:val="333333"/>
                <w:spacing w:val="0"/>
                <w:sz w:val="24"/>
                <w:szCs w:val="24"/>
                <w:shd w:val="clear" w:fill="FFFFFF"/>
                <w:vertAlign w:val="baseline"/>
              </w:rPr>
              <w:br w:type="textWrapping"/>
            </w:r>
            <w:r>
              <w:rPr>
                <w:rFonts w:hint="eastAsia" w:ascii="楷体" w:hAnsi="楷体" w:eastAsia="楷体" w:cs="楷体"/>
                <w:i w:val="0"/>
                <w:iCs w:val="0"/>
                <w:caps w:val="0"/>
                <w:color w:val="333333"/>
                <w:spacing w:val="0"/>
                <w:sz w:val="24"/>
                <w:szCs w:val="24"/>
                <w:shd w:val="clear" w:fill="FFFFFF"/>
                <w:vertAlign w:val="baseline"/>
              </w:rPr>
              <w:t>（3）财务状况报告：提供2020年度或2021年度经审计的财务报告，或其基本存款账户开户银行出具的资信证明及基本存款账户开户许可证（基本账户信息表）；</w:t>
            </w:r>
            <w:r>
              <w:rPr>
                <w:rFonts w:hint="eastAsia" w:ascii="楷体" w:hAnsi="楷体" w:eastAsia="楷体" w:cs="楷体"/>
                <w:i w:val="0"/>
                <w:iCs w:val="0"/>
                <w:caps w:val="0"/>
                <w:color w:val="333333"/>
                <w:spacing w:val="0"/>
                <w:sz w:val="24"/>
                <w:szCs w:val="24"/>
                <w:shd w:val="clear" w:fill="FFFFFF"/>
                <w:vertAlign w:val="baseline"/>
              </w:rPr>
              <w:br w:type="textWrapping"/>
            </w:r>
            <w:r>
              <w:rPr>
                <w:rFonts w:hint="eastAsia" w:ascii="楷体" w:hAnsi="楷体" w:eastAsia="楷体" w:cs="楷体"/>
                <w:i w:val="0"/>
                <w:iCs w:val="0"/>
                <w:caps w:val="0"/>
                <w:color w:val="333333"/>
                <w:spacing w:val="0"/>
                <w:sz w:val="24"/>
                <w:szCs w:val="24"/>
                <w:shd w:val="clear" w:fill="FFFFFF"/>
                <w:vertAlign w:val="baseline"/>
              </w:rPr>
              <w:t>（4）税收缴纳证明：提供2021年1月至今已缴纳的至少一个月的纳税证明或完税证明（任意税种），依法免税的单位应提供相关证明材料；</w:t>
            </w:r>
            <w:r>
              <w:rPr>
                <w:rFonts w:hint="eastAsia" w:ascii="楷体" w:hAnsi="楷体" w:eastAsia="楷体" w:cs="楷体"/>
                <w:i w:val="0"/>
                <w:iCs w:val="0"/>
                <w:caps w:val="0"/>
                <w:color w:val="333333"/>
                <w:spacing w:val="0"/>
                <w:sz w:val="24"/>
                <w:szCs w:val="24"/>
                <w:shd w:val="clear" w:fill="FFFFFF"/>
                <w:vertAlign w:val="baseline"/>
              </w:rPr>
              <w:br w:type="textWrapping"/>
            </w:r>
            <w:r>
              <w:rPr>
                <w:rFonts w:hint="eastAsia" w:ascii="楷体" w:hAnsi="楷体" w:eastAsia="楷体" w:cs="楷体"/>
                <w:i w:val="0"/>
                <w:iCs w:val="0"/>
                <w:caps w:val="0"/>
                <w:color w:val="333333"/>
                <w:spacing w:val="0"/>
                <w:sz w:val="24"/>
                <w:szCs w:val="24"/>
                <w:shd w:val="clear" w:fill="FFFFFF"/>
                <w:vertAlign w:val="baseline"/>
              </w:rPr>
              <w:t>（5）社会保障资金缴纳证明：提供2021年1月至今已缴纳的至少一个月的社会保障资金缴存单据或社保机构开具的社会保险参保缴费情况证明，依法不需要缴纳社会保障资金的单位应提供相关证明材料；</w:t>
            </w:r>
            <w:r>
              <w:rPr>
                <w:rFonts w:hint="eastAsia" w:ascii="楷体" w:hAnsi="楷体" w:eastAsia="楷体" w:cs="楷体"/>
                <w:i w:val="0"/>
                <w:iCs w:val="0"/>
                <w:caps w:val="0"/>
                <w:color w:val="333333"/>
                <w:spacing w:val="0"/>
                <w:sz w:val="24"/>
                <w:szCs w:val="24"/>
                <w:shd w:val="clear" w:fill="FFFFFF"/>
                <w:vertAlign w:val="baseline"/>
              </w:rPr>
              <w:br w:type="textWrapping"/>
            </w:r>
            <w:r>
              <w:rPr>
                <w:rFonts w:hint="eastAsia" w:ascii="楷体" w:hAnsi="楷体" w:eastAsia="楷体" w:cs="楷体"/>
                <w:i w:val="0"/>
                <w:iCs w:val="0"/>
                <w:caps w:val="0"/>
                <w:color w:val="333333"/>
                <w:spacing w:val="0"/>
                <w:sz w:val="24"/>
                <w:szCs w:val="24"/>
                <w:shd w:val="clear" w:fill="FFFFFF"/>
                <w:vertAlign w:val="baseline"/>
              </w:rPr>
              <w:t>（6）具备履行合同所必须的设备和专业技术能力的书面声明;</w:t>
            </w:r>
            <w:r>
              <w:rPr>
                <w:rFonts w:hint="eastAsia" w:ascii="楷体" w:hAnsi="楷体" w:eastAsia="楷体" w:cs="楷体"/>
                <w:i w:val="0"/>
                <w:iCs w:val="0"/>
                <w:caps w:val="0"/>
                <w:color w:val="333333"/>
                <w:spacing w:val="0"/>
                <w:sz w:val="24"/>
                <w:szCs w:val="24"/>
                <w:shd w:val="clear" w:fill="FFFFFF"/>
                <w:vertAlign w:val="baseline"/>
              </w:rPr>
              <w:br w:type="textWrapping"/>
            </w:r>
            <w:r>
              <w:rPr>
                <w:rFonts w:hint="eastAsia" w:ascii="楷体" w:hAnsi="楷体" w:eastAsia="楷体" w:cs="楷体"/>
                <w:i w:val="0"/>
                <w:iCs w:val="0"/>
                <w:caps w:val="0"/>
                <w:color w:val="333333"/>
                <w:spacing w:val="0"/>
                <w:sz w:val="24"/>
                <w:szCs w:val="24"/>
                <w:shd w:val="clear" w:fill="FFFFFF"/>
                <w:vertAlign w:val="baseline"/>
              </w:rPr>
              <w:t>（7）参加政府采购活动前三年内，在经营活动中没有重大违法记录的书面声明；</w:t>
            </w:r>
            <w:r>
              <w:rPr>
                <w:rFonts w:hint="eastAsia" w:ascii="楷体" w:hAnsi="楷体" w:eastAsia="楷体" w:cs="楷体"/>
                <w:i w:val="0"/>
                <w:iCs w:val="0"/>
                <w:caps w:val="0"/>
                <w:color w:val="333333"/>
                <w:spacing w:val="0"/>
                <w:sz w:val="24"/>
                <w:szCs w:val="24"/>
                <w:shd w:val="clear" w:fill="FFFFFF"/>
                <w:vertAlign w:val="baseline"/>
              </w:rPr>
              <w:br w:type="textWrapping"/>
            </w:r>
            <w:r>
              <w:rPr>
                <w:rFonts w:hint="eastAsia" w:ascii="楷体" w:hAnsi="楷体" w:eastAsia="楷体" w:cs="楷体"/>
                <w:i w:val="0"/>
                <w:iCs w:val="0"/>
                <w:caps w:val="0"/>
                <w:color w:val="333333"/>
                <w:spacing w:val="0"/>
                <w:sz w:val="24"/>
                <w:szCs w:val="24"/>
                <w:shd w:val="clear" w:fill="FFFFFF"/>
                <w:vertAlign w:val="baseline"/>
              </w:rPr>
              <w:t>（8）供应商未被列入信用中国网站(www.creditchina.gov.cn)“失信被执行人、重大税收违法失信主体”；不处于中国政府采购网(www.ccgp.gov.cn)“政府采购严重违法失信行为信息记录”中的禁止参加政府采购活动期间。</w:t>
            </w:r>
          </w:p>
          <w:p>
            <w:pPr>
              <w:pStyle w:val="4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482" w:firstLineChars="200"/>
              <w:jc w:val="both"/>
              <w:textAlignment w:val="baseline"/>
              <w:rPr>
                <w:rFonts w:hint="default" w:ascii="楷体" w:hAnsi="楷体" w:eastAsia="楷体" w:cs="楷体"/>
                <w:b/>
                <w:bCs/>
                <w:i w:val="0"/>
                <w:iCs w:val="0"/>
                <w:caps w:val="0"/>
                <w:color w:val="auto"/>
                <w:spacing w:val="0"/>
                <w:sz w:val="24"/>
                <w:szCs w:val="24"/>
                <w:highlight w:val="none"/>
                <w:shd w:val="clear" w:fill="FFFFFF"/>
                <w:vertAlign w:val="baseline"/>
                <w:lang w:val="en-US" w:eastAsia="zh-CN"/>
              </w:rPr>
            </w:pPr>
            <w:r>
              <w:rPr>
                <w:rFonts w:hint="eastAsia" w:ascii="楷体" w:hAnsi="楷体" w:eastAsia="楷体" w:cs="楷体"/>
                <w:b/>
                <w:bCs/>
                <w:i w:val="0"/>
                <w:iCs w:val="0"/>
                <w:caps w:val="0"/>
                <w:color w:val="auto"/>
                <w:spacing w:val="0"/>
                <w:sz w:val="24"/>
                <w:szCs w:val="24"/>
                <w:highlight w:val="none"/>
                <w:shd w:val="clear" w:fill="FFFFFF"/>
                <w:vertAlign w:val="baseline"/>
                <w:lang w:val="en-US" w:eastAsia="zh-CN"/>
              </w:rPr>
              <w:t>备注：本</w:t>
            </w:r>
            <w:r>
              <w:rPr>
                <w:rFonts w:hint="eastAsia" w:ascii="楷体" w:hAnsi="楷体" w:eastAsia="楷体" w:cs="楷体"/>
                <w:b/>
                <w:bCs/>
                <w:color w:val="auto"/>
                <w:sz w:val="24"/>
                <w:szCs w:val="24"/>
                <w:highlight w:val="none"/>
                <w:lang w:val="en-US" w:eastAsia="zh-CN" w:bidi="ar-SA"/>
              </w:rPr>
              <w:t>项目不接受联合体投标。</w:t>
            </w:r>
          </w:p>
          <w:p>
            <w:pPr>
              <w:spacing w:line="360" w:lineRule="auto"/>
              <w:ind w:firstLine="482" w:firstLineChars="200"/>
              <w:jc w:val="left"/>
              <w:rPr>
                <w:rFonts w:hint="eastAsia" w:ascii="楷体" w:hAnsi="楷体" w:eastAsia="楷体"/>
                <w:color w:val="auto"/>
                <w:highlight w:val="none"/>
              </w:rPr>
            </w:pPr>
            <w:r>
              <w:rPr>
                <w:rFonts w:hint="eastAsia" w:ascii="楷体" w:hAnsi="楷体" w:eastAsia="楷体" w:cs="楷体"/>
                <w:b/>
                <w:bCs/>
                <w:color w:val="auto"/>
                <w:szCs w:val="24"/>
                <w:highlight w:val="none"/>
              </w:rPr>
              <w:t> 上述资格证明文件为必备资格，资格证明文件应加盖公章，缺项或者符合性、有效性、合法性审核不合格的，按无效投标处理。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39" w:hRule="exact"/>
          <w:jc w:val="center"/>
        </w:trPr>
        <w:tc>
          <w:tcPr>
            <w:tcW w:w="543"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lang w:val="en-US" w:eastAsia="zh-CN"/>
              </w:rPr>
              <w:t>7</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.1</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磋商有效期</w:t>
            </w:r>
            <w:r>
              <w:rPr>
                <w:rFonts w:hint="eastAsia" w:ascii="楷体" w:hAnsi="楷体" w:eastAsia="楷体"/>
                <w:color w:val="auto"/>
                <w:szCs w:val="24"/>
                <w:highlight w:val="none"/>
              </w:rPr>
              <w:t>（含授权有效期）</w:t>
            </w:r>
            <w:r>
              <w:rPr>
                <w:rFonts w:hint="eastAsia" w:ascii="楷体" w:hAnsi="楷体" w:eastAsia="楷体" w:cs="仿宋"/>
                <w:color w:val="auto"/>
                <w:szCs w:val="24"/>
                <w:highlight w:val="none"/>
              </w:rPr>
              <w:t>: 从递交磋商响应文件的截止之日起 90 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543"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lang w:val="en-US" w:eastAsia="zh-CN"/>
              </w:rPr>
              <w:t>8</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5</w:t>
            </w:r>
            <w:r>
              <w:rPr>
                <w:rFonts w:hint="eastAsia" w:ascii="楷体" w:hAnsi="楷体" w:eastAsia="楷体" w:cs="仿宋"/>
                <w:color w:val="auto"/>
                <w:szCs w:val="24"/>
                <w:highlight w:val="none"/>
              </w:rPr>
              <w:t>.1</w:t>
            </w:r>
          </w:p>
        </w:tc>
        <w:tc>
          <w:tcPr>
            <w:tcW w:w="7610" w:type="dxa"/>
            <w:vAlign w:val="center"/>
          </w:tcPr>
          <w:p>
            <w:pPr>
              <w:spacing w:line="360" w:lineRule="auto"/>
              <w:rPr>
                <w:rFonts w:hint="eastAsia" w:ascii="楷体" w:hAnsi="楷体" w:eastAsia="楷体" w:cs="楷体"/>
                <w:szCs w:val="24"/>
                <w:highlight w:val="none"/>
              </w:rPr>
            </w:pPr>
            <w:r>
              <w:rPr>
                <w:rFonts w:hint="eastAsia" w:ascii="楷体" w:hAnsi="楷体" w:eastAsia="楷体" w:cs="楷体"/>
                <w:szCs w:val="24"/>
                <w:highlight w:val="none"/>
              </w:rPr>
              <w:t>电子版（U盘）：壹份（文件命名为</w:t>
            </w:r>
            <w:r>
              <w:rPr>
                <w:rFonts w:hint="eastAsia" w:ascii="楷体" w:hAnsi="楷体" w:eastAsia="楷体" w:cs="楷体"/>
                <w:szCs w:val="24"/>
                <w:highlight w:val="none"/>
                <w:lang w:eastAsia="zh-CN"/>
              </w:rPr>
              <w:t>投标人</w:t>
            </w:r>
            <w:r>
              <w:rPr>
                <w:rFonts w:hint="eastAsia" w:ascii="楷体" w:hAnsi="楷体" w:eastAsia="楷体" w:cs="楷体"/>
                <w:szCs w:val="24"/>
                <w:highlight w:val="none"/>
              </w:rPr>
              <w:t>名称）</w:t>
            </w:r>
          </w:p>
          <w:p>
            <w:pPr>
              <w:spacing w:line="360" w:lineRule="auto"/>
              <w:rPr>
                <w:rFonts w:hint="eastAsia" w:ascii="楷体" w:hAnsi="楷体" w:eastAsia="楷体" w:cs="仿宋"/>
                <w:color w:val="auto"/>
                <w:szCs w:val="24"/>
                <w:highlight w:val="none"/>
              </w:rPr>
            </w:pPr>
            <w:r>
              <w:rPr>
                <w:rFonts w:hint="eastAsia" w:ascii="楷体" w:hAnsi="楷体" w:eastAsia="楷体" w:cs="楷体"/>
                <w:szCs w:val="24"/>
                <w:highlight w:val="none"/>
              </w:rPr>
              <w:t>U盘</w:t>
            </w:r>
            <w:r>
              <w:rPr>
                <w:rFonts w:hint="eastAsia" w:ascii="楷体" w:hAnsi="楷体" w:eastAsia="楷体" w:cs="楷体"/>
                <w:szCs w:val="24"/>
                <w:highlight w:val="none"/>
                <w:lang w:eastAsia="zh-CN"/>
              </w:rPr>
              <w:t>存储内容为</w:t>
            </w:r>
            <w:r>
              <w:rPr>
                <w:rFonts w:hint="eastAsia" w:ascii="楷体" w:hAnsi="楷体" w:eastAsia="楷体" w:cs="楷体"/>
                <w:szCs w:val="24"/>
                <w:highlight w:val="none"/>
                <w:lang w:val="en-US" w:eastAsia="zh-CN"/>
              </w:rPr>
              <w:t>word版及PDF版投标文件</w:t>
            </w:r>
            <w:r>
              <w:rPr>
                <w:rFonts w:hint="eastAsia" w:ascii="楷体" w:hAnsi="楷体" w:eastAsia="楷体" w:cs="楷体"/>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9</w:t>
            </w:r>
          </w:p>
        </w:tc>
        <w:tc>
          <w:tcPr>
            <w:tcW w:w="847"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16.1</w:t>
            </w:r>
          </w:p>
        </w:tc>
        <w:tc>
          <w:tcPr>
            <w:tcW w:w="7610" w:type="dxa"/>
            <w:vAlign w:val="center"/>
          </w:tcPr>
          <w:p>
            <w:pPr>
              <w:spacing w:line="360" w:lineRule="auto"/>
              <w:rPr>
                <w:rFonts w:hint="eastAsia" w:ascii="楷体" w:hAnsi="楷体" w:eastAsia="楷体" w:cs="楷体"/>
                <w:szCs w:val="24"/>
                <w:highlight w:val="none"/>
                <w:lang w:val="en-US" w:eastAsia="zh-CN"/>
              </w:rPr>
            </w:pPr>
            <w:r>
              <w:rPr>
                <w:rFonts w:hint="eastAsia" w:ascii="楷体" w:hAnsi="楷体" w:eastAsia="楷体" w:cs="楷体"/>
                <w:szCs w:val="24"/>
                <w:highlight w:val="none"/>
                <w:lang w:val="en-US" w:eastAsia="zh-CN"/>
              </w:rPr>
              <w:t>投标单位将投标文件电子版密封于封袋中（封袋不得有破损），且在封袋正面标明“电子版”字样。封袋应加贴封条，并在封线处加盖投标单位公章，封袋正面要粘贴投标人全称、项目名称、编号等标识。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10</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17</w:t>
            </w:r>
            <w:r>
              <w:rPr>
                <w:rFonts w:hint="eastAsia" w:ascii="楷体" w:hAnsi="楷体" w:eastAsia="楷体" w:cs="仿宋"/>
                <w:color w:val="auto"/>
                <w:szCs w:val="24"/>
                <w:highlight w:val="none"/>
              </w:rPr>
              <w:t>.1</w:t>
            </w:r>
          </w:p>
        </w:tc>
        <w:tc>
          <w:tcPr>
            <w:tcW w:w="7610" w:type="dxa"/>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投标文件递交截止时间：详见招标公告。</w:t>
            </w:r>
          </w:p>
          <w:p>
            <w:pPr>
              <w:spacing w:line="360" w:lineRule="auto"/>
              <w:rPr>
                <w:rFonts w:hint="eastAsia" w:ascii="楷体" w:hAnsi="楷体" w:eastAsia="楷体" w:cs="仿宋"/>
                <w:color w:val="auto"/>
                <w:szCs w:val="24"/>
                <w:highlight w:val="none"/>
              </w:rPr>
            </w:pPr>
            <w:r>
              <w:rPr>
                <w:rFonts w:hint="eastAsia" w:ascii="楷体" w:hAnsi="楷体" w:eastAsia="楷体" w:cs="楷体"/>
                <w:color w:val="auto"/>
                <w:szCs w:val="24"/>
                <w:highlight w:val="none"/>
              </w:rPr>
              <w:t>投标文件递交地址：</w:t>
            </w:r>
            <w:r>
              <w:rPr>
                <w:rFonts w:hint="eastAsia" w:ascii="楷体" w:hAnsi="楷体" w:eastAsia="楷体" w:cs="楷体"/>
                <w:color w:val="auto"/>
                <w:szCs w:val="24"/>
                <w:highlight w:val="none"/>
                <w:lang w:eastAsia="zh-CN"/>
              </w:rPr>
              <w:t>安康市公共资源交易中心网</w:t>
            </w:r>
            <w:r>
              <w:rPr>
                <w:rFonts w:hint="eastAsia" w:ascii="楷体" w:hAnsi="楷体" w:eastAsia="楷体" w:cs="楷体"/>
                <w:color w:val="auto"/>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11</w:t>
            </w:r>
          </w:p>
        </w:tc>
        <w:tc>
          <w:tcPr>
            <w:tcW w:w="847"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lang w:val="en-US" w:eastAsia="zh-CN"/>
              </w:rPr>
              <w:t>17</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2</w:t>
            </w:r>
          </w:p>
        </w:tc>
        <w:tc>
          <w:tcPr>
            <w:tcW w:w="7610" w:type="dxa"/>
            <w:vAlign w:val="center"/>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开标时间：详见招标公告。</w:t>
            </w:r>
          </w:p>
          <w:p>
            <w:pPr>
              <w:spacing w:line="360" w:lineRule="auto"/>
              <w:jc w:val="left"/>
              <w:rPr>
                <w:rFonts w:hint="eastAsia" w:ascii="楷体" w:hAnsi="楷体" w:eastAsia="楷体" w:cs="仿宋"/>
                <w:color w:val="auto"/>
                <w:szCs w:val="24"/>
                <w:highlight w:val="none"/>
              </w:rPr>
            </w:pPr>
            <w:r>
              <w:rPr>
                <w:rFonts w:hint="eastAsia" w:ascii="楷体" w:hAnsi="楷体" w:eastAsia="楷体" w:cs="楷体"/>
                <w:color w:val="auto"/>
                <w:szCs w:val="24"/>
                <w:highlight w:val="none"/>
              </w:rPr>
              <w:t>开标地点：</w:t>
            </w:r>
            <w:r>
              <w:rPr>
                <w:rFonts w:hint="eastAsia" w:ascii="楷体" w:hAnsi="楷体" w:eastAsia="楷体" w:cs="仿宋"/>
                <w:color w:val="000000"/>
                <w:szCs w:val="24"/>
                <w:highlight w:val="none"/>
              </w:rPr>
              <w:t>安康市公共资源交易中心303第三开标室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12</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2</w:t>
            </w:r>
            <w:r>
              <w:rPr>
                <w:rFonts w:hint="eastAsia" w:ascii="楷体" w:hAnsi="楷体" w:eastAsia="楷体" w:cs="仿宋"/>
                <w:color w:val="auto"/>
                <w:szCs w:val="24"/>
                <w:highlight w:val="none"/>
              </w:rPr>
              <w:t>.1</w:t>
            </w:r>
          </w:p>
        </w:tc>
        <w:tc>
          <w:tcPr>
            <w:tcW w:w="7610" w:type="dxa"/>
            <w:vAlign w:val="center"/>
          </w:tcPr>
          <w:p>
            <w:pPr>
              <w:spacing w:line="360" w:lineRule="auto"/>
              <w:jc w:val="left"/>
              <w:rPr>
                <w:rFonts w:hint="eastAsia" w:ascii="楷体" w:hAnsi="楷体" w:eastAsia="楷体" w:cs="仿宋"/>
                <w:color w:val="auto"/>
                <w:szCs w:val="24"/>
                <w:highlight w:val="none"/>
              </w:rPr>
            </w:pPr>
            <w:r>
              <w:rPr>
                <w:rFonts w:hint="eastAsia" w:ascii="楷体" w:hAnsi="楷体" w:eastAsia="楷体" w:cs="仿宋"/>
                <w:b/>
                <w:bCs/>
                <w:color w:val="auto"/>
                <w:szCs w:val="24"/>
                <w:highlight w:val="none"/>
              </w:rPr>
              <w:t>评审方法：综合评分法（详见第五章）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543" w:type="dxa"/>
            <w:vAlign w:val="center"/>
          </w:tcPr>
          <w:p>
            <w:pPr>
              <w:spacing w:line="360" w:lineRule="auto"/>
              <w:jc w:val="center"/>
              <w:rPr>
                <w:rFonts w:hint="eastAsia" w:ascii="楷体" w:hAnsi="楷体" w:eastAsia="楷体" w:cs="仿宋"/>
                <w:color w:val="auto"/>
                <w:szCs w:val="24"/>
                <w:highlight w:val="none"/>
                <w:lang w:val="en-US" w:eastAsia="zh-CN"/>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3</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7</w:t>
            </w:r>
            <w:r>
              <w:rPr>
                <w:rFonts w:hint="eastAsia" w:ascii="楷体" w:hAnsi="楷体" w:eastAsia="楷体" w:cs="仿宋"/>
                <w:color w:val="auto"/>
                <w:szCs w:val="24"/>
                <w:highlight w:val="none"/>
              </w:rPr>
              <w:t>.1</w:t>
            </w:r>
          </w:p>
        </w:tc>
        <w:tc>
          <w:tcPr>
            <w:tcW w:w="7610" w:type="dxa"/>
            <w:vAlign w:val="center"/>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招标代理服务费：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1、招标代理服务费的计算方法：中标服务费依据《汉阴县财政局关于印发&lt;汉阴县 工程造价咨询等服务类收费项目评审最高限价及简化政府采购程序&gt;的通知》（汉财字〔2018〕99号）文件规定收费标准收取，不足10000元的按10000元收取。</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2、招标代理服务费由</w:t>
            </w:r>
            <w:r>
              <w:rPr>
                <w:rFonts w:hint="eastAsia" w:ascii="楷体" w:hAnsi="楷体" w:eastAsia="楷体" w:cs="楷体"/>
                <w:color w:val="auto"/>
                <w:szCs w:val="24"/>
                <w:highlight w:val="none"/>
                <w:lang w:val="en-US" w:eastAsia="zh-CN"/>
              </w:rPr>
              <w:t>成交单位</w:t>
            </w:r>
            <w:r>
              <w:rPr>
                <w:rFonts w:hint="eastAsia" w:ascii="楷体" w:hAnsi="楷体" w:eastAsia="楷体" w:cs="楷体"/>
                <w:color w:val="auto"/>
                <w:szCs w:val="24"/>
                <w:highlight w:val="none"/>
              </w:rPr>
              <w:t>支付，在领取《</w:t>
            </w:r>
            <w:r>
              <w:rPr>
                <w:rFonts w:hint="eastAsia" w:ascii="楷体" w:hAnsi="楷体" w:eastAsia="楷体" w:cs="楷体"/>
                <w:color w:val="auto"/>
                <w:szCs w:val="24"/>
                <w:highlight w:val="none"/>
                <w:lang w:val="en-US" w:eastAsia="zh-CN"/>
              </w:rPr>
              <w:t>成交</w:t>
            </w:r>
            <w:r>
              <w:rPr>
                <w:rFonts w:hint="eastAsia" w:ascii="楷体" w:hAnsi="楷体" w:eastAsia="楷体" w:cs="楷体"/>
                <w:color w:val="auto"/>
                <w:szCs w:val="24"/>
                <w:highlight w:val="none"/>
              </w:rPr>
              <w:t>通知书》前，由</w:t>
            </w:r>
            <w:r>
              <w:rPr>
                <w:rFonts w:hint="eastAsia" w:ascii="楷体" w:hAnsi="楷体" w:eastAsia="楷体" w:cs="楷体"/>
                <w:color w:val="auto"/>
                <w:szCs w:val="24"/>
                <w:highlight w:val="none"/>
                <w:lang w:val="en-US" w:eastAsia="zh-CN"/>
              </w:rPr>
              <w:t>成交单位</w:t>
            </w:r>
            <w:r>
              <w:rPr>
                <w:rFonts w:hint="eastAsia" w:ascii="楷体" w:hAnsi="楷体" w:eastAsia="楷体" w:cs="楷体"/>
                <w:color w:val="auto"/>
                <w:szCs w:val="24"/>
                <w:highlight w:val="none"/>
              </w:rPr>
              <w:t>一次性支付给陕西正翼招标代理有限公司。</w:t>
            </w:r>
          </w:p>
          <w:p>
            <w:pPr>
              <w:spacing w:line="360" w:lineRule="auto"/>
              <w:ind w:firstLine="480" w:firstLineChars="200"/>
              <w:rPr>
                <w:rFonts w:hint="eastAsia" w:ascii="楷体" w:hAnsi="楷体" w:eastAsia="楷体" w:cs="楷体"/>
                <w:b w:val="0"/>
                <w:bCs w:val="0"/>
                <w:szCs w:val="24"/>
                <w:highlight w:val="none"/>
              </w:rPr>
            </w:pPr>
            <w:r>
              <w:rPr>
                <w:rFonts w:hint="eastAsia" w:ascii="楷体" w:hAnsi="楷体" w:eastAsia="楷体" w:cs="楷体"/>
                <w:b w:val="0"/>
                <w:bCs w:val="0"/>
                <w:szCs w:val="24"/>
                <w:highlight w:val="none"/>
              </w:rPr>
              <w:t>3、招标代理服务费缴纳账户：</w:t>
            </w:r>
          </w:p>
          <w:p>
            <w:pPr>
              <w:spacing w:line="360" w:lineRule="auto"/>
              <w:ind w:firstLine="480" w:firstLineChars="200"/>
              <w:rPr>
                <w:rFonts w:hint="eastAsia" w:ascii="楷体" w:hAnsi="楷体" w:eastAsia="楷体" w:cs="仿宋"/>
                <w:b w:val="0"/>
                <w:bCs w:val="0"/>
                <w:color w:val="auto"/>
                <w:kern w:val="0"/>
                <w:sz w:val="24"/>
                <w:szCs w:val="24"/>
                <w:highlight w:val="none"/>
                <w:lang w:val="en-US" w:eastAsia="zh-CN"/>
              </w:rPr>
            </w:pPr>
            <w:r>
              <w:rPr>
                <w:rFonts w:hint="eastAsia" w:ascii="楷体" w:hAnsi="楷体" w:eastAsia="楷体" w:cs="仿宋"/>
                <w:b w:val="0"/>
                <w:bCs w:val="0"/>
                <w:color w:val="auto"/>
                <w:kern w:val="0"/>
                <w:sz w:val="24"/>
                <w:szCs w:val="24"/>
                <w:highlight w:val="none"/>
                <w:lang w:val="en-US" w:eastAsia="zh-CN"/>
              </w:rPr>
              <w:t>开户名称：陕西正翼招标代理有限公司西安分公司</w:t>
            </w:r>
          </w:p>
          <w:p>
            <w:pPr>
              <w:spacing w:line="360" w:lineRule="auto"/>
              <w:ind w:firstLine="480" w:firstLineChars="200"/>
              <w:rPr>
                <w:rFonts w:hint="eastAsia" w:ascii="楷体" w:hAnsi="楷体" w:eastAsia="楷体" w:cs="仿宋"/>
                <w:b w:val="0"/>
                <w:bCs w:val="0"/>
                <w:color w:val="auto"/>
                <w:kern w:val="0"/>
                <w:sz w:val="24"/>
                <w:szCs w:val="24"/>
                <w:highlight w:val="none"/>
                <w:lang w:val="en-US" w:eastAsia="zh-CN"/>
              </w:rPr>
            </w:pPr>
            <w:r>
              <w:rPr>
                <w:rFonts w:hint="eastAsia" w:ascii="楷体" w:hAnsi="楷体" w:eastAsia="楷体" w:cs="仿宋"/>
                <w:b w:val="0"/>
                <w:bCs w:val="0"/>
                <w:color w:val="auto"/>
                <w:kern w:val="0"/>
                <w:sz w:val="24"/>
                <w:szCs w:val="24"/>
                <w:highlight w:val="none"/>
                <w:lang w:val="en-US" w:eastAsia="zh-CN"/>
              </w:rPr>
              <w:t>开户银行：中国光大银行股份有限公司西安经济技术开发区支行</w:t>
            </w:r>
          </w:p>
          <w:p>
            <w:pPr>
              <w:spacing w:line="360" w:lineRule="auto"/>
              <w:ind w:firstLine="480" w:firstLineChars="200"/>
              <w:rPr>
                <w:rFonts w:hint="eastAsia" w:ascii="楷体" w:hAnsi="楷体" w:eastAsia="楷体"/>
                <w:color w:val="auto"/>
                <w:szCs w:val="24"/>
                <w:highlight w:val="none"/>
              </w:rPr>
            </w:pPr>
            <w:r>
              <w:rPr>
                <w:rFonts w:hint="eastAsia" w:ascii="楷体" w:hAnsi="楷体" w:eastAsia="楷体" w:cs="仿宋"/>
                <w:b w:val="0"/>
                <w:bCs w:val="0"/>
                <w:color w:val="auto"/>
                <w:kern w:val="0"/>
                <w:sz w:val="24"/>
                <w:szCs w:val="24"/>
                <w:highlight w:val="none"/>
                <w:lang w:val="en-US" w:eastAsia="zh-CN"/>
              </w:rPr>
              <w:t>账    号：78680188000360910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543"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3</w:t>
            </w:r>
          </w:p>
        </w:tc>
        <w:tc>
          <w:tcPr>
            <w:tcW w:w="847"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28</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履约保证金:</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sym w:font="Wingdings 2" w:char="0052"/>
            </w:r>
            <w:r>
              <w:rPr>
                <w:rFonts w:hint="eastAsia" w:ascii="楷体" w:hAnsi="楷体" w:eastAsia="楷体" w:cs="仿宋"/>
                <w:color w:val="auto"/>
                <w:szCs w:val="24"/>
                <w:highlight w:val="none"/>
              </w:rPr>
              <w:t>不要求提供</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lang w:eastAsia="zh-CN"/>
              </w:rPr>
              <w:t>□</w:t>
            </w:r>
            <w:r>
              <w:rPr>
                <w:rFonts w:hint="eastAsia" w:ascii="楷体" w:hAnsi="楷体" w:eastAsia="楷体" w:cs="仿宋"/>
                <w:color w:val="auto"/>
                <w:szCs w:val="24"/>
                <w:highlight w:val="none"/>
              </w:rPr>
              <w:t>要求提供，金额为本采购项目各包合同金额的5%，提交方式为：转账、电汇、担保机构保函。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543" w:type="dxa"/>
            <w:vAlign w:val="center"/>
          </w:tcPr>
          <w:p>
            <w:pPr>
              <w:spacing w:line="360" w:lineRule="auto"/>
              <w:jc w:val="center"/>
              <w:rPr>
                <w:rFonts w:hint="eastAsia" w:ascii="楷体" w:hAnsi="楷体" w:eastAsia="楷体"/>
                <w:color w:val="auto"/>
                <w:szCs w:val="24"/>
                <w:highlight w:val="none"/>
                <w:lang w:eastAsia="zh-CN"/>
              </w:rPr>
            </w:pPr>
            <w:r>
              <w:rPr>
                <w:rFonts w:hint="eastAsia" w:ascii="楷体" w:hAnsi="楷体" w:eastAsia="楷体"/>
                <w:color w:val="auto"/>
                <w:szCs w:val="24"/>
                <w:highlight w:val="none"/>
              </w:rPr>
              <w:t>1</w:t>
            </w:r>
            <w:r>
              <w:rPr>
                <w:rFonts w:hint="eastAsia" w:ascii="楷体" w:hAnsi="楷体" w:eastAsia="楷体"/>
                <w:color w:val="auto"/>
                <w:szCs w:val="24"/>
                <w:highlight w:val="none"/>
                <w:lang w:val="en-US" w:eastAsia="zh-CN"/>
              </w:rPr>
              <w:t>4</w:t>
            </w:r>
          </w:p>
        </w:tc>
        <w:tc>
          <w:tcPr>
            <w:tcW w:w="847" w:type="dxa"/>
            <w:vAlign w:val="center"/>
          </w:tcPr>
          <w:p>
            <w:pPr>
              <w:spacing w:line="360" w:lineRule="auto"/>
              <w:jc w:val="center"/>
              <w:rPr>
                <w:rFonts w:hint="eastAsia" w:ascii="楷体" w:hAnsi="楷体" w:eastAsia="楷体"/>
                <w:color w:val="auto"/>
                <w:szCs w:val="24"/>
                <w:highlight w:val="none"/>
              </w:rPr>
            </w:pPr>
            <w:r>
              <w:rPr>
                <w:rFonts w:hint="eastAsia" w:ascii="楷体" w:hAnsi="楷体" w:eastAsia="楷体"/>
                <w:color w:val="auto"/>
                <w:szCs w:val="24"/>
                <w:highlight w:val="none"/>
              </w:rPr>
              <w:t>质量</w:t>
            </w:r>
          </w:p>
          <w:p>
            <w:pPr>
              <w:spacing w:line="360" w:lineRule="auto"/>
              <w:jc w:val="center"/>
              <w:rPr>
                <w:rFonts w:hint="eastAsia" w:ascii="楷体" w:hAnsi="楷体" w:eastAsia="楷体"/>
                <w:color w:val="auto"/>
                <w:szCs w:val="24"/>
                <w:highlight w:val="none"/>
              </w:rPr>
            </w:pPr>
            <w:r>
              <w:rPr>
                <w:rFonts w:hint="eastAsia" w:ascii="楷体" w:hAnsi="楷体" w:eastAsia="楷体"/>
                <w:color w:val="auto"/>
                <w:szCs w:val="24"/>
                <w:highlight w:val="none"/>
              </w:rPr>
              <w:t>要求</w:t>
            </w:r>
          </w:p>
        </w:tc>
        <w:tc>
          <w:tcPr>
            <w:tcW w:w="7610" w:type="dxa"/>
            <w:vAlign w:val="center"/>
          </w:tcPr>
          <w:p>
            <w:pPr>
              <w:spacing w:line="360" w:lineRule="auto"/>
              <w:rPr>
                <w:rFonts w:hint="eastAsia" w:ascii="楷体" w:hAnsi="楷体" w:eastAsia="楷体"/>
                <w:color w:val="auto"/>
                <w:szCs w:val="24"/>
                <w:highlight w:val="none"/>
              </w:rPr>
            </w:pPr>
            <w:r>
              <w:rPr>
                <w:rFonts w:hint="eastAsia" w:ascii="楷体" w:hAnsi="楷体" w:eastAsia="楷体"/>
                <w:color w:val="auto"/>
                <w:szCs w:val="24"/>
                <w:highlight w:val="none"/>
              </w:rPr>
              <w:t>达到国家现行有关验收规范</w:t>
            </w:r>
            <w:r>
              <w:rPr>
                <w:rFonts w:ascii="楷体" w:hAnsi="楷体" w:eastAsia="楷体"/>
                <w:color w:val="auto"/>
                <w:szCs w:val="24"/>
                <w:highlight w:val="none"/>
              </w:rPr>
              <w:t>“</w:t>
            </w:r>
            <w:r>
              <w:rPr>
                <w:rFonts w:hint="eastAsia" w:ascii="楷体" w:hAnsi="楷体" w:eastAsia="楷体"/>
                <w:color w:val="auto"/>
                <w:szCs w:val="24"/>
                <w:highlight w:val="none"/>
              </w:rPr>
              <w:t>合格</w:t>
            </w:r>
            <w:r>
              <w:rPr>
                <w:rFonts w:ascii="楷体" w:hAnsi="楷体" w:eastAsia="楷体"/>
                <w:color w:val="auto"/>
                <w:szCs w:val="24"/>
                <w:highlight w:val="none"/>
              </w:rPr>
              <w:t>”</w:t>
            </w:r>
            <w:r>
              <w:rPr>
                <w:rFonts w:hint="eastAsia" w:ascii="楷体" w:hAnsi="楷体" w:eastAsia="楷体"/>
                <w:color w:val="auto"/>
                <w:szCs w:val="24"/>
                <w:highlight w:val="none"/>
              </w:rPr>
              <w:t>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543"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5</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同义</w:t>
            </w:r>
          </w:p>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词语</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构成磋商文件组成部分的各章节中出现的措辞“委托人”、“发包人”、“和“供应商”、“承包人”，在招标投标阶段应当分别按“采购人”和“供应商”进行理解。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8" w:hRule="atLeast"/>
          <w:jc w:val="center"/>
        </w:trPr>
        <w:tc>
          <w:tcPr>
            <w:tcW w:w="543" w:type="dxa"/>
            <w:vAlign w:val="center"/>
          </w:tcPr>
          <w:p>
            <w:pPr>
              <w:spacing w:line="360" w:lineRule="auto"/>
              <w:jc w:val="center"/>
              <w:rPr>
                <w:rFonts w:hint="eastAsia" w:ascii="楷体" w:hAnsi="楷体" w:eastAsia="楷体"/>
                <w:color w:val="auto"/>
                <w:szCs w:val="24"/>
                <w:highlight w:val="none"/>
                <w:lang w:eastAsia="zh-CN"/>
              </w:rPr>
            </w:pPr>
            <w:r>
              <w:rPr>
                <w:rFonts w:hint="eastAsia" w:ascii="楷体" w:hAnsi="楷体" w:eastAsia="楷体"/>
                <w:color w:val="auto"/>
                <w:szCs w:val="24"/>
                <w:highlight w:val="none"/>
              </w:rPr>
              <w:t>1</w:t>
            </w:r>
            <w:r>
              <w:rPr>
                <w:rFonts w:hint="eastAsia" w:ascii="楷体" w:hAnsi="楷体" w:eastAsia="楷体"/>
                <w:color w:val="auto"/>
                <w:szCs w:val="24"/>
                <w:highlight w:val="none"/>
                <w:lang w:val="en-US" w:eastAsia="zh-CN"/>
              </w:rPr>
              <w:t>6</w:t>
            </w:r>
          </w:p>
        </w:tc>
        <w:tc>
          <w:tcPr>
            <w:tcW w:w="847" w:type="dxa"/>
            <w:vAlign w:val="center"/>
          </w:tcPr>
          <w:p>
            <w:pPr>
              <w:spacing w:line="360" w:lineRule="auto"/>
              <w:jc w:val="center"/>
              <w:rPr>
                <w:rFonts w:hint="eastAsia" w:ascii="楷体" w:hAnsi="楷体" w:eastAsia="楷体"/>
                <w:color w:val="auto"/>
                <w:szCs w:val="24"/>
                <w:highlight w:val="none"/>
              </w:rPr>
            </w:pPr>
            <w:r>
              <w:rPr>
                <w:rFonts w:hint="eastAsia" w:ascii="楷体" w:hAnsi="楷体" w:eastAsia="楷体"/>
                <w:color w:val="auto"/>
                <w:szCs w:val="24"/>
                <w:highlight w:val="none"/>
              </w:rPr>
              <w:t>现场</w:t>
            </w:r>
          </w:p>
          <w:p>
            <w:pPr>
              <w:spacing w:line="360" w:lineRule="auto"/>
              <w:jc w:val="center"/>
              <w:rPr>
                <w:rFonts w:hint="eastAsia" w:ascii="楷体" w:hAnsi="楷体" w:eastAsia="楷体"/>
                <w:color w:val="auto"/>
                <w:szCs w:val="24"/>
                <w:highlight w:val="none"/>
              </w:rPr>
            </w:pPr>
            <w:r>
              <w:rPr>
                <w:rFonts w:hint="eastAsia" w:ascii="楷体" w:hAnsi="楷体" w:eastAsia="楷体"/>
                <w:color w:val="auto"/>
                <w:szCs w:val="24"/>
                <w:highlight w:val="none"/>
              </w:rPr>
              <w:t>踏勘</w:t>
            </w:r>
          </w:p>
        </w:tc>
        <w:tc>
          <w:tcPr>
            <w:tcW w:w="7610" w:type="dxa"/>
            <w:vAlign w:val="center"/>
          </w:tcPr>
          <w:p>
            <w:pPr>
              <w:spacing w:line="360" w:lineRule="auto"/>
              <w:rPr>
                <w:rFonts w:hint="eastAsia" w:ascii="楷体" w:hAnsi="楷体" w:eastAsia="楷体" w:cs="仿宋"/>
                <w:color w:val="auto"/>
                <w:szCs w:val="24"/>
                <w:highlight w:val="none"/>
              </w:rPr>
            </w:pPr>
            <w:r>
              <w:rPr>
                <w:rFonts w:ascii="楷体" w:hAnsi="楷体" w:eastAsia="楷体" w:cs="仿宋"/>
                <w:color w:val="auto"/>
                <w:szCs w:val="24"/>
                <w:highlight w:val="none"/>
              </w:rPr>
              <w:sym w:font="Wingdings" w:char="00FE"/>
            </w:r>
            <w:r>
              <w:rPr>
                <w:rFonts w:hint="eastAsia" w:ascii="楷体" w:hAnsi="楷体" w:eastAsia="楷体" w:cs="仿宋"/>
                <w:color w:val="auto"/>
                <w:szCs w:val="24"/>
                <w:highlight w:val="none"/>
              </w:rPr>
              <w:t>自行踏勘。</w:t>
            </w:r>
          </w:p>
          <w:p>
            <w:pPr>
              <w:spacing w:line="360" w:lineRule="auto"/>
              <w:rPr>
                <w:rFonts w:hint="eastAsia" w:ascii="楷体" w:hAnsi="楷体" w:eastAsia="楷体" w:cs="仿宋"/>
                <w:color w:val="auto"/>
                <w:szCs w:val="24"/>
                <w:highlight w:val="none"/>
              </w:rPr>
            </w:pPr>
            <w:r>
              <w:rPr>
                <w:rFonts w:ascii="楷体" w:hAnsi="楷体" w:eastAsia="楷体" w:cs="仿宋"/>
                <w:color w:val="auto"/>
                <w:szCs w:val="24"/>
                <w:highlight w:val="none"/>
              </w:rPr>
              <w:sym w:font="Wingdings" w:char="00A8"/>
            </w:r>
            <w:r>
              <w:rPr>
                <w:rFonts w:hint="eastAsia" w:ascii="楷体" w:hAnsi="楷体" w:eastAsia="楷体" w:cs="仿宋"/>
                <w:color w:val="auto"/>
                <w:szCs w:val="24"/>
                <w:highlight w:val="none"/>
              </w:rPr>
              <w:t>组织踏勘：</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 xml:space="preserve">联系人：              </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联系方式：</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踏勘时间：</w:t>
            </w:r>
          </w:p>
          <w:p>
            <w:pPr>
              <w:spacing w:line="360" w:lineRule="auto"/>
              <w:rPr>
                <w:rFonts w:hint="eastAsia" w:ascii="楷体" w:hAnsi="楷体" w:eastAsia="楷体"/>
                <w:color w:val="auto"/>
                <w:szCs w:val="24"/>
                <w:highlight w:val="none"/>
              </w:rPr>
            </w:pPr>
            <w:r>
              <w:rPr>
                <w:rFonts w:hint="eastAsia" w:ascii="楷体" w:hAnsi="楷体" w:eastAsia="楷体" w:cs="仿宋"/>
                <w:color w:val="auto"/>
                <w:szCs w:val="24"/>
                <w:highlight w:val="none"/>
              </w:rPr>
              <w:t>踏勘地点：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543"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7</w:t>
            </w:r>
          </w:p>
        </w:tc>
        <w:tc>
          <w:tcPr>
            <w:tcW w:w="847"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进口 产品</w:t>
            </w:r>
          </w:p>
        </w:tc>
        <w:tc>
          <w:tcPr>
            <w:tcW w:w="7610" w:type="dxa"/>
            <w:vAlign w:val="center"/>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 本采购项目拒绝进口产品参加投标</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 本采购项目已经财政部门审核同意购买进口产品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18</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相同</w:t>
            </w:r>
          </w:p>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品牌</w:t>
            </w:r>
          </w:p>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产品</w:t>
            </w:r>
          </w:p>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说明</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1、提供相同品牌产品且通过资格审查、符合性审查的不同供应商参加同一合同项下磋商的，按一家供应商计算，评审后</w:t>
            </w:r>
            <w:r>
              <w:rPr>
                <w:rFonts w:hint="eastAsia" w:ascii="楷体" w:hAnsi="楷体" w:eastAsia="楷体" w:cs="仿宋"/>
                <w:color w:val="auto"/>
                <w:szCs w:val="24"/>
                <w:highlight w:val="none"/>
                <w:lang w:eastAsia="zh-CN"/>
              </w:rPr>
              <w:t>得分最高</w:t>
            </w:r>
            <w:r>
              <w:rPr>
                <w:rFonts w:hint="eastAsia" w:ascii="楷体" w:hAnsi="楷体" w:eastAsia="楷体" w:cs="仿宋"/>
                <w:color w:val="auto"/>
                <w:szCs w:val="24"/>
                <w:highlight w:val="none"/>
              </w:rPr>
              <w:t>的同品牌供应商获得成交供应商推荐资格；磋商总报价相同的，由采购人或者采购人委托磋商小组按照磋商文件规定的方式确定一个供应商获得成交供应商推荐资格，其他同品牌供应商不作为成交候选人。</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 xml:space="preserve"> 2、非单一产品采购项目，采购人应当根据采购项目技术构成、产品价格比重等合理确定核心产品，并在磋商文件中载明。多家供应商提供的核心产品品牌相同的，按前款规定处理。</w:t>
            </w:r>
          </w:p>
          <w:p>
            <w:pPr>
              <w:spacing w:line="360" w:lineRule="auto"/>
              <w:rPr>
                <w:rFonts w:hint="default" w:eastAsia="楷体"/>
                <w:color w:val="auto"/>
                <w:highlight w:val="none"/>
                <w:lang w:val="en-US" w:eastAsia="zh-CN"/>
              </w:rPr>
            </w:pPr>
            <w:r>
              <w:rPr>
                <w:rFonts w:hint="eastAsia" w:ascii="楷体" w:hAnsi="楷体" w:eastAsia="楷体" w:cs="仿宋"/>
                <w:b w:val="0"/>
                <w:bCs w:val="0"/>
                <w:color w:val="auto"/>
                <w:szCs w:val="24"/>
                <w:highlight w:val="none"/>
                <w:lang w:eastAsia="zh-CN"/>
              </w:rPr>
              <w:t>本项目核心产品：全贴合交互智慧黑板</w:t>
            </w:r>
            <w:r>
              <w:rPr>
                <w:rFonts w:hint="eastAsia" w:ascii="楷体" w:hAnsi="楷体" w:eastAsia="楷体" w:cs="仿宋"/>
                <w:b w:val="0"/>
                <w:bCs w:val="0"/>
                <w:color w:val="auto"/>
                <w:szCs w:val="24"/>
                <w:highlight w:val="none"/>
                <w:lang w:val="en-US" w:eastAsia="zh-CN"/>
              </w:rPr>
              <w:t xml:space="preserve">     </w:t>
            </w:r>
            <w:r>
              <w:rPr>
                <w:rFonts w:hint="eastAsia" w:ascii="楷体" w:hAnsi="楷体" w:eastAsia="楷体" w:cs="仿宋"/>
                <w:color w:val="auto"/>
                <w:szCs w:val="24"/>
                <w:highlight w:val="non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bookmarkStart w:id="19" w:name="_Toc363473972"/>
            <w:bookmarkStart w:id="20" w:name="_Toc363474017"/>
            <w:bookmarkStart w:id="21" w:name="_Toc403077639"/>
            <w:bookmarkStart w:id="22" w:name="_Toc25783"/>
            <w:bookmarkStart w:id="23" w:name="_Toc403077645"/>
            <w:bookmarkStart w:id="24" w:name="_Toc363474023"/>
            <w:r>
              <w:rPr>
                <w:rFonts w:hint="eastAsia" w:ascii="楷体" w:hAnsi="楷体" w:eastAsia="楷体" w:cs="仿宋"/>
                <w:color w:val="auto"/>
                <w:szCs w:val="24"/>
                <w:highlight w:val="none"/>
                <w:lang w:val="en-US" w:eastAsia="zh-CN"/>
              </w:rPr>
              <w:t>19</w:t>
            </w:r>
          </w:p>
        </w:tc>
        <w:tc>
          <w:tcPr>
            <w:tcW w:w="847"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lang w:eastAsia="zh-CN"/>
              </w:rPr>
              <w:t>其他</w:t>
            </w:r>
          </w:p>
        </w:tc>
        <w:tc>
          <w:tcPr>
            <w:tcW w:w="7610" w:type="dxa"/>
            <w:vAlign w:val="center"/>
          </w:tcPr>
          <w:p>
            <w:pPr>
              <w:spacing w:line="360" w:lineRule="auto"/>
              <w:ind w:firstLine="482" w:firstLineChars="200"/>
              <w:rPr>
                <w:rFonts w:ascii="楷体" w:hAnsi="楷体" w:eastAsia="楷体" w:cs="楷体"/>
                <w:b/>
                <w:bCs/>
                <w:szCs w:val="24"/>
                <w:highlight w:val="none"/>
              </w:rPr>
            </w:pPr>
            <w:r>
              <w:rPr>
                <w:rFonts w:hint="eastAsia" w:ascii="楷体" w:hAnsi="楷体" w:eastAsia="楷体" w:cs="楷体"/>
                <w:b/>
                <w:bCs/>
                <w:szCs w:val="24"/>
                <w:highlight w:val="none"/>
              </w:rPr>
              <w:t>1、本项目采用电子化投标方式。</w:t>
            </w:r>
            <w:r>
              <w:rPr>
                <w:rFonts w:hint="eastAsia" w:ascii="楷体" w:hAnsi="楷体" w:eastAsia="楷体" w:cs="仿宋"/>
                <w:b/>
                <w:bCs/>
                <w:szCs w:val="24"/>
                <w:highlight w:val="none"/>
              </w:rPr>
              <w:t>相关操作流程详见全国公共资源交易平台（陕西省）网站【首页.服务指南.下载专区】中的《陕西省公共资源交易政府采购项目（投标人版）》。</w:t>
            </w:r>
            <w:r>
              <w:rPr>
                <w:rFonts w:hint="eastAsia" w:ascii="楷体" w:hAnsi="楷体" w:eastAsia="楷体" w:cs="楷体"/>
                <w:b/>
                <w:bCs/>
                <w:szCs w:val="24"/>
                <w:highlight w:val="none"/>
                <w:lang w:eastAsia="zh-CN"/>
              </w:rPr>
              <w:t>供应商</w:t>
            </w:r>
            <w:r>
              <w:rPr>
                <w:rFonts w:hint="eastAsia" w:ascii="楷体" w:hAnsi="楷体" w:eastAsia="楷体" w:cs="楷体"/>
                <w:b/>
                <w:bCs/>
                <w:szCs w:val="24"/>
                <w:highlight w:val="none"/>
              </w:rPr>
              <w:t>须使用数字认证证书对电子投标文件进行签章、加密、递交及开标时解密等相关招投标事宜。</w:t>
            </w:r>
          </w:p>
          <w:p>
            <w:pPr>
              <w:pStyle w:val="200"/>
              <w:spacing w:line="360" w:lineRule="auto"/>
              <w:ind w:left="0" w:leftChars="0" w:firstLine="482" w:firstLineChars="200"/>
              <w:rPr>
                <w:rFonts w:ascii="楷体" w:hAnsi="楷体" w:eastAsia="楷体" w:cs="楷体"/>
                <w:b/>
                <w:bCs/>
                <w:color w:val="000000"/>
                <w:szCs w:val="24"/>
                <w:highlight w:val="none"/>
              </w:rPr>
            </w:pPr>
            <w:r>
              <w:rPr>
                <w:rFonts w:hint="eastAsia" w:ascii="楷体" w:hAnsi="楷体" w:eastAsia="楷体" w:cs="楷体"/>
                <w:b/>
                <w:bCs/>
                <w:color w:val="000000"/>
                <w:szCs w:val="24"/>
                <w:highlight w:val="none"/>
              </w:rPr>
              <w:t>2、</w:t>
            </w:r>
            <w:r>
              <w:rPr>
                <w:rFonts w:hint="eastAsia" w:ascii="楷体" w:hAnsi="楷体" w:eastAsia="楷体" w:cs="楷体"/>
                <w:b/>
                <w:bCs/>
                <w:color w:val="000000"/>
                <w:szCs w:val="24"/>
                <w:highlight w:val="none"/>
                <w:lang w:eastAsia="zh-CN"/>
              </w:rPr>
              <w:t>成交供应商</w:t>
            </w:r>
            <w:r>
              <w:rPr>
                <w:rFonts w:hint="eastAsia" w:ascii="楷体" w:hAnsi="楷体" w:eastAsia="楷体" w:cs="楷体"/>
                <w:b/>
                <w:bCs/>
                <w:color w:val="000000"/>
                <w:szCs w:val="24"/>
                <w:highlight w:val="none"/>
              </w:rPr>
              <w:t>应按照采购人需求另行提供纸质版响应文件（一正</w:t>
            </w:r>
            <w:r>
              <w:rPr>
                <w:rFonts w:hint="eastAsia" w:ascii="楷体" w:hAnsi="楷体" w:eastAsia="楷体" w:cs="楷体"/>
                <w:b/>
                <w:bCs/>
                <w:color w:val="000000"/>
                <w:szCs w:val="24"/>
                <w:highlight w:val="none"/>
                <w:lang w:val="en-US" w:eastAsia="zh-CN"/>
              </w:rPr>
              <w:t>两</w:t>
            </w:r>
            <w:r>
              <w:rPr>
                <w:rFonts w:hint="eastAsia" w:ascii="楷体" w:hAnsi="楷体" w:eastAsia="楷体" w:cs="楷体"/>
                <w:b/>
                <w:bCs/>
                <w:color w:val="000000"/>
                <w:szCs w:val="24"/>
                <w:highlight w:val="none"/>
              </w:rPr>
              <w:t>副）交与代理公司，无需封标。</w:t>
            </w:r>
          </w:p>
          <w:p>
            <w:pPr>
              <w:pStyle w:val="200"/>
              <w:spacing w:line="360" w:lineRule="auto"/>
              <w:ind w:firstLine="482" w:firstLineChars="200"/>
              <w:rPr>
                <w:rFonts w:hint="eastAsia" w:ascii="楷体" w:hAnsi="楷体" w:eastAsia="楷体" w:cs="仿宋"/>
                <w:color w:val="auto"/>
                <w:szCs w:val="24"/>
                <w:highlight w:val="none"/>
              </w:rPr>
            </w:pPr>
            <w:r>
              <w:rPr>
                <w:rFonts w:hint="eastAsia" w:ascii="楷体" w:hAnsi="楷体" w:eastAsia="楷体" w:cs="楷体"/>
                <w:b/>
                <w:bCs/>
                <w:color w:val="000000"/>
                <w:szCs w:val="24"/>
                <w:highlight w:val="none"/>
              </w:rPr>
              <w:t>3、各</w:t>
            </w:r>
            <w:r>
              <w:rPr>
                <w:rFonts w:hint="eastAsia" w:ascii="楷体" w:hAnsi="楷体" w:eastAsia="楷体" w:cs="楷体"/>
                <w:b/>
                <w:bCs/>
                <w:color w:val="000000"/>
                <w:szCs w:val="24"/>
                <w:highlight w:val="none"/>
                <w:lang w:val="en-US" w:eastAsia="zh-CN"/>
              </w:rPr>
              <w:t>供应商</w:t>
            </w:r>
            <w:r>
              <w:rPr>
                <w:rFonts w:hint="eastAsia" w:ascii="楷体" w:hAnsi="楷体" w:eastAsia="楷体" w:cs="楷体"/>
                <w:b/>
                <w:bCs/>
                <w:color w:val="000000"/>
                <w:szCs w:val="24"/>
                <w:highlight w:val="none"/>
              </w:rPr>
              <w:t>于开标</w:t>
            </w:r>
            <w:r>
              <w:rPr>
                <w:rFonts w:hint="eastAsia" w:ascii="楷体" w:hAnsi="楷体" w:eastAsia="楷体" w:cs="楷体"/>
                <w:b/>
                <w:bCs/>
                <w:color w:val="000000"/>
                <w:szCs w:val="24"/>
                <w:highlight w:val="none"/>
                <w:lang w:val="en-US" w:eastAsia="zh-CN"/>
              </w:rPr>
              <w:t>时</w:t>
            </w:r>
            <w:r>
              <w:rPr>
                <w:rFonts w:hint="eastAsia" w:ascii="楷体" w:hAnsi="楷体" w:eastAsia="楷体" w:cs="楷体"/>
                <w:b/>
                <w:bCs/>
                <w:color w:val="000000"/>
                <w:szCs w:val="24"/>
                <w:highlight w:val="none"/>
              </w:rPr>
              <w:t>向代理机构提供电子版（</w:t>
            </w:r>
            <w:r>
              <w:rPr>
                <w:rFonts w:hint="eastAsia" w:ascii="楷体" w:hAnsi="楷体" w:eastAsia="楷体" w:cs="楷体"/>
                <w:b/>
                <w:bCs/>
                <w:color w:val="000000"/>
                <w:szCs w:val="24"/>
                <w:highlight w:val="none"/>
                <w:lang w:val="en-US" w:eastAsia="zh-CN"/>
              </w:rPr>
              <w:t>U</w:t>
            </w:r>
            <w:r>
              <w:rPr>
                <w:rFonts w:hint="eastAsia" w:ascii="楷体" w:hAnsi="楷体" w:eastAsia="楷体" w:cs="楷体"/>
                <w:b/>
                <w:bCs/>
                <w:color w:val="000000"/>
                <w:szCs w:val="24"/>
                <w:highlight w:val="none"/>
              </w:rPr>
              <w:t>盘）投标文件一份，存储内容为word版及PDF版投标文件。</w:t>
            </w:r>
          </w:p>
        </w:tc>
      </w:tr>
      <w:bookmarkEnd w:id="8"/>
      <w:bookmarkEnd w:id="9"/>
      <w:bookmarkEnd w:id="10"/>
    </w:tbl>
    <w:p>
      <w:pPr>
        <w:spacing w:line="360" w:lineRule="auto"/>
        <w:jc w:val="center"/>
        <w:rPr>
          <w:rFonts w:hint="eastAsia" w:ascii="楷体" w:hAnsi="楷体" w:eastAsia="楷体" w:cs="仿宋"/>
          <w:color w:val="auto"/>
          <w:sz w:val="32"/>
          <w:szCs w:val="32"/>
          <w:highlight w:val="none"/>
        </w:rPr>
      </w:pPr>
      <w:r>
        <w:rPr>
          <w:rFonts w:ascii="楷体" w:hAnsi="楷体" w:eastAsia="楷体" w:cs="仿宋"/>
          <w:b/>
          <w:color w:val="auto"/>
          <w:sz w:val="32"/>
          <w:szCs w:val="32"/>
          <w:highlight w:val="none"/>
        </w:rPr>
        <w:br w:type="page"/>
      </w:r>
      <w:r>
        <w:rPr>
          <w:rFonts w:hint="eastAsia" w:ascii="楷体" w:hAnsi="楷体" w:eastAsia="楷体" w:cs="仿宋"/>
          <w:b/>
          <w:color w:val="auto"/>
          <w:sz w:val="32"/>
          <w:szCs w:val="32"/>
          <w:highlight w:val="none"/>
        </w:rPr>
        <w:t>一.总  则</w:t>
      </w:r>
      <w:bookmarkEnd w:id="19"/>
      <w:bookmarkEnd w:id="20"/>
      <w:bookmarkEnd w:id="21"/>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1.资金来源</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1.1本次磋商所签合同使用</w:t>
      </w:r>
      <w:r>
        <w:rPr>
          <w:rFonts w:hint="eastAsia" w:ascii="楷体" w:hAnsi="楷体" w:eastAsia="楷体" w:cs="仿宋"/>
          <w:color w:val="auto"/>
          <w:szCs w:val="24"/>
          <w:highlight w:val="none"/>
          <w:lang w:val="en-US" w:eastAsia="zh-CN"/>
        </w:rPr>
        <w:t>自筹</w:t>
      </w:r>
      <w:r>
        <w:rPr>
          <w:rFonts w:hint="eastAsia" w:ascii="楷体" w:hAnsi="楷体" w:eastAsia="楷体" w:cs="仿宋"/>
          <w:color w:val="auto"/>
          <w:szCs w:val="24"/>
          <w:highlight w:val="none"/>
        </w:rPr>
        <w:t>资金支付，资金已落实到位。</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2.招标代理机构及合格的供应商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2.1 招标代理机构</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实施本次磋商的招标代理机构为陕西正翼招标代理有限公司。</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2.2合格的供应商：</w:t>
      </w:r>
    </w:p>
    <w:p>
      <w:pPr>
        <w:tabs>
          <w:tab w:val="left" w:pos="851"/>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2.2.1符合《政府采购法》第二十二条第一款规定的供应商基本资格条件:</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2.2.1.1具有独立承担民事责任的能力；</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2.2.1.2具有良好的商业信誉和健全的财务会计制度；</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2.2.1.3具有履行合同所必需的产品和专业技术能力；</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2.2.1.4有依法交纳税收和社会保障资金的良好纪录；</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2.2.1.5参加政府采购活动前三年内，在经营活动中没有重大违法纪录；</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2.2.1.6法律、行政法规规定的其他条件；</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2.2.2法定代表人为同一个人的两个及两个以上的法人，母公司、全资子公司及其控股公司，都不得在同一项目（同一包）的采购中同时参与磋商，否则均为无效磋商处理。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2.2.3供应商不得直接或间接地与</w:t>
      </w:r>
      <w:r>
        <w:rPr>
          <w:rFonts w:hint="eastAsia" w:ascii="楷体" w:hAnsi="楷体" w:eastAsia="楷体"/>
          <w:color w:val="auto"/>
          <w:szCs w:val="24"/>
          <w:highlight w:val="none"/>
        </w:rPr>
        <w:t>采购人和招标代理机构</w:t>
      </w:r>
      <w:r>
        <w:rPr>
          <w:rFonts w:hint="eastAsia" w:ascii="楷体" w:hAnsi="楷体" w:eastAsia="楷体" w:cs="仿宋"/>
          <w:color w:val="auto"/>
          <w:szCs w:val="24"/>
          <w:highlight w:val="none"/>
        </w:rPr>
        <w:t>有任何关联，亦不得是采购人和招标代理机构的附属机构。如果供应商在磋商中隐瞒了上述关系，一经证实，则该磋商无效。</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2.2.4供应商必须在西安经济技术开发区凤城一路6号利君V时代B座9F陕西正翼招标代理有限公司登记后方可参与磋商，磋商文件售后不退。</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2.2.5本项目不接受联合体磋商，如果在磋商文件中接受联合体磋商（见供应商须知前附表），以联合体形式参加磋商的，联合体各方均应当符合政府采购法第二十二条规定的条件。采购人根据采购项目的特殊要求规定供应商特定条件的，联合体各方中至少应当有一方符合采购人规定的特定条件。</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联合体各方之间应当签订共同磋商协议，明确约定联合体各方承担的工作和相应的责任，并将共同磋商协议连同磋商响应文件一并递交磋商响应文件接收人。联合体各方签订共同磋商协议后，不得再以自己名义单独在同一项目（同一包）中磋商，也不得组成新的联合体参加同一项目（同一包）磋商，否则按无效磋商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2.2.6磋商费用自理。不论磋商的结果如何，供应商均应自行承担所有与参加磋商有关的费用。</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3.磋商标的物的合格性和合法性</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3.1磋商标的物应满足磋商文件的要求并应符合国家法律法规、行业管理部门要求的其他强制性标准。</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4.磋商响应文件内容的真实性</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4.1供应商应保证其磋商响应文件中所</w:t>
      </w:r>
      <w:r>
        <w:rPr>
          <w:rFonts w:ascii="楷体" w:hAnsi="楷体" w:eastAsia="楷体"/>
          <w:color w:val="auto"/>
          <w:szCs w:val="24"/>
          <w:highlight w:val="none"/>
        </w:rPr>
        <w:t>提供的所有有关</w:t>
      </w:r>
      <w:r>
        <w:rPr>
          <w:rFonts w:hint="eastAsia" w:ascii="楷体" w:hAnsi="楷体" w:eastAsia="楷体" w:cs="仿宋"/>
          <w:color w:val="auto"/>
          <w:szCs w:val="24"/>
          <w:highlight w:val="none"/>
        </w:rPr>
        <w:t>磋商的资料、信息是真实的，并且来源于合法的渠道。因磋商响应文件中所提供的磋商资料、信息不真实或者其来源不合法而导致的所有法律责任，由供应商自行承担。</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5.磋商过程的监督和管理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5.1同级政府采购监管管理部门和有关部门依法履行对磋商过程的监督管理职责。</w:t>
      </w:r>
    </w:p>
    <w:p>
      <w:pPr>
        <w:spacing w:line="360" w:lineRule="auto"/>
        <w:jc w:val="center"/>
        <w:rPr>
          <w:rFonts w:hint="eastAsia" w:ascii="楷体" w:hAnsi="楷体" w:eastAsia="楷体" w:cs="仿宋"/>
          <w:b/>
          <w:color w:val="auto"/>
          <w:sz w:val="32"/>
          <w:szCs w:val="32"/>
          <w:highlight w:val="none"/>
        </w:rPr>
      </w:pPr>
      <w:bookmarkStart w:id="25" w:name="_Toc363473973"/>
      <w:bookmarkStart w:id="26" w:name="_Toc403077640"/>
      <w:bookmarkStart w:id="27" w:name="_Toc363474018"/>
      <w:r>
        <w:rPr>
          <w:rFonts w:hint="eastAsia" w:ascii="楷体" w:hAnsi="楷体" w:eastAsia="楷体" w:cs="仿宋"/>
          <w:b/>
          <w:color w:val="auto"/>
          <w:sz w:val="32"/>
          <w:szCs w:val="32"/>
          <w:highlight w:val="none"/>
        </w:rPr>
        <w:t>二.磋商文件</w:t>
      </w:r>
      <w:bookmarkEnd w:id="25"/>
      <w:bookmarkEnd w:id="26"/>
      <w:bookmarkEnd w:id="27"/>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6.磋商文件构成</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6.1 磋商文件要求提供的服务，磋商程序和合同条件在磋商文件中均有说明。磋商文件共六章，内容如下：</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第一章 磋商公告</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第二章 供应商须知</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 xml:space="preserve">第三章 合同条款及格式 </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第四章 磋商内容及技术要求</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第五章 评审方法</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 xml:space="preserve">第六章 磋商响应文件构成及格式 </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6.2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6.3本磋商文件的解释权归陕西正翼招标代理有限公司。</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7.磋商文件的修改和澄清</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7.1在磋商响应文件递交截止时间前，招标代理机构可以视采购具体情况，延长磋商响应文件递交截止时间和磋商时间并在财政部门指定的媒体上发布变更公告，同时将变更时间书面通知所有购买磋商文件的供应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7.2招标代理机构如果对已发出的磋商文件进行必要的澄清或者修改，澄清或者修改的内容作为磋商文件的组成部分。澄清或者修改的内容可能影响响应文件编制的，招标代理机构应当在提交首次响应文件截止时间至少5日前，以书面形式通知所有获取磋商文件的供应商；不足5日的，招标代理机构应当顺延提交首次响应文件截止时间。</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7.3 已经购买磋商文件的供应商对磋商文件有疑问的，均应在磋商截止日期2日前以书面形式向招标代理机构提出。招标代理机构视情况必要时将书面答复传送给所有供应商。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7.4供应商在收到上述通知后，应立即向招标代理机构回函确认。</w:t>
      </w:r>
    </w:p>
    <w:p>
      <w:pPr>
        <w:keepNext/>
        <w:keepLines/>
        <w:spacing w:line="360" w:lineRule="auto"/>
        <w:jc w:val="center"/>
        <w:rPr>
          <w:rFonts w:hint="eastAsia" w:ascii="楷体" w:hAnsi="楷体" w:eastAsia="楷体" w:cs="仿宋"/>
          <w:b/>
          <w:color w:val="auto"/>
          <w:sz w:val="32"/>
          <w:szCs w:val="32"/>
          <w:highlight w:val="none"/>
        </w:rPr>
      </w:pPr>
      <w:bookmarkStart w:id="28" w:name="_Toc403077641"/>
      <w:bookmarkStart w:id="29" w:name="_Toc363474019"/>
      <w:bookmarkStart w:id="30" w:name="_Toc363473974"/>
      <w:r>
        <w:rPr>
          <w:rFonts w:hint="eastAsia" w:ascii="楷体" w:hAnsi="楷体" w:eastAsia="楷体" w:cs="仿宋"/>
          <w:b/>
          <w:color w:val="auto"/>
          <w:sz w:val="32"/>
          <w:szCs w:val="32"/>
          <w:highlight w:val="none"/>
        </w:rPr>
        <w:t>三.</w:t>
      </w:r>
      <w:r>
        <w:rPr>
          <w:rFonts w:hint="eastAsia" w:ascii="楷体" w:hAnsi="楷体" w:eastAsia="楷体"/>
          <w:b/>
          <w:color w:val="auto"/>
          <w:sz w:val="32"/>
          <w:szCs w:val="32"/>
          <w:highlight w:val="none"/>
        </w:rPr>
        <w:t xml:space="preserve"> 磋商响应文件</w:t>
      </w:r>
      <w:r>
        <w:rPr>
          <w:rFonts w:hint="eastAsia" w:ascii="楷体" w:hAnsi="楷体" w:eastAsia="楷体" w:cs="仿宋"/>
          <w:b/>
          <w:color w:val="auto"/>
          <w:sz w:val="32"/>
          <w:szCs w:val="32"/>
          <w:highlight w:val="none"/>
        </w:rPr>
        <w:t>的编制</w:t>
      </w:r>
      <w:bookmarkEnd w:id="28"/>
      <w:bookmarkEnd w:id="29"/>
      <w:bookmarkEnd w:id="30"/>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8.磋商语言和磋商货币</w:t>
      </w:r>
    </w:p>
    <w:p>
      <w:pPr>
        <w:spacing w:line="360" w:lineRule="auto"/>
        <w:ind w:firstLine="480" w:firstLineChars="200"/>
        <w:rPr>
          <w:rFonts w:hint="eastAsia" w:ascii="楷体" w:hAnsi="楷体" w:eastAsia="楷体" w:cs="仿宋"/>
          <w:b/>
          <w:color w:val="auto"/>
          <w:szCs w:val="24"/>
          <w:highlight w:val="none"/>
        </w:rPr>
      </w:pPr>
      <w:r>
        <w:rPr>
          <w:rFonts w:hint="eastAsia" w:ascii="楷体" w:hAnsi="楷体" w:eastAsia="楷体" w:cs="仿宋"/>
          <w:color w:val="auto"/>
          <w:szCs w:val="24"/>
          <w:highlight w:val="none"/>
        </w:rPr>
        <w:t>8.1供应商提交的磋商响应文件以及供应商与招标代理机构就有关磋商的所有来往函电均应使用中文。</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8.2磋商报价应以人民币报价。任何包含非人民币报价的磋商将按无效磋商处理。</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9.磋商响应文件的构成</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 供应商提交的磋商响应文件应包含下列部分的内容：</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9.1.1磋商响应函</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9.1.2法定代表人授权委托书</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w:t>
      </w:r>
      <w:r>
        <w:rPr>
          <w:rFonts w:hint="eastAsia" w:ascii="楷体" w:hAnsi="楷体" w:eastAsia="楷体" w:cs="仿宋"/>
          <w:color w:val="auto"/>
          <w:szCs w:val="24"/>
          <w:highlight w:val="none"/>
          <w:lang w:val="en-US" w:eastAsia="zh-CN"/>
        </w:rPr>
        <w:t>3</w:t>
      </w:r>
      <w:r>
        <w:rPr>
          <w:rFonts w:hint="eastAsia" w:ascii="楷体" w:hAnsi="楷体" w:eastAsia="楷体" w:cs="仿宋"/>
          <w:color w:val="auto"/>
          <w:szCs w:val="24"/>
          <w:highlight w:val="none"/>
        </w:rPr>
        <w:t>磋商报价表</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商务要求</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w:t>
      </w:r>
      <w:r>
        <w:rPr>
          <w:rFonts w:hint="eastAsia" w:ascii="楷体" w:hAnsi="楷体" w:eastAsia="楷体" w:cs="仿宋"/>
          <w:color w:val="auto"/>
          <w:szCs w:val="24"/>
          <w:highlight w:val="none"/>
          <w:lang w:val="en-US" w:eastAsia="zh-CN"/>
        </w:rPr>
        <w:t>5</w:t>
      </w:r>
      <w:r>
        <w:rPr>
          <w:rFonts w:hint="eastAsia" w:ascii="楷体" w:hAnsi="楷体" w:eastAsia="楷体" w:cs="仿宋"/>
          <w:color w:val="auto"/>
          <w:szCs w:val="24"/>
          <w:highlight w:val="none"/>
        </w:rPr>
        <w:t>技术要求</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w:t>
      </w:r>
      <w:r>
        <w:rPr>
          <w:rFonts w:hint="eastAsia" w:ascii="楷体" w:hAnsi="楷体" w:eastAsia="楷体" w:cs="仿宋"/>
          <w:color w:val="auto"/>
          <w:szCs w:val="24"/>
          <w:highlight w:val="none"/>
          <w:lang w:val="en-US" w:eastAsia="zh-CN"/>
        </w:rPr>
        <w:t>6</w:t>
      </w:r>
      <w:r>
        <w:rPr>
          <w:rFonts w:hint="eastAsia" w:ascii="楷体" w:hAnsi="楷体" w:eastAsia="楷体" w:cs="仿宋"/>
          <w:color w:val="auto"/>
          <w:szCs w:val="24"/>
          <w:highlight w:val="none"/>
        </w:rPr>
        <w:t>陕西省政府采购供应商拒绝政府采购领域商业贿赂承诺书</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9.2 如果在磋商文件中没有允许提供备选方案，则每个供应商只允许提交一个磋商方案，否则，将按无效响磋商处理。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9.3本次磋商的最小单元为“</w:t>
      </w:r>
      <w:r>
        <w:rPr>
          <w:rFonts w:hint="eastAsia" w:ascii="楷体" w:hAnsi="楷体" w:eastAsia="楷体" w:cs="仿宋"/>
          <w:color w:val="auto"/>
          <w:szCs w:val="24"/>
          <w:highlight w:val="none"/>
          <w:lang w:eastAsia="zh-CN"/>
        </w:rPr>
        <w:t>项目</w:t>
      </w:r>
      <w:r>
        <w:rPr>
          <w:rFonts w:hint="eastAsia" w:ascii="楷体" w:hAnsi="楷体" w:eastAsia="楷体" w:cs="仿宋"/>
          <w:color w:val="auto"/>
          <w:szCs w:val="24"/>
          <w:highlight w:val="none"/>
        </w:rPr>
        <w:t>”。供应商可根据自身的资质情况和经营范围对本次项目进行磋商，不得将其子目再行分解或只对本项目中的品目进行不完全磋商，任何不完全的响应将会被拒绝。</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 xml:space="preserve">10.磋商响应文件格式 </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10.1 供应商应按照磋商文件中第六章所提供的格式和要求制作磋商响应文件，明确表达磋商意愿，详细说明磋商方案、承诺及价格。</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10.2按磋商文件第9条的内容及要求和第六章提供的格式和要求编写其磋商响应文件，供应商不得缺少任何磋商文件要求填写的表格或提交的资料。</w:t>
      </w:r>
      <w:r>
        <w:rPr>
          <w:rFonts w:hint="eastAsia" w:ascii="楷体" w:hAnsi="楷体" w:eastAsia="楷体"/>
          <w:color w:val="auto"/>
          <w:highlight w:val="none"/>
        </w:rPr>
        <w:t>否则，按</w:t>
      </w:r>
      <w:r>
        <w:rPr>
          <w:rFonts w:hint="eastAsia" w:ascii="楷体" w:hAnsi="楷体" w:eastAsia="楷体"/>
          <w:color w:val="auto"/>
          <w:szCs w:val="24"/>
          <w:highlight w:val="none"/>
        </w:rPr>
        <w:t>无效磋商</w:t>
      </w:r>
      <w:r>
        <w:rPr>
          <w:rFonts w:hint="eastAsia" w:ascii="楷体" w:hAnsi="楷体" w:eastAsia="楷体"/>
          <w:color w:val="auto"/>
          <w:highlight w:val="none"/>
        </w:rPr>
        <w:t>处理。</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11.磋商报价</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11.1磋商报价：报价以人民币报价。供应商应在磋商报价表中标明完成本次磋商所要求的货物或服务且验收合格的所有费用。磋商报价表中标明本次货物或服务的所有单项价格和总价，任何有选择的报价将不予接受，否则按无效磋商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11.2磋商报价表中标明的价格应为履行合同的固定价格，不得以任何理由予以变更。以可调整的价格提交的磋商响应文件将被作无效响应处理。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11.3 磋商报价：总包交钥匙价（精确到小数点后二位）。</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12.证明供应商合格的资格证明文件</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12.1供应商应按照磋商文件“供应商须知前附表”的要求，在磋商响应文件中提交合格的资格证明文件。如果资格证明文件不全或不合格的，将按无效磋商处理。</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13.证明标的物的合格性和符合磋商文件规定的文件</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13.1供应商应在磋商响应文件中提供货物满足磋商文件要求并符合国家法律法规、行业管理部门要求的其他强制性标准的证明文件。缺少证明文件或证明文件不合格的磋商，与磋商文件要求有重大偏离</w:t>
      </w:r>
      <w:r>
        <w:rPr>
          <w:rFonts w:hint="eastAsia" w:ascii="楷体" w:hAnsi="楷体" w:eastAsia="楷体" w:cs="仿宋"/>
          <w:color w:val="auto"/>
          <w:szCs w:val="24"/>
          <w:highlight w:val="none"/>
          <w:lang w:eastAsia="zh-CN"/>
        </w:rPr>
        <w:t>（</w:t>
      </w:r>
      <w:r>
        <w:rPr>
          <w:rFonts w:hint="eastAsia" w:ascii="楷体" w:hAnsi="楷体" w:eastAsia="楷体" w:cs="仿宋"/>
          <w:color w:val="auto"/>
          <w:szCs w:val="24"/>
          <w:highlight w:val="none"/>
        </w:rPr>
        <w:t>评审中进行扣分的除外</w:t>
      </w:r>
      <w:r>
        <w:rPr>
          <w:rFonts w:hint="eastAsia" w:ascii="楷体" w:hAnsi="楷体" w:eastAsia="楷体" w:cs="仿宋"/>
          <w:color w:val="auto"/>
          <w:szCs w:val="24"/>
          <w:highlight w:val="none"/>
          <w:lang w:eastAsia="zh-CN"/>
        </w:rPr>
        <w:t>）</w:t>
      </w:r>
      <w:r>
        <w:rPr>
          <w:rFonts w:hint="eastAsia" w:ascii="楷体" w:hAnsi="楷体" w:eastAsia="楷体" w:cs="仿宋"/>
          <w:color w:val="auto"/>
          <w:szCs w:val="24"/>
          <w:highlight w:val="none"/>
        </w:rPr>
        <w:t>的磋商，不符合国家法律法规、行业管理部门要求的其他强制性标准的磋商响应文件将被作无效响应处理。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13.2上述证明文件可以是文字资料、图片和数据，它包括：</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13.2.1货物内容、实施方案、交货期、付款方式等方面的详细说明；</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13.2.2 逐条对磋商文件提出的技术要求和商务要求进行应答，说明所提供的货物对磋商的技术和商务要求是否做出了实质性响应并提供支持文件。</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1</w:t>
      </w:r>
      <w:r>
        <w:rPr>
          <w:rFonts w:hint="eastAsia" w:ascii="楷体" w:hAnsi="楷体" w:eastAsia="楷体" w:cs="仿宋"/>
          <w:b/>
          <w:color w:val="auto"/>
          <w:szCs w:val="24"/>
          <w:highlight w:val="none"/>
          <w:lang w:val="en-US" w:eastAsia="zh-CN"/>
        </w:rPr>
        <w:t>4</w:t>
      </w:r>
      <w:r>
        <w:rPr>
          <w:rFonts w:hint="eastAsia" w:ascii="楷体" w:hAnsi="楷体" w:eastAsia="楷体" w:cs="仿宋"/>
          <w:b/>
          <w:color w:val="auto"/>
          <w:szCs w:val="24"/>
          <w:highlight w:val="none"/>
        </w:rPr>
        <w:t>.磋商有效期</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.1磋商有效期</w:t>
      </w:r>
      <w:r>
        <w:rPr>
          <w:rFonts w:hint="eastAsia" w:ascii="楷体" w:hAnsi="楷体" w:eastAsia="楷体"/>
          <w:color w:val="auto"/>
          <w:szCs w:val="24"/>
          <w:highlight w:val="none"/>
        </w:rPr>
        <w:t>（含授权有效期）从</w:t>
      </w:r>
      <w:r>
        <w:rPr>
          <w:rFonts w:hint="eastAsia" w:ascii="楷体" w:hAnsi="楷体" w:eastAsia="楷体"/>
          <w:color w:val="auto"/>
          <w:szCs w:val="24"/>
          <w:highlight w:val="none"/>
          <w:lang w:val="en-US" w:eastAsia="zh-CN"/>
        </w:rPr>
        <w:t>上传</w:t>
      </w:r>
      <w:r>
        <w:rPr>
          <w:rFonts w:hint="eastAsia" w:ascii="楷体" w:hAnsi="楷体" w:eastAsia="楷体"/>
          <w:color w:val="auto"/>
          <w:szCs w:val="24"/>
          <w:highlight w:val="none"/>
        </w:rPr>
        <w:t>磋商响应文件的截止之日起 90 个日历天。</w:t>
      </w:r>
      <w:r>
        <w:rPr>
          <w:rFonts w:hint="eastAsia" w:ascii="楷体" w:hAnsi="楷体" w:eastAsia="楷体" w:cs="仿宋"/>
          <w:color w:val="auto"/>
          <w:szCs w:val="24"/>
          <w:highlight w:val="none"/>
        </w:rPr>
        <w:t>磋商有效期不满足磋商文件要求的磋商，将被视为非响应性磋商而予以拒绝，将按无效磋商处理。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.2在特殊情况下，在原磋商有效期期满之前，招标代理机构可向供应商提出延长磋商有效期的要求。这种要求与答复均应以书面的形式。</w:t>
      </w:r>
    </w:p>
    <w:p>
      <w:pPr>
        <w:spacing w:line="360" w:lineRule="auto"/>
        <w:rPr>
          <w:rFonts w:hint="default" w:ascii="楷体" w:hAnsi="楷体" w:eastAsia="楷体" w:cs="仿宋"/>
          <w:b/>
          <w:color w:val="auto"/>
          <w:szCs w:val="24"/>
          <w:highlight w:val="none"/>
          <w:lang w:val="en-US" w:eastAsia="zh-CN"/>
        </w:rPr>
      </w:pPr>
      <w:r>
        <w:rPr>
          <w:rFonts w:hint="eastAsia" w:ascii="楷体" w:hAnsi="楷体" w:eastAsia="楷体" w:cs="仿宋"/>
          <w:b/>
          <w:color w:val="auto"/>
          <w:szCs w:val="24"/>
          <w:highlight w:val="none"/>
        </w:rPr>
        <w:t>1</w:t>
      </w:r>
      <w:r>
        <w:rPr>
          <w:rFonts w:hint="eastAsia" w:ascii="楷体" w:hAnsi="楷体" w:eastAsia="楷体" w:cs="仿宋"/>
          <w:b/>
          <w:color w:val="auto"/>
          <w:szCs w:val="24"/>
          <w:highlight w:val="none"/>
          <w:lang w:val="en-US" w:eastAsia="zh-CN"/>
        </w:rPr>
        <w:t>5</w:t>
      </w:r>
      <w:r>
        <w:rPr>
          <w:rFonts w:hint="eastAsia" w:ascii="楷体" w:hAnsi="楷体" w:eastAsia="楷体" w:cs="仿宋"/>
          <w:b/>
          <w:color w:val="auto"/>
          <w:szCs w:val="24"/>
          <w:highlight w:val="none"/>
        </w:rPr>
        <w:t>.磋商响应文件的式样和签署</w:t>
      </w:r>
      <w:r>
        <w:rPr>
          <w:rFonts w:hint="eastAsia" w:ascii="楷体" w:hAnsi="楷体" w:eastAsia="楷体" w:cs="仿宋"/>
          <w:b/>
          <w:color w:val="auto"/>
          <w:szCs w:val="24"/>
          <w:highlight w:val="none"/>
          <w:lang w:val="en-US" w:eastAsia="zh-CN"/>
        </w:rPr>
        <w:t>及制作</w:t>
      </w:r>
    </w:p>
    <w:p>
      <w:pPr>
        <w:spacing w:line="360" w:lineRule="auto"/>
        <w:ind w:firstLine="480" w:firstLineChars="200"/>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.1各供应商于开标</w:t>
      </w:r>
      <w:r>
        <w:rPr>
          <w:rFonts w:hint="eastAsia" w:ascii="楷体" w:hAnsi="楷体" w:eastAsia="楷体" w:cs="楷体"/>
          <w:color w:val="auto"/>
          <w:szCs w:val="24"/>
          <w:highlight w:val="none"/>
          <w:lang w:val="en-US" w:eastAsia="zh-CN"/>
        </w:rPr>
        <w:t>时</w:t>
      </w:r>
      <w:r>
        <w:rPr>
          <w:rFonts w:hint="eastAsia" w:ascii="楷体" w:hAnsi="楷体" w:eastAsia="楷体" w:cs="楷体"/>
          <w:color w:val="auto"/>
          <w:szCs w:val="24"/>
          <w:highlight w:val="none"/>
        </w:rPr>
        <w:t>向代理机构提供与正本内容一致的电子版（U盘一份）并标注投标人全称、项目名称、项目编号。</w:t>
      </w:r>
    </w:p>
    <w:p>
      <w:pPr>
        <w:pStyle w:val="2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楷体" w:hAnsi="楷体" w:eastAsia="楷体" w:cs="楷体"/>
          <w:b w:val="0"/>
          <w:bCs w:val="0"/>
          <w:color w:val="auto"/>
          <w:kern w:val="0"/>
          <w:sz w:val="24"/>
          <w:szCs w:val="24"/>
          <w:highlight w:val="none"/>
          <w:lang w:val="en-US" w:eastAsia="zh-CN" w:bidi="ar-SA"/>
        </w:rPr>
      </w:pPr>
      <w:r>
        <w:rPr>
          <w:rFonts w:hint="eastAsia" w:ascii="楷体" w:hAnsi="楷体" w:eastAsia="楷体" w:cs="楷体"/>
          <w:color w:val="auto"/>
          <w:szCs w:val="24"/>
          <w:highlight w:val="none"/>
          <w:lang w:val="en-US" w:eastAsia="zh-CN"/>
        </w:rPr>
        <w:t xml:space="preserve">   </w:t>
      </w:r>
      <w:r>
        <w:rPr>
          <w:rFonts w:hint="eastAsia" w:ascii="楷体" w:hAnsi="楷体" w:eastAsia="楷体" w:cs="楷体"/>
          <w:b w:val="0"/>
          <w:bCs w:val="0"/>
          <w:color w:val="auto"/>
          <w:szCs w:val="24"/>
          <w:highlight w:val="none"/>
          <w:lang w:val="en-US" w:eastAsia="zh-CN"/>
        </w:rPr>
        <w:t xml:space="preserve"> </w:t>
      </w:r>
      <w:r>
        <w:rPr>
          <w:rFonts w:hint="eastAsia" w:ascii="楷体" w:hAnsi="楷体" w:eastAsia="楷体" w:cs="楷体"/>
          <w:b w:val="0"/>
          <w:bCs w:val="0"/>
          <w:color w:val="auto"/>
          <w:kern w:val="0"/>
          <w:sz w:val="24"/>
          <w:szCs w:val="24"/>
          <w:highlight w:val="none"/>
          <w:lang w:val="en-US" w:eastAsia="zh-CN" w:bidi="ar-SA"/>
        </w:rPr>
        <w:t>15.2编制电子投标文件时，应使用最新发布的电子招标文件及专用制作工具进行编制。并使用数字认证证书（CA）对电子投标文件进行签署、加密、递交及开标时解密等相关操作。</w:t>
      </w:r>
    </w:p>
    <w:p>
      <w:pPr>
        <w:pStyle w:val="2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b/>
          <w:bCs/>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（1）</w:t>
      </w:r>
      <w:r>
        <w:rPr>
          <w:rFonts w:hint="eastAsia" w:ascii="楷体" w:hAnsi="楷体" w:eastAsia="楷体" w:cs="楷体"/>
          <w:b/>
          <w:bCs/>
          <w:color w:val="auto"/>
          <w:kern w:val="0"/>
          <w:sz w:val="24"/>
          <w:szCs w:val="24"/>
          <w:highlight w:val="none"/>
          <w:lang w:val="en-US" w:eastAsia="zh-CN" w:bidi="ar-SA"/>
        </w:rPr>
        <w:t>电子招标文件下载</w:t>
      </w:r>
    </w:p>
    <w:p>
      <w:pPr>
        <w:pStyle w:val="2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投标单位登录全国公共资源交易平台（陕西省）网站[电子交易平台-企业端]后，在[我的项目]中点击“项目流程-交易文件下载”下载电子招标文件（*.SXSZF）;</w:t>
      </w:r>
    </w:p>
    <w:p>
      <w:pPr>
        <w:pStyle w:val="2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注意：该项目如有变更文件，则应点击“项目流程&gt;答疑文件下载”下载更新后的电子招标文件（*.SXSCF），使用旧版电子招标文件制作的电子投标文件，系统将拒绝接收。</w:t>
      </w:r>
    </w:p>
    <w:p>
      <w:pPr>
        <w:pStyle w:val="2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b/>
          <w:bCs/>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（2）</w:t>
      </w:r>
      <w:r>
        <w:rPr>
          <w:rFonts w:hint="eastAsia" w:ascii="楷体" w:hAnsi="楷体" w:eastAsia="楷体" w:cs="楷体"/>
          <w:b/>
          <w:bCs/>
          <w:color w:val="auto"/>
          <w:kern w:val="0"/>
          <w:sz w:val="24"/>
          <w:szCs w:val="24"/>
          <w:highlight w:val="none"/>
          <w:lang w:val="en-US" w:eastAsia="zh-CN" w:bidi="ar-SA"/>
        </w:rPr>
        <w:t>电子招标文件需要使用专用软件打开、浏览</w:t>
      </w:r>
    </w:p>
    <w:p>
      <w:pPr>
        <w:pStyle w:val="2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投标单位登录全国公共资源交易平台（陕西省）网站[服务指南-下载专区]免费下载《陕西省公共资源交易平台政府采购电子标书制作工具》，并升级至最新版本，使用该客户端可以打开电子招标文件。软件操作手册详见全国公共资源交易平台（陕西省）网站[服务指南-下载专区]中的《陕西省公共资源交易（政府采购类）投标文件制作软件操作手册》。</w:t>
      </w:r>
    </w:p>
    <w:p>
      <w:pPr>
        <w:pStyle w:val="21"/>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楷体" w:hAnsi="楷体" w:eastAsia="楷体" w:cs="楷体"/>
          <w:b/>
          <w:bCs/>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（3）</w:t>
      </w:r>
      <w:r>
        <w:rPr>
          <w:rFonts w:hint="eastAsia" w:ascii="楷体" w:hAnsi="楷体" w:eastAsia="楷体" w:cs="楷体"/>
          <w:b/>
          <w:bCs/>
          <w:color w:val="auto"/>
          <w:kern w:val="0"/>
          <w:sz w:val="24"/>
          <w:szCs w:val="24"/>
          <w:highlight w:val="none"/>
          <w:lang w:val="en-US" w:eastAsia="zh-CN" w:bidi="ar-SA"/>
        </w:rPr>
        <w:t>制作电子投标文件</w:t>
      </w:r>
    </w:p>
    <w:p>
      <w:pPr>
        <w:pStyle w:val="21"/>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default"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电子投标文件同样需要使用上述软件进行编制。在编制过程中，如有技术性问题，请先翻阅操作手册或致电软件开发商，技术支持热线：4009280095。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3电子投标文件</w:t>
      </w:r>
      <w:r>
        <w:rPr>
          <w:rFonts w:hint="eastAsia" w:ascii="楷体" w:hAnsi="楷体" w:eastAsia="楷体" w:cs="楷体"/>
          <w:color w:val="auto"/>
          <w:szCs w:val="24"/>
          <w:highlight w:val="none"/>
          <w:lang w:eastAsia="zh-CN"/>
        </w:rPr>
        <w:t>须</w:t>
      </w:r>
      <w:r>
        <w:rPr>
          <w:rFonts w:hint="eastAsia" w:ascii="楷体" w:hAnsi="楷体" w:eastAsia="楷体" w:cs="楷体"/>
          <w:color w:val="auto"/>
          <w:szCs w:val="24"/>
          <w:highlight w:val="none"/>
        </w:rPr>
        <w:t>由</w:t>
      </w:r>
      <w:r>
        <w:rPr>
          <w:rFonts w:hint="eastAsia" w:ascii="楷体" w:hAnsi="楷体" w:eastAsia="楷体" w:cs="楷体"/>
          <w:color w:val="auto"/>
          <w:szCs w:val="24"/>
          <w:highlight w:val="none"/>
          <w:lang w:val="en-US" w:eastAsia="zh-CN"/>
        </w:rPr>
        <w:t>供应商</w:t>
      </w:r>
      <w:r>
        <w:rPr>
          <w:rFonts w:hint="eastAsia" w:ascii="楷体" w:hAnsi="楷体" w:eastAsia="楷体" w:cs="楷体"/>
          <w:color w:val="auto"/>
          <w:szCs w:val="24"/>
          <w:highlight w:val="none"/>
        </w:rPr>
        <w:t>法定代表人或经法定代表人正式授权的代表签字或盖章。（</w:t>
      </w:r>
      <w:r>
        <w:rPr>
          <w:rFonts w:hint="eastAsia" w:ascii="楷体" w:hAnsi="楷体" w:eastAsia="楷体" w:cs="楷体"/>
          <w:color w:val="auto"/>
          <w:szCs w:val="24"/>
          <w:highlight w:val="none"/>
          <w:lang w:val="en-US" w:eastAsia="zh-CN"/>
        </w:rPr>
        <w:t>磋商</w:t>
      </w:r>
      <w:r>
        <w:rPr>
          <w:rFonts w:hint="eastAsia" w:ascii="楷体" w:hAnsi="楷体" w:eastAsia="楷体" w:cs="楷体"/>
          <w:color w:val="auto"/>
          <w:szCs w:val="24"/>
          <w:highlight w:val="none"/>
        </w:rPr>
        <w:t>文件要求</w:t>
      </w:r>
      <w:r>
        <w:rPr>
          <w:rFonts w:hint="eastAsia" w:ascii="楷体" w:hAnsi="楷体" w:eastAsia="楷体" w:cs="楷体"/>
          <w:color w:val="auto"/>
          <w:szCs w:val="24"/>
          <w:highlight w:val="none"/>
          <w:lang w:val="en-US" w:eastAsia="zh-CN"/>
        </w:rPr>
        <w:t>磋商</w:t>
      </w:r>
      <w:r>
        <w:rPr>
          <w:rFonts w:hint="eastAsia" w:ascii="楷体" w:hAnsi="楷体" w:eastAsia="楷体" w:cs="楷体"/>
          <w:color w:val="auto"/>
          <w:szCs w:val="24"/>
          <w:highlight w:val="none"/>
        </w:rPr>
        <w:t>文件中法定代表人签字处必须由法定代表人签署，要求授权代表签字处必须由授权代表签署，要求盖章处均须加盖投标人</w:t>
      </w:r>
      <w:r>
        <w:rPr>
          <w:rFonts w:hint="eastAsia" w:ascii="楷体" w:hAnsi="楷体" w:eastAsia="楷体" w:cs="楷体"/>
          <w:color w:val="auto"/>
          <w:szCs w:val="24"/>
          <w:highlight w:val="none"/>
          <w:lang w:eastAsia="zh-CN"/>
        </w:rPr>
        <w:t>电子</w:t>
      </w:r>
      <w:r>
        <w:rPr>
          <w:rFonts w:hint="eastAsia" w:ascii="楷体" w:hAnsi="楷体" w:eastAsia="楷体" w:cs="楷体"/>
          <w:color w:val="auto"/>
          <w:szCs w:val="24"/>
          <w:highlight w:val="none"/>
        </w:rPr>
        <w:t>章），若由授权代表签署，须按</w:t>
      </w:r>
      <w:r>
        <w:rPr>
          <w:rFonts w:hint="eastAsia" w:ascii="楷体" w:hAnsi="楷体" w:eastAsia="楷体" w:cs="楷体"/>
          <w:color w:val="auto"/>
          <w:szCs w:val="24"/>
          <w:highlight w:val="none"/>
          <w:lang w:val="en-US" w:eastAsia="zh-CN"/>
        </w:rPr>
        <w:t>磋商</w:t>
      </w:r>
      <w:r>
        <w:rPr>
          <w:rFonts w:hint="eastAsia" w:ascii="楷体" w:hAnsi="楷体" w:eastAsia="楷体" w:cs="楷体"/>
          <w:color w:val="auto"/>
          <w:szCs w:val="24"/>
          <w:highlight w:val="none"/>
        </w:rPr>
        <w:t>文件规定的格式出具的“法定代表人授权委托书”附在</w:t>
      </w:r>
      <w:r>
        <w:rPr>
          <w:rFonts w:hint="eastAsia" w:ascii="楷体" w:hAnsi="楷体" w:eastAsia="楷体" w:cs="楷体"/>
          <w:color w:val="auto"/>
          <w:szCs w:val="24"/>
          <w:highlight w:val="none"/>
          <w:lang w:val="en-US" w:eastAsia="zh-CN"/>
        </w:rPr>
        <w:t>磋商</w:t>
      </w:r>
      <w:r>
        <w:rPr>
          <w:rFonts w:hint="eastAsia" w:ascii="楷体" w:hAnsi="楷体" w:eastAsia="楷体" w:cs="楷体"/>
          <w:color w:val="auto"/>
          <w:szCs w:val="24"/>
          <w:highlight w:val="none"/>
        </w:rPr>
        <w:t>文件中，所有要求签字或盖章处，均须由签字者本人书写或盖章。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4</w:t>
      </w:r>
      <w:r>
        <w:rPr>
          <w:rFonts w:hint="eastAsia" w:ascii="楷体" w:hAnsi="楷体" w:eastAsia="楷体" w:cs="楷体"/>
          <w:color w:val="auto"/>
          <w:szCs w:val="24"/>
          <w:highlight w:val="none"/>
        </w:rPr>
        <w:t>供应商名称应填写全称并加盖</w:t>
      </w:r>
      <w:r>
        <w:rPr>
          <w:rFonts w:hint="eastAsia" w:ascii="楷体" w:hAnsi="楷体" w:eastAsia="楷体" w:cs="楷体"/>
          <w:color w:val="auto"/>
          <w:szCs w:val="24"/>
          <w:highlight w:val="none"/>
          <w:lang w:eastAsia="zh-CN"/>
        </w:rPr>
        <w:t>电子</w:t>
      </w:r>
      <w:r>
        <w:rPr>
          <w:rFonts w:hint="eastAsia" w:ascii="楷体" w:hAnsi="楷体" w:eastAsia="楷体" w:cs="楷体"/>
          <w:color w:val="auto"/>
          <w:szCs w:val="24"/>
          <w:highlight w:val="none"/>
        </w:rPr>
        <w:t>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因字迹潦草、表述不清或不按磋商文件格式编制的磋商响应文件，所引起的对</w:t>
      </w:r>
      <w:r>
        <w:rPr>
          <w:rFonts w:hint="eastAsia" w:ascii="楷体" w:hAnsi="楷体" w:eastAsia="楷体" w:cs="楷体"/>
          <w:color w:val="auto"/>
          <w:szCs w:val="24"/>
          <w:highlight w:val="none"/>
          <w:lang w:val="zh-CN"/>
        </w:rPr>
        <w:t>供应商</w:t>
      </w:r>
      <w:r>
        <w:rPr>
          <w:rFonts w:hint="eastAsia" w:ascii="楷体" w:hAnsi="楷体" w:eastAsia="楷体" w:cs="楷体"/>
          <w:color w:val="auto"/>
          <w:szCs w:val="24"/>
          <w:highlight w:val="none"/>
        </w:rPr>
        <w:t>不利的后果，由</w:t>
      </w:r>
      <w:r>
        <w:rPr>
          <w:rFonts w:hint="eastAsia" w:ascii="楷体" w:hAnsi="楷体" w:eastAsia="楷体" w:cs="楷体"/>
          <w:color w:val="auto"/>
          <w:szCs w:val="24"/>
          <w:highlight w:val="none"/>
          <w:lang w:val="zh-CN"/>
        </w:rPr>
        <w:t>供应商</w:t>
      </w:r>
      <w:r>
        <w:rPr>
          <w:rFonts w:hint="eastAsia" w:ascii="楷体" w:hAnsi="楷体" w:eastAsia="楷体" w:cs="楷体"/>
          <w:color w:val="auto"/>
          <w:szCs w:val="24"/>
          <w:highlight w:val="none"/>
        </w:rPr>
        <w:t>自行负责。</w:t>
      </w:r>
    </w:p>
    <w:p>
      <w:pPr>
        <w:spacing w:line="360" w:lineRule="auto"/>
        <w:ind w:firstLine="643" w:firstLineChars="200"/>
        <w:jc w:val="center"/>
        <w:rPr>
          <w:rFonts w:hint="eastAsia" w:ascii="楷体" w:hAnsi="楷体" w:eastAsia="楷体" w:cs="仿宋"/>
          <w:b/>
          <w:color w:val="auto"/>
          <w:sz w:val="32"/>
          <w:szCs w:val="32"/>
          <w:highlight w:val="none"/>
        </w:rPr>
      </w:pPr>
      <w:r>
        <w:rPr>
          <w:rFonts w:hint="eastAsia" w:ascii="楷体" w:hAnsi="楷体" w:eastAsia="楷体" w:cs="仿宋"/>
          <w:b/>
          <w:color w:val="auto"/>
          <w:sz w:val="32"/>
          <w:szCs w:val="32"/>
          <w:highlight w:val="none"/>
        </w:rPr>
        <w:t>四.磋商响应文件的递交</w:t>
      </w:r>
    </w:p>
    <w:p>
      <w:pPr>
        <w:spacing w:line="360" w:lineRule="auto"/>
        <w:rPr>
          <w:rFonts w:hint="eastAsia" w:ascii="楷体" w:hAnsi="楷体" w:eastAsia="楷体" w:cs="仿宋"/>
          <w:b/>
          <w:color w:val="auto"/>
          <w:szCs w:val="24"/>
          <w:highlight w:val="none"/>
          <w:lang w:eastAsia="zh-CN"/>
        </w:rPr>
      </w:pPr>
      <w:r>
        <w:rPr>
          <w:rFonts w:hint="eastAsia" w:ascii="楷体" w:hAnsi="楷体" w:eastAsia="楷体" w:cs="仿宋"/>
          <w:b/>
          <w:color w:val="auto"/>
          <w:szCs w:val="24"/>
          <w:highlight w:val="none"/>
        </w:rPr>
        <w:t>1</w:t>
      </w:r>
      <w:r>
        <w:rPr>
          <w:rFonts w:hint="eastAsia" w:ascii="楷体" w:hAnsi="楷体" w:eastAsia="楷体" w:cs="仿宋"/>
          <w:b/>
          <w:color w:val="auto"/>
          <w:szCs w:val="24"/>
          <w:highlight w:val="none"/>
          <w:lang w:val="en-US" w:eastAsia="zh-CN"/>
        </w:rPr>
        <w:t>6</w:t>
      </w:r>
      <w:r>
        <w:rPr>
          <w:rFonts w:hint="eastAsia" w:ascii="楷体" w:hAnsi="楷体" w:eastAsia="楷体" w:cs="仿宋"/>
          <w:b/>
          <w:color w:val="auto"/>
          <w:szCs w:val="24"/>
          <w:highlight w:val="none"/>
        </w:rPr>
        <w:t>.磋商响应文件的密封和标记</w:t>
      </w:r>
    </w:p>
    <w:p>
      <w:pPr>
        <w:spacing w:line="360" w:lineRule="auto"/>
        <w:ind w:firstLine="480" w:firstLineChars="200"/>
        <w:rPr>
          <w:rFonts w:hint="eastAsia" w:ascii="楷体" w:hAnsi="楷体" w:eastAsia="楷体" w:cs="仿宋"/>
          <w:color w:val="000000"/>
          <w:szCs w:val="24"/>
        </w:rPr>
      </w:pPr>
      <w:r>
        <w:rPr>
          <w:rFonts w:hint="eastAsia" w:ascii="楷体" w:hAnsi="楷体" w:eastAsia="楷体" w:cs="仿宋"/>
          <w:color w:val="000000"/>
          <w:szCs w:val="24"/>
        </w:rPr>
        <w:t>1</w:t>
      </w:r>
      <w:r>
        <w:rPr>
          <w:rFonts w:hint="eastAsia" w:ascii="楷体" w:hAnsi="楷体" w:eastAsia="楷体" w:cs="仿宋"/>
          <w:color w:val="000000"/>
          <w:szCs w:val="24"/>
          <w:lang w:val="en-US" w:eastAsia="zh-CN"/>
        </w:rPr>
        <w:t>6</w:t>
      </w:r>
      <w:r>
        <w:rPr>
          <w:rFonts w:hint="eastAsia" w:ascii="楷体" w:hAnsi="楷体" w:eastAsia="楷体" w:cs="仿宋"/>
          <w:color w:val="000000"/>
          <w:szCs w:val="24"/>
        </w:rPr>
        <w:t>.</w:t>
      </w:r>
      <w:r>
        <w:rPr>
          <w:rFonts w:hint="eastAsia" w:ascii="楷体" w:hAnsi="楷体" w:eastAsia="楷体" w:cs="仿宋"/>
          <w:color w:val="000000"/>
          <w:szCs w:val="24"/>
          <w:lang w:val="en-US" w:eastAsia="zh-CN"/>
        </w:rPr>
        <w:t>1</w:t>
      </w:r>
      <w:r>
        <w:rPr>
          <w:rFonts w:hint="eastAsia" w:ascii="楷体" w:hAnsi="楷体" w:eastAsia="楷体" w:cs="仿宋"/>
          <w:b/>
          <w:color w:val="000000"/>
          <w:szCs w:val="24"/>
        </w:rPr>
        <w:t>供应商应将磋商响应文件电子版密封在单独的封袋中</w:t>
      </w:r>
      <w:r>
        <w:rPr>
          <w:rFonts w:hint="eastAsia" w:ascii="楷体" w:hAnsi="楷体" w:eastAsia="楷体" w:cs="仿宋"/>
          <w:color w:val="000000"/>
          <w:szCs w:val="24"/>
        </w:rPr>
        <w:t>（封袋不得有破损），且在封袋正面标明“电子版”字样。封袋应加贴封条，并在封线处加盖供应商公章，封袋正面要粘贴供应商全称、项目名称、项目编号等标识。</w:t>
      </w:r>
    </w:p>
    <w:p>
      <w:pPr>
        <w:spacing w:line="360" w:lineRule="auto"/>
        <w:ind w:firstLine="480" w:firstLineChars="200"/>
        <w:rPr>
          <w:rFonts w:hint="eastAsia" w:ascii="楷体" w:hAnsi="楷体" w:eastAsia="楷体" w:cs="仿宋"/>
          <w:color w:val="000000"/>
          <w:szCs w:val="24"/>
        </w:rPr>
      </w:pPr>
      <w:r>
        <w:rPr>
          <w:rFonts w:hint="eastAsia" w:ascii="楷体" w:hAnsi="楷体" w:eastAsia="楷体" w:cs="仿宋"/>
          <w:color w:val="000000"/>
          <w:szCs w:val="24"/>
        </w:rPr>
        <w:t>1</w:t>
      </w:r>
      <w:r>
        <w:rPr>
          <w:rFonts w:hint="eastAsia" w:ascii="楷体" w:hAnsi="楷体" w:eastAsia="楷体" w:cs="仿宋"/>
          <w:color w:val="000000"/>
          <w:szCs w:val="24"/>
          <w:lang w:val="en-US" w:eastAsia="zh-CN"/>
        </w:rPr>
        <w:t>6</w:t>
      </w:r>
      <w:r>
        <w:rPr>
          <w:rFonts w:hint="eastAsia" w:ascii="楷体" w:hAnsi="楷体" w:eastAsia="楷体" w:cs="仿宋"/>
          <w:color w:val="000000"/>
          <w:szCs w:val="24"/>
        </w:rPr>
        <w:t>.</w:t>
      </w:r>
      <w:r>
        <w:rPr>
          <w:rFonts w:hint="eastAsia" w:ascii="楷体" w:hAnsi="楷体" w:eastAsia="楷体" w:cs="仿宋"/>
          <w:color w:val="000000"/>
          <w:szCs w:val="24"/>
          <w:lang w:val="en-US" w:eastAsia="zh-CN"/>
        </w:rPr>
        <w:t>2</w:t>
      </w:r>
      <w:r>
        <w:rPr>
          <w:rFonts w:hint="eastAsia" w:ascii="楷体" w:hAnsi="楷体" w:eastAsia="楷体" w:cs="仿宋"/>
          <w:color w:val="000000"/>
          <w:szCs w:val="24"/>
        </w:rPr>
        <w:t>外层包装请按以下要求标记：</w:t>
      </w:r>
    </w:p>
    <w:p>
      <w:pPr>
        <w:spacing w:line="360" w:lineRule="auto"/>
        <w:ind w:firstLine="480" w:firstLineChars="200"/>
        <w:rPr>
          <w:rFonts w:hint="eastAsia" w:ascii="楷体" w:hAnsi="楷体" w:eastAsia="楷体" w:cs="仿宋"/>
          <w:color w:val="000000"/>
          <w:szCs w:val="24"/>
        </w:rPr>
      </w:pPr>
      <w:r>
        <w:rPr>
          <w:rFonts w:hint="eastAsia" w:ascii="楷体" w:hAnsi="楷体" w:eastAsia="楷体" w:cs="仿宋"/>
          <w:color w:val="000000"/>
          <w:szCs w:val="24"/>
        </w:rPr>
        <w:t>1</w:t>
      </w:r>
      <w:r>
        <w:rPr>
          <w:rFonts w:hint="eastAsia" w:ascii="楷体" w:hAnsi="楷体" w:eastAsia="楷体" w:cs="仿宋"/>
          <w:color w:val="000000"/>
          <w:szCs w:val="24"/>
          <w:lang w:val="en-US" w:eastAsia="zh-CN"/>
        </w:rPr>
        <w:t>6</w:t>
      </w:r>
      <w:r>
        <w:rPr>
          <w:rFonts w:hint="eastAsia" w:ascii="楷体" w:hAnsi="楷体" w:eastAsia="楷体" w:cs="仿宋"/>
          <w:color w:val="000000"/>
          <w:szCs w:val="24"/>
        </w:rPr>
        <w:t>.</w:t>
      </w:r>
      <w:r>
        <w:rPr>
          <w:rFonts w:hint="eastAsia" w:ascii="楷体" w:hAnsi="楷体" w:eastAsia="楷体" w:cs="仿宋"/>
          <w:color w:val="000000"/>
          <w:szCs w:val="24"/>
          <w:lang w:val="en-US" w:eastAsia="zh-CN"/>
        </w:rPr>
        <w:t>2</w:t>
      </w:r>
      <w:r>
        <w:rPr>
          <w:rFonts w:hint="eastAsia" w:ascii="楷体" w:hAnsi="楷体" w:eastAsia="楷体" w:cs="仿宋"/>
          <w:color w:val="000000"/>
          <w:szCs w:val="24"/>
        </w:rPr>
        <w:t>.1 供应商的全称；</w:t>
      </w:r>
    </w:p>
    <w:p>
      <w:pPr>
        <w:spacing w:line="360" w:lineRule="auto"/>
        <w:ind w:firstLine="480" w:firstLineChars="200"/>
        <w:rPr>
          <w:rFonts w:hint="eastAsia" w:ascii="楷体" w:hAnsi="楷体" w:eastAsia="楷体" w:cs="仿宋"/>
          <w:color w:val="000000"/>
          <w:szCs w:val="24"/>
        </w:rPr>
      </w:pPr>
      <w:r>
        <w:rPr>
          <w:rFonts w:hint="eastAsia" w:ascii="楷体" w:hAnsi="楷体" w:eastAsia="楷体" w:cs="仿宋"/>
          <w:color w:val="000000"/>
          <w:szCs w:val="24"/>
        </w:rPr>
        <w:t>1</w:t>
      </w:r>
      <w:r>
        <w:rPr>
          <w:rFonts w:hint="eastAsia" w:ascii="楷体" w:hAnsi="楷体" w:eastAsia="楷体" w:cs="仿宋"/>
          <w:color w:val="000000"/>
          <w:szCs w:val="24"/>
          <w:lang w:val="en-US" w:eastAsia="zh-CN"/>
        </w:rPr>
        <w:t>6</w:t>
      </w:r>
      <w:r>
        <w:rPr>
          <w:rFonts w:hint="eastAsia" w:ascii="楷体" w:hAnsi="楷体" w:eastAsia="楷体" w:cs="仿宋"/>
          <w:color w:val="000000"/>
          <w:szCs w:val="24"/>
        </w:rPr>
        <w:t>.</w:t>
      </w:r>
      <w:r>
        <w:rPr>
          <w:rFonts w:hint="eastAsia" w:ascii="楷体" w:hAnsi="楷体" w:eastAsia="楷体" w:cs="仿宋"/>
          <w:color w:val="000000"/>
          <w:szCs w:val="24"/>
          <w:lang w:val="en-US" w:eastAsia="zh-CN"/>
        </w:rPr>
        <w:t>2</w:t>
      </w:r>
      <w:r>
        <w:rPr>
          <w:rFonts w:hint="eastAsia" w:ascii="楷体" w:hAnsi="楷体" w:eastAsia="楷体" w:cs="仿宋"/>
          <w:color w:val="000000"/>
          <w:szCs w:val="24"/>
        </w:rPr>
        <w:t>.2 磋商项目名称、项目编号；</w:t>
      </w:r>
    </w:p>
    <w:p>
      <w:pPr>
        <w:spacing w:line="360" w:lineRule="auto"/>
        <w:ind w:firstLine="480" w:firstLineChars="200"/>
        <w:rPr>
          <w:rFonts w:hint="eastAsia" w:ascii="楷体" w:hAnsi="楷体" w:eastAsia="楷体" w:cs="仿宋"/>
          <w:color w:val="000000"/>
          <w:szCs w:val="24"/>
        </w:rPr>
      </w:pPr>
      <w:r>
        <w:rPr>
          <w:rFonts w:hint="eastAsia" w:ascii="楷体" w:hAnsi="楷体" w:eastAsia="楷体" w:cs="仿宋"/>
          <w:color w:val="000000"/>
          <w:szCs w:val="24"/>
        </w:rPr>
        <w:t>1</w:t>
      </w:r>
      <w:r>
        <w:rPr>
          <w:rFonts w:hint="eastAsia" w:ascii="楷体" w:hAnsi="楷体" w:eastAsia="楷体" w:cs="仿宋"/>
          <w:color w:val="000000"/>
          <w:szCs w:val="24"/>
          <w:lang w:val="en-US" w:eastAsia="zh-CN"/>
        </w:rPr>
        <w:t>6</w:t>
      </w:r>
      <w:r>
        <w:rPr>
          <w:rFonts w:hint="eastAsia" w:ascii="楷体" w:hAnsi="楷体" w:eastAsia="楷体" w:cs="仿宋"/>
          <w:color w:val="000000"/>
          <w:szCs w:val="24"/>
        </w:rPr>
        <w:t>.</w:t>
      </w:r>
      <w:r>
        <w:rPr>
          <w:rFonts w:hint="eastAsia" w:ascii="楷体" w:hAnsi="楷体" w:eastAsia="楷体" w:cs="仿宋"/>
          <w:color w:val="000000"/>
          <w:szCs w:val="24"/>
          <w:lang w:val="en-US" w:eastAsia="zh-CN"/>
        </w:rPr>
        <w:t>2</w:t>
      </w:r>
      <w:r>
        <w:rPr>
          <w:rFonts w:hint="eastAsia" w:ascii="楷体" w:hAnsi="楷体" w:eastAsia="楷体" w:cs="仿宋"/>
          <w:color w:val="000000"/>
          <w:szCs w:val="24"/>
        </w:rPr>
        <w:t>.3电子版“非</w:t>
      </w:r>
      <w:r>
        <w:rPr>
          <w:rFonts w:hint="eastAsia" w:ascii="楷体" w:hAnsi="楷体" w:eastAsia="楷体" w:cs="仿宋"/>
          <w:color w:val="000000"/>
          <w:szCs w:val="24"/>
          <w:u w:val="single"/>
        </w:rPr>
        <w:t xml:space="preserve">      </w:t>
      </w:r>
      <w:r>
        <w:rPr>
          <w:rFonts w:hint="eastAsia" w:ascii="楷体" w:hAnsi="楷体" w:eastAsia="楷体" w:cs="仿宋"/>
          <w:color w:val="000000"/>
          <w:szCs w:val="24"/>
        </w:rPr>
        <w:t>不得启封”。</w:t>
      </w:r>
    </w:p>
    <w:p>
      <w:pPr>
        <w:pStyle w:val="200"/>
        <w:spacing w:line="360" w:lineRule="auto"/>
        <w:ind w:firstLine="482"/>
        <w:rPr>
          <w:rFonts w:hint="eastAsia" w:ascii="楷体" w:hAnsi="楷体" w:eastAsia="楷体" w:cs="楷体"/>
          <w:szCs w:val="24"/>
        </w:rPr>
      </w:pPr>
      <w:r>
        <w:rPr>
          <w:rFonts w:hint="eastAsia" w:ascii="楷体" w:hAnsi="楷体" w:eastAsia="楷体" w:cs="楷体"/>
          <w:szCs w:val="24"/>
        </w:rPr>
        <w:t>1</w:t>
      </w:r>
      <w:r>
        <w:rPr>
          <w:rFonts w:hint="eastAsia" w:ascii="楷体" w:hAnsi="楷体" w:eastAsia="楷体" w:cs="楷体"/>
          <w:szCs w:val="24"/>
          <w:lang w:val="en-US" w:eastAsia="zh-CN"/>
        </w:rPr>
        <w:t>6</w:t>
      </w:r>
      <w:r>
        <w:rPr>
          <w:rFonts w:hint="eastAsia" w:ascii="楷体" w:hAnsi="楷体" w:eastAsia="楷体" w:cs="楷体"/>
          <w:szCs w:val="24"/>
        </w:rPr>
        <w:t>.</w:t>
      </w:r>
      <w:r>
        <w:rPr>
          <w:rFonts w:hint="eastAsia" w:ascii="楷体" w:hAnsi="楷体" w:eastAsia="楷体" w:cs="楷体"/>
          <w:szCs w:val="24"/>
          <w:lang w:val="en-US" w:eastAsia="zh-CN"/>
        </w:rPr>
        <w:t>3</w:t>
      </w:r>
      <w:r>
        <w:rPr>
          <w:rFonts w:hint="eastAsia" w:ascii="楷体" w:hAnsi="楷体" w:eastAsia="楷体" w:cs="仿宋"/>
          <w:szCs w:val="24"/>
        </w:rPr>
        <w:t>无论供应商成交与否，其磋商电子版响应文件恕不退还</w:t>
      </w:r>
      <w:r>
        <w:rPr>
          <w:rFonts w:hint="eastAsia" w:ascii="楷体" w:hAnsi="楷体" w:eastAsia="楷体" w:cs="楷体"/>
          <w:szCs w:val="24"/>
        </w:rPr>
        <w:t>。</w:t>
      </w:r>
    </w:p>
    <w:p>
      <w:pPr>
        <w:spacing w:line="360" w:lineRule="auto"/>
        <w:ind w:firstLine="480" w:firstLineChars="200"/>
        <w:rPr>
          <w:rFonts w:hint="eastAsia" w:ascii="楷体" w:hAnsi="楷体" w:eastAsia="楷体" w:cs="楷体"/>
          <w:b w:val="0"/>
          <w:bCs w:val="0"/>
        </w:rPr>
      </w:pPr>
      <w:r>
        <w:rPr>
          <w:rFonts w:hint="eastAsia" w:ascii="楷体" w:hAnsi="楷体" w:eastAsia="楷体" w:cs="楷体"/>
          <w:b w:val="0"/>
          <w:bCs w:val="0"/>
          <w:szCs w:val="24"/>
          <w:lang w:val="en-US" w:eastAsia="zh-CN"/>
        </w:rPr>
        <w:t>16.4</w:t>
      </w:r>
      <w:r>
        <w:rPr>
          <w:rFonts w:hint="eastAsia" w:ascii="楷体" w:hAnsi="楷体" w:eastAsia="楷体" w:cs="楷体"/>
          <w:b w:val="0"/>
          <w:bCs w:val="0"/>
        </w:rPr>
        <w:t>发布成交结果后三个工作日内成交单位应按照采购人需求另行提供纸质版响应文件（一正</w:t>
      </w:r>
      <w:r>
        <w:rPr>
          <w:rFonts w:hint="eastAsia" w:ascii="楷体" w:hAnsi="楷体" w:eastAsia="楷体" w:cs="楷体"/>
          <w:b w:val="0"/>
          <w:bCs w:val="0"/>
          <w:lang w:val="en-US" w:eastAsia="zh-CN"/>
        </w:rPr>
        <w:t>两</w:t>
      </w:r>
      <w:r>
        <w:rPr>
          <w:rFonts w:hint="eastAsia" w:ascii="楷体" w:hAnsi="楷体" w:eastAsia="楷体" w:cs="楷体"/>
          <w:b w:val="0"/>
          <w:bCs w:val="0"/>
        </w:rPr>
        <w:t>副）交与代理公司，无需封标。</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1</w:t>
      </w:r>
      <w:r>
        <w:rPr>
          <w:rFonts w:hint="eastAsia" w:ascii="楷体" w:hAnsi="楷体" w:eastAsia="楷体" w:cs="仿宋"/>
          <w:b/>
          <w:color w:val="auto"/>
          <w:szCs w:val="24"/>
          <w:highlight w:val="none"/>
          <w:lang w:val="en-US" w:eastAsia="zh-CN"/>
        </w:rPr>
        <w:t>7</w:t>
      </w:r>
      <w:r>
        <w:rPr>
          <w:rFonts w:hint="eastAsia" w:ascii="楷体" w:hAnsi="楷体" w:eastAsia="楷体" w:cs="仿宋"/>
          <w:b/>
          <w:color w:val="auto"/>
          <w:szCs w:val="24"/>
          <w:highlight w:val="none"/>
        </w:rPr>
        <w:t>．磋商响应文件的递交</w:t>
      </w:r>
    </w:p>
    <w:p>
      <w:pPr>
        <w:spacing w:line="360" w:lineRule="auto"/>
        <w:ind w:firstLine="480" w:firstLineChars="200"/>
        <w:rPr>
          <w:rFonts w:hint="eastAsia" w:ascii="楷体" w:hAnsi="楷体" w:eastAsia="楷体" w:cs="楷体"/>
          <w:b w:val="0"/>
          <w:bCs w:val="0"/>
          <w:color w:val="auto"/>
          <w:szCs w:val="24"/>
          <w:highlight w:val="none"/>
        </w:rPr>
      </w:pPr>
      <w:r>
        <w:rPr>
          <w:rFonts w:hint="eastAsia" w:ascii="楷体" w:hAnsi="楷体" w:eastAsia="楷体" w:cs="楷体"/>
          <w:b w:val="0"/>
          <w:bCs w:val="0"/>
          <w:color w:val="auto"/>
          <w:szCs w:val="24"/>
          <w:highlight w:val="none"/>
          <w:lang w:val="en-US" w:eastAsia="zh-CN"/>
        </w:rPr>
        <w:t>17.1</w:t>
      </w:r>
      <w:r>
        <w:rPr>
          <w:rFonts w:hint="eastAsia" w:ascii="楷体" w:hAnsi="楷体" w:eastAsia="楷体" w:cs="楷体"/>
          <w:b w:val="0"/>
          <w:bCs w:val="0"/>
          <w:color w:val="auto"/>
          <w:szCs w:val="24"/>
          <w:highlight w:val="none"/>
        </w:rPr>
        <w:t>电子</w:t>
      </w:r>
      <w:r>
        <w:rPr>
          <w:rFonts w:hint="eastAsia" w:ascii="楷体" w:hAnsi="楷体" w:eastAsia="楷体" w:cs="楷体"/>
          <w:b w:val="0"/>
          <w:bCs w:val="0"/>
          <w:color w:val="auto"/>
          <w:szCs w:val="24"/>
          <w:highlight w:val="none"/>
          <w:lang w:val="en-US" w:eastAsia="zh-CN"/>
        </w:rPr>
        <w:t>投标</w:t>
      </w:r>
      <w:r>
        <w:rPr>
          <w:rFonts w:hint="eastAsia" w:ascii="楷体" w:hAnsi="楷体" w:eastAsia="楷体" w:cs="楷体"/>
          <w:b w:val="0"/>
          <w:bCs w:val="0"/>
          <w:color w:val="auto"/>
          <w:szCs w:val="24"/>
          <w:highlight w:val="none"/>
        </w:rPr>
        <w:t>文件可于提交</w:t>
      </w:r>
      <w:r>
        <w:rPr>
          <w:rFonts w:hint="eastAsia" w:ascii="楷体" w:hAnsi="楷体" w:eastAsia="楷体" w:cs="楷体"/>
          <w:b w:val="0"/>
          <w:bCs w:val="0"/>
          <w:color w:val="auto"/>
          <w:szCs w:val="24"/>
          <w:highlight w:val="none"/>
          <w:lang w:val="en-US" w:eastAsia="zh-CN"/>
        </w:rPr>
        <w:t>投标</w:t>
      </w:r>
      <w:r>
        <w:rPr>
          <w:rFonts w:hint="eastAsia" w:ascii="楷体" w:hAnsi="楷体" w:eastAsia="楷体" w:cs="楷体"/>
          <w:b w:val="0"/>
          <w:bCs w:val="0"/>
          <w:color w:val="auto"/>
          <w:szCs w:val="24"/>
          <w:highlight w:val="none"/>
        </w:rPr>
        <w:t>文件截止时间前任意时段登录全国公共资源交易平台（陕西省）网站[电子交易平台-企业端]进行提交，逾期系统将拒绝接收。提交时，</w:t>
      </w:r>
      <w:r>
        <w:rPr>
          <w:rFonts w:hint="eastAsia" w:ascii="楷体" w:hAnsi="楷体" w:eastAsia="楷体" w:cs="楷体"/>
          <w:b w:val="0"/>
          <w:bCs w:val="0"/>
          <w:color w:val="auto"/>
          <w:szCs w:val="24"/>
          <w:highlight w:val="none"/>
          <w:lang w:val="en-US" w:eastAsia="zh-CN"/>
        </w:rPr>
        <w:t>投标单位</w:t>
      </w:r>
      <w:r>
        <w:rPr>
          <w:rFonts w:hint="eastAsia" w:ascii="楷体" w:hAnsi="楷体" w:eastAsia="楷体" w:cs="楷体"/>
          <w:b w:val="0"/>
          <w:bCs w:val="0"/>
          <w:color w:val="auto"/>
          <w:szCs w:val="24"/>
          <w:highlight w:val="none"/>
        </w:rPr>
        <w:t>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en-US" w:eastAsia="zh-CN"/>
        </w:rPr>
        <w:t>7</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2供应商</w:t>
      </w:r>
      <w:r>
        <w:rPr>
          <w:rFonts w:hint="eastAsia" w:ascii="楷体" w:hAnsi="楷体" w:eastAsia="楷体" w:cs="楷体"/>
          <w:color w:val="auto"/>
          <w:szCs w:val="24"/>
          <w:highlight w:val="none"/>
        </w:rPr>
        <w:t>应按“</w:t>
      </w:r>
      <w:r>
        <w:rPr>
          <w:rFonts w:hint="eastAsia" w:ascii="楷体" w:hAnsi="楷体" w:eastAsia="楷体" w:cs="楷体"/>
          <w:color w:val="auto"/>
          <w:szCs w:val="24"/>
          <w:highlight w:val="none"/>
          <w:lang w:val="en-US" w:eastAsia="zh-CN"/>
        </w:rPr>
        <w:t>供应商</w:t>
      </w:r>
      <w:r>
        <w:rPr>
          <w:rFonts w:hint="eastAsia" w:ascii="楷体" w:hAnsi="楷体" w:eastAsia="楷体" w:cs="楷体"/>
          <w:color w:val="auto"/>
          <w:szCs w:val="24"/>
          <w:highlight w:val="none"/>
        </w:rPr>
        <w:t>须知前附表”中规定的时间和地点，在规定的投标截止时间前将</w:t>
      </w:r>
      <w:r>
        <w:rPr>
          <w:rFonts w:hint="eastAsia" w:ascii="楷体" w:hAnsi="楷体" w:eastAsia="楷体" w:cs="楷体"/>
          <w:color w:val="auto"/>
          <w:szCs w:val="24"/>
          <w:highlight w:val="none"/>
          <w:lang w:eastAsia="zh-CN"/>
        </w:rPr>
        <w:t>电子版投标文件</w:t>
      </w:r>
      <w:r>
        <w:rPr>
          <w:rFonts w:hint="eastAsia" w:ascii="楷体" w:hAnsi="楷体" w:eastAsia="楷体" w:cs="楷体"/>
          <w:color w:val="auto"/>
          <w:szCs w:val="24"/>
          <w:highlight w:val="none"/>
        </w:rPr>
        <w:t>递交至招标代理机构投标文件接收人。</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7</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3</w:t>
      </w:r>
      <w:r>
        <w:rPr>
          <w:rFonts w:hint="eastAsia" w:ascii="楷体" w:hAnsi="楷体" w:eastAsia="楷体" w:cs="仿宋"/>
          <w:color w:val="auto"/>
          <w:szCs w:val="24"/>
          <w:highlight w:val="none"/>
        </w:rPr>
        <w:t>招标代理机构接收人在磋商文件规定的磋商响应文件递交截止时间前，只负责对磋商响应文件的接收、清点、造册登记工作，并请递交人签字确认，对其有效性不负任何责任；</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7</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无论供应商成交与否，其磋商</w:t>
      </w:r>
      <w:r>
        <w:rPr>
          <w:rFonts w:hint="eastAsia" w:ascii="楷体" w:hAnsi="楷体" w:eastAsia="楷体" w:cs="仿宋"/>
          <w:color w:val="auto"/>
          <w:szCs w:val="24"/>
          <w:highlight w:val="none"/>
          <w:lang w:eastAsia="zh-CN"/>
        </w:rPr>
        <w:t>电子版</w:t>
      </w:r>
      <w:r>
        <w:rPr>
          <w:rFonts w:hint="eastAsia" w:ascii="楷体" w:hAnsi="楷体" w:eastAsia="楷体" w:cs="仿宋"/>
          <w:color w:val="auto"/>
          <w:szCs w:val="24"/>
          <w:highlight w:val="none"/>
        </w:rPr>
        <w:t>响应文件恕不退还。</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val="en-US" w:eastAsia="zh-CN"/>
        </w:rPr>
        <w:t>18</w:t>
      </w:r>
      <w:r>
        <w:rPr>
          <w:rFonts w:hint="eastAsia" w:ascii="楷体" w:hAnsi="楷体" w:eastAsia="楷体" w:cs="仿宋"/>
          <w:b/>
          <w:color w:val="auto"/>
          <w:szCs w:val="24"/>
          <w:highlight w:val="none"/>
        </w:rPr>
        <w:t>．磋商的修改与撤回</w:t>
      </w:r>
    </w:p>
    <w:p>
      <w:pPr>
        <w:spacing w:line="360" w:lineRule="auto"/>
        <w:ind w:firstLine="480" w:firstLineChars="200"/>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18</w:t>
      </w:r>
      <w:r>
        <w:rPr>
          <w:rFonts w:hint="eastAsia" w:ascii="楷体" w:hAnsi="楷体" w:eastAsia="楷体" w:cs="仿宋"/>
          <w:color w:val="auto"/>
          <w:szCs w:val="24"/>
          <w:highlight w:val="none"/>
        </w:rPr>
        <w:t xml:space="preserve">.1 </w:t>
      </w:r>
      <w:r>
        <w:rPr>
          <w:rFonts w:hint="eastAsia" w:ascii="楷体" w:hAnsi="楷体" w:eastAsia="楷体" w:cs="仿宋"/>
          <w:color w:val="auto"/>
          <w:szCs w:val="24"/>
          <w:highlight w:val="none"/>
          <w:lang w:val="en-US" w:eastAsia="zh-CN"/>
        </w:rPr>
        <w:t>在规定的磋商截止时间之前，供应商可随时撤回已上传的电子投标文件。</w:t>
      </w:r>
    </w:p>
    <w:p>
      <w:pPr>
        <w:keepNext/>
        <w:keepLines/>
        <w:spacing w:line="360" w:lineRule="auto"/>
        <w:jc w:val="center"/>
        <w:rPr>
          <w:rFonts w:hint="eastAsia" w:ascii="楷体" w:hAnsi="楷体" w:eastAsia="楷体" w:cs="仿宋"/>
          <w:b/>
          <w:color w:val="auto"/>
          <w:sz w:val="32"/>
          <w:szCs w:val="32"/>
          <w:highlight w:val="none"/>
        </w:rPr>
      </w:pPr>
      <w:bookmarkStart w:id="31" w:name="_Toc403077643"/>
      <w:bookmarkStart w:id="32" w:name="_Toc363474021"/>
      <w:bookmarkStart w:id="33" w:name="_Toc363473976"/>
      <w:r>
        <w:rPr>
          <w:rFonts w:hint="eastAsia" w:ascii="楷体" w:hAnsi="楷体" w:eastAsia="楷体" w:cs="仿宋"/>
          <w:b/>
          <w:color w:val="auto"/>
          <w:sz w:val="32"/>
          <w:szCs w:val="32"/>
          <w:highlight w:val="none"/>
        </w:rPr>
        <w:t>五.磋商与评</w:t>
      </w:r>
      <w:bookmarkEnd w:id="31"/>
      <w:bookmarkEnd w:id="32"/>
      <w:bookmarkEnd w:id="33"/>
      <w:r>
        <w:rPr>
          <w:rFonts w:hint="eastAsia" w:ascii="楷体" w:hAnsi="楷体" w:eastAsia="楷体" w:cs="仿宋"/>
          <w:b/>
          <w:color w:val="auto"/>
          <w:sz w:val="32"/>
          <w:szCs w:val="32"/>
          <w:highlight w:val="none"/>
        </w:rPr>
        <w:t>审</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val="en-US" w:eastAsia="zh-CN"/>
        </w:rPr>
        <w:t>19</w:t>
      </w:r>
      <w:r>
        <w:rPr>
          <w:rFonts w:hint="eastAsia" w:ascii="楷体" w:hAnsi="楷体" w:eastAsia="楷体" w:cs="仿宋"/>
          <w:b/>
          <w:color w:val="auto"/>
          <w:szCs w:val="24"/>
          <w:highlight w:val="none"/>
        </w:rPr>
        <w:t>.磋商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19</w:t>
      </w:r>
      <w:r>
        <w:rPr>
          <w:rFonts w:hint="eastAsia" w:ascii="楷体" w:hAnsi="楷体" w:eastAsia="楷体" w:cs="仿宋"/>
          <w:color w:val="auto"/>
          <w:szCs w:val="24"/>
          <w:highlight w:val="none"/>
        </w:rPr>
        <w:t>.1 招标代理机构在规定的时间和地点组织磋商。磋商时所有供应商代表自愿参加，参加磋商的代表应签名报到以证明其出席。</w:t>
      </w:r>
    </w:p>
    <w:p>
      <w:pPr>
        <w:spacing w:line="360" w:lineRule="auto"/>
        <w:ind w:firstLine="480" w:firstLineChars="200"/>
        <w:rPr>
          <w:rFonts w:hint="eastAsia" w:ascii="楷体" w:hAnsi="楷体" w:eastAsia="楷体"/>
          <w:b/>
          <w:color w:val="auto"/>
          <w:szCs w:val="24"/>
          <w:highlight w:val="none"/>
        </w:rPr>
      </w:pPr>
      <w:r>
        <w:rPr>
          <w:rFonts w:hint="eastAsia" w:ascii="楷体" w:hAnsi="楷体" w:eastAsia="楷体"/>
          <w:color w:val="auto"/>
          <w:szCs w:val="24"/>
          <w:highlight w:val="none"/>
          <w:lang w:val="en-US" w:eastAsia="zh-CN"/>
        </w:rPr>
        <w:t>19</w:t>
      </w:r>
      <w:r>
        <w:rPr>
          <w:rFonts w:ascii="楷体" w:hAnsi="楷体" w:eastAsia="楷体"/>
          <w:color w:val="auto"/>
          <w:szCs w:val="24"/>
          <w:highlight w:val="none"/>
        </w:rPr>
        <w:t>.2招标代理机构当众宣读</w:t>
      </w:r>
      <w:r>
        <w:rPr>
          <w:rFonts w:hint="eastAsia" w:ascii="楷体" w:hAnsi="楷体" w:eastAsia="楷体"/>
          <w:color w:val="auto"/>
          <w:szCs w:val="24"/>
          <w:highlight w:val="none"/>
        </w:rPr>
        <w:t>供应商</w:t>
      </w:r>
      <w:r>
        <w:rPr>
          <w:rFonts w:ascii="楷体" w:hAnsi="楷体" w:eastAsia="楷体"/>
          <w:color w:val="auto"/>
          <w:szCs w:val="24"/>
          <w:highlight w:val="none"/>
        </w:rPr>
        <w:t>名称、</w:t>
      </w:r>
      <w:r>
        <w:rPr>
          <w:rFonts w:hint="eastAsia" w:ascii="楷体" w:hAnsi="楷体" w:eastAsia="楷体"/>
          <w:color w:val="auto"/>
          <w:szCs w:val="24"/>
          <w:highlight w:val="none"/>
        </w:rPr>
        <w:t>磋商响应文件电子版的份数</w:t>
      </w:r>
      <w:r>
        <w:rPr>
          <w:rFonts w:ascii="楷体" w:hAnsi="楷体" w:eastAsia="楷体"/>
          <w:color w:val="auto"/>
          <w:szCs w:val="24"/>
          <w:highlight w:val="none"/>
        </w:rPr>
        <w:t>、修改或撤回或变动价格的书面通知（如果有），以及招标代理机构认为合适的其他内容。</w:t>
      </w:r>
      <w:r>
        <w:rPr>
          <w:rFonts w:hint="eastAsia" w:ascii="楷体" w:hAnsi="楷体" w:eastAsia="楷体"/>
          <w:color w:val="auto"/>
          <w:szCs w:val="24"/>
          <w:highlight w:val="none"/>
        </w:rPr>
        <w:t>《政府采购法》第三十八条和关于印发《政府采购竞争性磋商采购方式管理暂行办法》的通知财库【2014】214号及《陕西省财政厅关于政府采购有关问题的通知》陕财办采资[2016]53号文件等规</w:t>
      </w:r>
      <w:r>
        <w:rPr>
          <w:rFonts w:hint="eastAsia" w:ascii="楷体" w:hAnsi="楷体" w:eastAsia="楷体"/>
          <w:b w:val="0"/>
          <w:bCs w:val="0"/>
          <w:color w:val="auto"/>
          <w:szCs w:val="24"/>
          <w:highlight w:val="none"/>
        </w:rPr>
        <w:t>定，不在每轮磋商结束时公开供应商的报价。</w:t>
      </w:r>
    </w:p>
    <w:p>
      <w:pPr>
        <w:spacing w:line="360" w:lineRule="auto"/>
        <w:ind w:firstLine="480" w:firstLineChars="200"/>
        <w:rPr>
          <w:rFonts w:ascii="楷体" w:hAnsi="楷体" w:eastAsia="楷体"/>
          <w:color w:val="auto"/>
          <w:szCs w:val="24"/>
          <w:highlight w:val="none"/>
        </w:rPr>
      </w:pPr>
      <w:r>
        <w:rPr>
          <w:rFonts w:hint="eastAsia" w:ascii="楷体" w:hAnsi="楷体" w:eastAsia="楷体"/>
          <w:color w:val="auto"/>
          <w:szCs w:val="24"/>
          <w:highlight w:val="none"/>
          <w:lang w:val="en-US" w:eastAsia="zh-CN"/>
        </w:rPr>
        <w:t>19</w:t>
      </w:r>
      <w:r>
        <w:rPr>
          <w:rFonts w:ascii="楷体" w:hAnsi="楷体" w:eastAsia="楷体"/>
          <w:color w:val="auto"/>
          <w:szCs w:val="24"/>
          <w:highlight w:val="none"/>
        </w:rPr>
        <w:t>.</w:t>
      </w:r>
      <w:r>
        <w:rPr>
          <w:rFonts w:hint="eastAsia" w:ascii="楷体" w:hAnsi="楷体" w:eastAsia="楷体"/>
          <w:color w:val="auto"/>
          <w:szCs w:val="24"/>
          <w:highlight w:val="none"/>
        </w:rPr>
        <w:t>3</w:t>
      </w:r>
      <w:r>
        <w:rPr>
          <w:rFonts w:ascii="楷体" w:hAnsi="楷体" w:eastAsia="楷体"/>
          <w:color w:val="auto"/>
          <w:szCs w:val="24"/>
          <w:highlight w:val="none"/>
        </w:rPr>
        <w:t>招标代理机构将做</w:t>
      </w:r>
      <w:r>
        <w:rPr>
          <w:rFonts w:hint="eastAsia" w:ascii="楷体" w:hAnsi="楷体" w:eastAsia="楷体"/>
          <w:color w:val="auto"/>
          <w:szCs w:val="24"/>
          <w:highlight w:val="none"/>
        </w:rPr>
        <w:t>磋商</w:t>
      </w:r>
      <w:r>
        <w:rPr>
          <w:rFonts w:ascii="楷体" w:hAnsi="楷体" w:eastAsia="楷体"/>
          <w:color w:val="auto"/>
          <w:szCs w:val="24"/>
          <w:highlight w:val="none"/>
        </w:rPr>
        <w:t>记录，存档备查。</w:t>
      </w:r>
    </w:p>
    <w:p>
      <w:pPr>
        <w:spacing w:line="360" w:lineRule="auto"/>
        <w:ind w:firstLine="240" w:firstLineChars="100"/>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 xml:space="preserve">  19.4在开标环节出现下列情况之一的，其磋商文件视为无效文件：</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（1）供应商拒绝对电子投标文件进行解密的；</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（2）因供应商自身原因（如未带CA锁、或所带CA锁与制作电子投标文件使用的CA锁不一致、或沿用旧版招标文件编制投标文件等情形），导致在规定时间内无法解密投标文件的；</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（3）上传的电子投标文件无法打开的；</w:t>
      </w:r>
    </w:p>
    <w:p>
      <w:pPr>
        <w:spacing w:line="360" w:lineRule="auto"/>
        <w:ind w:firstLine="480" w:firstLineChars="200"/>
        <w:rPr>
          <w:color w:val="auto"/>
          <w:highlight w:val="none"/>
        </w:rPr>
      </w:pPr>
      <w:r>
        <w:rPr>
          <w:rFonts w:hint="eastAsia" w:ascii="楷体" w:hAnsi="楷体" w:eastAsia="楷体" w:cs="楷体"/>
          <w:color w:val="auto"/>
          <w:szCs w:val="24"/>
          <w:highlight w:val="none"/>
          <w:lang w:val="en-US" w:eastAsia="zh-CN"/>
        </w:rPr>
        <w:t>（4）政府采购法律法规规定的其他无效情形。</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0</w:t>
      </w:r>
      <w:r>
        <w:rPr>
          <w:rFonts w:hint="eastAsia" w:ascii="楷体" w:hAnsi="楷体" w:eastAsia="楷体" w:cs="仿宋"/>
          <w:b/>
          <w:color w:val="auto"/>
          <w:szCs w:val="24"/>
          <w:highlight w:val="none"/>
        </w:rPr>
        <w:t>．评审组织及评审原则</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1按照《中华人民共和国政府采购法》、《中华人民共和国政府采购法实施条例》和关于印发《政府采购竞争性磋商采购方式管理暂行办法》的通知财库【2014】214号等规定，依法组建磋商小组。磋商小组由采购人代表和评审专家共3人以上单数组成。其中评审专家人数不得少于成员总数的</w:t>
      </w:r>
      <w:r>
        <w:rPr>
          <w:rFonts w:hint="eastAsia" w:ascii="楷体" w:hAnsi="楷体" w:eastAsia="楷体"/>
          <w:color w:val="auto"/>
          <w:szCs w:val="24"/>
          <w:highlight w:val="none"/>
        </w:rPr>
        <w:t>三分之二</w:t>
      </w:r>
      <w:r>
        <w:rPr>
          <w:rFonts w:hint="eastAsia" w:ascii="楷体" w:hAnsi="楷体" w:eastAsia="楷体" w:cs="仿宋"/>
          <w:color w:val="auto"/>
          <w:szCs w:val="24"/>
          <w:highlight w:val="none"/>
        </w:rPr>
        <w:t>，采购人代表须持有授权书。磋商小组按照磋商文件规定的评审方法独立进行评审工作。</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.2磋商文件和磋商响应文件是评审的依据。在评审中，不得改变磋商文件中规定的评审标准、方法和成交条件。供应商不得在磋商后使用任何方式对磋商响应文件的实质性内容做任何更改。</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3在评审期间，对磋商响应文件中含义不明确、同类问题表述不一致或者有明显文字和计算错误的内容，磋商小组可以书面形式（由磋商小组全体专家签字）要求供应商作出必要的澄清、说明或者补正应当采用书面形式，并加盖公章，或者由法定代表人或其授权的代表签字。供应商的澄清、说明或者补正不得超出磋商响应文件的范围或者改变磋商文件的实质性内容。</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.4如果供应商在澄清规定期限内，未能答复或拒绝答复磋商小组提出的澄清要求，将由磋商小组根据其磋商响应文件按最大风险进行评审。</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.5磋商过程中的实质性变动：</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5.1在磋商过程中，磋商小组可以根据磋商文件和磋商情况在最终报价之前实质性变动采购需求中的技术、服务要求以及合同草案条款，但不得变动磋商文件中的其他内同。实质性变动的内容，须经采购人代表确认。</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.5.2对磋商文件做出的实质性变动是磋商文件的有效组成部分，磋商小组应当及时以书面形式通知所有参加磋商的供应商。</w:t>
      </w:r>
    </w:p>
    <w:p>
      <w:pPr>
        <w:spacing w:line="360" w:lineRule="auto"/>
        <w:ind w:firstLine="482" w:firstLineChars="200"/>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0</w:t>
      </w:r>
      <w:r>
        <w:rPr>
          <w:rFonts w:hint="eastAsia" w:ascii="楷体" w:hAnsi="楷体" w:eastAsia="楷体" w:cs="仿宋"/>
          <w:b/>
          <w:color w:val="auto"/>
          <w:szCs w:val="24"/>
          <w:highlight w:val="none"/>
        </w:rPr>
        <w:t>.6磋商响应文件的初审（含资格性审查和符合性审查）</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.6.1磋商小组将审查磋商响应文件是否完整、资格证明文件是否齐全，磋商保证金是否合格、</w:t>
      </w:r>
      <w:r>
        <w:rPr>
          <w:rFonts w:hint="eastAsia" w:ascii="楷体" w:hAnsi="楷体" w:eastAsia="楷体"/>
          <w:color w:val="auto"/>
          <w:szCs w:val="24"/>
          <w:highlight w:val="none"/>
        </w:rPr>
        <w:t>有无计算上的错误等。</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6.2计算错误将按以下方法更正：①磋商响应文件中磋商一览表（报价表）内容与磋商文件中相应内容不一致的，以磋商一览表（报价表）为准；②大写金额和小写金额不一致的，以大写金额为准；③单价金额小数点或者百分比有明显错位的，以磋商一览表的总价为准，并修改单价；④总价金额与按单价汇总金额不一致的，以单价金额计算结果为准。同时出现两种以上不一致的，按照前款规定的顺序修正。修正后的报价按照磋商文件。修正后的报价按照磋商文件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.3条的规定经供应商确认后产生约束力，供应商不确认的，其磋商无效。</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.6.3在详细评审之前，根据本须知第2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条的规定，磋商小组要审查每份磋商响应文件是否实质上响应了磋商文件的要求。实质上响应的磋商应该是与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实质上没有响应磋商文件要求的磋商将被拒绝。供应商不得通过修正或撤销不合要求的偏离从而使其磋商成为实质性响应的磋商。如发现下列情况之一的，其磋商将构成非实质性响应，按无效响应处理：</w:t>
      </w:r>
    </w:p>
    <w:p>
      <w:pPr>
        <w:tabs>
          <w:tab w:val="left" w:pos="1260"/>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.1没有按照磋商文件要求提供的磋商响应文件或磋商响应文件构成有重大缺项；</w:t>
      </w:r>
    </w:p>
    <w:p>
      <w:pPr>
        <w:tabs>
          <w:tab w:val="left" w:pos="1260"/>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.2磋商响应文件未按磋商文件要求签署、盖章；</w:t>
      </w:r>
    </w:p>
    <w:p>
      <w:pPr>
        <w:tabs>
          <w:tab w:val="left" w:pos="1260"/>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.3资格证明文件不全的或无效的，或不符合国家规定的；</w:t>
      </w:r>
    </w:p>
    <w:p>
      <w:pPr>
        <w:tabs>
          <w:tab w:val="left" w:pos="1260"/>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磋商响应文件</w:t>
      </w:r>
      <w:r>
        <w:rPr>
          <w:rFonts w:hint="eastAsia" w:ascii="楷体" w:hAnsi="楷体" w:eastAsia="楷体" w:cs="仿宋"/>
          <w:color w:val="auto"/>
          <w:szCs w:val="24"/>
          <w:highlight w:val="none"/>
          <w:lang w:eastAsia="zh-CN"/>
        </w:rPr>
        <w:t>要求盖章处</w:t>
      </w:r>
      <w:r>
        <w:rPr>
          <w:rFonts w:hint="eastAsia" w:ascii="楷体" w:hAnsi="楷体" w:eastAsia="楷体" w:cs="仿宋"/>
          <w:color w:val="auto"/>
          <w:szCs w:val="24"/>
          <w:highlight w:val="none"/>
        </w:rPr>
        <w:t>无供应商公章、无法定代表人签字或签字人无法定代表人有效委托书的；</w:t>
      </w:r>
    </w:p>
    <w:p>
      <w:pPr>
        <w:tabs>
          <w:tab w:val="left" w:pos="1260"/>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5</w:t>
      </w:r>
      <w:r>
        <w:rPr>
          <w:rFonts w:hint="eastAsia" w:ascii="楷体" w:hAnsi="楷体" w:eastAsia="楷体" w:cs="仿宋"/>
          <w:color w:val="auto"/>
          <w:spacing w:val="-6"/>
          <w:szCs w:val="24"/>
          <w:highlight w:val="none"/>
        </w:rPr>
        <w:t>无磋商有效期或有效期不满足磋商文件要求的</w:t>
      </w:r>
      <w:r>
        <w:rPr>
          <w:rFonts w:hint="eastAsia" w:ascii="楷体" w:hAnsi="楷体" w:eastAsia="楷体" w:cs="仿宋"/>
          <w:color w:val="auto"/>
          <w:szCs w:val="24"/>
          <w:highlight w:val="none"/>
        </w:rPr>
        <w:t>；</w:t>
      </w:r>
    </w:p>
    <w:p>
      <w:pPr>
        <w:tabs>
          <w:tab w:val="left" w:pos="1260"/>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6</w:t>
      </w:r>
      <w:r>
        <w:rPr>
          <w:rFonts w:hint="eastAsia" w:ascii="楷体" w:hAnsi="楷体" w:eastAsia="楷体" w:cs="仿宋"/>
          <w:color w:val="auto"/>
          <w:szCs w:val="24"/>
          <w:highlight w:val="none"/>
        </w:rPr>
        <w:t>供应商有串通磋商、以他人名义磋商、行贿、提供虚假证明（包括第三方提供的虚假证明），开具虚假资质，出现虚假应答的，除按无效响应处理外，还将按照政府采购的有关规定进行处罚；</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7</w:t>
      </w:r>
      <w:r>
        <w:rPr>
          <w:rFonts w:hint="eastAsia" w:ascii="楷体" w:hAnsi="楷体" w:eastAsia="楷体" w:cs="仿宋"/>
          <w:color w:val="auto"/>
          <w:szCs w:val="24"/>
          <w:highlight w:val="none"/>
        </w:rPr>
        <w:t>磋商响应文件名称与本项目名称不一致的；</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8</w:t>
      </w:r>
      <w:r>
        <w:rPr>
          <w:rFonts w:hint="eastAsia" w:ascii="楷体" w:hAnsi="楷体" w:eastAsia="楷体" w:cs="仿宋"/>
          <w:color w:val="auto"/>
          <w:szCs w:val="24"/>
          <w:highlight w:val="none"/>
        </w:rPr>
        <w:t>磋商总报价低于成本或者高于磋商文件公布的采购预算的。</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.7磋商响应文件的详细评审</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.7.1磋商小组将按照本须知第2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.6.4条规定，只对确定为实质性响应磋商文件要求的磋商响应文件进行详细评审。磋商时，磋商小组会各成员应当独立对每个供应商的磋商响应文件进行评价，并汇总每个供应商的得分。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.7.2详细评审按照第五章“评审方法”的方法进行评审。</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.8成交候选人的确定</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.8.1磋商小组完成评审后，向采购人提出书面评审，并推荐一至三名成交候选人，标明排列顺序。</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1</w:t>
      </w:r>
      <w:r>
        <w:rPr>
          <w:rFonts w:hint="eastAsia" w:ascii="楷体" w:hAnsi="楷体" w:eastAsia="楷体" w:cs="仿宋"/>
          <w:b/>
          <w:color w:val="auto"/>
          <w:szCs w:val="24"/>
          <w:highlight w:val="none"/>
        </w:rPr>
        <w:t>．评审过程的保密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1</w:t>
      </w:r>
      <w:r>
        <w:rPr>
          <w:rFonts w:hint="eastAsia" w:ascii="楷体" w:hAnsi="楷体" w:eastAsia="楷体" w:cs="仿宋"/>
          <w:color w:val="auto"/>
          <w:szCs w:val="24"/>
          <w:highlight w:val="none"/>
        </w:rPr>
        <w:t>.1磋商小组全体成员和与评审活动有关的工作人员不得泄露有关磋商响应文件的评审和比较、成交候选人的推荐以及与评审有关的其他情况。</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1</w:t>
      </w:r>
      <w:r>
        <w:rPr>
          <w:rFonts w:hint="eastAsia" w:ascii="楷体" w:hAnsi="楷体" w:eastAsia="楷体" w:cs="仿宋"/>
          <w:color w:val="auto"/>
          <w:szCs w:val="24"/>
          <w:highlight w:val="none"/>
        </w:rPr>
        <w:t>.2在评审过程中，如果供应商试图在磋商响应文件的评审和比较、成交候选人的推荐以及与评审有关的其他方面，向磋商小组和采购人及招标代理机构施加任何影响，应予废标。</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2</w:t>
      </w:r>
      <w:r>
        <w:rPr>
          <w:rFonts w:hint="eastAsia" w:ascii="楷体" w:hAnsi="楷体" w:eastAsia="楷体" w:cs="仿宋"/>
          <w:b/>
          <w:color w:val="auto"/>
          <w:szCs w:val="24"/>
          <w:highlight w:val="none"/>
        </w:rPr>
        <w:t>．评审方法</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2</w:t>
      </w:r>
      <w:r>
        <w:rPr>
          <w:rFonts w:hint="eastAsia" w:ascii="楷体" w:hAnsi="楷体" w:eastAsia="楷体" w:cs="仿宋"/>
          <w:color w:val="auto"/>
          <w:szCs w:val="24"/>
          <w:highlight w:val="none"/>
        </w:rPr>
        <w:t>.1按照关于印发《政府采购竞争性磋商采购方式管理暂行办法》的通知财库【2014】214号的规定，本次评审采用综合评分法，即在全部满足磋商文件实质性要求前提下，磋商小组应当根据综合评分情况，按照评审得分高低顺序推存一至三名成交候选供应商。</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3</w:t>
      </w:r>
      <w:r>
        <w:rPr>
          <w:rFonts w:hint="eastAsia" w:ascii="楷体" w:hAnsi="楷体" w:eastAsia="楷体" w:cs="仿宋"/>
          <w:b/>
          <w:color w:val="auto"/>
          <w:szCs w:val="24"/>
          <w:highlight w:val="none"/>
        </w:rPr>
        <w:t>．评审程序</w:t>
      </w:r>
    </w:p>
    <w:p>
      <w:pPr>
        <w:pStyle w:val="36"/>
        <w:spacing w:line="360" w:lineRule="auto"/>
        <w:ind w:left="0" w:leftChars="0" w:firstLine="496" w:firstLineChars="200"/>
        <w:rPr>
          <w:rFonts w:hint="eastAsia" w:ascii="楷体" w:hAnsi="楷体" w:eastAsia="楷体" w:cs="仿宋"/>
          <w:color w:val="auto"/>
          <w:sz w:val="24"/>
          <w:szCs w:val="24"/>
          <w:highlight w:val="none"/>
        </w:rPr>
      </w:pPr>
      <w:r>
        <w:rPr>
          <w:rFonts w:hint="eastAsia" w:ascii="楷体" w:hAnsi="楷体" w:eastAsia="楷体" w:cs="仿宋"/>
          <w:color w:val="auto"/>
          <w:sz w:val="24"/>
          <w:szCs w:val="24"/>
          <w:highlight w:val="none"/>
        </w:rPr>
        <w:t>2</w:t>
      </w:r>
      <w:r>
        <w:rPr>
          <w:rFonts w:hint="eastAsia" w:ascii="楷体" w:hAnsi="楷体" w:eastAsia="楷体" w:cs="仿宋"/>
          <w:color w:val="auto"/>
          <w:sz w:val="24"/>
          <w:szCs w:val="24"/>
          <w:highlight w:val="none"/>
          <w:lang w:val="en-US" w:eastAsia="zh-CN"/>
        </w:rPr>
        <w:t>3</w:t>
      </w:r>
      <w:r>
        <w:rPr>
          <w:rFonts w:hint="eastAsia" w:ascii="楷体" w:hAnsi="楷体" w:eastAsia="楷体" w:cs="仿宋"/>
          <w:color w:val="auto"/>
          <w:sz w:val="24"/>
          <w:szCs w:val="24"/>
          <w:highlight w:val="none"/>
        </w:rPr>
        <w:t>.1按照初审（含资格性审查和符合性审查）、澄清有关问题、分别磋商、二次报价、详细评审、推荐成交候选人名单的工作程序进行评审、在上一步评审中供应商被按无效磋商处理的或被被废标的供应商认定为无效磋商者，不进入下一步的评审。</w:t>
      </w:r>
    </w:p>
    <w:p>
      <w:pPr>
        <w:keepNext/>
        <w:keepLines/>
        <w:spacing w:line="360" w:lineRule="auto"/>
        <w:jc w:val="center"/>
        <w:rPr>
          <w:rFonts w:hint="eastAsia" w:ascii="楷体" w:hAnsi="楷体" w:eastAsia="楷体" w:cs="仿宋"/>
          <w:b/>
          <w:color w:val="auto"/>
          <w:sz w:val="32"/>
          <w:szCs w:val="32"/>
          <w:highlight w:val="none"/>
        </w:rPr>
      </w:pPr>
      <w:r>
        <w:rPr>
          <w:rFonts w:hint="eastAsia" w:ascii="楷体" w:hAnsi="楷体" w:eastAsia="楷体" w:cs="仿宋"/>
          <w:b/>
          <w:color w:val="auto"/>
          <w:sz w:val="32"/>
          <w:szCs w:val="32"/>
          <w:highlight w:val="none"/>
        </w:rPr>
        <w:t>六.成交、通知与签约</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4</w:t>
      </w:r>
      <w:r>
        <w:rPr>
          <w:rFonts w:hint="eastAsia" w:ascii="楷体" w:hAnsi="楷体" w:eastAsia="楷体" w:cs="仿宋"/>
          <w:b/>
          <w:color w:val="auto"/>
          <w:szCs w:val="24"/>
          <w:highlight w:val="none"/>
        </w:rPr>
        <w:t>．成交程序</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.1磋商小组根据评审方法的规定对供应商进行评审排序，推荐3名成交候选人，作为评审结果。评审结果由磋商小组全体成员签字确认。</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.2采购人根据评标报告中推荐的成交候选人排列顺序，确定排名第一的为成交供应商。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3确定的成交候选人放弃成交、在规定期限内未能签订合同、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供应商，也可以重新组织磋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.4采购人也可以授权磋商小组评审后直接确定成交人。</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.5成交供应商确定之后，成交公告将在财政部门指定的政府采购信息发布媒体上公告。</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6</w:t>
      </w:r>
      <w:r>
        <w:rPr>
          <w:rFonts w:hint="eastAsia" w:ascii="楷体" w:hAnsi="楷体" w:eastAsia="楷体" w:cs="仿宋"/>
          <w:color w:val="auto"/>
          <w:szCs w:val="24"/>
          <w:highlight w:val="none"/>
        </w:rPr>
        <w:t>供应商或者其他利害关系人对评审结果有异议的，应当在公示期间提出。</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5</w:t>
      </w:r>
      <w:r>
        <w:rPr>
          <w:rFonts w:hint="eastAsia" w:ascii="楷体" w:hAnsi="楷体" w:eastAsia="楷体" w:cs="仿宋"/>
          <w:b/>
          <w:color w:val="auto"/>
          <w:szCs w:val="24"/>
          <w:highlight w:val="none"/>
        </w:rPr>
        <w:t>．成交与落标通知</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5</w:t>
      </w:r>
      <w:r>
        <w:rPr>
          <w:rFonts w:hint="eastAsia" w:ascii="楷体" w:hAnsi="楷体" w:eastAsia="楷体" w:cs="仿宋"/>
          <w:color w:val="auto"/>
          <w:szCs w:val="24"/>
          <w:highlight w:val="none"/>
        </w:rPr>
        <w:t xml:space="preserve">.1 招标代理机构向成交供应商发出《成交通知书》。 </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5</w:t>
      </w:r>
      <w:r>
        <w:rPr>
          <w:rFonts w:hint="eastAsia" w:ascii="楷体" w:hAnsi="楷体" w:eastAsia="楷体" w:cs="仿宋"/>
          <w:color w:val="auto"/>
          <w:szCs w:val="24"/>
          <w:highlight w:val="none"/>
        </w:rPr>
        <w:t>.2成交通知书对采购人和向成交供应商具有同等法律效力。成交通知书发出之后，采购人改变成交结果，或者向成交供应商放弃成交，应当承担相应的法律责任。</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6</w:t>
      </w:r>
      <w:r>
        <w:rPr>
          <w:rFonts w:hint="eastAsia" w:ascii="楷体" w:hAnsi="楷体" w:eastAsia="楷体" w:cs="仿宋"/>
          <w:b/>
          <w:color w:val="auto"/>
          <w:szCs w:val="24"/>
          <w:highlight w:val="none"/>
        </w:rPr>
        <w:t>. 成交合同的签订</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6</w:t>
      </w:r>
      <w:r>
        <w:rPr>
          <w:rFonts w:hint="eastAsia" w:ascii="楷体" w:hAnsi="楷体" w:eastAsia="楷体" w:cs="仿宋"/>
          <w:color w:val="auto"/>
          <w:szCs w:val="24"/>
          <w:highlight w:val="none"/>
        </w:rPr>
        <w:t>.1采购人应当自成交通知书发出之日起</w:t>
      </w:r>
      <w:r>
        <w:rPr>
          <w:rFonts w:hint="eastAsia" w:ascii="楷体" w:hAnsi="楷体" w:eastAsia="楷体" w:cs="仿宋"/>
          <w:color w:val="auto"/>
          <w:szCs w:val="24"/>
          <w:highlight w:val="none"/>
          <w:lang w:val="en-US" w:eastAsia="zh-CN"/>
        </w:rPr>
        <w:t>10个工作日</w:t>
      </w:r>
      <w:r>
        <w:rPr>
          <w:rFonts w:hint="eastAsia" w:ascii="楷体" w:hAnsi="楷体" w:eastAsia="楷体" w:cs="仿宋"/>
          <w:color w:val="auto"/>
          <w:szCs w:val="24"/>
          <w:highlight w:val="none"/>
        </w:rPr>
        <w:t>内，按照磋商文件和成交供应商的磋商响应文件（包括评审中形成的澄清文件）的约定，与成交供应商签订书面合同。所签订的合同不得对磋商文件和成交供应商的磋商响应文件（包括评审中形成的澄清文件）作实质性修改。</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6</w:t>
      </w:r>
      <w:r>
        <w:rPr>
          <w:rFonts w:hint="eastAsia" w:ascii="楷体" w:hAnsi="楷体" w:eastAsia="楷体" w:cs="仿宋"/>
          <w:color w:val="auto"/>
          <w:szCs w:val="24"/>
          <w:highlight w:val="none"/>
        </w:rPr>
        <w:t>.2</w:t>
      </w:r>
      <w:r>
        <w:rPr>
          <w:rFonts w:hint="eastAsia" w:ascii="楷体" w:hAnsi="楷体" w:eastAsia="楷体" w:cs="楷体"/>
          <w:color w:val="auto"/>
          <w:szCs w:val="24"/>
          <w:highlight w:val="none"/>
        </w:rPr>
        <w:t>采购人自政府采购合同签订之日起2个工作日内，将政府采购合同在省级以上人民政府财政部门指定的媒体上公告，但政府采购合同中涉及国家秘密、商业秘密的内容除外。</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7</w:t>
      </w:r>
      <w:r>
        <w:rPr>
          <w:rFonts w:hint="eastAsia" w:ascii="楷体" w:hAnsi="楷体" w:eastAsia="楷体" w:cs="仿宋"/>
          <w:b/>
          <w:color w:val="auto"/>
          <w:szCs w:val="24"/>
          <w:highlight w:val="none"/>
        </w:rPr>
        <w:t>．</w:t>
      </w:r>
      <w:r>
        <w:rPr>
          <w:rFonts w:hint="eastAsia" w:ascii="楷体" w:hAnsi="楷体" w:eastAsia="楷体"/>
          <w:b/>
          <w:color w:val="auto"/>
          <w:szCs w:val="24"/>
          <w:highlight w:val="none"/>
        </w:rPr>
        <w:t>招标</w:t>
      </w:r>
      <w:r>
        <w:rPr>
          <w:rFonts w:hint="eastAsia" w:ascii="楷体" w:hAnsi="楷体" w:eastAsia="楷体" w:cs="仿宋"/>
          <w:b/>
          <w:color w:val="auto"/>
          <w:szCs w:val="24"/>
          <w:highlight w:val="none"/>
        </w:rPr>
        <w:t>代理服务费</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7</w:t>
      </w:r>
      <w:r>
        <w:rPr>
          <w:rFonts w:hint="eastAsia" w:ascii="楷体" w:hAnsi="楷体" w:eastAsia="楷体" w:cs="仿宋"/>
          <w:color w:val="auto"/>
          <w:szCs w:val="24"/>
          <w:highlight w:val="none"/>
        </w:rPr>
        <w:t>.1</w:t>
      </w:r>
      <w:r>
        <w:rPr>
          <w:rFonts w:hint="eastAsia" w:ascii="楷体" w:hAnsi="楷体" w:eastAsia="楷体" w:cs="楷体"/>
          <w:color w:val="auto"/>
          <w:szCs w:val="24"/>
          <w:highlight w:val="none"/>
        </w:rPr>
        <w:t>招标代理服务费的计算方法：中标服务费依据《汉阴县财政局关于印发&lt;汉阴县 工程造价咨询等服务类收费项目评审最高限价及简化政府采购程序&gt;的通知》（汉财字〔2018〕99号）文件规定收费标准收取，不足10000元的按10000元收取。</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w:t>
      </w:r>
      <w:r>
        <w:rPr>
          <w:rFonts w:hint="eastAsia" w:ascii="楷体" w:hAnsi="楷体" w:eastAsia="楷体" w:cs="楷体"/>
          <w:color w:val="auto"/>
          <w:szCs w:val="24"/>
          <w:highlight w:val="none"/>
          <w:lang w:val="en-US" w:eastAsia="zh-CN"/>
        </w:rPr>
        <w:t>7</w:t>
      </w:r>
      <w:r>
        <w:rPr>
          <w:rFonts w:hint="eastAsia" w:ascii="楷体" w:hAnsi="楷体" w:eastAsia="楷体" w:cs="楷体"/>
          <w:color w:val="auto"/>
          <w:szCs w:val="24"/>
          <w:highlight w:val="none"/>
        </w:rPr>
        <w:t>.2招标代理服务费由成交供应商支付，在领取《成交通知书》前，由成交供应商一次性支付给陕西正翼招标代理有限公司。</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w:t>
      </w:r>
      <w:r>
        <w:rPr>
          <w:rFonts w:hint="eastAsia" w:ascii="楷体" w:hAnsi="楷体" w:eastAsia="楷体" w:cs="楷体"/>
          <w:color w:val="auto"/>
          <w:szCs w:val="24"/>
          <w:highlight w:val="none"/>
          <w:lang w:val="en-US" w:eastAsia="zh-CN"/>
        </w:rPr>
        <w:t>7</w:t>
      </w:r>
      <w:r>
        <w:rPr>
          <w:rFonts w:hint="eastAsia" w:ascii="楷体" w:hAnsi="楷体" w:eastAsia="楷体" w:cs="楷体"/>
          <w:color w:val="auto"/>
          <w:szCs w:val="24"/>
          <w:highlight w:val="none"/>
        </w:rPr>
        <w:t>.3招标代理服务费缴纳账户：</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开户名称：陕西正翼招标代理有限公司西安分公司</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szCs w:val="24"/>
          <w:highlight w:val="none"/>
        </w:rPr>
        <w:t>开户银行：中国光大银行股份有限公司西安经济技术开发区支行</w:t>
      </w:r>
    </w:p>
    <w:p>
      <w:pPr>
        <w:spacing w:line="360" w:lineRule="auto"/>
        <w:ind w:firstLine="480" w:firstLineChars="200"/>
        <w:rPr>
          <w:rFonts w:hint="eastAsia" w:ascii="楷体" w:hAnsi="楷体" w:eastAsia="楷体" w:cs="楷体"/>
          <w:szCs w:val="24"/>
          <w:highlight w:val="none"/>
        </w:rPr>
      </w:pPr>
      <w:r>
        <w:rPr>
          <w:rFonts w:hint="eastAsia" w:ascii="楷体" w:hAnsi="楷体" w:eastAsia="楷体" w:cs="楷体"/>
          <w:highlight w:val="none"/>
        </w:rPr>
        <w:t>账  号：78680188000360910</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val="en-US" w:eastAsia="zh-CN"/>
        </w:rPr>
        <w:t>28.</w:t>
      </w:r>
      <w:r>
        <w:rPr>
          <w:rFonts w:hint="eastAsia" w:ascii="楷体" w:hAnsi="楷体" w:eastAsia="楷体" w:cs="仿宋"/>
          <w:b/>
          <w:color w:val="auto"/>
          <w:szCs w:val="24"/>
          <w:highlight w:val="none"/>
        </w:rPr>
        <w:t>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☑不要求提供</w:t>
      </w:r>
    </w:p>
    <w:p>
      <w:pPr>
        <w:pStyle w:val="20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仿宋"/>
          <w:b/>
          <w:color w:val="auto"/>
          <w:szCs w:val="24"/>
          <w:highlight w:val="none"/>
        </w:rPr>
      </w:pPr>
      <w:r>
        <w:rPr>
          <w:rFonts w:hint="eastAsia" w:ascii="楷体" w:hAnsi="楷体" w:eastAsia="楷体" w:cs="仿宋"/>
          <w:color w:val="auto"/>
          <w:szCs w:val="24"/>
          <w:highlight w:val="none"/>
          <w:lang w:val="en-US" w:eastAsia="zh-CN"/>
        </w:rPr>
        <w:t>□要求提供，金额为本采购项目履约保证金为合同金额的5%，提交方式为：</w:t>
      </w:r>
      <w:r>
        <w:rPr>
          <w:rFonts w:hint="eastAsia" w:ascii="楷体" w:hAnsi="楷体" w:eastAsia="楷体" w:cs="仿宋"/>
          <w:color w:val="auto"/>
          <w:szCs w:val="24"/>
          <w:highlight w:val="none"/>
        </w:rPr>
        <w:t>转账、电汇、担保机构保函</w:t>
      </w:r>
      <w:r>
        <w:rPr>
          <w:rFonts w:hint="eastAsia" w:ascii="楷体" w:hAnsi="楷体" w:eastAsia="楷体" w:cs="仿宋"/>
          <w:color w:val="auto"/>
          <w:szCs w:val="24"/>
          <w:highlight w:val="none"/>
          <w:lang w:eastAsia="zh-CN"/>
        </w:rPr>
        <w:t>。</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val="en-US" w:eastAsia="zh-CN"/>
        </w:rPr>
        <w:t>29</w:t>
      </w:r>
      <w:r>
        <w:rPr>
          <w:rFonts w:hint="eastAsia" w:ascii="楷体" w:hAnsi="楷体" w:eastAsia="楷体" w:cs="仿宋"/>
          <w:b/>
          <w:color w:val="auto"/>
          <w:szCs w:val="24"/>
          <w:highlight w:val="none"/>
        </w:rPr>
        <w:t>.其他</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29</w:t>
      </w:r>
      <w:r>
        <w:rPr>
          <w:rFonts w:hint="eastAsia" w:ascii="楷体" w:hAnsi="楷体" w:eastAsia="楷体" w:cs="仿宋"/>
          <w:color w:val="auto"/>
          <w:szCs w:val="24"/>
          <w:highlight w:val="none"/>
        </w:rPr>
        <w:t>.1磋商步骤为：第一次报价（磋商响应文件的报价）---分别磋商---第二次报价---综合评审推荐成交候选人。</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29</w:t>
      </w:r>
      <w:r>
        <w:rPr>
          <w:rFonts w:hint="eastAsia" w:ascii="楷体" w:hAnsi="楷体" w:eastAsia="楷体" w:cs="仿宋"/>
          <w:color w:val="auto"/>
          <w:szCs w:val="24"/>
          <w:highlight w:val="none"/>
        </w:rPr>
        <w:t>.2、经过公开发布磋商信息后，有效磋商供应商不足三家时，由磋商小组集体研究并报监督管理机关同意，采用相应方式完成采购。</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29</w:t>
      </w:r>
      <w:r>
        <w:rPr>
          <w:rFonts w:hint="eastAsia" w:ascii="楷体" w:hAnsi="楷体" w:eastAsia="楷体" w:cs="仿宋"/>
          <w:color w:val="auto"/>
          <w:szCs w:val="24"/>
          <w:highlight w:val="none"/>
        </w:rPr>
        <w:t>.3、当第二次报价全部超过财政预算限额或均低于公认的制作成本时，磋商小组有权决定是否磋商失败或进行第三次报价。当第三次报价若超出财政预算，且采购人又无力支付，磋商小组有权决定磋商失败。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29</w:t>
      </w:r>
      <w:r>
        <w:rPr>
          <w:rFonts w:hint="eastAsia" w:ascii="楷体" w:hAnsi="楷体" w:eastAsia="楷体" w:cs="仿宋"/>
          <w:color w:val="auto"/>
          <w:szCs w:val="24"/>
          <w:highlight w:val="none"/>
        </w:rPr>
        <w:t>.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还应当对超过部分予以赔偿，并依法承担相应法律责任。</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lang w:val="en-US" w:eastAsia="zh-CN"/>
        </w:rPr>
        <w:t>30</w:t>
      </w:r>
      <w:r>
        <w:rPr>
          <w:rFonts w:hint="eastAsia" w:ascii="楷体" w:hAnsi="楷体" w:eastAsia="楷体" w:cs="楷体"/>
          <w:b/>
          <w:color w:val="auto"/>
          <w:szCs w:val="24"/>
          <w:highlight w:val="none"/>
        </w:rPr>
        <w:t>.质疑与质疑答复</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val="en-US" w:eastAsia="zh-CN"/>
        </w:rPr>
        <w:t>0</w:t>
      </w:r>
      <w:r>
        <w:rPr>
          <w:rFonts w:hint="eastAsia" w:ascii="楷体" w:hAnsi="楷体" w:eastAsia="楷体" w:cs="楷体"/>
          <w:color w:val="auto"/>
          <w:szCs w:val="24"/>
          <w:highlight w:val="none"/>
        </w:rPr>
        <w:t xml:space="preserve">.1供应商认为采购文件、采购过程、成交结果使自己的权益受到损害的，可以在知道或者应知其权益受到损害之日起七个工作日内，以书面形式向采购代理机构提出质疑（质疑函接收联系人、联系电话和通讯地址等详见磋商公告）。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val="en-US" w:eastAsia="zh-CN"/>
        </w:rPr>
        <w:t>0</w:t>
      </w:r>
      <w:r>
        <w:rPr>
          <w:rFonts w:hint="eastAsia" w:ascii="楷体" w:hAnsi="楷体" w:eastAsia="楷体" w:cs="楷体"/>
          <w:color w:val="auto"/>
          <w:szCs w:val="24"/>
          <w:highlight w:val="none"/>
        </w:rPr>
        <w:t>.2质疑函范本格式在中国政府采购网站（http://www.ccgp.gov.cn/）自行下载。</w:t>
      </w:r>
    </w:p>
    <w:p>
      <w:pPr>
        <w:spacing w:line="360" w:lineRule="auto"/>
        <w:ind w:firstLine="480" w:firstLineChars="200"/>
        <w:rPr>
          <w:rFonts w:ascii="楷体" w:hAnsi="楷体" w:eastAsia="楷体" w:cs="楷体"/>
          <w:color w:val="auto"/>
          <w:szCs w:val="24"/>
          <w:highlight w:val="none"/>
        </w:rPr>
      </w:pPr>
      <w:r>
        <w:rPr>
          <w:rFonts w:hint="eastAsia" w:ascii="楷体" w:hAnsi="楷体" w:eastAsia="楷体" w:cs="楷体"/>
          <w:color w:val="auto"/>
          <w:szCs w:val="24"/>
          <w:highlight w:val="none"/>
          <w:lang w:val="en-US" w:eastAsia="zh-CN"/>
        </w:rPr>
        <w:t>30.3</w:t>
      </w:r>
      <w:r>
        <w:rPr>
          <w:rFonts w:hint="eastAsia" w:ascii="楷体" w:hAnsi="楷体" w:eastAsia="楷体" w:cs="楷体"/>
          <w:color w:val="auto"/>
          <w:szCs w:val="24"/>
          <w:highlight w:val="none"/>
        </w:rPr>
        <w:t>供应商须在法定质疑期内一次性提出针对同一采购程序环节的质疑。</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val="en-US" w:eastAsia="zh-CN"/>
        </w:rPr>
        <w:t>0</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4</w:t>
      </w:r>
      <w:r>
        <w:rPr>
          <w:rFonts w:hint="eastAsia" w:ascii="楷体" w:hAnsi="楷体" w:eastAsia="楷体" w:cs="楷体"/>
          <w:color w:val="auto"/>
          <w:szCs w:val="24"/>
          <w:highlight w:val="none"/>
        </w:rPr>
        <w:t>法定代表人提交质疑的，须出具法定代表人资格证明书；委托代理人提交质疑的，必须出具授权委托书，授权委托书应当载明代理人的姓名或者名称、代理事项、具体权限、期限和相关事项，由法定代表人签字或者盖章，并加盖单位公章。</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质疑函应当包括下列内容：</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zh-CN"/>
        </w:rPr>
        <w:t>供应商</w:t>
      </w:r>
      <w:r>
        <w:rPr>
          <w:rFonts w:hint="eastAsia" w:ascii="楷体" w:hAnsi="楷体" w:eastAsia="楷体" w:cs="楷体"/>
          <w:color w:val="auto"/>
          <w:szCs w:val="24"/>
          <w:highlight w:val="none"/>
        </w:rPr>
        <w:t>的姓名或者名称、地址、邮编、联系人及联系电话；</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2、质疑项目的名称、编号；</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3、具体、明确的质疑事项和与质疑事项相关的请求；</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4、事实依据；</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5、必要的法律依据；</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6、提出质疑的日期。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备注：</w:t>
      </w:r>
      <w:r>
        <w:rPr>
          <w:rFonts w:hint="eastAsia" w:ascii="楷体" w:hAnsi="楷体" w:eastAsia="楷体" w:cs="楷体"/>
          <w:color w:val="auto"/>
          <w:szCs w:val="24"/>
          <w:highlight w:val="none"/>
          <w:lang w:val="zh-CN"/>
        </w:rPr>
        <w:t>供应商为自然人的，应当由本人签字；供应商为法人或者其他组织的，应当由法定代表人、主要负责人，或者其授权代表签字或者盖章，并加盖公章。</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val="en-US" w:eastAsia="zh-CN"/>
        </w:rPr>
        <w:t>0</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质疑有以下情形之一的，采购代理机构不予受理：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1、未按规定程序和渠道提出质疑的；</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2、超过法定质疑期限的；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3、书面质疑的形式和内容不符合上述要求的；</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4、提出的质疑事项已经明确答复的；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5、法律法规规定的其他不予受理的条件。</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val="en-US" w:eastAsia="zh-CN"/>
        </w:rPr>
        <w:t>0</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6</w:t>
      </w:r>
      <w:r>
        <w:rPr>
          <w:rFonts w:hint="eastAsia" w:ascii="楷体" w:hAnsi="楷体" w:eastAsia="楷体" w:cs="楷体"/>
          <w:color w:val="auto"/>
          <w:szCs w:val="24"/>
          <w:highlight w:val="none"/>
        </w:rPr>
        <w:t>质疑答复</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采购人或招标代理机构在收到供应商的书面质疑后将按规定的时间进行回复。</w:t>
      </w:r>
    </w:p>
    <w:p>
      <w:pPr>
        <w:spacing w:line="360" w:lineRule="auto"/>
        <w:ind w:firstLine="480" w:firstLineChars="200"/>
        <w:rPr>
          <w:rFonts w:hint="eastAsia" w:ascii="楷体" w:hAnsi="楷体" w:eastAsia="楷体" w:cs="楷体"/>
          <w:b w:val="0"/>
          <w:color w:val="auto"/>
          <w:kern w:val="0"/>
          <w:sz w:val="24"/>
          <w:szCs w:val="24"/>
          <w:highlight w:val="none"/>
          <w:lang w:val="zh-CN" w:eastAsia="zh-CN" w:bidi="ar-SA"/>
        </w:rPr>
      </w:pPr>
      <w:r>
        <w:rPr>
          <w:rFonts w:hint="eastAsia" w:ascii="楷体" w:hAnsi="楷体" w:eastAsia="楷体" w:cs="楷体"/>
          <w:color w:val="auto"/>
          <w:szCs w:val="24"/>
          <w:highlight w:val="none"/>
          <w:lang w:val="en-US" w:eastAsia="zh-CN"/>
        </w:rPr>
        <w:t>30.7</w:t>
      </w:r>
      <w:r>
        <w:rPr>
          <w:rFonts w:hint="eastAsia" w:ascii="楷体" w:hAnsi="楷体" w:eastAsia="楷体" w:cs="楷体"/>
          <w:color w:val="auto"/>
          <w:szCs w:val="24"/>
          <w:highlight w:val="none"/>
          <w:lang w:val="zh-CN" w:eastAsia="zh-CN"/>
        </w:rPr>
        <w:t>供应商进行虚假和恶意质疑的，采购代理机构将提供相关资料报监督机构，按其情况进行相应处理</w:t>
      </w:r>
      <w:r>
        <w:rPr>
          <w:rFonts w:hint="eastAsia" w:ascii="楷体" w:hAnsi="楷体" w:eastAsia="楷体" w:cs="楷体"/>
          <w:b w:val="0"/>
          <w:color w:val="auto"/>
          <w:kern w:val="0"/>
          <w:sz w:val="24"/>
          <w:szCs w:val="24"/>
          <w:highlight w:val="none"/>
          <w:lang w:val="zh-CN" w:eastAsia="zh-CN" w:bidi="ar-SA"/>
        </w:rPr>
        <w:t>。</w:t>
      </w:r>
    </w:p>
    <w:p>
      <w:pPr>
        <w:spacing w:line="360" w:lineRule="auto"/>
        <w:rPr>
          <w:rFonts w:hint="eastAsia" w:ascii="楷体" w:hAnsi="楷体" w:eastAsia="楷体" w:cs="楷体"/>
          <w:b/>
          <w:bCs/>
          <w:szCs w:val="24"/>
          <w:highlight w:val="none"/>
        </w:rPr>
      </w:pPr>
      <w:r>
        <w:rPr>
          <w:rFonts w:hint="eastAsia" w:ascii="楷体" w:hAnsi="楷体" w:eastAsia="楷体" w:cs="楷体"/>
          <w:b/>
          <w:bCs/>
          <w:szCs w:val="24"/>
          <w:highlight w:val="none"/>
          <w:lang w:val="en-US" w:eastAsia="zh-CN"/>
        </w:rPr>
        <w:t>31.</w:t>
      </w:r>
      <w:r>
        <w:rPr>
          <w:rFonts w:hint="eastAsia" w:ascii="楷体" w:hAnsi="楷体" w:eastAsia="楷体" w:cs="楷体"/>
          <w:b/>
          <w:bCs/>
          <w:szCs w:val="24"/>
          <w:highlight w:val="none"/>
        </w:rPr>
        <w:t>信用担保</w:t>
      </w:r>
    </w:p>
    <w:p>
      <w:pPr>
        <w:spacing w:line="360" w:lineRule="auto"/>
        <w:ind w:firstLine="480" w:firstLineChars="200"/>
        <w:rPr>
          <w:rFonts w:hint="eastAsia" w:ascii="楷体" w:hAnsi="楷体" w:eastAsia="楷体" w:cs="楷体"/>
          <w:szCs w:val="24"/>
          <w:highlight w:val="none"/>
          <w:lang w:val="zh-CN"/>
        </w:rPr>
      </w:pPr>
      <w:r>
        <w:rPr>
          <w:rFonts w:hint="eastAsia" w:ascii="楷体" w:hAnsi="楷体" w:eastAsia="楷体" w:cs="楷体"/>
          <w:szCs w:val="24"/>
          <w:highlight w:val="none"/>
          <w:lang w:val="zh-CN"/>
        </w:rPr>
        <w:t>3</w:t>
      </w:r>
      <w:r>
        <w:rPr>
          <w:rFonts w:hint="eastAsia" w:ascii="楷体" w:hAnsi="楷体" w:eastAsia="楷体" w:cs="楷体"/>
          <w:szCs w:val="24"/>
          <w:highlight w:val="none"/>
          <w:lang w:val="en-US" w:eastAsia="zh-CN"/>
        </w:rPr>
        <w:t>1</w:t>
      </w:r>
      <w:r>
        <w:rPr>
          <w:rFonts w:hint="eastAsia" w:ascii="楷体" w:hAnsi="楷体" w:eastAsia="楷体" w:cs="楷体"/>
          <w:szCs w:val="24"/>
          <w:highlight w:val="none"/>
        </w:rPr>
        <w:t>.</w:t>
      </w:r>
      <w:r>
        <w:rPr>
          <w:rFonts w:hint="eastAsia" w:ascii="楷体" w:hAnsi="楷体" w:eastAsia="楷体" w:cs="楷体"/>
          <w:szCs w:val="24"/>
          <w:highlight w:val="none"/>
          <w:lang w:val="zh-CN"/>
        </w:rPr>
        <w:t>1</w:t>
      </w:r>
      <w:r>
        <w:rPr>
          <w:rFonts w:hint="eastAsia" w:ascii="楷体" w:hAnsi="楷体" w:eastAsia="楷体" w:cs="楷体"/>
          <w:szCs w:val="24"/>
          <w:highlight w:val="none"/>
        </w:rPr>
        <w:t>陕西省</w:t>
      </w:r>
      <w:r>
        <w:rPr>
          <w:rFonts w:hint="eastAsia" w:ascii="楷体" w:hAnsi="楷体" w:eastAsia="楷体" w:cs="楷体"/>
          <w:szCs w:val="24"/>
          <w:highlight w:val="none"/>
          <w:lang w:val="zh-CN"/>
        </w:rPr>
        <w:t>政府采购信用担保及信用融资政策</w:t>
      </w:r>
    </w:p>
    <w:p>
      <w:pPr>
        <w:spacing w:line="360" w:lineRule="auto"/>
        <w:ind w:firstLine="480" w:firstLineChars="200"/>
        <w:rPr>
          <w:rFonts w:hint="eastAsia" w:ascii="楷体" w:hAnsi="楷体" w:eastAsia="楷体" w:cs="楷体"/>
          <w:szCs w:val="24"/>
          <w:highlight w:val="none"/>
          <w:lang w:val="zh-CN"/>
        </w:rPr>
      </w:pPr>
      <w:r>
        <w:rPr>
          <w:rFonts w:hint="eastAsia" w:ascii="楷体" w:hAnsi="楷体" w:eastAsia="楷体" w:cs="楷体"/>
          <w:szCs w:val="24"/>
          <w:highlight w:val="none"/>
          <w:lang w:val="zh-CN"/>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spacing w:line="360" w:lineRule="auto"/>
        <w:ind w:firstLine="480" w:firstLineChars="200"/>
        <w:rPr>
          <w:rFonts w:hint="eastAsia" w:ascii="楷体" w:hAnsi="楷体" w:eastAsia="楷体" w:cs="仿宋"/>
          <w:b/>
          <w:bCs/>
          <w:color w:val="auto"/>
          <w:sz w:val="32"/>
          <w:szCs w:val="32"/>
          <w:highlight w:val="none"/>
          <w:lang w:val="en-US" w:eastAsia="zh-CN" w:bidi="ar-SA"/>
        </w:rPr>
      </w:pPr>
      <w:r>
        <w:rPr>
          <w:rFonts w:hint="eastAsia" w:ascii="楷体" w:hAnsi="楷体" w:eastAsia="楷体" w:cs="楷体"/>
          <w:b w:val="0"/>
          <w:color w:val="auto"/>
          <w:kern w:val="0"/>
          <w:sz w:val="24"/>
          <w:szCs w:val="24"/>
          <w:highlight w:val="none"/>
          <w:lang w:val="en-US" w:eastAsia="zh-CN" w:bidi="ar-SA"/>
        </w:rPr>
        <w:br w:type="page"/>
      </w:r>
      <w:bookmarkStart w:id="34" w:name="_Toc31882572"/>
    </w:p>
    <w:p>
      <w:pPr>
        <w:spacing w:line="360" w:lineRule="auto"/>
        <w:jc w:val="center"/>
        <w:rPr>
          <w:rFonts w:hint="eastAsia" w:ascii="楷体" w:hAnsi="楷体" w:cs="仿宋"/>
          <w:bCs/>
          <w:color w:val="auto"/>
          <w:szCs w:val="36"/>
          <w:highlight w:val="none"/>
        </w:rPr>
      </w:pPr>
      <w:r>
        <w:rPr>
          <w:rFonts w:hint="eastAsia" w:ascii="楷体" w:hAnsi="楷体" w:eastAsia="楷体" w:cs="仿宋"/>
          <w:b/>
          <w:bCs/>
          <w:color w:val="auto"/>
          <w:sz w:val="32"/>
          <w:szCs w:val="32"/>
          <w:highlight w:val="none"/>
          <w:lang w:val="en-US" w:eastAsia="zh-CN" w:bidi="ar-SA"/>
        </w:rPr>
        <w:t>第三章 合同条款及格式</w:t>
      </w:r>
      <w:bookmarkEnd w:id="22"/>
      <w:bookmarkEnd w:id="23"/>
      <w:bookmarkEnd w:id="34"/>
    </w:p>
    <w:p>
      <w:pPr>
        <w:pStyle w:val="5"/>
        <w:spacing w:before="0" w:after="0" w:line="480" w:lineRule="auto"/>
        <w:ind w:left="0"/>
        <w:jc w:val="center"/>
        <w:rPr>
          <w:rFonts w:hint="eastAsia" w:ascii="楷体" w:hAnsi="楷体" w:eastAsia="楷体" w:cs="仿宋"/>
          <w:color w:val="auto"/>
          <w:sz w:val="32"/>
          <w:highlight w:val="none"/>
        </w:rPr>
      </w:pPr>
      <w:bookmarkStart w:id="35" w:name="_Toc5421"/>
      <w:r>
        <w:rPr>
          <w:rFonts w:hint="eastAsia" w:ascii="楷体" w:hAnsi="楷体" w:eastAsia="楷体" w:cs="仿宋"/>
          <w:color w:val="auto"/>
          <w:sz w:val="32"/>
          <w:highlight w:val="none"/>
        </w:rPr>
        <w:t>合同条款及格式前附表</w:t>
      </w:r>
      <w:bookmarkEnd w:id="35"/>
    </w:p>
    <w:p>
      <w:pPr>
        <w:spacing w:line="480" w:lineRule="auto"/>
        <w:ind w:firstLine="480" w:firstLineChars="200"/>
        <w:rPr>
          <w:rFonts w:hint="eastAsia" w:ascii="楷体" w:hAnsi="楷体" w:eastAsia="楷体" w:cs="仿宋"/>
          <w:bCs/>
          <w:color w:val="auto"/>
          <w:sz w:val="36"/>
          <w:szCs w:val="36"/>
          <w:highlight w:val="none"/>
        </w:rPr>
      </w:pPr>
      <w:r>
        <w:rPr>
          <w:rFonts w:hint="eastAsia" w:ascii="楷体" w:hAnsi="楷体" w:eastAsia="楷体" w:cs="仿宋"/>
          <w:color w:val="auto"/>
          <w:szCs w:val="24"/>
          <w:highlight w:val="none"/>
        </w:rPr>
        <w:t>本表是对合同条款的具体补充和修改，如有矛盾，应以本资料表为准。</w:t>
      </w:r>
    </w:p>
    <w:tbl>
      <w:tblPr>
        <w:tblStyle w:val="46"/>
        <w:tblW w:w="8970"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67"/>
        <w:gridCol w:w="84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567" w:type="dxa"/>
            <w:vAlign w:val="center"/>
          </w:tcPr>
          <w:p>
            <w:pPr>
              <w:spacing w:line="360" w:lineRule="auto"/>
              <w:jc w:val="center"/>
              <w:rPr>
                <w:rFonts w:hint="eastAsia" w:ascii="楷体" w:hAnsi="楷体" w:eastAsia="楷体" w:cs="仿宋"/>
                <w:b/>
                <w:color w:val="auto"/>
                <w:szCs w:val="24"/>
                <w:highlight w:val="none"/>
              </w:rPr>
            </w:pPr>
            <w:bookmarkStart w:id="36" w:name="_Toc26595"/>
            <w:bookmarkStart w:id="37" w:name="_Toc4679"/>
            <w:bookmarkStart w:id="38" w:name="_Toc8333"/>
            <w:bookmarkStart w:id="39" w:name="_Toc31520"/>
            <w:bookmarkStart w:id="40" w:name="_Toc19246"/>
            <w:bookmarkStart w:id="41" w:name="_Toc389582037"/>
            <w:bookmarkStart w:id="42" w:name="_Toc19199"/>
            <w:bookmarkStart w:id="43" w:name="_Toc29888"/>
            <w:r>
              <w:rPr>
                <w:rFonts w:hint="eastAsia" w:ascii="楷体" w:hAnsi="楷体" w:eastAsia="楷体" w:cs="仿宋"/>
                <w:b/>
                <w:color w:val="auto"/>
                <w:szCs w:val="24"/>
                <w:highlight w:val="none"/>
              </w:rPr>
              <w:t>序号</w:t>
            </w:r>
          </w:p>
        </w:tc>
        <w:tc>
          <w:tcPr>
            <w:tcW w:w="8403" w:type="dxa"/>
            <w:vAlign w:val="center"/>
          </w:tcPr>
          <w:p>
            <w:pPr>
              <w:spacing w:line="360" w:lineRule="auto"/>
              <w:jc w:val="center"/>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p>
        </w:tc>
        <w:tc>
          <w:tcPr>
            <w:tcW w:w="8403" w:type="dxa"/>
            <w:vAlign w:val="center"/>
          </w:tcPr>
          <w:p>
            <w:pPr>
              <w:spacing w:line="360" w:lineRule="auto"/>
              <w:jc w:val="left"/>
              <w:rPr>
                <w:rFonts w:hint="eastAsia" w:ascii="楷体" w:hAnsi="楷体" w:eastAsia="楷体" w:cs="仿宋"/>
                <w:color w:val="auto"/>
                <w:szCs w:val="24"/>
                <w:highlight w:val="none"/>
                <w:lang w:eastAsia="zh-CN"/>
              </w:rPr>
            </w:pPr>
            <w:r>
              <w:rPr>
                <w:rFonts w:hint="eastAsia" w:ascii="楷体" w:hAnsi="楷体" w:eastAsia="楷体" w:cs="仿宋"/>
                <w:b/>
                <w:color w:val="auto"/>
                <w:szCs w:val="24"/>
                <w:highlight w:val="none"/>
              </w:rPr>
              <w:t>采购人：</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汉阴县教育体育和科技局（</w:t>
            </w:r>
            <w:r>
              <w:rPr>
                <w:rFonts w:hint="eastAsia" w:ascii="楷体" w:hAnsi="楷体" w:eastAsia="楷体" w:cs="楷体"/>
                <w:i w:val="0"/>
                <w:iCs w:val="0"/>
                <w:caps w:val="0"/>
                <w:color w:val="auto"/>
                <w:spacing w:val="0"/>
                <w:sz w:val="24"/>
                <w:szCs w:val="24"/>
                <w:highlight w:val="none"/>
                <w:shd w:val="clear" w:fill="FFFFFF"/>
                <w:vertAlign w:val="baseline"/>
                <w:lang w:eastAsia="zh-CN"/>
              </w:rPr>
              <w:t>汉阴县汉阴中学）</w:t>
            </w:r>
          </w:p>
          <w:p>
            <w:pPr>
              <w:spacing w:line="360" w:lineRule="auto"/>
              <w:rPr>
                <w:rFonts w:hint="eastAsia" w:ascii="楷体" w:hAnsi="楷体" w:eastAsia="楷体" w:cs="仿宋"/>
                <w:bCs/>
                <w:color w:val="auto"/>
                <w:szCs w:val="24"/>
                <w:highlight w:val="none"/>
              </w:rPr>
            </w:pPr>
            <w:r>
              <w:rPr>
                <w:rFonts w:hint="eastAsia" w:ascii="楷体" w:hAnsi="楷体" w:eastAsia="楷体" w:cs="仿宋"/>
                <w:b/>
                <w:color w:val="auto"/>
                <w:szCs w:val="24"/>
                <w:highlight w:val="none"/>
              </w:rPr>
              <w:t>地址：</w:t>
            </w:r>
            <w:r>
              <w:rPr>
                <w:rFonts w:hint="eastAsia" w:ascii="楷体" w:hAnsi="楷体" w:eastAsia="楷体" w:cs="楷体"/>
                <w:i w:val="0"/>
                <w:iCs w:val="0"/>
                <w:caps w:val="0"/>
                <w:color w:val="auto"/>
                <w:spacing w:val="0"/>
                <w:sz w:val="24"/>
                <w:szCs w:val="24"/>
                <w:shd w:val="clear" w:fill="FFFFFF"/>
                <w:vertAlign w:val="baseline"/>
              </w:rPr>
              <w:t>陕西安康</w:t>
            </w:r>
            <w:r>
              <w:rPr>
                <w:rFonts w:hint="eastAsia" w:ascii="楷体" w:hAnsi="楷体" w:eastAsia="楷体" w:cs="楷体"/>
                <w:i w:val="0"/>
                <w:iCs w:val="0"/>
                <w:caps w:val="0"/>
                <w:color w:val="auto"/>
                <w:spacing w:val="0"/>
                <w:sz w:val="24"/>
                <w:szCs w:val="24"/>
                <w:shd w:val="clear" w:fill="FFFFFF"/>
                <w:vertAlign w:val="baseline"/>
                <w:lang w:val="en-US" w:eastAsia="zh-CN"/>
              </w:rPr>
              <w:t>汉阴县</w:t>
            </w:r>
            <w:r>
              <w:rPr>
                <w:rFonts w:hint="eastAsia" w:ascii="楷体" w:hAnsi="楷体" w:eastAsia="楷体" w:cs="楷体"/>
                <w:i w:val="0"/>
                <w:iCs w:val="0"/>
                <w:caps w:val="0"/>
                <w:color w:val="auto"/>
                <w:spacing w:val="0"/>
                <w:sz w:val="24"/>
                <w:szCs w:val="24"/>
                <w:shd w:val="clear" w:fill="FFFFFF"/>
                <w:vertAlign w:val="baseline"/>
              </w:rPr>
              <w:t>城关镇民主街72号</w:t>
            </w:r>
          </w:p>
          <w:p>
            <w:pPr>
              <w:spacing w:line="360" w:lineRule="auto"/>
              <w:rPr>
                <w:rFonts w:hint="eastAsia" w:ascii="楷体" w:hAnsi="楷体" w:eastAsia="楷体" w:cs="仿宋"/>
                <w:color w:val="auto"/>
                <w:szCs w:val="24"/>
                <w:highlight w:val="none"/>
              </w:rPr>
            </w:pPr>
            <w:r>
              <w:rPr>
                <w:rFonts w:hint="eastAsia" w:ascii="楷体" w:hAnsi="楷体" w:eastAsia="楷体" w:cs="仿宋"/>
                <w:b/>
                <w:color w:val="auto"/>
                <w:szCs w:val="24"/>
                <w:highlight w:val="none"/>
              </w:rPr>
              <w:t>项目名称：</w:t>
            </w:r>
            <w:r>
              <w:rPr>
                <w:rFonts w:hint="eastAsia" w:ascii="楷体" w:hAnsi="楷体" w:eastAsia="楷体" w:cs="仿宋"/>
                <w:bCs/>
                <w:color w:val="auto"/>
                <w:szCs w:val="24"/>
                <w:highlight w:val="none"/>
                <w:lang w:eastAsia="zh-CN"/>
              </w:rPr>
              <w:t>汉阴县汉阴中学教学主楼智慧黑板采购项目</w:t>
            </w:r>
            <w:r>
              <w:rPr>
                <w:rFonts w:hint="eastAsia" w:ascii="楷体" w:hAnsi="楷体" w:eastAsia="楷体" w:cs="仿宋"/>
                <w:bCs/>
                <w:color w:val="auto"/>
                <w:szCs w:val="24"/>
                <w:highlight w:val="none"/>
              </w:rPr>
              <w:t xml:space="preserve"> </w:t>
            </w:r>
          </w:p>
          <w:p>
            <w:pPr>
              <w:spacing w:line="360" w:lineRule="auto"/>
              <w:rPr>
                <w:rFonts w:hint="eastAsia" w:ascii="楷体" w:hAnsi="楷体" w:eastAsia="楷体" w:cs="仿宋"/>
                <w:color w:val="auto"/>
                <w:szCs w:val="24"/>
                <w:highlight w:val="none"/>
                <w:lang w:eastAsia="zh-CN"/>
              </w:rPr>
            </w:pPr>
            <w:r>
              <w:rPr>
                <w:rFonts w:hint="eastAsia" w:ascii="楷体" w:hAnsi="楷体" w:eastAsia="楷体" w:cs="仿宋"/>
                <w:b/>
                <w:color w:val="auto"/>
                <w:szCs w:val="24"/>
                <w:highlight w:val="none"/>
              </w:rPr>
              <w:t>资金来源：</w:t>
            </w:r>
            <w:r>
              <w:rPr>
                <w:rFonts w:hint="eastAsia" w:ascii="楷体" w:hAnsi="楷体" w:eastAsia="楷体" w:cs="仿宋"/>
                <w:color w:val="auto"/>
                <w:szCs w:val="24"/>
                <w:highlight w:val="none"/>
                <w:lang w:val="en-US" w:eastAsia="zh-CN"/>
              </w:rPr>
              <w:t>自筹</w:t>
            </w:r>
            <w:r>
              <w:rPr>
                <w:rFonts w:hint="eastAsia" w:ascii="楷体" w:hAnsi="楷体" w:eastAsia="楷体" w:cs="仿宋"/>
                <w:color w:val="auto"/>
                <w:szCs w:val="24"/>
                <w:highlight w:val="none"/>
              </w:rPr>
              <w:t>资金</w:t>
            </w:r>
            <w:r>
              <w:rPr>
                <w:rFonts w:hint="eastAsia" w:ascii="楷体" w:hAnsi="楷体" w:eastAsia="楷体" w:cs="仿宋"/>
                <w:color w:val="auto"/>
                <w:szCs w:val="24"/>
                <w:highlight w:val="none"/>
                <w:lang w:eastAsia="zh-CN"/>
              </w:rPr>
              <w:t>，资金已落实到位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56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p>
        </w:tc>
        <w:tc>
          <w:tcPr>
            <w:tcW w:w="8403" w:type="dxa"/>
            <w:vAlign w:val="center"/>
          </w:tcPr>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项目实施地点：</w:t>
            </w:r>
            <w:r>
              <w:rPr>
                <w:rFonts w:hint="eastAsia" w:ascii="楷体" w:hAnsi="楷体" w:eastAsia="楷体" w:cs="仿宋"/>
                <w:b w:val="0"/>
                <w:bCs/>
                <w:color w:val="auto"/>
                <w:szCs w:val="24"/>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exact"/>
        </w:trPr>
        <w:tc>
          <w:tcPr>
            <w:tcW w:w="56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3</w:t>
            </w:r>
          </w:p>
        </w:tc>
        <w:tc>
          <w:tcPr>
            <w:tcW w:w="8403" w:type="dxa"/>
            <w:vAlign w:val="center"/>
          </w:tcPr>
          <w:p>
            <w:pPr>
              <w:spacing w:line="360" w:lineRule="auto"/>
              <w:rPr>
                <w:rFonts w:hint="eastAsia" w:ascii="楷体" w:hAnsi="楷体" w:eastAsia="楷体" w:cs="仿宋"/>
                <w:b w:val="0"/>
                <w:bCs/>
                <w:color w:val="auto"/>
                <w:szCs w:val="24"/>
                <w:highlight w:val="none"/>
                <w:lang w:eastAsia="zh-CN"/>
              </w:rPr>
            </w:pPr>
            <w:bookmarkStart w:id="44" w:name="OLE_LINK6"/>
            <w:bookmarkStart w:id="45" w:name="OLE_LINK5"/>
            <w:r>
              <w:rPr>
                <w:rFonts w:hint="eastAsia" w:ascii="楷体" w:hAnsi="楷体" w:eastAsia="楷体" w:cs="仿宋"/>
                <w:b/>
                <w:color w:val="auto"/>
                <w:szCs w:val="24"/>
                <w:highlight w:val="none"/>
              </w:rPr>
              <w:t>交货期：</w:t>
            </w:r>
            <w:bookmarkEnd w:id="44"/>
            <w:bookmarkEnd w:id="45"/>
            <w:r>
              <w:rPr>
                <w:rFonts w:hint="eastAsia" w:ascii="楷体" w:hAnsi="楷体" w:eastAsia="楷体" w:cs="仿宋"/>
                <w:b w:val="0"/>
                <w:bCs/>
                <w:color w:val="auto"/>
                <w:szCs w:val="24"/>
                <w:highlight w:val="none"/>
              </w:rPr>
              <w:t>合同签订之日起15个日历日</w:t>
            </w:r>
          </w:p>
          <w:p>
            <w:pPr>
              <w:spacing w:line="360" w:lineRule="auto"/>
              <w:rPr>
                <w:rFonts w:hint="eastAsia" w:ascii="楷体" w:hAnsi="楷体" w:eastAsia="楷体" w:cs="仿宋"/>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exact"/>
        </w:trPr>
        <w:tc>
          <w:tcPr>
            <w:tcW w:w="56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4</w:t>
            </w:r>
          </w:p>
        </w:tc>
        <w:tc>
          <w:tcPr>
            <w:tcW w:w="8403" w:type="dxa"/>
            <w:vAlign w:val="center"/>
          </w:tcPr>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质保期：</w:t>
            </w:r>
            <w:r>
              <w:rPr>
                <w:rFonts w:hint="eastAsia" w:ascii="楷体" w:hAnsi="楷体" w:eastAsia="楷体" w:cs="仿宋"/>
                <w:b w:val="0"/>
                <w:bCs/>
                <w:color w:val="auto"/>
                <w:szCs w:val="24"/>
                <w:highlight w:val="none"/>
              </w:rPr>
              <w:t>自验收合格之日起主要设备3年质保。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567" w:type="dxa"/>
            <w:vAlign w:val="center"/>
          </w:tcPr>
          <w:p>
            <w:pPr>
              <w:spacing w:line="360" w:lineRule="auto"/>
              <w:jc w:val="center"/>
              <w:rPr>
                <w:rFonts w:hint="eastAsia" w:ascii="楷体" w:hAnsi="楷体" w:eastAsia="楷体" w:cs="仿宋"/>
                <w:color w:val="auto"/>
                <w:szCs w:val="24"/>
                <w:highlight w:val="none"/>
                <w:shd w:val="clear" w:color="FFFFFF" w:fill="D9D9D9"/>
                <w:lang w:eastAsia="zh-CN"/>
              </w:rPr>
            </w:pPr>
            <w:r>
              <w:rPr>
                <w:rFonts w:hint="eastAsia" w:ascii="楷体" w:hAnsi="楷体" w:eastAsia="楷体" w:cs="仿宋"/>
                <w:color w:val="auto"/>
                <w:szCs w:val="24"/>
                <w:highlight w:val="none"/>
                <w:lang w:val="en-US" w:eastAsia="zh-CN"/>
              </w:rPr>
              <w:t>5</w:t>
            </w:r>
          </w:p>
        </w:tc>
        <w:tc>
          <w:tcPr>
            <w:tcW w:w="8403" w:type="dxa"/>
            <w:vAlign w:val="center"/>
          </w:tcPr>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付款：</w:t>
            </w:r>
          </w:p>
          <w:p>
            <w:pPr>
              <w:spacing w:line="360" w:lineRule="auto"/>
              <w:ind w:firstLine="480" w:firstLineChars="200"/>
              <w:rPr>
                <w:rFonts w:hint="eastAsia" w:ascii="楷体" w:hAnsi="楷体" w:eastAsia="楷体"/>
                <w:color w:val="auto"/>
                <w:szCs w:val="24"/>
                <w:highlight w:val="none"/>
              </w:rPr>
            </w:pPr>
            <w:r>
              <w:rPr>
                <w:rFonts w:hint="eastAsia" w:ascii="楷体" w:hAnsi="楷体" w:eastAsia="楷体"/>
                <w:color w:val="auto"/>
                <w:szCs w:val="24"/>
                <w:highlight w:val="none"/>
              </w:rPr>
              <w:t>1.合同总价即成交价，不受市场价变化或实际工作量变化的影响。</w:t>
            </w:r>
          </w:p>
          <w:p>
            <w:pPr>
              <w:spacing w:line="360" w:lineRule="auto"/>
              <w:ind w:firstLine="480" w:firstLineChars="200"/>
              <w:rPr>
                <w:rFonts w:hint="eastAsia" w:ascii="楷体" w:hAnsi="楷体" w:eastAsia="楷体"/>
                <w:color w:val="auto"/>
                <w:szCs w:val="24"/>
                <w:highlight w:val="none"/>
              </w:rPr>
            </w:pPr>
            <w:r>
              <w:rPr>
                <w:rFonts w:hint="eastAsia" w:ascii="楷体" w:hAnsi="楷体" w:eastAsia="楷体"/>
                <w:color w:val="auto"/>
                <w:szCs w:val="24"/>
                <w:highlight w:val="none"/>
              </w:rPr>
              <w:t>2.付款方式和程序：</w:t>
            </w:r>
          </w:p>
          <w:p>
            <w:pPr>
              <w:spacing w:line="360" w:lineRule="auto"/>
              <w:ind w:firstLine="480" w:firstLineChars="200"/>
              <w:rPr>
                <w:rFonts w:hint="eastAsia" w:ascii="楷体" w:hAnsi="楷体" w:eastAsia="楷体"/>
                <w:color w:val="auto"/>
                <w:szCs w:val="24"/>
                <w:highlight w:val="none"/>
              </w:rPr>
            </w:pPr>
            <w:r>
              <w:rPr>
                <w:rFonts w:hint="eastAsia" w:ascii="楷体" w:hAnsi="楷体" w:eastAsia="楷体"/>
                <w:color w:val="auto"/>
                <w:szCs w:val="24"/>
                <w:highlight w:val="none"/>
              </w:rPr>
              <w:t>2.1由</w:t>
            </w:r>
            <w:r>
              <w:rPr>
                <w:rFonts w:hint="eastAsia" w:ascii="楷体" w:hAnsi="楷体" w:eastAsia="楷体"/>
                <w:color w:val="auto"/>
                <w:szCs w:val="24"/>
                <w:highlight w:val="none"/>
                <w:lang w:eastAsia="zh-CN"/>
              </w:rPr>
              <w:t>汉阴县汉阴中学</w:t>
            </w:r>
            <w:r>
              <w:rPr>
                <w:rFonts w:hint="eastAsia" w:ascii="楷体" w:hAnsi="楷体" w:eastAsia="楷体"/>
                <w:color w:val="auto"/>
                <w:szCs w:val="24"/>
                <w:highlight w:val="none"/>
              </w:rPr>
              <w:t>负责结算，在付款前，供应商必须开具全额发票给</w:t>
            </w:r>
            <w:r>
              <w:rPr>
                <w:rFonts w:hint="eastAsia" w:ascii="楷体" w:hAnsi="楷体" w:eastAsia="楷体"/>
                <w:color w:val="auto"/>
                <w:szCs w:val="24"/>
                <w:highlight w:val="none"/>
                <w:lang w:eastAsia="zh-CN"/>
              </w:rPr>
              <w:t>汉阴县汉阴中学</w:t>
            </w:r>
            <w:r>
              <w:rPr>
                <w:rFonts w:hint="eastAsia" w:ascii="楷体" w:hAnsi="楷体" w:eastAsia="楷体"/>
                <w:color w:val="auto"/>
                <w:szCs w:val="24"/>
                <w:highlight w:val="none"/>
              </w:rPr>
              <w:t>（附详细清单）。</w:t>
            </w:r>
          </w:p>
          <w:p>
            <w:pPr>
              <w:spacing w:line="360" w:lineRule="auto"/>
              <w:rPr>
                <w:rFonts w:hint="eastAsia" w:ascii="楷体" w:hAnsi="楷体" w:eastAsia="楷体" w:cs="仿宋"/>
                <w:b/>
                <w:bCs/>
                <w:color w:val="auto"/>
                <w:szCs w:val="24"/>
                <w:highlight w:val="none"/>
              </w:rPr>
            </w:pPr>
            <w:r>
              <w:rPr>
                <w:rFonts w:hint="eastAsia" w:ascii="楷体" w:hAnsi="楷体" w:eastAsia="楷体"/>
                <w:b/>
                <w:bCs/>
                <w:color w:val="auto"/>
                <w:szCs w:val="24"/>
                <w:highlight w:val="none"/>
              </w:rPr>
              <w:t xml:space="preserve">    2.2</w:t>
            </w:r>
            <w:r>
              <w:rPr>
                <w:rFonts w:hint="eastAsia" w:ascii="楷体" w:hAnsi="楷体" w:eastAsia="楷体" w:cs="仿宋"/>
                <w:b/>
                <w:bCs/>
                <w:color w:val="auto"/>
                <w:szCs w:val="24"/>
                <w:highlight w:val="none"/>
              </w:rPr>
              <w:t xml:space="preserve">.2付款方式： </w:t>
            </w:r>
          </w:p>
          <w:p>
            <w:pPr>
              <w:spacing w:line="360" w:lineRule="auto"/>
              <w:ind w:firstLine="480" w:firstLineChars="200"/>
              <w:rPr>
                <w:rFonts w:hint="eastAsia" w:ascii="楷体" w:hAnsi="楷体" w:eastAsia="楷体" w:cs="仿宋"/>
                <w:b w:val="0"/>
                <w:bCs w:val="0"/>
                <w:color w:val="auto"/>
                <w:szCs w:val="24"/>
                <w:highlight w:val="none"/>
              </w:rPr>
            </w:pPr>
            <w:r>
              <w:rPr>
                <w:rFonts w:hint="eastAsia" w:ascii="楷体" w:hAnsi="楷体" w:eastAsia="楷体" w:cs="仿宋"/>
                <w:b w:val="0"/>
                <w:bCs w:val="0"/>
                <w:color w:val="auto"/>
                <w:szCs w:val="24"/>
                <w:highlight w:val="none"/>
              </w:rPr>
              <w:t>2.2.2.1所有设备达到甲方指定地点，安装、调试完毕正常并验收合格后，一周内支付合同总价款的97％</w:t>
            </w:r>
            <w:r>
              <w:rPr>
                <w:rFonts w:hint="eastAsia" w:ascii="楷体" w:hAnsi="楷体" w:eastAsia="楷体" w:cs="仿宋"/>
                <w:b w:val="0"/>
                <w:bCs w:val="0"/>
                <w:color w:val="auto"/>
                <w:szCs w:val="24"/>
                <w:highlight w:val="none"/>
                <w:lang w:eastAsia="zh-CN"/>
              </w:rPr>
              <w:t>，预留合同总价的3％，作为质量保证金。从验收合格之日起期满一年，如无质量等问题付清尾款。（以合同签订为准）</w:t>
            </w:r>
          </w:p>
          <w:p>
            <w:pPr>
              <w:spacing w:line="360" w:lineRule="auto"/>
              <w:ind w:firstLine="480" w:firstLineChars="200"/>
              <w:rPr>
                <w:rFonts w:hint="eastAsia" w:ascii="楷体" w:hAnsi="楷体" w:eastAsia="楷体" w:cs="仿宋"/>
                <w:color w:val="auto"/>
                <w:szCs w:val="24"/>
                <w:highlight w:val="none"/>
                <w:shd w:val="clear" w:color="FFFFFF" w:fill="D9D9D9"/>
              </w:rPr>
            </w:pPr>
            <w:r>
              <w:rPr>
                <w:rFonts w:hint="eastAsia" w:ascii="楷体" w:hAnsi="楷体" w:eastAsia="楷体" w:cs="仿宋"/>
                <w:color w:val="auto"/>
                <w:szCs w:val="24"/>
                <w:highlight w:val="none"/>
              </w:rPr>
              <w:t>2.3支付方式：银行转账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567"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lang w:val="en-US" w:eastAsia="zh-CN"/>
              </w:rPr>
              <w:t>6</w:t>
            </w:r>
          </w:p>
        </w:tc>
        <w:tc>
          <w:tcPr>
            <w:tcW w:w="8403" w:type="dxa"/>
            <w:vAlign w:val="center"/>
          </w:tcPr>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质量保证及培训：</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1.所供产品符合该行业生产、销售、使用等相关规定。</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供应商提供的产品及材料必须保证质量可靠，为市场最新或主流产品，进货渠道正常，配置合理齐全，应全面满足招标文件的要求，招标文件未明确要求的内容，供应商须按招标产品主流标准配置或以采购人的补充要求为准。所供产品工艺质量应严格按国家最新发布的规范标准执行，如发生质量问题由供应商承担全部责任。</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3.供应商应保证所有产品的完好无损包括配套包装，如有缺漏、损坏，由供应商负责调换、补齐或赔偿。</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4.甲方验收合格后，乙方免费为甲方使用人员培训，直到会用为止。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lang w:val="en-US" w:eastAsia="zh-CN"/>
              </w:rPr>
              <w:t>7</w:t>
            </w:r>
          </w:p>
        </w:tc>
        <w:tc>
          <w:tcPr>
            <w:tcW w:w="8403" w:type="dxa"/>
            <w:vAlign w:val="center"/>
          </w:tcPr>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运输、安装、调试要求：</w:t>
            </w:r>
          </w:p>
          <w:p>
            <w:pPr>
              <w:spacing w:line="360" w:lineRule="auto"/>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eastAsia="zh-CN"/>
              </w:rPr>
              <w:t>、</w:t>
            </w:r>
            <w:r>
              <w:rPr>
                <w:rFonts w:hint="eastAsia" w:ascii="楷体" w:hAnsi="楷体" w:eastAsia="楷体" w:cs="仿宋"/>
                <w:color w:val="auto"/>
                <w:szCs w:val="24"/>
                <w:highlight w:val="none"/>
              </w:rPr>
              <w:t xml:space="preserve"> 乙方根据产品特性，自行选择运输及包装方式，承担一切运输费用，包括从生产厂商到甲方指定交货地点所需的装卸、运输（含保险费）及其他一切费用。</w:t>
            </w:r>
          </w:p>
          <w:p>
            <w:pPr>
              <w:spacing w:line="360" w:lineRule="auto"/>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 xml:space="preserve"> 2</w:t>
            </w:r>
            <w:r>
              <w:rPr>
                <w:rFonts w:hint="eastAsia" w:ascii="楷体" w:hAnsi="楷体" w:eastAsia="楷体" w:cs="仿宋"/>
                <w:color w:val="auto"/>
                <w:szCs w:val="24"/>
                <w:highlight w:val="none"/>
                <w:lang w:eastAsia="zh-CN"/>
              </w:rPr>
              <w:t>、</w:t>
            </w:r>
            <w:r>
              <w:rPr>
                <w:rFonts w:hint="eastAsia" w:ascii="楷体" w:hAnsi="楷体" w:eastAsia="楷体" w:cs="仿宋"/>
                <w:color w:val="auto"/>
                <w:szCs w:val="24"/>
                <w:highlight w:val="none"/>
              </w:rPr>
              <w:t>原有多媒体设备由乙方全权拆卸并搬运到甲方指定地点（校内），由此产生的费用由乙方负责。</w:t>
            </w:r>
          </w:p>
          <w:p>
            <w:pPr>
              <w:spacing w:line="360" w:lineRule="auto"/>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3</w:t>
            </w:r>
            <w:r>
              <w:rPr>
                <w:rFonts w:hint="eastAsia" w:ascii="楷体" w:hAnsi="楷体" w:eastAsia="楷体" w:cs="仿宋"/>
                <w:color w:val="auto"/>
                <w:szCs w:val="24"/>
                <w:highlight w:val="none"/>
                <w:lang w:eastAsia="zh-CN"/>
              </w:rPr>
              <w:t>、</w:t>
            </w:r>
            <w:r>
              <w:rPr>
                <w:rFonts w:hint="eastAsia" w:ascii="楷体" w:hAnsi="楷体" w:eastAsia="楷体" w:cs="仿宋"/>
                <w:color w:val="auto"/>
                <w:szCs w:val="24"/>
                <w:highlight w:val="none"/>
              </w:rPr>
              <w:t xml:space="preserve"> 乙方应在合同规定的安装调试期内完成该项工作，安装和调试期间所发生的费用均由乙方负责。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lang w:val="en-US" w:eastAsia="zh-CN"/>
              </w:rPr>
              <w:t>8</w:t>
            </w:r>
          </w:p>
        </w:tc>
        <w:tc>
          <w:tcPr>
            <w:tcW w:w="8403"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b/>
                <w:color w:val="auto"/>
                <w:szCs w:val="24"/>
                <w:highlight w:val="none"/>
              </w:rPr>
              <w:t>售后服务：</w:t>
            </w:r>
            <w:r>
              <w:rPr>
                <w:rFonts w:hint="eastAsia" w:ascii="楷体" w:hAnsi="楷体" w:eastAsia="楷体" w:cs="仿宋"/>
                <w:color w:val="auto"/>
                <w:szCs w:val="24"/>
                <w:highlight w:val="none"/>
              </w:rPr>
              <w:t xml:space="preserve"> </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 乙方提供质保期内全年7×24小时的技术咨询服务。</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 乙方需按甲方要求的时间为甲方免费培训技术人员若干名，培训服务以受培训人员熟练掌握相应技能为原则。</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3. 在质量保证期内发生重大故障，维修工程师抵达现场时间≤8小时。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pStyle w:val="25"/>
              <w:spacing w:line="360" w:lineRule="auto"/>
              <w:jc w:val="center"/>
              <w:rPr>
                <w:rFonts w:hint="default" w:ascii="楷体" w:hAnsi="楷体" w:eastAsia="楷体" w:cs="仿宋"/>
                <w:color w:val="auto"/>
                <w:kern w:val="0"/>
                <w:sz w:val="24"/>
                <w:szCs w:val="24"/>
                <w:highlight w:val="none"/>
                <w:lang w:val="en-US" w:eastAsia="zh-CN"/>
              </w:rPr>
            </w:pPr>
            <w:r>
              <w:rPr>
                <w:rFonts w:hint="eastAsia" w:ascii="楷体" w:hAnsi="楷体" w:eastAsia="楷体" w:cs="仿宋"/>
                <w:color w:val="auto"/>
                <w:kern w:val="0"/>
                <w:sz w:val="24"/>
                <w:szCs w:val="24"/>
                <w:highlight w:val="none"/>
                <w:lang w:val="en-US" w:eastAsia="zh-CN"/>
              </w:rPr>
              <w:t>9</w:t>
            </w:r>
          </w:p>
        </w:tc>
        <w:tc>
          <w:tcPr>
            <w:tcW w:w="8403" w:type="dxa"/>
            <w:vAlign w:val="center"/>
          </w:tcPr>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验收：</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由采购人、相关部门和供应商共同对项目进行安装验收和最终整体验收。其内容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1.所验产品的指标、性能参数最终验收达不到磋商文件要求和磋商响应文件承诺的，或在使用中发现采购人不能容忍的缺陷等，将视为产品验收不合格，供应商应在采购人要求的时间内无条件免费更换或退货。</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2.若发现供应商有弄虚作假的，在磋商阶段故意或随意夸大产品技术性能，供应商应无条件退货，本合同解除，供应商赔偿采购人相应的损失。</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3.验收标准：按磋商文件、磋商响应文件及澄清函等技术指标进行验收。各项指标均应符合验收标准及要求。</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4.验收合格后，填写验收单，双方签字生效。</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5.验收依据：</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5.1合同文本；</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5.2磋商文件及澄清函、磋商响应文件；</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5.3国家和行业制定的相应的标准和规范；</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5.4验收清单（注明各部件的品名、数量、规格型号和原产地或生产厂家）。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pStyle w:val="25"/>
              <w:spacing w:line="360" w:lineRule="auto"/>
              <w:jc w:val="center"/>
              <w:rPr>
                <w:rFonts w:hint="eastAsia" w:ascii="楷体" w:hAnsi="楷体" w:eastAsia="楷体" w:cs="仿宋"/>
                <w:color w:val="auto"/>
                <w:kern w:val="0"/>
                <w:sz w:val="24"/>
                <w:szCs w:val="24"/>
                <w:highlight w:val="none"/>
                <w:lang w:eastAsia="zh-CN"/>
              </w:rPr>
            </w:pPr>
            <w:r>
              <w:rPr>
                <w:rFonts w:hint="eastAsia" w:ascii="楷体" w:hAnsi="楷体" w:eastAsia="楷体" w:cs="仿宋"/>
                <w:color w:val="auto"/>
                <w:kern w:val="0"/>
                <w:sz w:val="24"/>
                <w:szCs w:val="24"/>
                <w:highlight w:val="none"/>
              </w:rPr>
              <w:t>1</w:t>
            </w:r>
            <w:r>
              <w:rPr>
                <w:rFonts w:hint="eastAsia" w:ascii="楷体" w:hAnsi="楷体" w:eastAsia="楷体" w:cs="仿宋"/>
                <w:color w:val="auto"/>
                <w:kern w:val="0"/>
                <w:sz w:val="24"/>
                <w:szCs w:val="24"/>
                <w:highlight w:val="none"/>
                <w:lang w:val="en-US" w:eastAsia="zh-CN"/>
              </w:rPr>
              <w:t>0</w:t>
            </w:r>
          </w:p>
        </w:tc>
        <w:tc>
          <w:tcPr>
            <w:tcW w:w="8403" w:type="dxa"/>
            <w:vAlign w:val="center"/>
          </w:tcPr>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知识产权：</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pStyle w:val="25"/>
              <w:spacing w:line="360" w:lineRule="auto"/>
              <w:jc w:val="center"/>
              <w:rPr>
                <w:rFonts w:hint="default" w:ascii="楷体" w:hAnsi="楷体" w:eastAsia="楷体" w:cs="仿宋"/>
                <w:color w:val="auto"/>
                <w:kern w:val="0"/>
                <w:sz w:val="24"/>
                <w:szCs w:val="24"/>
                <w:highlight w:val="none"/>
                <w:lang w:val="en-US" w:eastAsia="zh-CN"/>
              </w:rPr>
            </w:pPr>
            <w:r>
              <w:rPr>
                <w:rFonts w:hint="eastAsia" w:ascii="楷体" w:hAnsi="楷体" w:eastAsia="楷体" w:cs="仿宋"/>
                <w:color w:val="auto"/>
                <w:kern w:val="0"/>
                <w:sz w:val="24"/>
                <w:szCs w:val="24"/>
                <w:highlight w:val="none"/>
                <w:lang w:val="en-US" w:eastAsia="zh-CN"/>
              </w:rPr>
              <w:t>11</w:t>
            </w:r>
          </w:p>
        </w:tc>
        <w:tc>
          <w:tcPr>
            <w:tcW w:w="8403" w:type="dxa"/>
            <w:vAlign w:val="center"/>
          </w:tcPr>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违约责任：</w:t>
            </w:r>
          </w:p>
          <w:p>
            <w:pPr>
              <w:tabs>
                <w:tab w:val="left" w:pos="152"/>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按《中华人民共和国政府采购法》、《中华人民共和国民法典》中的相关条款执行。</w:t>
            </w:r>
          </w:p>
          <w:p>
            <w:pPr>
              <w:tabs>
                <w:tab w:val="left" w:pos="152"/>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未按合同或磋商文件要求的或者质量不能满足采购人要求的，采购单位有权终止合同，甚至对供应商违约行为进行追究。</w:t>
            </w:r>
          </w:p>
          <w:p>
            <w:pPr>
              <w:tabs>
                <w:tab w:val="left" w:pos="152"/>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供应商的磋商响应文件为签订正式书面合同书不可分割的部分，磋商响应应履行相应的责任。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6" w:hRule="atLeast"/>
        </w:trPr>
        <w:tc>
          <w:tcPr>
            <w:tcW w:w="567" w:type="dxa"/>
            <w:vAlign w:val="center"/>
          </w:tcPr>
          <w:p>
            <w:pPr>
              <w:pStyle w:val="25"/>
              <w:spacing w:line="360" w:lineRule="auto"/>
              <w:jc w:val="center"/>
              <w:rPr>
                <w:rFonts w:hint="default" w:ascii="楷体" w:hAnsi="楷体" w:eastAsia="楷体" w:cs="仿宋"/>
                <w:color w:val="auto"/>
                <w:kern w:val="0"/>
                <w:sz w:val="24"/>
                <w:szCs w:val="24"/>
                <w:highlight w:val="none"/>
                <w:lang w:val="en-US" w:eastAsia="zh-CN"/>
              </w:rPr>
            </w:pPr>
            <w:r>
              <w:rPr>
                <w:rFonts w:hint="eastAsia" w:ascii="楷体" w:hAnsi="楷体" w:eastAsia="楷体" w:cs="仿宋"/>
                <w:color w:val="auto"/>
                <w:kern w:val="0"/>
                <w:sz w:val="24"/>
                <w:szCs w:val="24"/>
                <w:highlight w:val="none"/>
                <w:lang w:val="en-US" w:eastAsia="zh-CN"/>
              </w:rPr>
              <w:t>12</w:t>
            </w:r>
          </w:p>
        </w:tc>
        <w:tc>
          <w:tcPr>
            <w:tcW w:w="8403" w:type="dxa"/>
            <w:vAlign w:val="center"/>
          </w:tcPr>
          <w:p>
            <w:pPr>
              <w:tabs>
                <w:tab w:val="left" w:pos="152"/>
              </w:tabs>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政府采购合同：</w:t>
            </w:r>
          </w:p>
          <w:p>
            <w:pPr>
              <w:tabs>
                <w:tab w:val="left" w:pos="152"/>
              </w:tabs>
              <w:spacing w:line="360" w:lineRule="auto"/>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 xml:space="preserve">    政府采购合同适用《中华人民共和国民法典》。采购人和投标人之间的权利和义务，应当按照平等、自愿的原则以合同方式约定。</w:t>
            </w:r>
          </w:p>
          <w:p>
            <w:pPr>
              <w:tabs>
                <w:tab w:val="left" w:pos="152"/>
              </w:tabs>
              <w:spacing w:line="360" w:lineRule="auto"/>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 xml:space="preserve">    采购人可以委托采购代理机构代表其与投标人签订政府采购合同。由采购代理机构以采购人名义签订合同的，应当提交采购人的授权委托书，作为合同附件。</w:t>
            </w:r>
          </w:p>
          <w:p>
            <w:pPr>
              <w:tabs>
                <w:tab w:val="left" w:pos="152"/>
              </w:tabs>
              <w:spacing w:line="360" w:lineRule="auto"/>
              <w:ind w:firstLine="480" w:firstLineChars="200"/>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政府采购合同应当采用书面形式。</w:t>
            </w:r>
          </w:p>
          <w:p>
            <w:pPr>
              <w:tabs>
                <w:tab w:val="left" w:pos="152"/>
              </w:tabs>
              <w:spacing w:line="360" w:lineRule="auto"/>
              <w:ind w:firstLine="480" w:firstLineChars="200"/>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国务院政府采购监督管理部门应当会同国务院有关部门，规定政府采购合同必须具备的条款。</w:t>
            </w:r>
          </w:p>
          <w:p>
            <w:pPr>
              <w:tabs>
                <w:tab w:val="left" w:pos="152"/>
              </w:tabs>
              <w:spacing w:line="360" w:lineRule="auto"/>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 xml:space="preserve">    采购人与中标、成交投标人应当在中标、成交通知书发出之日起三十日内，按照采购文件确定的事项签订政府采购合同。</w:t>
            </w:r>
          </w:p>
          <w:p>
            <w:pPr>
              <w:tabs>
                <w:tab w:val="left" w:pos="152"/>
              </w:tabs>
              <w:spacing w:line="360" w:lineRule="auto"/>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 xml:space="preserve">    中标、成交通知书对采购人和中标、成交投标人均具有法律效力。中标、成交通知书发出后，采购人改变中标、成交结果的，或者中标、成交投标人放弃中标、成交项目的，应当依法承担法律责任。</w:t>
            </w:r>
          </w:p>
          <w:p>
            <w:pPr>
              <w:tabs>
                <w:tab w:val="left" w:pos="152"/>
              </w:tabs>
              <w:spacing w:line="360" w:lineRule="auto"/>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政府采购项目的采购合同自签订之日起七个工作日内，采购人应当将合同副本报同级政府采购监督管理部门和有关部门备案。</w:t>
            </w:r>
          </w:p>
          <w:p>
            <w:pPr>
              <w:tabs>
                <w:tab w:val="left" w:pos="152"/>
              </w:tabs>
              <w:spacing w:line="360" w:lineRule="auto"/>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 xml:space="preserve">    经采购人同意，中标、成交投标人可以依法采取分包方式履行合同。政府采购合同分包履行的，中标、成交投标人就采购项目和分包项目向采购人负责，分包投标人就分包项目承担责任。</w:t>
            </w:r>
          </w:p>
          <w:p>
            <w:pPr>
              <w:tabs>
                <w:tab w:val="left" w:pos="152"/>
              </w:tabs>
              <w:spacing w:line="360" w:lineRule="auto"/>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 xml:space="preserve">    政府采购合同履行中，采购人需追加与合同标的相同的货物、工程或者服务的，在不改变合同其他条款的前提下，可以与投标人协商签订补充合同，但所有补充合同的采购金额不得超过原合同采购金额的百分之十。</w:t>
            </w:r>
          </w:p>
          <w:p>
            <w:pPr>
              <w:tabs>
                <w:tab w:val="left" w:pos="152"/>
              </w:tabs>
              <w:spacing w:line="360" w:lineRule="auto"/>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 xml:space="preserve">    政府采购合同的双方当事人不得擅自变更、中止或者终止合同。</w:t>
            </w:r>
          </w:p>
          <w:p>
            <w:pPr>
              <w:tabs>
                <w:tab w:val="left" w:pos="152"/>
              </w:tabs>
              <w:spacing w:line="360" w:lineRule="auto"/>
              <w:rPr>
                <w:rFonts w:hint="eastAsia" w:ascii="楷体" w:hAnsi="楷体" w:eastAsia="楷体" w:cs="仿宋"/>
                <w:b/>
                <w:color w:val="auto"/>
                <w:szCs w:val="24"/>
                <w:highlight w:val="none"/>
              </w:rPr>
            </w:pPr>
            <w:r>
              <w:rPr>
                <w:rFonts w:hint="eastAsia" w:ascii="楷体" w:hAnsi="楷体" w:eastAsia="楷体" w:cs="仿宋"/>
                <w:bCs/>
                <w:color w:val="auto"/>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spacing w:line="360" w:lineRule="auto"/>
        <w:ind w:firstLine="480" w:firstLineChars="200"/>
        <w:rPr>
          <w:rFonts w:hint="eastAsia" w:ascii="楷体" w:hAnsi="楷体" w:eastAsia="楷体" w:cs="仿宋"/>
          <w:color w:val="auto"/>
          <w:szCs w:val="24"/>
          <w:highlight w:val="none"/>
        </w:rPr>
      </w:pPr>
    </w:p>
    <w:p>
      <w:pPr>
        <w:jc w:val="center"/>
        <w:rPr>
          <w:rFonts w:hint="eastAsia" w:ascii="楷体" w:hAnsi="楷体" w:eastAsia="楷体" w:cs="仿宋"/>
          <w:b/>
          <w:bCs/>
          <w:color w:val="auto"/>
          <w:sz w:val="44"/>
          <w:szCs w:val="44"/>
          <w:highlight w:val="none"/>
        </w:rPr>
      </w:pPr>
    </w:p>
    <w:p>
      <w:pPr>
        <w:rPr>
          <w:rFonts w:hint="eastAsia" w:ascii="楷体" w:hAnsi="楷体" w:eastAsia="楷体" w:cs="仿宋"/>
          <w:b/>
          <w:bCs/>
          <w:color w:val="auto"/>
          <w:sz w:val="44"/>
          <w:szCs w:val="44"/>
          <w:highlight w:val="none"/>
        </w:rPr>
      </w:pPr>
    </w:p>
    <w:p>
      <w:pPr>
        <w:jc w:val="center"/>
        <w:rPr>
          <w:rFonts w:hint="eastAsia" w:ascii="楷体" w:hAnsi="楷体" w:eastAsia="楷体" w:cs="仿宋"/>
          <w:b/>
          <w:bCs/>
          <w:color w:val="auto"/>
          <w:sz w:val="44"/>
          <w:szCs w:val="44"/>
          <w:highlight w:val="none"/>
        </w:rPr>
      </w:pPr>
    </w:p>
    <w:p>
      <w:pPr>
        <w:pStyle w:val="14"/>
        <w:rPr>
          <w:rFonts w:hint="eastAsia" w:ascii="楷体" w:hAnsi="楷体" w:eastAsia="楷体"/>
          <w:color w:val="auto"/>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仿宋"/>
          <w:b/>
          <w:bCs/>
          <w:color w:val="auto"/>
          <w:sz w:val="60"/>
          <w:szCs w:val="60"/>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仿宋"/>
          <w:b/>
          <w:bCs/>
          <w:color w:val="auto"/>
          <w:sz w:val="60"/>
          <w:szCs w:val="60"/>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仿宋"/>
          <w:b/>
          <w:bCs/>
          <w:color w:val="auto"/>
          <w:sz w:val="60"/>
          <w:szCs w:val="60"/>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仿宋"/>
          <w:b/>
          <w:bCs/>
          <w:color w:val="auto"/>
          <w:sz w:val="60"/>
          <w:szCs w:val="60"/>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仿宋"/>
          <w:b/>
          <w:bCs/>
          <w:color w:val="auto"/>
          <w:sz w:val="44"/>
          <w:szCs w:val="44"/>
          <w:highlight w:val="none"/>
        </w:rPr>
      </w:pPr>
      <w:r>
        <w:rPr>
          <w:rFonts w:hint="eastAsia" w:ascii="楷体" w:hAnsi="楷体" w:eastAsia="楷体" w:cs="仿宋"/>
          <w:b/>
          <w:bCs/>
          <w:color w:val="auto"/>
          <w:sz w:val="60"/>
          <w:szCs w:val="60"/>
          <w:highlight w:val="none"/>
          <w:lang w:eastAsia="zh-CN"/>
        </w:rPr>
        <w:t>汉阴县汉阴中学教学主楼智慧黑板采购项目</w:t>
      </w:r>
    </w:p>
    <w:p>
      <w:pPr>
        <w:pStyle w:val="14"/>
        <w:ind w:firstLine="883"/>
        <w:rPr>
          <w:rFonts w:hint="eastAsia" w:ascii="楷体" w:hAnsi="楷体" w:eastAsia="楷体" w:cs="仿宋"/>
          <w:b/>
          <w:bCs/>
          <w:color w:val="auto"/>
          <w:sz w:val="44"/>
          <w:szCs w:val="44"/>
          <w:highlight w:val="none"/>
        </w:rPr>
      </w:pPr>
    </w:p>
    <w:p>
      <w:pPr>
        <w:pStyle w:val="14"/>
        <w:ind w:firstLine="883"/>
        <w:rPr>
          <w:rFonts w:hint="eastAsia" w:ascii="楷体" w:hAnsi="楷体" w:eastAsia="楷体" w:cs="仿宋"/>
          <w:b/>
          <w:bCs/>
          <w:color w:val="auto"/>
          <w:sz w:val="44"/>
          <w:szCs w:val="44"/>
          <w:highlight w:val="none"/>
        </w:rPr>
      </w:pPr>
    </w:p>
    <w:p>
      <w:pPr>
        <w:jc w:val="center"/>
        <w:rPr>
          <w:rFonts w:hint="eastAsia" w:ascii="楷体" w:hAnsi="楷体" w:eastAsia="楷体" w:cs="仿宋"/>
          <w:b/>
          <w:bCs/>
          <w:color w:val="auto"/>
          <w:sz w:val="52"/>
          <w:szCs w:val="52"/>
          <w:highlight w:val="none"/>
        </w:rPr>
      </w:pPr>
      <w:r>
        <w:rPr>
          <w:rFonts w:hint="eastAsia" w:ascii="楷体" w:hAnsi="楷体" w:eastAsia="楷体" w:cs="仿宋"/>
          <w:b/>
          <w:bCs/>
          <w:color w:val="auto"/>
          <w:sz w:val="52"/>
          <w:szCs w:val="52"/>
          <w:highlight w:val="none"/>
        </w:rPr>
        <w:t>采购合同</w:t>
      </w:r>
    </w:p>
    <w:p>
      <w:pPr>
        <w:jc w:val="center"/>
        <w:rPr>
          <w:rFonts w:hint="eastAsia" w:ascii="楷体" w:hAnsi="楷体" w:eastAsia="楷体" w:cs="仿宋"/>
          <w:color w:val="auto"/>
          <w:sz w:val="44"/>
          <w:szCs w:val="44"/>
          <w:highlight w:val="none"/>
        </w:rPr>
      </w:pPr>
    </w:p>
    <w:p>
      <w:pPr>
        <w:jc w:val="center"/>
        <w:rPr>
          <w:rFonts w:hint="eastAsia" w:ascii="楷体" w:hAnsi="楷体" w:eastAsia="楷体" w:cs="仿宋"/>
          <w:color w:val="auto"/>
          <w:sz w:val="44"/>
          <w:szCs w:val="44"/>
          <w:highlight w:val="none"/>
        </w:rPr>
      </w:pPr>
    </w:p>
    <w:p>
      <w:pPr>
        <w:rPr>
          <w:rFonts w:hint="eastAsia" w:ascii="楷体" w:hAnsi="楷体" w:eastAsia="楷体" w:cs="仿宋"/>
          <w:color w:val="auto"/>
          <w:sz w:val="44"/>
          <w:szCs w:val="44"/>
          <w:highlight w:val="none"/>
        </w:rPr>
      </w:pPr>
    </w:p>
    <w:p>
      <w:pPr>
        <w:jc w:val="center"/>
        <w:rPr>
          <w:rFonts w:hint="eastAsia" w:ascii="楷体" w:hAnsi="楷体" w:eastAsia="楷体" w:cs="仿宋"/>
          <w:b/>
          <w:color w:val="auto"/>
          <w:sz w:val="36"/>
          <w:szCs w:val="36"/>
          <w:highlight w:val="none"/>
        </w:rPr>
      </w:pPr>
      <w:r>
        <w:rPr>
          <w:rFonts w:hint="eastAsia" w:ascii="楷体" w:hAnsi="楷体" w:eastAsia="楷体" w:cs="仿宋"/>
          <w:b/>
          <w:color w:val="auto"/>
          <w:sz w:val="36"/>
          <w:szCs w:val="36"/>
          <w:highlight w:val="none"/>
        </w:rPr>
        <w:t>（示范文本）</w:t>
      </w:r>
    </w:p>
    <w:p>
      <w:pPr>
        <w:jc w:val="center"/>
        <w:rPr>
          <w:rFonts w:ascii="楷体" w:hAnsi="楷体" w:eastAsia="楷体" w:cs="仿宋"/>
          <w:color w:val="auto"/>
          <w:sz w:val="28"/>
          <w:szCs w:val="32"/>
          <w:highlight w:val="none"/>
        </w:rPr>
      </w:pPr>
      <w:r>
        <w:rPr>
          <w:rFonts w:hint="eastAsia" w:ascii="楷体" w:hAnsi="楷体" w:eastAsia="楷体" w:cs="仿宋"/>
          <w:color w:val="auto"/>
          <w:sz w:val="28"/>
          <w:szCs w:val="32"/>
          <w:highlight w:val="none"/>
        </w:rPr>
        <w:t>成交供应商和采购人也可根据项目特点自行拟定合同条款。</w:t>
      </w:r>
    </w:p>
    <w:p>
      <w:pPr>
        <w:spacing w:beforeLines="50" w:line="400" w:lineRule="exact"/>
        <w:jc w:val="center"/>
        <w:rPr>
          <w:rFonts w:hint="eastAsia" w:ascii="楷体" w:hAnsi="楷体" w:eastAsia="楷体" w:cs="仿宋"/>
          <w:b/>
          <w:bCs/>
          <w:color w:val="auto"/>
          <w:sz w:val="36"/>
          <w:szCs w:val="32"/>
          <w:highlight w:val="none"/>
        </w:rPr>
      </w:pPr>
      <w:r>
        <w:rPr>
          <w:rFonts w:hint="eastAsia" w:ascii="楷体" w:hAnsi="楷体" w:eastAsia="楷体" w:cs="仿宋"/>
          <w:bCs/>
          <w:color w:val="auto"/>
          <w:sz w:val="48"/>
          <w:szCs w:val="48"/>
          <w:highlight w:val="none"/>
        </w:rPr>
        <w:br w:type="page"/>
      </w:r>
      <w:r>
        <w:rPr>
          <w:rFonts w:hint="eastAsia" w:ascii="楷体" w:hAnsi="楷体" w:eastAsia="楷体" w:cs="仿宋"/>
          <w:b/>
          <w:bCs/>
          <w:color w:val="auto"/>
          <w:sz w:val="36"/>
          <w:szCs w:val="32"/>
          <w:highlight w:val="none"/>
        </w:rPr>
        <w:t>第一部分  协议书</w:t>
      </w:r>
    </w:p>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楷体" w:hAnsi="楷体" w:eastAsia="楷体"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楷体" w:hAnsi="楷体" w:eastAsia="楷体" w:cs="仿宋"/>
          <w:b/>
          <w:color w:val="auto"/>
          <w:highlight w:val="none"/>
        </w:rPr>
      </w:pPr>
      <w:r>
        <w:rPr>
          <w:rFonts w:hint="eastAsia" w:ascii="楷体" w:hAnsi="楷体" w:eastAsia="楷体" w:cs="仿宋"/>
          <w:b/>
          <w:color w:val="auto"/>
          <w:highlight w:val="none"/>
        </w:rPr>
        <w:t>采购人（全称）：</w:t>
      </w:r>
      <w:r>
        <w:rPr>
          <w:rFonts w:hint="eastAsia" w:ascii="楷体" w:hAnsi="楷体" w:eastAsia="楷体" w:cs="仿宋"/>
          <w:b/>
          <w:color w:val="auto"/>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楷体" w:hAnsi="楷体" w:eastAsia="楷体" w:cs="仿宋"/>
          <w:color w:val="auto"/>
          <w:highlight w:val="none"/>
          <w:u w:val="single"/>
        </w:rPr>
      </w:pPr>
      <w:r>
        <w:rPr>
          <w:rFonts w:hint="eastAsia" w:ascii="楷体" w:hAnsi="楷体" w:eastAsia="楷体" w:cs="仿宋"/>
          <w:b/>
          <w:color w:val="auto"/>
          <w:highlight w:val="none"/>
        </w:rPr>
        <w:t>供应商（全称）：</w:t>
      </w:r>
      <w:r>
        <w:rPr>
          <w:rFonts w:hint="eastAsia" w:ascii="楷体" w:hAnsi="楷体" w:eastAsia="楷体" w:cs="仿宋"/>
          <w:b/>
          <w:color w:val="auto"/>
          <w:highlight w:val="none"/>
          <w:u w:val="single"/>
        </w:rPr>
        <w:t xml:space="preserve">                                       </w:t>
      </w:r>
      <w:r>
        <w:rPr>
          <w:rFonts w:hint="eastAsia" w:ascii="楷体" w:hAnsi="楷体" w:eastAsia="楷体" w:cs="仿宋"/>
          <w:color w:val="auto"/>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楷体" w:hAnsi="楷体" w:eastAsia="楷体" w:cs="仿宋"/>
          <w:color w:val="auto"/>
          <w:highlight w:val="none"/>
          <w:u w:val="single"/>
        </w:rPr>
      </w:pPr>
      <w:r>
        <w:rPr>
          <w:rFonts w:hint="eastAsia" w:ascii="楷体" w:hAnsi="楷体" w:eastAsia="楷体" w:cs="仿宋"/>
          <w:color w:val="auto"/>
          <w:highlight w:val="none"/>
        </w:rPr>
        <w:t>根据《中华人民共和国</w:t>
      </w:r>
      <w:r>
        <w:rPr>
          <w:rFonts w:hint="eastAsia" w:ascii="楷体" w:hAnsi="楷体" w:eastAsia="楷体" w:cs="仿宋"/>
          <w:color w:val="auto"/>
          <w:highlight w:val="none"/>
          <w:lang w:eastAsia="zh-CN"/>
        </w:rPr>
        <w:t>民法典</w:t>
      </w:r>
      <w:r>
        <w:rPr>
          <w:rFonts w:hint="eastAsia" w:ascii="楷体" w:hAnsi="楷体" w:eastAsia="楷体" w:cs="仿宋"/>
          <w:color w:val="auto"/>
          <w:highlight w:val="none"/>
        </w:rPr>
        <w:t>》及其他有关法律、法规，遵循平等、自愿、公平和诚信的原则，双方就下述项目范围与相关服务事项协商一致，订立本合同。</w:t>
      </w: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仿宋"/>
          <w:b/>
          <w:color w:val="auto"/>
          <w:highlight w:val="none"/>
        </w:rPr>
      </w:pPr>
      <w:r>
        <w:rPr>
          <w:rFonts w:hint="eastAsia" w:ascii="楷体" w:hAnsi="楷体" w:eastAsia="楷体" w:cs="仿宋"/>
          <w:b/>
          <w:color w:val="auto"/>
          <w:highlight w:val="none"/>
        </w:rPr>
        <w:t>一、项目概况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highlight w:val="none"/>
        </w:rPr>
      </w:pPr>
      <w:r>
        <w:rPr>
          <w:rFonts w:hint="eastAsia" w:ascii="楷体" w:hAnsi="楷体" w:eastAsia="楷体" w:cs="仿宋"/>
          <w:color w:val="auto"/>
          <w:highlight w:val="none"/>
        </w:rPr>
        <w:t>1.项目名称：</w:t>
      </w:r>
      <w:r>
        <w:rPr>
          <w:rFonts w:hint="eastAsia" w:ascii="楷体" w:hAnsi="楷体" w:eastAsia="楷体" w:cs="仿宋"/>
          <w:color w:val="auto"/>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highlight w:val="none"/>
          <w:u w:val="single"/>
        </w:rPr>
      </w:pPr>
      <w:r>
        <w:rPr>
          <w:rFonts w:hint="eastAsia" w:ascii="楷体" w:hAnsi="楷体" w:eastAsia="楷体" w:cs="仿宋"/>
          <w:color w:val="auto"/>
          <w:highlight w:val="none"/>
        </w:rPr>
        <w:t>2.项目地点：</w:t>
      </w:r>
      <w:r>
        <w:rPr>
          <w:rFonts w:hint="eastAsia" w:ascii="楷体" w:hAnsi="楷体" w:eastAsia="楷体" w:cs="仿宋"/>
          <w:color w:val="auto"/>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jc w:val="left"/>
        <w:textAlignment w:val="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3.项目内容：</w:t>
      </w:r>
      <w:r>
        <w:rPr>
          <w:rFonts w:hint="eastAsia" w:ascii="楷体" w:hAnsi="楷体" w:eastAsia="楷体" w:cs="仿宋"/>
          <w:color w:val="auto"/>
          <w:szCs w:val="24"/>
          <w:highlight w:val="none"/>
          <w:u w:val="single"/>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仿宋"/>
          <w:b/>
          <w:color w:val="auto"/>
          <w:highlight w:val="none"/>
        </w:rPr>
      </w:pPr>
      <w:r>
        <w:rPr>
          <w:rFonts w:hint="eastAsia" w:ascii="楷体" w:hAnsi="楷体" w:eastAsia="楷体" w:cs="仿宋"/>
          <w:b/>
          <w:color w:val="auto"/>
          <w:highlight w:val="none"/>
        </w:rPr>
        <w:t>二、组成本合同的文件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highlight w:val="none"/>
        </w:rPr>
      </w:pPr>
      <w:r>
        <w:rPr>
          <w:rFonts w:hint="eastAsia" w:ascii="楷体" w:hAnsi="楷体" w:eastAsia="楷体" w:cs="仿宋"/>
          <w:color w:val="auto"/>
          <w:highlight w:val="none"/>
        </w:rPr>
        <w:t>1. 协议书；</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highlight w:val="none"/>
        </w:rPr>
      </w:pPr>
      <w:r>
        <w:rPr>
          <w:rFonts w:hint="eastAsia" w:ascii="楷体" w:hAnsi="楷体" w:eastAsia="楷体" w:cs="仿宋"/>
          <w:color w:val="auto"/>
          <w:highlight w:val="none"/>
        </w:rPr>
        <w:t>2. 成交通知书、磋商响应文件、磋商文件、澄清、磋商补充文件（或委托书）；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楷体" w:hAnsi="楷体" w:eastAsia="楷体" w:cs="仿宋"/>
          <w:color w:val="auto"/>
          <w:highlight w:val="none"/>
        </w:rPr>
      </w:pPr>
      <w:r>
        <w:rPr>
          <w:rFonts w:hint="eastAsia" w:ascii="楷体" w:hAnsi="楷体" w:eastAsia="楷体" w:cs="仿宋"/>
          <w:color w:val="auto"/>
          <w:highlight w:val="none"/>
        </w:rPr>
        <w:t>3. 相关服务建议书；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楷体" w:hAnsi="楷体" w:eastAsia="楷体" w:cs="仿宋"/>
          <w:color w:val="auto"/>
          <w:highlight w:val="none"/>
        </w:rPr>
      </w:pPr>
      <w:r>
        <w:rPr>
          <w:rFonts w:hint="eastAsia" w:ascii="楷体" w:hAnsi="楷体" w:eastAsia="楷体" w:cs="仿宋"/>
          <w:color w:val="auto"/>
          <w:highlight w:val="none"/>
        </w:rPr>
        <w:t xml:space="preserve">    4. 附录，即：附表内相关服务的范围和内容；</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highlight w:val="none"/>
        </w:rPr>
      </w:pPr>
      <w:r>
        <w:rPr>
          <w:rFonts w:hint="eastAsia" w:ascii="楷体" w:hAnsi="楷体" w:eastAsia="楷体" w:cs="仿宋"/>
          <w:color w:val="auto"/>
          <w:highlight w:val="none"/>
        </w:rPr>
        <w:t>本合同签订后，双方依法签订的补充协议也是本合同文件的组成部分。</w:t>
      </w: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仿宋"/>
          <w:b/>
          <w:color w:val="auto"/>
          <w:highlight w:val="none"/>
        </w:rPr>
      </w:pPr>
      <w:r>
        <w:rPr>
          <w:rFonts w:hint="eastAsia" w:ascii="楷体" w:hAnsi="楷体" w:eastAsia="楷体" w:cs="仿宋"/>
          <w:b/>
          <w:color w:val="auto"/>
          <w:highlight w:val="none"/>
        </w:rPr>
        <w:t>三、合同价款</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highlight w:val="none"/>
        </w:rPr>
      </w:pPr>
      <w:r>
        <w:rPr>
          <w:rFonts w:hint="eastAsia" w:ascii="楷体" w:hAnsi="楷体" w:eastAsia="楷体" w:cs="仿宋"/>
          <w:color w:val="auto"/>
          <w:highlight w:val="none"/>
        </w:rPr>
        <w:t>1.合同金额（大写）：</w:t>
      </w:r>
      <w:r>
        <w:rPr>
          <w:rFonts w:hint="eastAsia" w:ascii="楷体" w:hAnsi="楷体" w:eastAsia="楷体" w:cs="仿宋"/>
          <w:color w:val="auto"/>
          <w:highlight w:val="none"/>
          <w:u w:val="single"/>
        </w:rPr>
        <w:t xml:space="preserve">                            </w:t>
      </w:r>
      <w:r>
        <w:rPr>
          <w:rFonts w:hint="eastAsia" w:ascii="楷体" w:hAnsi="楷体" w:eastAsia="楷体" w:cs="仿宋"/>
          <w:color w:val="auto"/>
          <w:highlight w:val="none"/>
        </w:rPr>
        <w:t>（￥      ）。</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szCs w:val="24"/>
          <w:highlight w:val="none"/>
        </w:rPr>
      </w:pPr>
      <w:r>
        <w:rPr>
          <w:rFonts w:hint="eastAsia" w:ascii="楷体" w:hAnsi="楷体" w:eastAsia="楷体" w:cs="仿宋"/>
          <w:color w:val="auto"/>
          <w:highlight w:val="none"/>
        </w:rPr>
        <w:t>2.</w:t>
      </w:r>
      <w:r>
        <w:rPr>
          <w:rFonts w:hint="eastAsia" w:ascii="楷体" w:hAnsi="楷体" w:eastAsia="楷体" w:cs="仿宋"/>
          <w:color w:val="auto"/>
          <w:szCs w:val="24"/>
          <w:highlight w:val="none"/>
        </w:rPr>
        <w:t>合同总价即成交价，</w:t>
      </w:r>
      <w:r>
        <w:rPr>
          <w:rFonts w:hint="eastAsia" w:ascii="楷体" w:hAnsi="楷体" w:eastAsia="楷体"/>
          <w:color w:val="auto"/>
          <w:szCs w:val="24"/>
          <w:highlight w:val="none"/>
        </w:rPr>
        <w:t>不受市场价变化或实际工作量变化的影响</w:t>
      </w:r>
      <w:r>
        <w:rPr>
          <w:rFonts w:hint="eastAsia" w:ascii="楷体" w:hAnsi="楷体" w:eastAsia="楷体" w:cs="仿宋"/>
          <w:color w:val="auto"/>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四、项目实施地点、交货期、质保期：</w:t>
      </w:r>
      <w:r>
        <w:rPr>
          <w:rFonts w:hint="eastAsia" w:ascii="楷体" w:hAnsi="楷体" w:eastAsia="楷体" w:cs="仿宋"/>
          <w:color w:val="auto"/>
          <w:szCs w:val="24"/>
          <w:highlight w:val="none"/>
        </w:rPr>
        <w:t>详见“第三章合同条款及格式前附表”</w:t>
      </w:r>
    </w:p>
    <w:p>
      <w:pPr>
        <w:adjustRightInd w:val="0"/>
        <w:snapToGrid w:val="0"/>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五、付款方式：</w:t>
      </w:r>
      <w:r>
        <w:rPr>
          <w:rFonts w:hint="eastAsia" w:ascii="楷体" w:hAnsi="楷体" w:eastAsia="楷体" w:cs="仿宋"/>
          <w:color w:val="auto"/>
          <w:szCs w:val="24"/>
          <w:highlight w:val="none"/>
        </w:rPr>
        <w:t>详见“第三章合同条款及格式前附表”</w:t>
      </w:r>
    </w:p>
    <w:p>
      <w:pPr>
        <w:adjustRightInd w:val="0"/>
        <w:snapToGrid w:val="0"/>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eastAsia="zh-CN"/>
        </w:rPr>
        <w:t>六</w:t>
      </w:r>
      <w:r>
        <w:rPr>
          <w:rFonts w:hint="eastAsia" w:ascii="楷体" w:hAnsi="楷体" w:eastAsia="楷体" w:cs="仿宋"/>
          <w:b/>
          <w:color w:val="auto"/>
          <w:szCs w:val="24"/>
          <w:highlight w:val="none"/>
        </w:rPr>
        <w:t>、质量保证</w:t>
      </w:r>
      <w:r>
        <w:rPr>
          <w:rFonts w:hint="eastAsia" w:ascii="楷体" w:hAnsi="楷体" w:eastAsia="楷体" w:cs="仿宋"/>
          <w:b/>
          <w:color w:val="auto"/>
          <w:szCs w:val="24"/>
          <w:highlight w:val="none"/>
          <w:lang w:val="en-US" w:eastAsia="zh-CN"/>
        </w:rPr>
        <w:t>及培训</w:t>
      </w:r>
      <w:r>
        <w:rPr>
          <w:rFonts w:hint="eastAsia" w:ascii="楷体" w:hAnsi="楷体" w:eastAsia="楷体" w:cs="仿宋"/>
          <w:b/>
          <w:color w:val="auto"/>
          <w:szCs w:val="24"/>
          <w:highlight w:val="none"/>
        </w:rPr>
        <w:t>：</w:t>
      </w:r>
      <w:r>
        <w:rPr>
          <w:rFonts w:hint="eastAsia" w:ascii="楷体" w:hAnsi="楷体" w:eastAsia="楷体" w:cs="仿宋"/>
          <w:color w:val="auto"/>
          <w:szCs w:val="24"/>
          <w:highlight w:val="none"/>
        </w:rPr>
        <w:t>详见“第三章合同条款及格式前附表”</w:t>
      </w:r>
    </w:p>
    <w:p>
      <w:pPr>
        <w:adjustRightInd w:val="0"/>
        <w:snapToGrid w:val="0"/>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eastAsia="zh-CN"/>
        </w:rPr>
        <w:t>七</w:t>
      </w:r>
      <w:r>
        <w:rPr>
          <w:rFonts w:hint="eastAsia" w:ascii="楷体" w:hAnsi="楷体" w:eastAsia="楷体" w:cs="仿宋"/>
          <w:b/>
          <w:color w:val="auto"/>
          <w:szCs w:val="24"/>
          <w:highlight w:val="none"/>
        </w:rPr>
        <w:t>、运输、安装、调试要求：</w:t>
      </w:r>
      <w:r>
        <w:rPr>
          <w:rFonts w:hint="eastAsia" w:ascii="楷体" w:hAnsi="楷体" w:eastAsia="楷体" w:cs="仿宋"/>
          <w:color w:val="auto"/>
          <w:szCs w:val="24"/>
          <w:highlight w:val="none"/>
        </w:rPr>
        <w:t>详见“第三章合同条款及格式前附表”</w:t>
      </w:r>
    </w:p>
    <w:p>
      <w:pPr>
        <w:adjustRightInd w:val="0"/>
        <w:snapToGrid w:val="0"/>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eastAsia="zh-CN"/>
        </w:rPr>
        <w:t>八</w:t>
      </w:r>
      <w:r>
        <w:rPr>
          <w:rFonts w:hint="eastAsia" w:ascii="楷体" w:hAnsi="楷体" w:eastAsia="楷体" w:cs="仿宋"/>
          <w:b/>
          <w:color w:val="auto"/>
          <w:szCs w:val="24"/>
          <w:highlight w:val="none"/>
        </w:rPr>
        <w:t>、</w:t>
      </w:r>
      <w:r>
        <w:rPr>
          <w:rFonts w:hint="eastAsia" w:ascii="楷体" w:hAnsi="楷体" w:eastAsia="楷体" w:cs="仿宋"/>
          <w:b/>
          <w:color w:val="auto"/>
          <w:szCs w:val="24"/>
          <w:highlight w:val="none"/>
          <w:lang w:val="en-US" w:eastAsia="zh-CN"/>
        </w:rPr>
        <w:t>售后服务</w:t>
      </w:r>
      <w:r>
        <w:rPr>
          <w:rFonts w:hint="eastAsia" w:ascii="楷体" w:hAnsi="楷体" w:eastAsia="楷体" w:cs="仿宋"/>
          <w:b/>
          <w:color w:val="auto"/>
          <w:szCs w:val="24"/>
          <w:highlight w:val="none"/>
        </w:rPr>
        <w:t>：</w:t>
      </w:r>
      <w:r>
        <w:rPr>
          <w:rFonts w:hint="eastAsia" w:ascii="楷体" w:hAnsi="楷体" w:eastAsia="楷体" w:cs="仿宋"/>
          <w:color w:val="auto"/>
          <w:szCs w:val="24"/>
          <w:highlight w:val="none"/>
        </w:rPr>
        <w:t>详见“第三章合同条款及格式前附表”</w:t>
      </w:r>
    </w:p>
    <w:p>
      <w:pPr>
        <w:adjustRightInd w:val="0"/>
        <w:snapToGrid w:val="0"/>
        <w:spacing w:line="360" w:lineRule="auto"/>
        <w:rPr>
          <w:rFonts w:hint="eastAsia" w:ascii="楷体" w:hAnsi="楷体" w:eastAsia="楷体" w:cs="仿宋"/>
          <w:color w:val="auto"/>
          <w:szCs w:val="24"/>
          <w:highlight w:val="none"/>
        </w:rPr>
      </w:pPr>
      <w:r>
        <w:rPr>
          <w:rFonts w:hint="eastAsia" w:ascii="楷体" w:hAnsi="楷体" w:eastAsia="楷体" w:cs="仿宋"/>
          <w:b/>
          <w:color w:val="auto"/>
          <w:szCs w:val="24"/>
          <w:highlight w:val="none"/>
          <w:lang w:eastAsia="zh-CN"/>
        </w:rPr>
        <w:t>九</w:t>
      </w:r>
      <w:r>
        <w:rPr>
          <w:rFonts w:hint="eastAsia" w:ascii="楷体" w:hAnsi="楷体" w:eastAsia="楷体" w:cs="仿宋"/>
          <w:b/>
          <w:color w:val="auto"/>
          <w:szCs w:val="24"/>
          <w:highlight w:val="none"/>
        </w:rPr>
        <w:t>、验收：</w:t>
      </w:r>
      <w:r>
        <w:rPr>
          <w:rFonts w:hint="eastAsia" w:ascii="楷体" w:hAnsi="楷体" w:eastAsia="楷体" w:cs="仿宋"/>
          <w:color w:val="auto"/>
          <w:szCs w:val="24"/>
          <w:highlight w:val="none"/>
        </w:rPr>
        <w:t>详见“第三章合同条款及格式前附表”</w:t>
      </w:r>
    </w:p>
    <w:p>
      <w:pPr>
        <w:adjustRightInd w:val="0"/>
        <w:snapToGrid w:val="0"/>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十、合同争议的解决</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highlight w:val="none"/>
        </w:rPr>
        <w:t>合同执行中发生争议的，当事人双方应协商解决，协商达不成一致时，可向采购人所在地人民法院提请诉讼。</w:t>
      </w:r>
    </w:p>
    <w:p>
      <w:pPr>
        <w:spacing w:line="360" w:lineRule="auto"/>
        <w:jc w:val="left"/>
        <w:rPr>
          <w:rFonts w:hint="eastAsia" w:ascii="楷体" w:hAnsi="楷体" w:eastAsia="楷体" w:cs="仿宋"/>
          <w:b/>
          <w:bCs/>
          <w:color w:val="auto"/>
          <w:szCs w:val="24"/>
          <w:highlight w:val="none"/>
        </w:rPr>
      </w:pPr>
      <w:r>
        <w:rPr>
          <w:rFonts w:hint="eastAsia" w:ascii="楷体" w:hAnsi="楷体" w:eastAsia="楷体" w:cs="仿宋"/>
          <w:b/>
          <w:bCs/>
          <w:color w:val="auto"/>
          <w:szCs w:val="24"/>
          <w:highlight w:val="none"/>
        </w:rPr>
        <w:t>十</w:t>
      </w:r>
      <w:r>
        <w:rPr>
          <w:rFonts w:hint="eastAsia" w:ascii="楷体" w:hAnsi="楷体" w:eastAsia="楷体" w:cs="仿宋"/>
          <w:b/>
          <w:bCs/>
          <w:color w:val="auto"/>
          <w:szCs w:val="24"/>
          <w:highlight w:val="none"/>
          <w:lang w:val="en-US" w:eastAsia="zh-CN"/>
        </w:rPr>
        <w:t>一</w:t>
      </w:r>
      <w:r>
        <w:rPr>
          <w:rFonts w:hint="eastAsia" w:ascii="楷体" w:hAnsi="楷体" w:eastAsia="楷体" w:cs="仿宋"/>
          <w:b/>
          <w:bCs/>
          <w:color w:val="auto"/>
          <w:szCs w:val="24"/>
          <w:highlight w:val="none"/>
        </w:rPr>
        <w:t>、不可抗力情况下的免责约定</w:t>
      </w:r>
    </w:p>
    <w:p>
      <w:pPr>
        <w:spacing w:line="360" w:lineRule="auto"/>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 xml:space="preserve">    双方约定不可抗力情况指：双方不可预见、不可避免、不可克服的客观情况，但不包括双方的违约或疏忽。这些事件包括但不限于：战争、严重火灾、洪水、台风、地震等。</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十</w:t>
      </w:r>
      <w:r>
        <w:rPr>
          <w:rFonts w:hint="eastAsia" w:ascii="楷体" w:hAnsi="楷体" w:eastAsia="楷体" w:cs="仿宋"/>
          <w:b/>
          <w:color w:val="auto"/>
          <w:szCs w:val="24"/>
          <w:highlight w:val="none"/>
          <w:lang w:val="en-US" w:eastAsia="zh-CN"/>
        </w:rPr>
        <w:t>二</w:t>
      </w:r>
      <w:r>
        <w:rPr>
          <w:rFonts w:hint="eastAsia" w:ascii="楷体" w:hAnsi="楷体" w:eastAsia="楷体" w:cs="仿宋"/>
          <w:b/>
          <w:color w:val="auto"/>
          <w:szCs w:val="24"/>
          <w:highlight w:val="none"/>
        </w:rPr>
        <w:t>、违约责任：</w:t>
      </w:r>
      <w:r>
        <w:rPr>
          <w:rFonts w:hint="eastAsia" w:ascii="楷体" w:hAnsi="楷体" w:eastAsia="楷体" w:cs="仿宋"/>
          <w:color w:val="auto"/>
          <w:szCs w:val="24"/>
          <w:highlight w:val="none"/>
        </w:rPr>
        <w:t>详见“第三章合同条款及格式前附表”</w:t>
      </w:r>
    </w:p>
    <w:p>
      <w:pPr>
        <w:spacing w:line="360" w:lineRule="auto"/>
        <w:rPr>
          <w:rFonts w:hint="eastAsia" w:ascii="楷体" w:hAnsi="楷体" w:eastAsia="楷体" w:cs="仿宋"/>
          <w:color w:val="auto"/>
          <w:szCs w:val="24"/>
          <w:highlight w:val="none"/>
        </w:rPr>
      </w:pPr>
      <w:r>
        <w:rPr>
          <w:rFonts w:hint="eastAsia" w:ascii="楷体" w:hAnsi="楷体" w:eastAsia="楷体" w:cs="仿宋"/>
          <w:b/>
          <w:color w:val="auto"/>
          <w:szCs w:val="24"/>
          <w:highlight w:val="none"/>
          <w:lang w:eastAsia="zh-CN"/>
        </w:rPr>
        <w:t>十</w:t>
      </w:r>
      <w:r>
        <w:rPr>
          <w:rFonts w:hint="eastAsia" w:ascii="楷体" w:hAnsi="楷体" w:eastAsia="楷体" w:cs="仿宋"/>
          <w:b/>
          <w:color w:val="auto"/>
          <w:szCs w:val="24"/>
          <w:highlight w:val="none"/>
          <w:lang w:val="en-US" w:eastAsia="zh-CN"/>
        </w:rPr>
        <w:t>三</w:t>
      </w:r>
      <w:r>
        <w:rPr>
          <w:rFonts w:hint="eastAsia" w:ascii="楷体" w:hAnsi="楷体" w:eastAsia="楷体" w:cs="仿宋"/>
          <w:b/>
          <w:color w:val="auto"/>
          <w:szCs w:val="24"/>
          <w:highlight w:val="none"/>
        </w:rPr>
        <w:t>、其他（</w:t>
      </w:r>
      <w:r>
        <w:rPr>
          <w:rFonts w:hint="eastAsia" w:ascii="楷体" w:hAnsi="楷体" w:eastAsia="楷体" w:cs="仿宋"/>
          <w:color w:val="auto"/>
          <w:szCs w:val="24"/>
          <w:highlight w:val="none"/>
        </w:rPr>
        <w:t>在合同中具体明确）</w:t>
      </w:r>
    </w:p>
    <w:p>
      <w:pPr>
        <w:spacing w:line="360" w:lineRule="auto"/>
        <w:rPr>
          <w:rFonts w:hint="eastAsia" w:ascii="楷体" w:hAnsi="楷体" w:eastAsia="楷体" w:cs="仿宋"/>
          <w:b/>
          <w:color w:val="auto"/>
          <w:highlight w:val="none"/>
        </w:rPr>
      </w:pPr>
      <w:r>
        <w:rPr>
          <w:rFonts w:hint="eastAsia" w:ascii="楷体" w:hAnsi="楷体" w:eastAsia="楷体" w:cs="仿宋"/>
          <w:b/>
          <w:color w:val="auto"/>
          <w:highlight w:val="none"/>
        </w:rPr>
        <w:t>十</w:t>
      </w:r>
      <w:r>
        <w:rPr>
          <w:rFonts w:hint="eastAsia" w:ascii="楷体" w:hAnsi="楷体" w:eastAsia="楷体" w:cs="仿宋"/>
          <w:b/>
          <w:color w:val="auto"/>
          <w:highlight w:val="none"/>
          <w:lang w:val="en-US" w:eastAsia="zh-CN"/>
        </w:rPr>
        <w:t>四</w:t>
      </w:r>
      <w:r>
        <w:rPr>
          <w:rFonts w:hint="eastAsia" w:ascii="楷体" w:hAnsi="楷体" w:eastAsia="楷体" w:cs="仿宋"/>
          <w:b/>
          <w:color w:val="auto"/>
          <w:highlight w:val="none"/>
        </w:rPr>
        <w:t>、合同订立</w:t>
      </w:r>
    </w:p>
    <w:p>
      <w:pPr>
        <w:adjustRightInd w:val="0"/>
        <w:snapToGrid w:val="0"/>
        <w:spacing w:line="360" w:lineRule="auto"/>
        <w:ind w:firstLine="475" w:firstLineChars="198"/>
        <w:rPr>
          <w:rFonts w:hint="eastAsia" w:ascii="楷体" w:hAnsi="楷体" w:eastAsia="楷体" w:cs="仿宋"/>
          <w:color w:val="auto"/>
          <w:highlight w:val="none"/>
        </w:rPr>
      </w:pPr>
      <w:r>
        <w:rPr>
          <w:rFonts w:hint="eastAsia" w:ascii="楷体" w:hAnsi="楷体" w:eastAsia="楷体" w:cs="仿宋"/>
          <w:color w:val="auto"/>
          <w:highlight w:val="none"/>
        </w:rPr>
        <w:t>1. 订立时间：</w:t>
      </w:r>
      <w:r>
        <w:rPr>
          <w:rFonts w:hint="eastAsia" w:ascii="楷体" w:hAnsi="楷体" w:eastAsia="楷体" w:cs="仿宋"/>
          <w:color w:val="auto"/>
          <w:highlight w:val="none"/>
          <w:u w:val="single"/>
        </w:rPr>
        <w:t xml:space="preserve">          </w:t>
      </w:r>
      <w:r>
        <w:rPr>
          <w:rFonts w:hint="eastAsia" w:ascii="楷体" w:hAnsi="楷体" w:eastAsia="楷体" w:cs="仿宋"/>
          <w:color w:val="auto"/>
          <w:highlight w:val="none"/>
        </w:rPr>
        <w:t>年</w:t>
      </w:r>
      <w:r>
        <w:rPr>
          <w:rFonts w:hint="eastAsia" w:ascii="楷体" w:hAnsi="楷体" w:eastAsia="楷体" w:cs="仿宋"/>
          <w:color w:val="auto"/>
          <w:highlight w:val="none"/>
          <w:u w:val="single"/>
        </w:rPr>
        <w:t xml:space="preserve">       </w:t>
      </w:r>
      <w:r>
        <w:rPr>
          <w:rFonts w:hint="eastAsia" w:ascii="楷体" w:hAnsi="楷体" w:eastAsia="楷体" w:cs="仿宋"/>
          <w:color w:val="auto"/>
          <w:highlight w:val="none"/>
        </w:rPr>
        <w:t>月</w:t>
      </w:r>
      <w:r>
        <w:rPr>
          <w:rFonts w:hint="eastAsia" w:ascii="楷体" w:hAnsi="楷体" w:eastAsia="楷体" w:cs="仿宋"/>
          <w:color w:val="auto"/>
          <w:highlight w:val="none"/>
          <w:u w:val="single"/>
        </w:rPr>
        <w:t xml:space="preserve">      </w:t>
      </w:r>
      <w:r>
        <w:rPr>
          <w:rFonts w:hint="eastAsia" w:ascii="楷体" w:hAnsi="楷体" w:eastAsia="楷体" w:cs="仿宋"/>
          <w:color w:val="auto"/>
          <w:highlight w:val="none"/>
        </w:rPr>
        <w:t>日。</w:t>
      </w:r>
    </w:p>
    <w:p>
      <w:pPr>
        <w:adjustRightInd w:val="0"/>
        <w:snapToGrid w:val="0"/>
        <w:spacing w:line="360" w:lineRule="auto"/>
        <w:ind w:firstLine="475" w:firstLineChars="198"/>
        <w:rPr>
          <w:rFonts w:hint="eastAsia" w:ascii="楷体" w:hAnsi="楷体" w:eastAsia="楷体" w:cs="仿宋"/>
          <w:color w:val="auto"/>
          <w:highlight w:val="none"/>
        </w:rPr>
      </w:pPr>
      <w:r>
        <w:rPr>
          <w:rFonts w:hint="eastAsia" w:ascii="楷体" w:hAnsi="楷体" w:eastAsia="楷体" w:cs="仿宋"/>
          <w:color w:val="auto"/>
          <w:highlight w:val="none"/>
        </w:rPr>
        <w:t>2. 订立地点：</w:t>
      </w:r>
      <w:r>
        <w:rPr>
          <w:rFonts w:hint="eastAsia" w:ascii="楷体" w:hAnsi="楷体" w:eastAsia="楷体" w:cs="仿宋"/>
          <w:color w:val="auto"/>
          <w:highlight w:val="none"/>
          <w:u w:val="single"/>
        </w:rPr>
        <w:t xml:space="preserve">                                 </w:t>
      </w:r>
      <w:r>
        <w:rPr>
          <w:rFonts w:hint="eastAsia" w:ascii="楷体" w:hAnsi="楷体" w:eastAsia="楷体" w:cs="仿宋"/>
          <w:color w:val="auto"/>
          <w:highlight w:val="none"/>
        </w:rPr>
        <w:t>。</w:t>
      </w:r>
    </w:p>
    <w:p>
      <w:pPr>
        <w:tabs>
          <w:tab w:val="left" w:pos="980"/>
        </w:tabs>
        <w:kinsoku w:val="0"/>
        <w:spacing w:line="360" w:lineRule="auto"/>
        <w:ind w:firstLine="480" w:firstLineChars="200"/>
        <w:rPr>
          <w:rFonts w:hint="eastAsia" w:ascii="楷体" w:hAnsi="楷体" w:eastAsia="楷体" w:cs="仿宋"/>
          <w:color w:val="auto"/>
          <w:highlight w:val="none"/>
        </w:rPr>
      </w:pPr>
      <w:r>
        <w:rPr>
          <w:rFonts w:hint="eastAsia" w:ascii="楷体" w:hAnsi="楷体" w:eastAsia="楷体" w:cs="仿宋"/>
          <w:color w:val="auto"/>
          <w:highlight w:val="none"/>
        </w:rPr>
        <w:t>3. 本合同一式</w:t>
      </w:r>
      <w:r>
        <w:rPr>
          <w:rFonts w:hint="eastAsia" w:ascii="楷体" w:hAnsi="楷体" w:eastAsia="楷体" w:cs="仿宋"/>
          <w:color w:val="auto"/>
          <w:highlight w:val="none"/>
          <w:u w:val="single"/>
        </w:rPr>
        <w:t xml:space="preserve"> 陆 </w:t>
      </w:r>
      <w:r>
        <w:rPr>
          <w:rFonts w:hint="eastAsia" w:ascii="楷体" w:hAnsi="楷体" w:eastAsia="楷体" w:cs="仿宋"/>
          <w:color w:val="auto"/>
          <w:highlight w:val="none"/>
        </w:rPr>
        <w:t>份，具有同等法律效力，双方各执</w:t>
      </w:r>
      <w:r>
        <w:rPr>
          <w:rFonts w:hint="eastAsia" w:ascii="楷体" w:hAnsi="楷体" w:eastAsia="楷体" w:cs="仿宋"/>
          <w:color w:val="auto"/>
          <w:highlight w:val="none"/>
          <w:u w:val="single"/>
        </w:rPr>
        <w:t xml:space="preserve"> 贰 </w:t>
      </w:r>
      <w:r>
        <w:rPr>
          <w:rFonts w:hint="eastAsia" w:ascii="楷体" w:hAnsi="楷体" w:eastAsia="楷体" w:cs="仿宋"/>
          <w:color w:val="auto"/>
          <w:highlight w:val="none"/>
        </w:rPr>
        <w:t>份，监管部门备案</w:t>
      </w:r>
      <w:r>
        <w:rPr>
          <w:rFonts w:hint="eastAsia" w:ascii="楷体" w:hAnsi="楷体" w:eastAsia="楷体" w:cs="仿宋"/>
          <w:color w:val="auto"/>
          <w:highlight w:val="none"/>
          <w:u w:val="single"/>
        </w:rPr>
        <w:t xml:space="preserve"> 壹 </w:t>
      </w:r>
      <w:r>
        <w:rPr>
          <w:rFonts w:hint="eastAsia" w:ascii="楷体" w:hAnsi="楷体" w:eastAsia="楷体" w:cs="仿宋"/>
          <w:color w:val="auto"/>
          <w:highlight w:val="none"/>
        </w:rPr>
        <w:t>份、招标代理机构存档</w:t>
      </w:r>
      <w:r>
        <w:rPr>
          <w:rFonts w:hint="eastAsia" w:ascii="楷体" w:hAnsi="楷体" w:eastAsia="楷体" w:cs="仿宋"/>
          <w:color w:val="auto"/>
          <w:highlight w:val="none"/>
          <w:u w:val="single"/>
        </w:rPr>
        <w:t xml:space="preserve"> 壹 </w:t>
      </w:r>
      <w:r>
        <w:rPr>
          <w:rFonts w:hint="eastAsia" w:ascii="楷体" w:hAnsi="楷体" w:eastAsia="楷体" w:cs="仿宋"/>
          <w:color w:val="auto"/>
          <w:highlight w:val="none"/>
        </w:rPr>
        <w:t>份。各方签字盖章后生效，合同执行完毕自动失效。（合同的服务承诺则长期有效）。</w:t>
      </w:r>
    </w:p>
    <w:p>
      <w:pPr>
        <w:adjustRightInd w:val="0"/>
        <w:snapToGrid w:val="0"/>
        <w:spacing w:line="360" w:lineRule="auto"/>
        <w:ind w:firstLine="475" w:firstLineChars="198"/>
        <w:rPr>
          <w:rFonts w:hint="eastAsia" w:ascii="楷体" w:hAnsi="楷体" w:eastAsia="楷体" w:cs="仿宋"/>
          <w:color w:val="auto"/>
          <w:highlight w:val="none"/>
        </w:rPr>
      </w:pPr>
    </w:p>
    <w:p>
      <w:pPr>
        <w:tabs>
          <w:tab w:val="left" w:pos="480"/>
        </w:tabs>
        <w:spacing w:line="360" w:lineRule="auto"/>
        <w:ind w:firstLine="964" w:firstLineChars="400"/>
        <w:rPr>
          <w:rFonts w:ascii="楷体" w:hAnsi="楷体" w:eastAsia="楷体"/>
          <w:b/>
          <w:color w:val="auto"/>
          <w:highlight w:val="none"/>
        </w:rPr>
      </w:pPr>
      <w:r>
        <w:rPr>
          <w:rFonts w:hint="eastAsia" w:ascii="楷体" w:hAnsi="楷体" w:eastAsia="楷体"/>
          <w:b/>
          <w:color w:val="auto"/>
          <w:highlight w:val="none"/>
        </w:rPr>
        <w:t>甲  方（公章）</w:t>
      </w:r>
      <w:r>
        <w:rPr>
          <w:rFonts w:hint="eastAsia" w:ascii="楷体" w:hAnsi="楷体" w:eastAsia="楷体"/>
          <w:color w:val="auto"/>
          <w:highlight w:val="none"/>
        </w:rPr>
        <w:t xml:space="preserve">                </w:t>
      </w:r>
      <w:r>
        <w:rPr>
          <w:rFonts w:hint="eastAsia" w:ascii="楷体" w:hAnsi="楷体" w:eastAsia="楷体"/>
          <w:b/>
          <w:color w:val="auto"/>
          <w:highlight w:val="none"/>
        </w:rPr>
        <w:t xml:space="preserve">乙  方（公章）           </w:t>
      </w:r>
    </w:p>
    <w:p>
      <w:pPr>
        <w:tabs>
          <w:tab w:val="left" w:pos="480"/>
        </w:tabs>
        <w:spacing w:line="360" w:lineRule="auto"/>
        <w:rPr>
          <w:rFonts w:hint="eastAsia" w:ascii="楷体" w:hAnsi="楷体" w:eastAsia="楷体"/>
          <w:color w:val="auto"/>
          <w:highlight w:val="none"/>
        </w:rPr>
      </w:pPr>
    </w:p>
    <w:p>
      <w:pPr>
        <w:tabs>
          <w:tab w:val="left" w:pos="480"/>
        </w:tabs>
        <w:spacing w:line="360" w:lineRule="auto"/>
        <w:ind w:firstLine="960" w:firstLineChars="400"/>
        <w:rPr>
          <w:rFonts w:hint="eastAsia" w:ascii="楷体" w:hAnsi="楷体" w:eastAsia="楷体"/>
          <w:color w:val="auto"/>
          <w:highlight w:val="none"/>
        </w:rPr>
      </w:pPr>
      <w:r>
        <w:rPr>
          <w:rFonts w:hint="eastAsia" w:ascii="楷体" w:hAnsi="楷体" w:eastAsia="楷体"/>
          <w:color w:val="auto"/>
          <w:highlight w:val="none"/>
        </w:rPr>
        <w:t xml:space="preserve">单位名称：                    单位名称：                </w:t>
      </w:r>
    </w:p>
    <w:p>
      <w:pPr>
        <w:tabs>
          <w:tab w:val="left" w:pos="480"/>
        </w:tabs>
        <w:spacing w:line="360" w:lineRule="auto"/>
        <w:ind w:firstLine="960" w:firstLineChars="400"/>
        <w:rPr>
          <w:rFonts w:hint="eastAsia" w:ascii="楷体" w:hAnsi="楷体" w:eastAsia="楷体"/>
          <w:color w:val="auto"/>
          <w:highlight w:val="none"/>
        </w:rPr>
      </w:pPr>
      <w:r>
        <w:rPr>
          <w:rFonts w:hint="eastAsia" w:ascii="楷体" w:hAnsi="楷体" w:eastAsia="楷体"/>
          <w:color w:val="auto"/>
          <w:highlight w:val="none"/>
        </w:rPr>
        <w:t xml:space="preserve">地    址：                    地    址：               </w:t>
      </w:r>
    </w:p>
    <w:p>
      <w:pPr>
        <w:tabs>
          <w:tab w:val="left" w:pos="480"/>
        </w:tabs>
        <w:spacing w:line="360" w:lineRule="auto"/>
        <w:ind w:firstLine="960" w:firstLineChars="400"/>
        <w:rPr>
          <w:rFonts w:hint="eastAsia" w:ascii="楷体" w:hAnsi="楷体" w:eastAsia="楷体"/>
          <w:color w:val="auto"/>
          <w:highlight w:val="none"/>
        </w:rPr>
      </w:pPr>
      <w:r>
        <w:rPr>
          <w:rFonts w:hint="eastAsia" w:ascii="楷体" w:hAnsi="楷体" w:eastAsia="楷体"/>
          <w:color w:val="auto"/>
          <w:highlight w:val="none"/>
        </w:rPr>
        <w:t xml:space="preserve">代 理 人：                    代 理 人：             </w:t>
      </w:r>
    </w:p>
    <w:p>
      <w:pPr>
        <w:tabs>
          <w:tab w:val="left" w:pos="480"/>
        </w:tabs>
        <w:spacing w:line="360" w:lineRule="auto"/>
        <w:ind w:firstLine="960" w:firstLineChars="400"/>
        <w:rPr>
          <w:rFonts w:hint="eastAsia" w:ascii="楷体" w:hAnsi="楷体" w:eastAsia="楷体"/>
          <w:color w:val="auto"/>
          <w:highlight w:val="none"/>
        </w:rPr>
      </w:pPr>
      <w:r>
        <w:rPr>
          <w:rFonts w:hint="eastAsia" w:ascii="楷体" w:hAnsi="楷体" w:eastAsia="楷体"/>
          <w:color w:val="auto"/>
          <w:highlight w:val="none"/>
        </w:rPr>
        <w:t xml:space="preserve">联系电话：                    联系电话：                </w:t>
      </w:r>
    </w:p>
    <w:p>
      <w:pPr>
        <w:tabs>
          <w:tab w:val="left" w:pos="480"/>
        </w:tabs>
        <w:spacing w:line="360" w:lineRule="auto"/>
        <w:rPr>
          <w:rFonts w:hint="eastAsia" w:ascii="楷体" w:hAnsi="楷体" w:eastAsia="楷体"/>
          <w:color w:val="auto"/>
          <w:highlight w:val="none"/>
        </w:rPr>
      </w:pPr>
      <w:r>
        <w:rPr>
          <w:rFonts w:hint="eastAsia" w:ascii="楷体" w:hAnsi="楷体" w:eastAsia="楷体"/>
          <w:color w:val="auto"/>
          <w:highlight w:val="none"/>
        </w:rPr>
        <w:t xml:space="preserve">                                      帐    号：</w:t>
      </w:r>
    </w:p>
    <w:p>
      <w:pPr>
        <w:tabs>
          <w:tab w:val="left" w:pos="480"/>
        </w:tabs>
        <w:spacing w:line="360" w:lineRule="auto"/>
        <w:rPr>
          <w:rFonts w:hint="eastAsia" w:ascii="楷体" w:hAnsi="楷体" w:eastAsia="楷体"/>
          <w:color w:val="auto"/>
          <w:highlight w:val="none"/>
        </w:rPr>
      </w:pPr>
      <w:r>
        <w:rPr>
          <w:rFonts w:hint="eastAsia" w:ascii="楷体" w:hAnsi="楷体" w:eastAsia="楷体"/>
          <w:color w:val="auto"/>
          <w:highlight w:val="none"/>
        </w:rPr>
        <w:t xml:space="preserve">                                      开户银行： </w:t>
      </w:r>
    </w:p>
    <w:p>
      <w:pPr>
        <w:tabs>
          <w:tab w:val="left" w:pos="480"/>
        </w:tabs>
        <w:spacing w:line="360" w:lineRule="auto"/>
        <w:rPr>
          <w:rFonts w:hint="eastAsia" w:ascii="楷体" w:hAnsi="楷体" w:eastAsia="楷体"/>
          <w:color w:val="auto"/>
          <w:highlight w:val="none"/>
        </w:rPr>
      </w:pPr>
    </w:p>
    <w:p>
      <w:pPr>
        <w:tabs>
          <w:tab w:val="left" w:pos="480"/>
          <w:tab w:val="left" w:pos="3261"/>
        </w:tabs>
        <w:spacing w:line="360" w:lineRule="auto"/>
        <w:ind w:firstLine="960" w:firstLineChars="400"/>
        <w:rPr>
          <w:rFonts w:hint="eastAsia" w:ascii="楷体" w:hAnsi="楷体" w:eastAsia="楷体"/>
          <w:color w:val="auto"/>
          <w:highlight w:val="none"/>
        </w:rPr>
      </w:pPr>
      <w:r>
        <w:rPr>
          <w:rFonts w:hint="eastAsia" w:ascii="楷体" w:hAnsi="楷体" w:eastAsia="楷体"/>
          <w:color w:val="auto"/>
          <w:highlight w:val="none"/>
        </w:rPr>
        <w:t xml:space="preserve">签订日期：                   签订日期：              </w:t>
      </w:r>
    </w:p>
    <w:p>
      <w:pPr>
        <w:adjustRightInd w:val="0"/>
        <w:snapToGrid w:val="0"/>
        <w:spacing w:line="360" w:lineRule="auto"/>
        <w:ind w:firstLine="475" w:firstLineChars="198"/>
        <w:rPr>
          <w:rFonts w:hint="eastAsia" w:ascii="楷体" w:hAnsi="楷体" w:eastAsia="楷体" w:cs="仿宋"/>
          <w:color w:val="auto"/>
          <w:highlight w:val="none"/>
        </w:rPr>
        <w:sectPr>
          <w:headerReference r:id="rId4" w:type="default"/>
          <w:footerReference r:id="rId5" w:type="default"/>
          <w:type w:val="continuous"/>
          <w:pgSz w:w="11906" w:h="16838"/>
          <w:pgMar w:top="1440" w:right="1153" w:bottom="1440" w:left="1633" w:header="851" w:footer="992" w:gutter="0"/>
          <w:pgNumType w:fmt="decimal" w:start="1"/>
          <w:cols w:space="720" w:num="1"/>
          <w:docGrid w:type="lines" w:linePitch="326" w:charSpace="0"/>
        </w:sectPr>
      </w:pPr>
      <w:r>
        <w:rPr>
          <w:rFonts w:hint="eastAsia" w:ascii="楷体" w:hAnsi="楷体" w:eastAsia="楷体" w:cs="仿宋"/>
          <w:color w:val="auto"/>
          <w:highlight w:val="none"/>
        </w:rPr>
        <w:t xml:space="preserve">   </w:t>
      </w:r>
    </w:p>
    <w:p>
      <w:pPr>
        <w:numPr>
          <w:ilvl w:val="0"/>
          <w:numId w:val="6"/>
        </w:numPr>
        <w:adjustRightInd w:val="0"/>
        <w:snapToGrid w:val="0"/>
        <w:spacing w:line="360" w:lineRule="auto"/>
        <w:jc w:val="center"/>
        <w:rPr>
          <w:rStyle w:val="141"/>
          <w:rFonts w:hint="eastAsia"/>
          <w:color w:val="auto"/>
          <w:highlight w:val="none"/>
        </w:rPr>
      </w:pPr>
      <w:bookmarkStart w:id="46" w:name="_Toc31882573"/>
      <w:r>
        <w:rPr>
          <w:rStyle w:val="141"/>
          <w:rFonts w:hint="eastAsia"/>
          <w:color w:val="auto"/>
          <w:highlight w:val="none"/>
        </w:rPr>
        <w:t xml:space="preserve"> 磋商内容及技术要求</w:t>
      </w:r>
      <w:bookmarkEnd w:id="46"/>
    </w:p>
    <w:p>
      <w:pPr>
        <w:keepNext w:val="0"/>
        <w:keepLines w:val="0"/>
        <w:pageBreakBefore w:val="0"/>
        <w:widowControl w:val="0"/>
        <w:wordWrap/>
        <w:topLinePunct w:val="0"/>
        <w:bidi w:val="0"/>
        <w:adjustRightInd/>
        <w:snapToGrid/>
        <w:spacing w:line="360" w:lineRule="auto"/>
        <w:ind w:left="0" w:leftChars="0" w:firstLine="482" w:firstLineChars="200"/>
        <w:textAlignment w:val="auto"/>
        <w:rPr>
          <w:rFonts w:hint="eastAsia" w:ascii="楷体" w:hAnsi="楷体" w:eastAsia="楷体" w:cs="楷体"/>
          <w:b/>
          <w:bCs/>
          <w:color w:val="auto"/>
          <w:sz w:val="24"/>
          <w:szCs w:val="24"/>
          <w:highlight w:val="none"/>
        </w:rPr>
      </w:pPr>
      <w:bookmarkStart w:id="47" w:name="_Toc526801689"/>
      <w:bookmarkStart w:id="48" w:name="_Toc526028277"/>
      <w:r>
        <w:rPr>
          <w:rFonts w:hint="eastAsia" w:ascii="楷体" w:hAnsi="楷体" w:eastAsia="楷体" w:cs="楷体"/>
          <w:b/>
          <w:bCs/>
          <w:color w:val="auto"/>
          <w:sz w:val="24"/>
          <w:szCs w:val="24"/>
          <w:highlight w:val="none"/>
          <w:lang w:eastAsia="zh-CN"/>
        </w:rPr>
        <w:t>一</w:t>
      </w:r>
      <w:r>
        <w:rPr>
          <w:rFonts w:hint="eastAsia" w:ascii="楷体" w:hAnsi="楷体" w:eastAsia="楷体" w:cs="楷体"/>
          <w:b/>
          <w:bCs/>
          <w:color w:val="auto"/>
          <w:sz w:val="24"/>
          <w:szCs w:val="24"/>
          <w:highlight w:val="none"/>
        </w:rPr>
        <w:t>、</w:t>
      </w:r>
      <w:r>
        <w:rPr>
          <w:rFonts w:hint="eastAsia" w:ascii="楷体" w:hAnsi="楷体" w:eastAsia="楷体" w:cs="楷体"/>
          <w:b/>
          <w:bCs/>
          <w:color w:val="auto"/>
          <w:sz w:val="24"/>
          <w:szCs w:val="24"/>
          <w:highlight w:val="none"/>
          <w:lang w:eastAsia="zh-CN"/>
        </w:rPr>
        <w:t>建设目标</w:t>
      </w:r>
    </w:p>
    <w:p>
      <w:pPr>
        <w:pStyle w:val="21"/>
        <w:keepNext w:val="0"/>
        <w:keepLines w:val="0"/>
        <w:pageBreakBefore w:val="0"/>
        <w:widowControl w:val="0"/>
        <w:wordWrap/>
        <w:topLinePunct w:val="0"/>
        <w:bidi w:val="0"/>
        <w:adjustRightInd/>
        <w:snapToGrid/>
        <w:spacing w:after="0" w:line="360" w:lineRule="auto"/>
        <w:ind w:left="0" w:firstLine="480" w:firstLineChars="200"/>
        <w:textAlignment w:val="auto"/>
        <w:rPr>
          <w:rFonts w:hint="eastAsia" w:ascii="楷体" w:hAnsi="楷体" w:eastAsia="楷体" w:cs="楷体"/>
          <w:color w:val="auto"/>
          <w:sz w:val="24"/>
          <w:szCs w:val="24"/>
          <w:highlight w:val="none"/>
          <w:vertAlign w:val="baseline"/>
          <w:lang w:eastAsia="zh-CN"/>
        </w:rPr>
      </w:pPr>
      <w:r>
        <w:rPr>
          <w:rFonts w:hint="eastAsia" w:ascii="楷体" w:hAnsi="楷体" w:eastAsia="楷体" w:cs="楷体"/>
          <w:color w:val="auto"/>
          <w:sz w:val="24"/>
          <w:szCs w:val="24"/>
          <w:highlight w:val="none"/>
          <w:vertAlign w:val="baseline"/>
          <w:lang w:eastAsia="zh-CN"/>
        </w:rPr>
        <w:t>汉阴中学教学主楼多媒体设</w:t>
      </w:r>
      <w:r>
        <w:rPr>
          <w:rFonts w:hint="eastAsia" w:ascii="楷体" w:hAnsi="楷体" w:eastAsia="楷体" w:cs="楷体"/>
          <w:color w:val="auto"/>
          <w:sz w:val="24"/>
          <w:szCs w:val="24"/>
          <w:highlight w:val="none"/>
          <w:vertAlign w:val="baseline"/>
          <w:lang w:val="en-US" w:eastAsia="zh-CN"/>
        </w:rPr>
        <w:t>备</w:t>
      </w:r>
      <w:r>
        <w:rPr>
          <w:rFonts w:hint="eastAsia" w:ascii="楷体" w:hAnsi="楷体" w:eastAsia="楷体" w:cs="楷体"/>
          <w:color w:val="auto"/>
          <w:sz w:val="24"/>
          <w:szCs w:val="24"/>
          <w:highlight w:val="none"/>
          <w:vertAlign w:val="baseline"/>
          <w:lang w:eastAsia="zh-CN"/>
        </w:rPr>
        <w:t>自2013年安装以来，连续9年使用，设备已经严重老化，投影亮度极差，颜色失真，系统经常死机，给教学带来极大不便，为了给高三年级教学提供良好的信息化教学环境，提高教学效率，考虑到学校实际情况，计划给教学主楼更新多媒体智慧黑板25套，现将预算及设备配置清单列表如下：</w:t>
      </w:r>
    </w:p>
    <w:p>
      <w:pPr>
        <w:pStyle w:val="21"/>
        <w:keepNext w:val="0"/>
        <w:keepLines w:val="0"/>
        <w:pageBreakBefore w:val="0"/>
        <w:widowControl w:val="0"/>
        <w:wordWrap/>
        <w:topLinePunct w:val="0"/>
        <w:bidi w:val="0"/>
        <w:adjustRightInd/>
        <w:snapToGrid/>
        <w:spacing w:after="0" w:line="360" w:lineRule="auto"/>
        <w:ind w:left="0" w:firstLine="482" w:firstLineChars="200"/>
        <w:textAlignment w:val="auto"/>
        <w:rPr>
          <w:rFonts w:hint="eastAsia" w:ascii="楷体" w:hAnsi="楷体" w:eastAsia="楷体" w:cs="楷体"/>
          <w:b/>
          <w:bCs/>
          <w:color w:val="auto"/>
          <w:sz w:val="24"/>
          <w:szCs w:val="24"/>
          <w:highlight w:val="none"/>
          <w:vertAlign w:val="baseline"/>
          <w:lang w:eastAsia="zh-CN"/>
        </w:rPr>
      </w:pPr>
      <w:r>
        <w:rPr>
          <w:rFonts w:hint="eastAsia" w:ascii="楷体" w:hAnsi="楷体" w:eastAsia="楷体" w:cs="楷体"/>
          <w:b/>
          <w:bCs/>
          <w:color w:val="auto"/>
          <w:sz w:val="24"/>
          <w:szCs w:val="24"/>
          <w:highlight w:val="none"/>
          <w:vertAlign w:val="baseline"/>
          <w:lang w:eastAsia="zh-CN"/>
        </w:rPr>
        <w:t>二、采购内容</w:t>
      </w:r>
    </w:p>
    <w:p>
      <w:pPr>
        <w:pStyle w:val="21"/>
        <w:keepNext w:val="0"/>
        <w:keepLines w:val="0"/>
        <w:pageBreakBefore w:val="0"/>
        <w:widowControl w:val="0"/>
        <w:wordWrap/>
        <w:topLinePunct w:val="0"/>
        <w:bidi w:val="0"/>
        <w:adjustRightInd/>
        <w:snapToGrid/>
        <w:spacing w:after="0" w:line="360" w:lineRule="auto"/>
        <w:ind w:left="0" w:firstLine="480" w:firstLineChars="200"/>
        <w:textAlignment w:val="auto"/>
        <w:rPr>
          <w:rFonts w:hint="eastAsia" w:ascii="楷体" w:hAnsi="楷体" w:eastAsia="楷体" w:cs="楷体"/>
          <w:color w:val="auto"/>
          <w:sz w:val="24"/>
          <w:szCs w:val="24"/>
          <w:highlight w:val="none"/>
          <w:vertAlign w:val="baseline"/>
          <w:lang w:eastAsia="zh-CN"/>
        </w:rPr>
      </w:pPr>
      <w:r>
        <w:rPr>
          <w:rFonts w:hint="eastAsia" w:ascii="楷体" w:hAnsi="楷体" w:eastAsia="楷体" w:cs="楷体"/>
          <w:color w:val="auto"/>
          <w:sz w:val="24"/>
          <w:szCs w:val="24"/>
          <w:highlight w:val="none"/>
          <w:vertAlign w:val="baseline"/>
          <w:lang w:eastAsia="zh-CN"/>
        </w:rPr>
        <w:t>采购多媒体智慧黑板25套。</w:t>
      </w:r>
      <w:bookmarkEnd w:id="47"/>
      <w:bookmarkEnd w:id="48"/>
    </w:p>
    <w:bookmarkEnd w:id="36"/>
    <w:bookmarkEnd w:id="37"/>
    <w:bookmarkEnd w:id="38"/>
    <w:bookmarkEnd w:id="39"/>
    <w:bookmarkEnd w:id="40"/>
    <w:bookmarkEnd w:id="41"/>
    <w:bookmarkEnd w:id="42"/>
    <w:bookmarkEnd w:id="43"/>
    <w:p>
      <w:pPr>
        <w:pStyle w:val="21"/>
        <w:keepNext w:val="0"/>
        <w:keepLines w:val="0"/>
        <w:pageBreakBefore w:val="0"/>
        <w:widowControl w:val="0"/>
        <w:numPr>
          <w:ilvl w:val="0"/>
          <w:numId w:val="7"/>
        </w:numPr>
        <w:wordWrap/>
        <w:topLinePunct w:val="0"/>
        <w:bidi w:val="0"/>
        <w:adjustRightInd/>
        <w:snapToGrid/>
        <w:spacing w:after="0" w:line="360" w:lineRule="auto"/>
        <w:ind w:left="0" w:firstLine="482" w:firstLineChars="200"/>
        <w:textAlignment w:val="auto"/>
        <w:rPr>
          <w:rFonts w:hint="eastAsia" w:ascii="楷体" w:hAnsi="楷体" w:eastAsia="楷体" w:cs="楷体"/>
          <w:b/>
          <w:bCs/>
          <w:color w:val="auto"/>
          <w:sz w:val="24"/>
          <w:szCs w:val="24"/>
          <w:highlight w:val="none"/>
          <w:lang w:eastAsia="zh-CN"/>
        </w:rPr>
      </w:pPr>
      <w:bookmarkStart w:id="49" w:name="_Toc31882574"/>
      <w:bookmarkStart w:id="50" w:name="_Toc13146"/>
      <w:bookmarkStart w:id="51" w:name="_Toc20481"/>
      <w:bookmarkStart w:id="52" w:name="_Toc4053"/>
      <w:bookmarkStart w:id="53" w:name="_Toc11450"/>
      <w:bookmarkStart w:id="54" w:name="_Toc2711"/>
      <w:bookmarkStart w:id="55" w:name="_Toc23856"/>
      <w:bookmarkStart w:id="56" w:name="_Toc1025"/>
      <w:bookmarkStart w:id="57" w:name="_Toc389582038"/>
      <w:r>
        <w:rPr>
          <w:rFonts w:hint="eastAsia" w:ascii="楷体" w:hAnsi="楷体" w:eastAsia="楷体" w:cs="楷体"/>
          <w:b/>
          <w:bCs/>
          <w:color w:val="auto"/>
          <w:sz w:val="24"/>
          <w:szCs w:val="24"/>
          <w:highlight w:val="none"/>
          <w:lang w:eastAsia="zh-CN"/>
        </w:rPr>
        <w:t>新款交互黑板配置清单</w:t>
      </w:r>
    </w:p>
    <w:tbl>
      <w:tblPr>
        <w:tblStyle w:val="46"/>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9"/>
        <w:gridCol w:w="2026"/>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999" w:type="dxa"/>
            <w:shd w:val="clear" w:color="auto" w:fill="auto"/>
            <w:vAlign w:val="center"/>
          </w:tcPr>
          <w:p>
            <w:pPr>
              <w:widowControl/>
              <w:spacing w:before="156" w:line="360" w:lineRule="auto"/>
              <w:jc w:val="center"/>
              <w:rPr>
                <w:rFonts w:hint="eastAsia" w:ascii="楷体" w:hAnsi="楷体" w:eastAsia="楷体" w:cs="楷体"/>
                <w:b/>
                <w:bCs/>
                <w:kern w:val="0"/>
                <w:sz w:val="24"/>
                <w:szCs w:val="24"/>
                <w:highlight w:val="none"/>
              </w:rPr>
            </w:pPr>
            <w:r>
              <w:rPr>
                <w:rFonts w:hint="eastAsia" w:ascii="楷体" w:hAnsi="楷体" w:eastAsia="楷体" w:cs="楷体"/>
                <w:b/>
                <w:bCs/>
                <w:kern w:val="0"/>
                <w:sz w:val="24"/>
                <w:szCs w:val="24"/>
                <w:highlight w:val="none"/>
              </w:rPr>
              <w:t>产品名称</w:t>
            </w:r>
          </w:p>
        </w:tc>
        <w:tc>
          <w:tcPr>
            <w:tcW w:w="2026" w:type="dxa"/>
            <w:shd w:val="clear" w:color="auto" w:fill="auto"/>
            <w:vAlign w:val="center"/>
          </w:tcPr>
          <w:p>
            <w:pPr>
              <w:widowControl/>
              <w:spacing w:before="156" w:line="360" w:lineRule="auto"/>
              <w:jc w:val="center"/>
              <w:rPr>
                <w:rFonts w:hint="eastAsia" w:ascii="楷体" w:hAnsi="楷体" w:eastAsia="楷体" w:cs="楷体"/>
                <w:b/>
                <w:bCs/>
                <w:kern w:val="0"/>
                <w:sz w:val="24"/>
                <w:szCs w:val="24"/>
                <w:highlight w:val="none"/>
              </w:rPr>
            </w:pPr>
            <w:r>
              <w:rPr>
                <w:rFonts w:hint="eastAsia" w:ascii="楷体" w:hAnsi="楷体" w:eastAsia="楷体" w:cs="楷体"/>
                <w:b/>
                <w:bCs/>
                <w:kern w:val="0"/>
                <w:sz w:val="24"/>
                <w:szCs w:val="24"/>
                <w:highlight w:val="none"/>
              </w:rPr>
              <w:t>单位</w:t>
            </w:r>
          </w:p>
        </w:tc>
        <w:tc>
          <w:tcPr>
            <w:tcW w:w="1453" w:type="dxa"/>
            <w:shd w:val="clear" w:color="auto" w:fill="auto"/>
            <w:vAlign w:val="center"/>
          </w:tcPr>
          <w:p>
            <w:pPr>
              <w:widowControl/>
              <w:spacing w:before="156" w:line="360" w:lineRule="auto"/>
              <w:jc w:val="center"/>
              <w:rPr>
                <w:rFonts w:hint="eastAsia" w:ascii="楷体" w:hAnsi="楷体" w:eastAsia="楷体" w:cs="楷体"/>
                <w:b/>
                <w:bCs/>
                <w:kern w:val="0"/>
                <w:sz w:val="24"/>
                <w:szCs w:val="24"/>
                <w:highlight w:val="none"/>
              </w:rPr>
            </w:pPr>
            <w:r>
              <w:rPr>
                <w:rFonts w:hint="eastAsia" w:ascii="楷体" w:hAnsi="楷体" w:eastAsia="楷体" w:cs="楷体"/>
                <w:b/>
                <w:bCs/>
                <w:kern w:val="0"/>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999" w:type="dxa"/>
            <w:shd w:val="clear" w:color="auto" w:fill="auto"/>
            <w:vAlign w:val="center"/>
          </w:tcPr>
          <w:p>
            <w:pPr>
              <w:widowControl/>
              <w:spacing w:before="156" w:line="360" w:lineRule="auto"/>
              <w:jc w:val="center"/>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全贴合交互智慧黑板</w:t>
            </w:r>
          </w:p>
        </w:tc>
        <w:tc>
          <w:tcPr>
            <w:tcW w:w="2026" w:type="dxa"/>
            <w:shd w:val="clear" w:color="auto" w:fill="auto"/>
            <w:vAlign w:val="center"/>
          </w:tcPr>
          <w:p>
            <w:pPr>
              <w:widowControl/>
              <w:spacing w:before="156" w:line="360" w:lineRule="auto"/>
              <w:jc w:val="center"/>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套</w:t>
            </w:r>
          </w:p>
        </w:tc>
        <w:tc>
          <w:tcPr>
            <w:tcW w:w="1453" w:type="dxa"/>
            <w:shd w:val="clear" w:color="auto" w:fill="auto"/>
            <w:vAlign w:val="center"/>
          </w:tcPr>
          <w:p>
            <w:pPr>
              <w:widowControl/>
              <w:spacing w:before="156" w:line="360" w:lineRule="auto"/>
              <w:jc w:val="center"/>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999" w:type="dxa"/>
            <w:shd w:val="clear" w:color="auto" w:fill="auto"/>
            <w:vAlign w:val="center"/>
          </w:tcPr>
          <w:p>
            <w:pPr>
              <w:widowControl/>
              <w:spacing w:before="156" w:line="360" w:lineRule="auto"/>
              <w:jc w:val="center"/>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移动授课系统</w:t>
            </w:r>
          </w:p>
        </w:tc>
        <w:tc>
          <w:tcPr>
            <w:tcW w:w="2026" w:type="dxa"/>
            <w:shd w:val="clear" w:color="auto" w:fill="auto"/>
            <w:vAlign w:val="center"/>
          </w:tcPr>
          <w:p>
            <w:pPr>
              <w:widowControl/>
              <w:spacing w:before="156" w:line="360" w:lineRule="auto"/>
              <w:jc w:val="center"/>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套</w:t>
            </w:r>
          </w:p>
        </w:tc>
        <w:tc>
          <w:tcPr>
            <w:tcW w:w="1453" w:type="dxa"/>
            <w:shd w:val="clear" w:color="auto" w:fill="auto"/>
            <w:vAlign w:val="center"/>
          </w:tcPr>
          <w:p>
            <w:pPr>
              <w:widowControl/>
              <w:spacing w:before="156" w:line="360" w:lineRule="auto"/>
              <w:jc w:val="center"/>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999" w:type="dxa"/>
            <w:shd w:val="clear" w:color="auto" w:fill="auto"/>
            <w:vAlign w:val="center"/>
          </w:tcPr>
          <w:p>
            <w:pPr>
              <w:widowControl/>
              <w:spacing w:before="156" w:line="360" w:lineRule="auto"/>
              <w:jc w:val="center"/>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集中管理控制云平台</w:t>
            </w:r>
          </w:p>
        </w:tc>
        <w:tc>
          <w:tcPr>
            <w:tcW w:w="2026" w:type="dxa"/>
            <w:shd w:val="clear" w:color="auto" w:fill="auto"/>
            <w:vAlign w:val="center"/>
          </w:tcPr>
          <w:p>
            <w:pPr>
              <w:widowControl/>
              <w:spacing w:before="156" w:line="360" w:lineRule="auto"/>
              <w:jc w:val="center"/>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套</w:t>
            </w:r>
          </w:p>
        </w:tc>
        <w:tc>
          <w:tcPr>
            <w:tcW w:w="1453" w:type="dxa"/>
            <w:shd w:val="clear" w:color="auto" w:fill="auto"/>
            <w:vAlign w:val="center"/>
          </w:tcPr>
          <w:p>
            <w:pPr>
              <w:widowControl/>
              <w:spacing w:before="156" w:line="360" w:lineRule="auto"/>
              <w:jc w:val="center"/>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999" w:type="dxa"/>
            <w:shd w:val="clear" w:color="auto" w:fill="auto"/>
            <w:vAlign w:val="center"/>
          </w:tcPr>
          <w:p>
            <w:pPr>
              <w:widowControl/>
              <w:spacing w:before="156" w:line="360" w:lineRule="auto"/>
              <w:jc w:val="center"/>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系统管家软件</w:t>
            </w:r>
          </w:p>
        </w:tc>
        <w:tc>
          <w:tcPr>
            <w:tcW w:w="2026" w:type="dxa"/>
            <w:shd w:val="clear" w:color="auto" w:fill="auto"/>
            <w:vAlign w:val="center"/>
          </w:tcPr>
          <w:p>
            <w:pPr>
              <w:widowControl/>
              <w:spacing w:before="156" w:line="360" w:lineRule="auto"/>
              <w:jc w:val="center"/>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套</w:t>
            </w:r>
          </w:p>
        </w:tc>
        <w:tc>
          <w:tcPr>
            <w:tcW w:w="1453" w:type="dxa"/>
            <w:shd w:val="clear" w:color="auto" w:fill="auto"/>
            <w:vAlign w:val="center"/>
          </w:tcPr>
          <w:p>
            <w:pPr>
              <w:widowControl/>
              <w:spacing w:before="156" w:line="360" w:lineRule="auto"/>
              <w:jc w:val="center"/>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4999" w:type="dxa"/>
            <w:shd w:val="clear" w:color="auto" w:fill="auto"/>
            <w:vAlign w:val="center"/>
          </w:tcPr>
          <w:p>
            <w:pPr>
              <w:widowControl/>
              <w:spacing w:before="156" w:line="360" w:lineRule="auto"/>
              <w:jc w:val="center"/>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展台</w:t>
            </w:r>
          </w:p>
        </w:tc>
        <w:tc>
          <w:tcPr>
            <w:tcW w:w="2026" w:type="dxa"/>
            <w:shd w:val="clear" w:color="auto" w:fill="auto"/>
            <w:vAlign w:val="center"/>
          </w:tcPr>
          <w:p>
            <w:pPr>
              <w:widowControl/>
              <w:spacing w:before="156" w:line="360" w:lineRule="auto"/>
              <w:jc w:val="center"/>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台</w:t>
            </w:r>
          </w:p>
        </w:tc>
        <w:tc>
          <w:tcPr>
            <w:tcW w:w="1453" w:type="dxa"/>
            <w:shd w:val="clear" w:color="auto" w:fill="auto"/>
            <w:vAlign w:val="center"/>
          </w:tcPr>
          <w:p>
            <w:pPr>
              <w:widowControl/>
              <w:spacing w:before="156" w:line="360" w:lineRule="auto"/>
              <w:jc w:val="center"/>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25</w:t>
            </w:r>
          </w:p>
        </w:tc>
      </w:tr>
    </w:tbl>
    <w:p>
      <w:pPr>
        <w:numPr>
          <w:ilvl w:val="0"/>
          <w:numId w:val="0"/>
        </w:numPr>
        <w:rPr>
          <w:rFonts w:hint="eastAsia"/>
          <w:highlight w:val="none"/>
          <w:lang w:eastAsia="zh-CN"/>
        </w:rPr>
      </w:pPr>
    </w:p>
    <w:p>
      <w:pPr>
        <w:pStyle w:val="2"/>
        <w:ind w:left="0" w:leftChars="0" w:firstLine="0" w:firstLineChars="0"/>
        <w:rPr>
          <w:rFonts w:hint="eastAsia" w:ascii="楷体" w:hAnsi="楷体" w:eastAsia="楷体" w:cs="楷体"/>
          <w:b/>
          <w:bCs/>
          <w:sz w:val="24"/>
          <w:szCs w:val="24"/>
          <w:highlight w:val="none"/>
          <w:lang w:eastAsia="zh-CN"/>
        </w:rPr>
      </w:pPr>
      <w:r>
        <w:rPr>
          <w:rFonts w:hint="eastAsia" w:ascii="楷体" w:hAnsi="楷体" w:eastAsia="楷体" w:cs="楷体"/>
          <w:b/>
          <w:bCs/>
          <w:sz w:val="24"/>
          <w:szCs w:val="24"/>
          <w:highlight w:val="none"/>
          <w:lang w:eastAsia="zh-CN"/>
        </w:rPr>
        <w:t>设配配置方案：</w:t>
      </w:r>
    </w:p>
    <w:tbl>
      <w:tblPr>
        <w:tblStyle w:val="46"/>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7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605" w:type="dxa"/>
            <w:vAlign w:val="center"/>
          </w:tcPr>
          <w:p>
            <w:pPr>
              <w:widowControl/>
              <w:spacing w:before="156" w:line="360" w:lineRule="auto"/>
              <w:rPr>
                <w:rFonts w:hint="eastAsia" w:ascii="楷体" w:hAnsi="楷体" w:eastAsia="楷体" w:cs="楷体"/>
                <w:b/>
                <w:color w:val="000000"/>
                <w:sz w:val="24"/>
                <w:szCs w:val="24"/>
                <w:highlight w:val="none"/>
              </w:rPr>
            </w:pPr>
            <w:r>
              <w:rPr>
                <w:rFonts w:hint="eastAsia" w:ascii="楷体" w:hAnsi="楷体" w:eastAsia="楷体" w:cs="楷体"/>
                <w:b/>
                <w:color w:val="000000"/>
                <w:sz w:val="24"/>
                <w:szCs w:val="24"/>
                <w:highlight w:val="none"/>
              </w:rPr>
              <w:t>交互黑板</w:t>
            </w:r>
          </w:p>
        </w:tc>
        <w:tc>
          <w:tcPr>
            <w:tcW w:w="7946" w:type="dxa"/>
            <w:vAlign w:val="center"/>
          </w:tcPr>
          <w:p>
            <w:pPr>
              <w:widowControl/>
              <w:spacing w:before="156" w:line="360" w:lineRule="auto"/>
              <w:jc w:val="left"/>
              <w:rPr>
                <w:rFonts w:hint="eastAsia" w:ascii="楷体" w:hAnsi="楷体" w:eastAsia="楷体" w:cs="楷体"/>
                <w:color w:val="000000"/>
                <w:kern w:val="0"/>
                <w:sz w:val="24"/>
                <w:szCs w:val="24"/>
                <w:highlight w:val="none"/>
              </w:rPr>
            </w:pPr>
            <w:r>
              <w:rPr>
                <w:rFonts w:hint="eastAsia" w:ascii="楷体" w:hAnsi="楷体" w:eastAsia="楷体" w:cs="楷体"/>
                <w:b/>
                <w:bCs/>
                <w:color w:val="000000"/>
                <w:kern w:val="0"/>
                <w:sz w:val="24"/>
                <w:szCs w:val="24"/>
                <w:highlight w:val="none"/>
              </w:rPr>
              <w:t>屏体硬件</w:t>
            </w:r>
            <w:r>
              <w:rPr>
                <w:rFonts w:hint="eastAsia" w:ascii="楷体" w:hAnsi="楷体" w:eastAsia="楷体" w:cs="楷体"/>
                <w:color w:val="000000"/>
                <w:kern w:val="0"/>
                <w:sz w:val="24"/>
                <w:szCs w:val="24"/>
                <w:highlight w:val="none"/>
              </w:rPr>
              <w:t>：</w:t>
            </w:r>
          </w:p>
          <w:p>
            <w:pPr>
              <w:pStyle w:val="108"/>
              <w:widowControl/>
              <w:numPr>
                <w:ilvl w:val="0"/>
                <w:numId w:val="8"/>
              </w:numPr>
              <w:spacing w:before="156" w:line="360" w:lineRule="auto"/>
              <w:ind w:firstLineChars="0"/>
              <w:jc w:val="left"/>
              <w:rPr>
                <w:rFonts w:hint="eastAsia" w:ascii="楷体" w:hAnsi="楷体" w:eastAsia="楷体" w:cs="楷体"/>
                <w:bCs/>
                <w:kern w:val="0"/>
                <w:sz w:val="24"/>
                <w:szCs w:val="24"/>
                <w:highlight w:val="none"/>
              </w:rPr>
            </w:pPr>
            <w:r>
              <w:rPr>
                <w:rFonts w:hint="eastAsia" w:ascii="楷体" w:hAnsi="楷体" w:eastAsia="楷体" w:cs="楷体"/>
                <w:bCs/>
                <w:kern w:val="0"/>
                <w:sz w:val="24"/>
                <w:szCs w:val="24"/>
                <w:highlight w:val="none"/>
              </w:rPr>
              <w:t>黑板采用平面结构设计，采用三段式结构方式，整块黑板可支持普通粉笔、无尘粉笔、水性笔等多种类型笔书写；</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双侧黑板板面光泽度不高于 10°，粗糙度不高于 1.2μm，双侧黑板涂层稳定，一年内板面磨损导致的雾度变化不超过1%；</w:t>
            </w:r>
            <w:r>
              <w:rPr>
                <w:rFonts w:hint="eastAsia" w:ascii="楷体" w:hAnsi="楷体" w:eastAsia="楷体" w:cs="楷体"/>
                <w:color w:val="000000"/>
                <w:kern w:val="0"/>
                <w:sz w:val="24"/>
                <w:szCs w:val="24"/>
                <w:highlight w:val="none"/>
              </w:rPr>
              <w:tab/>
            </w:r>
            <w:r>
              <w:rPr>
                <w:rFonts w:hint="eastAsia" w:ascii="楷体" w:hAnsi="楷体" w:eastAsia="楷体" w:cs="楷体"/>
                <w:color w:val="000000"/>
                <w:kern w:val="0"/>
                <w:sz w:val="24"/>
                <w:szCs w:val="24"/>
                <w:highlight w:val="none"/>
              </w:rPr>
              <w:tab/>
            </w:r>
          </w:p>
          <w:p>
            <w:pPr>
              <w:pStyle w:val="108"/>
              <w:widowControl/>
              <w:numPr>
                <w:ilvl w:val="0"/>
                <w:numId w:val="8"/>
              </w:numPr>
              <w:spacing w:before="156" w:line="360" w:lineRule="auto"/>
              <w:ind w:firstLineChars="0"/>
              <w:jc w:val="left"/>
              <w:rPr>
                <w:rFonts w:hint="eastAsia" w:ascii="楷体" w:hAnsi="楷体" w:eastAsia="楷体" w:cs="楷体"/>
                <w:bCs/>
                <w:kern w:val="0"/>
                <w:sz w:val="24"/>
                <w:szCs w:val="24"/>
                <w:highlight w:val="none"/>
              </w:rPr>
            </w:pPr>
            <w:r>
              <w:rPr>
                <w:rFonts w:hint="eastAsia" w:ascii="楷体" w:hAnsi="楷体" w:eastAsia="楷体" w:cs="楷体"/>
                <w:sz w:val="24"/>
                <w:szCs w:val="24"/>
                <w:highlight w:val="none"/>
              </w:rPr>
              <w:t>交互黑板支持壁挂式安装和移动支架安装方式，其中壁挂安装方式具有安装校正结构，可方便调校智慧黑板整体平整性，达到最佳使用效果</w:t>
            </w:r>
            <w:r>
              <w:rPr>
                <w:rFonts w:hint="eastAsia" w:ascii="楷体" w:hAnsi="楷体" w:eastAsia="楷体" w:cs="楷体"/>
                <w:bCs/>
                <w:kern w:val="0"/>
                <w:sz w:val="24"/>
                <w:szCs w:val="24"/>
                <w:highlight w:val="none"/>
              </w:rPr>
              <w:t>；</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UHD液晶屏体：A规屏，显示尺寸</w:t>
            </w:r>
            <w:r>
              <w:rPr>
                <w:rFonts w:hint="eastAsia" w:ascii="楷体" w:hAnsi="楷体" w:eastAsia="楷体" w:cs="楷体"/>
                <w:sz w:val="24"/>
                <w:szCs w:val="24"/>
                <w:highlight w:val="none"/>
              </w:rPr>
              <w:t>≥86</w:t>
            </w:r>
            <w:r>
              <w:rPr>
                <w:rFonts w:hint="eastAsia" w:ascii="楷体" w:hAnsi="楷体" w:eastAsia="楷体" w:cs="楷体"/>
                <w:color w:val="000000"/>
                <w:kern w:val="0"/>
                <w:sz w:val="24"/>
                <w:szCs w:val="24"/>
                <w:highlight w:val="none"/>
              </w:rPr>
              <w:t>英寸，物理分辨率：</w:t>
            </w:r>
            <w:r>
              <w:rPr>
                <w:rFonts w:hint="eastAsia" w:ascii="楷体" w:hAnsi="楷体" w:eastAsia="楷体" w:cs="楷体"/>
                <w:sz w:val="24"/>
                <w:szCs w:val="24"/>
                <w:highlight w:val="none"/>
              </w:rPr>
              <w:t>≥</w:t>
            </w:r>
            <w:r>
              <w:rPr>
                <w:rFonts w:hint="eastAsia" w:ascii="楷体" w:hAnsi="楷体" w:eastAsia="楷体" w:cs="楷体"/>
                <w:color w:val="000000"/>
                <w:kern w:val="0"/>
                <w:sz w:val="24"/>
                <w:szCs w:val="24"/>
                <w:highlight w:val="none"/>
              </w:rPr>
              <w:t>3840×2160可无损播放4K片源，屏体亮度</w:t>
            </w:r>
            <w:r>
              <w:rPr>
                <w:rFonts w:hint="eastAsia" w:ascii="楷体" w:hAnsi="楷体" w:eastAsia="楷体" w:cs="楷体"/>
                <w:kern w:val="0"/>
                <w:sz w:val="24"/>
                <w:szCs w:val="24"/>
                <w:highlight w:val="none"/>
              </w:rPr>
              <w:t>≥450cd/ M</w:t>
            </w:r>
            <w:r>
              <w:rPr>
                <w:rFonts w:hint="eastAsia" w:ascii="楷体" w:hAnsi="楷体" w:eastAsia="楷体" w:cs="楷体"/>
                <w:kern w:val="0"/>
                <w:sz w:val="24"/>
                <w:szCs w:val="24"/>
                <w:highlight w:val="none"/>
                <w:vertAlign w:val="superscript"/>
              </w:rPr>
              <w:t>2</w:t>
            </w:r>
            <w:r>
              <w:rPr>
                <w:rFonts w:hint="eastAsia" w:ascii="楷体" w:hAnsi="楷体" w:eastAsia="楷体" w:cs="楷体"/>
                <w:kern w:val="0"/>
                <w:sz w:val="24"/>
                <w:szCs w:val="24"/>
                <w:highlight w:val="none"/>
              </w:rPr>
              <w:t>，对比度≥4500：1</w:t>
            </w:r>
            <w:r>
              <w:rPr>
                <w:rFonts w:hint="eastAsia" w:ascii="楷体" w:hAnsi="楷体" w:eastAsia="楷体" w:cs="楷体"/>
                <w:color w:val="000000"/>
                <w:kern w:val="0"/>
                <w:sz w:val="24"/>
                <w:szCs w:val="24"/>
                <w:highlight w:val="none"/>
              </w:rPr>
              <w:t>，最大可视角度≥178度；</w:t>
            </w:r>
          </w:p>
          <w:p>
            <w:pPr>
              <w:pStyle w:val="108"/>
              <w:widowControl/>
              <w:numPr>
                <w:ilvl w:val="0"/>
                <w:numId w:val="8"/>
              </w:numPr>
              <w:spacing w:before="156" w:line="360" w:lineRule="auto"/>
              <w:ind w:firstLineChars="0"/>
              <w:jc w:val="left"/>
              <w:rPr>
                <w:rFonts w:hint="eastAsia" w:ascii="楷体" w:hAnsi="楷体" w:eastAsia="楷体" w:cs="楷体"/>
                <w:bCs/>
                <w:color w:val="000000"/>
                <w:kern w:val="0"/>
                <w:sz w:val="24"/>
                <w:szCs w:val="24"/>
                <w:highlight w:val="none"/>
              </w:rPr>
            </w:pPr>
            <w:r>
              <w:rPr>
                <w:rFonts w:hint="eastAsia" w:ascii="楷体" w:hAnsi="楷体" w:eastAsia="楷体" w:cs="楷体"/>
                <w:bCs/>
                <w:color w:val="000000"/>
                <w:kern w:val="0"/>
                <w:sz w:val="24"/>
                <w:szCs w:val="24"/>
                <w:highlight w:val="none"/>
              </w:rPr>
              <w:t>交互黑板屏体色彩覆盖率不低于120%，最高灰阶 256 灰阶；</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交互黑板采用阳极氧化工艺，屏幕采用防眩光钢化玻璃保护，厚度≤3.2mm，雾度≤8%；</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交互黑板表面玻璃采用高强度钢化玻璃，硬度可达莫氏7级，</w:t>
            </w:r>
            <w:r>
              <w:rPr>
                <w:rFonts w:hint="eastAsia" w:ascii="楷体" w:hAnsi="楷体" w:eastAsia="楷体" w:cs="楷体"/>
                <w:kern w:val="0"/>
                <w:sz w:val="24"/>
                <w:szCs w:val="24"/>
                <w:highlight w:val="none"/>
              </w:rPr>
              <w:t>高于石墨9H硬度；</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电容触控技术，在双系统下均支持不少于20点触控及同时书写，书写延迟速度≤15ms；</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333333"/>
                <w:sz w:val="24"/>
                <w:szCs w:val="24"/>
                <w:highlight w:val="none"/>
              </w:rPr>
              <w:t>▲</w:t>
            </w:r>
            <w:r>
              <w:rPr>
                <w:rFonts w:hint="eastAsia" w:ascii="楷体" w:hAnsi="楷体" w:eastAsia="楷体" w:cs="楷体"/>
                <w:color w:val="000000"/>
                <w:kern w:val="0"/>
                <w:sz w:val="24"/>
                <w:szCs w:val="24"/>
                <w:highlight w:val="none"/>
              </w:rPr>
              <w:t>屏幕贴合方式：全贴合（减少显示面板与玻璃间的偏光、散射，画面显示更加清晰通透，视差更小，笔尖与液晶屏距离为0mm，光影偏差为0mm；）</w:t>
            </w:r>
            <w:r>
              <w:rPr>
                <w:rFonts w:hint="eastAsia" w:ascii="楷体" w:hAnsi="楷体" w:eastAsia="楷体" w:cs="楷体"/>
                <w:kern w:val="0"/>
                <w:sz w:val="24"/>
                <w:szCs w:val="24"/>
                <w:highlight w:val="none"/>
              </w:rPr>
              <w:t>提供但不限于(检测报告、产品说明书、功能截图等材料证明)，并加盖厂商公章</w:t>
            </w:r>
            <w:r>
              <w:rPr>
                <w:rFonts w:hint="eastAsia" w:ascii="楷体" w:hAnsi="楷体" w:eastAsia="楷体" w:cs="楷体"/>
                <w:kern w:val="0"/>
                <w:sz w:val="24"/>
                <w:szCs w:val="24"/>
                <w:highlight w:val="none"/>
                <w:lang w:eastAsia="zh-CN"/>
              </w:rPr>
              <w:t>；</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sz w:val="24"/>
                <w:szCs w:val="24"/>
                <w:highlight w:val="none"/>
              </w:rPr>
              <w:t>智能交互黑板具备 2 个前置 15W 中高音音箱</w:t>
            </w:r>
            <w:r>
              <w:rPr>
                <w:rFonts w:hint="eastAsia" w:ascii="楷体" w:hAnsi="楷体" w:eastAsia="楷体" w:cs="楷体"/>
                <w:sz w:val="24"/>
                <w:szCs w:val="24"/>
                <w:highlight w:val="none"/>
                <w:lang w:eastAsia="zh-CN"/>
              </w:rPr>
              <w:t>；</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sz w:val="24"/>
                <w:szCs w:val="24"/>
                <w:highlight w:val="none"/>
              </w:rPr>
              <w:t>为方便用户售后维修，前置接口面板和前置按键面板具备隐藏式前拆式结构。</w:t>
            </w:r>
            <w:r>
              <w:rPr>
                <w:rFonts w:hint="eastAsia" w:ascii="楷体" w:hAnsi="楷体" w:eastAsia="楷体" w:cs="楷体"/>
                <w:kern w:val="0"/>
                <w:sz w:val="24"/>
                <w:szCs w:val="24"/>
                <w:highlight w:val="none"/>
              </w:rPr>
              <w:t>提供但不限于(检测报告、产品说明书、功能截图等材料证明)，并加盖厂商公章</w:t>
            </w:r>
            <w:r>
              <w:rPr>
                <w:rFonts w:hint="eastAsia" w:ascii="楷体" w:hAnsi="楷体" w:eastAsia="楷体" w:cs="楷体"/>
                <w:kern w:val="0"/>
                <w:sz w:val="24"/>
                <w:szCs w:val="24"/>
                <w:highlight w:val="none"/>
                <w:lang w:eastAsia="zh-CN"/>
              </w:rPr>
              <w:t>；</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sz w:val="24"/>
                <w:szCs w:val="24"/>
                <w:highlight w:val="none"/>
              </w:rPr>
              <w:t>为方便老师使用，智能交互黑板需具备带明确中文标识的前置接口，至少具备 Type-C*1，双通道 USB3.0*2（Windows 和 Android 系统均能被识别，）HDMI IN*1 高清（非转接）</w:t>
            </w:r>
            <w:r>
              <w:rPr>
                <w:rFonts w:hint="eastAsia" w:ascii="楷体" w:hAnsi="楷体" w:eastAsia="楷体" w:cs="楷体"/>
                <w:kern w:val="0"/>
                <w:sz w:val="24"/>
                <w:szCs w:val="24"/>
                <w:highlight w:val="none"/>
              </w:rPr>
              <w:t>提供但不限于(检测报告、产品说明书、功能截图等材料证明)，并加盖厂商公章</w:t>
            </w:r>
            <w:r>
              <w:rPr>
                <w:rFonts w:hint="eastAsia" w:ascii="楷体" w:hAnsi="楷体" w:eastAsia="楷体" w:cs="楷体"/>
                <w:kern w:val="0"/>
                <w:sz w:val="24"/>
                <w:szCs w:val="24"/>
                <w:highlight w:val="none"/>
                <w:lang w:eastAsia="zh-CN"/>
              </w:rPr>
              <w:t>；</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为方便教师使用，交互黑板后置≥2路HDMI输入接口、≥1路YPbPr分量输入接、≥1路USB Type-B触控接口、≥1路USB Type-B 3.0接口，≥1路VGA，以上接口不接受扩展坞方式；</w:t>
            </w:r>
          </w:p>
          <w:p>
            <w:pPr>
              <w:pStyle w:val="108"/>
              <w:widowControl/>
              <w:numPr>
                <w:ilvl w:val="0"/>
                <w:numId w:val="8"/>
              </w:numPr>
              <w:spacing w:before="156" w:line="360" w:lineRule="auto"/>
              <w:ind w:firstLineChars="0"/>
              <w:jc w:val="left"/>
              <w:rPr>
                <w:rFonts w:hint="eastAsia" w:ascii="楷体" w:hAnsi="楷体" w:eastAsia="楷体" w:cs="楷体"/>
                <w:bCs/>
                <w:color w:val="000000"/>
                <w:kern w:val="0"/>
                <w:sz w:val="24"/>
                <w:szCs w:val="24"/>
                <w:highlight w:val="none"/>
              </w:rPr>
            </w:pPr>
            <w:r>
              <w:rPr>
                <w:rFonts w:hint="eastAsia" w:ascii="楷体" w:hAnsi="楷体" w:eastAsia="楷体" w:cs="楷体"/>
                <w:color w:val="333333"/>
                <w:sz w:val="24"/>
                <w:szCs w:val="24"/>
                <w:highlight w:val="none"/>
              </w:rPr>
              <w:t>▲</w:t>
            </w:r>
            <w:r>
              <w:rPr>
                <w:rFonts w:hint="eastAsia" w:ascii="楷体" w:hAnsi="楷体" w:eastAsia="楷体" w:cs="楷体"/>
                <w:color w:val="000000"/>
                <w:kern w:val="0"/>
                <w:sz w:val="24"/>
                <w:szCs w:val="24"/>
                <w:highlight w:val="none"/>
              </w:rPr>
              <w:t>交互黑板整机须具备前置物理电脑还原按键，针孔式设计防止误操作，并具有中文丝印标识便于识别。</w:t>
            </w:r>
            <w:r>
              <w:rPr>
                <w:rFonts w:hint="eastAsia" w:ascii="楷体" w:hAnsi="楷体" w:eastAsia="楷体" w:cs="楷体"/>
                <w:kern w:val="0"/>
                <w:sz w:val="24"/>
                <w:szCs w:val="24"/>
                <w:highlight w:val="none"/>
              </w:rPr>
              <w:t>提供但不限于(检测报告、产品说明书、功能截图等材料证明)，并加盖厂商公章</w:t>
            </w:r>
            <w:r>
              <w:rPr>
                <w:rFonts w:hint="eastAsia" w:ascii="楷体" w:hAnsi="楷体" w:eastAsia="楷体" w:cs="楷体"/>
                <w:kern w:val="0"/>
                <w:sz w:val="24"/>
                <w:szCs w:val="24"/>
                <w:highlight w:val="none"/>
                <w:lang w:eastAsia="zh-CN"/>
              </w:rPr>
              <w:t>；</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sz w:val="24"/>
                <w:szCs w:val="24"/>
                <w:highlight w:val="none"/>
              </w:rPr>
              <w:t>智能交互黑板需要提供内置无线传屏接收端，无需外部接收组件，无线传屏发射器与智能交互黑板匹配后可实现无线传屏功能，可将外部电脑设备的视频、音频、触控、信号无线传至智能交互黑板上，双向传输；</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sz w:val="24"/>
                <w:szCs w:val="24"/>
                <w:highlight w:val="none"/>
              </w:rPr>
              <w:t>智能交互黑板在通电关机状态下，交互设备仍可提供无线网络，供用户使用</w:t>
            </w:r>
            <w:r>
              <w:rPr>
                <w:rFonts w:hint="eastAsia" w:ascii="楷体" w:hAnsi="楷体" w:eastAsia="楷体" w:cs="楷体"/>
                <w:sz w:val="24"/>
                <w:szCs w:val="24"/>
                <w:highlight w:val="none"/>
                <w:lang w:eastAsia="zh-CN"/>
              </w:rPr>
              <w:t>；</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sz w:val="24"/>
                <w:szCs w:val="24"/>
                <w:highlight w:val="none"/>
              </w:rPr>
              <w:t>智能交互黑板屏体具有物理防蓝光功能，无需其他操作即可达到蓝光防护效果，通过扫描交互黑板前置二维码即可获取产品防蓝光检测证书。</w:t>
            </w:r>
            <w:r>
              <w:rPr>
                <w:rFonts w:hint="eastAsia" w:ascii="楷体" w:hAnsi="楷体" w:eastAsia="楷体" w:cs="楷体"/>
                <w:kern w:val="0"/>
                <w:sz w:val="24"/>
                <w:szCs w:val="24"/>
                <w:highlight w:val="none"/>
              </w:rPr>
              <w:t>提供但不限于(检测报告、产品说明书、功能截图等材料证明)，并加盖厂商公章</w:t>
            </w:r>
            <w:r>
              <w:rPr>
                <w:rFonts w:hint="eastAsia" w:ascii="楷体" w:hAnsi="楷体" w:eastAsia="楷体" w:cs="楷体"/>
                <w:kern w:val="0"/>
                <w:sz w:val="24"/>
                <w:szCs w:val="24"/>
                <w:highlight w:val="none"/>
                <w:lang w:eastAsia="zh-CN"/>
              </w:rPr>
              <w:t>；</w:t>
            </w:r>
          </w:p>
          <w:p>
            <w:pPr>
              <w:pStyle w:val="108"/>
              <w:widowControl/>
              <w:numPr>
                <w:ilvl w:val="0"/>
                <w:numId w:val="8"/>
              </w:numPr>
              <w:spacing w:before="156" w:line="360" w:lineRule="auto"/>
              <w:ind w:firstLineChars="0"/>
              <w:jc w:val="left"/>
              <w:rPr>
                <w:rFonts w:hint="eastAsia" w:ascii="楷体" w:hAnsi="楷体" w:eastAsia="楷体" w:cs="楷体"/>
                <w:bCs/>
                <w:color w:val="000000"/>
                <w:kern w:val="0"/>
                <w:sz w:val="24"/>
                <w:szCs w:val="24"/>
                <w:highlight w:val="none"/>
              </w:rPr>
            </w:pPr>
            <w:r>
              <w:rPr>
                <w:rFonts w:hint="eastAsia" w:ascii="楷体" w:hAnsi="楷体" w:eastAsia="楷体" w:cs="楷体"/>
                <w:sz w:val="24"/>
                <w:szCs w:val="24"/>
                <w:highlight w:val="none"/>
              </w:rPr>
              <w:t>智能交互黑板前面板具有标识的天线模块，包含2.4G、5G双频Wifi及蓝牙 4.1 接发装置，Android 与 Windows 均可无线上网；</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bCs/>
                <w:color w:val="000000"/>
                <w:kern w:val="0"/>
                <w:sz w:val="24"/>
                <w:szCs w:val="24"/>
                <w:highlight w:val="none"/>
              </w:rPr>
              <w:t>为提高老师教学效率，</w:t>
            </w:r>
            <w:r>
              <w:rPr>
                <w:rFonts w:hint="eastAsia" w:ascii="楷体" w:hAnsi="楷体" w:eastAsia="楷体" w:cs="楷体"/>
                <w:color w:val="000000"/>
                <w:kern w:val="0"/>
                <w:sz w:val="24"/>
                <w:szCs w:val="24"/>
                <w:highlight w:val="none"/>
              </w:rPr>
              <w:t>在通电关机状态下</w:t>
            </w:r>
            <w:r>
              <w:rPr>
                <w:rFonts w:hint="eastAsia" w:ascii="楷体" w:hAnsi="楷体" w:eastAsia="楷体" w:cs="楷体"/>
                <w:bCs/>
                <w:kern w:val="0"/>
                <w:sz w:val="24"/>
                <w:szCs w:val="24"/>
                <w:highlight w:val="none"/>
              </w:rPr>
              <w:t>，5秒内</w:t>
            </w:r>
            <w:r>
              <w:rPr>
                <w:rFonts w:hint="eastAsia" w:ascii="楷体" w:hAnsi="楷体" w:eastAsia="楷体" w:cs="楷体"/>
                <w:bCs/>
                <w:color w:val="000000"/>
                <w:kern w:val="0"/>
                <w:sz w:val="24"/>
                <w:szCs w:val="24"/>
                <w:highlight w:val="none"/>
              </w:rPr>
              <w:t>可完成极速开机。</w:t>
            </w:r>
            <w:r>
              <w:rPr>
                <w:rFonts w:hint="eastAsia" w:ascii="楷体" w:hAnsi="楷体" w:eastAsia="楷体" w:cs="楷体"/>
                <w:kern w:val="0"/>
                <w:sz w:val="24"/>
                <w:szCs w:val="24"/>
                <w:highlight w:val="none"/>
              </w:rPr>
              <w:t>提供但不限于(检测报告、产品说明书、功能截图等材料证明)，并加盖厂商公章</w:t>
            </w:r>
          </w:p>
          <w:p>
            <w:pPr>
              <w:pStyle w:val="108"/>
              <w:widowControl/>
              <w:numPr>
                <w:ilvl w:val="0"/>
                <w:numId w:val="8"/>
              </w:numPr>
              <w:spacing w:before="156" w:line="360" w:lineRule="auto"/>
              <w:ind w:firstLineChars="0"/>
              <w:jc w:val="left"/>
              <w:rPr>
                <w:rFonts w:hint="eastAsia" w:ascii="楷体" w:hAnsi="楷体" w:eastAsia="楷体" w:cs="楷体"/>
                <w:b/>
                <w:bCs/>
                <w:sz w:val="24"/>
                <w:szCs w:val="24"/>
                <w:highlight w:val="none"/>
              </w:rPr>
            </w:pPr>
            <w:r>
              <w:rPr>
                <w:rFonts w:hint="eastAsia" w:ascii="楷体" w:hAnsi="楷体" w:eastAsia="楷体" w:cs="楷体"/>
                <w:sz w:val="24"/>
                <w:szCs w:val="24"/>
                <w:highlight w:val="none"/>
              </w:rPr>
              <w:t>智能交互黑板具备多键合一功能:电源开关、电脑开关、辅助电脑系统还原、轻按按键实现节能息屏与唤醒，息屏模式下可达到95%的节能效果。</w:t>
            </w:r>
          </w:p>
          <w:p>
            <w:pPr>
              <w:pStyle w:val="108"/>
              <w:widowControl/>
              <w:spacing w:before="156" w:line="360" w:lineRule="auto"/>
              <w:ind w:firstLine="422"/>
              <w:jc w:val="left"/>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教学辅助系统：</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sz w:val="24"/>
                <w:szCs w:val="24"/>
                <w:highlight w:val="none"/>
              </w:rPr>
              <w:t>通</w:t>
            </w:r>
            <w:r>
              <w:rPr>
                <w:rFonts w:hint="eastAsia" w:ascii="楷体" w:hAnsi="楷体" w:eastAsia="楷体" w:cs="楷体"/>
                <w:b/>
                <w:bCs/>
                <w:color w:val="000000"/>
                <w:sz w:val="24"/>
                <w:szCs w:val="24"/>
                <w:highlight w:val="none"/>
              </w:rPr>
              <w:t>过</w:t>
            </w:r>
            <w:r>
              <w:rPr>
                <w:rFonts w:hint="eastAsia" w:ascii="楷体" w:hAnsi="楷体" w:eastAsia="楷体" w:cs="楷体"/>
                <w:sz w:val="24"/>
                <w:szCs w:val="24"/>
                <w:highlight w:val="none"/>
              </w:rPr>
              <w:t>多指抓取</w:t>
            </w:r>
            <w:r>
              <w:rPr>
                <w:rFonts w:hint="eastAsia" w:ascii="楷体" w:hAnsi="楷体" w:eastAsia="楷体" w:cs="楷体"/>
                <w:color w:val="000000"/>
                <w:sz w:val="24"/>
                <w:szCs w:val="24"/>
                <w:highlight w:val="none"/>
              </w:rPr>
              <w:t>屏幕任意位置可调出多任务处理窗口，并对正在运行的应用进行浏览、快速切换或结束进程;</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sz w:val="24"/>
                <w:szCs w:val="24"/>
                <w:highlight w:val="none"/>
              </w:rPr>
              <w:t>在任意系统下均可通过手势操作调用及隐藏悬浮菜单，快速实现批注、AI互动、切换信号源等，悬浮菜单支持不少于 25 个应用的自定义设置。</w:t>
            </w:r>
          </w:p>
          <w:p>
            <w:pPr>
              <w:pStyle w:val="108"/>
              <w:widowControl/>
              <w:numPr>
                <w:ilvl w:val="0"/>
                <w:numId w:val="8"/>
              </w:numPr>
              <w:spacing w:before="156" w:line="360" w:lineRule="auto"/>
              <w:ind w:firstLineChars="0"/>
              <w:jc w:val="left"/>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rPr>
              <w:t>为满足教学过程中多场景应用需求，交互黑板可通</w:t>
            </w:r>
            <w:r>
              <w:rPr>
                <w:rFonts w:hint="eastAsia" w:ascii="楷体" w:hAnsi="楷体" w:eastAsia="楷体" w:cs="楷体"/>
                <w:kern w:val="0"/>
                <w:sz w:val="24"/>
                <w:szCs w:val="24"/>
                <w:highlight w:val="none"/>
              </w:rPr>
              <w:t>过多指长按屏幕</w:t>
            </w:r>
            <w:r>
              <w:rPr>
                <w:rFonts w:hint="eastAsia" w:ascii="楷体" w:hAnsi="楷体" w:eastAsia="楷体" w:cs="楷体"/>
                <w:color w:val="000000"/>
                <w:kern w:val="0"/>
                <w:sz w:val="24"/>
                <w:szCs w:val="24"/>
                <w:highlight w:val="none"/>
              </w:rPr>
              <w:t>部分达到息屏及屏幕唤醒功能；</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为满足教学场景使用需求，支持不少于3种方式进行屏幕下移，屏幕下移后仍可进行触控、书写等操作 ；</w:t>
            </w:r>
            <w:r>
              <w:rPr>
                <w:rFonts w:hint="eastAsia" w:ascii="楷体" w:hAnsi="楷体" w:eastAsia="楷体" w:cs="楷体"/>
                <w:kern w:val="0"/>
                <w:sz w:val="24"/>
                <w:szCs w:val="24"/>
                <w:highlight w:val="none"/>
              </w:rPr>
              <w:t>提供但不限于(检测报告、产品说明书、功能截图等材料证明)，并加盖厂商公章</w:t>
            </w:r>
            <w:r>
              <w:rPr>
                <w:rFonts w:hint="eastAsia" w:ascii="楷体" w:hAnsi="楷体" w:eastAsia="楷体" w:cs="楷体"/>
                <w:kern w:val="0"/>
                <w:sz w:val="24"/>
                <w:szCs w:val="24"/>
                <w:highlight w:val="none"/>
                <w:lang w:eastAsia="zh-CN"/>
              </w:rPr>
              <w:t>。</w:t>
            </w:r>
          </w:p>
          <w:p>
            <w:pPr>
              <w:widowControl/>
              <w:spacing w:before="156" w:line="360" w:lineRule="auto"/>
              <w:ind w:firstLine="482" w:firstLineChars="200"/>
              <w:jc w:val="left"/>
              <w:rPr>
                <w:rFonts w:hint="eastAsia" w:ascii="楷体" w:hAnsi="楷体" w:eastAsia="楷体" w:cs="楷体"/>
                <w:b/>
                <w:bCs/>
                <w:color w:val="000000"/>
                <w:kern w:val="0"/>
                <w:sz w:val="24"/>
                <w:szCs w:val="24"/>
                <w:highlight w:val="none"/>
              </w:rPr>
            </w:pPr>
            <w:r>
              <w:rPr>
                <w:rFonts w:hint="eastAsia" w:ascii="楷体" w:hAnsi="楷体" w:eastAsia="楷体" w:cs="楷体"/>
                <w:b/>
                <w:bCs/>
                <w:color w:val="000000"/>
                <w:kern w:val="0"/>
                <w:sz w:val="24"/>
                <w:szCs w:val="24"/>
                <w:highlight w:val="none"/>
              </w:rPr>
              <w:t>OPS电脑：</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采用80pin针标准接口，方便后期售后及维修，不接受其他转接口形式；</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处理器：采用第九代 I7处理器以上配置；</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内存：≥8G DDR4；</w:t>
            </w:r>
          </w:p>
          <w:p>
            <w:pPr>
              <w:pStyle w:val="108"/>
              <w:numPr>
                <w:ilvl w:val="0"/>
                <w:numId w:val="8"/>
              </w:numPr>
              <w:spacing w:before="156" w:line="360" w:lineRule="auto"/>
              <w:ind w:firstLineChars="0"/>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 xml:space="preserve">硬盘：≥256G SSD固态硬盘； </w:t>
            </w:r>
          </w:p>
          <w:p>
            <w:pPr>
              <w:pStyle w:val="108"/>
              <w:numPr>
                <w:ilvl w:val="0"/>
                <w:numId w:val="8"/>
              </w:numPr>
              <w:spacing w:before="156" w:line="360" w:lineRule="auto"/>
              <w:ind w:firstLineChars="0"/>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接口：整机具备6个非外扩展的USB接口；具有独立非外扩展的视频输出接口：≥1路HDMI ；≥1路DP等；</w:t>
            </w:r>
          </w:p>
          <w:p>
            <w:pPr>
              <w:widowControl/>
              <w:spacing w:before="156" w:line="360" w:lineRule="auto"/>
              <w:ind w:firstLine="482" w:firstLineChars="200"/>
              <w:jc w:val="left"/>
              <w:rPr>
                <w:rFonts w:hint="eastAsia" w:ascii="楷体" w:hAnsi="楷体" w:eastAsia="楷体" w:cs="楷体"/>
                <w:color w:val="000000"/>
                <w:kern w:val="0"/>
                <w:sz w:val="24"/>
                <w:szCs w:val="24"/>
                <w:highlight w:val="none"/>
              </w:rPr>
            </w:pPr>
            <w:r>
              <w:rPr>
                <w:rFonts w:hint="eastAsia" w:ascii="楷体" w:hAnsi="楷体" w:eastAsia="楷体" w:cs="楷体"/>
                <w:b/>
                <w:bCs/>
                <w:color w:val="000000"/>
                <w:kern w:val="0"/>
                <w:sz w:val="24"/>
                <w:szCs w:val="24"/>
                <w:highlight w:val="none"/>
              </w:rPr>
              <w:t>白板教学系统</w:t>
            </w:r>
            <w:r>
              <w:rPr>
                <w:rFonts w:hint="eastAsia" w:ascii="楷体" w:hAnsi="楷体" w:eastAsia="楷体" w:cs="楷体"/>
                <w:color w:val="000000"/>
                <w:kern w:val="0"/>
                <w:sz w:val="24"/>
                <w:szCs w:val="24"/>
                <w:highlight w:val="none"/>
              </w:rPr>
              <w:t>：</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提供互动教学应用软件统一入口：可整合互动应用软件，集中管理，方便老师在各软件之间的切换和使用；</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支持免登录直接使用本地教学工具，支持账号、U盘和扫码登录；老师的每个个人账号提供不少于50G云端存储空间，注册完成后无需用户通过完成特定任务才能获取，方便老师存储资料；</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课堂互动工具：能够创建知识连线、互动分类、选词填空、趣味竞赛、翻翻卡、连词成句、判断对错、比大小等互动类游戏，每类互动游戏提供至少12个适用普教K12不同学科、学段风格的模板，每组游戏模板动效不同，支持自主编辑，设置内容、模板、时间、音效等；</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学科工具：至少提供12门以上学科工具，包含语文、数学、英语、物理、化学、生物、地理、历史、音乐、体育、书法等；针对以上学科，学科工具里不能为静态图片，其中交互式操作的动画支持一键全屏显示；</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书写工具:为方便教师授课板书，提供粉笔、硬笔、软笔、纹理笔、图章笔、激光笔等不少于10种书写工具；老师可通过手势笔实现多种手势教学，如圈选即可识别为选中对象，画圆即可识别为聚光灯，画方形为放大镜功能，左右划线为前后翻页等，为方便老师快速掌握，在点击手势笔功能时，笔工具栏提供图例操作说明；</w:t>
            </w:r>
            <w:r>
              <w:rPr>
                <w:rFonts w:hint="eastAsia" w:ascii="楷体" w:hAnsi="楷体" w:eastAsia="楷体" w:cs="楷体"/>
                <w:b/>
                <w:bCs/>
                <w:color w:val="auto"/>
                <w:kern w:val="0"/>
                <w:sz w:val="24"/>
                <w:szCs w:val="24"/>
                <w:highlight w:val="none"/>
              </w:rPr>
              <w:t>（提供软件演示视频）</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PPT课件批注功能：PPT全屏播放时可自动开启工具菜单，支持工具菜单收起与打开，提供PPT课件的播放控制(如前后翻页)、聚光灯、放大镜和书写批注等功能；</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支持一键为白板软件中任意中、英文文本添加标准人声朗读音频，无需手动上传音频文件；</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为方便老师应用，提供与所投产品相关的微信公众号学习交流及售后平台，老师可通过关注厂家微信公众号在线自主学习产品使用，也可通过公众号在线提问及产品的报修；</w:t>
            </w:r>
          </w:p>
          <w:p>
            <w:pPr>
              <w:pStyle w:val="108"/>
              <w:widowControl/>
              <w:numPr>
                <w:ilvl w:val="0"/>
                <w:numId w:val="8"/>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为保证师 生信息安全，所投软件不存在强制、过度、频繁获取权限的行为，且不能出现在工信部通报的信息违规软件名单中；</w:t>
            </w:r>
          </w:p>
          <w:p>
            <w:pPr>
              <w:widowControl/>
              <w:spacing w:before="156" w:line="360" w:lineRule="auto"/>
              <w:jc w:val="left"/>
              <w:rPr>
                <w:rFonts w:hint="eastAsia" w:ascii="楷体" w:hAnsi="楷体" w:eastAsia="楷体" w:cs="楷体"/>
                <w:b/>
                <w:bCs/>
                <w:color w:val="000000"/>
                <w:kern w:val="0"/>
                <w:sz w:val="24"/>
                <w:szCs w:val="24"/>
                <w:highlight w:val="none"/>
              </w:rPr>
            </w:pPr>
            <w:r>
              <w:rPr>
                <w:rFonts w:hint="eastAsia" w:ascii="楷体" w:hAnsi="楷体" w:eastAsia="楷体" w:cs="楷体"/>
                <w:b/>
                <w:bCs/>
                <w:color w:val="000000"/>
                <w:kern w:val="0"/>
                <w:sz w:val="24"/>
                <w:szCs w:val="24"/>
                <w:highlight w:val="none"/>
              </w:rPr>
              <w:t>录课助手</w:t>
            </w:r>
          </w:p>
          <w:p>
            <w:pPr>
              <w:pStyle w:val="108"/>
              <w:numPr>
                <w:ilvl w:val="0"/>
                <w:numId w:val="8"/>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桌面录制、桌面及摄像头录制、教室全场景录制三种录制方式于一体；在桌面及摄像头录制场景下，任意界面下均能自动侦测摄像头，可识别出展台摄像头，同时支持摄像头画面的切换、移动及大小的调整；</w:t>
            </w:r>
          </w:p>
          <w:p>
            <w:pPr>
              <w:pStyle w:val="108"/>
              <w:numPr>
                <w:ilvl w:val="0"/>
                <w:numId w:val="8"/>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录制的视频本地自动存储，可上传至云端，支持云端管理，并实现删除、剪辑、添加知识点说明等，同时可进行二维码分享，结束录制即生成回看视频，可快速浏览录制情况；</w:t>
            </w:r>
          </w:p>
          <w:p>
            <w:pPr>
              <w:pStyle w:val="108"/>
              <w:numPr>
                <w:ilvl w:val="0"/>
                <w:numId w:val="8"/>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扫码分享即可开通直播，支持手机端、pc 端观看，同时可进行课堂评论，极享视听体验；开通直播后生成直播海报、直播码，易于分享，多人观看无压力。</w:t>
            </w:r>
          </w:p>
          <w:p>
            <w:pPr>
              <w:pStyle w:val="108"/>
              <w:widowControl/>
              <w:spacing w:before="156" w:line="360" w:lineRule="auto"/>
              <w:ind w:left="360" w:firstLine="0" w:firstLineChars="0"/>
              <w:jc w:val="left"/>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为保证后期软件升级，要求软件与硬件为同一品牌，不接受第三方软件。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05" w:type="dxa"/>
            <w:vAlign w:val="center"/>
          </w:tcPr>
          <w:p>
            <w:pPr>
              <w:spacing w:before="156" w:line="360" w:lineRule="auto"/>
              <w:jc w:val="left"/>
              <w:rPr>
                <w:rFonts w:hint="eastAsia" w:ascii="楷体" w:hAnsi="楷体" w:eastAsia="楷体" w:cs="楷体"/>
                <w:color w:val="000000"/>
                <w:sz w:val="24"/>
                <w:szCs w:val="24"/>
                <w:highlight w:val="none"/>
              </w:rPr>
            </w:pPr>
            <w:r>
              <w:rPr>
                <w:rFonts w:hint="eastAsia" w:ascii="楷体" w:hAnsi="楷体" w:eastAsia="楷体" w:cs="楷体"/>
                <w:b/>
                <w:bCs/>
                <w:color w:val="000000"/>
                <w:sz w:val="24"/>
                <w:szCs w:val="24"/>
                <w:highlight w:val="none"/>
              </w:rPr>
              <w:t>智能AI音视频模块</w:t>
            </w:r>
          </w:p>
        </w:tc>
        <w:tc>
          <w:tcPr>
            <w:tcW w:w="7946" w:type="dxa"/>
            <w:vAlign w:val="center"/>
          </w:tcPr>
          <w:p>
            <w:pPr>
              <w:widowControl/>
              <w:spacing w:before="156" w:line="360" w:lineRule="auto"/>
              <w:jc w:val="left"/>
              <w:rPr>
                <w:rFonts w:hint="eastAsia" w:ascii="楷体" w:hAnsi="楷体" w:eastAsia="楷体" w:cs="楷体"/>
                <w:color w:val="000000"/>
                <w:kern w:val="0"/>
                <w:sz w:val="24"/>
                <w:szCs w:val="24"/>
                <w:highlight w:val="none"/>
              </w:rPr>
            </w:pPr>
            <w:r>
              <w:rPr>
                <w:rFonts w:hint="eastAsia" w:ascii="楷体" w:hAnsi="楷体" w:eastAsia="楷体" w:cs="楷体"/>
                <w:color w:val="000000"/>
                <w:sz w:val="24"/>
                <w:szCs w:val="24"/>
                <w:highlight w:val="none"/>
              </w:rPr>
              <w:t>1、</w:t>
            </w:r>
            <w:r>
              <w:rPr>
                <w:rFonts w:hint="eastAsia" w:ascii="楷体" w:hAnsi="楷体" w:eastAsia="楷体" w:cs="楷体"/>
                <w:color w:val="333333"/>
                <w:sz w:val="24"/>
                <w:szCs w:val="24"/>
                <w:highlight w:val="none"/>
              </w:rPr>
              <w:t>▲</w:t>
            </w:r>
            <w:r>
              <w:rPr>
                <w:rFonts w:hint="eastAsia" w:ascii="楷体" w:hAnsi="楷体" w:eastAsia="楷体" w:cs="楷体"/>
                <w:color w:val="000000"/>
                <w:sz w:val="24"/>
                <w:szCs w:val="24"/>
                <w:highlight w:val="none"/>
              </w:rPr>
              <w:t>交互黑板板具有一体化高清摄像头，像素不低于1200万，水平视角 120°并可进行±5°的角度调整。</w:t>
            </w:r>
            <w:r>
              <w:rPr>
                <w:rFonts w:hint="eastAsia" w:ascii="楷体" w:hAnsi="楷体" w:eastAsia="楷体" w:cs="楷体"/>
                <w:kern w:val="0"/>
                <w:sz w:val="24"/>
                <w:szCs w:val="24"/>
                <w:highlight w:val="none"/>
              </w:rPr>
              <w:t>提供但不限于(检测报告、产品说明书、功能截图等材料证明)，并加盖厂商公章</w:t>
            </w:r>
          </w:p>
          <w:p>
            <w:pPr>
              <w:widowControl/>
              <w:spacing w:before="156" w:line="360" w:lineRule="auto"/>
              <w:jc w:val="left"/>
              <w:rPr>
                <w:rFonts w:hint="eastAsia" w:ascii="楷体" w:hAnsi="楷体" w:eastAsia="楷体" w:cs="楷体"/>
                <w:color w:val="000000"/>
                <w:sz w:val="24"/>
                <w:szCs w:val="24"/>
                <w:highlight w:val="none"/>
              </w:rPr>
            </w:pPr>
            <w:r>
              <w:rPr>
                <w:rFonts w:hint="eastAsia" w:ascii="楷体" w:hAnsi="楷体" w:eastAsia="楷体" w:cs="楷体"/>
                <w:sz w:val="24"/>
                <w:szCs w:val="24"/>
                <w:highlight w:val="none"/>
              </w:rPr>
              <w:t>2、4 阵列麦克风全向拾音距离最大可达 12 米</w:t>
            </w:r>
            <w:r>
              <w:rPr>
                <w:rFonts w:hint="eastAsia" w:ascii="楷体" w:hAnsi="楷体" w:eastAsia="楷体" w:cs="楷体"/>
                <w:color w:val="000000"/>
                <w:sz w:val="24"/>
                <w:szCs w:val="24"/>
                <w:highlight w:val="none"/>
              </w:rPr>
              <w:t>（提供权威机构出具的检测报告复印件加盖厂商公章）</w:t>
            </w:r>
          </w:p>
          <w:p>
            <w:pPr>
              <w:pStyle w:val="108"/>
              <w:widowControl/>
              <w:numPr>
                <w:ilvl w:val="0"/>
                <w:numId w:val="9"/>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sz w:val="24"/>
                <w:szCs w:val="24"/>
                <w:highlight w:val="none"/>
              </w:rPr>
              <w:t>高清摄像头模组支持远程巡课系统，使用摄像头单元可实现远程巡课</w:t>
            </w:r>
          </w:p>
          <w:p>
            <w:pPr>
              <w:pStyle w:val="108"/>
              <w:numPr>
                <w:ilvl w:val="0"/>
                <w:numId w:val="9"/>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点数模式下可以快速统计班级内现场所到学生数量，不需要提前录入学生信息</w:t>
            </w:r>
          </w:p>
          <w:p>
            <w:pPr>
              <w:widowControl/>
              <w:spacing w:before="156" w:line="360" w:lineRule="auto"/>
              <w:jc w:val="left"/>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5、</w:t>
            </w:r>
            <w:r>
              <w:rPr>
                <w:rFonts w:hint="eastAsia" w:ascii="楷体" w:hAnsi="楷体" w:eastAsia="楷体" w:cs="楷体"/>
                <w:color w:val="333333"/>
                <w:sz w:val="24"/>
                <w:szCs w:val="24"/>
                <w:highlight w:val="none"/>
              </w:rPr>
              <w:t>▲</w:t>
            </w:r>
            <w:r>
              <w:rPr>
                <w:rFonts w:hint="eastAsia" w:ascii="楷体" w:hAnsi="楷体" w:eastAsia="楷体" w:cs="楷体"/>
                <w:color w:val="000000"/>
                <w:sz w:val="24"/>
                <w:szCs w:val="24"/>
                <w:highlight w:val="none"/>
              </w:rPr>
              <w:t>教师授课过程中，可使用击鼓传花软件随机选择一名学生进行互动或回答问题，提高学生课堂参与度。</w:t>
            </w:r>
            <w:r>
              <w:rPr>
                <w:rFonts w:hint="eastAsia" w:ascii="楷体" w:hAnsi="楷体" w:eastAsia="楷体" w:cs="楷体"/>
                <w:kern w:val="0"/>
                <w:sz w:val="24"/>
                <w:szCs w:val="24"/>
                <w:highlight w:val="none"/>
              </w:rPr>
              <w:t>提供但不限于(检测报告、产品说明书、功能截图等材料证明)，并加盖厂商公章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605" w:type="dxa"/>
            <w:vAlign w:val="center"/>
          </w:tcPr>
          <w:p>
            <w:pPr>
              <w:spacing w:before="156" w:line="360" w:lineRule="auto"/>
              <w:jc w:val="left"/>
              <w:rPr>
                <w:rFonts w:hint="eastAsia" w:ascii="楷体" w:hAnsi="楷体" w:eastAsia="楷体" w:cs="楷体"/>
                <w:b/>
                <w:bCs/>
                <w:color w:val="000000"/>
                <w:spacing w:val="15"/>
                <w:sz w:val="24"/>
                <w:szCs w:val="24"/>
                <w:highlight w:val="none"/>
              </w:rPr>
            </w:pPr>
            <w:r>
              <w:rPr>
                <w:rFonts w:hint="eastAsia" w:ascii="楷体" w:hAnsi="楷体" w:eastAsia="楷体" w:cs="楷体"/>
                <w:b/>
                <w:bCs/>
                <w:color w:val="000000"/>
                <w:kern w:val="0"/>
                <w:sz w:val="24"/>
                <w:szCs w:val="24"/>
                <w:highlight w:val="none"/>
              </w:rPr>
              <w:t>学科备授课工具</w:t>
            </w:r>
          </w:p>
        </w:tc>
        <w:tc>
          <w:tcPr>
            <w:tcW w:w="7946" w:type="dxa"/>
            <w:vAlign w:val="center"/>
          </w:tcPr>
          <w:p>
            <w:pPr>
              <w:spacing w:before="156" w:line="360" w:lineRule="auto"/>
              <w:ind w:right="1332"/>
              <w:rPr>
                <w:rFonts w:hint="eastAsia" w:ascii="楷体" w:hAnsi="楷体" w:eastAsia="楷体" w:cs="楷体"/>
                <w:sz w:val="24"/>
                <w:szCs w:val="24"/>
                <w:highlight w:val="none"/>
              </w:rPr>
            </w:pPr>
            <w:r>
              <w:rPr>
                <w:rFonts w:hint="eastAsia" w:ascii="楷体" w:hAnsi="楷体" w:eastAsia="楷体" w:cs="楷体"/>
                <w:b/>
                <w:bCs/>
                <w:sz w:val="24"/>
                <w:szCs w:val="24"/>
                <w:highlight w:val="none"/>
              </w:rPr>
              <w:t>备课工具</w:t>
            </w:r>
          </w:p>
          <w:p>
            <w:pPr>
              <w:spacing w:before="156"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1、支持老师通过手机app及电脑端通过教材章节目录、知识点选择对应的教学内容，老师仅需要按每个教学环节选择所需的教学模块即可快速生成一份课件，每个课时均提供过量的教学内容模块，满足老师的个性化需求。</w:t>
            </w:r>
            <w:r>
              <w:rPr>
                <w:rFonts w:hint="eastAsia" w:ascii="楷体" w:hAnsi="楷体" w:eastAsia="楷体" w:cs="楷体"/>
                <w:b/>
                <w:bCs/>
                <w:color w:val="auto"/>
                <w:kern w:val="0"/>
                <w:sz w:val="24"/>
                <w:szCs w:val="24"/>
                <w:highlight w:val="none"/>
              </w:rPr>
              <w:t>（提供软件演示视频）</w:t>
            </w:r>
          </w:p>
          <w:p>
            <w:pPr>
              <w:spacing w:before="156"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2、支持将做好的课件保存在个人空间，老师在授课时进入个人空间后即可直接打开授课使用，无需下载。</w:t>
            </w:r>
          </w:p>
          <w:p>
            <w:pPr>
              <w:snapToGrid w:val="0"/>
              <w:spacing w:before="156" w:line="360" w:lineRule="auto"/>
              <w:jc w:val="left"/>
              <w:rPr>
                <w:rFonts w:hint="eastAsia" w:ascii="楷体" w:hAnsi="楷体" w:eastAsia="楷体" w:cs="楷体"/>
                <w:color w:val="FF0000"/>
                <w:sz w:val="24"/>
                <w:szCs w:val="24"/>
                <w:highlight w:val="none"/>
              </w:rPr>
            </w:pPr>
            <w:r>
              <w:rPr>
                <w:rFonts w:hint="eastAsia" w:ascii="楷体" w:hAnsi="楷体" w:eastAsia="楷体" w:cs="楷体"/>
                <w:sz w:val="24"/>
                <w:szCs w:val="24"/>
                <w:highlight w:val="none"/>
              </w:rPr>
              <w:t>3、为方便老师更好地使用软件功能，软件中需要内置常见问题及初级、高级使用说明，同时提供视频格式的教程，以方便老师自主学习。</w:t>
            </w:r>
          </w:p>
          <w:p>
            <w:pPr>
              <w:snapToGrid w:val="0"/>
              <w:spacing w:before="156" w:line="360" w:lineRule="auto"/>
              <w:jc w:val="left"/>
              <w:rPr>
                <w:rFonts w:hint="eastAsia" w:ascii="楷体" w:hAnsi="楷体" w:eastAsia="楷体" w:cs="楷体"/>
                <w:sz w:val="24"/>
                <w:szCs w:val="24"/>
                <w:highlight w:val="none"/>
              </w:rPr>
            </w:pPr>
            <w:r>
              <w:rPr>
                <w:rFonts w:hint="eastAsia" w:ascii="楷体" w:hAnsi="楷体" w:eastAsia="楷体" w:cs="楷体"/>
                <w:b/>
                <w:bCs/>
                <w:sz w:val="24"/>
                <w:szCs w:val="24"/>
                <w:highlight w:val="none"/>
              </w:rPr>
              <w:t>学科资源</w:t>
            </w:r>
          </w:p>
          <w:p>
            <w:pPr>
              <w:snapToGrid w:val="0"/>
              <w:spacing w:before="156" w:line="360" w:lineRule="auto"/>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1、提模块化的高质量课件素材和教案，学科涵盖小学语文、初中语文、小学数学、初中数学、高中数学、小学英语、初中英语、小学科学、初中物理、初中化学。老师仅需要按每个教学环节选择所需的教学模块即可快速生成一份课件，每个课时均提供过量的教学内容模块，包含课堂导入、知识讲解，例题与变式，拓展延伸，课外活动等等，注重知识的形成过程。</w:t>
            </w:r>
          </w:p>
          <w:p>
            <w:pPr>
              <w:snapToGrid w:val="0"/>
              <w:spacing w:before="156" w:line="360" w:lineRule="auto"/>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2、内置数百个高质量交互式动画，增强课堂趣味性。提供不少于1000个制作完成的语文、数学交互式动画课件素材，可直接选用插入到课件中。</w:t>
            </w:r>
          </w:p>
          <w:p>
            <w:pPr>
              <w:spacing w:before="156"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3、精选各省市高考、统考真题、学校考试真题，以及主流教辅书中的习题组成中学数学学科题库，要求题库自带答案及解析，题库内的题目支持支持筛选题型和试题难度，可支持直接插入到课件中。题库内容插入到课件之后，还可以对题、答案、解析进行二次编辑。</w:t>
            </w:r>
          </w:p>
          <w:p>
            <w:pPr>
              <w:spacing w:before="156" w:line="360" w:lineRule="auto"/>
              <w:rPr>
                <w:rFonts w:hint="eastAsia" w:ascii="楷体" w:hAnsi="楷体" w:eastAsia="楷体" w:cs="楷体"/>
                <w:kern w:val="0"/>
                <w:sz w:val="24"/>
                <w:szCs w:val="24"/>
                <w:highlight w:val="none"/>
              </w:rPr>
            </w:pPr>
            <w:r>
              <w:rPr>
                <w:rFonts w:hint="eastAsia" w:ascii="楷体" w:hAnsi="楷体" w:eastAsia="楷体" w:cs="楷体"/>
                <w:sz w:val="24"/>
                <w:szCs w:val="24"/>
                <w:highlight w:val="none"/>
              </w:rPr>
              <w:t>4、</w:t>
            </w:r>
            <w:r>
              <w:rPr>
                <w:rFonts w:hint="eastAsia" w:ascii="楷体" w:hAnsi="楷体" w:eastAsia="楷体" w:cs="楷体"/>
                <w:color w:val="000000"/>
                <w:sz w:val="24"/>
                <w:szCs w:val="24"/>
                <w:highlight w:val="none"/>
              </w:rPr>
              <w:t>为保证后期软件升级，要求软件与硬件为同一品牌，不接受第三方软件。</w:t>
            </w:r>
            <w:r>
              <w:rPr>
                <w:rFonts w:hint="eastAsia" w:ascii="楷体" w:hAnsi="楷体" w:eastAsia="楷体" w:cs="楷体"/>
                <w:kern w:val="0"/>
                <w:sz w:val="24"/>
                <w:szCs w:val="24"/>
                <w:highlight w:val="none"/>
              </w:rPr>
              <w:t>提供但不限于(检测报告、产品说明书、功能截图等材料证明)，并加盖厂商公章</w:t>
            </w:r>
          </w:p>
          <w:p>
            <w:pPr>
              <w:spacing w:before="156" w:line="360" w:lineRule="auto"/>
              <w:rPr>
                <w:rFonts w:hint="eastAsia" w:ascii="楷体" w:hAnsi="楷体" w:eastAsia="楷体" w:cs="楷体"/>
                <w:color w:val="000000"/>
                <w:kern w:val="0"/>
                <w:sz w:val="24"/>
                <w:szCs w:val="24"/>
                <w:highlight w:val="none"/>
              </w:rPr>
            </w:pPr>
            <w:r>
              <w:rPr>
                <w:rFonts w:hint="eastAsia" w:ascii="楷体" w:hAnsi="楷体" w:eastAsia="楷体" w:cs="楷体"/>
                <w:kern w:val="0"/>
                <w:sz w:val="24"/>
                <w:szCs w:val="24"/>
                <w:highlight w:val="none"/>
              </w:rPr>
              <w:t>5、</w:t>
            </w:r>
            <w:r>
              <w:rPr>
                <w:rFonts w:hint="eastAsia" w:ascii="楷体" w:hAnsi="楷体" w:eastAsia="楷体" w:cs="楷体"/>
                <w:color w:val="000000"/>
                <w:kern w:val="0"/>
                <w:sz w:val="24"/>
                <w:szCs w:val="24"/>
                <w:highlight w:val="none"/>
              </w:rPr>
              <w:t>为保证师 生信息安全，所投软件不存在强制、过度、频繁获取权限的行为，且不能出现在工信部通报的信息违规软件名单中；</w:t>
            </w:r>
          </w:p>
          <w:p>
            <w:pPr>
              <w:widowControl/>
              <w:spacing w:before="156" w:line="360" w:lineRule="auto"/>
              <w:jc w:val="left"/>
              <w:rPr>
                <w:rFonts w:hint="eastAsia" w:ascii="楷体" w:hAnsi="楷体" w:eastAsia="楷体" w:cs="楷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605" w:type="dxa"/>
            <w:vAlign w:val="center"/>
          </w:tcPr>
          <w:p>
            <w:pPr>
              <w:spacing w:before="156" w:line="360" w:lineRule="auto"/>
              <w:jc w:val="left"/>
              <w:rPr>
                <w:rFonts w:hint="eastAsia" w:ascii="楷体" w:hAnsi="楷体" w:eastAsia="楷体" w:cs="楷体"/>
                <w:b/>
                <w:bCs/>
                <w:color w:val="000000"/>
                <w:spacing w:val="15"/>
                <w:sz w:val="24"/>
                <w:szCs w:val="24"/>
                <w:highlight w:val="none"/>
              </w:rPr>
            </w:pPr>
            <w:r>
              <w:rPr>
                <w:rFonts w:hint="eastAsia" w:ascii="楷体" w:hAnsi="楷体" w:eastAsia="楷体" w:cs="楷体"/>
                <w:b/>
                <w:bCs/>
                <w:color w:val="000000"/>
                <w:spacing w:val="15"/>
                <w:sz w:val="24"/>
                <w:szCs w:val="24"/>
                <w:highlight w:val="none"/>
              </w:rPr>
              <w:t>移动授课</w:t>
            </w:r>
          </w:p>
          <w:p>
            <w:pPr>
              <w:spacing w:before="156" w:line="360" w:lineRule="auto"/>
              <w:jc w:val="left"/>
              <w:rPr>
                <w:rFonts w:hint="eastAsia" w:ascii="楷体" w:hAnsi="楷体" w:eastAsia="楷体" w:cs="楷体"/>
                <w:b/>
                <w:bCs/>
                <w:color w:val="000000"/>
                <w:spacing w:val="15"/>
                <w:sz w:val="24"/>
                <w:szCs w:val="24"/>
                <w:highlight w:val="none"/>
              </w:rPr>
            </w:pPr>
            <w:r>
              <w:rPr>
                <w:rFonts w:hint="eastAsia" w:ascii="楷体" w:hAnsi="楷体" w:eastAsia="楷体" w:cs="楷体"/>
                <w:b/>
                <w:bCs/>
                <w:color w:val="000000"/>
                <w:spacing w:val="15"/>
                <w:sz w:val="24"/>
                <w:szCs w:val="24"/>
                <w:highlight w:val="none"/>
              </w:rPr>
              <w:t>系统</w:t>
            </w:r>
          </w:p>
        </w:tc>
        <w:tc>
          <w:tcPr>
            <w:tcW w:w="7946" w:type="dxa"/>
            <w:vAlign w:val="center"/>
          </w:tcPr>
          <w:p>
            <w:pPr>
              <w:pStyle w:val="108"/>
              <w:widowControl/>
              <w:numPr>
                <w:ilvl w:val="0"/>
                <w:numId w:val="10"/>
              </w:numPr>
              <w:spacing w:before="156" w:line="360" w:lineRule="auto"/>
              <w:ind w:firstLineChars="0"/>
              <w:jc w:val="left"/>
              <w:rPr>
                <w:rFonts w:hint="eastAsia" w:ascii="楷体" w:hAnsi="楷体" w:eastAsia="楷体" w:cs="楷体"/>
                <w:bCs/>
                <w:color w:val="000000"/>
                <w:kern w:val="0"/>
                <w:sz w:val="24"/>
                <w:szCs w:val="24"/>
                <w:highlight w:val="none"/>
              </w:rPr>
            </w:pPr>
            <w:r>
              <w:rPr>
                <w:rFonts w:hint="eastAsia" w:ascii="楷体" w:hAnsi="楷体" w:eastAsia="楷体" w:cs="楷体"/>
                <w:bCs/>
                <w:color w:val="000000"/>
                <w:kern w:val="0"/>
                <w:sz w:val="24"/>
                <w:szCs w:val="24"/>
                <w:highlight w:val="none"/>
              </w:rPr>
              <w:t>支持中英文双语言版本，支持手机移动端与PC端通过智能搜索或扫描二维码方式连接,为使软件操作更加方便快捷，软件页面整体呈现模块化矩阵展现方式，并且具备以下功能：</w:t>
            </w:r>
          </w:p>
          <w:p>
            <w:pPr>
              <w:pStyle w:val="108"/>
              <w:widowControl/>
              <w:numPr>
                <w:ilvl w:val="0"/>
                <w:numId w:val="10"/>
              </w:numPr>
              <w:spacing w:before="156" w:line="360" w:lineRule="auto"/>
              <w:ind w:firstLineChars="0"/>
              <w:jc w:val="left"/>
              <w:rPr>
                <w:rFonts w:hint="eastAsia" w:ascii="楷体" w:hAnsi="楷体" w:eastAsia="楷体" w:cs="楷体"/>
                <w:bCs/>
                <w:color w:val="000000"/>
                <w:kern w:val="0"/>
                <w:sz w:val="24"/>
                <w:szCs w:val="24"/>
                <w:highlight w:val="none"/>
              </w:rPr>
            </w:pPr>
            <w:r>
              <w:rPr>
                <w:rFonts w:hint="eastAsia" w:ascii="楷体" w:hAnsi="楷体" w:eastAsia="楷体" w:cs="楷体"/>
                <w:bCs/>
                <w:color w:val="000000"/>
                <w:kern w:val="0"/>
                <w:sz w:val="24"/>
                <w:szCs w:val="24"/>
                <w:highlight w:val="none"/>
              </w:rPr>
              <w:t>支持影像上传，支持对上传的图片内容再次编辑如裁剪、旋转等操作，并且可同时上传多张照片进行同屏对比，双向批注；</w:t>
            </w:r>
          </w:p>
          <w:p>
            <w:pPr>
              <w:pStyle w:val="108"/>
              <w:widowControl/>
              <w:numPr>
                <w:ilvl w:val="0"/>
                <w:numId w:val="10"/>
              </w:numPr>
              <w:spacing w:before="156" w:line="360" w:lineRule="auto"/>
              <w:ind w:firstLineChars="0"/>
              <w:jc w:val="left"/>
              <w:rPr>
                <w:rFonts w:hint="eastAsia" w:ascii="楷体" w:hAnsi="楷体" w:eastAsia="楷体" w:cs="楷体"/>
                <w:bCs/>
                <w:color w:val="000000"/>
                <w:kern w:val="0"/>
                <w:sz w:val="24"/>
                <w:szCs w:val="24"/>
                <w:highlight w:val="none"/>
              </w:rPr>
            </w:pPr>
            <w:r>
              <w:rPr>
                <w:rFonts w:hint="eastAsia" w:ascii="楷体" w:hAnsi="楷体" w:eastAsia="楷体" w:cs="楷体"/>
                <w:bCs/>
                <w:color w:val="000000"/>
                <w:kern w:val="0"/>
                <w:sz w:val="24"/>
                <w:szCs w:val="24"/>
                <w:highlight w:val="none"/>
              </w:rPr>
              <w:t>软件具备课件播放功能，可以一键打开电脑桌面课件并播放，课件支持播放列表，可快速选择PPT或白板课件进行播放；</w:t>
            </w:r>
          </w:p>
          <w:p>
            <w:pPr>
              <w:pStyle w:val="108"/>
              <w:widowControl/>
              <w:numPr>
                <w:ilvl w:val="0"/>
                <w:numId w:val="10"/>
              </w:numPr>
              <w:spacing w:before="156" w:line="360" w:lineRule="auto"/>
              <w:ind w:firstLineChars="0"/>
              <w:jc w:val="left"/>
              <w:rPr>
                <w:rFonts w:hint="eastAsia" w:ascii="楷体" w:hAnsi="楷体" w:eastAsia="楷体" w:cs="楷体"/>
                <w:bCs/>
                <w:color w:val="000000"/>
                <w:kern w:val="0"/>
                <w:sz w:val="24"/>
                <w:szCs w:val="24"/>
                <w:highlight w:val="none"/>
              </w:rPr>
            </w:pPr>
            <w:r>
              <w:rPr>
                <w:rFonts w:hint="eastAsia" w:ascii="楷体" w:hAnsi="楷体" w:eastAsia="楷体" w:cs="楷体"/>
                <w:bCs/>
                <w:color w:val="000000"/>
                <w:kern w:val="0"/>
                <w:sz w:val="24"/>
                <w:szCs w:val="24"/>
                <w:highlight w:val="none"/>
              </w:rPr>
              <w:t>为更好的实现课堂互动，软件支持直播功能，支持一键切换前后置摄像头，方便老师和学生进行互动，并且可以作为移动展台使用；</w:t>
            </w:r>
          </w:p>
          <w:p>
            <w:pPr>
              <w:pStyle w:val="108"/>
              <w:widowControl/>
              <w:numPr>
                <w:ilvl w:val="0"/>
                <w:numId w:val="10"/>
              </w:numPr>
              <w:spacing w:before="156" w:line="360" w:lineRule="auto"/>
              <w:ind w:firstLineChars="0"/>
              <w:jc w:val="left"/>
              <w:rPr>
                <w:rFonts w:hint="eastAsia" w:ascii="楷体" w:hAnsi="楷体" w:eastAsia="楷体" w:cs="楷体"/>
                <w:bCs/>
                <w:color w:val="000000"/>
                <w:kern w:val="0"/>
                <w:sz w:val="24"/>
                <w:szCs w:val="24"/>
                <w:highlight w:val="none"/>
              </w:rPr>
            </w:pPr>
            <w:r>
              <w:rPr>
                <w:rFonts w:hint="eastAsia" w:ascii="楷体" w:hAnsi="楷体" w:eastAsia="楷体" w:cs="楷体"/>
                <w:bCs/>
                <w:color w:val="000000"/>
                <w:kern w:val="0"/>
                <w:sz w:val="24"/>
                <w:szCs w:val="24"/>
                <w:highlight w:val="none"/>
              </w:rPr>
              <w:t>支持从移动端直接打开接收端U盘，支持U盘文件列表，自主选择文件打开，支持U盘文件分类；</w:t>
            </w:r>
          </w:p>
          <w:p>
            <w:pPr>
              <w:pStyle w:val="108"/>
              <w:widowControl/>
              <w:numPr>
                <w:ilvl w:val="0"/>
                <w:numId w:val="10"/>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bCs/>
                <w:color w:val="000000"/>
                <w:kern w:val="0"/>
                <w:sz w:val="24"/>
                <w:szCs w:val="24"/>
                <w:highlight w:val="none"/>
              </w:rPr>
              <w:t>可实现一键切换电脑窗口文件功能；可实现触摸板功能：手机可模拟鼠标操作PC端画面；可实现电脑管理功能：手机可远程操作PC端电脑关闭或重启</w:t>
            </w:r>
          </w:p>
          <w:p>
            <w:pPr>
              <w:pStyle w:val="108"/>
              <w:widowControl/>
              <w:numPr>
                <w:ilvl w:val="0"/>
                <w:numId w:val="10"/>
              </w:numPr>
              <w:spacing w:before="156" w:line="360" w:lineRule="auto"/>
              <w:ind w:firstLineChars="0"/>
              <w:jc w:val="left"/>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为保证师 生信息安全，所投软件不存在强制、过度、频繁获取权限的行为，且不能出现在工信部通报的信息违规软件名单中；</w:t>
            </w:r>
          </w:p>
          <w:p>
            <w:pPr>
              <w:pStyle w:val="108"/>
              <w:widowControl/>
              <w:spacing w:before="156" w:line="360" w:lineRule="auto"/>
              <w:ind w:firstLine="0" w:firstLineChars="0"/>
              <w:jc w:val="left"/>
              <w:rPr>
                <w:rFonts w:hint="eastAsia" w:ascii="楷体" w:hAnsi="楷体" w:eastAsia="楷体" w:cs="楷体"/>
                <w:bCs/>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605" w:type="dxa"/>
            <w:vAlign w:val="center"/>
          </w:tcPr>
          <w:p>
            <w:pPr>
              <w:spacing w:before="156" w:line="360" w:lineRule="auto"/>
              <w:jc w:val="left"/>
              <w:rPr>
                <w:rFonts w:hint="eastAsia" w:ascii="楷体" w:hAnsi="楷体" w:eastAsia="楷体" w:cs="楷体"/>
                <w:b/>
                <w:bCs/>
                <w:color w:val="000000"/>
                <w:spacing w:val="15"/>
                <w:sz w:val="24"/>
                <w:szCs w:val="24"/>
                <w:highlight w:val="none"/>
              </w:rPr>
            </w:pPr>
            <w:bookmarkStart w:id="58" w:name="_Hlk79678717"/>
            <w:r>
              <w:rPr>
                <w:rFonts w:hint="eastAsia" w:ascii="楷体" w:hAnsi="楷体" w:eastAsia="楷体" w:cs="楷体"/>
                <w:b/>
                <w:bCs/>
                <w:color w:val="000000"/>
                <w:spacing w:val="15"/>
                <w:sz w:val="24"/>
                <w:szCs w:val="24"/>
                <w:highlight w:val="none"/>
              </w:rPr>
              <w:t>集控管理</w:t>
            </w:r>
          </w:p>
          <w:p>
            <w:pPr>
              <w:spacing w:before="156" w:line="360" w:lineRule="auto"/>
              <w:jc w:val="left"/>
              <w:rPr>
                <w:rFonts w:hint="eastAsia" w:ascii="楷体" w:hAnsi="楷体" w:eastAsia="楷体" w:cs="楷体"/>
                <w:b/>
                <w:bCs/>
                <w:color w:val="000000"/>
                <w:spacing w:val="15"/>
                <w:sz w:val="24"/>
                <w:szCs w:val="24"/>
                <w:highlight w:val="none"/>
              </w:rPr>
            </w:pPr>
            <w:r>
              <w:rPr>
                <w:rFonts w:hint="eastAsia" w:ascii="楷体" w:hAnsi="楷体" w:eastAsia="楷体" w:cs="楷体"/>
                <w:b/>
                <w:bCs/>
                <w:color w:val="000000"/>
                <w:spacing w:val="15"/>
                <w:sz w:val="24"/>
                <w:szCs w:val="24"/>
                <w:highlight w:val="none"/>
              </w:rPr>
              <w:t>平台</w:t>
            </w:r>
            <w:bookmarkEnd w:id="58"/>
          </w:p>
        </w:tc>
        <w:tc>
          <w:tcPr>
            <w:tcW w:w="7946" w:type="dxa"/>
            <w:vAlign w:val="center"/>
          </w:tcPr>
          <w:p>
            <w:pPr>
              <w:pStyle w:val="4"/>
              <w:spacing w:before="156" w:line="360" w:lineRule="auto"/>
              <w:jc w:val="both"/>
              <w:rPr>
                <w:rFonts w:hint="eastAsia" w:ascii="楷体" w:hAnsi="楷体" w:eastAsia="楷体" w:cs="楷体"/>
                <w:color w:val="000000"/>
                <w:sz w:val="24"/>
                <w:szCs w:val="24"/>
                <w:highlight w:val="none"/>
              </w:rPr>
            </w:pPr>
            <w:bookmarkStart w:id="59" w:name="_Hlk79678704"/>
            <w:r>
              <w:rPr>
                <w:rFonts w:hint="eastAsia" w:ascii="楷体" w:hAnsi="楷体" w:eastAsia="楷体" w:cs="楷体"/>
                <w:color w:val="000000"/>
                <w:sz w:val="24"/>
                <w:szCs w:val="24"/>
                <w:highlight w:val="none"/>
              </w:rPr>
              <w:t>服务端软件</w:t>
            </w:r>
          </w:p>
          <w:p>
            <w:pPr>
              <w:pStyle w:val="4"/>
              <w:numPr>
                <w:ilvl w:val="0"/>
                <w:numId w:val="11"/>
              </w:numPr>
              <w:spacing w:before="156" w:line="360" w:lineRule="auto"/>
              <w:jc w:val="left"/>
              <w:rPr>
                <w:rFonts w:hint="eastAsia" w:ascii="楷体" w:hAnsi="楷体" w:eastAsia="楷体" w:cs="楷体"/>
                <w:b w:val="0"/>
                <w:bCs/>
                <w:color w:val="000000"/>
                <w:sz w:val="24"/>
                <w:szCs w:val="24"/>
                <w:highlight w:val="none"/>
              </w:rPr>
            </w:pPr>
            <w:r>
              <w:rPr>
                <w:rFonts w:hint="eastAsia" w:ascii="楷体" w:hAnsi="楷体" w:eastAsia="楷体" w:cs="楷体"/>
                <w:b w:val="0"/>
                <w:bCs/>
                <w:color w:val="000000"/>
                <w:sz w:val="24"/>
                <w:szCs w:val="24"/>
                <w:highlight w:val="none"/>
              </w:rPr>
              <w:t>后台控制端采用 B/S 架构设计，可在 Windows、Linux、Android、IOS 等多种不同的操作系统上通过网页浏览器登录进行操作；</w:t>
            </w:r>
          </w:p>
          <w:p>
            <w:pPr>
              <w:pStyle w:val="4"/>
              <w:numPr>
                <w:ilvl w:val="0"/>
                <w:numId w:val="11"/>
              </w:numPr>
              <w:spacing w:before="156" w:line="360" w:lineRule="auto"/>
              <w:jc w:val="left"/>
              <w:rPr>
                <w:rFonts w:hint="eastAsia" w:ascii="楷体" w:hAnsi="楷体" w:eastAsia="楷体" w:cs="楷体"/>
                <w:b w:val="0"/>
                <w:bCs/>
                <w:color w:val="000000"/>
                <w:sz w:val="24"/>
                <w:szCs w:val="24"/>
                <w:highlight w:val="none"/>
              </w:rPr>
            </w:pPr>
            <w:r>
              <w:rPr>
                <w:rFonts w:hint="eastAsia" w:ascii="楷体" w:hAnsi="楷体" w:eastAsia="楷体" w:cs="楷体"/>
                <w:b w:val="0"/>
                <w:bCs/>
                <w:color w:val="000000"/>
                <w:sz w:val="24"/>
                <w:szCs w:val="24"/>
                <w:highlight w:val="none"/>
              </w:rPr>
              <w:t>安全管理：首次登录，切换环境登录时验证用户身份，保障系统安全性；</w:t>
            </w:r>
          </w:p>
          <w:p>
            <w:pPr>
              <w:pStyle w:val="108"/>
              <w:numPr>
                <w:ilvl w:val="0"/>
                <w:numId w:val="11"/>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多层级用户管理：可设置不同权限的管理员，分配地点管理校园设备；</w:t>
            </w:r>
          </w:p>
          <w:p>
            <w:pPr>
              <w:spacing w:before="156" w:line="360" w:lineRule="auto"/>
              <w:rPr>
                <w:rFonts w:hint="eastAsia" w:ascii="楷体" w:hAnsi="楷体" w:eastAsia="楷体" w:cs="楷体"/>
                <w:b/>
                <w:bCs/>
                <w:color w:val="000000"/>
                <w:sz w:val="24"/>
                <w:szCs w:val="24"/>
                <w:highlight w:val="none"/>
              </w:rPr>
            </w:pPr>
            <w:r>
              <w:rPr>
                <w:rFonts w:hint="eastAsia" w:ascii="楷体" w:hAnsi="楷体" w:eastAsia="楷体" w:cs="楷体"/>
                <w:b/>
                <w:bCs/>
                <w:color w:val="000000"/>
                <w:sz w:val="24"/>
                <w:szCs w:val="24"/>
                <w:highlight w:val="none"/>
              </w:rPr>
              <w:t>移动控制端</w:t>
            </w:r>
          </w:p>
          <w:p>
            <w:pPr>
              <w:pStyle w:val="4"/>
              <w:numPr>
                <w:ilvl w:val="0"/>
                <w:numId w:val="11"/>
              </w:numPr>
              <w:spacing w:before="156" w:line="360" w:lineRule="auto"/>
              <w:jc w:val="both"/>
              <w:rPr>
                <w:rFonts w:hint="eastAsia" w:ascii="楷体" w:hAnsi="楷体" w:eastAsia="楷体" w:cs="楷体"/>
                <w:b w:val="0"/>
                <w:bCs/>
                <w:color w:val="000000"/>
                <w:sz w:val="24"/>
                <w:szCs w:val="24"/>
                <w:highlight w:val="none"/>
              </w:rPr>
            </w:pPr>
            <w:r>
              <w:rPr>
                <w:rFonts w:hint="eastAsia" w:ascii="楷体" w:hAnsi="楷体" w:eastAsia="楷体" w:cs="楷体"/>
                <w:b w:val="0"/>
                <w:bCs/>
                <w:color w:val="000000"/>
                <w:sz w:val="24"/>
                <w:szCs w:val="24"/>
                <w:highlight w:val="none"/>
              </w:rPr>
              <w:t>登陆：控制端程序可通过微信小程序等进行登陆控制</w:t>
            </w:r>
          </w:p>
          <w:p>
            <w:pPr>
              <w:pStyle w:val="4"/>
              <w:numPr>
                <w:ilvl w:val="0"/>
                <w:numId w:val="11"/>
              </w:numPr>
              <w:spacing w:before="156" w:line="360" w:lineRule="auto"/>
              <w:jc w:val="both"/>
              <w:rPr>
                <w:rFonts w:hint="eastAsia" w:ascii="楷体" w:hAnsi="楷体" w:eastAsia="楷体" w:cs="楷体"/>
                <w:b w:val="0"/>
                <w:bCs/>
                <w:color w:val="000000"/>
                <w:sz w:val="24"/>
                <w:szCs w:val="24"/>
                <w:highlight w:val="none"/>
              </w:rPr>
            </w:pPr>
            <w:r>
              <w:rPr>
                <w:rFonts w:hint="eastAsia" w:ascii="楷体" w:hAnsi="楷体" w:eastAsia="楷体" w:cs="楷体"/>
                <w:b w:val="0"/>
                <w:bCs/>
                <w:color w:val="000000"/>
                <w:sz w:val="24"/>
                <w:szCs w:val="24"/>
                <w:highlight w:val="none"/>
              </w:rPr>
              <w:t>首页：移动控制端下查看当前设备在线数量，设备在线率；</w:t>
            </w:r>
          </w:p>
          <w:p>
            <w:pPr>
              <w:pStyle w:val="4"/>
              <w:numPr>
                <w:ilvl w:val="0"/>
                <w:numId w:val="11"/>
              </w:numPr>
              <w:spacing w:before="156" w:line="360" w:lineRule="auto"/>
              <w:jc w:val="left"/>
              <w:rPr>
                <w:rFonts w:hint="eastAsia" w:ascii="楷体" w:hAnsi="楷体" w:eastAsia="楷体" w:cs="楷体"/>
                <w:b w:val="0"/>
                <w:bCs/>
                <w:color w:val="000000"/>
                <w:sz w:val="24"/>
                <w:szCs w:val="24"/>
                <w:highlight w:val="none"/>
              </w:rPr>
            </w:pPr>
            <w:r>
              <w:rPr>
                <w:rFonts w:hint="eastAsia" w:ascii="楷体" w:hAnsi="楷体" w:eastAsia="楷体" w:cs="楷体"/>
                <w:b w:val="0"/>
                <w:bCs/>
                <w:color w:val="000000"/>
                <w:sz w:val="24"/>
                <w:szCs w:val="24"/>
                <w:highlight w:val="none"/>
              </w:rPr>
              <w:t>管理：移动控制端下实时查看在线离线设备，对一台或多台设备集中管理，可执行开机、关机、童锁锁定、解锁等操作；实时监控桌面画面，查看当前设备使用详情：如CPU使用率、内存使用率、C盘容量、音量、开机时长、童锁状态信息；</w:t>
            </w:r>
          </w:p>
          <w:p>
            <w:pPr>
              <w:pStyle w:val="4"/>
              <w:numPr>
                <w:ilvl w:val="0"/>
                <w:numId w:val="11"/>
              </w:numPr>
              <w:spacing w:before="156" w:line="360" w:lineRule="auto"/>
              <w:jc w:val="left"/>
              <w:rPr>
                <w:rFonts w:hint="eastAsia" w:ascii="楷体" w:hAnsi="楷体" w:eastAsia="楷体" w:cs="楷体"/>
                <w:b w:val="0"/>
                <w:bCs/>
                <w:color w:val="000000"/>
                <w:sz w:val="24"/>
                <w:szCs w:val="24"/>
                <w:highlight w:val="none"/>
              </w:rPr>
            </w:pPr>
            <w:r>
              <w:rPr>
                <w:rFonts w:hint="eastAsia" w:ascii="楷体" w:hAnsi="楷体" w:eastAsia="楷体" w:cs="楷体"/>
                <w:b w:val="0"/>
                <w:bCs/>
                <w:color w:val="000000"/>
                <w:sz w:val="24"/>
                <w:szCs w:val="24"/>
                <w:highlight w:val="none"/>
              </w:rPr>
              <w:t>数据：移动控制端下实时查看全校设备使用情况：如设备活跃度、软件使用排行、设备在线数量、设备使用时长分布等</w:t>
            </w:r>
          </w:p>
          <w:p>
            <w:pPr>
              <w:pStyle w:val="4"/>
              <w:numPr>
                <w:ilvl w:val="0"/>
                <w:numId w:val="11"/>
              </w:numPr>
              <w:spacing w:before="156" w:line="360" w:lineRule="auto"/>
              <w:jc w:val="left"/>
              <w:rPr>
                <w:rFonts w:hint="eastAsia" w:ascii="楷体" w:hAnsi="楷体" w:eastAsia="楷体" w:cs="楷体"/>
                <w:b w:val="0"/>
                <w:bCs/>
                <w:color w:val="000000"/>
                <w:sz w:val="24"/>
                <w:szCs w:val="24"/>
                <w:highlight w:val="none"/>
              </w:rPr>
            </w:pPr>
            <w:r>
              <w:rPr>
                <w:rFonts w:hint="eastAsia" w:ascii="楷体" w:hAnsi="楷体" w:eastAsia="楷体" w:cs="楷体"/>
                <w:b w:val="0"/>
                <w:bCs/>
                <w:color w:val="000000"/>
                <w:sz w:val="24"/>
                <w:szCs w:val="24"/>
                <w:highlight w:val="none"/>
              </w:rPr>
              <w:t>移动控制端查看管理员基本信息：账户、角色、学校；查看设备控制命令异常数；</w:t>
            </w:r>
          </w:p>
          <w:p>
            <w:pPr>
              <w:pStyle w:val="4"/>
              <w:spacing w:before="156" w:line="360" w:lineRule="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设备控制</w:t>
            </w:r>
          </w:p>
          <w:p>
            <w:pPr>
              <w:pStyle w:val="108"/>
              <w:numPr>
                <w:ilvl w:val="0"/>
                <w:numId w:val="12"/>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设备详情：查看局域网内所有设备的状态，包括在线、离线状态、教室名称、信号源、内存使用率、CPU使用率、C盘使用率</w:t>
            </w:r>
          </w:p>
          <w:p>
            <w:pPr>
              <w:pStyle w:val="108"/>
              <w:numPr>
                <w:ilvl w:val="0"/>
                <w:numId w:val="12"/>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远程监控：实时监控当前设备桌面，支持同时查看设备使用情况；</w:t>
            </w:r>
          </w:p>
          <w:p>
            <w:pPr>
              <w:pStyle w:val="108"/>
              <w:numPr>
                <w:ilvl w:val="0"/>
                <w:numId w:val="12"/>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即时/定时操作控制：批量对选定的受控设备进行关机、触控切换（屏幕触控锁定、解锁）、信号源切换、远程节能切换操作；</w:t>
            </w:r>
          </w:p>
          <w:p>
            <w:pPr>
              <w:pStyle w:val="108"/>
              <w:numPr>
                <w:ilvl w:val="0"/>
                <w:numId w:val="12"/>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远程控制：可远程控制所选择设备桌面，方便用户管理；</w:t>
            </w:r>
          </w:p>
          <w:p>
            <w:pPr>
              <w:pStyle w:val="108"/>
              <w:numPr>
                <w:ilvl w:val="0"/>
                <w:numId w:val="12"/>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控制列表：支持查看控制列表，查看立即控制、定时计划、信息发布、课间文化等内容；可对具体某项定时操作进行撤销；</w:t>
            </w:r>
          </w:p>
          <w:p>
            <w:pPr>
              <w:pStyle w:val="108"/>
              <w:numPr>
                <w:ilvl w:val="0"/>
                <w:numId w:val="12"/>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 xml:space="preserve">发布信息：可即时向任意选定的设备发布纯文本信息，支持常驻桌面型、滚动发布型及气泡弹出提示，可设置播放时长，支持再次编辑；支持设置字体及字体颜色； </w:t>
            </w:r>
          </w:p>
          <w:p>
            <w:pPr>
              <w:pStyle w:val="108"/>
              <w:numPr>
                <w:ilvl w:val="0"/>
                <w:numId w:val="12"/>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 xml:space="preserve">文件分发：支持多文件推送至任意选定的设备，包括文本、图片、pdf、word、excel、ppt、flash、音视频； </w:t>
            </w:r>
          </w:p>
          <w:p>
            <w:pPr>
              <w:pStyle w:val="108"/>
              <w:numPr>
                <w:ilvl w:val="0"/>
                <w:numId w:val="12"/>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软件管理：可上传软件至集控平台，自动下发至桌面，便于管理终端软件；</w:t>
            </w:r>
          </w:p>
          <w:p>
            <w:pPr>
              <w:pStyle w:val="108"/>
              <w:numPr>
                <w:ilvl w:val="0"/>
                <w:numId w:val="12"/>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课间文化：选择音/视频下发至大屏，自定义时间自动播放；无需部署本地服务器；</w:t>
            </w:r>
          </w:p>
          <w:p>
            <w:pPr>
              <w:pStyle w:val="108"/>
              <w:numPr>
                <w:ilvl w:val="0"/>
                <w:numId w:val="12"/>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巡课管理：默认查看当前屏幕画面，可一键切换为摄像头画面，通过摄像头获取当前教室画面，同步教室声音；无需部署本地巡课服务器；</w:t>
            </w:r>
          </w:p>
          <w:p>
            <w:pPr>
              <w:pStyle w:val="5"/>
              <w:spacing w:before="156" w:line="360" w:lineRule="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数据统计</w:t>
            </w:r>
          </w:p>
          <w:p>
            <w:pPr>
              <w:pStyle w:val="108"/>
              <w:numPr>
                <w:ilvl w:val="0"/>
                <w:numId w:val="13"/>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以图文形式对设备的使用情况进行数据统计，可以按照一定时间周期进行统计，也支持按日、周、月进行统计；</w:t>
            </w:r>
          </w:p>
          <w:p>
            <w:pPr>
              <w:pStyle w:val="108"/>
              <w:numPr>
                <w:ilvl w:val="0"/>
                <w:numId w:val="13"/>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统计内容包括设备数量、设备开机率、设备开机时长、软件使用活跃度、设备活跃度排行、设备使用时长分布、设备在线数量、学科使用统计等，支持以统计图表显示及以excel格式导出；</w:t>
            </w:r>
          </w:p>
          <w:p>
            <w:pPr>
              <w:pStyle w:val="108"/>
              <w:numPr>
                <w:ilvl w:val="0"/>
                <w:numId w:val="13"/>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支持将统计图表内容以pdf形式，每周推送至用户移动端中；区级管理员可查看该区域下所有学校设备数据，校级管理员可查看本校所有设备数据；</w:t>
            </w:r>
          </w:p>
          <w:p>
            <w:pPr>
              <w:pStyle w:val="5"/>
              <w:spacing w:before="156" w:line="360" w:lineRule="auto"/>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相关设置</w:t>
            </w:r>
          </w:p>
          <w:p>
            <w:pPr>
              <w:pStyle w:val="108"/>
              <w:numPr>
                <w:ilvl w:val="0"/>
                <w:numId w:val="14"/>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地点管理：可对学校的所有设备按年级或楼层等进行任意地点管理，并可以对地点进行修改、添加设备、删除等操作；</w:t>
            </w:r>
          </w:p>
          <w:p>
            <w:pPr>
              <w:pStyle w:val="108"/>
              <w:numPr>
                <w:ilvl w:val="0"/>
                <w:numId w:val="14"/>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日志管理：通过日志管理查看对每台设备进行的操作、并可以根据日期、日志类型进行日志分类查找；</w:t>
            </w:r>
          </w:p>
          <w:p>
            <w:pPr>
              <w:pStyle w:val="108"/>
              <w:numPr>
                <w:ilvl w:val="0"/>
                <w:numId w:val="14"/>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综合设置：终端权限密码设置，终端在进行设备配置和系统保护设置时，需要进行权限密码验证；后台自定义设置巡课模式，设置画面分辨率以及码率；</w:t>
            </w:r>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605" w:type="dxa"/>
            <w:vAlign w:val="center"/>
          </w:tcPr>
          <w:p>
            <w:pPr>
              <w:spacing w:before="156" w:line="360" w:lineRule="auto"/>
              <w:rPr>
                <w:rFonts w:hint="eastAsia" w:ascii="楷体" w:hAnsi="楷体" w:eastAsia="楷体" w:cs="楷体"/>
                <w:color w:val="000000"/>
                <w:sz w:val="24"/>
                <w:szCs w:val="24"/>
                <w:highlight w:val="none"/>
              </w:rPr>
            </w:pPr>
            <w:r>
              <w:rPr>
                <w:rFonts w:hint="eastAsia" w:ascii="楷体" w:hAnsi="楷体" w:eastAsia="楷体" w:cs="楷体"/>
                <w:b/>
                <w:bCs/>
                <w:color w:val="000000"/>
                <w:sz w:val="24"/>
                <w:szCs w:val="24"/>
                <w:highlight w:val="none"/>
              </w:rPr>
              <w:t>系统管家</w:t>
            </w:r>
          </w:p>
        </w:tc>
        <w:tc>
          <w:tcPr>
            <w:tcW w:w="7946" w:type="dxa"/>
            <w:vAlign w:val="center"/>
          </w:tcPr>
          <w:p>
            <w:pPr>
              <w:pStyle w:val="108"/>
              <w:numPr>
                <w:ilvl w:val="0"/>
                <w:numId w:val="2"/>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部署简单，设备连通互联网，输入对应学校编码，自动识别终端设备类型，完成部署；</w:t>
            </w:r>
          </w:p>
          <w:p>
            <w:pPr>
              <w:pStyle w:val="108"/>
              <w:numPr>
                <w:ilvl w:val="0"/>
                <w:numId w:val="2"/>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系统依据学校名称自动生成学校编码，支持扫描二维码查询学校编码；</w:t>
            </w:r>
          </w:p>
          <w:p>
            <w:pPr>
              <w:pStyle w:val="108"/>
              <w:numPr>
                <w:ilvl w:val="0"/>
                <w:numId w:val="2"/>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窗口支持最小化隐藏到系统托盘，不影响教师日常使用；</w:t>
            </w:r>
          </w:p>
          <w:p>
            <w:pPr>
              <w:pStyle w:val="108"/>
              <w:numPr>
                <w:ilvl w:val="0"/>
                <w:numId w:val="2"/>
              </w:numPr>
              <w:spacing w:before="156" w:line="360" w:lineRule="auto"/>
              <w:ind w:firstLineChars="0"/>
              <w:rPr>
                <w:rFonts w:hint="eastAsia" w:ascii="楷体" w:hAnsi="楷体" w:eastAsia="楷体" w:cs="楷体"/>
                <w:color w:val="000000"/>
                <w:sz w:val="24"/>
                <w:szCs w:val="24"/>
                <w:highlight w:val="none"/>
              </w:rPr>
            </w:pPr>
            <w:bookmarkStart w:id="60" w:name="_Hlk24981397"/>
            <w:r>
              <w:rPr>
                <w:rFonts w:hint="eastAsia" w:ascii="楷体" w:hAnsi="楷体" w:eastAsia="楷体" w:cs="楷体"/>
                <w:color w:val="000000"/>
                <w:sz w:val="24"/>
                <w:szCs w:val="24"/>
                <w:highlight w:val="none"/>
              </w:rPr>
              <w:t>一键查看设备连接信息，包含Windows/office版本与激活状态，硬盘、CPU、蓝牙状态（关闭状态下可进行开启）、内存、网络状态、OPS S/N号、固件版本号；</w:t>
            </w:r>
            <w:bookmarkEnd w:id="60"/>
          </w:p>
          <w:p>
            <w:pPr>
              <w:pStyle w:val="108"/>
              <w:numPr>
                <w:ilvl w:val="0"/>
                <w:numId w:val="2"/>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系统保护：一键开启/关闭系统保护；开启系统保护时，可有效避免病毒的入侵和系统破坏，设备重启后又将恢复到开启保护前状态；</w:t>
            </w:r>
          </w:p>
          <w:p>
            <w:pPr>
              <w:pStyle w:val="108"/>
              <w:numPr>
                <w:ilvl w:val="0"/>
                <w:numId w:val="2"/>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系统备份：一键备份完整系统，保留系统数据；</w:t>
            </w:r>
          </w:p>
          <w:p>
            <w:pPr>
              <w:pStyle w:val="108"/>
              <w:numPr>
                <w:ilvl w:val="0"/>
                <w:numId w:val="2"/>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系统还原：还原至最新备份系统，解决系统异常等问题，如无最新备份系统，还原至出厂状态；</w:t>
            </w:r>
          </w:p>
          <w:p>
            <w:pPr>
              <w:pStyle w:val="108"/>
              <w:numPr>
                <w:ilvl w:val="0"/>
                <w:numId w:val="2"/>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软件备份还原需要与硬件一键备份还原保持一致；</w:t>
            </w:r>
          </w:p>
          <w:p>
            <w:pPr>
              <w:pStyle w:val="108"/>
              <w:numPr>
                <w:ilvl w:val="0"/>
                <w:numId w:val="2"/>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弹窗拦截：对广告弹窗实现一键拦截，可提供软件拦截名单；</w:t>
            </w:r>
          </w:p>
          <w:p>
            <w:pPr>
              <w:pStyle w:val="108"/>
              <w:numPr>
                <w:ilvl w:val="0"/>
                <w:numId w:val="2"/>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看直播：展示该终端可看到的所有直播，在直播时间内，可进入直播进行观看；</w:t>
            </w:r>
          </w:p>
          <w:p>
            <w:pPr>
              <w:pStyle w:val="108"/>
              <w:numPr>
                <w:ilvl w:val="0"/>
                <w:numId w:val="2"/>
              </w:numPr>
              <w:spacing w:before="156" w:line="360" w:lineRule="auto"/>
              <w:ind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驱动程序在线升级：自动识别设备，获取当前设备驱动，可下载、升级至最新驱动；支持终端自动升级；</w:t>
            </w:r>
          </w:p>
          <w:p>
            <w:pPr>
              <w:widowControl/>
              <w:spacing w:before="156" w:line="360" w:lineRule="auto"/>
              <w:jc w:val="left"/>
              <w:rPr>
                <w:rFonts w:hint="eastAsia" w:ascii="楷体" w:hAnsi="楷体" w:eastAsia="楷体" w:cs="楷体"/>
                <w:color w:val="000000"/>
                <w:kern w:val="0"/>
                <w:sz w:val="24"/>
                <w:szCs w:val="24"/>
                <w:highlight w:val="none"/>
              </w:rPr>
            </w:pPr>
            <w:r>
              <w:rPr>
                <w:rFonts w:hint="eastAsia" w:ascii="楷体" w:hAnsi="楷体" w:eastAsia="楷体" w:cs="楷体"/>
                <w:color w:val="000000"/>
                <w:sz w:val="24"/>
                <w:szCs w:val="24"/>
                <w:highlight w:val="none"/>
              </w:rPr>
              <w:t>为保证系统稳定性，管控软件须与交互设备为同一品牌。</w:t>
            </w:r>
            <w:r>
              <w:rPr>
                <w:rFonts w:hint="eastAsia" w:ascii="楷体" w:hAnsi="楷体" w:eastAsia="楷体" w:cs="楷体"/>
                <w:kern w:val="0"/>
                <w:sz w:val="24"/>
                <w:szCs w:val="24"/>
                <w:highlight w:val="none"/>
              </w:rPr>
              <w:t>提供但不限于(检测报告、产品说明书、功能截图等材料证明)，并加盖厂商公章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pPr>
              <w:spacing w:before="156" w:line="360" w:lineRule="auto"/>
              <w:rPr>
                <w:rFonts w:hint="eastAsia" w:ascii="楷体" w:hAnsi="楷体" w:eastAsia="楷体" w:cs="楷体"/>
                <w:color w:val="000000"/>
                <w:sz w:val="24"/>
                <w:szCs w:val="24"/>
                <w:highlight w:val="none"/>
              </w:rPr>
            </w:pPr>
            <w:r>
              <w:rPr>
                <w:rFonts w:hint="eastAsia" w:ascii="楷体" w:hAnsi="楷体" w:eastAsia="楷体" w:cs="楷体"/>
                <w:b/>
                <w:bCs/>
                <w:color w:val="000000"/>
                <w:sz w:val="24"/>
                <w:szCs w:val="24"/>
                <w:highlight w:val="none"/>
              </w:rPr>
              <w:t>展台</w:t>
            </w:r>
          </w:p>
        </w:tc>
        <w:tc>
          <w:tcPr>
            <w:tcW w:w="7946" w:type="dxa"/>
            <w:tcBorders>
              <w:top w:val="single" w:color="auto" w:sz="4" w:space="0"/>
              <w:left w:val="single" w:color="auto" w:sz="4" w:space="0"/>
              <w:bottom w:val="single" w:color="auto" w:sz="4" w:space="0"/>
              <w:right w:val="single" w:color="auto" w:sz="4" w:space="0"/>
            </w:tcBorders>
            <w:vAlign w:val="center"/>
          </w:tcPr>
          <w:p>
            <w:pPr>
              <w:pStyle w:val="108"/>
              <w:spacing w:before="156" w:line="360" w:lineRule="auto"/>
              <w:ind w:left="276" w:hanging="276"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硬件：</w:t>
            </w:r>
          </w:p>
          <w:p>
            <w:pPr>
              <w:pStyle w:val="108"/>
              <w:widowControl/>
              <w:numPr>
                <w:ilvl w:val="0"/>
                <w:numId w:val="15"/>
              </w:numPr>
              <w:spacing w:before="156" w:line="360" w:lineRule="auto"/>
              <w:ind w:firstLineChars="0"/>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整机采用USB方式供电，支持壁挂和桌面两种安装方式，托板边角采用圆弧倒角设计，无须气压杆支撑；</w:t>
            </w:r>
          </w:p>
          <w:p>
            <w:pPr>
              <w:pStyle w:val="108"/>
              <w:widowControl/>
              <w:numPr>
                <w:ilvl w:val="0"/>
                <w:numId w:val="15"/>
              </w:numPr>
              <w:spacing w:before="156" w:line="360" w:lineRule="auto"/>
              <w:ind w:firstLineChars="0"/>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整机采用高清摄像头，不小于800万像素定焦镜头，使画面展示更加清晰；</w:t>
            </w:r>
          </w:p>
          <w:p>
            <w:pPr>
              <w:pStyle w:val="108"/>
              <w:widowControl/>
              <w:numPr>
                <w:ilvl w:val="0"/>
                <w:numId w:val="15"/>
              </w:numPr>
              <w:spacing w:before="156" w:line="360" w:lineRule="auto"/>
              <w:ind w:firstLineChars="0"/>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拍摄幅面：A4及以上</w:t>
            </w:r>
          </w:p>
          <w:p>
            <w:pPr>
              <w:pStyle w:val="108"/>
              <w:widowControl/>
              <w:numPr>
                <w:ilvl w:val="0"/>
                <w:numId w:val="15"/>
              </w:numPr>
              <w:spacing w:before="156" w:line="360" w:lineRule="auto"/>
              <w:ind w:firstLineChars="0"/>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图像色彩：24位及以上</w:t>
            </w:r>
          </w:p>
          <w:p>
            <w:pPr>
              <w:pStyle w:val="108"/>
              <w:widowControl/>
              <w:numPr>
                <w:ilvl w:val="0"/>
                <w:numId w:val="15"/>
              </w:numPr>
              <w:spacing w:before="156" w:line="360" w:lineRule="auto"/>
              <w:ind w:firstLineChars="0"/>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输出格式：图片JPG，文档PDF，视频MJPG</w:t>
            </w:r>
          </w:p>
          <w:p>
            <w:pPr>
              <w:pStyle w:val="108"/>
              <w:widowControl/>
              <w:numPr>
                <w:ilvl w:val="0"/>
                <w:numId w:val="15"/>
              </w:numPr>
              <w:spacing w:before="156" w:line="360" w:lineRule="auto"/>
              <w:ind w:firstLineChars="0"/>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整机具有安全锁</w:t>
            </w:r>
          </w:p>
          <w:p>
            <w:pPr>
              <w:pStyle w:val="108"/>
              <w:widowControl/>
              <w:numPr>
                <w:ilvl w:val="0"/>
                <w:numId w:val="15"/>
              </w:numPr>
              <w:spacing w:before="156" w:line="360" w:lineRule="auto"/>
              <w:ind w:firstLineChars="0"/>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光源补偿：LED三级光源补偿</w:t>
            </w:r>
          </w:p>
          <w:p>
            <w:pPr>
              <w:pStyle w:val="108"/>
              <w:widowControl/>
              <w:numPr>
                <w:ilvl w:val="0"/>
                <w:numId w:val="15"/>
              </w:numPr>
              <w:spacing w:before="156" w:line="360" w:lineRule="auto"/>
              <w:ind w:firstLineChars="0"/>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整机内置高灵敏麦克风，满足教学录制需求；</w:t>
            </w:r>
          </w:p>
          <w:p>
            <w:pPr>
              <w:pStyle w:val="108"/>
              <w:spacing w:before="156" w:line="360" w:lineRule="auto"/>
              <w:ind w:left="276" w:hanging="276"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软件：</w:t>
            </w:r>
          </w:p>
          <w:p>
            <w:pPr>
              <w:pStyle w:val="108"/>
              <w:widowControl/>
              <w:numPr>
                <w:ilvl w:val="0"/>
                <w:numId w:val="15"/>
              </w:numPr>
              <w:spacing w:before="156" w:line="360" w:lineRule="auto"/>
              <w:ind w:firstLineChars="0"/>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实时教学内容展示，支持批注、缩放、旋转、保存分享、拍照、连拍等操作</w:t>
            </w:r>
          </w:p>
          <w:p>
            <w:pPr>
              <w:pStyle w:val="108"/>
              <w:widowControl/>
              <w:numPr>
                <w:ilvl w:val="0"/>
                <w:numId w:val="15"/>
              </w:numPr>
              <w:spacing w:before="156" w:line="360" w:lineRule="auto"/>
              <w:ind w:firstLineChars="0"/>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软件根据教学语言环境可设置中、英文切换</w:t>
            </w:r>
          </w:p>
          <w:p>
            <w:pPr>
              <w:pStyle w:val="108"/>
              <w:widowControl/>
              <w:numPr>
                <w:ilvl w:val="0"/>
                <w:numId w:val="15"/>
              </w:numPr>
              <w:spacing w:before="156" w:line="360" w:lineRule="auto"/>
              <w:ind w:firstLineChars="0"/>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支持不少于三种裁切模式：无裁切、单图裁切、多图裁切，根据所选模式自动裁切图像，生成图片并支持导出；</w:t>
            </w:r>
          </w:p>
          <w:p>
            <w:pPr>
              <w:pStyle w:val="108"/>
              <w:widowControl/>
              <w:numPr>
                <w:ilvl w:val="0"/>
                <w:numId w:val="15"/>
              </w:numPr>
              <w:spacing w:before="156" w:line="360" w:lineRule="auto"/>
              <w:ind w:firstLineChars="0"/>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同屏对比支持多图联动缩放和单图缩放两种模式，并支持六张图片同屏对比，可在任意区域内批注书写，不局限于显示区域内批注书写，并可对单张图片进行旋转、全屏、缩放、删除等操作；</w:t>
            </w:r>
          </w:p>
          <w:p>
            <w:pPr>
              <w:pStyle w:val="108"/>
              <w:widowControl/>
              <w:numPr>
                <w:ilvl w:val="0"/>
                <w:numId w:val="15"/>
              </w:numPr>
              <w:spacing w:before="156" w:line="360" w:lineRule="auto"/>
              <w:ind w:firstLineChars="0"/>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展台软件具有自检功能：硬件检测、解码器等；</w:t>
            </w:r>
          </w:p>
          <w:p>
            <w:pPr>
              <w:pStyle w:val="108"/>
              <w:widowControl/>
              <w:numPr>
                <w:ilvl w:val="0"/>
                <w:numId w:val="15"/>
              </w:numPr>
              <w:spacing w:before="156" w:line="360" w:lineRule="auto"/>
              <w:ind w:firstLineChars="0"/>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结合白板软件授课界面最少支持4副展示图片插入白板软件进行授课批注；</w:t>
            </w:r>
          </w:p>
          <w:p>
            <w:pPr>
              <w:pStyle w:val="108"/>
              <w:widowControl/>
              <w:numPr>
                <w:ilvl w:val="0"/>
                <w:numId w:val="15"/>
              </w:numPr>
              <w:spacing w:before="156" w:line="360" w:lineRule="auto"/>
              <w:ind w:firstLineChars="0"/>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具备二维码扫码功能，通过扫描二维码可识别二维码上的内容；</w:t>
            </w:r>
          </w:p>
          <w:p>
            <w:pPr>
              <w:pStyle w:val="108"/>
              <w:widowControl/>
              <w:numPr>
                <w:ilvl w:val="0"/>
                <w:numId w:val="15"/>
              </w:numPr>
              <w:spacing w:before="156" w:line="360" w:lineRule="auto"/>
              <w:ind w:firstLineChars="0"/>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为增强文字显示对比度，具备AI拍照的功能，并可根据用户的实际使用需求开启或关闭；</w:t>
            </w:r>
          </w:p>
          <w:p>
            <w:pPr>
              <w:pStyle w:val="108"/>
              <w:widowControl/>
              <w:numPr>
                <w:ilvl w:val="0"/>
                <w:numId w:val="15"/>
              </w:numPr>
              <w:spacing w:before="156" w:line="360" w:lineRule="auto"/>
              <w:ind w:firstLineChars="0"/>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可通过屏幕左下画面缩略图，在展示画面放大的情况下，快速移动到达画面任意位置，实现鸟瞰功能；</w:t>
            </w:r>
          </w:p>
          <w:p>
            <w:pPr>
              <w:pStyle w:val="108"/>
              <w:widowControl/>
              <w:numPr>
                <w:ilvl w:val="0"/>
                <w:numId w:val="15"/>
              </w:numPr>
              <w:spacing w:before="156" w:line="360" w:lineRule="auto"/>
              <w:ind w:firstLineChars="0"/>
              <w:jc w:val="left"/>
              <w:textAlignment w:val="center"/>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支持5指长按屏幕实现漫游，手背擦出，两指捏合放大缩小等多种手势操作，方便用户使用</w:t>
            </w:r>
          </w:p>
        </w:tc>
      </w:tr>
    </w:tbl>
    <w:p>
      <w:pPr>
        <w:rPr>
          <w:rFonts w:hint="eastAsia"/>
          <w:highlight w:val="none"/>
          <w:lang w:eastAsia="zh-CN"/>
        </w:rPr>
      </w:pPr>
    </w:p>
    <w:p>
      <w:pPr>
        <w:pStyle w:val="4"/>
        <w:keepNext w:val="0"/>
        <w:keepLines/>
        <w:pageBreakBefore/>
        <w:rPr>
          <w:rFonts w:hint="eastAsia" w:ascii="楷体" w:hAnsi="楷体" w:cs="仿宋"/>
          <w:bCs/>
          <w:color w:val="auto"/>
          <w:szCs w:val="36"/>
          <w:highlight w:val="none"/>
        </w:rPr>
      </w:pPr>
      <w:r>
        <w:rPr>
          <w:rFonts w:hint="eastAsia" w:ascii="楷体" w:hAnsi="楷体" w:cs="仿宋"/>
          <w:bCs/>
          <w:color w:val="auto"/>
          <w:szCs w:val="36"/>
          <w:highlight w:val="none"/>
        </w:rPr>
        <w:t>第五章  评审方法</w:t>
      </w:r>
      <w:bookmarkEnd w:id="49"/>
      <w:bookmarkEnd w:id="50"/>
    </w:p>
    <w:p>
      <w:pPr>
        <w:spacing w:line="360" w:lineRule="auto"/>
        <w:rPr>
          <w:rFonts w:hint="eastAsia" w:ascii="楷体" w:hAnsi="楷体" w:eastAsia="楷体" w:cs="仿宋"/>
          <w:b/>
          <w:color w:val="auto"/>
          <w:sz w:val="28"/>
          <w:szCs w:val="24"/>
          <w:highlight w:val="none"/>
        </w:rPr>
      </w:pPr>
      <w:r>
        <w:rPr>
          <w:rFonts w:hint="eastAsia" w:ascii="楷体" w:hAnsi="楷体" w:eastAsia="楷体" w:cs="仿宋"/>
          <w:b/>
          <w:color w:val="auto"/>
          <w:sz w:val="28"/>
          <w:szCs w:val="24"/>
          <w:highlight w:val="none"/>
        </w:rPr>
        <w:t>一．评审方法：</w:t>
      </w:r>
    </w:p>
    <w:p>
      <w:pPr>
        <w:spacing w:line="500" w:lineRule="exact"/>
        <w:rPr>
          <w:rFonts w:hint="eastAsia" w:ascii="楷体" w:hAnsi="楷体" w:eastAsia="楷体" w:cs="仿宋"/>
          <w:color w:val="auto"/>
          <w:spacing w:val="4"/>
          <w:szCs w:val="24"/>
          <w:highlight w:val="none"/>
        </w:rPr>
      </w:pPr>
      <w:r>
        <w:rPr>
          <w:rFonts w:hint="eastAsia" w:ascii="楷体" w:hAnsi="楷体" w:eastAsia="楷体" w:cs="仿宋"/>
          <w:color w:val="auto"/>
          <w:szCs w:val="24"/>
          <w:highlight w:val="none"/>
        </w:rPr>
        <w:t>按照《中华人民共和国政府采购法》</w:t>
      </w:r>
      <w:r>
        <w:rPr>
          <w:rFonts w:hint="eastAsia" w:ascii="楷体" w:hAnsi="楷体" w:eastAsia="楷体" w:cs="仿宋"/>
          <w:color w:val="auto"/>
          <w:spacing w:val="4"/>
          <w:szCs w:val="24"/>
          <w:highlight w:val="none"/>
        </w:rPr>
        <w:t>及关于印发《政府采购竞争性磋商采购方式管理暂行办法》的通知财库【2014】214号的规定，</w:t>
      </w:r>
      <w:r>
        <w:rPr>
          <w:rFonts w:hint="eastAsia" w:ascii="楷体" w:hAnsi="楷体" w:eastAsia="楷体" w:cs="仿宋"/>
          <w:b/>
          <w:color w:val="auto"/>
          <w:spacing w:val="4"/>
          <w:szCs w:val="24"/>
          <w:highlight w:val="none"/>
        </w:rPr>
        <w:t>本次评标采用综合评分法</w:t>
      </w:r>
      <w:r>
        <w:rPr>
          <w:rFonts w:hint="eastAsia" w:ascii="楷体" w:hAnsi="楷体" w:eastAsia="楷体" w:cs="仿宋"/>
          <w:color w:val="auto"/>
          <w:spacing w:val="4"/>
          <w:szCs w:val="24"/>
          <w:highlight w:val="none"/>
        </w:rPr>
        <w:t>，即在最大限度地满足磋商文件实质性要求前提下，按照磋商文件中规定的各项因素和相应的权重分值进行综合评审后，以总得分最高的供应商作为成交候选供应商并依次排序（最低报价不是成交的唯一标准）。</w:t>
      </w:r>
    </w:p>
    <w:p>
      <w:pPr>
        <w:spacing w:line="500" w:lineRule="exact"/>
        <w:rPr>
          <w:rFonts w:hint="eastAsia" w:ascii="楷体" w:hAnsi="楷体" w:eastAsia="楷体" w:cs="仿宋"/>
          <w:b/>
          <w:color w:val="auto"/>
          <w:spacing w:val="4"/>
          <w:szCs w:val="24"/>
          <w:highlight w:val="none"/>
        </w:rPr>
      </w:pPr>
      <w:r>
        <w:rPr>
          <w:rFonts w:hint="eastAsia" w:ascii="楷体" w:hAnsi="楷体" w:eastAsia="楷体" w:cs="仿宋"/>
          <w:b/>
          <w:color w:val="auto"/>
          <w:spacing w:val="4"/>
          <w:szCs w:val="24"/>
          <w:highlight w:val="none"/>
        </w:rPr>
        <w:t>二、</w:t>
      </w:r>
      <w:r>
        <w:rPr>
          <w:rFonts w:hint="eastAsia" w:ascii="楷体" w:hAnsi="楷体" w:eastAsia="楷体" w:cs="仿宋"/>
          <w:b/>
          <w:color w:val="auto"/>
          <w:spacing w:val="4"/>
          <w:sz w:val="28"/>
          <w:szCs w:val="24"/>
          <w:highlight w:val="none"/>
        </w:rPr>
        <w:t>评审程序：</w:t>
      </w:r>
    </w:p>
    <w:p>
      <w:pPr>
        <w:pStyle w:val="36"/>
        <w:spacing w:line="360" w:lineRule="auto"/>
        <w:ind w:left="0" w:leftChars="0" w:firstLine="496" w:firstLineChars="200"/>
        <w:rPr>
          <w:rFonts w:hint="eastAsia" w:ascii="楷体" w:hAnsi="楷体" w:eastAsia="楷体" w:cs="仿宋"/>
          <w:color w:val="auto"/>
          <w:sz w:val="24"/>
          <w:szCs w:val="24"/>
          <w:highlight w:val="none"/>
        </w:rPr>
      </w:pPr>
      <w:r>
        <w:rPr>
          <w:rFonts w:hint="eastAsia" w:ascii="楷体" w:hAnsi="楷体" w:eastAsia="楷体" w:cs="仿宋"/>
          <w:color w:val="auto"/>
          <w:sz w:val="24"/>
          <w:szCs w:val="24"/>
          <w:highlight w:val="none"/>
        </w:rPr>
        <w:t>按照初审（资格审查和符合性审查）、澄清有关问题、分别磋商、二次报价、详评。在上一步评审中被认定为无效磋商者，不进入下一步的评审。</w:t>
      </w:r>
    </w:p>
    <w:p>
      <w:pPr>
        <w:pStyle w:val="36"/>
        <w:spacing w:line="500" w:lineRule="exact"/>
        <w:ind w:left="0" w:leftChars="0" w:firstLine="498" w:firstLineChars="200"/>
        <w:rPr>
          <w:rFonts w:hint="eastAsia" w:ascii="楷体" w:hAnsi="楷体" w:eastAsia="楷体" w:cs="仿宋"/>
          <w:color w:val="auto"/>
          <w:sz w:val="24"/>
          <w:szCs w:val="24"/>
          <w:highlight w:val="none"/>
        </w:rPr>
      </w:pPr>
      <w:r>
        <w:rPr>
          <w:rFonts w:hint="eastAsia" w:ascii="楷体" w:hAnsi="楷体" w:eastAsia="楷体" w:cs="仿宋"/>
          <w:b/>
          <w:color w:val="auto"/>
          <w:sz w:val="24"/>
          <w:szCs w:val="24"/>
          <w:highlight w:val="none"/>
        </w:rPr>
        <w:t>1、初审：</w:t>
      </w:r>
      <w:r>
        <w:rPr>
          <w:rFonts w:hint="eastAsia" w:ascii="楷体" w:hAnsi="楷体" w:eastAsia="楷体" w:cs="仿宋"/>
          <w:color w:val="auto"/>
          <w:sz w:val="24"/>
          <w:szCs w:val="24"/>
          <w:highlight w:val="none"/>
        </w:rPr>
        <w:t>（含资格性审查和符合性审查）</w:t>
      </w:r>
    </w:p>
    <w:p>
      <w:pPr>
        <w:pStyle w:val="36"/>
        <w:spacing w:line="500" w:lineRule="exact"/>
        <w:ind w:left="0" w:leftChars="0" w:firstLine="498" w:firstLineChars="200"/>
        <w:rPr>
          <w:rFonts w:hint="eastAsia" w:ascii="楷体" w:hAnsi="楷体" w:eastAsia="楷体" w:cs="仿宋"/>
          <w:b/>
          <w:color w:val="auto"/>
          <w:sz w:val="24"/>
          <w:szCs w:val="24"/>
          <w:highlight w:val="none"/>
        </w:rPr>
      </w:pPr>
      <w:r>
        <w:rPr>
          <w:rFonts w:hint="eastAsia" w:ascii="楷体" w:hAnsi="楷体" w:eastAsia="楷体" w:cs="仿宋"/>
          <w:b/>
          <w:color w:val="auto"/>
          <w:sz w:val="24"/>
          <w:szCs w:val="24"/>
          <w:highlight w:val="none"/>
        </w:rPr>
        <w:t>1.1资格审查</w:t>
      </w:r>
    </w:p>
    <w:tbl>
      <w:tblPr>
        <w:tblStyle w:val="46"/>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8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noWrap w:val="0"/>
            <w:vAlign w:val="center"/>
          </w:tcPr>
          <w:p>
            <w:pPr>
              <w:spacing w:line="360" w:lineRule="auto"/>
              <w:jc w:val="center"/>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序号</w:t>
            </w:r>
          </w:p>
        </w:tc>
        <w:tc>
          <w:tcPr>
            <w:tcW w:w="8059" w:type="dxa"/>
            <w:noWrap w:val="0"/>
            <w:vAlign w:val="center"/>
          </w:tcPr>
          <w:p>
            <w:pPr>
              <w:spacing w:line="360" w:lineRule="auto"/>
              <w:jc w:val="center"/>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p>
        </w:tc>
        <w:tc>
          <w:tcPr>
            <w:tcW w:w="8059" w:type="dxa"/>
            <w:noWrap w:val="0"/>
            <w:vAlign w:val="center"/>
          </w:tcPr>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供应商具备《</w:t>
            </w:r>
            <w:r>
              <w:rPr>
                <w:rFonts w:hint="eastAsia" w:ascii="楷体" w:hAnsi="楷体" w:eastAsia="楷体" w:cs="楷体"/>
                <w:color w:val="auto"/>
                <w:spacing w:val="4"/>
                <w:szCs w:val="24"/>
                <w:highlight w:val="none"/>
              </w:rPr>
              <w:t>中华人民共和国政府采购法</w:t>
            </w:r>
            <w:r>
              <w:rPr>
                <w:rFonts w:hint="eastAsia" w:ascii="楷体" w:hAnsi="楷体" w:eastAsia="楷体" w:cs="楷体"/>
                <w:color w:val="auto"/>
                <w:szCs w:val="24"/>
                <w:highlight w:val="none"/>
              </w:rPr>
              <w:t>》第二十二条规定的资格条件。须提供的证明材料有：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05" w:type="dxa"/>
            <w:noWrap w:val="0"/>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1.1</w:t>
            </w:r>
          </w:p>
        </w:tc>
        <w:tc>
          <w:tcPr>
            <w:tcW w:w="8059" w:type="dxa"/>
            <w:noWrap w:val="0"/>
            <w:vAlign w:val="center"/>
          </w:tcPr>
          <w:p>
            <w:pPr>
              <w:spacing w:line="360" w:lineRule="auto"/>
              <w:jc w:val="left"/>
              <w:rPr>
                <w:rFonts w:hint="eastAsia" w:ascii="楷体" w:hAnsi="楷体" w:eastAsia="楷体" w:cs="楷体"/>
                <w:color w:val="auto"/>
                <w:szCs w:val="24"/>
                <w:highlight w:val="none"/>
              </w:rPr>
            </w:pPr>
            <w:r>
              <w:rPr>
                <w:rFonts w:hint="eastAsia" w:ascii="楷体" w:hAnsi="楷体" w:eastAsia="楷体" w:cs="楷体"/>
                <w:i w:val="0"/>
                <w:iCs w:val="0"/>
                <w:caps w:val="0"/>
                <w:color w:val="333333"/>
                <w:spacing w:val="0"/>
                <w:sz w:val="24"/>
                <w:szCs w:val="24"/>
                <w:shd w:val="clear" w:fill="FFFFFF"/>
                <w:vertAlign w:val="baseline"/>
              </w:rPr>
              <w:t>提供有效合格的社会统一信用代码的营业执照，其他组织经营的须提供合法凭证，自然人的提供身份证明文件;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05" w:type="dxa"/>
            <w:noWrap w:val="0"/>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1.2</w:t>
            </w:r>
          </w:p>
        </w:tc>
        <w:tc>
          <w:tcPr>
            <w:tcW w:w="8059" w:type="dxa"/>
            <w:noWrap w:val="0"/>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333333"/>
                <w:spacing w:val="0"/>
                <w:sz w:val="24"/>
                <w:szCs w:val="24"/>
                <w:shd w:val="clear" w:fill="FFFFFF"/>
                <w:vertAlign w:val="baseline"/>
              </w:rPr>
              <w:t>法定代表人授权委托书、被授权人身份证（法定代表人参加磋商时,只需提供法定代表人身份证）；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705" w:type="dxa"/>
            <w:noWrap w:val="0"/>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1.3</w:t>
            </w:r>
          </w:p>
        </w:tc>
        <w:tc>
          <w:tcPr>
            <w:tcW w:w="8059" w:type="dxa"/>
            <w:noWrap w:val="0"/>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333333"/>
                <w:spacing w:val="0"/>
                <w:sz w:val="24"/>
                <w:szCs w:val="24"/>
                <w:shd w:val="clear" w:fill="FFFFFF"/>
                <w:vertAlign w:val="baseline"/>
              </w:rPr>
              <w:t>财务状况报告：提供2020年度或2021年度经审计的财务报告，或其基本存款账户开户银行出具的资信证明及基本存款账户开户许可证（基本账户信息表）；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noWrap w:val="0"/>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1.4</w:t>
            </w:r>
          </w:p>
        </w:tc>
        <w:tc>
          <w:tcPr>
            <w:tcW w:w="8059" w:type="dxa"/>
            <w:noWrap w:val="0"/>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333333"/>
                <w:spacing w:val="0"/>
                <w:sz w:val="24"/>
                <w:szCs w:val="24"/>
                <w:shd w:val="clear" w:fill="FFFFFF"/>
                <w:vertAlign w:val="baseline"/>
              </w:rPr>
              <w:t>税收缴纳证明：提供2021年1月至今已缴纳的至少一个月的纳税证明或完税证明（任意税种），依法免税的单位应提供相关证明材料；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1.5</w:t>
            </w:r>
          </w:p>
        </w:tc>
        <w:tc>
          <w:tcPr>
            <w:tcW w:w="8059" w:type="dxa"/>
            <w:noWrap w:val="0"/>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333333"/>
                <w:spacing w:val="0"/>
                <w:sz w:val="24"/>
                <w:szCs w:val="24"/>
                <w:shd w:val="clear" w:fill="FFFFFF"/>
                <w:vertAlign w:val="baseline"/>
              </w:rPr>
              <w:t>社会保障资金缴纳证明：提供2021年1月至今已缴纳的至少一个月的社会保障资金缴存单据或社保机构开具的社会保险参保缴费情况证明，依法不需要缴纳社会保障资金的单位应提供相关证明材料；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05" w:type="dxa"/>
            <w:noWrap w:val="0"/>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1.6</w:t>
            </w:r>
          </w:p>
        </w:tc>
        <w:tc>
          <w:tcPr>
            <w:tcW w:w="8059" w:type="dxa"/>
            <w:noWrap w:val="0"/>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333333"/>
                <w:spacing w:val="0"/>
                <w:sz w:val="24"/>
                <w:szCs w:val="24"/>
                <w:shd w:val="clear" w:fill="FFFFFF"/>
                <w:vertAlign w:val="baseline"/>
              </w:rPr>
              <w:t>具备履行合同所必须的设备和专业技术能力的书面声明;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1.7</w:t>
            </w:r>
          </w:p>
        </w:tc>
        <w:tc>
          <w:tcPr>
            <w:tcW w:w="8059" w:type="dxa"/>
            <w:noWrap w:val="0"/>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333333"/>
                <w:spacing w:val="0"/>
                <w:sz w:val="24"/>
                <w:szCs w:val="24"/>
                <w:shd w:val="clear" w:fill="FFFFFF"/>
                <w:vertAlign w:val="baseline"/>
              </w:rPr>
              <w:t>参加政府采购活动前三年内，在经营活动中没有重大违法记录的书面声明；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1.8</w:t>
            </w:r>
          </w:p>
        </w:tc>
        <w:tc>
          <w:tcPr>
            <w:tcW w:w="8059" w:type="dxa"/>
            <w:noWrap w:val="0"/>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333333"/>
                <w:spacing w:val="0"/>
                <w:sz w:val="24"/>
                <w:szCs w:val="24"/>
                <w:shd w:val="clear" w:fill="FFFFFF"/>
                <w:vertAlign w:val="baseline"/>
              </w:rPr>
              <w:t>供应商未被列入信用中国网站(www.creditchina.gov.cn)“失信被执行人、重大税收违法失信主体”；不处于中国政府采购网(www.ccgp.gov.cn)“政府采购严重违法失信行为信息记录”中的禁止参加政府采购活动期间。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2</w:t>
            </w:r>
          </w:p>
        </w:tc>
        <w:tc>
          <w:tcPr>
            <w:tcW w:w="8059" w:type="dxa"/>
            <w:noWrap w:val="0"/>
            <w:vAlign w:val="center"/>
          </w:tcPr>
          <w:p>
            <w:pPr>
              <w:numPr>
                <w:ilvl w:val="0"/>
                <w:numId w:val="0"/>
              </w:numPr>
              <w:spacing w:line="360" w:lineRule="auto"/>
              <w:rPr>
                <w:rFonts w:hint="eastAsia" w:ascii="楷体" w:hAnsi="楷体" w:eastAsia="楷体" w:cs="楷体"/>
                <w:i w:val="0"/>
                <w:iCs w:val="0"/>
                <w:caps w:val="0"/>
                <w:color w:val="auto"/>
                <w:spacing w:val="0"/>
                <w:sz w:val="24"/>
                <w:szCs w:val="24"/>
                <w:highlight w:val="none"/>
                <w:shd w:val="clear" w:fill="FFFFFF"/>
                <w:vertAlign w:val="baseline"/>
              </w:rPr>
            </w:pPr>
            <w:r>
              <w:rPr>
                <w:rFonts w:hint="eastAsia" w:ascii="楷体" w:hAnsi="楷体" w:eastAsia="楷体" w:cs="楷体"/>
                <w:sz w:val="24"/>
                <w:szCs w:val="24"/>
                <w:highlight w:val="none"/>
              </w:rPr>
              <w:t>落实政府采购政策需满足的资格要求：本项目专门面向中小企业采购，供应商所投产品须为中小微企业或监狱企业或残疾人福利性单位制造。须提供的证明材料有：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2.1</w:t>
            </w:r>
          </w:p>
        </w:tc>
        <w:tc>
          <w:tcPr>
            <w:tcW w:w="8059" w:type="dxa"/>
            <w:noWrap w:val="0"/>
            <w:vAlign w:val="center"/>
          </w:tcPr>
          <w:p>
            <w:pPr>
              <w:numPr>
                <w:ilvl w:val="0"/>
                <w:numId w:val="0"/>
              </w:numPr>
              <w:spacing w:line="360" w:lineRule="auto"/>
              <w:rPr>
                <w:rFonts w:hint="eastAsia" w:ascii="楷体" w:hAnsi="楷体" w:eastAsia="楷体" w:cs="楷体"/>
                <w:i w:val="0"/>
                <w:iCs w:val="0"/>
                <w:caps w:val="0"/>
                <w:color w:val="auto"/>
                <w:spacing w:val="0"/>
                <w:sz w:val="24"/>
                <w:szCs w:val="24"/>
                <w:highlight w:val="none"/>
                <w:shd w:val="clear" w:fill="FFFFFF"/>
                <w:vertAlign w:val="baseline"/>
              </w:rPr>
            </w:pPr>
            <w:r>
              <w:rPr>
                <w:rFonts w:hint="eastAsia" w:ascii="楷体" w:hAnsi="楷体" w:eastAsia="楷体" w:cs="楷体"/>
                <w:sz w:val="24"/>
                <w:szCs w:val="24"/>
                <w:highlight w:val="none"/>
              </w:rPr>
              <w:t>中小企业声明函（</w:t>
            </w:r>
            <w:r>
              <w:rPr>
                <w:rFonts w:hint="eastAsia" w:ascii="楷体" w:hAnsi="楷体" w:eastAsia="楷体" w:cs="楷体"/>
                <w:sz w:val="24"/>
                <w:szCs w:val="24"/>
                <w:highlight w:val="none"/>
                <w:lang w:val="en-US" w:eastAsia="zh-CN"/>
              </w:rPr>
              <w:t>货物</w:t>
            </w:r>
            <w:r>
              <w:rPr>
                <w:rFonts w:hint="eastAsia" w:ascii="楷体" w:hAnsi="楷体" w:eastAsia="楷体" w:cs="楷体"/>
                <w:sz w:val="24"/>
                <w:szCs w:val="24"/>
                <w:highlight w:val="none"/>
              </w:rPr>
              <w:t>）或</w:t>
            </w:r>
            <w:r>
              <w:rPr>
                <w:rFonts w:hint="eastAsia" w:ascii="楷体" w:hAnsi="楷体" w:eastAsia="楷体" w:cs="楷体"/>
                <w:sz w:val="24"/>
                <w:szCs w:val="24"/>
                <w:highlight w:val="none"/>
                <w:lang w:val="zh-CN"/>
              </w:rPr>
              <w:t>残疾人福利性单位声明函</w:t>
            </w:r>
            <w:r>
              <w:rPr>
                <w:rFonts w:hint="eastAsia" w:ascii="楷体" w:hAnsi="楷体" w:eastAsia="楷体" w:cs="楷体"/>
                <w:sz w:val="24"/>
                <w:szCs w:val="24"/>
                <w:highlight w:val="none"/>
              </w:rPr>
              <w:t>或监狱企业证明文件。</w:t>
            </w:r>
          </w:p>
        </w:tc>
      </w:tr>
    </w:tbl>
    <w:p>
      <w:pPr>
        <w:pStyle w:val="36"/>
        <w:spacing w:line="500" w:lineRule="exact"/>
        <w:ind w:left="0" w:leftChars="0" w:firstLine="498" w:firstLineChars="200"/>
        <w:rPr>
          <w:rFonts w:hint="eastAsia" w:ascii="楷体" w:hAnsi="楷体" w:eastAsia="楷体" w:cs="仿宋"/>
          <w:b/>
          <w:color w:val="auto"/>
          <w:sz w:val="24"/>
          <w:szCs w:val="24"/>
          <w:highlight w:val="none"/>
        </w:rPr>
      </w:pPr>
      <w:r>
        <w:rPr>
          <w:rFonts w:hint="eastAsia" w:ascii="楷体" w:hAnsi="楷体" w:eastAsia="楷体" w:cs="仿宋"/>
          <w:b/>
          <w:color w:val="auto"/>
          <w:sz w:val="24"/>
          <w:szCs w:val="24"/>
          <w:highlight w:val="none"/>
        </w:rPr>
        <w:t>1.2符合性审查</w:t>
      </w:r>
    </w:p>
    <w:tbl>
      <w:tblPr>
        <w:tblStyle w:val="46"/>
        <w:tblW w:w="8766" w:type="dxa"/>
        <w:jc w:val="center"/>
        <w:tblLayout w:type="fixed"/>
        <w:tblCellMar>
          <w:top w:w="0" w:type="dxa"/>
          <w:left w:w="108" w:type="dxa"/>
          <w:bottom w:w="0" w:type="dxa"/>
          <w:right w:w="108" w:type="dxa"/>
        </w:tblCellMar>
      </w:tblPr>
      <w:tblGrid>
        <w:gridCol w:w="778"/>
        <w:gridCol w:w="2392"/>
        <w:gridCol w:w="5596"/>
      </w:tblGrid>
      <w:tr>
        <w:tblPrEx>
          <w:tblCellMar>
            <w:top w:w="0" w:type="dxa"/>
            <w:left w:w="108" w:type="dxa"/>
            <w:bottom w:w="0" w:type="dxa"/>
            <w:right w:w="108" w:type="dxa"/>
          </w:tblCellMar>
        </w:tblPrEx>
        <w:trPr>
          <w:trHeight w:val="700"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序号</w:t>
            </w:r>
          </w:p>
        </w:tc>
        <w:tc>
          <w:tcPr>
            <w:tcW w:w="239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审查内容</w:t>
            </w:r>
          </w:p>
        </w:tc>
        <w:tc>
          <w:tcPr>
            <w:tcW w:w="5596"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审查细则</w:t>
            </w:r>
          </w:p>
        </w:tc>
      </w:tr>
      <w:tr>
        <w:tblPrEx>
          <w:tblCellMar>
            <w:top w:w="0" w:type="dxa"/>
            <w:left w:w="108" w:type="dxa"/>
            <w:bottom w:w="0" w:type="dxa"/>
            <w:right w:w="108" w:type="dxa"/>
          </w:tblCellMar>
        </w:tblPrEx>
        <w:trPr>
          <w:trHeight w:val="700"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符合性审查</w:t>
            </w:r>
          </w:p>
        </w:tc>
        <w:tc>
          <w:tcPr>
            <w:tcW w:w="2392"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磋商响应文件完整性</w:t>
            </w:r>
          </w:p>
        </w:tc>
        <w:tc>
          <w:tcPr>
            <w:tcW w:w="5596"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pacing w:val="4"/>
                <w:szCs w:val="24"/>
                <w:highlight w:val="none"/>
              </w:rPr>
              <w:t>磋商响应文件构成无重大缺项，按照磋商文件要求的格式编写磋商响应文件；</w:t>
            </w:r>
          </w:p>
        </w:tc>
      </w:tr>
      <w:tr>
        <w:tblPrEx>
          <w:tblCellMar>
            <w:top w:w="0" w:type="dxa"/>
            <w:left w:w="108" w:type="dxa"/>
            <w:bottom w:w="0" w:type="dxa"/>
            <w:right w:w="108" w:type="dxa"/>
          </w:tblCellMar>
        </w:tblPrEx>
        <w:trPr>
          <w:trHeight w:val="700" w:hRule="atLeast"/>
          <w:jc w:val="center"/>
        </w:trPr>
        <w:tc>
          <w:tcPr>
            <w:tcW w:w="778"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楷体" w:hAnsi="楷体" w:eastAsia="楷体" w:cs="楷体"/>
                <w:color w:val="auto"/>
                <w:szCs w:val="24"/>
                <w:highlight w:val="none"/>
              </w:rPr>
            </w:pPr>
          </w:p>
        </w:tc>
        <w:tc>
          <w:tcPr>
            <w:tcW w:w="239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磋商响应文件报价</w:t>
            </w:r>
          </w:p>
        </w:tc>
        <w:tc>
          <w:tcPr>
            <w:tcW w:w="5596"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报价唯一，且没有低于成本价或高于采购预算的；</w:t>
            </w:r>
          </w:p>
        </w:tc>
      </w:tr>
      <w:tr>
        <w:tblPrEx>
          <w:tblCellMar>
            <w:top w:w="0" w:type="dxa"/>
            <w:left w:w="108" w:type="dxa"/>
            <w:bottom w:w="0" w:type="dxa"/>
            <w:right w:w="108" w:type="dxa"/>
          </w:tblCellMar>
        </w:tblPrEx>
        <w:trPr>
          <w:trHeight w:val="700" w:hRule="atLeast"/>
          <w:jc w:val="center"/>
        </w:trPr>
        <w:tc>
          <w:tcPr>
            <w:tcW w:w="778"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楷体" w:hAnsi="楷体" w:eastAsia="楷体" w:cs="楷体"/>
                <w:color w:val="auto"/>
                <w:szCs w:val="24"/>
                <w:highlight w:val="none"/>
              </w:rPr>
            </w:pPr>
          </w:p>
        </w:tc>
        <w:tc>
          <w:tcPr>
            <w:tcW w:w="239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磋商响应文件有效性</w:t>
            </w:r>
          </w:p>
        </w:tc>
        <w:tc>
          <w:tcPr>
            <w:tcW w:w="5596"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磋商响应文件的签署、盖章符合磋商文件要求，供应商递交的磋商响应文件与本项目名称一致；</w:t>
            </w:r>
          </w:p>
        </w:tc>
      </w:tr>
      <w:tr>
        <w:tblPrEx>
          <w:tblCellMar>
            <w:top w:w="0" w:type="dxa"/>
            <w:left w:w="108" w:type="dxa"/>
            <w:bottom w:w="0" w:type="dxa"/>
            <w:right w:w="108" w:type="dxa"/>
          </w:tblCellMar>
        </w:tblPrEx>
        <w:trPr>
          <w:trHeight w:val="700" w:hRule="atLeast"/>
          <w:jc w:val="center"/>
        </w:trPr>
        <w:tc>
          <w:tcPr>
            <w:tcW w:w="778"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楷体" w:hAnsi="楷体" w:eastAsia="楷体" w:cs="楷体"/>
                <w:color w:val="auto"/>
                <w:szCs w:val="24"/>
                <w:highlight w:val="none"/>
              </w:rPr>
            </w:pPr>
          </w:p>
        </w:tc>
        <w:tc>
          <w:tcPr>
            <w:tcW w:w="239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磋商有效期</w:t>
            </w:r>
          </w:p>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（含授权有效期）</w:t>
            </w:r>
          </w:p>
        </w:tc>
        <w:tc>
          <w:tcPr>
            <w:tcW w:w="5596"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文件递交截止之日起90日历日；</w:t>
            </w:r>
          </w:p>
        </w:tc>
      </w:tr>
      <w:tr>
        <w:tblPrEx>
          <w:tblCellMar>
            <w:top w:w="0" w:type="dxa"/>
            <w:left w:w="108" w:type="dxa"/>
            <w:bottom w:w="0" w:type="dxa"/>
            <w:right w:w="108" w:type="dxa"/>
          </w:tblCellMar>
        </w:tblPrEx>
        <w:trPr>
          <w:trHeight w:val="700" w:hRule="atLeast"/>
          <w:jc w:val="center"/>
        </w:trPr>
        <w:tc>
          <w:tcPr>
            <w:tcW w:w="778"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楷体" w:hAnsi="楷体" w:eastAsia="楷体" w:cs="楷体"/>
                <w:color w:val="auto"/>
                <w:szCs w:val="24"/>
                <w:highlight w:val="none"/>
              </w:rPr>
            </w:pPr>
          </w:p>
        </w:tc>
        <w:tc>
          <w:tcPr>
            <w:tcW w:w="239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磋商响应文件响应性</w:t>
            </w:r>
          </w:p>
        </w:tc>
        <w:tc>
          <w:tcPr>
            <w:tcW w:w="5596"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交货</w:t>
            </w:r>
            <w:r>
              <w:rPr>
                <w:rFonts w:hint="eastAsia" w:ascii="楷体" w:hAnsi="楷体" w:eastAsia="楷体" w:cs="楷体"/>
                <w:color w:val="auto"/>
                <w:szCs w:val="24"/>
                <w:highlight w:val="none"/>
                <w:lang w:eastAsia="zh-CN"/>
              </w:rPr>
              <w:t>期、</w:t>
            </w:r>
            <w:r>
              <w:rPr>
                <w:rFonts w:hint="eastAsia" w:ascii="楷体" w:hAnsi="楷体" w:eastAsia="楷体" w:cs="楷体"/>
                <w:color w:val="auto"/>
                <w:szCs w:val="24"/>
                <w:highlight w:val="none"/>
                <w:lang w:val="en-US" w:eastAsia="zh-CN"/>
              </w:rPr>
              <w:t>质保期</w:t>
            </w:r>
            <w:r>
              <w:rPr>
                <w:rFonts w:hint="eastAsia" w:ascii="楷体" w:hAnsi="楷体" w:eastAsia="楷体" w:cs="楷体"/>
                <w:color w:val="auto"/>
                <w:szCs w:val="24"/>
                <w:highlight w:val="none"/>
              </w:rPr>
              <w:t>响应磋商文件要求。</w:t>
            </w:r>
          </w:p>
        </w:tc>
      </w:tr>
      <w:tr>
        <w:tblPrEx>
          <w:tblCellMar>
            <w:top w:w="0" w:type="dxa"/>
            <w:left w:w="108" w:type="dxa"/>
            <w:bottom w:w="0" w:type="dxa"/>
            <w:right w:w="108" w:type="dxa"/>
          </w:tblCellMar>
        </w:tblPrEx>
        <w:trPr>
          <w:trHeight w:val="713" w:hRule="atLeast"/>
          <w:jc w:val="center"/>
        </w:trPr>
        <w:tc>
          <w:tcPr>
            <w:tcW w:w="778"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楷体" w:hAnsi="楷体" w:eastAsia="楷体" w:cs="楷体"/>
                <w:color w:val="auto"/>
                <w:szCs w:val="24"/>
                <w:highlight w:val="none"/>
              </w:rPr>
            </w:pPr>
          </w:p>
        </w:tc>
        <w:tc>
          <w:tcPr>
            <w:tcW w:w="2392" w:type="dxa"/>
            <w:tcBorders>
              <w:top w:val="nil"/>
              <w:left w:val="nil"/>
              <w:bottom w:val="single" w:color="auto" w:sz="4" w:space="0"/>
              <w:right w:val="single" w:color="auto" w:sz="4" w:space="0"/>
            </w:tcBorders>
            <w:noWrap w:val="0"/>
            <w:vAlign w:val="center"/>
          </w:tcPr>
          <w:p>
            <w:pPr>
              <w:pStyle w:val="42"/>
              <w:spacing w:before="0" w:beforeAutospacing="0" w:after="0" w:afterAutospacing="0" w:line="360" w:lineRule="auto"/>
              <w:jc w:val="center"/>
              <w:rPr>
                <w:rFonts w:hint="eastAsia" w:ascii="楷体" w:hAnsi="楷体" w:eastAsia="楷体" w:cs="楷体"/>
                <w:color w:val="auto"/>
                <w:highlight w:val="none"/>
              </w:rPr>
            </w:pPr>
            <w:r>
              <w:rPr>
                <w:rFonts w:hint="eastAsia" w:ascii="楷体" w:hAnsi="楷体" w:eastAsia="楷体" w:cs="楷体"/>
                <w:color w:val="auto"/>
                <w:highlight w:val="none"/>
              </w:rPr>
              <w:t>其他</w:t>
            </w:r>
          </w:p>
        </w:tc>
        <w:tc>
          <w:tcPr>
            <w:tcW w:w="5596" w:type="dxa"/>
            <w:tcBorders>
              <w:top w:val="nil"/>
              <w:left w:val="nil"/>
              <w:bottom w:val="single" w:color="auto" w:sz="4" w:space="0"/>
              <w:right w:val="single" w:color="auto" w:sz="4" w:space="0"/>
            </w:tcBorders>
            <w:noWrap w:val="0"/>
            <w:vAlign w:val="center"/>
          </w:tcPr>
          <w:p>
            <w:pPr>
              <w:pStyle w:val="42"/>
              <w:spacing w:before="0" w:beforeAutospacing="0" w:after="0" w:afterAutospacing="0" w:line="360" w:lineRule="auto"/>
              <w:rPr>
                <w:rFonts w:hint="eastAsia" w:ascii="楷体" w:hAnsi="楷体" w:eastAsia="楷体" w:cs="楷体"/>
                <w:color w:val="auto"/>
                <w:highlight w:val="none"/>
              </w:rPr>
            </w:pPr>
            <w:r>
              <w:rPr>
                <w:rFonts w:hint="eastAsia" w:ascii="楷体" w:hAnsi="楷体" w:eastAsia="楷体" w:cs="楷体"/>
                <w:color w:val="auto"/>
                <w:highlight w:val="none"/>
              </w:rPr>
              <w:t>无磋商文件中规定的无效情形</w:t>
            </w:r>
          </w:p>
        </w:tc>
      </w:tr>
    </w:tbl>
    <w:p>
      <w:pPr>
        <w:numPr>
          <w:ilvl w:val="0"/>
          <w:numId w:val="16"/>
        </w:numPr>
        <w:spacing w:line="360" w:lineRule="auto"/>
        <w:ind w:firstLine="482"/>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综合评估打分：</w:t>
      </w:r>
    </w:p>
    <w:p>
      <w:pPr>
        <w:pStyle w:val="32"/>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2.1澄清有关问题：对于磋商响应文件中含义不明确、同类问题表述不一致或者有明显文字和计算错误的内容，磋商小组应当以书面形式要求标人作出必要的澄清、说明或者补正。</w:t>
      </w:r>
    </w:p>
    <w:p>
      <w:pPr>
        <w:spacing w:line="360" w:lineRule="auto"/>
        <w:ind w:firstLine="480" w:firstLineChars="200"/>
        <w:rPr>
          <w:rFonts w:hint="eastAsia" w:ascii="楷体" w:hAnsi="楷体" w:eastAsia="楷体" w:cs="楷体"/>
          <w:b/>
          <w:color w:val="auto"/>
          <w:szCs w:val="24"/>
          <w:highlight w:val="none"/>
        </w:rPr>
      </w:pPr>
      <w:r>
        <w:rPr>
          <w:rFonts w:hint="eastAsia" w:ascii="楷体" w:hAnsi="楷体" w:eastAsia="楷体" w:cs="楷体"/>
          <w:bCs/>
          <w:color w:val="auto"/>
          <w:szCs w:val="24"/>
          <w:highlight w:val="none"/>
        </w:rPr>
        <w:t>2.2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磋商处理。</w:t>
      </w:r>
    </w:p>
    <w:p>
      <w:pPr>
        <w:spacing w:line="360" w:lineRule="auto"/>
        <w:ind w:firstLine="498" w:firstLineChars="200"/>
        <w:rPr>
          <w:rFonts w:hint="eastAsia" w:ascii="楷体" w:hAnsi="楷体" w:eastAsia="楷体" w:cs="楷体"/>
          <w:b/>
          <w:color w:val="auto"/>
          <w:spacing w:val="4"/>
          <w:szCs w:val="24"/>
          <w:highlight w:val="none"/>
        </w:rPr>
      </w:pPr>
      <w:r>
        <w:rPr>
          <w:rFonts w:hint="eastAsia" w:ascii="楷体" w:hAnsi="楷体" w:eastAsia="楷体" w:cs="楷体"/>
          <w:b/>
          <w:color w:val="auto"/>
          <w:spacing w:val="4"/>
          <w:szCs w:val="24"/>
          <w:highlight w:val="none"/>
        </w:rPr>
        <w:t>2.3详细评审（总分100分）</w:t>
      </w:r>
    </w:p>
    <w:p>
      <w:pPr>
        <w:spacing w:line="360" w:lineRule="auto"/>
        <w:ind w:firstLine="480" w:firstLineChars="200"/>
        <w:contextualSpacing/>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2.3.1</w:t>
      </w:r>
      <w:r>
        <w:rPr>
          <w:rFonts w:hint="eastAsia" w:ascii="楷体" w:hAnsi="楷体" w:eastAsia="楷体" w:cs="仿宋"/>
          <w:color w:val="auto"/>
          <w:szCs w:val="24"/>
          <w:highlight w:val="none"/>
        </w:rPr>
        <w:t>评价和比较以磋商响应文件为依据，从“磋商报价”、“技术方案”、</w:t>
      </w:r>
      <w:r>
        <w:rPr>
          <w:rFonts w:hint="eastAsia" w:ascii="楷体" w:hAnsi="楷体" w:eastAsia="楷体" w:cs="仿宋"/>
          <w:color w:val="auto"/>
          <w:szCs w:val="24"/>
          <w:highlight w:val="none"/>
          <w:lang w:eastAsia="zh-CN"/>
        </w:rPr>
        <w:t>“</w:t>
      </w:r>
      <w:r>
        <w:rPr>
          <w:rFonts w:hint="eastAsia" w:ascii="楷体" w:hAnsi="楷体" w:eastAsia="楷体" w:cs="楷体"/>
          <w:b w:val="0"/>
          <w:bCs w:val="0"/>
          <w:color w:val="auto"/>
          <w:sz w:val="24"/>
          <w:szCs w:val="24"/>
          <w:highlight w:val="none"/>
        </w:rPr>
        <w:t>产品合法来源渠道证明</w:t>
      </w:r>
      <w:r>
        <w:rPr>
          <w:rFonts w:hint="eastAsia" w:ascii="楷体" w:hAnsi="楷体" w:eastAsia="楷体" w:cs="楷体"/>
          <w:b w:val="0"/>
          <w:bCs w:val="0"/>
          <w:color w:val="auto"/>
          <w:sz w:val="24"/>
          <w:szCs w:val="24"/>
          <w:highlight w:val="none"/>
          <w:lang w:eastAsia="zh-CN"/>
        </w:rPr>
        <w:t>”、“</w:t>
      </w:r>
      <w:r>
        <w:rPr>
          <w:rFonts w:hint="eastAsia" w:ascii="楷体" w:hAnsi="楷体" w:eastAsia="楷体" w:cs="楷体"/>
          <w:b w:val="0"/>
          <w:bCs w:val="0"/>
          <w:color w:val="auto"/>
          <w:sz w:val="24"/>
          <w:szCs w:val="24"/>
          <w:highlight w:val="none"/>
        </w:rPr>
        <w:t>实施方案</w:t>
      </w:r>
      <w:r>
        <w:rPr>
          <w:rFonts w:hint="eastAsia" w:ascii="楷体" w:hAnsi="楷体" w:eastAsia="楷体" w:cs="仿宋"/>
          <w:color w:val="auto"/>
          <w:szCs w:val="24"/>
          <w:highlight w:val="none"/>
          <w:lang w:eastAsia="zh-CN"/>
        </w:rPr>
        <w:t>”、</w:t>
      </w:r>
      <w:r>
        <w:rPr>
          <w:rFonts w:hint="eastAsia" w:ascii="楷体" w:hAnsi="楷体" w:eastAsia="楷体" w:cs="仿宋"/>
          <w:color w:val="auto"/>
          <w:szCs w:val="24"/>
          <w:highlight w:val="none"/>
        </w:rPr>
        <w:t>“售后服务</w:t>
      </w:r>
      <w:r>
        <w:rPr>
          <w:rFonts w:hint="eastAsia" w:ascii="楷体" w:hAnsi="楷体" w:eastAsia="楷体" w:cs="仿宋"/>
          <w:color w:val="auto"/>
          <w:szCs w:val="24"/>
          <w:highlight w:val="none"/>
          <w:lang w:eastAsia="zh-CN"/>
        </w:rPr>
        <w:t>”、“</w:t>
      </w:r>
      <w:r>
        <w:rPr>
          <w:rFonts w:hint="eastAsia" w:ascii="楷体" w:hAnsi="楷体" w:eastAsia="楷体" w:cs="仿宋"/>
          <w:color w:val="auto"/>
          <w:szCs w:val="24"/>
          <w:highlight w:val="none"/>
          <w:lang w:val="en-GB" w:eastAsia="zh-CN"/>
        </w:rPr>
        <w:t>培训方案</w:t>
      </w:r>
      <w:r>
        <w:rPr>
          <w:rFonts w:hint="eastAsia" w:ascii="楷体" w:hAnsi="楷体" w:eastAsia="楷体" w:cs="仿宋"/>
          <w:color w:val="auto"/>
          <w:szCs w:val="24"/>
          <w:highlight w:val="none"/>
        </w:rPr>
        <w:t>”、“业绩”</w:t>
      </w:r>
      <w:r>
        <w:rPr>
          <w:rFonts w:hint="eastAsia" w:ascii="楷体" w:hAnsi="楷体" w:eastAsia="楷体" w:cs="仿宋"/>
          <w:color w:val="auto"/>
          <w:szCs w:val="24"/>
          <w:highlight w:val="none"/>
          <w:lang w:val="en-US" w:eastAsia="zh-CN"/>
        </w:rPr>
        <w:t>七</w:t>
      </w:r>
      <w:r>
        <w:rPr>
          <w:rFonts w:hint="eastAsia" w:ascii="楷体" w:hAnsi="楷体" w:eastAsia="楷体" w:cs="仿宋"/>
          <w:color w:val="auto"/>
          <w:szCs w:val="24"/>
          <w:highlight w:val="none"/>
        </w:rPr>
        <w:t>个方面进行评审并按照百分制进行赋分。</w:t>
      </w:r>
    </w:p>
    <w:tbl>
      <w:tblPr>
        <w:tblStyle w:val="46"/>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50"/>
        <w:gridCol w:w="571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851" w:type="dxa"/>
            <w:vAlign w:val="center"/>
          </w:tcPr>
          <w:p>
            <w:pPr>
              <w:pStyle w:val="27"/>
              <w:spacing w:line="360" w:lineRule="auto"/>
              <w:jc w:val="center"/>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rPr>
              <w:t>类别</w:t>
            </w:r>
          </w:p>
        </w:tc>
        <w:tc>
          <w:tcPr>
            <w:tcW w:w="950" w:type="dxa"/>
            <w:vAlign w:val="center"/>
          </w:tcPr>
          <w:p>
            <w:pPr>
              <w:spacing w:line="360" w:lineRule="auto"/>
              <w:jc w:val="center"/>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rPr>
              <w:t>总分</w:t>
            </w:r>
          </w:p>
        </w:tc>
        <w:tc>
          <w:tcPr>
            <w:tcW w:w="5712" w:type="dxa"/>
            <w:vAlign w:val="center"/>
          </w:tcPr>
          <w:p>
            <w:pPr>
              <w:spacing w:line="360" w:lineRule="auto"/>
              <w:jc w:val="center"/>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rPr>
              <w:t>评  审  要  素</w:t>
            </w:r>
          </w:p>
        </w:tc>
        <w:tc>
          <w:tcPr>
            <w:tcW w:w="851" w:type="dxa"/>
            <w:vAlign w:val="center"/>
          </w:tcPr>
          <w:p>
            <w:pPr>
              <w:spacing w:line="360" w:lineRule="auto"/>
              <w:jc w:val="center"/>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rPr>
              <w:t>分项</w:t>
            </w:r>
          </w:p>
          <w:p>
            <w:pPr>
              <w:spacing w:line="360" w:lineRule="auto"/>
              <w:jc w:val="center"/>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1" w:hRule="atLeast"/>
        </w:trPr>
        <w:tc>
          <w:tcPr>
            <w:tcW w:w="851" w:type="dxa"/>
            <w:vAlign w:val="center"/>
          </w:tcPr>
          <w:p>
            <w:pPr>
              <w:spacing w:line="360" w:lineRule="auto"/>
              <w:jc w:val="center"/>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rPr>
              <w:t>磋商报价</w:t>
            </w:r>
          </w:p>
        </w:tc>
        <w:tc>
          <w:tcPr>
            <w:tcW w:w="950" w:type="dxa"/>
            <w:vAlign w:val="center"/>
          </w:tcPr>
          <w:p>
            <w:pPr>
              <w:spacing w:line="360" w:lineRule="auto"/>
              <w:jc w:val="center"/>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rPr>
              <w:t>30分</w:t>
            </w:r>
          </w:p>
        </w:tc>
        <w:tc>
          <w:tcPr>
            <w:tcW w:w="5712" w:type="dxa"/>
            <w:vAlign w:val="center"/>
          </w:tcPr>
          <w:p>
            <w:pPr>
              <w:snapToGrid w:val="0"/>
              <w:spacing w:line="36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1.经初审合格的磋商响应文件，其磋商报价为有效磋商报价。</w:t>
            </w:r>
          </w:p>
          <w:p>
            <w:pPr>
              <w:snapToGrid w:val="0"/>
              <w:spacing w:line="36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2.满足磋商文件实质性要求且最终报价最低的供应商的价格为磋商基准价，其价格分为满分30分。</w:t>
            </w:r>
          </w:p>
          <w:p>
            <w:pPr>
              <w:snapToGrid w:val="0"/>
              <w:spacing w:line="36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3.磋商报价得分=（磋商基准价/磋商报价）×30的公式计算得分。</w:t>
            </w:r>
          </w:p>
          <w:p>
            <w:pPr>
              <w:snapToGrid w:val="0"/>
              <w:spacing w:line="36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4.磋商报价不完整的，不进入磋商标准价的计算，本项得0分。</w:t>
            </w:r>
          </w:p>
          <w:p>
            <w:pPr>
              <w:spacing w:line="36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5.经评委一致认定，供应商的磋商最终总报价低于公认市场成本，或超过采购预算,其磋商响应将被拒绝。</w:t>
            </w:r>
          </w:p>
        </w:tc>
        <w:tc>
          <w:tcPr>
            <w:tcW w:w="851" w:type="dxa"/>
            <w:vAlign w:val="center"/>
          </w:tcPr>
          <w:p>
            <w:pPr>
              <w:spacing w:line="360" w:lineRule="auto"/>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851" w:type="dxa"/>
            <w:vMerge w:val="restart"/>
            <w:vAlign w:val="center"/>
          </w:tcPr>
          <w:p>
            <w:pPr>
              <w:spacing w:line="360" w:lineRule="auto"/>
              <w:rPr>
                <w:rFonts w:hint="eastAsia" w:ascii="楷体" w:hAnsi="楷体" w:eastAsia="楷体" w:cs="楷体"/>
                <w:b/>
                <w:color w:val="auto"/>
                <w:sz w:val="24"/>
                <w:szCs w:val="24"/>
                <w:highlight w:val="none"/>
              </w:rPr>
            </w:pPr>
          </w:p>
          <w:p>
            <w:pPr>
              <w:spacing w:line="360" w:lineRule="auto"/>
              <w:rPr>
                <w:rFonts w:hint="eastAsia" w:ascii="楷体" w:hAnsi="楷体" w:eastAsia="楷体" w:cs="楷体"/>
                <w:b/>
                <w:color w:val="auto"/>
                <w:sz w:val="24"/>
                <w:szCs w:val="24"/>
                <w:highlight w:val="none"/>
              </w:rPr>
            </w:pPr>
          </w:p>
          <w:p>
            <w:pPr>
              <w:spacing w:line="360" w:lineRule="auto"/>
              <w:rPr>
                <w:rFonts w:hint="eastAsia" w:ascii="楷体" w:hAnsi="楷体" w:eastAsia="楷体" w:cs="楷体"/>
                <w:b/>
                <w:color w:val="auto"/>
                <w:sz w:val="24"/>
                <w:szCs w:val="24"/>
                <w:highlight w:val="none"/>
              </w:rPr>
            </w:pPr>
          </w:p>
          <w:p>
            <w:pPr>
              <w:spacing w:line="360" w:lineRule="auto"/>
              <w:rPr>
                <w:rFonts w:hint="eastAsia" w:ascii="楷体" w:hAnsi="楷体" w:eastAsia="楷体" w:cs="楷体"/>
                <w:b/>
                <w:color w:val="auto"/>
                <w:sz w:val="24"/>
                <w:szCs w:val="24"/>
                <w:highlight w:val="none"/>
              </w:rPr>
            </w:pPr>
          </w:p>
          <w:p>
            <w:pPr>
              <w:spacing w:line="360" w:lineRule="auto"/>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rPr>
              <w:t>技术方 案</w:t>
            </w:r>
          </w:p>
        </w:tc>
        <w:tc>
          <w:tcPr>
            <w:tcW w:w="950" w:type="dxa"/>
            <w:vMerge w:val="restart"/>
            <w:vAlign w:val="center"/>
          </w:tcPr>
          <w:p>
            <w:pPr>
              <w:spacing w:line="360" w:lineRule="auto"/>
              <w:rPr>
                <w:rFonts w:hint="eastAsia" w:ascii="楷体" w:hAnsi="楷体" w:eastAsia="楷体" w:cs="楷体"/>
                <w:b/>
                <w:color w:val="auto"/>
                <w:sz w:val="24"/>
                <w:szCs w:val="24"/>
                <w:highlight w:val="none"/>
              </w:rPr>
            </w:pPr>
          </w:p>
          <w:p>
            <w:pPr>
              <w:spacing w:line="360" w:lineRule="auto"/>
              <w:rPr>
                <w:rFonts w:hint="eastAsia" w:ascii="楷体" w:hAnsi="楷体" w:eastAsia="楷体" w:cs="楷体"/>
                <w:b/>
                <w:color w:val="auto"/>
                <w:sz w:val="24"/>
                <w:szCs w:val="24"/>
                <w:highlight w:val="none"/>
              </w:rPr>
            </w:pPr>
          </w:p>
          <w:p>
            <w:pPr>
              <w:spacing w:line="360" w:lineRule="auto"/>
              <w:rPr>
                <w:rFonts w:hint="eastAsia" w:ascii="楷体" w:hAnsi="楷体" w:eastAsia="楷体" w:cs="楷体"/>
                <w:b/>
                <w:color w:val="auto"/>
                <w:sz w:val="24"/>
                <w:szCs w:val="24"/>
                <w:highlight w:val="none"/>
              </w:rPr>
            </w:pPr>
          </w:p>
          <w:p>
            <w:pPr>
              <w:spacing w:line="360" w:lineRule="auto"/>
              <w:rPr>
                <w:rFonts w:hint="eastAsia" w:ascii="楷体" w:hAnsi="楷体" w:eastAsia="楷体" w:cs="楷体"/>
                <w:b/>
                <w:color w:val="auto"/>
                <w:sz w:val="24"/>
                <w:szCs w:val="24"/>
                <w:highlight w:val="none"/>
              </w:rPr>
            </w:pPr>
          </w:p>
          <w:p>
            <w:pPr>
              <w:spacing w:line="360" w:lineRule="auto"/>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lang w:val="en-US" w:eastAsia="zh-CN"/>
              </w:rPr>
              <w:t>40</w:t>
            </w:r>
            <w:r>
              <w:rPr>
                <w:rFonts w:hint="eastAsia" w:ascii="楷体" w:hAnsi="楷体" w:eastAsia="楷体" w:cs="楷体"/>
                <w:b/>
                <w:color w:val="auto"/>
                <w:sz w:val="24"/>
                <w:szCs w:val="24"/>
                <w:highlight w:val="none"/>
              </w:rPr>
              <w:t>分</w:t>
            </w:r>
          </w:p>
        </w:tc>
        <w:tc>
          <w:tcPr>
            <w:tcW w:w="5712" w:type="dxa"/>
            <w:vAlign w:val="center"/>
          </w:tcPr>
          <w:p>
            <w:pPr>
              <w:spacing w:line="360" w:lineRule="auto"/>
              <w:ind w:firstLine="480" w:firstLineChars="200"/>
              <w:contextualSpacing/>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产品技术资料：所投产品的技术资料齐全，质量标准、检测标准符合国家标准、测试手段合理，性能稳定可靠。</w:t>
            </w:r>
            <w:r>
              <w:rPr>
                <w:rFonts w:hint="eastAsia" w:ascii="楷体" w:hAnsi="楷体" w:eastAsia="楷体" w:cs="楷体"/>
                <w:b w:val="0"/>
                <w:bCs w:val="0"/>
                <w:color w:val="auto"/>
                <w:sz w:val="24"/>
                <w:szCs w:val="24"/>
                <w:highlight w:val="none"/>
              </w:rPr>
              <w:t>提供相关产品的功能证明材料（包括但不限于检测报告、测试报告、官网和功能截图等）。</w:t>
            </w:r>
          </w:p>
          <w:p>
            <w:pPr>
              <w:spacing w:line="360" w:lineRule="auto"/>
              <w:ind w:firstLine="480" w:firstLineChars="200"/>
              <w:contextualSpacing/>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rPr>
              <w:t>完全符合采购文件中项目服务要求，没有负偏离得28分。带“▲”的参数为重要内容，每有一条不符合要求扣2分，扣完为止。不带“▲”的参数内容，每一条不符合要求扣1分，扣完为止。</w:t>
            </w:r>
          </w:p>
        </w:tc>
        <w:tc>
          <w:tcPr>
            <w:tcW w:w="851" w:type="dxa"/>
            <w:vAlign w:val="center"/>
          </w:tcPr>
          <w:p>
            <w:pPr>
              <w:spacing w:line="360" w:lineRule="auto"/>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28</w:t>
            </w:r>
            <w:r>
              <w:rPr>
                <w:rFonts w:hint="eastAsia" w:ascii="楷体" w:hAnsi="楷体" w:eastAsia="楷体" w:cs="楷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trPr>
        <w:tc>
          <w:tcPr>
            <w:tcW w:w="851" w:type="dxa"/>
            <w:vMerge w:val="continue"/>
            <w:vAlign w:val="center"/>
          </w:tcPr>
          <w:p>
            <w:pPr>
              <w:spacing w:line="360" w:lineRule="auto"/>
              <w:jc w:val="center"/>
              <w:rPr>
                <w:rFonts w:hint="eastAsia" w:ascii="楷体" w:hAnsi="楷体" w:eastAsia="楷体" w:cs="楷体"/>
                <w:color w:val="auto"/>
                <w:sz w:val="24"/>
                <w:szCs w:val="24"/>
                <w:highlight w:val="none"/>
              </w:rPr>
            </w:pPr>
          </w:p>
        </w:tc>
        <w:tc>
          <w:tcPr>
            <w:tcW w:w="950" w:type="dxa"/>
            <w:vMerge w:val="continue"/>
            <w:vAlign w:val="center"/>
          </w:tcPr>
          <w:p>
            <w:pPr>
              <w:spacing w:line="360" w:lineRule="auto"/>
              <w:jc w:val="center"/>
              <w:rPr>
                <w:rFonts w:hint="eastAsia" w:ascii="楷体" w:hAnsi="楷体" w:eastAsia="楷体" w:cs="楷体"/>
                <w:color w:val="auto"/>
                <w:sz w:val="24"/>
                <w:szCs w:val="24"/>
                <w:highlight w:val="none"/>
              </w:rPr>
            </w:pPr>
          </w:p>
        </w:tc>
        <w:tc>
          <w:tcPr>
            <w:tcW w:w="5712" w:type="dxa"/>
          </w:tcPr>
          <w:p>
            <w:pPr>
              <w:pStyle w:val="21"/>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提供以下功能演示：（提供视频演示，全部演示得12分，每一项没有演示不得分）</w:t>
            </w:r>
          </w:p>
          <w:p>
            <w:pPr>
              <w:widowControl/>
              <w:numPr>
                <w:ilvl w:val="0"/>
                <w:numId w:val="17"/>
              </w:numPr>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为便于用户操作，交互黑板具备8个前置物理按键，包含主页、音量加减、触控开关、关闭窗口、多任务、护眼、电源等可实现两种及以上常用功能；（2分）</w:t>
            </w:r>
          </w:p>
          <w:p>
            <w:pPr>
              <w:widowControl/>
              <w:numPr>
                <w:ilvl w:val="0"/>
                <w:numId w:val="17"/>
              </w:numPr>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交互黑板具有悬浮菜单，两指可快速移动悬浮菜单至按压位置，悬浮菜单可进行自定义分组，可添加AI互动软件等不少于30个应用（2分）</w:t>
            </w:r>
          </w:p>
          <w:p>
            <w:pPr>
              <w:pStyle w:val="21"/>
              <w:numPr>
                <w:ilvl w:val="0"/>
                <w:numId w:val="17"/>
              </w:numP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开机进入教学桌面，教师可按照自己使用习惯，更换常用软件、背景，形成教师的定制化桌面。可通过登录账户，在其他设备上同步展示教师定制化教学桌面；</w:t>
            </w:r>
            <w:r>
              <w:rPr>
                <w:rFonts w:hint="eastAsia" w:ascii="楷体" w:hAnsi="楷体" w:eastAsia="楷体" w:cs="楷体"/>
                <w:b/>
                <w:bCs/>
                <w:color w:val="auto"/>
                <w:sz w:val="24"/>
                <w:szCs w:val="24"/>
                <w:highlight w:val="none"/>
              </w:rPr>
              <w:t>（2分）</w:t>
            </w:r>
          </w:p>
          <w:p>
            <w:pPr>
              <w:pStyle w:val="21"/>
              <w:numPr>
                <w:ilvl w:val="0"/>
                <w:numId w:val="17"/>
              </w:numP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课堂互动工具：能够创建知识连线、互动分类、选词填空、趣味竞赛、翻翻卡、连词成句、判断对错、比大小等互动类游戏，每类互动游戏提供多个适用普教K12不同学科、学段风格的模板，每组游戏模板动效不同，支持自主编辑，设置内容、模板、时间、音效等；</w:t>
            </w:r>
            <w:r>
              <w:rPr>
                <w:rFonts w:hint="eastAsia" w:ascii="楷体" w:hAnsi="楷体" w:eastAsia="楷体" w:cs="楷体"/>
                <w:b/>
                <w:bCs/>
                <w:color w:val="auto"/>
                <w:sz w:val="24"/>
                <w:szCs w:val="24"/>
                <w:highlight w:val="none"/>
              </w:rPr>
              <w:t xml:space="preserve"> （2分）</w:t>
            </w:r>
          </w:p>
          <w:p>
            <w:pPr>
              <w:pStyle w:val="21"/>
              <w:numPr>
                <w:ilvl w:val="0"/>
                <w:numId w:val="17"/>
              </w:numP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 xml:space="preserve">学科工具：提供12门以上学科工具，包含语文、数学、英语、物理、化学、生物、地理、历史、音乐、体育、书法等；针对以上学科，学科工具里不能为静态图片，其中交互式操作的动画支持一键全屏显示； </w:t>
            </w:r>
            <w:r>
              <w:rPr>
                <w:rFonts w:hint="eastAsia" w:ascii="楷体" w:hAnsi="楷体" w:eastAsia="楷体" w:cs="楷体"/>
                <w:b/>
                <w:bCs/>
                <w:color w:val="auto"/>
                <w:sz w:val="24"/>
                <w:szCs w:val="24"/>
                <w:highlight w:val="none"/>
              </w:rPr>
              <w:t>（2分）</w:t>
            </w:r>
          </w:p>
          <w:p>
            <w:pPr>
              <w:spacing w:line="36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rPr>
              <w:t>书写工具:为方便教师授课板书，提供粉笔、硬笔、笔、纹理笔、图章笔、激光笔等10种书写工具；老师可通过手势笔实现多种手势教学，如圈选即可识别为选中对象，画圆即可识别为聚光灯，画方形为放大镜功能，左右划线为前后翻页等，为方便老师快速掌握，在点击手势笔功能时，笔工具栏提供图例操作说明；</w:t>
            </w:r>
            <w:r>
              <w:rPr>
                <w:rFonts w:hint="eastAsia" w:ascii="楷体" w:hAnsi="楷体" w:eastAsia="楷体" w:cs="楷体"/>
                <w:b/>
                <w:bCs/>
                <w:color w:val="auto"/>
                <w:sz w:val="24"/>
                <w:szCs w:val="24"/>
                <w:highlight w:val="none"/>
              </w:rPr>
              <w:t>（2分）</w:t>
            </w:r>
          </w:p>
        </w:tc>
        <w:tc>
          <w:tcPr>
            <w:tcW w:w="851" w:type="dxa"/>
            <w:vAlign w:val="center"/>
          </w:tcPr>
          <w:p>
            <w:pPr>
              <w:spacing w:line="360" w:lineRule="auto"/>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12</w:t>
            </w:r>
            <w:r>
              <w:rPr>
                <w:rFonts w:hint="eastAsia" w:ascii="楷体" w:hAnsi="楷体" w:eastAsia="楷体" w:cs="楷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68" w:hRule="atLeast"/>
        </w:trPr>
        <w:tc>
          <w:tcPr>
            <w:tcW w:w="851" w:type="dxa"/>
            <w:vAlign w:val="center"/>
          </w:tcPr>
          <w:p>
            <w:pPr>
              <w:contextualSpacing/>
              <w:rPr>
                <w:rFonts w:hint="eastAsia" w:ascii="楷体" w:hAnsi="楷体" w:eastAsia="楷体" w:cs="楷体"/>
                <w:color w:val="auto"/>
                <w:sz w:val="24"/>
                <w:szCs w:val="24"/>
                <w:highlight w:val="none"/>
              </w:rPr>
            </w:pPr>
            <w:r>
              <w:rPr>
                <w:rFonts w:hint="eastAsia" w:ascii="楷体" w:hAnsi="楷体" w:eastAsia="楷体" w:cs="楷体"/>
                <w:b/>
                <w:bCs/>
                <w:color w:val="auto"/>
                <w:sz w:val="24"/>
                <w:szCs w:val="24"/>
                <w:highlight w:val="none"/>
              </w:rPr>
              <w:t>产品合法来源渠道证明</w:t>
            </w:r>
          </w:p>
        </w:tc>
        <w:tc>
          <w:tcPr>
            <w:tcW w:w="950" w:type="dxa"/>
            <w:vAlign w:val="center"/>
          </w:tcPr>
          <w:p>
            <w:pPr>
              <w:contextualSpacing/>
              <w:jc w:val="center"/>
              <w:rPr>
                <w:rFonts w:hint="eastAsia" w:ascii="楷体" w:hAnsi="楷体" w:eastAsia="楷体" w:cs="楷体"/>
                <w:b/>
                <w:color w:val="auto"/>
                <w:sz w:val="24"/>
                <w:szCs w:val="24"/>
                <w:highlight w:val="none"/>
              </w:rPr>
            </w:pPr>
            <w:r>
              <w:rPr>
                <w:rFonts w:hint="eastAsia" w:ascii="楷体" w:hAnsi="楷体" w:eastAsia="楷体" w:cs="楷体"/>
                <w:b/>
                <w:bCs/>
                <w:color w:val="auto"/>
                <w:sz w:val="24"/>
                <w:szCs w:val="24"/>
                <w:highlight w:val="none"/>
              </w:rPr>
              <w:t>5分</w:t>
            </w:r>
          </w:p>
        </w:tc>
        <w:tc>
          <w:tcPr>
            <w:tcW w:w="5712" w:type="dxa"/>
            <w:vAlign w:val="center"/>
          </w:tcPr>
          <w:p>
            <w:pPr>
              <w:spacing w:line="360" w:lineRule="auto"/>
              <w:ind w:firstLine="480" w:firstLineChars="200"/>
              <w:contextualSpacing/>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产品货源渠道正常，有质量保证，确保无假货、水货、翻新货，技术资料齐全，无产权纠纷，备品、配件供应有保障且货源渠道正规，提供有效的证明材料</w:t>
            </w:r>
            <w:r>
              <w:rPr>
                <w:rFonts w:hint="eastAsia" w:ascii="楷体" w:hAnsi="楷体" w:eastAsia="楷体" w:cs="楷体"/>
                <w:color w:val="auto"/>
                <w:sz w:val="24"/>
                <w:szCs w:val="24"/>
                <w:highlight w:val="none"/>
                <w:lang w:val="zh-CN"/>
              </w:rPr>
              <w:t>（包括但不限于销售协议、代理协议、原厂授权等）</w:t>
            </w:r>
            <w:r>
              <w:rPr>
                <w:rFonts w:hint="eastAsia" w:ascii="楷体" w:hAnsi="楷体" w:eastAsia="楷体" w:cs="楷体"/>
                <w:color w:val="auto"/>
                <w:sz w:val="24"/>
                <w:szCs w:val="24"/>
                <w:highlight w:val="none"/>
              </w:rPr>
              <w:t>得0-</w:t>
            </w:r>
            <w:r>
              <w:rPr>
                <w:rFonts w:hint="eastAsia" w:ascii="楷体" w:hAnsi="楷体" w:eastAsia="楷体" w:cs="楷体"/>
                <w:color w:val="auto"/>
                <w:sz w:val="24"/>
                <w:szCs w:val="24"/>
                <w:highlight w:val="none"/>
                <w:lang w:val="en-US" w:eastAsia="zh-CN"/>
              </w:rPr>
              <w:t>5</w:t>
            </w:r>
            <w:r>
              <w:rPr>
                <w:rFonts w:hint="eastAsia" w:ascii="楷体" w:hAnsi="楷体" w:eastAsia="楷体" w:cs="楷体"/>
                <w:color w:val="auto"/>
                <w:sz w:val="24"/>
                <w:szCs w:val="24"/>
                <w:highlight w:val="none"/>
              </w:rPr>
              <w:t>分。</w:t>
            </w:r>
          </w:p>
        </w:tc>
        <w:tc>
          <w:tcPr>
            <w:tcW w:w="851" w:type="dxa"/>
            <w:vAlign w:val="center"/>
          </w:tcPr>
          <w:p>
            <w:pPr>
              <w:spacing w:line="320" w:lineRule="exact"/>
              <w:jc w:val="center"/>
              <w:rPr>
                <w:rFonts w:hint="eastAsia" w:ascii="楷体" w:hAnsi="楷体" w:eastAsia="楷体" w:cs="楷体"/>
                <w:color w:val="auto"/>
                <w:sz w:val="24"/>
                <w:szCs w:val="24"/>
                <w:highlight w:val="none"/>
              </w:rPr>
            </w:pPr>
            <w:r>
              <w:rPr>
                <w:rFonts w:hint="eastAsia" w:ascii="楷体" w:hAnsi="楷体" w:eastAsia="楷体" w:cs="楷体"/>
                <w:b/>
                <w:color w:val="auto"/>
                <w:sz w:val="24"/>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trPr>
        <w:tc>
          <w:tcPr>
            <w:tcW w:w="851" w:type="dxa"/>
            <w:vAlign w:val="center"/>
          </w:tcPr>
          <w:p>
            <w:pPr>
              <w:contextualSpacing/>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实施方</w:t>
            </w:r>
            <w:r>
              <w:rPr>
                <w:rFonts w:hint="eastAsia" w:ascii="楷体" w:hAnsi="楷体" w:eastAsia="楷体" w:cs="楷体"/>
                <w:b/>
                <w:bCs/>
                <w:color w:val="auto"/>
                <w:sz w:val="24"/>
                <w:szCs w:val="24"/>
                <w:highlight w:val="none"/>
                <w:lang w:val="en-US" w:eastAsia="zh-CN"/>
              </w:rPr>
              <w:t xml:space="preserve"> </w:t>
            </w:r>
            <w:r>
              <w:rPr>
                <w:rFonts w:hint="eastAsia" w:ascii="楷体" w:hAnsi="楷体" w:eastAsia="楷体" w:cs="楷体"/>
                <w:b/>
                <w:bCs/>
                <w:color w:val="auto"/>
                <w:sz w:val="24"/>
                <w:szCs w:val="24"/>
                <w:highlight w:val="none"/>
              </w:rPr>
              <w:t>案</w:t>
            </w:r>
          </w:p>
          <w:p>
            <w:pPr>
              <w:contextualSpacing/>
              <w:rPr>
                <w:rFonts w:hint="eastAsia" w:ascii="楷体" w:hAnsi="楷体" w:eastAsia="楷体" w:cs="楷体"/>
                <w:color w:val="auto"/>
                <w:sz w:val="24"/>
                <w:szCs w:val="24"/>
                <w:highlight w:val="none"/>
              </w:rPr>
            </w:pPr>
          </w:p>
        </w:tc>
        <w:tc>
          <w:tcPr>
            <w:tcW w:w="950" w:type="dxa"/>
            <w:vAlign w:val="center"/>
          </w:tcPr>
          <w:p>
            <w:pPr>
              <w:contextualSpacing/>
              <w:jc w:val="center"/>
              <w:rPr>
                <w:rFonts w:hint="eastAsia" w:ascii="楷体" w:hAnsi="楷体" w:eastAsia="楷体" w:cs="楷体"/>
                <w:color w:val="auto"/>
                <w:sz w:val="24"/>
                <w:szCs w:val="24"/>
                <w:highlight w:val="none"/>
              </w:rPr>
            </w:pPr>
            <w:r>
              <w:rPr>
                <w:rFonts w:hint="eastAsia" w:ascii="楷体" w:hAnsi="楷体" w:eastAsia="楷体" w:cs="楷体"/>
                <w:b/>
                <w:bCs/>
                <w:color w:val="auto"/>
                <w:sz w:val="24"/>
                <w:szCs w:val="24"/>
                <w:highlight w:val="none"/>
              </w:rPr>
              <w:t>5分</w:t>
            </w:r>
          </w:p>
        </w:tc>
        <w:tc>
          <w:tcPr>
            <w:tcW w:w="5712" w:type="dxa"/>
            <w:vAlign w:val="center"/>
          </w:tcPr>
          <w:p>
            <w:pPr>
              <w:spacing w:line="360" w:lineRule="auto"/>
              <w:contextualSpacing/>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投标人针对本项目的实施方案包括但不限于：供货进度安排，包装运输保证措施，产品质量控制措施，安装与调试方案等，方案全面、科学、合理、详细且符合项目实际要求的得3分，每有一项不足或阐述不明确扣0.5分；每有一项脱离实际或缺失扣1分。</w:t>
            </w:r>
          </w:p>
          <w:p>
            <w:pPr>
              <w:spacing w:line="360" w:lineRule="auto"/>
              <w:contextualSpacing/>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投标人针对本项目的应急处理方案包括但不限于：突发事件保证持续供货措施，问题产品退换制度等，方案全面、科学、合理、详细且符合项目实际要求的得2分，每有一项不足或阐述不明确扣0.5分；每有一项脱离实际或缺失扣1分。</w:t>
            </w:r>
          </w:p>
        </w:tc>
        <w:tc>
          <w:tcPr>
            <w:tcW w:w="851" w:type="dxa"/>
            <w:vAlign w:val="center"/>
          </w:tcPr>
          <w:p>
            <w:pPr>
              <w:spacing w:line="320" w:lineRule="exact"/>
              <w:jc w:val="center"/>
              <w:rPr>
                <w:rFonts w:hint="eastAsia" w:ascii="楷体" w:hAnsi="楷体" w:eastAsia="楷体" w:cs="楷体"/>
                <w:color w:val="auto"/>
                <w:sz w:val="24"/>
                <w:szCs w:val="24"/>
                <w:highlight w:val="none"/>
              </w:rPr>
            </w:pPr>
            <w:r>
              <w:rPr>
                <w:rFonts w:hint="eastAsia" w:ascii="楷体" w:hAnsi="楷体" w:eastAsia="楷体" w:cs="楷体"/>
                <w:b/>
                <w:bCs/>
                <w:color w:val="auto"/>
                <w:sz w:val="24"/>
                <w:szCs w:val="24"/>
                <w:highlight w:val="none"/>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9" w:hRule="atLeast"/>
        </w:trPr>
        <w:tc>
          <w:tcPr>
            <w:tcW w:w="851" w:type="dxa"/>
            <w:vAlign w:val="center"/>
          </w:tcPr>
          <w:p>
            <w:pPr>
              <w:contextualSpacing/>
              <w:rPr>
                <w:rFonts w:hint="eastAsia" w:ascii="楷体" w:hAnsi="楷体" w:eastAsia="楷体" w:cs="楷体"/>
                <w:color w:val="auto"/>
                <w:sz w:val="24"/>
                <w:szCs w:val="24"/>
                <w:highlight w:val="none"/>
                <w:lang w:val="en-US" w:eastAsia="zh-CN" w:bidi="ar-SA"/>
              </w:rPr>
            </w:pPr>
            <w:r>
              <w:rPr>
                <w:rFonts w:hint="eastAsia" w:ascii="楷体" w:hAnsi="楷体" w:eastAsia="楷体" w:cs="楷体"/>
                <w:b/>
                <w:bCs/>
                <w:color w:val="auto"/>
                <w:sz w:val="24"/>
                <w:szCs w:val="24"/>
                <w:highlight w:val="none"/>
              </w:rPr>
              <w:t>售后服</w:t>
            </w:r>
            <w:r>
              <w:rPr>
                <w:rFonts w:hint="eastAsia" w:ascii="楷体" w:hAnsi="楷体" w:eastAsia="楷体" w:cs="楷体"/>
                <w:b/>
                <w:bCs/>
                <w:color w:val="auto"/>
                <w:sz w:val="24"/>
                <w:szCs w:val="24"/>
                <w:highlight w:val="none"/>
                <w:lang w:val="en-US" w:eastAsia="zh-CN"/>
              </w:rPr>
              <w:t xml:space="preserve"> </w:t>
            </w:r>
            <w:r>
              <w:rPr>
                <w:rFonts w:hint="eastAsia" w:ascii="楷体" w:hAnsi="楷体" w:eastAsia="楷体" w:cs="楷体"/>
                <w:b/>
                <w:bCs/>
                <w:color w:val="auto"/>
                <w:sz w:val="24"/>
                <w:szCs w:val="24"/>
                <w:highlight w:val="none"/>
              </w:rPr>
              <w:t>务</w:t>
            </w:r>
          </w:p>
        </w:tc>
        <w:tc>
          <w:tcPr>
            <w:tcW w:w="950" w:type="dxa"/>
            <w:vAlign w:val="center"/>
          </w:tcPr>
          <w:p>
            <w:pPr>
              <w:contextualSpacing/>
              <w:jc w:val="center"/>
              <w:rPr>
                <w:rFonts w:hint="eastAsia" w:ascii="楷体" w:hAnsi="楷体" w:eastAsia="楷体" w:cs="楷体"/>
                <w:color w:val="auto"/>
                <w:sz w:val="24"/>
                <w:szCs w:val="24"/>
                <w:highlight w:val="none"/>
                <w:lang w:val="en-US" w:eastAsia="zh-CN" w:bidi="ar-SA"/>
              </w:rPr>
            </w:pPr>
            <w:r>
              <w:rPr>
                <w:rFonts w:hint="eastAsia" w:ascii="楷体" w:hAnsi="楷体" w:eastAsia="楷体" w:cs="楷体"/>
                <w:b/>
                <w:bCs/>
                <w:color w:val="auto"/>
                <w:sz w:val="24"/>
                <w:szCs w:val="24"/>
                <w:highlight w:val="none"/>
                <w:lang w:val="en-US" w:eastAsia="zh-CN"/>
              </w:rPr>
              <w:t>8</w:t>
            </w:r>
            <w:r>
              <w:rPr>
                <w:rFonts w:hint="eastAsia" w:ascii="楷体" w:hAnsi="楷体" w:eastAsia="楷体" w:cs="楷体"/>
                <w:b/>
                <w:bCs/>
                <w:color w:val="auto"/>
                <w:sz w:val="24"/>
                <w:szCs w:val="24"/>
                <w:highlight w:val="none"/>
              </w:rPr>
              <w:t>分</w:t>
            </w:r>
          </w:p>
        </w:tc>
        <w:tc>
          <w:tcPr>
            <w:tcW w:w="5712" w:type="dxa"/>
            <w:vAlign w:val="center"/>
          </w:tcPr>
          <w:p>
            <w:pPr>
              <w:spacing w:line="360" w:lineRule="auto"/>
              <w:ind w:firstLine="480" w:firstLineChars="200"/>
              <w:contextualSpacing/>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投标人针对本项目的售后服务方案包括但不限于：售后响应时效，售后服务人员机制设定，现场服务支持能力及培训，应急处理方式，售后巡检，备品备件计划及质量保证范围等方案全面、科学、合理、详细且符合项目实际要求的</w:t>
            </w:r>
            <w:r>
              <w:rPr>
                <w:rFonts w:hint="eastAsia" w:ascii="楷体" w:hAnsi="楷体" w:eastAsia="楷体" w:cs="楷体"/>
                <w:color w:val="auto"/>
                <w:sz w:val="24"/>
                <w:szCs w:val="24"/>
                <w:highlight w:val="none"/>
                <w:lang w:val="en-US" w:eastAsia="zh-CN"/>
              </w:rPr>
              <w:t>全部</w:t>
            </w:r>
            <w:r>
              <w:rPr>
                <w:rFonts w:hint="eastAsia" w:ascii="楷体" w:hAnsi="楷体" w:eastAsia="楷体" w:cs="楷体"/>
                <w:color w:val="auto"/>
                <w:sz w:val="24"/>
                <w:szCs w:val="24"/>
                <w:highlight w:val="none"/>
              </w:rPr>
              <w:t>得</w:t>
            </w:r>
            <w:r>
              <w:rPr>
                <w:rFonts w:hint="eastAsia" w:ascii="楷体" w:hAnsi="楷体" w:eastAsia="楷体" w:cs="楷体"/>
                <w:color w:val="auto"/>
                <w:sz w:val="24"/>
                <w:szCs w:val="24"/>
                <w:highlight w:val="none"/>
                <w:lang w:val="en-US" w:eastAsia="zh-CN"/>
              </w:rPr>
              <w:t>8</w:t>
            </w:r>
            <w:r>
              <w:rPr>
                <w:rFonts w:hint="eastAsia" w:ascii="楷体" w:hAnsi="楷体" w:eastAsia="楷体" w:cs="楷体"/>
                <w:color w:val="auto"/>
                <w:sz w:val="24"/>
                <w:szCs w:val="24"/>
                <w:highlight w:val="none"/>
              </w:rPr>
              <w:t>分，每有一项不足或阐述不明确扣0.5分；每有一项脱离实际或缺失扣1分。</w:t>
            </w:r>
          </w:p>
        </w:tc>
        <w:tc>
          <w:tcPr>
            <w:tcW w:w="851" w:type="dxa"/>
            <w:vAlign w:val="center"/>
          </w:tcPr>
          <w:p>
            <w:pPr>
              <w:spacing w:line="320" w:lineRule="exact"/>
              <w:jc w:val="center"/>
              <w:rPr>
                <w:rFonts w:hint="eastAsia" w:ascii="楷体" w:hAnsi="楷体" w:eastAsia="楷体" w:cs="楷体"/>
                <w:color w:val="auto"/>
                <w:sz w:val="24"/>
                <w:szCs w:val="24"/>
                <w:highlight w:val="none"/>
                <w:lang w:val="en-US" w:eastAsia="zh-CN"/>
              </w:rPr>
            </w:pPr>
            <w:r>
              <w:rPr>
                <w:rFonts w:hint="eastAsia" w:ascii="楷体" w:hAnsi="楷体" w:eastAsia="楷体" w:cs="楷体"/>
                <w:b/>
                <w:color w:val="auto"/>
                <w:sz w:val="24"/>
                <w:szCs w:val="24"/>
                <w:highlight w:val="none"/>
                <w:lang w:val="en-US" w:eastAsia="zh-CN"/>
              </w:rPr>
              <w:t>8</w:t>
            </w:r>
            <w:r>
              <w:rPr>
                <w:rFonts w:hint="eastAsia" w:ascii="楷体" w:hAnsi="楷体" w:eastAsia="楷体" w:cs="楷体"/>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5" w:hRule="atLeast"/>
        </w:trPr>
        <w:tc>
          <w:tcPr>
            <w:tcW w:w="851" w:type="dxa"/>
            <w:vAlign w:val="center"/>
          </w:tcPr>
          <w:p>
            <w:pPr>
              <w:contextualSpacing/>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lang w:val="en-GB"/>
              </w:rPr>
              <w:t>培训方</w:t>
            </w:r>
            <w:r>
              <w:rPr>
                <w:rFonts w:hint="eastAsia" w:ascii="楷体" w:hAnsi="楷体" w:eastAsia="楷体" w:cs="楷体"/>
                <w:b/>
                <w:bCs/>
                <w:color w:val="auto"/>
                <w:sz w:val="24"/>
                <w:szCs w:val="24"/>
                <w:highlight w:val="none"/>
                <w:lang w:val="en-US" w:eastAsia="zh-CN"/>
              </w:rPr>
              <w:t xml:space="preserve"> </w:t>
            </w:r>
            <w:r>
              <w:rPr>
                <w:rFonts w:hint="eastAsia" w:ascii="楷体" w:hAnsi="楷体" w:eastAsia="楷体" w:cs="楷体"/>
                <w:b/>
                <w:bCs/>
                <w:color w:val="auto"/>
                <w:sz w:val="24"/>
                <w:szCs w:val="24"/>
                <w:highlight w:val="none"/>
                <w:lang w:val="en-GB"/>
              </w:rPr>
              <w:t>案</w:t>
            </w:r>
          </w:p>
        </w:tc>
        <w:tc>
          <w:tcPr>
            <w:tcW w:w="950" w:type="dxa"/>
            <w:vAlign w:val="center"/>
          </w:tcPr>
          <w:p>
            <w:pPr>
              <w:contextualSpacing/>
              <w:jc w:val="center"/>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lang w:val="en-US" w:eastAsia="zh-CN"/>
              </w:rPr>
              <w:t>6</w:t>
            </w:r>
            <w:r>
              <w:rPr>
                <w:rFonts w:hint="eastAsia" w:ascii="楷体" w:hAnsi="楷体" w:eastAsia="楷体" w:cs="楷体"/>
                <w:b/>
                <w:bCs/>
                <w:color w:val="auto"/>
                <w:sz w:val="24"/>
                <w:szCs w:val="24"/>
                <w:highlight w:val="none"/>
              </w:rPr>
              <w:t>分</w:t>
            </w:r>
          </w:p>
        </w:tc>
        <w:tc>
          <w:tcPr>
            <w:tcW w:w="5712" w:type="dxa"/>
            <w:vAlign w:val="center"/>
          </w:tcPr>
          <w:p>
            <w:pPr>
              <w:spacing w:line="360" w:lineRule="auto"/>
              <w:ind w:firstLine="480" w:firstLineChars="200"/>
              <w:contextualSpacing/>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GB"/>
              </w:rPr>
              <w:t>明确具体培训内容、方式、时间、地点、人员数量等，能保证使用单位熟练操作、维护和正常使用，根据培训方案的完整性、可行性进行综合赋分（0-</w:t>
            </w: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lang w:val="en-GB"/>
              </w:rPr>
              <w:t>分）</w:t>
            </w:r>
          </w:p>
        </w:tc>
        <w:tc>
          <w:tcPr>
            <w:tcW w:w="851" w:type="dxa"/>
            <w:vAlign w:val="center"/>
          </w:tcPr>
          <w:p>
            <w:pPr>
              <w:spacing w:line="320" w:lineRule="exact"/>
              <w:jc w:val="center"/>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lang w:val="en-US" w:eastAsia="zh-CN"/>
              </w:rPr>
              <w:t>6</w:t>
            </w:r>
            <w:r>
              <w:rPr>
                <w:rFonts w:hint="eastAsia" w:ascii="楷体" w:hAnsi="楷体" w:eastAsia="楷体" w:cs="楷体"/>
                <w:b/>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51" w:type="dxa"/>
            <w:vAlign w:val="center"/>
          </w:tcPr>
          <w:p>
            <w:pPr>
              <w:spacing w:line="360" w:lineRule="auto"/>
              <w:jc w:val="center"/>
              <w:rPr>
                <w:rFonts w:hint="eastAsia" w:ascii="楷体" w:hAnsi="楷体" w:eastAsia="楷体" w:cs="楷体"/>
                <w:color w:val="auto"/>
                <w:sz w:val="24"/>
                <w:szCs w:val="24"/>
                <w:highlight w:val="none"/>
              </w:rPr>
            </w:pPr>
            <w:r>
              <w:rPr>
                <w:rFonts w:hint="eastAsia" w:ascii="楷体" w:hAnsi="楷体" w:eastAsia="楷体" w:cs="楷体"/>
                <w:b/>
                <w:bCs/>
                <w:color w:val="auto"/>
                <w:sz w:val="24"/>
                <w:szCs w:val="24"/>
                <w:highlight w:val="none"/>
              </w:rPr>
              <w:t>业绩</w:t>
            </w:r>
          </w:p>
        </w:tc>
        <w:tc>
          <w:tcPr>
            <w:tcW w:w="950" w:type="dxa"/>
            <w:vAlign w:val="center"/>
          </w:tcPr>
          <w:p>
            <w:pPr>
              <w:spacing w:line="360" w:lineRule="auto"/>
              <w:jc w:val="center"/>
              <w:rPr>
                <w:rFonts w:hint="eastAsia" w:ascii="楷体" w:hAnsi="楷体" w:eastAsia="楷体" w:cs="楷体"/>
                <w:color w:val="auto"/>
                <w:sz w:val="24"/>
                <w:szCs w:val="24"/>
                <w:highlight w:val="none"/>
              </w:rPr>
            </w:pPr>
            <w:r>
              <w:rPr>
                <w:rFonts w:hint="eastAsia" w:ascii="楷体" w:hAnsi="楷体" w:eastAsia="楷体" w:cs="楷体"/>
                <w:b/>
                <w:bCs/>
                <w:color w:val="auto"/>
                <w:sz w:val="24"/>
                <w:szCs w:val="24"/>
                <w:highlight w:val="none"/>
                <w:lang w:val="en-US" w:eastAsia="zh-CN"/>
              </w:rPr>
              <w:t>6</w:t>
            </w:r>
            <w:r>
              <w:rPr>
                <w:rFonts w:hint="eastAsia" w:ascii="楷体" w:hAnsi="楷体" w:eastAsia="楷体" w:cs="楷体"/>
                <w:b/>
                <w:bCs/>
                <w:color w:val="auto"/>
                <w:sz w:val="24"/>
                <w:szCs w:val="24"/>
                <w:highlight w:val="none"/>
              </w:rPr>
              <w:t>分</w:t>
            </w:r>
          </w:p>
        </w:tc>
        <w:tc>
          <w:tcPr>
            <w:tcW w:w="5712" w:type="dxa"/>
            <w:vAlign w:val="center"/>
          </w:tcPr>
          <w:p>
            <w:pPr>
              <w:spacing w:line="360" w:lineRule="auto"/>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提供2019年至今类似项目的成功案例，每提供一份业绩得</w:t>
            </w:r>
            <w:r>
              <w:rPr>
                <w:rFonts w:hint="eastAsia" w:ascii="楷体" w:hAnsi="楷体" w:eastAsia="楷体" w:cs="楷体"/>
                <w:color w:val="auto"/>
                <w:sz w:val="24"/>
                <w:szCs w:val="24"/>
                <w:highlight w:val="none"/>
                <w:lang w:val="en-US" w:eastAsia="zh-CN"/>
              </w:rPr>
              <w:t>2</w:t>
            </w:r>
            <w:r>
              <w:rPr>
                <w:rFonts w:hint="eastAsia" w:ascii="楷体" w:hAnsi="楷体" w:eastAsia="楷体" w:cs="楷体"/>
                <w:color w:val="auto"/>
                <w:sz w:val="24"/>
                <w:szCs w:val="24"/>
                <w:highlight w:val="none"/>
              </w:rPr>
              <w:t>分，满分</w:t>
            </w:r>
            <w:r>
              <w:rPr>
                <w:rFonts w:hint="eastAsia" w:ascii="楷体" w:hAnsi="楷体" w:eastAsia="楷体" w:cs="楷体"/>
                <w:color w:val="auto"/>
                <w:sz w:val="24"/>
                <w:szCs w:val="24"/>
                <w:highlight w:val="none"/>
                <w:lang w:val="en-US" w:eastAsia="zh-CN"/>
              </w:rPr>
              <w:t>6</w:t>
            </w:r>
            <w:r>
              <w:rPr>
                <w:rFonts w:hint="eastAsia" w:ascii="楷体" w:hAnsi="楷体" w:eastAsia="楷体" w:cs="楷体"/>
                <w:color w:val="auto"/>
                <w:sz w:val="24"/>
                <w:szCs w:val="24"/>
                <w:highlight w:val="none"/>
              </w:rPr>
              <w:t>分（以</w:t>
            </w:r>
            <w:r>
              <w:rPr>
                <w:rFonts w:hint="eastAsia" w:ascii="楷体" w:hAnsi="楷体" w:eastAsia="楷体" w:cs="楷体"/>
                <w:color w:val="auto"/>
                <w:sz w:val="24"/>
                <w:szCs w:val="24"/>
                <w:highlight w:val="none"/>
                <w:lang w:val="en-US" w:eastAsia="zh-CN"/>
              </w:rPr>
              <w:t>成交</w:t>
            </w:r>
            <w:r>
              <w:rPr>
                <w:rFonts w:hint="eastAsia" w:ascii="楷体" w:hAnsi="楷体" w:eastAsia="楷体" w:cs="楷体"/>
                <w:color w:val="auto"/>
                <w:sz w:val="24"/>
                <w:szCs w:val="24"/>
                <w:highlight w:val="none"/>
                <w:lang w:eastAsia="zh-CN"/>
              </w:rPr>
              <w:t>通知书及</w:t>
            </w:r>
            <w:r>
              <w:rPr>
                <w:rFonts w:hint="eastAsia" w:ascii="楷体" w:hAnsi="楷体" w:eastAsia="楷体" w:cs="楷体"/>
                <w:color w:val="auto"/>
                <w:sz w:val="24"/>
                <w:szCs w:val="24"/>
                <w:highlight w:val="none"/>
              </w:rPr>
              <w:t>合同协议书复印件加盖公章为准，原件备查）。</w:t>
            </w:r>
          </w:p>
        </w:tc>
        <w:tc>
          <w:tcPr>
            <w:tcW w:w="851" w:type="dxa"/>
            <w:vAlign w:val="center"/>
          </w:tcPr>
          <w:p>
            <w:pPr>
              <w:spacing w:line="360" w:lineRule="auto"/>
              <w:jc w:val="center"/>
              <w:rPr>
                <w:rFonts w:hint="eastAsia" w:ascii="楷体" w:hAnsi="楷体" w:eastAsia="楷体" w:cs="楷体"/>
                <w:color w:val="auto"/>
                <w:sz w:val="24"/>
                <w:szCs w:val="24"/>
                <w:highlight w:val="none"/>
              </w:rPr>
            </w:pPr>
            <w:r>
              <w:rPr>
                <w:rFonts w:hint="eastAsia" w:ascii="楷体" w:hAnsi="楷体" w:eastAsia="楷体" w:cs="楷体"/>
                <w:b/>
                <w:bCs/>
                <w:color w:val="auto"/>
                <w:sz w:val="24"/>
                <w:szCs w:val="24"/>
                <w:highlight w:val="none"/>
                <w:lang w:val="en-US" w:eastAsia="zh-CN"/>
              </w:rPr>
              <w:t>6</w:t>
            </w:r>
            <w:r>
              <w:rPr>
                <w:rFonts w:hint="eastAsia" w:ascii="楷体" w:hAnsi="楷体" w:eastAsia="楷体" w:cs="楷体"/>
                <w:b/>
                <w:bCs/>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5" w:hRule="atLeast"/>
        </w:trPr>
        <w:tc>
          <w:tcPr>
            <w:tcW w:w="851" w:type="dxa"/>
            <w:vAlign w:val="center"/>
          </w:tcPr>
          <w:p>
            <w:pPr>
              <w:pStyle w:val="27"/>
              <w:spacing w:line="36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说明</w:t>
            </w:r>
          </w:p>
        </w:tc>
        <w:tc>
          <w:tcPr>
            <w:tcW w:w="7513" w:type="dxa"/>
            <w:gridSpan w:val="3"/>
          </w:tcPr>
          <w:p>
            <w:pPr>
              <w:spacing w:line="36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1、磋商小组各成员独立打分。</w:t>
            </w:r>
          </w:p>
          <w:p>
            <w:pPr>
              <w:spacing w:line="36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2、评委打分超过得分界限或未按本表规定赋分时，该评委的打分作废，不计入汇总分。</w:t>
            </w:r>
          </w:p>
          <w:p>
            <w:pPr>
              <w:spacing w:line="36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若出现综合得分并列时，比较价格得分，此分项得分高者排序在前；若价格得分仍相同，比较技术得分，此分项得分高者排序在前；若技术得分仍相同，则由全体磋商小组成员无记名投票，得票高者排序在前。</w:t>
            </w:r>
          </w:p>
          <w:p>
            <w:pPr>
              <w:spacing w:line="36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4、各种计算采用插入法，数字均保留一位小数，第二位“四舍五入”。</w:t>
            </w:r>
          </w:p>
          <w:p>
            <w:pPr>
              <w:spacing w:line="36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5、磋商过程中，若出现特殊情况时，由磋商小组决定暂停评标，并提出具体处理意见。</w:t>
            </w:r>
          </w:p>
        </w:tc>
      </w:tr>
    </w:tbl>
    <w:p>
      <w:pPr>
        <w:spacing w:line="360" w:lineRule="auto"/>
        <w:ind w:firstLine="482" w:firstLineChars="200"/>
        <w:rPr>
          <w:rFonts w:hint="eastAsia" w:ascii="楷体" w:hAnsi="楷体" w:eastAsia="楷体" w:cs="楷体"/>
          <w:b/>
          <w:color w:val="auto"/>
          <w:szCs w:val="24"/>
          <w:highlight w:val="none"/>
          <w:lang w:val="en-US" w:eastAsia="zh-CN"/>
        </w:rPr>
      </w:pPr>
    </w:p>
    <w:p>
      <w:pPr>
        <w:spacing w:line="360" w:lineRule="auto"/>
        <w:ind w:firstLine="482" w:firstLineChars="200"/>
        <w:rPr>
          <w:rFonts w:hint="eastAsia" w:ascii="楷体" w:hAnsi="楷体" w:eastAsia="楷体" w:cs="楷体"/>
          <w:color w:val="auto"/>
          <w:szCs w:val="24"/>
          <w:highlight w:val="none"/>
        </w:rPr>
      </w:pPr>
      <w:r>
        <w:rPr>
          <w:rFonts w:hint="eastAsia" w:ascii="楷体" w:hAnsi="楷体" w:eastAsia="楷体" w:cs="楷体"/>
          <w:b/>
          <w:color w:val="auto"/>
          <w:szCs w:val="24"/>
          <w:highlight w:val="none"/>
          <w:lang w:val="en-US" w:eastAsia="zh-CN"/>
        </w:rPr>
        <w:t>2.3.2</w:t>
      </w:r>
      <w:r>
        <w:rPr>
          <w:rFonts w:hint="eastAsia" w:ascii="楷体" w:hAnsi="楷体" w:eastAsia="楷体" w:cs="楷体"/>
          <w:b/>
          <w:color w:val="auto"/>
          <w:szCs w:val="24"/>
          <w:highlight w:val="none"/>
        </w:rPr>
        <w:t>、详细评审：</w:t>
      </w:r>
      <w:r>
        <w:rPr>
          <w:rFonts w:hint="eastAsia" w:ascii="楷体" w:hAnsi="楷体" w:eastAsia="楷体" w:cs="楷体"/>
          <w:color w:val="auto"/>
          <w:szCs w:val="24"/>
          <w:highlight w:val="none"/>
        </w:rPr>
        <w:t>对于经初审合格的所有投标，由</w:t>
      </w:r>
      <w:r>
        <w:rPr>
          <w:rFonts w:hint="eastAsia" w:ascii="楷体" w:hAnsi="楷体" w:eastAsia="楷体" w:cs="楷体"/>
          <w:color w:val="auto"/>
          <w:szCs w:val="24"/>
          <w:highlight w:val="none"/>
          <w:lang w:val="en-US" w:eastAsia="zh-CN"/>
        </w:rPr>
        <w:t>磋商小组</w:t>
      </w:r>
      <w:r>
        <w:rPr>
          <w:rFonts w:hint="eastAsia" w:ascii="楷体" w:hAnsi="楷体" w:eastAsia="楷体" w:cs="楷体"/>
          <w:color w:val="auto"/>
          <w:szCs w:val="24"/>
          <w:highlight w:val="none"/>
        </w:rPr>
        <w:t>各成员按照下列《评标因素及权重分值表》规定的内容独立对每个投标人的投标文件进行评价，并汇总每个投标人的得分。</w:t>
      </w:r>
      <w:r>
        <w:rPr>
          <w:rFonts w:hint="eastAsia" w:ascii="楷体" w:hAnsi="楷体" w:eastAsia="楷体" w:cs="仿宋"/>
          <w:color w:val="auto"/>
          <w:szCs w:val="24"/>
          <w:highlight w:val="none"/>
        </w:rPr>
        <w:t>提供相同品牌产品且通过资格审查、符合性审查的不同供应商参加同一合同项下磋商的，按一家供应商计算，评审后磋商总报价最低的同品牌供应商获得成交供应商推荐资格；磋商总报价相同的，由采购人或者采购人委托磋商小组按照磋商文件规定的方式确定一个供应商获得成交供应商推荐资格，其他同品牌供应商不作为成交候选人。非单一产品采购项目，采购人应当根据采购项目技术构成、产品价格比重等合理确定核心产品，并在磋商文件中载明。多家供应商提供的核心产品品牌相同的，按前款规定处理。</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firstLine="482"/>
        <w:textAlignment w:val="auto"/>
        <w:rPr>
          <w:rFonts w:hint="eastAsia" w:ascii="楷体" w:hAnsi="楷体" w:eastAsia="楷体" w:cs="楷体"/>
          <w:color w:val="auto"/>
          <w:szCs w:val="24"/>
          <w:highlight w:val="none"/>
        </w:rPr>
      </w:pPr>
      <w:r>
        <w:rPr>
          <w:rFonts w:hint="eastAsia" w:ascii="楷体" w:hAnsi="楷体" w:eastAsia="楷体" w:cs="仿宋"/>
          <w:b/>
          <w:color w:val="auto"/>
          <w:spacing w:val="4"/>
          <w:szCs w:val="22"/>
          <w:highlight w:val="none"/>
        </w:rPr>
        <w:t>成交价格=成交供应商的有效磋商报价。</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firstLine="482"/>
        <w:textAlignment w:val="auto"/>
        <w:rPr>
          <w:rFonts w:hint="eastAsia" w:ascii="楷体" w:hAnsi="楷体" w:eastAsia="楷体" w:cs="楷体"/>
          <w:color w:val="auto"/>
          <w:szCs w:val="24"/>
          <w:highlight w:val="none"/>
        </w:rPr>
      </w:pPr>
      <w:r>
        <w:rPr>
          <w:rFonts w:hint="eastAsia" w:ascii="楷体" w:hAnsi="楷体" w:eastAsia="楷体" w:cs="楷体"/>
          <w:b/>
          <w:color w:val="auto"/>
          <w:szCs w:val="24"/>
          <w:highlight w:val="none"/>
        </w:rPr>
        <w:t>推荐成交供应商名单：</w:t>
      </w:r>
      <w:r>
        <w:rPr>
          <w:rFonts w:hint="eastAsia" w:ascii="楷体" w:hAnsi="楷体" w:eastAsia="楷体" w:cs="楷体"/>
          <w:color w:val="auto"/>
          <w:szCs w:val="24"/>
          <w:highlight w:val="none"/>
        </w:rPr>
        <w:t>评审结果按评审后得分由高到低顺序排列。得分相同的，按磋商报价由低到高顺序排列。得分且磋商报价相同的并列。</w:t>
      </w:r>
    </w:p>
    <w:p>
      <w:pPr>
        <w:spacing w:line="360" w:lineRule="auto"/>
        <w:ind w:firstLine="482" w:firstLineChars="200"/>
        <w:rPr>
          <w:rFonts w:hint="eastAsia" w:ascii="楷体" w:hAnsi="楷体" w:eastAsia="楷体" w:cs="楷体"/>
          <w:b/>
          <w:color w:val="auto"/>
          <w:szCs w:val="24"/>
          <w:highlight w:val="none"/>
          <w:lang w:val="en-US" w:eastAsia="zh-CN"/>
        </w:rPr>
      </w:pPr>
      <w:r>
        <w:rPr>
          <w:rFonts w:hint="eastAsia" w:ascii="楷体" w:hAnsi="楷体" w:eastAsia="楷体" w:cs="楷体"/>
          <w:b/>
          <w:color w:val="auto"/>
          <w:szCs w:val="24"/>
          <w:highlight w:val="none"/>
          <w:lang w:val="en-US" w:eastAsia="zh-CN"/>
        </w:rPr>
        <w:t>5、定标：</w:t>
      </w:r>
    </w:p>
    <w:p>
      <w:pPr>
        <w:spacing w:line="360" w:lineRule="auto"/>
        <w:ind w:firstLine="496" w:firstLineChars="200"/>
        <w:rPr>
          <w:rFonts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1、评审结果由</w:t>
      </w:r>
      <w:r>
        <w:rPr>
          <w:rFonts w:hint="eastAsia" w:ascii="楷体" w:hAnsi="楷体" w:eastAsia="楷体" w:cs="仿宋"/>
          <w:color w:val="auto"/>
          <w:szCs w:val="24"/>
          <w:highlight w:val="none"/>
        </w:rPr>
        <w:t>磋商小组</w:t>
      </w:r>
      <w:r>
        <w:rPr>
          <w:rFonts w:hint="eastAsia" w:ascii="楷体" w:hAnsi="楷体" w:eastAsia="楷体" w:cs="仿宋"/>
          <w:color w:val="auto"/>
          <w:spacing w:val="4"/>
          <w:szCs w:val="24"/>
          <w:highlight w:val="none"/>
        </w:rPr>
        <w:t>全体</w:t>
      </w:r>
      <w:r>
        <w:rPr>
          <w:rFonts w:hint="eastAsia" w:ascii="楷体" w:hAnsi="楷体" w:eastAsia="楷体" w:cs="仿宋"/>
          <w:color w:val="auto"/>
          <w:szCs w:val="24"/>
          <w:highlight w:val="none"/>
        </w:rPr>
        <w:t>成员</w:t>
      </w:r>
      <w:r>
        <w:rPr>
          <w:rFonts w:hint="eastAsia" w:ascii="楷体" w:hAnsi="楷体" w:eastAsia="楷体" w:cs="仿宋"/>
          <w:color w:val="auto"/>
          <w:spacing w:val="4"/>
          <w:szCs w:val="24"/>
          <w:highlight w:val="none"/>
        </w:rPr>
        <w:t>签字确认。</w:t>
      </w:r>
    </w:p>
    <w:p>
      <w:pPr>
        <w:spacing w:line="360" w:lineRule="auto"/>
        <w:ind w:firstLine="496" w:firstLineChars="200"/>
        <w:rPr>
          <w:rFonts w:hint="eastAsia" w:ascii="楷体" w:hAnsi="楷体" w:eastAsia="楷体" w:cs="楷体"/>
          <w:b/>
          <w:color w:val="auto"/>
          <w:spacing w:val="4"/>
          <w:sz w:val="24"/>
          <w:szCs w:val="24"/>
          <w:highlight w:val="none"/>
        </w:rPr>
      </w:pPr>
      <w:r>
        <w:rPr>
          <w:rFonts w:hint="eastAsia" w:ascii="楷体" w:hAnsi="楷体" w:eastAsia="楷体" w:cs="仿宋"/>
          <w:color w:val="auto"/>
          <w:spacing w:val="4"/>
          <w:szCs w:val="24"/>
          <w:highlight w:val="none"/>
        </w:rPr>
        <w:t>2、采购人根据评审报告中推荐的成交候选人排列顺序确定供应商，以复函通知招标代理机构。</w:t>
      </w:r>
    </w:p>
    <w:p>
      <w:pPr>
        <w:spacing w:line="360" w:lineRule="auto"/>
        <w:jc w:val="left"/>
        <w:rPr>
          <w:rFonts w:hint="eastAsia" w:ascii="楷体" w:hAnsi="楷体" w:eastAsia="楷体" w:cs="仿宋"/>
          <w:b/>
          <w:color w:val="auto"/>
          <w:sz w:val="28"/>
          <w:szCs w:val="24"/>
          <w:highlight w:val="none"/>
        </w:rPr>
      </w:pPr>
      <w:r>
        <w:rPr>
          <w:rFonts w:hint="eastAsia" w:ascii="楷体" w:hAnsi="楷体" w:eastAsia="楷体" w:cs="仿宋"/>
          <w:b/>
          <w:color w:val="auto"/>
          <w:sz w:val="28"/>
          <w:szCs w:val="24"/>
          <w:highlight w:val="none"/>
        </w:rPr>
        <w:t>三、政策性扣减</w:t>
      </w:r>
    </w:p>
    <w:p>
      <w:pPr>
        <w:pStyle w:val="16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楷体" w:hAnsi="楷体" w:eastAsia="楷体" w:cs="楷体"/>
          <w:color w:val="auto"/>
          <w:highlight w:val="none"/>
          <w:lang w:val="en-US" w:eastAsia="zh-CN"/>
        </w:rPr>
        <w:t>根据《陕西省财政厅关于政府采购有关问题的通知》（陕财办采资（2016）53号）对政府采购相关政策落实如下：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1、</w:t>
      </w:r>
      <w:r>
        <w:rPr>
          <w:rFonts w:hint="eastAsia" w:ascii="楷体" w:hAnsi="楷体" w:eastAsia="楷体" w:cs="楷体"/>
          <w:b w:val="0"/>
          <w:bCs/>
          <w:color w:val="auto"/>
          <w:sz w:val="24"/>
          <w:szCs w:val="24"/>
          <w:highlight w:val="none"/>
          <w:lang w:val="zh-CN"/>
        </w:rPr>
        <w:t>财政部、工业和信息化部《关于印发&lt;政府采购促进中小企业发展管理办法&gt;的通知》(财库〔2020〕46号)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根据《政府采购促进中小企业发展管理办法》（财库〔2020〕46号）规定，符合本办法规定的参加政府采购活动的中小企业应当提供《中小企业声明函》，</w:t>
      </w:r>
      <w:r>
        <w:rPr>
          <w:rFonts w:hint="eastAsia" w:ascii="楷体" w:hAnsi="楷体" w:eastAsia="楷体" w:cs="楷体"/>
          <w:b w:val="0"/>
          <w:bCs/>
          <w:color w:val="auto"/>
          <w:sz w:val="24"/>
          <w:szCs w:val="24"/>
          <w:highlight w:val="none"/>
          <w:lang w:val="en-US" w:eastAsia="zh-CN"/>
        </w:rPr>
        <w:t>否则不得享受相关中小企业扶持政策</w:t>
      </w:r>
      <w:r>
        <w:rPr>
          <w:rFonts w:hint="eastAsia" w:ascii="楷体" w:hAnsi="楷体" w:eastAsia="楷体" w:cs="楷体"/>
          <w:b w:val="0"/>
          <w:bCs/>
          <w:color w:val="auto"/>
          <w:sz w:val="24"/>
          <w:szCs w:val="24"/>
          <w:highlight w:val="none"/>
          <w:lang w:val="zh-CN"/>
        </w:rPr>
        <w:t>。供应商提供的《中小企业声明函》必须真实，否则，按照有关规定予以处理。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磋商小组根据《政府采购促进中小企业发展管理办法》的相关规定，对小微企业报价给予</w:t>
      </w:r>
      <w:r>
        <w:rPr>
          <w:rFonts w:hint="eastAsia" w:ascii="楷体" w:hAnsi="楷体" w:eastAsia="楷体" w:cs="楷体"/>
          <w:b w:val="0"/>
          <w:bCs/>
          <w:color w:val="auto"/>
          <w:sz w:val="24"/>
          <w:szCs w:val="24"/>
          <w:highlight w:val="none"/>
          <w:lang w:val="en-US" w:eastAsia="zh-CN"/>
        </w:rPr>
        <w:t>10</w:t>
      </w:r>
      <w:r>
        <w:rPr>
          <w:rFonts w:hint="eastAsia" w:ascii="楷体" w:hAnsi="楷体" w:eastAsia="楷体" w:cs="楷体"/>
          <w:b w:val="0"/>
          <w:bCs/>
          <w:color w:val="auto"/>
          <w:sz w:val="24"/>
          <w:szCs w:val="24"/>
          <w:highlight w:val="none"/>
          <w:lang w:val="zh-CN"/>
        </w:rPr>
        <w:t>%的扣除，用扣除后的价格参与评审。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2、</w:t>
      </w:r>
      <w:r>
        <w:rPr>
          <w:rFonts w:hint="eastAsia" w:ascii="楷体" w:hAnsi="楷体" w:eastAsia="楷体" w:cs="楷体"/>
          <w:b w:val="0"/>
          <w:bCs/>
          <w:color w:val="auto"/>
          <w:sz w:val="24"/>
          <w:szCs w:val="24"/>
          <w:highlight w:val="none"/>
          <w:lang w:val="zh-CN"/>
        </w:rPr>
        <w:t xml:space="preserve">《财政部司法部关于政府采购支持监狱企业发展有关问题的通知》—财库[2014]68号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磋商小组对监狱企业的价格给予</w:t>
      </w:r>
      <w:r>
        <w:rPr>
          <w:rFonts w:hint="eastAsia" w:ascii="楷体" w:hAnsi="楷体" w:eastAsia="楷体" w:cs="楷体"/>
          <w:b w:val="0"/>
          <w:bCs/>
          <w:color w:val="auto"/>
          <w:sz w:val="24"/>
          <w:szCs w:val="24"/>
          <w:highlight w:val="none"/>
          <w:lang w:val="en-US" w:eastAsia="zh-CN"/>
        </w:rPr>
        <w:t>10</w:t>
      </w:r>
      <w:r>
        <w:rPr>
          <w:rFonts w:hint="eastAsia" w:ascii="楷体" w:hAnsi="楷体" w:eastAsia="楷体" w:cs="楷体"/>
          <w:b w:val="0"/>
          <w:bCs/>
          <w:color w:val="auto"/>
          <w:sz w:val="24"/>
          <w:szCs w:val="24"/>
          <w:highlight w:val="none"/>
          <w:lang w:val="zh-CN"/>
        </w:rPr>
        <w:t>%的扣除，用扣除后的价格参与评审。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3、</w:t>
      </w:r>
      <w:r>
        <w:rPr>
          <w:rFonts w:hint="eastAsia" w:ascii="楷体" w:hAnsi="楷体" w:eastAsia="楷体" w:cs="楷体"/>
          <w:b w:val="0"/>
          <w:bCs/>
          <w:color w:val="auto"/>
          <w:sz w:val="24"/>
          <w:szCs w:val="24"/>
          <w:highlight w:val="none"/>
          <w:lang w:val="zh-CN"/>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符合条件的残疾人福利性单位在参加政府采购活动时，应当提供本通知规定的《残疾人福利性单位声明函》，并对声明的真实性负责。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磋商小组对供应商提供的残疾人福利性单位的证明文件进行核实后，根据相关规定，对残疾人福利性单位的价格给予</w:t>
      </w:r>
      <w:r>
        <w:rPr>
          <w:rFonts w:hint="eastAsia" w:ascii="楷体" w:hAnsi="楷体" w:eastAsia="楷体" w:cs="楷体"/>
          <w:b w:val="0"/>
          <w:bCs/>
          <w:color w:val="auto"/>
          <w:sz w:val="24"/>
          <w:szCs w:val="24"/>
          <w:highlight w:val="none"/>
          <w:lang w:val="en-US" w:eastAsia="zh-CN"/>
        </w:rPr>
        <w:t>10</w:t>
      </w:r>
      <w:r>
        <w:rPr>
          <w:rFonts w:hint="eastAsia" w:ascii="楷体" w:hAnsi="楷体" w:eastAsia="楷体" w:cs="楷体"/>
          <w:b w:val="0"/>
          <w:bCs/>
          <w:color w:val="auto"/>
          <w:sz w:val="24"/>
          <w:szCs w:val="24"/>
          <w:highlight w:val="none"/>
          <w:lang w:val="zh-CN"/>
        </w:rPr>
        <w:t>%的扣除，用扣除后的价格参与评审。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4、</w:t>
      </w:r>
      <w:r>
        <w:rPr>
          <w:rFonts w:hint="eastAsia" w:ascii="楷体" w:hAnsi="楷体" w:eastAsia="楷体" w:cs="楷体"/>
          <w:b w:val="0"/>
          <w:bCs/>
          <w:color w:val="auto"/>
          <w:sz w:val="24"/>
          <w:szCs w:val="24"/>
          <w:highlight w:val="none"/>
          <w:lang w:val="zh-CN"/>
        </w:rPr>
        <w:t>《国务院办公厅关于建立政府强制采购节能产品制度的通知》--国办发[2007]51号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各级政府机构使用财政性资金进行政府采购活动时，在技术、服务等指标满足采购需求的前提下，要优先采购节能产品，对部分节能效果、性能等达到要求的产品，实行强制采购。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rPr>
      </w:pPr>
      <w:r>
        <w:rPr>
          <w:rFonts w:hint="eastAsia" w:ascii="楷体" w:hAnsi="楷体" w:eastAsia="楷体" w:cs="楷体"/>
          <w:b w:val="0"/>
          <w:bCs/>
          <w:color w:val="auto"/>
          <w:sz w:val="24"/>
          <w:szCs w:val="24"/>
          <w:highlight w:val="none"/>
          <w:lang w:val="en-US" w:eastAsia="zh-CN"/>
        </w:rPr>
        <w:t>5、</w:t>
      </w:r>
      <w:r>
        <w:rPr>
          <w:rFonts w:hint="eastAsia" w:ascii="楷体" w:hAnsi="楷体" w:eastAsia="楷体" w:cs="楷体"/>
          <w:b w:val="0"/>
          <w:bCs/>
          <w:color w:val="auto"/>
          <w:sz w:val="24"/>
          <w:szCs w:val="24"/>
          <w:highlight w:val="none"/>
        </w:rPr>
        <w:t>《节能产品政府采购实施意见》--财库[2004]185号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rPr>
      </w:pPr>
      <w:r>
        <w:rPr>
          <w:rFonts w:hint="eastAsia" w:ascii="楷体" w:hAnsi="楷体" w:eastAsia="楷体" w:cs="楷体"/>
          <w:b w:val="0"/>
          <w:bCs/>
          <w:color w:val="auto"/>
          <w:sz w:val="24"/>
          <w:szCs w:val="24"/>
          <w:highlight w:val="none"/>
        </w:rPr>
        <w:t>根据《节能产品政府采购实施意见》--（财库[2004]185号）规定，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rPr>
      </w:pPr>
      <w:r>
        <w:rPr>
          <w:rFonts w:hint="eastAsia" w:ascii="楷体" w:hAnsi="楷体" w:eastAsia="楷体" w:cs="楷体"/>
          <w:b w:val="0"/>
          <w:bCs/>
          <w:color w:val="auto"/>
          <w:sz w:val="24"/>
          <w:szCs w:val="24"/>
          <w:highlight w:val="none"/>
        </w:rPr>
        <w:t>在</w:t>
      </w:r>
      <w:r>
        <w:rPr>
          <w:rFonts w:hint="eastAsia" w:ascii="楷体" w:hAnsi="楷体" w:eastAsia="楷体" w:cs="楷体"/>
          <w:b w:val="0"/>
          <w:bCs/>
          <w:color w:val="auto"/>
          <w:sz w:val="24"/>
          <w:szCs w:val="24"/>
          <w:highlight w:val="none"/>
          <w:lang w:eastAsia="zh-CN"/>
        </w:rPr>
        <w:t>磋商</w:t>
      </w:r>
      <w:r>
        <w:rPr>
          <w:rFonts w:hint="eastAsia" w:ascii="楷体" w:hAnsi="楷体" w:eastAsia="楷体" w:cs="楷体"/>
          <w:b w:val="0"/>
          <w:bCs/>
          <w:color w:val="auto"/>
          <w:sz w:val="24"/>
          <w:szCs w:val="24"/>
          <w:highlight w:val="none"/>
        </w:rPr>
        <w:t>时</w:t>
      </w:r>
      <w:r>
        <w:rPr>
          <w:rFonts w:hint="eastAsia" w:ascii="楷体" w:hAnsi="楷体" w:eastAsia="楷体" w:cs="楷体"/>
          <w:b w:val="0"/>
          <w:bCs/>
          <w:color w:val="auto"/>
          <w:sz w:val="24"/>
          <w:szCs w:val="24"/>
          <w:highlight w:val="none"/>
          <w:lang w:eastAsia="zh-CN"/>
        </w:rPr>
        <w:t>磋商供应商</w:t>
      </w:r>
      <w:r>
        <w:rPr>
          <w:rFonts w:hint="eastAsia" w:ascii="楷体" w:hAnsi="楷体" w:eastAsia="楷体" w:cs="楷体"/>
          <w:b w:val="0"/>
          <w:bCs/>
          <w:color w:val="auto"/>
          <w:sz w:val="24"/>
          <w:szCs w:val="24"/>
          <w:highlight w:val="none"/>
        </w:rPr>
        <w:t>应提供有效证明材料（证明材料须加盖投标</w:t>
      </w:r>
      <w:r>
        <w:rPr>
          <w:rFonts w:hint="eastAsia" w:ascii="楷体" w:hAnsi="楷体" w:eastAsia="楷体" w:cs="楷体"/>
          <w:b w:val="0"/>
          <w:bCs/>
          <w:color w:val="auto"/>
          <w:sz w:val="24"/>
          <w:szCs w:val="24"/>
          <w:highlight w:val="none"/>
          <w:lang w:eastAsia="zh-CN"/>
        </w:rPr>
        <w:t>供应商</w:t>
      </w:r>
      <w:r>
        <w:rPr>
          <w:rFonts w:hint="eastAsia" w:ascii="楷体" w:hAnsi="楷体" w:eastAsia="楷体" w:cs="楷体"/>
          <w:b w:val="0"/>
          <w:bCs/>
          <w:color w:val="auto"/>
          <w:sz w:val="24"/>
          <w:szCs w:val="24"/>
          <w:highlight w:val="none"/>
        </w:rPr>
        <w:t>红色公章）。（注：节能产品是指由财政部、国家发改委颁布的“节能产品政府采购清单”中的有效期内的产品）。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rPr>
      </w:pPr>
      <w:r>
        <w:rPr>
          <w:rFonts w:hint="eastAsia" w:ascii="楷体" w:hAnsi="楷体" w:eastAsia="楷体" w:cs="楷体"/>
          <w:b w:val="0"/>
          <w:bCs/>
          <w:color w:val="auto"/>
          <w:sz w:val="24"/>
          <w:szCs w:val="24"/>
          <w:highlight w:val="none"/>
          <w:lang w:val="en-US" w:eastAsia="zh-CN"/>
        </w:rPr>
        <w:t>6、</w:t>
      </w:r>
      <w:r>
        <w:rPr>
          <w:rFonts w:hint="eastAsia" w:ascii="楷体" w:hAnsi="楷体" w:eastAsia="楷体" w:cs="楷体"/>
          <w:b w:val="0"/>
          <w:bCs/>
          <w:color w:val="auto"/>
          <w:sz w:val="24"/>
          <w:szCs w:val="24"/>
          <w:highlight w:val="none"/>
        </w:rPr>
        <w:t>《环境标志产品政府采购实施的意见》—财库[2006]90号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rPr>
      </w:pPr>
      <w:r>
        <w:rPr>
          <w:rFonts w:hint="eastAsia" w:ascii="楷体" w:hAnsi="楷体" w:eastAsia="楷体" w:cs="楷体"/>
          <w:b w:val="0"/>
          <w:bCs/>
          <w:color w:val="auto"/>
          <w:sz w:val="24"/>
          <w:szCs w:val="24"/>
          <w:highlight w:val="none"/>
        </w:rPr>
        <w:t>根据《环境标志产品政府采购实施的意见》--财库[2006]90号规定，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rPr>
        <w:t>在</w:t>
      </w:r>
      <w:r>
        <w:rPr>
          <w:rFonts w:hint="eastAsia" w:ascii="楷体" w:hAnsi="楷体" w:eastAsia="楷体" w:cs="楷体"/>
          <w:b w:val="0"/>
          <w:bCs/>
          <w:color w:val="auto"/>
          <w:sz w:val="24"/>
          <w:szCs w:val="24"/>
          <w:highlight w:val="none"/>
          <w:lang w:eastAsia="zh-CN"/>
        </w:rPr>
        <w:t>磋商</w:t>
      </w:r>
      <w:r>
        <w:rPr>
          <w:rFonts w:hint="eastAsia" w:ascii="楷体" w:hAnsi="楷体" w:eastAsia="楷体" w:cs="楷体"/>
          <w:b w:val="0"/>
          <w:bCs/>
          <w:color w:val="auto"/>
          <w:sz w:val="24"/>
          <w:szCs w:val="24"/>
          <w:highlight w:val="none"/>
        </w:rPr>
        <w:t>时</w:t>
      </w:r>
      <w:r>
        <w:rPr>
          <w:rFonts w:hint="eastAsia" w:ascii="楷体" w:hAnsi="楷体" w:eastAsia="楷体" w:cs="楷体"/>
          <w:b w:val="0"/>
          <w:bCs/>
          <w:color w:val="auto"/>
          <w:sz w:val="24"/>
          <w:szCs w:val="24"/>
          <w:highlight w:val="none"/>
          <w:lang w:eastAsia="zh-CN"/>
        </w:rPr>
        <w:t>磋商供应商</w:t>
      </w:r>
      <w:r>
        <w:rPr>
          <w:rFonts w:hint="eastAsia" w:ascii="楷体" w:hAnsi="楷体" w:eastAsia="楷体" w:cs="楷体"/>
          <w:b w:val="0"/>
          <w:bCs/>
          <w:color w:val="auto"/>
          <w:sz w:val="24"/>
          <w:szCs w:val="24"/>
          <w:highlight w:val="none"/>
        </w:rPr>
        <w:t>应提供有效证明材料（证明材料须加盖</w:t>
      </w:r>
      <w:r>
        <w:rPr>
          <w:rFonts w:hint="eastAsia" w:ascii="楷体" w:hAnsi="楷体" w:eastAsia="楷体" w:cs="楷体"/>
          <w:b w:val="0"/>
          <w:bCs/>
          <w:color w:val="auto"/>
          <w:sz w:val="24"/>
          <w:szCs w:val="24"/>
          <w:highlight w:val="none"/>
          <w:lang w:eastAsia="zh-CN"/>
        </w:rPr>
        <w:t>磋商供应商</w:t>
      </w:r>
      <w:r>
        <w:rPr>
          <w:rFonts w:hint="eastAsia" w:ascii="楷体" w:hAnsi="楷体" w:eastAsia="楷体" w:cs="楷体"/>
          <w:b w:val="0"/>
          <w:bCs/>
          <w:color w:val="auto"/>
          <w:sz w:val="24"/>
          <w:szCs w:val="24"/>
          <w:highlight w:val="none"/>
        </w:rPr>
        <w:t>红色公章）。（注：环境标志产品是指由财政部、国家环境保护总局颁布的“环境标志产品政府采购清单”中的有效期内的产品）。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7、</w:t>
      </w:r>
      <w:r>
        <w:rPr>
          <w:rFonts w:hint="eastAsia" w:ascii="楷体" w:hAnsi="楷体" w:eastAsia="楷体" w:cs="楷体"/>
          <w:b w:val="0"/>
          <w:bCs/>
          <w:color w:val="auto"/>
          <w:sz w:val="24"/>
          <w:szCs w:val="24"/>
          <w:highlight w:val="none"/>
          <w:lang w:val="zh-CN"/>
        </w:rPr>
        <w:t>《关于运用政府采购政策支持脱贫攻坚的通知》--（财库【2019】27号）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7.1</w:t>
      </w:r>
      <w:r>
        <w:rPr>
          <w:rFonts w:hint="eastAsia" w:ascii="楷体" w:hAnsi="楷体" w:eastAsia="楷体" w:cs="楷体"/>
          <w:b w:val="0"/>
          <w:bCs/>
          <w:color w:val="auto"/>
          <w:sz w:val="24"/>
          <w:szCs w:val="24"/>
          <w:highlight w:val="none"/>
          <w:lang w:val="zh-CN"/>
        </w:rPr>
        <w:t>鼓励采用优先采购、预留采购份额方式采购贫困地区农副产品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各级预算单位采购农副产品的，同等条件下应优先采购贫困地区农副产品。各主管预算单位要做好统筹协调，确定并预留本部门各预算单位食堂采购农副产品总额的一定比例定向采购贫困地区农副产品。各级预算单位要按照积极稳妥的原则确定预留比例，购买贫困地区农副产品时要遵循就近、经济的原则，在确保完成既定预留比例的基础上，鼓励更多采购贫困地区农副产品，注重扶贫实际效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贫困地区农副产品是指832个国家级贫困县域内注册的企业、农民专业合作社、家庭农场等出产的农副产品。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7.2</w:t>
      </w:r>
      <w:r>
        <w:rPr>
          <w:rFonts w:hint="eastAsia" w:ascii="楷体" w:hAnsi="楷体" w:eastAsia="楷体" w:cs="楷体"/>
          <w:b w:val="0"/>
          <w:bCs/>
          <w:color w:val="auto"/>
          <w:sz w:val="24"/>
          <w:szCs w:val="24"/>
          <w:highlight w:val="none"/>
          <w:lang w:val="zh-CN"/>
        </w:rPr>
        <w:t>鼓励优先采购聘用建档立卡贫困人员物业公司提供的物业服务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bookmarkStart w:id="61" w:name="_Toc32011"/>
      <w:r>
        <w:rPr>
          <w:rFonts w:hint="eastAsia" w:ascii="楷体" w:hAnsi="楷体" w:eastAsia="楷体" w:cs="楷体"/>
          <w:b w:val="0"/>
          <w:bCs/>
          <w:color w:val="auto"/>
          <w:sz w:val="24"/>
          <w:szCs w:val="24"/>
          <w:highlight w:val="none"/>
          <w:lang w:val="zh-CN"/>
        </w:rPr>
        <w:t>各级预算单位使用财政性资金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各级预算单位可根据符合条件的物业公司数量等具体情况，按规定履行有关变更采购方式报批程序后，采用竞争性磋商、竞争性</w:t>
      </w:r>
      <w:r>
        <w:rPr>
          <w:rFonts w:hint="eastAsia" w:ascii="楷体" w:hAnsi="楷体" w:eastAsia="楷体" w:cs="楷体"/>
          <w:b w:val="0"/>
          <w:bCs/>
          <w:color w:val="auto"/>
          <w:sz w:val="24"/>
          <w:szCs w:val="24"/>
          <w:highlight w:val="none"/>
          <w:lang w:val="en-US" w:eastAsia="zh-CN"/>
        </w:rPr>
        <w:t>谈判</w:t>
      </w:r>
      <w:r>
        <w:rPr>
          <w:rFonts w:hint="eastAsia" w:ascii="楷体" w:hAnsi="楷体" w:eastAsia="楷体" w:cs="楷体"/>
          <w:b w:val="0"/>
          <w:bCs/>
          <w:color w:val="auto"/>
          <w:sz w:val="24"/>
          <w:szCs w:val="24"/>
          <w:highlight w:val="none"/>
          <w:lang w:val="zh-CN"/>
        </w:rPr>
        <w:t>、单一来源等非公开招标采购方式，采购有关物业公司提供的物业服务。</w:t>
      </w:r>
      <w:bookmarkEnd w:id="24"/>
      <w:bookmarkEnd w:id="51"/>
      <w:bookmarkEnd w:id="52"/>
      <w:bookmarkEnd w:id="53"/>
      <w:bookmarkEnd w:id="54"/>
      <w:bookmarkEnd w:id="55"/>
      <w:bookmarkEnd w:id="56"/>
      <w:bookmarkEnd w:id="57"/>
      <w:bookmarkEnd w:id="61"/>
      <w:bookmarkStart w:id="62" w:name="_Toc403077646"/>
      <w:bookmarkStart w:id="63" w:name="_Toc5084"/>
      <w:bookmarkStart w:id="64" w:name="_Toc363474025"/>
    </w:p>
    <w:p>
      <w:pPr>
        <w:spacing w:line="360" w:lineRule="auto"/>
        <w:ind w:firstLine="482" w:firstLineChars="200"/>
        <w:jc w:val="left"/>
        <w:outlineLvl w:val="9"/>
        <w:rPr>
          <w:rFonts w:hint="eastAsia" w:ascii="楷体" w:hAnsi="楷体" w:eastAsia="楷体" w:cs="楷体"/>
          <w:b/>
          <w:bCs w:val="0"/>
          <w:color w:val="auto"/>
          <w:szCs w:val="24"/>
          <w:highlight w:val="none"/>
          <w:lang w:val="zh-CN" w:eastAsia="zh-CN"/>
        </w:rPr>
      </w:pPr>
    </w:p>
    <w:p>
      <w:pPr>
        <w:spacing w:line="360" w:lineRule="auto"/>
        <w:ind w:firstLine="482" w:firstLineChars="200"/>
        <w:jc w:val="left"/>
        <w:outlineLvl w:val="9"/>
        <w:rPr>
          <w:rFonts w:hint="eastAsia" w:ascii="楷体" w:hAnsi="楷体" w:eastAsia="楷体" w:cs="楷体"/>
          <w:b/>
          <w:spacing w:val="4"/>
          <w:sz w:val="28"/>
          <w:szCs w:val="24"/>
          <w:highlight w:val="none"/>
        </w:rPr>
      </w:pPr>
      <w:r>
        <w:rPr>
          <w:rFonts w:hint="eastAsia" w:ascii="楷体" w:hAnsi="楷体" w:eastAsia="楷体" w:cs="楷体"/>
          <w:b/>
          <w:bCs w:val="0"/>
          <w:color w:val="auto"/>
          <w:szCs w:val="24"/>
          <w:highlight w:val="none"/>
          <w:lang w:val="zh-CN" w:eastAsia="zh-CN"/>
        </w:rPr>
        <w:t>注：</w:t>
      </w:r>
      <w:r>
        <w:rPr>
          <w:rFonts w:hint="eastAsia" w:ascii="楷体" w:hAnsi="楷体" w:eastAsia="楷体" w:cs="楷体"/>
          <w:b/>
          <w:color w:val="auto"/>
          <w:szCs w:val="24"/>
          <w:highlight w:val="none"/>
          <w:lang w:val="zh-CN"/>
        </w:rPr>
        <w:t>本项目为专门面向中小企业采购的项目不进行政策性扣减。</w:t>
      </w:r>
    </w:p>
    <w:p>
      <w:pPr>
        <w:pStyle w:val="21"/>
        <w:rPr>
          <w:rFonts w:hint="eastAsia"/>
          <w:highlight w:val="none"/>
        </w:rPr>
      </w:pPr>
    </w:p>
    <w:p>
      <w:pPr>
        <w:pStyle w:val="4"/>
        <w:keepNext w:val="0"/>
        <w:keepLines/>
        <w:pageBreakBefore/>
        <w:rPr>
          <w:rFonts w:ascii="楷体" w:hAnsi="楷体" w:cs="仿宋"/>
          <w:bCs/>
          <w:color w:val="auto"/>
          <w:szCs w:val="36"/>
          <w:highlight w:val="none"/>
        </w:rPr>
      </w:pPr>
      <w:bookmarkStart w:id="65" w:name="_Toc31882575"/>
      <w:r>
        <w:rPr>
          <w:rFonts w:hint="eastAsia" w:ascii="楷体" w:hAnsi="楷体" w:cs="仿宋"/>
          <w:bCs/>
          <w:color w:val="auto"/>
          <w:szCs w:val="36"/>
          <w:highlight w:val="none"/>
        </w:rPr>
        <w:t>第六章 磋商响应文件格式</w:t>
      </w:r>
      <w:bookmarkEnd w:id="62"/>
      <w:bookmarkEnd w:id="63"/>
      <w:bookmarkEnd w:id="64"/>
      <w:bookmarkEnd w:id="65"/>
    </w:p>
    <w:p>
      <w:pPr>
        <w:spacing w:line="360" w:lineRule="auto"/>
        <w:jc w:val="center"/>
        <w:rPr>
          <w:rFonts w:hint="eastAsia" w:ascii="楷体" w:hAnsi="楷体" w:eastAsia="楷体" w:cs="楷体"/>
          <w:b/>
          <w:color w:val="auto"/>
          <w:sz w:val="32"/>
          <w:szCs w:val="32"/>
          <w:highlight w:val="none"/>
        </w:rPr>
      </w:pPr>
    </w:p>
    <w:p>
      <w:pPr>
        <w:spacing w:line="360" w:lineRule="auto"/>
        <w:jc w:val="cente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磋商响应文件编制说明</w:t>
      </w:r>
    </w:p>
    <w:p>
      <w:pPr>
        <w:spacing w:line="360" w:lineRule="auto"/>
        <w:rPr>
          <w:rFonts w:hint="eastAsia" w:ascii="楷体" w:hAnsi="楷体" w:eastAsia="楷体" w:cs="楷体"/>
          <w:color w:val="auto"/>
          <w:szCs w:val="24"/>
          <w:highlight w:val="none"/>
        </w:rPr>
      </w:pPr>
    </w:p>
    <w:p>
      <w:pPr>
        <w:spacing w:line="360" w:lineRule="auto"/>
        <w:ind w:left="120" w:leftChars="50" w:firstLine="491" w:firstLineChars="205"/>
        <w:rPr>
          <w:rFonts w:hint="eastAsia" w:ascii="楷体" w:hAnsi="楷体" w:eastAsia="楷体" w:cs="楷体"/>
          <w:color w:val="auto"/>
          <w:szCs w:val="24"/>
          <w:highlight w:val="none"/>
        </w:rPr>
      </w:pPr>
      <w:r>
        <w:rPr>
          <w:rFonts w:hint="eastAsia" w:ascii="楷体" w:hAnsi="楷体" w:eastAsia="楷体" w:cs="楷体"/>
          <w:color w:val="auto"/>
          <w:szCs w:val="24"/>
          <w:highlight w:val="none"/>
        </w:rPr>
        <w:t>1、磋商文件中提供的磋商响应文件格式，起到样式作用，编制磋商响应文件前，请详细阅读磋商文件，理解文件中的每一项要求。</w:t>
      </w:r>
    </w:p>
    <w:p>
      <w:pPr>
        <w:spacing w:line="360" w:lineRule="auto"/>
        <w:ind w:left="120" w:leftChars="50" w:firstLine="491" w:firstLineChars="205"/>
        <w:rPr>
          <w:rFonts w:hint="eastAsia" w:ascii="楷体" w:hAnsi="楷体" w:eastAsia="楷体" w:cs="楷体"/>
          <w:color w:val="auto"/>
          <w:szCs w:val="24"/>
          <w:highlight w:val="none"/>
        </w:rPr>
      </w:pPr>
      <w:r>
        <w:rPr>
          <w:rFonts w:hint="eastAsia" w:ascii="楷体" w:hAnsi="楷体" w:eastAsia="楷体" w:cs="楷体"/>
          <w:color w:val="auto"/>
          <w:szCs w:val="24"/>
          <w:highlight w:val="none"/>
        </w:rPr>
        <w:t>2、磋商响应文件的编制应按照样本格式提供的内容，做出逐一明确的答复；供应商认为有必要，还可以做其它补充说明。</w:t>
      </w:r>
    </w:p>
    <w:p>
      <w:pPr>
        <w:rPr>
          <w:rFonts w:hint="eastAsia" w:ascii="楷体" w:hAnsi="楷体" w:eastAsia="楷体"/>
          <w:color w:val="auto"/>
          <w:highlight w:val="none"/>
        </w:rPr>
      </w:pPr>
    </w:p>
    <w:p>
      <w:pPr>
        <w:pStyle w:val="30"/>
        <w:rPr>
          <w:rFonts w:hint="eastAsia" w:ascii="楷体" w:hAnsi="楷体" w:eastAsia="楷体" w:cs="仿宋"/>
          <w:color w:val="auto"/>
          <w:highlight w:val="none"/>
        </w:rPr>
      </w:pPr>
      <w:r>
        <w:rPr>
          <w:rFonts w:ascii="楷体" w:hAnsi="楷体" w:eastAsia="楷体"/>
          <w:color w:val="auto"/>
          <w:highlight w:val="none"/>
        </w:rPr>
        <w:br w:type="page"/>
      </w:r>
    </w:p>
    <w:p>
      <w:pPr>
        <w:rPr>
          <w:rFonts w:hint="eastAsia" w:ascii="楷体" w:hAnsi="楷体" w:eastAsia="楷体" w:cs="仿宋"/>
          <w:b/>
          <w:bCs/>
          <w:color w:val="auto"/>
          <w:sz w:val="32"/>
          <w:szCs w:val="32"/>
          <w:highlight w:val="none"/>
          <w:lang w:eastAsia="zh-CN"/>
        </w:rPr>
      </w:pPr>
      <w:r>
        <w:rPr>
          <w:rFonts w:hint="eastAsia" w:ascii="楷体" w:hAnsi="楷体" w:eastAsia="楷体" w:cs="仿宋"/>
          <w:b/>
          <w:bCs/>
          <w:color w:val="auto"/>
          <w:sz w:val="32"/>
          <w:szCs w:val="32"/>
          <w:highlight w:val="none"/>
        </w:rPr>
        <w:t>项目编号：</w:t>
      </w:r>
      <w:r>
        <w:rPr>
          <w:rFonts w:hint="eastAsia" w:ascii="楷体" w:hAnsi="楷体" w:eastAsia="楷体" w:cs="仿宋"/>
          <w:b/>
          <w:bCs/>
          <w:color w:val="auto"/>
          <w:sz w:val="32"/>
          <w:szCs w:val="32"/>
          <w:highlight w:val="none"/>
          <w:lang w:eastAsia="zh-CN"/>
        </w:rPr>
        <w:t>ZYZB2022-CS1115</w:t>
      </w:r>
    </w:p>
    <w:p>
      <w:pPr>
        <w:ind w:firstLine="4343" w:firstLineChars="1352"/>
        <w:rPr>
          <w:rFonts w:hint="eastAsia" w:ascii="楷体" w:hAnsi="楷体" w:eastAsia="楷体" w:cs="仿宋"/>
          <w:b/>
          <w:color w:val="auto"/>
          <w:sz w:val="32"/>
          <w:szCs w:val="32"/>
          <w:highlight w:val="none"/>
        </w:rPr>
      </w:pPr>
      <w:r>
        <w:rPr>
          <w:rFonts w:hint="eastAsia" w:ascii="楷体" w:hAnsi="楷体" w:eastAsia="楷体" w:cs="仿宋"/>
          <w:b/>
          <w:bCs/>
          <w:color w:val="auto"/>
          <w:sz w:val="32"/>
          <w:szCs w:val="32"/>
          <w:highlight w:val="none"/>
        </w:rPr>
        <w:t xml:space="preserve">           </w:t>
      </w:r>
      <w:r>
        <w:rPr>
          <w:rFonts w:hint="eastAsia" w:ascii="楷体" w:hAnsi="楷体" w:eastAsia="楷体" w:cs="楷体"/>
          <w:b/>
          <w:color w:val="auto"/>
          <w:sz w:val="32"/>
          <w:szCs w:val="32"/>
          <w:highlight w:val="none"/>
        </w:rPr>
        <w:t>（正本/副本）</w:t>
      </w:r>
    </w:p>
    <w:p>
      <w:pPr>
        <w:jc w:val="center"/>
        <w:rPr>
          <w:rFonts w:hint="eastAsia" w:ascii="楷体" w:hAnsi="楷体" w:eastAsia="楷体" w:cs="仿宋"/>
          <w:b/>
          <w:color w:val="auto"/>
          <w:sz w:val="44"/>
          <w:szCs w:val="44"/>
          <w:highlight w:val="none"/>
        </w:rPr>
      </w:pPr>
    </w:p>
    <w:p>
      <w:pPr>
        <w:pStyle w:val="14"/>
        <w:rPr>
          <w:rFonts w:hint="eastAsia" w:ascii="楷体" w:hAnsi="楷体" w:eastAsia="楷体"/>
          <w:color w:val="auto"/>
          <w:highlight w:val="none"/>
        </w:rPr>
      </w:pPr>
    </w:p>
    <w:p>
      <w:pPr>
        <w:jc w:val="center"/>
        <w:rPr>
          <w:rFonts w:hint="eastAsia" w:ascii="楷体" w:hAnsi="楷体" w:eastAsia="楷体" w:cs="仿宋"/>
          <w:b/>
          <w:color w:val="auto"/>
          <w:sz w:val="64"/>
          <w:szCs w:val="64"/>
          <w:highlight w:val="none"/>
          <w:lang w:eastAsia="zh-CN"/>
        </w:rPr>
      </w:pPr>
      <w:r>
        <w:rPr>
          <w:rFonts w:hint="eastAsia" w:ascii="楷体" w:hAnsi="楷体" w:eastAsia="楷体" w:cs="仿宋"/>
          <w:b/>
          <w:color w:val="auto"/>
          <w:sz w:val="64"/>
          <w:szCs w:val="64"/>
          <w:highlight w:val="none"/>
          <w:lang w:eastAsia="zh-CN"/>
        </w:rPr>
        <w:t>汉阴县汉阴中学教学主楼</w:t>
      </w:r>
    </w:p>
    <w:p>
      <w:pPr>
        <w:jc w:val="center"/>
        <w:rPr>
          <w:rFonts w:hint="eastAsia" w:ascii="楷体" w:hAnsi="楷体" w:eastAsia="楷体" w:cs="仿宋"/>
          <w:b/>
          <w:color w:val="auto"/>
          <w:sz w:val="64"/>
          <w:szCs w:val="64"/>
          <w:highlight w:val="none"/>
          <w:lang w:eastAsia="zh-CN"/>
        </w:rPr>
      </w:pPr>
      <w:r>
        <w:rPr>
          <w:rFonts w:hint="eastAsia" w:ascii="楷体" w:hAnsi="楷体" w:eastAsia="楷体" w:cs="仿宋"/>
          <w:b/>
          <w:color w:val="auto"/>
          <w:sz w:val="64"/>
          <w:szCs w:val="64"/>
          <w:highlight w:val="none"/>
          <w:lang w:eastAsia="zh-CN"/>
        </w:rPr>
        <w:t>智慧黑板采购项目</w:t>
      </w:r>
    </w:p>
    <w:p>
      <w:pPr>
        <w:pStyle w:val="30"/>
        <w:rPr>
          <w:rFonts w:hint="eastAsia" w:ascii="楷体" w:hAnsi="楷体" w:eastAsia="楷体"/>
          <w:color w:val="auto"/>
          <w:highlight w:val="none"/>
        </w:rPr>
      </w:pPr>
    </w:p>
    <w:p>
      <w:pPr>
        <w:pStyle w:val="14"/>
        <w:ind w:firstLine="1446"/>
        <w:rPr>
          <w:rFonts w:hint="eastAsia" w:ascii="楷体" w:hAnsi="楷体" w:eastAsia="楷体" w:cs="仿宋"/>
          <w:b/>
          <w:color w:val="auto"/>
          <w:kern w:val="0"/>
          <w:sz w:val="72"/>
          <w:szCs w:val="72"/>
          <w:highlight w:val="none"/>
        </w:rPr>
      </w:pPr>
    </w:p>
    <w:p>
      <w:pPr>
        <w:pStyle w:val="14"/>
        <w:ind w:firstLine="1446"/>
        <w:rPr>
          <w:rFonts w:hint="eastAsia" w:ascii="楷体" w:hAnsi="楷体" w:eastAsia="楷体" w:cs="仿宋"/>
          <w:b/>
          <w:color w:val="auto"/>
          <w:kern w:val="0"/>
          <w:sz w:val="72"/>
          <w:szCs w:val="72"/>
          <w:highlight w:val="none"/>
        </w:rPr>
      </w:pPr>
    </w:p>
    <w:p>
      <w:pPr>
        <w:pStyle w:val="14"/>
        <w:rPr>
          <w:rFonts w:hint="eastAsia" w:ascii="楷体" w:hAnsi="楷体" w:eastAsia="楷体"/>
          <w:color w:val="auto"/>
          <w:highlight w:val="none"/>
        </w:rPr>
      </w:pPr>
    </w:p>
    <w:p>
      <w:pPr>
        <w:ind w:firstLine="2168" w:firstLineChars="300"/>
        <w:rPr>
          <w:rFonts w:hint="eastAsia" w:ascii="楷体" w:hAnsi="楷体" w:eastAsia="楷体"/>
          <w:b/>
          <w:color w:val="auto"/>
          <w:kern w:val="2"/>
          <w:sz w:val="72"/>
          <w:szCs w:val="72"/>
          <w:highlight w:val="none"/>
        </w:rPr>
      </w:pPr>
      <w:r>
        <w:rPr>
          <w:rFonts w:hint="eastAsia" w:ascii="楷体" w:hAnsi="楷体" w:eastAsia="楷体"/>
          <w:b/>
          <w:color w:val="auto"/>
          <w:kern w:val="2"/>
          <w:sz w:val="72"/>
          <w:szCs w:val="72"/>
          <w:highlight w:val="none"/>
        </w:rPr>
        <w:t>磋商响应文件</w:t>
      </w:r>
    </w:p>
    <w:p>
      <w:pPr>
        <w:jc w:val="center"/>
        <w:rPr>
          <w:rFonts w:hint="eastAsia" w:ascii="楷体" w:hAnsi="楷体" w:eastAsia="楷体" w:cs="仿宋"/>
          <w:b/>
          <w:color w:val="auto"/>
          <w:sz w:val="36"/>
          <w:szCs w:val="36"/>
          <w:highlight w:val="none"/>
        </w:rPr>
      </w:pPr>
    </w:p>
    <w:p>
      <w:pPr>
        <w:jc w:val="center"/>
        <w:rPr>
          <w:rFonts w:hint="eastAsia" w:ascii="楷体" w:hAnsi="楷体" w:eastAsia="楷体" w:cs="仿宋"/>
          <w:b/>
          <w:color w:val="auto"/>
          <w:sz w:val="36"/>
          <w:szCs w:val="36"/>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tabs>
          <w:tab w:val="center" w:pos="5346"/>
        </w:tabs>
        <w:spacing w:line="480" w:lineRule="auto"/>
        <w:jc w:val="center"/>
        <w:rPr>
          <w:rFonts w:hint="eastAsia" w:ascii="楷体" w:hAnsi="楷体" w:eastAsia="楷体" w:cs="仿宋"/>
          <w:b/>
          <w:color w:val="auto"/>
          <w:sz w:val="32"/>
          <w:szCs w:val="32"/>
          <w:highlight w:val="none"/>
        </w:rPr>
      </w:pPr>
      <w:r>
        <w:rPr>
          <w:rFonts w:hint="eastAsia" w:ascii="楷体" w:hAnsi="楷体" w:eastAsia="楷体" w:cs="仿宋"/>
          <w:b/>
          <w:color w:val="auto"/>
          <w:sz w:val="32"/>
          <w:szCs w:val="32"/>
          <w:highlight w:val="none"/>
        </w:rPr>
        <w:t xml:space="preserve"> 供应商名称：（公章）</w:t>
      </w:r>
    </w:p>
    <w:p>
      <w:pPr>
        <w:spacing w:before="240" w:line="360" w:lineRule="auto"/>
        <w:jc w:val="center"/>
        <w:rPr>
          <w:rFonts w:hint="eastAsia" w:ascii="楷体" w:hAnsi="楷体" w:eastAsia="楷体" w:cs="仿宋"/>
          <w:b/>
          <w:bCs/>
          <w:color w:val="auto"/>
          <w:sz w:val="44"/>
          <w:highlight w:val="none"/>
        </w:rPr>
      </w:pPr>
      <w:r>
        <w:rPr>
          <w:rFonts w:hint="eastAsia" w:ascii="楷体" w:hAnsi="楷体" w:eastAsia="楷体" w:cs="仿宋"/>
          <w:b/>
          <w:color w:val="auto"/>
          <w:sz w:val="32"/>
          <w:szCs w:val="32"/>
          <w:highlight w:val="none"/>
        </w:rPr>
        <w:t>202</w:t>
      </w:r>
      <w:r>
        <w:rPr>
          <w:rFonts w:hint="eastAsia" w:ascii="楷体" w:hAnsi="楷体" w:eastAsia="楷体" w:cs="仿宋"/>
          <w:b/>
          <w:color w:val="auto"/>
          <w:sz w:val="32"/>
          <w:szCs w:val="32"/>
          <w:highlight w:val="none"/>
          <w:lang w:val="en-US" w:eastAsia="zh-CN"/>
        </w:rPr>
        <w:t>2</w:t>
      </w:r>
      <w:r>
        <w:rPr>
          <w:rFonts w:hint="eastAsia" w:ascii="楷体" w:hAnsi="楷体" w:eastAsia="楷体" w:cs="仿宋"/>
          <w:b/>
          <w:color w:val="auto"/>
          <w:sz w:val="32"/>
          <w:szCs w:val="32"/>
          <w:highlight w:val="none"/>
        </w:rPr>
        <w:t>年  月</w:t>
      </w:r>
    </w:p>
    <w:p>
      <w:pPr>
        <w:jc w:val="center"/>
        <w:rPr>
          <w:rFonts w:hint="eastAsia" w:ascii="楷体" w:hAnsi="楷体" w:eastAsia="楷体" w:cs="仿宋"/>
          <w:b/>
          <w:color w:val="auto"/>
          <w:sz w:val="44"/>
          <w:highlight w:val="none"/>
        </w:rPr>
      </w:pPr>
      <w:r>
        <w:rPr>
          <w:rFonts w:hint="eastAsia" w:ascii="楷体" w:hAnsi="楷体" w:eastAsia="楷体" w:cs="仿宋"/>
          <w:bCs/>
          <w:color w:val="auto"/>
          <w:sz w:val="44"/>
          <w:highlight w:val="none"/>
        </w:rPr>
        <w:br w:type="page"/>
      </w:r>
      <w:bookmarkStart w:id="66" w:name="_Toc344572156"/>
      <w:r>
        <w:rPr>
          <w:rFonts w:hint="eastAsia" w:ascii="楷体" w:hAnsi="楷体" w:eastAsia="楷体" w:cs="仿宋"/>
          <w:b/>
          <w:color w:val="auto"/>
          <w:sz w:val="44"/>
          <w:highlight w:val="none"/>
        </w:rPr>
        <w:t>目  录</w:t>
      </w:r>
    </w:p>
    <w:p>
      <w:pPr>
        <w:jc w:val="center"/>
        <w:rPr>
          <w:rFonts w:hint="eastAsia" w:ascii="楷体" w:hAnsi="楷体" w:eastAsia="楷体" w:cs="仿宋"/>
          <w:b/>
          <w:color w:val="auto"/>
          <w:sz w:val="44"/>
          <w:highlight w:val="none"/>
        </w:rPr>
      </w:pPr>
    </w:p>
    <w:p>
      <w:pPr>
        <w:spacing w:line="480" w:lineRule="auto"/>
        <w:jc w:val="left"/>
        <w:rPr>
          <w:rFonts w:ascii="楷体" w:hAnsi="楷体" w:eastAsia="楷体" w:cs="仿宋"/>
          <w:color w:val="auto"/>
          <w:spacing w:val="4"/>
          <w:sz w:val="28"/>
          <w:szCs w:val="28"/>
          <w:highlight w:val="none"/>
        </w:rPr>
      </w:pPr>
      <w:r>
        <w:rPr>
          <w:rFonts w:hint="eastAsia" w:ascii="楷体" w:hAnsi="楷体" w:eastAsia="楷体" w:cs="仿宋"/>
          <w:color w:val="auto"/>
          <w:spacing w:val="4"/>
          <w:sz w:val="28"/>
          <w:szCs w:val="28"/>
          <w:highlight w:val="none"/>
        </w:rPr>
        <w:t>一、磋商响应函</w:t>
      </w:r>
    </w:p>
    <w:p>
      <w:pPr>
        <w:spacing w:line="480" w:lineRule="auto"/>
        <w:jc w:val="left"/>
        <w:rPr>
          <w:rFonts w:ascii="楷体" w:hAnsi="楷体" w:eastAsia="楷体" w:cs="仿宋"/>
          <w:color w:val="auto"/>
          <w:spacing w:val="4"/>
          <w:sz w:val="28"/>
          <w:szCs w:val="28"/>
          <w:highlight w:val="none"/>
        </w:rPr>
      </w:pPr>
      <w:r>
        <w:rPr>
          <w:rFonts w:hint="eastAsia" w:ascii="楷体" w:hAnsi="楷体" w:eastAsia="楷体" w:cs="仿宋"/>
          <w:color w:val="auto"/>
          <w:spacing w:val="4"/>
          <w:sz w:val="28"/>
          <w:szCs w:val="28"/>
          <w:highlight w:val="none"/>
        </w:rPr>
        <w:t>二、法定代表人授权委托书</w:t>
      </w:r>
    </w:p>
    <w:p>
      <w:pPr>
        <w:spacing w:line="480" w:lineRule="auto"/>
        <w:jc w:val="left"/>
        <w:rPr>
          <w:rFonts w:ascii="楷体" w:hAnsi="楷体" w:eastAsia="楷体" w:cs="仿宋"/>
          <w:color w:val="auto"/>
          <w:spacing w:val="4"/>
          <w:sz w:val="28"/>
          <w:szCs w:val="28"/>
          <w:highlight w:val="none"/>
        </w:rPr>
      </w:pPr>
      <w:r>
        <w:rPr>
          <w:rFonts w:hint="eastAsia" w:ascii="楷体" w:hAnsi="楷体" w:eastAsia="楷体" w:cs="仿宋"/>
          <w:color w:val="auto"/>
          <w:spacing w:val="4"/>
          <w:sz w:val="28"/>
          <w:szCs w:val="28"/>
          <w:highlight w:val="none"/>
          <w:lang w:eastAsia="zh-CN"/>
        </w:rPr>
        <w:t>三</w:t>
      </w:r>
      <w:r>
        <w:rPr>
          <w:rFonts w:hint="eastAsia" w:ascii="楷体" w:hAnsi="楷体" w:eastAsia="楷体" w:cs="仿宋"/>
          <w:color w:val="auto"/>
          <w:spacing w:val="4"/>
          <w:sz w:val="28"/>
          <w:szCs w:val="28"/>
          <w:highlight w:val="none"/>
        </w:rPr>
        <w:t>、磋商报价表</w:t>
      </w:r>
    </w:p>
    <w:p>
      <w:pPr>
        <w:spacing w:line="480" w:lineRule="auto"/>
        <w:jc w:val="left"/>
        <w:rPr>
          <w:rFonts w:hint="default" w:ascii="楷体" w:hAnsi="楷体" w:eastAsia="楷体" w:cs="仿宋"/>
          <w:color w:val="auto"/>
          <w:spacing w:val="4"/>
          <w:sz w:val="28"/>
          <w:szCs w:val="28"/>
          <w:highlight w:val="none"/>
          <w:lang w:val="en-US" w:eastAsia="zh-CN"/>
        </w:rPr>
      </w:pPr>
      <w:r>
        <w:rPr>
          <w:rFonts w:hint="eastAsia" w:ascii="楷体" w:hAnsi="楷体" w:eastAsia="楷体" w:cs="仿宋"/>
          <w:color w:val="auto"/>
          <w:spacing w:val="4"/>
          <w:sz w:val="28"/>
          <w:szCs w:val="28"/>
          <w:highlight w:val="none"/>
          <w:lang w:eastAsia="zh-CN"/>
        </w:rPr>
        <w:t>四</w:t>
      </w:r>
      <w:r>
        <w:rPr>
          <w:rFonts w:hint="eastAsia" w:ascii="楷体" w:hAnsi="楷体" w:eastAsia="楷体" w:cs="仿宋"/>
          <w:color w:val="auto"/>
          <w:spacing w:val="4"/>
          <w:sz w:val="28"/>
          <w:szCs w:val="28"/>
          <w:highlight w:val="none"/>
        </w:rPr>
        <w:t>、商务</w:t>
      </w:r>
      <w:r>
        <w:rPr>
          <w:rFonts w:hint="eastAsia" w:ascii="楷体" w:hAnsi="楷体" w:eastAsia="楷体" w:cs="仿宋"/>
          <w:color w:val="auto"/>
          <w:spacing w:val="4"/>
          <w:sz w:val="28"/>
          <w:szCs w:val="28"/>
          <w:highlight w:val="none"/>
          <w:lang w:val="en-US" w:eastAsia="zh-CN"/>
        </w:rPr>
        <w:t>要求</w:t>
      </w:r>
    </w:p>
    <w:p>
      <w:pPr>
        <w:spacing w:line="480" w:lineRule="auto"/>
        <w:jc w:val="left"/>
        <w:rPr>
          <w:rFonts w:hint="default" w:ascii="楷体" w:hAnsi="楷体" w:eastAsia="楷体" w:cs="仿宋"/>
          <w:color w:val="auto"/>
          <w:spacing w:val="4"/>
          <w:sz w:val="28"/>
          <w:szCs w:val="28"/>
          <w:highlight w:val="none"/>
          <w:lang w:val="en-US" w:eastAsia="zh-CN"/>
        </w:rPr>
      </w:pPr>
      <w:r>
        <w:rPr>
          <w:rFonts w:hint="eastAsia" w:ascii="楷体" w:hAnsi="楷体" w:eastAsia="楷体" w:cs="仿宋"/>
          <w:color w:val="auto"/>
          <w:spacing w:val="4"/>
          <w:sz w:val="28"/>
          <w:szCs w:val="28"/>
          <w:highlight w:val="none"/>
          <w:lang w:eastAsia="zh-CN"/>
        </w:rPr>
        <w:t>五</w:t>
      </w:r>
      <w:r>
        <w:rPr>
          <w:rFonts w:hint="eastAsia" w:ascii="楷体" w:hAnsi="楷体" w:eastAsia="楷体" w:cs="仿宋"/>
          <w:color w:val="auto"/>
          <w:spacing w:val="4"/>
          <w:sz w:val="28"/>
          <w:szCs w:val="28"/>
          <w:highlight w:val="none"/>
        </w:rPr>
        <w:t>、技术</w:t>
      </w:r>
      <w:r>
        <w:rPr>
          <w:rFonts w:hint="eastAsia" w:ascii="楷体" w:hAnsi="楷体" w:eastAsia="楷体" w:cs="仿宋"/>
          <w:color w:val="auto"/>
          <w:spacing w:val="4"/>
          <w:sz w:val="28"/>
          <w:szCs w:val="28"/>
          <w:highlight w:val="none"/>
          <w:lang w:val="en-US" w:eastAsia="zh-CN"/>
        </w:rPr>
        <w:t>要求</w:t>
      </w:r>
      <w:bookmarkStart w:id="92" w:name="_GoBack"/>
      <w:bookmarkEnd w:id="92"/>
    </w:p>
    <w:p>
      <w:pPr>
        <w:spacing w:line="480" w:lineRule="auto"/>
        <w:jc w:val="left"/>
        <w:rPr>
          <w:rFonts w:hint="eastAsia" w:ascii="楷体" w:hAnsi="楷体" w:eastAsia="楷体" w:cs="仿宋"/>
          <w:color w:val="auto"/>
          <w:spacing w:val="4"/>
          <w:sz w:val="28"/>
          <w:szCs w:val="28"/>
          <w:highlight w:val="none"/>
        </w:rPr>
      </w:pPr>
      <w:r>
        <w:rPr>
          <w:rFonts w:hint="eastAsia" w:ascii="楷体" w:hAnsi="楷体" w:eastAsia="楷体" w:cs="仿宋"/>
          <w:color w:val="auto"/>
          <w:spacing w:val="4"/>
          <w:sz w:val="28"/>
          <w:szCs w:val="28"/>
          <w:highlight w:val="none"/>
          <w:lang w:eastAsia="zh-CN"/>
        </w:rPr>
        <w:t>六</w:t>
      </w:r>
      <w:r>
        <w:rPr>
          <w:rFonts w:hint="eastAsia" w:ascii="楷体" w:hAnsi="楷体" w:eastAsia="楷体" w:cs="仿宋"/>
          <w:color w:val="auto"/>
          <w:spacing w:val="4"/>
          <w:sz w:val="28"/>
          <w:szCs w:val="28"/>
          <w:highlight w:val="none"/>
        </w:rPr>
        <w:t>、陕西省政府采购供应商拒绝政府采购领域商业贿赂承诺书</w:t>
      </w:r>
    </w:p>
    <w:p>
      <w:pPr>
        <w:spacing w:line="480" w:lineRule="auto"/>
        <w:jc w:val="left"/>
        <w:rPr>
          <w:rFonts w:hint="eastAsia" w:ascii="楷体" w:hAnsi="楷体" w:eastAsia="楷体" w:cs="仿宋"/>
          <w:color w:val="auto"/>
          <w:spacing w:val="4"/>
          <w:sz w:val="28"/>
          <w:szCs w:val="28"/>
          <w:highlight w:val="none"/>
          <w:lang w:eastAsia="zh-CN"/>
        </w:rPr>
      </w:pPr>
      <w:r>
        <w:rPr>
          <w:rFonts w:hint="eastAsia" w:ascii="楷体" w:hAnsi="楷体" w:eastAsia="楷体" w:cs="仿宋"/>
          <w:color w:val="auto"/>
          <w:spacing w:val="4"/>
          <w:sz w:val="28"/>
          <w:szCs w:val="28"/>
          <w:highlight w:val="none"/>
          <w:lang w:eastAsia="zh-CN"/>
        </w:rPr>
        <w:t>七、落实政府采购政策须提供的资料及供应商认为有必要提供的其它资料</w:t>
      </w: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ind w:firstLine="0" w:firstLineChars="0"/>
        <w:rPr>
          <w:rFonts w:hint="eastAsia" w:ascii="楷体" w:hAnsi="楷体" w:eastAsia="楷体" w:cs="仿宋"/>
          <w:color w:val="auto"/>
          <w:highlight w:val="none"/>
        </w:rPr>
      </w:pPr>
    </w:p>
    <w:bookmarkEnd w:id="66"/>
    <w:p>
      <w:pPr>
        <w:pStyle w:val="6"/>
        <w:spacing w:beforeLines="0" w:line="360" w:lineRule="auto"/>
        <w:rPr>
          <w:rFonts w:hint="eastAsia" w:ascii="楷体" w:hAnsi="楷体" w:eastAsia="楷体" w:cs="仿宋"/>
          <w:color w:val="auto"/>
          <w:sz w:val="32"/>
          <w:szCs w:val="32"/>
          <w:highlight w:val="none"/>
        </w:rPr>
      </w:pPr>
      <w:bookmarkStart w:id="67" w:name="_Toc204524343"/>
      <w:r>
        <w:rPr>
          <w:rFonts w:hint="eastAsia" w:ascii="楷体" w:hAnsi="楷体" w:eastAsia="楷体" w:cs="仿宋"/>
          <w:color w:val="auto"/>
          <w:sz w:val="32"/>
          <w:szCs w:val="32"/>
          <w:highlight w:val="none"/>
        </w:rPr>
        <w:br w:type="page"/>
      </w:r>
      <w:r>
        <w:rPr>
          <w:rFonts w:hint="eastAsia" w:ascii="楷体" w:hAnsi="楷体" w:eastAsia="楷体" w:cs="仿宋"/>
          <w:color w:val="auto"/>
          <w:sz w:val="32"/>
          <w:szCs w:val="32"/>
          <w:highlight w:val="none"/>
        </w:rPr>
        <w:t>一、磋商响应函</w:t>
      </w:r>
    </w:p>
    <w:p>
      <w:pPr>
        <w:spacing w:line="360" w:lineRule="auto"/>
        <w:jc w:val="left"/>
        <w:rPr>
          <w:rFonts w:hint="eastAsia" w:ascii="楷体" w:hAnsi="楷体" w:eastAsia="楷体" w:cs="仿宋"/>
          <w:b/>
          <w:color w:val="auto"/>
          <w:highlight w:val="none"/>
        </w:rPr>
      </w:pPr>
      <w:r>
        <w:rPr>
          <w:rFonts w:hint="eastAsia" w:ascii="楷体" w:hAnsi="楷体" w:eastAsia="楷体" w:cs="仿宋"/>
          <w:b/>
          <w:color w:val="auto"/>
          <w:spacing w:val="4"/>
          <w:szCs w:val="24"/>
          <w:highlight w:val="none"/>
        </w:rPr>
        <w:t>致</w:t>
      </w:r>
      <w:r>
        <w:rPr>
          <w:rFonts w:hint="eastAsia" w:ascii="楷体" w:hAnsi="楷体" w:eastAsia="楷体" w:cs="仿宋"/>
          <w:b/>
          <w:color w:val="auto"/>
          <w:spacing w:val="4"/>
          <w:szCs w:val="24"/>
          <w:highlight w:val="none"/>
          <w:lang w:eastAsia="zh-CN"/>
        </w:rPr>
        <w:t>：</w:t>
      </w:r>
      <w:r>
        <w:rPr>
          <w:rFonts w:hint="eastAsia" w:ascii="楷体" w:hAnsi="楷体" w:eastAsia="楷体" w:cs="仿宋"/>
          <w:b/>
          <w:color w:val="auto"/>
          <w:spacing w:val="4"/>
          <w:szCs w:val="24"/>
          <w:highlight w:val="none"/>
          <w:lang w:val="en-US" w:eastAsia="zh-CN"/>
        </w:rPr>
        <w:t>汉阴县教育体育和科技局（</w:t>
      </w:r>
      <w:r>
        <w:rPr>
          <w:rFonts w:hint="eastAsia" w:ascii="楷体" w:hAnsi="楷体" w:eastAsia="楷体" w:cs="仿宋"/>
          <w:b/>
          <w:color w:val="auto"/>
          <w:spacing w:val="4"/>
          <w:szCs w:val="24"/>
          <w:highlight w:val="none"/>
          <w:lang w:eastAsia="zh-CN"/>
        </w:rPr>
        <w:t>汉阴县汉阴中学）</w:t>
      </w:r>
      <w:r>
        <w:rPr>
          <w:rFonts w:hint="eastAsia" w:ascii="楷体" w:hAnsi="楷体" w:eastAsia="楷体" w:cs="楷体"/>
          <w:b/>
          <w:color w:val="auto"/>
          <w:spacing w:val="4"/>
          <w:szCs w:val="24"/>
          <w:highlight w:val="none"/>
        </w:rPr>
        <w:t>/陕西正翼招标代理有限公司</w:t>
      </w:r>
    </w:p>
    <w:p>
      <w:pPr>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根据贵方（</w:t>
      </w:r>
      <w:r>
        <w:rPr>
          <w:rFonts w:hint="eastAsia" w:ascii="楷体" w:hAnsi="楷体" w:eastAsia="楷体" w:cs="仿宋"/>
          <w:color w:val="auto"/>
          <w:spacing w:val="4"/>
          <w:szCs w:val="24"/>
          <w:highlight w:val="none"/>
          <w:u w:val="single"/>
        </w:rPr>
        <w:t>项目名称：                  ）</w:t>
      </w:r>
      <w:r>
        <w:rPr>
          <w:rFonts w:hint="eastAsia" w:ascii="楷体" w:hAnsi="楷体" w:eastAsia="楷体" w:cs="仿宋"/>
          <w:color w:val="auto"/>
          <w:spacing w:val="4"/>
          <w:szCs w:val="24"/>
          <w:highlight w:val="none"/>
        </w:rPr>
        <w:t>(项目编号：</w:t>
      </w:r>
      <w:r>
        <w:rPr>
          <w:rFonts w:hint="eastAsia" w:ascii="楷体" w:hAnsi="楷体" w:eastAsia="楷体" w:cs="仿宋"/>
          <w:color w:val="auto"/>
          <w:spacing w:val="4"/>
          <w:szCs w:val="24"/>
          <w:highlight w:val="none"/>
          <w:u w:val="single"/>
        </w:rPr>
        <w:t xml:space="preserve">            </w:t>
      </w:r>
      <w:r>
        <w:rPr>
          <w:rFonts w:hint="eastAsia" w:ascii="楷体" w:hAnsi="楷体" w:eastAsia="楷体" w:cs="仿宋"/>
          <w:color w:val="auto"/>
          <w:spacing w:val="4"/>
          <w:szCs w:val="24"/>
          <w:highlight w:val="none"/>
        </w:rPr>
        <w:t>）的磋商文件，签字代表</w:t>
      </w:r>
      <w:r>
        <w:rPr>
          <w:rFonts w:hint="eastAsia" w:ascii="楷体" w:hAnsi="楷体" w:eastAsia="楷体" w:cs="仿宋"/>
          <w:color w:val="auto"/>
          <w:spacing w:val="4"/>
          <w:szCs w:val="24"/>
          <w:highlight w:val="none"/>
          <w:u w:val="single"/>
        </w:rPr>
        <w:t>（全名、职务</w:t>
      </w:r>
      <w:r>
        <w:rPr>
          <w:rFonts w:hint="eastAsia" w:ascii="楷体" w:hAnsi="楷体" w:eastAsia="楷体" w:cs="仿宋"/>
          <w:color w:val="auto"/>
          <w:spacing w:val="4"/>
          <w:szCs w:val="24"/>
          <w:highlight w:val="none"/>
        </w:rPr>
        <w:t>）经正式授权并代表供应商</w:t>
      </w:r>
      <w:r>
        <w:rPr>
          <w:rFonts w:hint="eastAsia" w:ascii="楷体" w:hAnsi="楷体" w:eastAsia="楷体" w:cs="仿宋"/>
          <w:color w:val="auto"/>
          <w:spacing w:val="4"/>
          <w:szCs w:val="24"/>
          <w:highlight w:val="none"/>
          <w:u w:val="single"/>
        </w:rPr>
        <w:t xml:space="preserve">  (供应商名称)</w:t>
      </w:r>
      <w:r>
        <w:rPr>
          <w:rFonts w:hint="eastAsia" w:ascii="楷体" w:hAnsi="楷体" w:eastAsia="楷体" w:cs="楷体"/>
          <w:color w:val="auto"/>
          <w:spacing w:val="4"/>
          <w:szCs w:val="24"/>
          <w:highlight w:val="none"/>
        </w:rPr>
        <w:t>提交磋商响应</w:t>
      </w:r>
      <w:r>
        <w:rPr>
          <w:rFonts w:hint="eastAsia" w:ascii="楷体" w:hAnsi="楷体" w:eastAsia="楷体" w:cs="楷体"/>
          <w:spacing w:val="4"/>
          <w:szCs w:val="24"/>
          <w:highlight w:val="none"/>
        </w:rPr>
        <w:t>文件电子版</w:t>
      </w:r>
      <w:r>
        <w:rPr>
          <w:rFonts w:hint="eastAsia" w:ascii="楷体" w:hAnsi="楷体" w:eastAsia="楷体" w:cs="楷体"/>
          <w:spacing w:val="4"/>
          <w:szCs w:val="24"/>
          <w:highlight w:val="none"/>
          <w:u w:val="single"/>
        </w:rPr>
        <w:t xml:space="preserve">       </w:t>
      </w:r>
      <w:r>
        <w:rPr>
          <w:rFonts w:hint="eastAsia" w:ascii="楷体" w:hAnsi="楷体" w:eastAsia="楷体" w:cs="楷体"/>
          <w:spacing w:val="4"/>
          <w:szCs w:val="24"/>
          <w:highlight w:val="none"/>
        </w:rPr>
        <w:t>份。</w:t>
      </w:r>
    </w:p>
    <w:p>
      <w:pPr>
        <w:spacing w:line="360" w:lineRule="auto"/>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我方承诺如下：</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1.磋商总价为：人民币：</w:t>
      </w:r>
      <w:r>
        <w:rPr>
          <w:rFonts w:hint="eastAsia" w:ascii="楷体" w:hAnsi="楷体" w:eastAsia="楷体" w:cs="仿宋"/>
          <w:color w:val="auto"/>
          <w:spacing w:val="4"/>
          <w:szCs w:val="24"/>
          <w:highlight w:val="none"/>
          <w:u w:val="single"/>
        </w:rPr>
        <w:t xml:space="preserve">                </w:t>
      </w:r>
      <w:r>
        <w:rPr>
          <w:rFonts w:hint="eastAsia" w:ascii="楷体" w:hAnsi="楷体" w:eastAsia="楷体" w:cs="仿宋"/>
          <w:color w:val="auto"/>
          <w:spacing w:val="4"/>
          <w:szCs w:val="24"/>
          <w:highlight w:val="none"/>
        </w:rPr>
        <w:t>（￥</w:t>
      </w:r>
      <w:r>
        <w:rPr>
          <w:rFonts w:hint="eastAsia" w:ascii="楷体" w:hAnsi="楷体" w:eastAsia="楷体" w:cs="仿宋"/>
          <w:color w:val="auto"/>
          <w:spacing w:val="4"/>
          <w:szCs w:val="24"/>
          <w:highlight w:val="none"/>
          <w:u w:val="single"/>
        </w:rPr>
        <w:t xml:space="preserve">        </w:t>
      </w:r>
      <w:r>
        <w:rPr>
          <w:rFonts w:hint="eastAsia" w:ascii="楷体" w:hAnsi="楷体" w:eastAsia="楷体" w:cs="仿宋"/>
          <w:color w:val="auto"/>
          <w:spacing w:val="4"/>
          <w:szCs w:val="24"/>
          <w:highlight w:val="none"/>
        </w:rPr>
        <w:t>元）。</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2.如果成交，我们根据磋商文件的规定，履行合同的责任和义务。</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3.我们已详细阅读和审核全部磋商文件（含修改部分）及有关附件，我们知道必须放弃提出含糊不清或误解的问题的权利。</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4.我们同意在磋商有效期内（自磋商之日起</w:t>
      </w:r>
      <w:r>
        <w:rPr>
          <w:rFonts w:hint="eastAsia" w:ascii="楷体" w:hAnsi="楷体" w:eastAsia="楷体" w:cs="仿宋"/>
          <w:color w:val="auto"/>
          <w:spacing w:val="4"/>
          <w:szCs w:val="24"/>
          <w:highlight w:val="none"/>
          <w:u w:val="single"/>
        </w:rPr>
        <w:t xml:space="preserve">     </w:t>
      </w:r>
      <w:r>
        <w:rPr>
          <w:rFonts w:hint="eastAsia" w:ascii="楷体" w:hAnsi="楷体" w:eastAsia="楷体" w:cs="仿宋"/>
          <w:color w:val="auto"/>
          <w:spacing w:val="4"/>
          <w:szCs w:val="24"/>
          <w:highlight w:val="none"/>
        </w:rPr>
        <w:t>天内），本磋商响应函对我方具有约束力。</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5.如果在磋商后规定的磋商有效期内撤回磋商，我们的磋商保证金可被贵方没收。</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 xml:space="preserve">6.同意提供贵方可能另外要求的与本磋商有关的任何证据和资料。 </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7.与本磋商有关的一切正式往来通讯为：</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联系地址：</w:t>
      </w:r>
      <w:r>
        <w:rPr>
          <w:rFonts w:hint="eastAsia" w:ascii="楷体" w:hAnsi="楷体" w:eastAsia="楷体" w:cs="仿宋"/>
          <w:color w:val="auto"/>
          <w:spacing w:val="4"/>
          <w:szCs w:val="24"/>
          <w:highlight w:val="none"/>
          <w:u w:val="single"/>
        </w:rPr>
        <w:t xml:space="preserve">                           </w:t>
      </w: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邮政编码：</w:t>
      </w:r>
      <w:r>
        <w:rPr>
          <w:rFonts w:hint="eastAsia" w:ascii="楷体" w:hAnsi="楷体" w:eastAsia="楷体" w:cs="仿宋"/>
          <w:color w:val="auto"/>
          <w:spacing w:val="4"/>
          <w:szCs w:val="24"/>
          <w:highlight w:val="none"/>
          <w:u w:val="single"/>
        </w:rPr>
        <w:t xml:space="preserve">                           </w:t>
      </w: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电    话：</w:t>
      </w:r>
      <w:r>
        <w:rPr>
          <w:rFonts w:hint="eastAsia" w:ascii="楷体" w:hAnsi="楷体" w:eastAsia="楷体" w:cs="仿宋"/>
          <w:color w:val="auto"/>
          <w:spacing w:val="4"/>
          <w:szCs w:val="24"/>
          <w:highlight w:val="none"/>
          <w:u w:val="single"/>
        </w:rPr>
        <w:t xml:space="preserve">                          </w:t>
      </w: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传    真：</w:t>
      </w:r>
      <w:r>
        <w:rPr>
          <w:rFonts w:hint="eastAsia" w:ascii="楷体" w:hAnsi="楷体" w:eastAsia="楷体" w:cs="仿宋"/>
          <w:color w:val="auto"/>
          <w:spacing w:val="4"/>
          <w:szCs w:val="24"/>
          <w:highlight w:val="none"/>
          <w:u w:val="single"/>
        </w:rPr>
        <w:t xml:space="preserve">                             </w:t>
      </w: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供应商名称（公章）：</w:t>
      </w:r>
      <w:r>
        <w:rPr>
          <w:rFonts w:hint="eastAsia" w:ascii="楷体" w:hAnsi="楷体" w:eastAsia="楷体" w:cs="仿宋"/>
          <w:color w:val="auto"/>
          <w:spacing w:val="4"/>
          <w:szCs w:val="24"/>
          <w:highlight w:val="none"/>
          <w:u w:val="single"/>
        </w:rPr>
        <w:t xml:space="preserve">                         </w:t>
      </w: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法定代表人（签字或盖章）：</w:t>
      </w:r>
      <w:r>
        <w:rPr>
          <w:rFonts w:hint="eastAsia" w:ascii="楷体" w:hAnsi="楷体" w:eastAsia="楷体" w:cs="仿宋"/>
          <w:color w:val="auto"/>
          <w:spacing w:val="4"/>
          <w:szCs w:val="24"/>
          <w:highlight w:val="none"/>
          <w:u w:val="single"/>
        </w:rPr>
        <w:t xml:space="preserve">                      </w:t>
      </w: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日    期：</w:t>
      </w:r>
      <w:r>
        <w:rPr>
          <w:rFonts w:hint="eastAsia" w:ascii="楷体" w:hAnsi="楷体" w:eastAsia="楷体" w:cs="仿宋"/>
          <w:color w:val="auto"/>
          <w:spacing w:val="4"/>
          <w:szCs w:val="24"/>
          <w:highlight w:val="none"/>
          <w:u w:val="single"/>
        </w:rPr>
        <w:t xml:space="preserve">                                </w:t>
      </w:r>
    </w:p>
    <w:p>
      <w:pPr>
        <w:pStyle w:val="6"/>
        <w:spacing w:beforeLines="0" w:line="360" w:lineRule="auto"/>
        <w:rPr>
          <w:rFonts w:ascii="楷体" w:hAnsi="楷体" w:eastAsia="楷体" w:cs="楷体"/>
          <w:color w:val="auto"/>
          <w:sz w:val="32"/>
          <w:szCs w:val="32"/>
          <w:highlight w:val="none"/>
        </w:rPr>
      </w:pPr>
      <w:r>
        <w:rPr>
          <w:rFonts w:hint="eastAsia" w:ascii="楷体" w:hAnsi="楷体" w:eastAsia="楷体" w:cs="仿宋"/>
          <w:color w:val="auto"/>
          <w:highlight w:val="none"/>
        </w:rPr>
        <w:br w:type="page"/>
      </w:r>
      <w:bookmarkStart w:id="68" w:name="_Toc403077649"/>
      <w:bookmarkStart w:id="69" w:name="_Toc363474028"/>
      <w:bookmarkStart w:id="70" w:name="_Toc4146"/>
      <w:bookmarkStart w:id="71" w:name="_Toc283035204"/>
      <w:bookmarkStart w:id="72" w:name="_Toc19169"/>
      <w:bookmarkStart w:id="73" w:name="_Toc403077650"/>
      <w:bookmarkStart w:id="74" w:name="_Toc283035117"/>
      <w:bookmarkStart w:id="75" w:name="_Toc282530019"/>
      <w:bookmarkStart w:id="76" w:name="_Toc324414285"/>
      <w:bookmarkStart w:id="77" w:name="_Toc283035600"/>
      <w:bookmarkStart w:id="78" w:name="_Toc363474029"/>
      <w:r>
        <w:rPr>
          <w:rFonts w:hint="eastAsia" w:ascii="楷体" w:hAnsi="楷体" w:eastAsia="楷体" w:cs="楷体"/>
          <w:color w:val="auto"/>
          <w:sz w:val="32"/>
          <w:szCs w:val="32"/>
          <w:highlight w:val="none"/>
        </w:rPr>
        <w:t>二、法定代表人授权委托书</w:t>
      </w:r>
      <w:bookmarkEnd w:id="68"/>
      <w:bookmarkEnd w:id="69"/>
    </w:p>
    <w:p>
      <w:pPr>
        <w:spacing w:line="360" w:lineRule="auto"/>
        <w:jc w:val="center"/>
        <w:rPr>
          <w:rFonts w:ascii="楷体" w:hAnsi="楷体" w:eastAsia="楷体" w:cs="楷体"/>
          <w:b/>
          <w:bCs/>
          <w:color w:val="auto"/>
          <w:sz w:val="30"/>
          <w:szCs w:val="30"/>
          <w:highlight w:val="none"/>
        </w:rPr>
      </w:pPr>
      <w:r>
        <w:rPr>
          <w:rFonts w:hint="eastAsia" w:ascii="楷体" w:hAnsi="楷体" w:eastAsia="楷体" w:cs="楷体"/>
          <w:b/>
          <w:bCs/>
          <w:color w:val="auto"/>
          <w:sz w:val="30"/>
          <w:szCs w:val="30"/>
          <w:highlight w:val="none"/>
        </w:rPr>
        <w:t>2.1法定代表人身份证明书</w:t>
      </w:r>
    </w:p>
    <w:p>
      <w:pPr>
        <w:autoSpaceDE w:val="0"/>
        <w:autoSpaceDN w:val="0"/>
        <w:adjustRightInd w:val="0"/>
        <w:spacing w:line="360" w:lineRule="auto"/>
        <w:jc w:val="left"/>
        <w:rPr>
          <w:rFonts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陕西正翼招标代理有限公司：</w:t>
      </w:r>
      <w:r>
        <w:rPr>
          <w:rFonts w:hint="eastAsia" w:ascii="楷体" w:hAnsi="楷体" w:eastAsia="楷体" w:cs="楷体"/>
          <w:color w:val="auto"/>
          <w:szCs w:val="24"/>
          <w:highlight w:val="none"/>
          <w:u w:val="single"/>
          <w:lang w:val="zh-CN"/>
        </w:rPr>
        <w:t xml:space="preserve">                                  </w:t>
      </w:r>
    </w:p>
    <w:p>
      <w:pPr>
        <w:autoSpaceDE w:val="0"/>
        <w:autoSpaceDN w:val="0"/>
        <w:adjustRightInd w:val="0"/>
        <w:spacing w:line="360" w:lineRule="auto"/>
        <w:ind w:firstLine="480" w:firstLineChars="200"/>
        <w:jc w:val="left"/>
        <w:rPr>
          <w:rFonts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姓名：</w:t>
      </w:r>
      <w:r>
        <w:rPr>
          <w:rFonts w:hint="eastAsia" w:ascii="楷体" w:hAnsi="楷体" w:eastAsia="楷体" w:cs="楷体"/>
          <w:color w:val="auto"/>
          <w:szCs w:val="24"/>
          <w:highlight w:val="none"/>
          <w:u w:val="single"/>
          <w:lang w:val="zh-CN"/>
        </w:rPr>
        <w:t xml:space="preserve">      </w:t>
      </w:r>
      <w:r>
        <w:rPr>
          <w:rFonts w:hint="eastAsia" w:ascii="楷体" w:hAnsi="楷体" w:eastAsia="楷体" w:cs="楷体"/>
          <w:color w:val="auto"/>
          <w:szCs w:val="24"/>
          <w:highlight w:val="none"/>
          <w:lang w:val="zh-CN"/>
        </w:rPr>
        <w:t>性别：</w:t>
      </w:r>
      <w:r>
        <w:rPr>
          <w:rFonts w:hint="eastAsia" w:ascii="楷体" w:hAnsi="楷体" w:eastAsia="楷体" w:cs="楷体"/>
          <w:color w:val="auto"/>
          <w:szCs w:val="24"/>
          <w:highlight w:val="none"/>
          <w:u w:val="single"/>
          <w:lang w:val="zh-CN"/>
        </w:rPr>
        <w:t xml:space="preserve">      </w:t>
      </w:r>
      <w:r>
        <w:rPr>
          <w:rFonts w:hint="eastAsia" w:ascii="楷体" w:hAnsi="楷体" w:eastAsia="楷体" w:cs="楷体"/>
          <w:color w:val="auto"/>
          <w:szCs w:val="24"/>
          <w:highlight w:val="none"/>
          <w:lang w:val="zh-CN"/>
        </w:rPr>
        <w:t>年龄：</w:t>
      </w:r>
      <w:r>
        <w:rPr>
          <w:rFonts w:hint="eastAsia" w:ascii="楷体" w:hAnsi="楷体" w:eastAsia="楷体" w:cs="楷体"/>
          <w:color w:val="auto"/>
          <w:szCs w:val="24"/>
          <w:highlight w:val="none"/>
          <w:u w:val="single"/>
          <w:lang w:val="zh-CN"/>
        </w:rPr>
        <w:t xml:space="preserve">      </w:t>
      </w:r>
      <w:r>
        <w:rPr>
          <w:rFonts w:hint="eastAsia" w:ascii="楷体" w:hAnsi="楷体" w:eastAsia="楷体" w:cs="楷体"/>
          <w:color w:val="auto"/>
          <w:szCs w:val="24"/>
          <w:highlight w:val="none"/>
          <w:lang w:val="zh-CN"/>
        </w:rPr>
        <w:t>职务：</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lang w:val="zh-CN"/>
        </w:rPr>
        <w:t>系</w:t>
      </w:r>
      <w:r>
        <w:rPr>
          <w:rFonts w:hint="eastAsia" w:ascii="楷体" w:hAnsi="楷体" w:eastAsia="楷体" w:cs="楷体"/>
          <w:color w:val="auto"/>
          <w:szCs w:val="24"/>
          <w:highlight w:val="none"/>
          <w:u w:val="single"/>
          <w:lang w:val="zh-CN"/>
        </w:rPr>
        <w:t xml:space="preserve"> </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lang w:val="zh-CN"/>
        </w:rPr>
        <w:t>（供应商名称）的法定代表人（单位负责人）。</w:t>
      </w:r>
    </w:p>
    <w:p>
      <w:pPr>
        <w:autoSpaceDE w:val="0"/>
        <w:autoSpaceDN w:val="0"/>
        <w:adjustRightInd w:val="0"/>
        <w:spacing w:line="360" w:lineRule="auto"/>
        <w:ind w:firstLine="480" w:firstLineChars="200"/>
        <w:jc w:val="left"/>
        <w:rPr>
          <w:rFonts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特此证明。</w:t>
      </w:r>
    </w:p>
    <w:p>
      <w:pPr>
        <w:autoSpaceDE w:val="0"/>
        <w:autoSpaceDN w:val="0"/>
        <w:adjustRightInd w:val="0"/>
        <w:spacing w:line="360" w:lineRule="auto"/>
        <w:jc w:val="left"/>
        <w:rPr>
          <w:rFonts w:ascii="楷体" w:hAnsi="楷体" w:eastAsia="楷体" w:cs="楷体"/>
          <w:color w:val="auto"/>
          <w:szCs w:val="24"/>
          <w:highlight w:val="none"/>
          <w:lang w:val="zh-CN"/>
        </w:rPr>
      </w:pPr>
    </w:p>
    <w:p>
      <w:pPr>
        <w:autoSpaceDE w:val="0"/>
        <w:autoSpaceDN w:val="0"/>
        <w:adjustRightInd w:val="0"/>
        <w:spacing w:line="360" w:lineRule="auto"/>
        <w:jc w:val="left"/>
        <w:rPr>
          <w:rFonts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附：法定代表人（单位负责人）身份证复印件。</w:t>
      </w:r>
    </w:p>
    <w:p>
      <w:pPr>
        <w:autoSpaceDE w:val="0"/>
        <w:autoSpaceDN w:val="0"/>
        <w:adjustRightInd w:val="0"/>
        <w:spacing w:line="360" w:lineRule="auto"/>
        <w:jc w:val="left"/>
        <w:rPr>
          <w:rFonts w:ascii="楷体" w:hAnsi="楷体" w:eastAsia="楷体" w:cs="楷体"/>
          <w:color w:val="auto"/>
          <w:szCs w:val="24"/>
          <w:highlight w:val="none"/>
          <w:lang w:val="zh-CN"/>
        </w:rPr>
      </w:pPr>
    </w:p>
    <w:p>
      <w:pPr>
        <w:autoSpaceDE w:val="0"/>
        <w:autoSpaceDN w:val="0"/>
        <w:adjustRightInd w:val="0"/>
        <w:spacing w:line="360" w:lineRule="auto"/>
        <w:jc w:val="left"/>
        <w:rPr>
          <w:rFonts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注：自然人参与磋商的此处只附身份证复印件。</w:t>
      </w:r>
    </w:p>
    <w:p>
      <w:pPr>
        <w:spacing w:line="360" w:lineRule="auto"/>
        <w:jc w:val="center"/>
        <w:rPr>
          <w:rFonts w:ascii="楷体" w:hAnsi="楷体" w:eastAsia="楷体" w:cs="楷体"/>
          <w:color w:val="auto"/>
          <w:highlight w:val="none"/>
        </w:rPr>
      </w:pPr>
    </w:p>
    <w:p>
      <w:pPr>
        <w:spacing w:line="360" w:lineRule="auto"/>
        <w:jc w:val="center"/>
        <w:rPr>
          <w:rFonts w:ascii="楷体" w:hAnsi="楷体" w:eastAsia="楷体" w:cs="楷体"/>
          <w:color w:val="auto"/>
          <w:highlight w:val="none"/>
        </w:rPr>
      </w:pPr>
    </w:p>
    <w:p>
      <w:pPr>
        <w:spacing w:line="360" w:lineRule="auto"/>
        <w:jc w:val="center"/>
        <w:rPr>
          <w:rFonts w:ascii="楷体" w:hAnsi="楷体" w:eastAsia="楷体" w:cs="楷体"/>
          <w:color w:val="auto"/>
          <w:highlight w:val="none"/>
        </w:rPr>
      </w:pPr>
    </w:p>
    <w:p>
      <w:pPr>
        <w:spacing w:line="360" w:lineRule="auto"/>
        <w:rPr>
          <w:rFonts w:ascii="楷体" w:hAnsi="楷体" w:eastAsia="楷体" w:cs="楷体"/>
          <w:color w:val="auto"/>
          <w:spacing w:val="4"/>
          <w:szCs w:val="24"/>
          <w:highlight w:val="none"/>
        </w:rPr>
      </w:pPr>
    </w:p>
    <w:p>
      <w:pPr>
        <w:spacing w:line="360" w:lineRule="auto"/>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 xml:space="preserve">供应商名称（公章）:             </w:t>
      </w:r>
    </w:p>
    <w:p>
      <w:pPr>
        <w:spacing w:line="360" w:lineRule="auto"/>
        <w:rPr>
          <w:rFonts w:ascii="楷体" w:hAnsi="楷体" w:eastAsia="楷体" w:cs="楷体"/>
          <w:b/>
          <w:color w:val="auto"/>
          <w:spacing w:val="4"/>
          <w:szCs w:val="24"/>
          <w:highlight w:val="none"/>
        </w:rPr>
      </w:pPr>
      <w:r>
        <w:rPr>
          <w:rFonts w:hint="eastAsia" w:ascii="楷体" w:hAnsi="楷体" w:eastAsia="楷体" w:cs="楷体"/>
          <w:color w:val="auto"/>
          <w:spacing w:val="4"/>
          <w:szCs w:val="24"/>
          <w:highlight w:val="none"/>
        </w:rPr>
        <w:t>日期：</w:t>
      </w:r>
    </w:p>
    <w:p>
      <w:pPr>
        <w:spacing w:line="360" w:lineRule="auto"/>
        <w:jc w:val="center"/>
        <w:rPr>
          <w:rFonts w:ascii="楷体" w:hAnsi="楷体" w:eastAsia="楷体" w:cs="楷体"/>
          <w:b/>
          <w:color w:val="auto"/>
          <w:spacing w:val="4"/>
          <w:szCs w:val="24"/>
          <w:highlight w:val="none"/>
        </w:rPr>
      </w:pPr>
      <w:r>
        <w:rPr>
          <w:rFonts w:hint="eastAsia" w:ascii="楷体" w:hAnsi="楷体" w:eastAsia="楷体" w:cs="楷体"/>
          <w:b/>
          <w:color w:val="auto"/>
          <w:spacing w:val="4"/>
          <w:sz w:val="30"/>
          <w:szCs w:val="30"/>
          <w:highlight w:val="none"/>
        </w:rPr>
        <w:br w:type="page"/>
      </w:r>
      <w:r>
        <w:rPr>
          <w:rFonts w:hint="eastAsia" w:ascii="楷体" w:hAnsi="楷体" w:eastAsia="楷体" w:cs="楷体"/>
          <w:b/>
          <w:color w:val="auto"/>
          <w:spacing w:val="4"/>
          <w:sz w:val="30"/>
          <w:szCs w:val="30"/>
          <w:highlight w:val="none"/>
        </w:rPr>
        <w:t>2.2授权委托书</w:t>
      </w:r>
    </w:p>
    <w:p>
      <w:pPr>
        <w:spacing w:line="360" w:lineRule="auto"/>
        <w:jc w:val="left"/>
        <w:rPr>
          <w:rFonts w:ascii="楷体" w:hAnsi="楷体" w:eastAsia="楷体" w:cs="楷体"/>
          <w:b/>
          <w:color w:val="auto"/>
          <w:highlight w:val="none"/>
        </w:rPr>
      </w:pPr>
      <w:r>
        <w:rPr>
          <w:rFonts w:hint="eastAsia" w:ascii="楷体" w:hAnsi="楷体" w:eastAsia="楷体" w:cs="楷体"/>
          <w:b/>
          <w:color w:val="auto"/>
          <w:spacing w:val="4"/>
          <w:szCs w:val="24"/>
          <w:highlight w:val="none"/>
        </w:rPr>
        <w:t>致：</w:t>
      </w:r>
      <w:r>
        <w:rPr>
          <w:rFonts w:hint="eastAsia" w:ascii="楷体" w:hAnsi="楷体" w:eastAsia="楷体" w:cs="楷体"/>
          <w:b/>
          <w:color w:val="auto"/>
          <w:highlight w:val="none"/>
        </w:rPr>
        <w:t>陕西正翼招标代理有限公司</w:t>
      </w:r>
    </w:p>
    <w:p>
      <w:pPr>
        <w:spacing w:line="360" w:lineRule="auto"/>
        <w:ind w:firstLine="496" w:firstLineChars="200"/>
        <w:jc w:val="left"/>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u w:val="single"/>
        </w:rPr>
        <w:t xml:space="preserve">    (供应商名称)    </w:t>
      </w:r>
      <w:r>
        <w:rPr>
          <w:rFonts w:hint="eastAsia" w:ascii="楷体" w:hAnsi="楷体" w:eastAsia="楷体" w:cs="楷体"/>
          <w:color w:val="auto"/>
          <w:spacing w:val="4"/>
          <w:szCs w:val="24"/>
          <w:highlight w:val="none"/>
        </w:rPr>
        <w:t>按中华人民共和国法律于</w:t>
      </w:r>
      <w:r>
        <w:rPr>
          <w:rFonts w:hint="eastAsia" w:ascii="楷体" w:hAnsi="楷体" w:eastAsia="楷体" w:cs="楷体"/>
          <w:color w:val="auto"/>
          <w:spacing w:val="4"/>
          <w:szCs w:val="24"/>
          <w:highlight w:val="none"/>
          <w:u w:val="single"/>
        </w:rPr>
        <w:t>（  年  月  日 ）</w:t>
      </w:r>
      <w:r>
        <w:rPr>
          <w:rFonts w:hint="eastAsia" w:ascii="楷体" w:hAnsi="楷体" w:eastAsia="楷体" w:cs="楷体"/>
          <w:color w:val="auto"/>
          <w:spacing w:val="4"/>
          <w:szCs w:val="24"/>
          <w:highlight w:val="none"/>
        </w:rPr>
        <w:t xml:space="preserve">成立。  </w:t>
      </w:r>
      <w:r>
        <w:rPr>
          <w:rFonts w:hint="eastAsia" w:ascii="楷体" w:hAnsi="楷体" w:eastAsia="楷体" w:cs="楷体"/>
          <w:color w:val="auto"/>
          <w:spacing w:val="4"/>
          <w:szCs w:val="24"/>
          <w:highlight w:val="none"/>
          <w:u w:val="single"/>
        </w:rPr>
        <w:t xml:space="preserve">(法定代表人姓名)  </w:t>
      </w:r>
      <w:r>
        <w:rPr>
          <w:rFonts w:hint="eastAsia" w:ascii="楷体" w:hAnsi="楷体" w:eastAsia="楷体" w:cs="楷体"/>
          <w:color w:val="auto"/>
          <w:spacing w:val="4"/>
          <w:szCs w:val="24"/>
          <w:highlight w:val="none"/>
        </w:rPr>
        <w:t>特授权</w:t>
      </w:r>
      <w:r>
        <w:rPr>
          <w:rFonts w:hint="eastAsia" w:ascii="楷体" w:hAnsi="楷体" w:eastAsia="楷体" w:cs="楷体"/>
          <w:color w:val="auto"/>
          <w:spacing w:val="4"/>
          <w:szCs w:val="24"/>
          <w:highlight w:val="none"/>
          <w:u w:val="single"/>
        </w:rPr>
        <w:t xml:space="preserve"> （被授权人姓名）  </w:t>
      </w:r>
      <w:r>
        <w:rPr>
          <w:rFonts w:hint="eastAsia" w:ascii="楷体" w:hAnsi="楷体" w:eastAsia="楷体" w:cs="楷体"/>
          <w:color w:val="auto"/>
          <w:spacing w:val="4"/>
          <w:szCs w:val="24"/>
          <w:highlight w:val="none"/>
        </w:rPr>
        <w:t>代表我公司全权办理针对本次</w:t>
      </w:r>
      <w:r>
        <w:rPr>
          <w:rFonts w:hint="eastAsia" w:ascii="楷体" w:hAnsi="楷体" w:eastAsia="楷体" w:cs="楷体"/>
          <w:color w:val="auto"/>
          <w:spacing w:val="4"/>
          <w:szCs w:val="24"/>
          <w:highlight w:val="none"/>
          <w:u w:val="single"/>
        </w:rPr>
        <w:t xml:space="preserve">     (项目名称）     </w:t>
      </w:r>
      <w:r>
        <w:rPr>
          <w:rFonts w:hint="eastAsia" w:ascii="楷体" w:hAnsi="楷体" w:eastAsia="楷体" w:cs="楷体"/>
          <w:color w:val="auto"/>
          <w:spacing w:val="4"/>
          <w:szCs w:val="24"/>
          <w:highlight w:val="none"/>
        </w:rPr>
        <w:t>（项目编号：</w:t>
      </w:r>
      <w:r>
        <w:rPr>
          <w:rFonts w:hint="eastAsia" w:ascii="楷体" w:hAnsi="楷体" w:eastAsia="楷体" w:cs="楷体"/>
          <w:color w:val="auto"/>
          <w:spacing w:val="4"/>
          <w:szCs w:val="24"/>
          <w:highlight w:val="none"/>
          <w:u w:val="single"/>
        </w:rPr>
        <w:t xml:space="preserve">          </w:t>
      </w:r>
      <w:r>
        <w:rPr>
          <w:rFonts w:hint="eastAsia" w:ascii="楷体" w:hAnsi="楷体" w:eastAsia="楷体" w:cs="楷体"/>
          <w:color w:val="auto"/>
          <w:spacing w:val="4"/>
          <w:szCs w:val="24"/>
          <w:highlight w:val="none"/>
        </w:rPr>
        <w:t>）的磋商、签约等具体工作，并签署全部有关的文件、协议及合同。</w:t>
      </w:r>
    </w:p>
    <w:p>
      <w:pPr>
        <w:spacing w:line="360" w:lineRule="auto"/>
        <w:ind w:firstLine="496" w:firstLineChars="200"/>
        <w:jc w:val="left"/>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我公司对被授权人的签名负全部责任。</w:t>
      </w:r>
    </w:p>
    <w:p>
      <w:pPr>
        <w:spacing w:line="360" w:lineRule="auto"/>
        <w:ind w:firstLine="480" w:firstLineChars="200"/>
        <w:jc w:val="left"/>
        <w:rPr>
          <w:rFonts w:ascii="楷体" w:hAnsi="楷体" w:eastAsia="楷体" w:cs="楷体"/>
          <w:color w:val="auto"/>
          <w:szCs w:val="24"/>
          <w:highlight w:val="none"/>
        </w:rPr>
      </w:pPr>
      <w:r>
        <w:rPr>
          <w:rFonts w:hint="eastAsia" w:ascii="楷体" w:hAnsi="楷体" w:eastAsia="楷体" w:cs="楷体"/>
          <w:color w:val="auto"/>
          <w:szCs w:val="24"/>
          <w:highlight w:val="none"/>
        </w:rPr>
        <w:t>委托期限：自</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年</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月</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日至</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年</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月</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日</w:t>
      </w:r>
    </w:p>
    <w:p>
      <w:pPr>
        <w:spacing w:line="360" w:lineRule="auto"/>
        <w:ind w:firstLine="496" w:firstLineChars="200"/>
        <w:jc w:val="left"/>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本授权书于</w:t>
      </w:r>
      <w:r>
        <w:rPr>
          <w:rFonts w:hint="eastAsia" w:ascii="楷体" w:hAnsi="楷体" w:eastAsia="楷体" w:cs="楷体"/>
          <w:color w:val="auto"/>
          <w:spacing w:val="4"/>
          <w:szCs w:val="24"/>
          <w:highlight w:val="none"/>
          <w:u w:val="single"/>
        </w:rPr>
        <w:t xml:space="preserve">  </w:t>
      </w:r>
      <w:r>
        <w:rPr>
          <w:rFonts w:hint="eastAsia" w:ascii="楷体" w:hAnsi="楷体" w:eastAsia="楷体" w:cs="楷体"/>
          <w:color w:val="auto"/>
          <w:szCs w:val="24"/>
          <w:highlight w:val="none"/>
        </w:rPr>
        <w:t>年</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月</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日签</w:t>
      </w:r>
      <w:r>
        <w:rPr>
          <w:rFonts w:hint="eastAsia" w:ascii="楷体" w:hAnsi="楷体" w:eastAsia="楷体" w:cs="楷体"/>
          <w:color w:val="auto"/>
          <w:spacing w:val="4"/>
          <w:szCs w:val="24"/>
          <w:highlight w:val="none"/>
        </w:rPr>
        <w:t>字生效，特此证明。</w:t>
      </w:r>
    </w:p>
    <w:p>
      <w:pPr>
        <w:spacing w:line="360" w:lineRule="auto"/>
        <w:ind w:firstLine="496" w:firstLineChars="200"/>
        <w:jc w:val="left"/>
        <w:rPr>
          <w:rFonts w:ascii="楷体" w:hAnsi="楷体" w:eastAsia="楷体" w:cs="楷体"/>
          <w:color w:val="auto"/>
          <w:spacing w:val="4"/>
          <w:szCs w:val="24"/>
          <w:highlight w:val="none"/>
        </w:rPr>
      </w:pPr>
    </w:p>
    <w:tbl>
      <w:tblPr>
        <w:tblStyle w:val="46"/>
        <w:tblW w:w="9039" w:type="dxa"/>
        <w:tblInd w:w="0" w:type="dxa"/>
        <w:tblLayout w:type="fixed"/>
        <w:tblCellMar>
          <w:top w:w="0" w:type="dxa"/>
          <w:left w:w="108" w:type="dxa"/>
          <w:bottom w:w="0" w:type="dxa"/>
          <w:right w:w="108" w:type="dxa"/>
        </w:tblCellMar>
      </w:tblPr>
      <w:tblGrid>
        <w:gridCol w:w="4839"/>
        <w:gridCol w:w="4200"/>
      </w:tblGrid>
      <w:tr>
        <w:tblPrEx>
          <w:tblCellMar>
            <w:top w:w="0" w:type="dxa"/>
            <w:left w:w="108" w:type="dxa"/>
            <w:bottom w:w="0" w:type="dxa"/>
            <w:right w:w="108" w:type="dxa"/>
          </w:tblCellMar>
        </w:tblPrEx>
        <w:trPr>
          <w:trHeight w:val="600" w:hRule="atLeast"/>
        </w:trPr>
        <w:tc>
          <w:tcPr>
            <w:tcW w:w="4839" w:type="dxa"/>
          </w:tcPr>
          <w:p>
            <w:pPr>
              <w:spacing w:line="360" w:lineRule="auto"/>
              <w:ind w:firstLine="124" w:firstLineChars="50"/>
              <w:jc w:val="left"/>
              <w:rPr>
                <w:rFonts w:ascii="楷体" w:hAnsi="楷体" w:eastAsia="楷体" w:cs="楷体"/>
                <w:color w:val="auto"/>
                <w:highlight w:val="none"/>
              </w:rPr>
            </w:pPr>
            <w:r>
              <w:rPr>
                <w:rFonts w:hint="eastAsia" w:ascii="楷体" w:hAnsi="楷体" w:eastAsia="楷体" w:cs="楷体"/>
                <w:color w:val="auto"/>
                <w:spacing w:val="4"/>
                <w:szCs w:val="24"/>
                <w:highlight w:val="none"/>
              </w:rPr>
              <w:t>法定代表人（签字或盖章）：</w:t>
            </w:r>
          </w:p>
        </w:tc>
        <w:tc>
          <w:tcPr>
            <w:tcW w:w="4200" w:type="dxa"/>
          </w:tcPr>
          <w:p>
            <w:pPr>
              <w:spacing w:line="360" w:lineRule="auto"/>
              <w:jc w:val="left"/>
              <w:rPr>
                <w:rFonts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被授权人（签字）：</w:t>
            </w:r>
          </w:p>
        </w:tc>
      </w:tr>
      <w:tr>
        <w:tblPrEx>
          <w:tblCellMar>
            <w:top w:w="0" w:type="dxa"/>
            <w:left w:w="108" w:type="dxa"/>
            <w:bottom w:w="0" w:type="dxa"/>
            <w:right w:w="108" w:type="dxa"/>
          </w:tblCellMar>
        </w:tblPrEx>
        <w:trPr>
          <w:trHeight w:val="600" w:hRule="atLeast"/>
        </w:trPr>
        <w:tc>
          <w:tcPr>
            <w:tcW w:w="4839" w:type="dxa"/>
          </w:tcPr>
          <w:p>
            <w:pPr>
              <w:spacing w:line="360" w:lineRule="auto"/>
              <w:ind w:firstLine="124" w:firstLineChars="50"/>
              <w:jc w:val="left"/>
              <w:rPr>
                <w:rFonts w:ascii="楷体" w:hAnsi="楷体" w:eastAsia="楷体" w:cs="楷体"/>
                <w:color w:val="auto"/>
                <w:highlight w:val="none"/>
              </w:rPr>
            </w:pPr>
            <w:r>
              <w:rPr>
                <w:rFonts w:hint="eastAsia" w:ascii="楷体" w:hAnsi="楷体" w:eastAsia="楷体" w:cs="楷体"/>
                <w:color w:val="auto"/>
                <w:spacing w:val="4"/>
                <w:szCs w:val="24"/>
                <w:highlight w:val="none"/>
              </w:rPr>
              <w:t>职务：</w:t>
            </w:r>
          </w:p>
        </w:tc>
        <w:tc>
          <w:tcPr>
            <w:tcW w:w="4200" w:type="dxa"/>
          </w:tcPr>
          <w:p>
            <w:pPr>
              <w:spacing w:line="360" w:lineRule="auto"/>
              <w:jc w:val="left"/>
              <w:rPr>
                <w:rFonts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职务：</w:t>
            </w:r>
          </w:p>
        </w:tc>
      </w:tr>
      <w:tr>
        <w:tblPrEx>
          <w:tblCellMar>
            <w:top w:w="0" w:type="dxa"/>
            <w:left w:w="108" w:type="dxa"/>
            <w:bottom w:w="0" w:type="dxa"/>
            <w:right w:w="108" w:type="dxa"/>
          </w:tblCellMar>
        </w:tblPrEx>
        <w:trPr>
          <w:trHeight w:val="600" w:hRule="atLeast"/>
        </w:trPr>
        <w:tc>
          <w:tcPr>
            <w:tcW w:w="4839" w:type="dxa"/>
          </w:tcPr>
          <w:p>
            <w:pPr>
              <w:spacing w:line="360" w:lineRule="auto"/>
              <w:ind w:firstLine="124" w:firstLineChars="50"/>
              <w:jc w:val="left"/>
              <w:rPr>
                <w:rFonts w:ascii="楷体" w:hAnsi="楷体" w:eastAsia="楷体" w:cs="楷体"/>
                <w:color w:val="auto"/>
                <w:highlight w:val="none"/>
              </w:rPr>
            </w:pPr>
            <w:r>
              <w:rPr>
                <w:rFonts w:hint="eastAsia" w:ascii="楷体" w:hAnsi="楷体" w:eastAsia="楷体" w:cs="楷体"/>
                <w:color w:val="auto"/>
                <w:spacing w:val="4"/>
                <w:szCs w:val="24"/>
                <w:highlight w:val="none"/>
              </w:rPr>
              <w:t>身份证号：</w:t>
            </w:r>
          </w:p>
        </w:tc>
        <w:tc>
          <w:tcPr>
            <w:tcW w:w="4200" w:type="dxa"/>
          </w:tcPr>
          <w:p>
            <w:pPr>
              <w:spacing w:line="360" w:lineRule="auto"/>
              <w:jc w:val="left"/>
              <w:rPr>
                <w:rFonts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身份证号：</w:t>
            </w:r>
          </w:p>
        </w:tc>
      </w:tr>
      <w:tr>
        <w:tblPrEx>
          <w:tblCellMar>
            <w:top w:w="0" w:type="dxa"/>
            <w:left w:w="108" w:type="dxa"/>
            <w:bottom w:w="0" w:type="dxa"/>
            <w:right w:w="108" w:type="dxa"/>
          </w:tblCellMar>
        </w:tblPrEx>
        <w:trPr>
          <w:trHeight w:val="600" w:hRule="atLeast"/>
        </w:trPr>
        <w:tc>
          <w:tcPr>
            <w:tcW w:w="4839" w:type="dxa"/>
          </w:tcPr>
          <w:p>
            <w:pPr>
              <w:spacing w:line="360" w:lineRule="auto"/>
              <w:jc w:val="left"/>
              <w:rPr>
                <w:rFonts w:ascii="楷体" w:hAnsi="楷体" w:eastAsia="楷体" w:cs="楷体"/>
                <w:color w:val="auto"/>
                <w:highlight w:val="none"/>
              </w:rPr>
            </w:pPr>
          </w:p>
        </w:tc>
        <w:tc>
          <w:tcPr>
            <w:tcW w:w="4200" w:type="dxa"/>
          </w:tcPr>
          <w:p>
            <w:pPr>
              <w:spacing w:line="360" w:lineRule="auto"/>
              <w:jc w:val="left"/>
              <w:rPr>
                <w:rFonts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所在部门：</w:t>
            </w:r>
          </w:p>
        </w:tc>
      </w:tr>
      <w:tr>
        <w:tblPrEx>
          <w:tblCellMar>
            <w:top w:w="0" w:type="dxa"/>
            <w:left w:w="108" w:type="dxa"/>
            <w:bottom w:w="0" w:type="dxa"/>
            <w:right w:w="108" w:type="dxa"/>
          </w:tblCellMar>
        </w:tblPrEx>
        <w:trPr>
          <w:trHeight w:val="600" w:hRule="atLeast"/>
        </w:trPr>
        <w:tc>
          <w:tcPr>
            <w:tcW w:w="4839" w:type="dxa"/>
          </w:tcPr>
          <w:p>
            <w:pPr>
              <w:spacing w:line="360" w:lineRule="auto"/>
              <w:jc w:val="left"/>
              <w:rPr>
                <w:rFonts w:ascii="楷体" w:hAnsi="楷体" w:eastAsia="楷体" w:cs="楷体"/>
                <w:color w:val="auto"/>
                <w:highlight w:val="none"/>
              </w:rPr>
            </w:pPr>
          </w:p>
        </w:tc>
        <w:tc>
          <w:tcPr>
            <w:tcW w:w="4200" w:type="dxa"/>
          </w:tcPr>
          <w:p>
            <w:pPr>
              <w:spacing w:line="360" w:lineRule="auto"/>
              <w:jc w:val="left"/>
              <w:rPr>
                <w:rFonts w:ascii="楷体" w:hAnsi="楷体" w:eastAsia="楷体" w:cs="楷体"/>
                <w:color w:val="auto"/>
                <w:spacing w:val="4"/>
                <w:szCs w:val="24"/>
                <w:highlight w:val="none"/>
              </w:rPr>
            </w:pPr>
          </w:p>
        </w:tc>
      </w:tr>
    </w:tbl>
    <w:p>
      <w:pPr>
        <w:spacing w:line="360" w:lineRule="auto"/>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附：法定代表人、被授权人二代身份证双面复印件</w:t>
      </w:r>
    </w:p>
    <w:p>
      <w:pPr>
        <w:spacing w:line="360" w:lineRule="auto"/>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备注：法定代表人直接参与磋商无需提供此页</w:t>
      </w:r>
    </w:p>
    <w:p>
      <w:pPr>
        <w:spacing w:line="360" w:lineRule="auto"/>
        <w:ind w:firstLine="510"/>
        <w:rPr>
          <w:rFonts w:ascii="楷体" w:hAnsi="楷体" w:eastAsia="楷体" w:cs="楷体"/>
          <w:color w:val="auto"/>
          <w:spacing w:val="4"/>
          <w:szCs w:val="24"/>
          <w:highlight w:val="none"/>
        </w:rPr>
      </w:pPr>
    </w:p>
    <w:p>
      <w:pPr>
        <w:spacing w:line="360" w:lineRule="auto"/>
        <w:ind w:firstLine="510"/>
        <w:rPr>
          <w:rFonts w:ascii="楷体" w:hAnsi="楷体" w:eastAsia="楷体" w:cs="楷体"/>
          <w:color w:val="auto"/>
          <w:spacing w:val="4"/>
          <w:szCs w:val="24"/>
          <w:highlight w:val="none"/>
        </w:rPr>
      </w:pPr>
    </w:p>
    <w:p>
      <w:pPr>
        <w:spacing w:line="360" w:lineRule="auto"/>
        <w:ind w:firstLine="510"/>
        <w:rPr>
          <w:rFonts w:ascii="楷体" w:hAnsi="楷体" w:eastAsia="楷体" w:cs="楷体"/>
          <w:color w:val="auto"/>
          <w:spacing w:val="4"/>
          <w:szCs w:val="24"/>
          <w:highlight w:val="none"/>
        </w:rPr>
      </w:pPr>
    </w:p>
    <w:p>
      <w:pPr>
        <w:spacing w:line="360" w:lineRule="auto"/>
        <w:rPr>
          <w:rFonts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 xml:space="preserve">供应商名称（公章）:             </w:t>
      </w:r>
    </w:p>
    <w:p>
      <w:pPr>
        <w:spacing w:line="360" w:lineRule="auto"/>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法定代表人/被授权人（签字或盖章）：</w:t>
      </w:r>
    </w:p>
    <w:p>
      <w:pPr>
        <w:spacing w:line="360" w:lineRule="auto"/>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 xml:space="preserve">日期：                         </w:t>
      </w:r>
    </w:p>
    <w:p>
      <w:pPr>
        <w:pStyle w:val="6"/>
        <w:spacing w:beforeLines="0"/>
        <w:rPr>
          <w:rFonts w:hint="eastAsia" w:ascii="楷体" w:hAnsi="楷体" w:eastAsia="楷体" w:cs="仿宋"/>
          <w:color w:val="auto"/>
          <w:sz w:val="32"/>
          <w:szCs w:val="32"/>
          <w:highlight w:val="none"/>
        </w:rPr>
      </w:pPr>
      <w:r>
        <w:rPr>
          <w:rFonts w:ascii="楷体" w:hAnsi="楷体" w:eastAsia="楷体" w:cs="仿宋"/>
          <w:color w:val="auto"/>
          <w:sz w:val="32"/>
          <w:szCs w:val="32"/>
          <w:highlight w:val="none"/>
        </w:rPr>
        <w:br w:type="page"/>
      </w:r>
      <w:bookmarkEnd w:id="70"/>
      <w:bookmarkEnd w:id="71"/>
      <w:bookmarkEnd w:id="72"/>
      <w:bookmarkEnd w:id="73"/>
      <w:bookmarkEnd w:id="74"/>
      <w:bookmarkEnd w:id="75"/>
      <w:bookmarkEnd w:id="76"/>
      <w:bookmarkEnd w:id="77"/>
      <w:bookmarkEnd w:id="78"/>
      <w:bookmarkStart w:id="79" w:name="_Toc403077651"/>
      <w:bookmarkStart w:id="80" w:name="_Toc363474030"/>
      <w:r>
        <w:rPr>
          <w:rFonts w:hint="eastAsia" w:ascii="楷体" w:hAnsi="楷体" w:eastAsia="楷体" w:cs="仿宋"/>
          <w:color w:val="auto"/>
          <w:sz w:val="32"/>
          <w:szCs w:val="32"/>
          <w:highlight w:val="none"/>
          <w:lang w:eastAsia="zh-CN"/>
        </w:rPr>
        <w:t>三</w:t>
      </w:r>
      <w:r>
        <w:rPr>
          <w:rFonts w:hint="eastAsia" w:ascii="楷体" w:hAnsi="楷体" w:eastAsia="楷体" w:cs="仿宋"/>
          <w:color w:val="auto"/>
          <w:sz w:val="32"/>
          <w:szCs w:val="32"/>
          <w:highlight w:val="none"/>
        </w:rPr>
        <w:t>、磋商报价表</w:t>
      </w:r>
      <w:bookmarkEnd w:id="79"/>
      <w:bookmarkEnd w:id="80"/>
    </w:p>
    <w:p>
      <w:pPr>
        <w:jc w:val="center"/>
        <w:rPr>
          <w:rFonts w:hint="eastAsia" w:ascii="楷体" w:hAnsi="楷体" w:eastAsia="楷体" w:cs="仿宋"/>
          <w:b/>
          <w:color w:val="auto"/>
          <w:sz w:val="32"/>
          <w:szCs w:val="32"/>
          <w:highlight w:val="none"/>
        </w:rPr>
      </w:pPr>
      <w:r>
        <w:rPr>
          <w:rFonts w:hint="eastAsia" w:ascii="楷体" w:hAnsi="楷体" w:eastAsia="楷体" w:cs="仿宋"/>
          <w:b/>
          <w:color w:val="auto"/>
          <w:sz w:val="32"/>
          <w:szCs w:val="32"/>
          <w:highlight w:val="none"/>
          <w:lang w:val="en-US" w:eastAsia="zh-CN"/>
        </w:rPr>
        <w:t>3</w:t>
      </w:r>
      <w:r>
        <w:rPr>
          <w:rFonts w:hint="eastAsia" w:ascii="楷体" w:hAnsi="楷体" w:eastAsia="楷体" w:cs="仿宋"/>
          <w:b/>
          <w:color w:val="auto"/>
          <w:sz w:val="32"/>
          <w:szCs w:val="32"/>
          <w:highlight w:val="none"/>
        </w:rPr>
        <w:t>.1磋商一览表</w:t>
      </w:r>
    </w:p>
    <w:p>
      <w:pPr>
        <w:jc w:val="left"/>
        <w:rPr>
          <w:rFonts w:hint="eastAsia" w:ascii="楷体" w:hAnsi="楷体" w:eastAsia="楷体" w:cs="仿宋"/>
          <w:b/>
          <w:color w:val="auto"/>
          <w:highlight w:val="none"/>
        </w:rPr>
      </w:pPr>
      <w:r>
        <w:rPr>
          <w:rFonts w:hint="eastAsia" w:ascii="楷体" w:hAnsi="楷体" w:eastAsia="楷体" w:cs="仿宋"/>
          <w:b/>
          <w:color w:val="auto"/>
          <w:highlight w:val="none"/>
        </w:rPr>
        <w:t>项目名称：</w:t>
      </w:r>
    </w:p>
    <w:p>
      <w:pPr>
        <w:tabs>
          <w:tab w:val="left" w:pos="7200"/>
          <w:tab w:val="left" w:pos="8504"/>
        </w:tabs>
        <w:spacing w:line="360" w:lineRule="auto"/>
        <w:ind w:right="-1"/>
        <w:rPr>
          <w:rFonts w:hint="eastAsia" w:ascii="楷体" w:hAnsi="楷体" w:eastAsia="楷体" w:cs="仿宋"/>
          <w:color w:val="auto"/>
          <w:highlight w:val="none"/>
        </w:rPr>
      </w:pPr>
      <w:r>
        <w:rPr>
          <w:rFonts w:hint="eastAsia" w:ascii="楷体" w:hAnsi="楷体" w:eastAsia="楷体" w:cs="仿宋"/>
          <w:b/>
          <w:color w:val="auto"/>
          <w:highlight w:val="none"/>
        </w:rPr>
        <w:t>项目编号：</w:t>
      </w:r>
      <w:r>
        <w:rPr>
          <w:rFonts w:hint="eastAsia" w:ascii="楷体" w:hAnsi="楷体" w:eastAsia="楷体" w:cs="仿宋"/>
          <w:color w:val="auto"/>
          <w:highlight w:val="none"/>
        </w:rPr>
        <w:tab/>
      </w:r>
      <w:r>
        <w:rPr>
          <w:rFonts w:hint="eastAsia" w:ascii="楷体" w:hAnsi="楷体" w:eastAsia="楷体" w:cs="仿宋"/>
          <w:color w:val="auto"/>
          <w:highlight w:val="none"/>
        </w:rPr>
        <w:t>单位： 元</w:t>
      </w:r>
    </w:p>
    <w:tbl>
      <w:tblPr>
        <w:tblStyle w:val="4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8"/>
        <w:gridCol w:w="2632"/>
        <w:gridCol w:w="2808"/>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2608" w:type="dxa"/>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磋商总报价</w:t>
            </w:r>
          </w:p>
        </w:tc>
        <w:tc>
          <w:tcPr>
            <w:tcW w:w="2632" w:type="dxa"/>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交货期</w:t>
            </w:r>
          </w:p>
        </w:tc>
        <w:tc>
          <w:tcPr>
            <w:tcW w:w="2808" w:type="dxa"/>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质保期</w:t>
            </w:r>
          </w:p>
        </w:tc>
        <w:tc>
          <w:tcPr>
            <w:tcW w:w="956" w:type="dxa"/>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608" w:type="dxa"/>
            <w:vAlign w:val="center"/>
          </w:tcPr>
          <w:p>
            <w:pPr>
              <w:spacing w:line="360" w:lineRule="auto"/>
              <w:jc w:val="center"/>
              <w:rPr>
                <w:rFonts w:hint="eastAsia" w:ascii="楷体" w:hAnsi="楷体" w:eastAsia="楷体" w:cs="仿宋"/>
                <w:color w:val="auto"/>
                <w:highlight w:val="none"/>
              </w:rPr>
            </w:pPr>
          </w:p>
        </w:tc>
        <w:tc>
          <w:tcPr>
            <w:tcW w:w="2632" w:type="dxa"/>
            <w:vAlign w:val="center"/>
          </w:tcPr>
          <w:p>
            <w:pPr>
              <w:spacing w:line="360" w:lineRule="auto"/>
              <w:jc w:val="center"/>
              <w:rPr>
                <w:rFonts w:hint="eastAsia" w:ascii="楷体" w:hAnsi="楷体" w:eastAsia="楷体" w:cs="仿宋"/>
                <w:color w:val="auto"/>
                <w:highlight w:val="none"/>
              </w:rPr>
            </w:pPr>
          </w:p>
        </w:tc>
        <w:tc>
          <w:tcPr>
            <w:tcW w:w="2808" w:type="dxa"/>
            <w:vAlign w:val="center"/>
          </w:tcPr>
          <w:p>
            <w:pPr>
              <w:widowControl/>
              <w:spacing w:line="360" w:lineRule="auto"/>
              <w:jc w:val="left"/>
              <w:rPr>
                <w:rFonts w:hint="eastAsia" w:ascii="楷体" w:hAnsi="楷体" w:eastAsia="楷体" w:cs="仿宋"/>
                <w:color w:val="auto"/>
                <w:highlight w:val="none"/>
              </w:rPr>
            </w:pPr>
          </w:p>
        </w:tc>
        <w:tc>
          <w:tcPr>
            <w:tcW w:w="956" w:type="dxa"/>
            <w:vAlign w:val="center"/>
          </w:tcPr>
          <w:p>
            <w:pPr>
              <w:widowControl/>
              <w:spacing w:line="360" w:lineRule="auto"/>
              <w:jc w:val="left"/>
              <w:rPr>
                <w:rFonts w:hint="eastAsia" w:ascii="楷体" w:hAnsi="楷体" w:eastAsia="楷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004" w:type="dxa"/>
            <w:gridSpan w:val="4"/>
            <w:vAlign w:val="center"/>
          </w:tcPr>
          <w:p>
            <w:pPr>
              <w:spacing w:line="360" w:lineRule="auto"/>
              <w:jc w:val="center"/>
              <w:rPr>
                <w:rFonts w:hint="eastAsia" w:ascii="楷体" w:hAnsi="楷体" w:eastAsia="楷体" w:cs="仿宋"/>
                <w:color w:val="auto"/>
                <w:highlight w:val="none"/>
              </w:rPr>
            </w:pPr>
            <w:r>
              <w:rPr>
                <w:rFonts w:hint="eastAsia" w:ascii="楷体" w:hAnsi="楷体" w:eastAsia="楷体" w:cs="仿宋"/>
                <w:color w:val="auto"/>
                <w:highlight w:val="none"/>
              </w:rPr>
              <w:t>磋商总报价（大写）：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004" w:type="dxa"/>
            <w:gridSpan w:val="4"/>
            <w:vAlign w:val="center"/>
          </w:tcPr>
          <w:p>
            <w:pPr>
              <w:spacing w:line="360" w:lineRule="auto"/>
              <w:jc w:val="left"/>
              <w:rPr>
                <w:rFonts w:hint="eastAsia" w:ascii="楷体" w:hAnsi="楷体" w:eastAsia="楷体" w:cs="仿宋"/>
                <w:color w:val="auto"/>
                <w:highlight w:val="none"/>
              </w:rPr>
            </w:pPr>
            <w:r>
              <w:rPr>
                <w:rFonts w:hint="eastAsia" w:ascii="楷体" w:hAnsi="楷体" w:eastAsia="楷体" w:cs="仿宋"/>
                <w:color w:val="auto"/>
                <w:szCs w:val="24"/>
                <w:highlight w:val="none"/>
              </w:rPr>
              <w:t>备注：表内报价内容以元为单位，保留小数点后两位。</w:t>
            </w:r>
          </w:p>
        </w:tc>
      </w:tr>
    </w:tbl>
    <w:p>
      <w:pPr>
        <w:spacing w:line="480" w:lineRule="auto"/>
        <w:rPr>
          <w:rFonts w:hint="eastAsia" w:ascii="楷体" w:hAnsi="楷体" w:eastAsia="楷体" w:cs="仿宋"/>
          <w:color w:val="auto"/>
          <w:szCs w:val="24"/>
          <w:highlight w:val="none"/>
        </w:rPr>
      </w:pPr>
    </w:p>
    <w:p>
      <w:pPr>
        <w:pStyle w:val="5"/>
        <w:rPr>
          <w:rFonts w:hint="eastAsia" w:ascii="楷体" w:hAnsi="楷体" w:eastAsia="楷体" w:cs="仿宋"/>
          <w:color w:val="auto"/>
          <w:szCs w:val="24"/>
          <w:highlight w:val="none"/>
        </w:rPr>
      </w:pPr>
    </w:p>
    <w:p>
      <w:pPr>
        <w:rPr>
          <w:rFonts w:hint="eastAsia"/>
          <w:color w:val="auto"/>
          <w:highlight w:val="none"/>
        </w:rPr>
      </w:pPr>
    </w:p>
    <w:p>
      <w:pPr>
        <w:spacing w:line="480" w:lineRule="auto"/>
        <w:rPr>
          <w:rFonts w:hint="eastAsia" w:ascii="楷体" w:hAnsi="楷体" w:eastAsia="楷体" w:cs="仿宋"/>
          <w:color w:val="auto"/>
          <w:szCs w:val="24"/>
          <w:highlight w:val="none"/>
        </w:rPr>
      </w:pPr>
    </w:p>
    <w:p>
      <w:pPr>
        <w:spacing w:line="48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 xml:space="preserve">供应商名称（公章）:             </w:t>
      </w:r>
    </w:p>
    <w:p>
      <w:pPr>
        <w:spacing w:line="48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法定代表人/被授权人（签字或盖章）：</w:t>
      </w:r>
    </w:p>
    <w:p>
      <w:pPr>
        <w:spacing w:line="480" w:lineRule="auto"/>
        <w:rPr>
          <w:rFonts w:hint="eastAsia" w:ascii="楷体" w:hAnsi="楷体" w:eastAsia="楷体" w:cs="仿宋"/>
          <w:b/>
          <w:color w:val="auto"/>
          <w:sz w:val="30"/>
          <w:szCs w:val="30"/>
          <w:highlight w:val="none"/>
        </w:rPr>
      </w:pPr>
      <w:r>
        <w:rPr>
          <w:rFonts w:hint="eastAsia" w:ascii="楷体" w:hAnsi="楷体" w:eastAsia="楷体" w:cs="仿宋"/>
          <w:color w:val="auto"/>
          <w:szCs w:val="24"/>
          <w:highlight w:val="none"/>
        </w:rPr>
        <w:t xml:space="preserve">日    期：                                   </w:t>
      </w:r>
    </w:p>
    <w:p>
      <w:pPr>
        <w:spacing w:line="360" w:lineRule="auto"/>
        <w:jc w:val="center"/>
        <w:rPr>
          <w:rFonts w:hint="eastAsia" w:ascii="楷体" w:hAnsi="楷体" w:eastAsia="楷体" w:cs="仿宋"/>
          <w:color w:val="auto"/>
          <w:highlight w:val="none"/>
        </w:rPr>
      </w:pPr>
      <w:r>
        <w:rPr>
          <w:rFonts w:ascii="楷体" w:hAnsi="楷体" w:eastAsia="楷体" w:cs="仿宋"/>
          <w:b/>
          <w:color w:val="auto"/>
          <w:sz w:val="30"/>
          <w:szCs w:val="30"/>
          <w:highlight w:val="none"/>
        </w:rPr>
        <w:br w:type="page"/>
      </w:r>
      <w:r>
        <w:rPr>
          <w:rFonts w:hint="eastAsia" w:ascii="楷体" w:hAnsi="楷体" w:eastAsia="楷体" w:cs="仿宋"/>
          <w:b/>
          <w:color w:val="auto"/>
          <w:sz w:val="30"/>
          <w:szCs w:val="30"/>
          <w:highlight w:val="none"/>
          <w:lang w:val="en-US" w:eastAsia="zh-CN"/>
        </w:rPr>
        <w:t>3</w:t>
      </w:r>
      <w:r>
        <w:rPr>
          <w:rFonts w:hint="eastAsia" w:ascii="楷体" w:hAnsi="楷体" w:eastAsia="楷体" w:cs="仿宋"/>
          <w:b/>
          <w:color w:val="auto"/>
          <w:sz w:val="30"/>
          <w:szCs w:val="30"/>
          <w:highlight w:val="none"/>
        </w:rPr>
        <w:t>.2分项报价表</w:t>
      </w:r>
      <w:r>
        <w:rPr>
          <w:rFonts w:hint="eastAsia" w:ascii="楷体" w:hAnsi="楷体" w:eastAsia="楷体" w:cs="仿宋"/>
          <w:color w:val="auto"/>
          <w:highlight w:val="none"/>
        </w:rPr>
        <w:t xml:space="preserve">      </w:t>
      </w:r>
    </w:p>
    <w:p>
      <w:pPr>
        <w:jc w:val="left"/>
        <w:rPr>
          <w:rFonts w:hint="eastAsia" w:ascii="楷体" w:hAnsi="楷体" w:eastAsia="楷体" w:cs="宋体"/>
          <w:b/>
          <w:color w:val="auto"/>
          <w:highlight w:val="none"/>
        </w:rPr>
      </w:pPr>
      <w:r>
        <w:rPr>
          <w:rFonts w:hint="eastAsia" w:ascii="楷体" w:hAnsi="楷体" w:eastAsia="楷体" w:cs="宋体"/>
          <w:b/>
          <w:color w:val="auto"/>
          <w:highlight w:val="none"/>
        </w:rPr>
        <w:t>项目名称：</w:t>
      </w:r>
    </w:p>
    <w:p>
      <w:pPr>
        <w:spacing w:line="360" w:lineRule="auto"/>
        <w:jc w:val="left"/>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 xml:space="preserve">项目编号： </w:t>
      </w:r>
    </w:p>
    <w:tbl>
      <w:tblPr>
        <w:tblStyle w:val="46"/>
        <w:tblW w:w="8844" w:type="dxa"/>
        <w:jc w:val="center"/>
        <w:tblLayout w:type="fixed"/>
        <w:tblCellMar>
          <w:top w:w="0" w:type="dxa"/>
          <w:left w:w="28" w:type="dxa"/>
          <w:bottom w:w="0" w:type="dxa"/>
          <w:right w:w="28" w:type="dxa"/>
        </w:tblCellMar>
      </w:tblPr>
      <w:tblGrid>
        <w:gridCol w:w="871"/>
        <w:gridCol w:w="532"/>
        <w:gridCol w:w="792"/>
        <w:gridCol w:w="1562"/>
        <w:gridCol w:w="1578"/>
        <w:gridCol w:w="1171"/>
        <w:gridCol w:w="1167"/>
        <w:gridCol w:w="1171"/>
      </w:tblGrid>
      <w:tr>
        <w:tblPrEx>
          <w:tblCellMar>
            <w:top w:w="0" w:type="dxa"/>
            <w:left w:w="28" w:type="dxa"/>
            <w:bottom w:w="0" w:type="dxa"/>
            <w:right w:w="28" w:type="dxa"/>
          </w:tblCellMar>
        </w:tblPrEx>
        <w:trPr>
          <w:trHeight w:val="931" w:hRule="exact"/>
          <w:jc w:val="center"/>
        </w:trPr>
        <w:tc>
          <w:tcPr>
            <w:tcW w:w="871" w:type="dxa"/>
            <w:vMerge w:val="restart"/>
            <w:tcBorders>
              <w:top w:val="single" w:color="auto" w:sz="6" w:space="0"/>
              <w:left w:val="single" w:color="auto" w:sz="6" w:space="0"/>
              <w:right w:val="single" w:color="auto" w:sz="4" w:space="0"/>
            </w:tcBorders>
            <w:vAlign w:val="center"/>
          </w:tcPr>
          <w:p>
            <w:pPr>
              <w:spacing w:line="360" w:lineRule="auto"/>
              <w:jc w:val="center"/>
              <w:rPr>
                <w:rFonts w:hint="eastAsia" w:ascii="楷体" w:hAnsi="楷体" w:eastAsia="楷体" w:cs="仿宋"/>
                <w:b/>
                <w:color w:val="auto"/>
                <w:szCs w:val="24"/>
                <w:highlight w:val="none"/>
              </w:rPr>
            </w:pPr>
            <w:r>
              <w:rPr>
                <w:rFonts w:hint="eastAsia" w:ascii="楷体" w:hAnsi="楷体" w:eastAsia="楷体" w:cs="仿宋"/>
                <w:b/>
                <w:color w:val="auto"/>
                <w:highlight w:val="none"/>
              </w:rPr>
              <w:t xml:space="preserve">                           </w:t>
            </w:r>
            <w:r>
              <w:rPr>
                <w:rFonts w:hint="eastAsia" w:ascii="楷体" w:hAnsi="楷体" w:eastAsia="楷体" w:cs="仿宋"/>
                <w:b/>
                <w:color w:val="auto"/>
                <w:szCs w:val="24"/>
                <w:highlight w:val="none"/>
              </w:rPr>
              <w:t>产品</w:t>
            </w:r>
          </w:p>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szCs w:val="24"/>
                <w:highlight w:val="none"/>
              </w:rPr>
              <w:t>费用</w:t>
            </w:r>
          </w:p>
        </w:tc>
        <w:tc>
          <w:tcPr>
            <w:tcW w:w="532" w:type="dxa"/>
            <w:tcBorders>
              <w:top w:val="single" w:color="auto" w:sz="6" w:space="0"/>
              <w:left w:val="single" w:color="auto" w:sz="4" w:space="0"/>
              <w:bottom w:val="single" w:color="auto" w:sz="6" w:space="0"/>
            </w:tcBorders>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序号</w:t>
            </w:r>
          </w:p>
        </w:tc>
        <w:tc>
          <w:tcPr>
            <w:tcW w:w="7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名称</w:t>
            </w:r>
          </w:p>
        </w:tc>
        <w:tc>
          <w:tcPr>
            <w:tcW w:w="15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品牌和型号</w:t>
            </w:r>
          </w:p>
        </w:tc>
        <w:tc>
          <w:tcPr>
            <w:tcW w:w="157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原产地及</w:t>
            </w:r>
          </w:p>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制造厂名</w:t>
            </w:r>
          </w:p>
        </w:tc>
        <w:tc>
          <w:tcPr>
            <w:tcW w:w="117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数量</w:t>
            </w:r>
          </w:p>
        </w:tc>
        <w:tc>
          <w:tcPr>
            <w:tcW w:w="11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单价</w:t>
            </w:r>
          </w:p>
          <w:p>
            <w:pPr>
              <w:spacing w:line="360" w:lineRule="auto"/>
              <w:jc w:val="center"/>
              <w:rPr>
                <w:rFonts w:hint="eastAsia" w:ascii="楷体" w:hAnsi="楷体" w:eastAsia="楷体" w:cs="仿宋"/>
                <w:b/>
                <w:bCs/>
                <w:color w:val="auto"/>
                <w:highlight w:val="none"/>
              </w:rPr>
            </w:pPr>
            <w:r>
              <w:rPr>
                <w:rFonts w:hint="eastAsia" w:ascii="楷体" w:hAnsi="楷体" w:eastAsia="楷体" w:cs="仿宋"/>
                <w:b/>
                <w:color w:val="auto"/>
                <w:highlight w:val="none"/>
              </w:rPr>
              <w:t>（元）</w:t>
            </w:r>
          </w:p>
        </w:tc>
        <w:tc>
          <w:tcPr>
            <w:tcW w:w="117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b/>
                <w:bCs/>
                <w:color w:val="auto"/>
                <w:highlight w:val="none"/>
              </w:rPr>
            </w:pPr>
            <w:r>
              <w:rPr>
                <w:rFonts w:hint="eastAsia" w:ascii="楷体" w:hAnsi="楷体" w:eastAsia="楷体" w:cs="仿宋"/>
                <w:b/>
                <w:bCs/>
                <w:color w:val="auto"/>
                <w:highlight w:val="none"/>
              </w:rPr>
              <w:t>总价</w:t>
            </w:r>
          </w:p>
          <w:p>
            <w:pPr>
              <w:spacing w:line="360" w:lineRule="auto"/>
              <w:jc w:val="center"/>
              <w:rPr>
                <w:rFonts w:hint="eastAsia" w:ascii="楷体" w:hAnsi="楷体" w:eastAsia="楷体" w:cs="仿宋"/>
                <w:b/>
                <w:bCs/>
                <w:color w:val="auto"/>
                <w:highlight w:val="none"/>
              </w:rPr>
            </w:pPr>
            <w:r>
              <w:rPr>
                <w:rFonts w:hint="eastAsia" w:ascii="楷体" w:hAnsi="楷体" w:eastAsia="楷体" w:cs="仿宋"/>
                <w:b/>
                <w:bCs/>
                <w:color w:val="auto"/>
                <w:highlight w:val="none"/>
              </w:rPr>
              <w:t>（元）</w:t>
            </w:r>
          </w:p>
        </w:tc>
      </w:tr>
      <w:tr>
        <w:tblPrEx>
          <w:tblCellMar>
            <w:top w:w="0" w:type="dxa"/>
            <w:left w:w="28" w:type="dxa"/>
            <w:bottom w:w="0" w:type="dxa"/>
            <w:right w:w="28" w:type="dxa"/>
          </w:tblCellMar>
        </w:tblPrEx>
        <w:trPr>
          <w:trHeight w:val="851" w:hRule="exact"/>
          <w:jc w:val="center"/>
        </w:trPr>
        <w:tc>
          <w:tcPr>
            <w:tcW w:w="871" w:type="dxa"/>
            <w:vMerge w:val="continue"/>
            <w:tcBorders>
              <w:left w:val="single" w:color="auto" w:sz="6" w:space="0"/>
              <w:right w:val="single" w:color="auto" w:sz="4" w:space="0"/>
            </w:tcBorders>
            <w:vAlign w:val="center"/>
          </w:tcPr>
          <w:p>
            <w:pPr>
              <w:spacing w:line="360" w:lineRule="auto"/>
              <w:jc w:val="center"/>
              <w:rPr>
                <w:rFonts w:hint="eastAsia" w:ascii="楷体" w:hAnsi="楷体" w:eastAsia="楷体" w:cs="仿宋"/>
                <w:color w:val="auto"/>
                <w:highlight w:val="none"/>
              </w:rPr>
            </w:pPr>
          </w:p>
        </w:tc>
        <w:tc>
          <w:tcPr>
            <w:tcW w:w="532" w:type="dxa"/>
            <w:tcBorders>
              <w:top w:val="single" w:color="auto" w:sz="6" w:space="0"/>
              <w:left w:val="single" w:color="auto" w:sz="4" w:space="0"/>
              <w:bottom w:val="single" w:color="auto" w:sz="4" w:space="0"/>
            </w:tcBorders>
            <w:vAlign w:val="center"/>
          </w:tcPr>
          <w:p>
            <w:pPr>
              <w:spacing w:line="360" w:lineRule="auto"/>
              <w:jc w:val="center"/>
              <w:rPr>
                <w:rFonts w:hint="eastAsia" w:ascii="楷体" w:hAnsi="楷体" w:eastAsia="楷体" w:cs="仿宋"/>
                <w:color w:val="auto"/>
                <w:highlight w:val="none"/>
              </w:rPr>
            </w:pPr>
            <w:r>
              <w:rPr>
                <w:rFonts w:hint="eastAsia" w:ascii="楷体" w:hAnsi="楷体" w:eastAsia="楷体" w:cs="仿宋"/>
                <w:color w:val="auto"/>
                <w:highlight w:val="none"/>
              </w:rPr>
              <w:t>1</w:t>
            </w:r>
          </w:p>
        </w:tc>
        <w:tc>
          <w:tcPr>
            <w:tcW w:w="792"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562"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578"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71"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67"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71"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楷体" w:hAnsi="楷体" w:eastAsia="楷体" w:cs="仿宋"/>
                <w:color w:val="auto"/>
                <w:highlight w:val="none"/>
              </w:rPr>
            </w:pPr>
          </w:p>
        </w:tc>
      </w:tr>
      <w:tr>
        <w:tblPrEx>
          <w:tblCellMar>
            <w:top w:w="0" w:type="dxa"/>
            <w:left w:w="28" w:type="dxa"/>
            <w:bottom w:w="0" w:type="dxa"/>
            <w:right w:w="28" w:type="dxa"/>
          </w:tblCellMar>
        </w:tblPrEx>
        <w:trPr>
          <w:trHeight w:val="851" w:hRule="exact"/>
          <w:jc w:val="center"/>
        </w:trPr>
        <w:tc>
          <w:tcPr>
            <w:tcW w:w="871" w:type="dxa"/>
            <w:vMerge w:val="continue"/>
            <w:tcBorders>
              <w:left w:val="single" w:color="auto" w:sz="6" w:space="0"/>
              <w:right w:val="single" w:color="auto" w:sz="4" w:space="0"/>
            </w:tcBorders>
            <w:vAlign w:val="center"/>
          </w:tcPr>
          <w:p>
            <w:pPr>
              <w:spacing w:line="360" w:lineRule="auto"/>
              <w:jc w:val="center"/>
              <w:rPr>
                <w:rFonts w:hint="eastAsia" w:ascii="楷体" w:hAnsi="楷体" w:eastAsia="楷体" w:cs="仿宋"/>
                <w:color w:val="auto"/>
                <w:highlight w:val="none"/>
              </w:rPr>
            </w:pPr>
          </w:p>
        </w:tc>
        <w:tc>
          <w:tcPr>
            <w:tcW w:w="532" w:type="dxa"/>
            <w:tcBorders>
              <w:top w:val="single" w:color="auto" w:sz="4" w:space="0"/>
              <w:left w:val="single" w:color="auto" w:sz="4" w:space="0"/>
              <w:bottom w:val="single" w:color="auto" w:sz="6" w:space="0"/>
            </w:tcBorders>
            <w:vAlign w:val="center"/>
          </w:tcPr>
          <w:p>
            <w:pPr>
              <w:spacing w:line="360" w:lineRule="auto"/>
              <w:jc w:val="center"/>
              <w:rPr>
                <w:rFonts w:hint="eastAsia" w:ascii="楷体" w:hAnsi="楷体" w:eastAsia="楷体" w:cs="仿宋"/>
                <w:color w:val="auto"/>
                <w:highlight w:val="none"/>
              </w:rPr>
            </w:pPr>
            <w:r>
              <w:rPr>
                <w:rFonts w:hint="eastAsia" w:ascii="楷体" w:hAnsi="楷体" w:eastAsia="楷体" w:cs="仿宋"/>
                <w:color w:val="auto"/>
                <w:highlight w:val="none"/>
              </w:rPr>
              <w:t>2</w:t>
            </w:r>
          </w:p>
        </w:tc>
        <w:tc>
          <w:tcPr>
            <w:tcW w:w="792"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562"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578"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71"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67"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71"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r>
      <w:tr>
        <w:tblPrEx>
          <w:tblCellMar>
            <w:top w:w="0" w:type="dxa"/>
            <w:left w:w="28" w:type="dxa"/>
            <w:bottom w:w="0" w:type="dxa"/>
            <w:right w:w="28" w:type="dxa"/>
          </w:tblCellMar>
        </w:tblPrEx>
        <w:trPr>
          <w:trHeight w:val="851" w:hRule="exact"/>
          <w:jc w:val="center"/>
        </w:trPr>
        <w:tc>
          <w:tcPr>
            <w:tcW w:w="871" w:type="dxa"/>
            <w:vMerge w:val="continue"/>
            <w:tcBorders>
              <w:left w:val="single" w:color="auto" w:sz="6" w:space="0"/>
              <w:right w:val="single" w:color="auto" w:sz="4" w:space="0"/>
            </w:tcBorders>
            <w:vAlign w:val="center"/>
          </w:tcPr>
          <w:p>
            <w:pPr>
              <w:spacing w:line="360" w:lineRule="auto"/>
              <w:jc w:val="center"/>
              <w:rPr>
                <w:rFonts w:hint="eastAsia" w:ascii="楷体" w:hAnsi="楷体" w:eastAsia="楷体" w:cs="仿宋"/>
                <w:color w:val="auto"/>
                <w:highlight w:val="none"/>
              </w:rPr>
            </w:pPr>
          </w:p>
        </w:tc>
        <w:tc>
          <w:tcPr>
            <w:tcW w:w="532" w:type="dxa"/>
            <w:tcBorders>
              <w:top w:val="single" w:color="auto" w:sz="4" w:space="0"/>
              <w:left w:val="single" w:color="auto" w:sz="4" w:space="0"/>
              <w:bottom w:val="single" w:color="auto" w:sz="6" w:space="0"/>
            </w:tcBorders>
            <w:vAlign w:val="center"/>
          </w:tcPr>
          <w:p>
            <w:pPr>
              <w:spacing w:line="360" w:lineRule="auto"/>
              <w:jc w:val="center"/>
              <w:rPr>
                <w:rFonts w:hint="eastAsia" w:ascii="楷体" w:hAnsi="楷体" w:eastAsia="楷体" w:cs="仿宋"/>
                <w:color w:val="auto"/>
                <w:highlight w:val="none"/>
              </w:rPr>
            </w:pPr>
            <w:r>
              <w:rPr>
                <w:rFonts w:hint="eastAsia" w:ascii="楷体" w:hAnsi="楷体" w:eastAsia="楷体" w:cs="仿宋"/>
                <w:color w:val="auto"/>
                <w:highlight w:val="none"/>
              </w:rPr>
              <w:t>3</w:t>
            </w:r>
          </w:p>
        </w:tc>
        <w:tc>
          <w:tcPr>
            <w:tcW w:w="792"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562"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578"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71"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67"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71"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r>
      <w:tr>
        <w:tblPrEx>
          <w:tblCellMar>
            <w:top w:w="0" w:type="dxa"/>
            <w:left w:w="28" w:type="dxa"/>
            <w:bottom w:w="0" w:type="dxa"/>
            <w:right w:w="28" w:type="dxa"/>
          </w:tblCellMar>
        </w:tblPrEx>
        <w:trPr>
          <w:trHeight w:val="851" w:hRule="exact"/>
          <w:jc w:val="center"/>
        </w:trPr>
        <w:tc>
          <w:tcPr>
            <w:tcW w:w="2195" w:type="dxa"/>
            <w:gridSpan w:val="3"/>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运杂费</w:t>
            </w:r>
          </w:p>
        </w:tc>
        <w:tc>
          <w:tcPr>
            <w:tcW w:w="6649" w:type="dxa"/>
            <w:gridSpan w:val="5"/>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r>
      <w:tr>
        <w:tblPrEx>
          <w:tblCellMar>
            <w:top w:w="0" w:type="dxa"/>
            <w:left w:w="28" w:type="dxa"/>
            <w:bottom w:w="0" w:type="dxa"/>
            <w:right w:w="28" w:type="dxa"/>
          </w:tblCellMar>
        </w:tblPrEx>
        <w:trPr>
          <w:trHeight w:val="851" w:hRule="exact"/>
          <w:jc w:val="center"/>
        </w:trPr>
        <w:tc>
          <w:tcPr>
            <w:tcW w:w="2195" w:type="dxa"/>
            <w:gridSpan w:val="3"/>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安装调试费</w:t>
            </w:r>
          </w:p>
        </w:tc>
        <w:tc>
          <w:tcPr>
            <w:tcW w:w="6649" w:type="dxa"/>
            <w:gridSpan w:val="5"/>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r>
      <w:tr>
        <w:tblPrEx>
          <w:tblCellMar>
            <w:top w:w="0" w:type="dxa"/>
            <w:left w:w="28" w:type="dxa"/>
            <w:bottom w:w="0" w:type="dxa"/>
            <w:right w:w="28" w:type="dxa"/>
          </w:tblCellMar>
        </w:tblPrEx>
        <w:trPr>
          <w:trHeight w:val="851" w:hRule="exact"/>
          <w:jc w:val="center"/>
        </w:trPr>
        <w:tc>
          <w:tcPr>
            <w:tcW w:w="2195" w:type="dxa"/>
            <w:gridSpan w:val="3"/>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highlight w:val="none"/>
              </w:rPr>
              <w:t>其他费用</w:t>
            </w:r>
          </w:p>
        </w:tc>
        <w:tc>
          <w:tcPr>
            <w:tcW w:w="6649" w:type="dxa"/>
            <w:gridSpan w:val="5"/>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r>
              <w:rPr>
                <w:rFonts w:hint="eastAsia" w:ascii="楷体" w:hAnsi="楷体" w:eastAsia="楷体" w:cs="仿宋"/>
                <w:color w:val="auto"/>
                <w:szCs w:val="24"/>
                <w:highlight w:val="none"/>
              </w:rPr>
              <w:t>……</w:t>
            </w:r>
          </w:p>
        </w:tc>
      </w:tr>
      <w:tr>
        <w:tblPrEx>
          <w:tblCellMar>
            <w:top w:w="0" w:type="dxa"/>
            <w:left w:w="28" w:type="dxa"/>
            <w:bottom w:w="0" w:type="dxa"/>
            <w:right w:w="28" w:type="dxa"/>
          </w:tblCellMar>
        </w:tblPrEx>
        <w:trPr>
          <w:trHeight w:val="851" w:hRule="exact"/>
          <w:jc w:val="center"/>
        </w:trPr>
        <w:tc>
          <w:tcPr>
            <w:tcW w:w="2195" w:type="dxa"/>
            <w:gridSpan w:val="3"/>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r>
              <w:rPr>
                <w:rFonts w:hint="eastAsia" w:ascii="楷体" w:hAnsi="楷体" w:eastAsia="楷体" w:cs="仿宋"/>
                <w:color w:val="auto"/>
                <w:szCs w:val="24"/>
                <w:highlight w:val="none"/>
              </w:rPr>
              <w:t>……</w:t>
            </w:r>
          </w:p>
        </w:tc>
        <w:tc>
          <w:tcPr>
            <w:tcW w:w="6649" w:type="dxa"/>
            <w:gridSpan w:val="5"/>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r>
      <w:tr>
        <w:tblPrEx>
          <w:tblCellMar>
            <w:top w:w="0" w:type="dxa"/>
            <w:left w:w="28" w:type="dxa"/>
            <w:bottom w:w="0" w:type="dxa"/>
            <w:right w:w="28" w:type="dxa"/>
          </w:tblCellMar>
        </w:tblPrEx>
        <w:trPr>
          <w:trHeight w:val="851" w:hRule="exact"/>
          <w:jc w:val="center"/>
        </w:trPr>
        <w:tc>
          <w:tcPr>
            <w:tcW w:w="1403" w:type="dxa"/>
            <w:gridSpan w:val="2"/>
            <w:tcBorders>
              <w:top w:val="single" w:color="auto" w:sz="4" w:space="0"/>
              <w:left w:val="single" w:color="auto" w:sz="6" w:space="0"/>
              <w:bottom w:val="single" w:color="auto" w:sz="6" w:space="0"/>
            </w:tcBorders>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磋商总报价</w:t>
            </w:r>
          </w:p>
        </w:tc>
        <w:tc>
          <w:tcPr>
            <w:tcW w:w="7441" w:type="dxa"/>
            <w:gridSpan w:val="6"/>
            <w:tcBorders>
              <w:top w:val="single" w:color="auto" w:sz="4"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大写：                           小写：</w:t>
            </w:r>
          </w:p>
        </w:tc>
      </w:tr>
      <w:tr>
        <w:tblPrEx>
          <w:tblCellMar>
            <w:top w:w="0" w:type="dxa"/>
            <w:left w:w="28" w:type="dxa"/>
            <w:bottom w:w="0" w:type="dxa"/>
            <w:right w:w="28" w:type="dxa"/>
          </w:tblCellMar>
        </w:tblPrEx>
        <w:trPr>
          <w:trHeight w:val="851" w:hRule="exact"/>
          <w:jc w:val="center"/>
        </w:trPr>
        <w:tc>
          <w:tcPr>
            <w:tcW w:w="1403" w:type="dxa"/>
            <w:gridSpan w:val="2"/>
            <w:tcBorders>
              <w:top w:val="single" w:color="auto" w:sz="4" w:space="0"/>
              <w:left w:val="single" w:color="auto" w:sz="6" w:space="0"/>
              <w:bottom w:val="single" w:color="auto" w:sz="6" w:space="0"/>
            </w:tcBorders>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备注</w:t>
            </w:r>
          </w:p>
        </w:tc>
        <w:tc>
          <w:tcPr>
            <w:tcW w:w="7441" w:type="dxa"/>
            <w:gridSpan w:val="6"/>
            <w:tcBorders>
              <w:top w:val="single" w:color="auto" w:sz="4"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pacing w:val="-6"/>
                <w:szCs w:val="24"/>
                <w:highlight w:val="none"/>
              </w:rPr>
              <w:t>保留小数点后两位。</w:t>
            </w:r>
          </w:p>
        </w:tc>
      </w:tr>
    </w:tbl>
    <w:p>
      <w:pPr>
        <w:spacing w:line="360" w:lineRule="auto"/>
        <w:rPr>
          <w:rFonts w:hint="eastAsia" w:ascii="楷体" w:hAnsi="楷体" w:eastAsia="楷体" w:cs="仿宋"/>
          <w:b/>
          <w:color w:val="auto"/>
          <w:highlight w:val="none"/>
        </w:rPr>
      </w:pPr>
      <w:r>
        <w:rPr>
          <w:rFonts w:hint="eastAsia" w:ascii="楷体" w:hAnsi="楷体" w:eastAsia="楷体" w:cs="仿宋"/>
          <w:b/>
          <w:color w:val="auto"/>
          <w:highlight w:val="none"/>
        </w:rPr>
        <w:t>注：1.如果按单价计算的结果与总价不一致，以单价为准修正总价。</w:t>
      </w:r>
    </w:p>
    <w:p>
      <w:pPr>
        <w:spacing w:line="360" w:lineRule="auto"/>
        <w:ind w:firstLine="482" w:firstLineChars="200"/>
        <w:rPr>
          <w:rFonts w:hint="eastAsia" w:ascii="楷体" w:hAnsi="楷体" w:eastAsia="楷体" w:cs="仿宋"/>
          <w:b/>
          <w:color w:val="auto"/>
          <w:highlight w:val="none"/>
        </w:rPr>
      </w:pPr>
      <w:r>
        <w:rPr>
          <w:rFonts w:hint="eastAsia" w:ascii="楷体" w:hAnsi="楷体" w:eastAsia="楷体" w:cs="仿宋"/>
          <w:b/>
          <w:color w:val="auto"/>
          <w:highlight w:val="none"/>
        </w:rPr>
        <w:t xml:space="preserve"> 2.如果不提供详细分项报价将视为没有实质性响应磋商文件。</w:t>
      </w:r>
    </w:p>
    <w:p>
      <w:pPr>
        <w:spacing w:line="360" w:lineRule="auto"/>
        <w:ind w:firstLine="482" w:firstLineChars="200"/>
        <w:rPr>
          <w:rFonts w:hint="eastAsia" w:ascii="楷体" w:hAnsi="楷体" w:eastAsia="楷体" w:cs="仿宋"/>
          <w:b/>
          <w:bCs/>
          <w:color w:val="auto"/>
          <w:highlight w:val="none"/>
        </w:rPr>
      </w:pPr>
      <w:r>
        <w:rPr>
          <w:rFonts w:hint="eastAsia" w:ascii="楷体" w:hAnsi="楷体" w:eastAsia="楷体" w:cs="仿宋"/>
          <w:b/>
          <w:bCs/>
          <w:color w:val="auto"/>
          <w:highlight w:val="none"/>
        </w:rPr>
        <w:t xml:space="preserve"> 3.供应商可按实际需要适当调整该表格式。</w:t>
      </w:r>
    </w:p>
    <w:p>
      <w:pPr>
        <w:spacing w:line="360" w:lineRule="auto"/>
        <w:rPr>
          <w:rFonts w:hint="eastAsia" w:ascii="楷体" w:hAnsi="楷体" w:eastAsia="楷体" w:cs="仿宋"/>
          <w:color w:val="auto"/>
          <w:highlight w:val="none"/>
        </w:rPr>
      </w:pP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供应商名称（公章）：</w:t>
      </w: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法定代表人/被授权人（</w:t>
      </w:r>
      <w:r>
        <w:rPr>
          <w:rFonts w:hint="eastAsia" w:ascii="楷体" w:hAnsi="楷体" w:eastAsia="楷体" w:cs="仿宋"/>
          <w:color w:val="auto"/>
          <w:spacing w:val="4"/>
          <w:szCs w:val="24"/>
          <w:highlight w:val="none"/>
        </w:rPr>
        <w:t>签字或盖章</w:t>
      </w:r>
      <w:r>
        <w:rPr>
          <w:rFonts w:hint="eastAsia" w:ascii="楷体" w:hAnsi="楷体" w:eastAsia="楷体" w:cs="仿宋"/>
          <w:color w:val="auto"/>
          <w:highlight w:val="none"/>
        </w:rPr>
        <w:t>）：</w:t>
      </w:r>
    </w:p>
    <w:p>
      <w:pPr>
        <w:spacing w:line="360" w:lineRule="auto"/>
        <w:rPr>
          <w:rFonts w:hint="eastAsia" w:ascii="楷体" w:hAnsi="楷体" w:eastAsia="楷体" w:cs="仿宋"/>
          <w:color w:val="auto"/>
          <w:highlight w:val="none"/>
        </w:rPr>
      </w:pPr>
      <w:r>
        <w:rPr>
          <w:rFonts w:hint="eastAsia" w:ascii="楷体" w:hAnsi="楷体" w:eastAsia="楷体" w:cs="仿宋"/>
          <w:color w:val="auto"/>
          <w:highlight w:val="none"/>
        </w:rPr>
        <w:t>日    期：</w:t>
      </w:r>
    </w:p>
    <w:p>
      <w:pPr>
        <w:spacing w:line="360" w:lineRule="auto"/>
        <w:rPr>
          <w:rFonts w:hint="eastAsia" w:ascii="楷体" w:hAnsi="楷体" w:eastAsia="楷体" w:cs="仿宋"/>
          <w:color w:val="auto"/>
          <w:highlight w:val="none"/>
        </w:rPr>
      </w:pPr>
    </w:p>
    <w:p>
      <w:pPr>
        <w:adjustRightInd w:val="0"/>
        <w:snapToGrid w:val="0"/>
        <w:spacing w:line="360" w:lineRule="auto"/>
        <w:jc w:val="center"/>
        <w:rPr>
          <w:rFonts w:hint="eastAsia" w:ascii="楷体" w:hAnsi="楷体" w:eastAsia="楷体" w:cs="仿宋"/>
          <w:b/>
          <w:bCs/>
          <w:color w:val="auto"/>
          <w:sz w:val="32"/>
          <w:szCs w:val="32"/>
          <w:highlight w:val="none"/>
        </w:rPr>
      </w:pPr>
      <w:r>
        <w:rPr>
          <w:rFonts w:hint="eastAsia" w:ascii="楷体" w:hAnsi="楷体" w:eastAsia="楷体" w:cs="仿宋"/>
          <w:b/>
          <w:bCs/>
          <w:color w:val="auto"/>
          <w:sz w:val="32"/>
          <w:szCs w:val="32"/>
          <w:highlight w:val="none"/>
          <w:lang w:eastAsia="zh-CN"/>
        </w:rPr>
        <w:t>四</w:t>
      </w:r>
      <w:r>
        <w:rPr>
          <w:rFonts w:hint="eastAsia" w:ascii="楷体" w:hAnsi="楷体" w:eastAsia="楷体" w:cs="仿宋"/>
          <w:b/>
          <w:bCs/>
          <w:color w:val="auto"/>
          <w:sz w:val="32"/>
          <w:szCs w:val="32"/>
          <w:highlight w:val="none"/>
        </w:rPr>
        <w:t>、商务要求</w:t>
      </w:r>
    </w:p>
    <w:bookmarkEnd w:id="67"/>
    <w:p>
      <w:pPr>
        <w:spacing w:line="360" w:lineRule="auto"/>
        <w:ind w:firstLine="482" w:firstLineChars="200"/>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供应商应按照磋商文件的要求编制商务要求。主要内容须包括但不限于以下几点。</w:t>
      </w:r>
      <w:r>
        <w:rPr>
          <w:rFonts w:hint="eastAsia" w:ascii="楷体" w:hAnsi="楷体" w:eastAsia="楷体" w:cs="楷体"/>
          <w:b/>
          <w:color w:val="auto"/>
          <w:szCs w:val="24"/>
          <w:highlight w:val="none"/>
          <w:lang w:val="en-US" w:eastAsia="zh-CN"/>
        </w:rPr>
        <w:t>如果实质上没有响应磋商文件要求，将按无效磋商处理。</w:t>
      </w:r>
    </w:p>
    <w:p>
      <w:pPr>
        <w:spacing w:line="360" w:lineRule="auto"/>
        <w:rPr>
          <w:rFonts w:hint="eastAsia" w:ascii="楷体" w:hAnsi="楷体" w:eastAsia="楷体" w:cs="楷体"/>
          <w:color w:val="auto"/>
          <w:szCs w:val="24"/>
          <w:highlight w:val="none"/>
        </w:rPr>
      </w:pPr>
      <w:r>
        <w:rPr>
          <w:rFonts w:hint="eastAsia" w:ascii="楷体" w:hAnsi="楷体" w:eastAsia="楷体" w:cs="楷体"/>
          <w:b/>
          <w:bCs/>
          <w:color w:val="auto"/>
          <w:szCs w:val="24"/>
          <w:highlight w:val="none"/>
        </w:rPr>
        <w:t>（一）资格审查文件</w:t>
      </w:r>
      <w:r>
        <w:rPr>
          <w:rFonts w:hint="eastAsia" w:ascii="楷体" w:hAnsi="楷体" w:eastAsia="楷体" w:cs="楷体"/>
          <w:color w:val="auto"/>
          <w:szCs w:val="24"/>
          <w:highlight w:val="none"/>
        </w:rPr>
        <w:t>（以下相关资料提供加盖公章的复印件，须清晰可见）</w:t>
      </w:r>
    </w:p>
    <w:p>
      <w:pPr>
        <w:spacing w:line="360" w:lineRule="auto"/>
      </w:pPr>
      <w:r>
        <w:rPr>
          <w:rFonts w:hint="eastAsia" w:ascii="楷体" w:hAnsi="楷体" w:eastAsia="楷体" w:cs="楷体"/>
          <w:i w:val="0"/>
          <w:iCs w:val="0"/>
          <w:caps w:val="0"/>
          <w:color w:val="333333"/>
          <w:spacing w:val="0"/>
          <w:sz w:val="24"/>
          <w:szCs w:val="24"/>
          <w:shd w:val="clear" w:fill="FFFFFF"/>
          <w:vertAlign w:val="baseline"/>
        </w:rPr>
        <w:t>（1）提供有效合格的社会统一信用代码的营业执照，其他组织经营的须提供合法凭证，自然人的提供身份证明文件;</w:t>
      </w:r>
      <w:r>
        <w:rPr>
          <w:rFonts w:hint="eastAsia" w:ascii="楷体" w:hAnsi="楷体" w:eastAsia="楷体" w:cs="楷体"/>
          <w:i w:val="0"/>
          <w:iCs w:val="0"/>
          <w:caps w:val="0"/>
          <w:color w:val="333333"/>
          <w:spacing w:val="0"/>
          <w:sz w:val="24"/>
          <w:szCs w:val="24"/>
          <w:shd w:val="clear" w:fill="FFFFFF"/>
          <w:vertAlign w:val="baseline"/>
        </w:rPr>
        <w:br w:type="textWrapping"/>
      </w:r>
      <w:r>
        <w:rPr>
          <w:rFonts w:hint="eastAsia" w:ascii="楷体" w:hAnsi="楷体" w:eastAsia="楷体" w:cs="楷体"/>
          <w:i w:val="0"/>
          <w:iCs w:val="0"/>
          <w:caps w:val="0"/>
          <w:color w:val="333333"/>
          <w:spacing w:val="0"/>
          <w:sz w:val="24"/>
          <w:szCs w:val="24"/>
          <w:shd w:val="clear" w:fill="FFFFFF"/>
          <w:vertAlign w:val="baseline"/>
        </w:rPr>
        <w:t>（2）法定代表人授权委托书、被授权人身份证（法定代表人参加磋商时,只需提供法定代表人身份证）；</w:t>
      </w:r>
      <w:r>
        <w:rPr>
          <w:rFonts w:hint="eastAsia" w:ascii="楷体" w:hAnsi="楷体" w:eastAsia="楷体" w:cs="楷体"/>
          <w:i w:val="0"/>
          <w:iCs w:val="0"/>
          <w:caps w:val="0"/>
          <w:color w:val="333333"/>
          <w:spacing w:val="0"/>
          <w:sz w:val="24"/>
          <w:szCs w:val="24"/>
          <w:shd w:val="clear" w:fill="FFFFFF"/>
          <w:vertAlign w:val="baseline"/>
        </w:rPr>
        <w:br w:type="textWrapping"/>
      </w:r>
      <w:r>
        <w:rPr>
          <w:rFonts w:hint="eastAsia" w:ascii="楷体" w:hAnsi="楷体" w:eastAsia="楷体" w:cs="楷体"/>
          <w:i w:val="0"/>
          <w:iCs w:val="0"/>
          <w:caps w:val="0"/>
          <w:color w:val="333333"/>
          <w:spacing w:val="0"/>
          <w:sz w:val="24"/>
          <w:szCs w:val="24"/>
          <w:shd w:val="clear" w:fill="FFFFFF"/>
          <w:vertAlign w:val="baseline"/>
        </w:rPr>
        <w:t>（3）财务状况报告：提供2020年度或2021年度经审计的财务报告，或其基本存款账户开户银行出具的资信证明及基本存款账户开户许可证（基本账户信息表）；</w:t>
      </w:r>
      <w:r>
        <w:rPr>
          <w:rFonts w:hint="eastAsia" w:ascii="楷体" w:hAnsi="楷体" w:eastAsia="楷体" w:cs="楷体"/>
          <w:i w:val="0"/>
          <w:iCs w:val="0"/>
          <w:caps w:val="0"/>
          <w:color w:val="333333"/>
          <w:spacing w:val="0"/>
          <w:sz w:val="24"/>
          <w:szCs w:val="24"/>
          <w:shd w:val="clear" w:fill="FFFFFF"/>
          <w:vertAlign w:val="baseline"/>
        </w:rPr>
        <w:br w:type="textWrapping"/>
      </w:r>
      <w:r>
        <w:rPr>
          <w:rFonts w:hint="eastAsia" w:ascii="楷体" w:hAnsi="楷体" w:eastAsia="楷体" w:cs="楷体"/>
          <w:i w:val="0"/>
          <w:iCs w:val="0"/>
          <w:caps w:val="0"/>
          <w:color w:val="333333"/>
          <w:spacing w:val="0"/>
          <w:sz w:val="24"/>
          <w:szCs w:val="24"/>
          <w:shd w:val="clear" w:fill="FFFFFF"/>
          <w:vertAlign w:val="baseline"/>
        </w:rPr>
        <w:t>（4）税收缴纳证明：提供2021年1月至今已缴纳的至少一个月的纳税证明或完税证明（任意税种），依法免税的单位应提供相关证明材料；</w:t>
      </w:r>
      <w:r>
        <w:rPr>
          <w:rFonts w:hint="eastAsia" w:ascii="楷体" w:hAnsi="楷体" w:eastAsia="楷体" w:cs="楷体"/>
          <w:i w:val="0"/>
          <w:iCs w:val="0"/>
          <w:caps w:val="0"/>
          <w:color w:val="333333"/>
          <w:spacing w:val="0"/>
          <w:sz w:val="24"/>
          <w:szCs w:val="24"/>
          <w:shd w:val="clear" w:fill="FFFFFF"/>
          <w:vertAlign w:val="baseline"/>
        </w:rPr>
        <w:br w:type="textWrapping"/>
      </w:r>
      <w:r>
        <w:rPr>
          <w:rFonts w:hint="eastAsia" w:ascii="楷体" w:hAnsi="楷体" w:eastAsia="楷体" w:cs="楷体"/>
          <w:i w:val="0"/>
          <w:iCs w:val="0"/>
          <w:caps w:val="0"/>
          <w:color w:val="333333"/>
          <w:spacing w:val="0"/>
          <w:sz w:val="24"/>
          <w:szCs w:val="24"/>
          <w:shd w:val="clear" w:fill="FFFFFF"/>
          <w:vertAlign w:val="baseline"/>
        </w:rPr>
        <w:t>（5）社会保障资金缴纳证明：提供2021年1月至今已缴纳的至少一个月的社会保障资金缴存单据或社保机构开具的社会保险参保缴费情况证明，依法不需要缴纳社会保障资金的单位应提供相关证明材料；</w:t>
      </w:r>
      <w:r>
        <w:rPr>
          <w:rFonts w:hint="eastAsia" w:ascii="楷体" w:hAnsi="楷体" w:eastAsia="楷体" w:cs="楷体"/>
          <w:i w:val="0"/>
          <w:iCs w:val="0"/>
          <w:caps w:val="0"/>
          <w:color w:val="333333"/>
          <w:spacing w:val="0"/>
          <w:sz w:val="24"/>
          <w:szCs w:val="24"/>
          <w:shd w:val="clear" w:fill="FFFFFF"/>
          <w:vertAlign w:val="baseline"/>
        </w:rPr>
        <w:br w:type="textWrapping"/>
      </w:r>
      <w:r>
        <w:rPr>
          <w:rFonts w:hint="eastAsia" w:ascii="楷体" w:hAnsi="楷体" w:eastAsia="楷体" w:cs="楷体"/>
          <w:i w:val="0"/>
          <w:iCs w:val="0"/>
          <w:caps w:val="0"/>
          <w:color w:val="333333"/>
          <w:spacing w:val="0"/>
          <w:sz w:val="24"/>
          <w:szCs w:val="24"/>
          <w:shd w:val="clear" w:fill="FFFFFF"/>
          <w:vertAlign w:val="baseline"/>
        </w:rPr>
        <w:t>（6）具备履行合同所必须的设备和专业技术能力的书面声明;</w:t>
      </w:r>
      <w:r>
        <w:rPr>
          <w:rFonts w:hint="eastAsia" w:ascii="楷体" w:hAnsi="楷体" w:eastAsia="楷体" w:cs="楷体"/>
          <w:i w:val="0"/>
          <w:iCs w:val="0"/>
          <w:caps w:val="0"/>
          <w:color w:val="333333"/>
          <w:spacing w:val="0"/>
          <w:sz w:val="24"/>
          <w:szCs w:val="24"/>
          <w:shd w:val="clear" w:fill="FFFFFF"/>
          <w:vertAlign w:val="baseline"/>
        </w:rPr>
        <w:br w:type="textWrapping"/>
      </w:r>
      <w:r>
        <w:rPr>
          <w:rFonts w:hint="eastAsia" w:ascii="楷体" w:hAnsi="楷体" w:eastAsia="楷体" w:cs="楷体"/>
          <w:i w:val="0"/>
          <w:iCs w:val="0"/>
          <w:caps w:val="0"/>
          <w:color w:val="333333"/>
          <w:spacing w:val="0"/>
          <w:sz w:val="24"/>
          <w:szCs w:val="24"/>
          <w:shd w:val="clear" w:fill="FFFFFF"/>
          <w:vertAlign w:val="baseline"/>
        </w:rPr>
        <w:t>（7）参加政府采购活动前三年内，在经营活动中没有重大违法记录的书面声明；</w:t>
      </w:r>
      <w:r>
        <w:rPr>
          <w:rFonts w:hint="eastAsia" w:ascii="楷体" w:hAnsi="楷体" w:eastAsia="楷体" w:cs="楷体"/>
          <w:i w:val="0"/>
          <w:iCs w:val="0"/>
          <w:caps w:val="0"/>
          <w:color w:val="333333"/>
          <w:spacing w:val="0"/>
          <w:sz w:val="24"/>
          <w:szCs w:val="24"/>
          <w:shd w:val="clear" w:fill="FFFFFF"/>
          <w:vertAlign w:val="baseline"/>
        </w:rPr>
        <w:br w:type="textWrapping"/>
      </w:r>
      <w:r>
        <w:rPr>
          <w:rFonts w:hint="eastAsia" w:ascii="楷体" w:hAnsi="楷体" w:eastAsia="楷体" w:cs="楷体"/>
          <w:i w:val="0"/>
          <w:iCs w:val="0"/>
          <w:caps w:val="0"/>
          <w:color w:val="333333"/>
          <w:spacing w:val="0"/>
          <w:sz w:val="24"/>
          <w:szCs w:val="24"/>
          <w:shd w:val="clear" w:fill="FFFFFF"/>
          <w:vertAlign w:val="baseline"/>
        </w:rPr>
        <w:t>（8）供应商未被列入信用中国网站(www.creditchina.gov.cn)“失信被执行人、重大税收违法失信主体”；不处于中国政府采购网(www.ccgp.gov.cn)“政府采购严重违法失信行为信息记录”中的禁止参加政府采购活动期间。</w:t>
      </w:r>
    </w:p>
    <w:p>
      <w:pPr>
        <w:spacing w:line="480" w:lineRule="auto"/>
        <w:rPr>
          <w:rFonts w:hint="eastAsia" w:ascii="楷体" w:hAnsi="楷体" w:eastAsia="楷体" w:cs="仿宋"/>
          <w:color w:val="auto"/>
          <w:szCs w:val="24"/>
          <w:highlight w:val="none"/>
        </w:rPr>
      </w:pPr>
      <w:r>
        <w:rPr>
          <w:rFonts w:hint="eastAsia" w:ascii="楷体" w:hAnsi="楷体" w:eastAsia="楷体" w:cs="楷体"/>
          <w:color w:val="auto"/>
          <w:sz w:val="24"/>
          <w:szCs w:val="24"/>
          <w:highlight w:val="none"/>
          <w:lang w:val="en-US" w:eastAsia="zh-CN"/>
        </w:rPr>
        <w:t>（9）中小企业声明函（货物）或残疾人福利性单位声明函或监狱企业证明文件。</w:t>
      </w:r>
    </w:p>
    <w:p>
      <w:pPr>
        <w:spacing w:line="480" w:lineRule="auto"/>
        <w:rPr>
          <w:rFonts w:hint="eastAsia" w:ascii="楷体" w:hAnsi="楷体" w:eastAsia="楷体" w:cs="仿宋"/>
          <w:color w:val="auto"/>
          <w:szCs w:val="24"/>
          <w:highlight w:val="none"/>
        </w:rPr>
      </w:pPr>
    </w:p>
    <w:p>
      <w:pPr>
        <w:pStyle w:val="14"/>
        <w:rPr>
          <w:rFonts w:hint="eastAsia"/>
          <w:highlight w:val="none"/>
        </w:rPr>
      </w:pPr>
    </w:p>
    <w:p>
      <w:pPr>
        <w:spacing w:line="480" w:lineRule="auto"/>
        <w:rPr>
          <w:rFonts w:hint="eastAsia" w:ascii="楷体" w:hAnsi="楷体" w:eastAsia="楷体" w:cs="仿宋"/>
          <w:color w:val="auto"/>
          <w:szCs w:val="24"/>
          <w:highlight w:val="none"/>
        </w:rPr>
      </w:pPr>
    </w:p>
    <w:p>
      <w:pPr>
        <w:spacing w:line="480" w:lineRule="auto"/>
        <w:rPr>
          <w:rFonts w:hint="eastAsia" w:ascii="楷体" w:hAnsi="楷体" w:eastAsia="楷体" w:cs="仿宋"/>
          <w:color w:val="auto"/>
          <w:szCs w:val="24"/>
          <w:highlight w:val="none"/>
        </w:rPr>
      </w:pPr>
    </w:p>
    <w:p>
      <w:pPr>
        <w:spacing w:line="480" w:lineRule="auto"/>
        <w:rPr>
          <w:rFonts w:hint="eastAsia" w:ascii="楷体" w:hAnsi="楷体" w:eastAsia="楷体" w:cs="仿宋"/>
          <w:color w:val="auto"/>
          <w:szCs w:val="24"/>
          <w:highlight w:val="none"/>
        </w:rPr>
      </w:pPr>
    </w:p>
    <w:p>
      <w:pPr>
        <w:adjustRightInd w:val="0"/>
        <w:snapToGrid w:val="0"/>
        <w:spacing w:line="360" w:lineRule="auto"/>
        <w:jc w:val="left"/>
        <w:rPr>
          <w:rFonts w:hint="eastAsia" w:ascii="楷体" w:hAnsi="楷体" w:eastAsia="楷体" w:cs="楷体"/>
          <w:b/>
          <w:bCs/>
          <w:color w:val="auto"/>
          <w:sz w:val="30"/>
          <w:szCs w:val="30"/>
          <w:highlight w:val="none"/>
        </w:rPr>
      </w:pPr>
      <w:bookmarkStart w:id="81" w:name="_Toc437333651"/>
      <w:r>
        <w:rPr>
          <w:rFonts w:hint="eastAsia" w:ascii="楷体" w:hAnsi="楷体" w:eastAsia="楷体" w:cs="楷体"/>
          <w:b/>
          <w:bCs/>
          <w:color w:val="auto"/>
          <w:sz w:val="30"/>
          <w:szCs w:val="30"/>
          <w:highlight w:val="none"/>
        </w:rPr>
        <w:t>附件1：</w:t>
      </w:r>
    </w:p>
    <w:p>
      <w:pPr>
        <w:pStyle w:val="21"/>
        <w:rPr>
          <w:rFonts w:hint="eastAsia"/>
          <w:highlight w:val="none"/>
        </w:rPr>
      </w:pPr>
    </w:p>
    <w:p>
      <w:pPr>
        <w:adjustRightInd w:val="0"/>
        <w:snapToGrid w:val="0"/>
        <w:spacing w:line="360" w:lineRule="auto"/>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具备履行合同所必须的设备和专业技术能力</w:t>
      </w:r>
    </w:p>
    <w:p>
      <w:pPr>
        <w:adjustRightInd w:val="0"/>
        <w:snapToGrid w:val="0"/>
        <w:spacing w:line="360" w:lineRule="auto"/>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的书面声明</w:t>
      </w:r>
    </w:p>
    <w:p>
      <w:pPr>
        <w:spacing w:line="720" w:lineRule="auto"/>
        <w:jc w:val="left"/>
        <w:rPr>
          <w:rFonts w:hint="eastAsia" w:ascii="楷体" w:hAnsi="楷体" w:eastAsia="楷体" w:cs="楷体"/>
          <w:b/>
          <w:bCs/>
          <w:color w:val="auto"/>
          <w:szCs w:val="22"/>
          <w:highlight w:val="none"/>
        </w:rPr>
      </w:pPr>
      <w:r>
        <w:rPr>
          <w:rFonts w:hint="eastAsia" w:ascii="楷体" w:hAnsi="楷体" w:eastAsia="楷体" w:cs="楷体"/>
          <w:b/>
          <w:bCs/>
          <w:color w:val="auto"/>
          <w:szCs w:val="22"/>
          <w:highlight w:val="none"/>
        </w:rPr>
        <w:t>致：陕西正翼招标代理有限公司</w:t>
      </w:r>
    </w:p>
    <w:p>
      <w:pPr>
        <w:spacing w:line="720" w:lineRule="auto"/>
        <w:ind w:firstLine="480" w:firstLineChars="200"/>
        <w:jc w:val="left"/>
        <w:rPr>
          <w:rFonts w:hint="eastAsia" w:ascii="楷体" w:hAnsi="楷体" w:eastAsia="楷体" w:cs="楷体"/>
          <w:color w:val="auto"/>
          <w:szCs w:val="22"/>
          <w:highlight w:val="none"/>
        </w:rPr>
      </w:pPr>
      <w:r>
        <w:rPr>
          <w:rFonts w:hint="eastAsia" w:ascii="楷体" w:hAnsi="楷体" w:eastAsia="楷体" w:cs="楷体"/>
          <w:color w:val="auto"/>
          <w:szCs w:val="22"/>
          <w:highlight w:val="none"/>
        </w:rPr>
        <w:t>作为参加贵公司组织的招标项目的供应商，本公司郑重申告并承诺：我公司具备履行合同所必须的设备和专业技术能力的书面声明，如有隐瞒或违反，同意接受主业及行政主管部门处理和处罚决定。</w:t>
      </w:r>
    </w:p>
    <w:p>
      <w:pPr>
        <w:spacing w:line="360" w:lineRule="auto"/>
        <w:jc w:val="left"/>
        <w:rPr>
          <w:rFonts w:hint="eastAsia" w:ascii="楷体" w:hAnsi="楷体" w:eastAsia="楷体" w:cs="楷体"/>
          <w:color w:val="auto"/>
          <w:highlight w:val="none"/>
        </w:rPr>
      </w:pPr>
    </w:p>
    <w:p>
      <w:pPr>
        <w:spacing w:line="360" w:lineRule="auto"/>
        <w:jc w:val="left"/>
        <w:rPr>
          <w:rFonts w:hint="eastAsia" w:ascii="楷体" w:hAnsi="楷体" w:eastAsia="楷体" w:cs="楷体"/>
          <w:color w:val="auto"/>
          <w:highlight w:val="none"/>
        </w:rPr>
      </w:pP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供应商名称（公章）：</w:t>
      </w:r>
    </w:p>
    <w:p>
      <w:pPr>
        <w:spacing w:line="360" w:lineRule="auto"/>
        <w:jc w:val="left"/>
        <w:rPr>
          <w:rFonts w:hint="eastAsia" w:ascii="楷体" w:hAnsi="楷体" w:eastAsia="楷体" w:cs="楷体"/>
          <w:b/>
          <w:color w:val="auto"/>
          <w:highlight w:val="none"/>
        </w:rPr>
      </w:pPr>
      <w:r>
        <w:rPr>
          <w:rFonts w:hint="eastAsia" w:ascii="楷体" w:hAnsi="楷体" w:eastAsia="楷体" w:cs="楷体"/>
          <w:color w:val="auto"/>
          <w:highlight w:val="none"/>
        </w:rPr>
        <w:t>法定代表人（</w:t>
      </w:r>
      <w:r>
        <w:rPr>
          <w:rFonts w:hint="eastAsia" w:ascii="楷体" w:hAnsi="楷体" w:eastAsia="楷体" w:cs="楷体"/>
          <w:color w:val="auto"/>
          <w:spacing w:val="4"/>
          <w:szCs w:val="24"/>
          <w:highlight w:val="none"/>
        </w:rPr>
        <w:t>签字或盖章</w:t>
      </w:r>
      <w:r>
        <w:rPr>
          <w:rFonts w:hint="eastAsia" w:ascii="楷体" w:hAnsi="楷体" w:eastAsia="楷体" w:cs="楷体"/>
          <w:color w:val="auto"/>
          <w:highlight w:val="none"/>
        </w:rPr>
        <w:t>）</w:t>
      </w:r>
      <w:r>
        <w:rPr>
          <w:rFonts w:hint="eastAsia" w:ascii="楷体" w:hAnsi="楷体" w:eastAsia="楷体" w:cs="楷体"/>
          <w:b/>
          <w:color w:val="auto"/>
          <w:highlight w:val="none"/>
        </w:rPr>
        <w:t>：</w:t>
      </w:r>
      <w:r>
        <w:rPr>
          <w:rFonts w:hint="eastAsia" w:ascii="楷体" w:hAnsi="楷体" w:eastAsia="楷体" w:cs="楷体"/>
          <w:b/>
          <w:color w:val="auto"/>
          <w:highlight w:val="none"/>
          <w:u w:val="single"/>
        </w:rPr>
        <w:t xml:space="preserve">                </w:t>
      </w:r>
    </w:p>
    <w:p>
      <w:pPr>
        <w:spacing w:line="360" w:lineRule="auto"/>
        <w:rPr>
          <w:rFonts w:hint="eastAsia" w:ascii="楷体" w:hAnsi="楷体" w:eastAsia="楷体" w:cs="楷体"/>
          <w:color w:val="auto"/>
          <w:highlight w:val="none"/>
        </w:rPr>
      </w:pPr>
      <w:r>
        <w:rPr>
          <w:rFonts w:hint="eastAsia" w:ascii="楷体" w:hAnsi="楷体" w:eastAsia="楷体" w:cs="楷体"/>
          <w:color w:val="auto"/>
          <w:highlight w:val="none"/>
        </w:rPr>
        <w:t>日    期：</w:t>
      </w:r>
    </w:p>
    <w:p>
      <w:pPr>
        <w:spacing w:line="360" w:lineRule="auto"/>
        <w:rPr>
          <w:rFonts w:hint="eastAsia" w:ascii="楷体" w:hAnsi="楷体" w:eastAsia="楷体" w:cs="楷体"/>
          <w:color w:val="auto"/>
          <w:szCs w:val="24"/>
          <w:highlight w:val="none"/>
        </w:rPr>
      </w:pPr>
    </w:p>
    <w:p>
      <w:pPr>
        <w:pStyle w:val="200"/>
        <w:ind w:firstLine="0" w:firstLineChars="0"/>
        <w:rPr>
          <w:rFonts w:ascii="楷体" w:hAnsi="楷体" w:eastAsia="楷体" w:cs="楷体"/>
          <w:b/>
          <w:bCs/>
          <w:color w:val="auto"/>
          <w:highlight w:val="none"/>
        </w:rPr>
      </w:pPr>
      <w:r>
        <w:rPr>
          <w:rFonts w:hint="eastAsia" w:ascii="楷体" w:hAnsi="楷体" w:eastAsia="楷体" w:cs="楷体"/>
          <w:b/>
          <w:bCs/>
          <w:color w:val="auto"/>
          <w:highlight w:val="none"/>
        </w:rPr>
        <w:t>备注：供应商须根据自身实际情况作出真实声明。</w:t>
      </w:r>
    </w:p>
    <w:p>
      <w:pPr>
        <w:rPr>
          <w:rFonts w:hint="eastAsia"/>
          <w:highlight w:val="none"/>
        </w:rPr>
      </w:pPr>
    </w:p>
    <w:p>
      <w:pPr>
        <w:pStyle w:val="21"/>
        <w:rPr>
          <w:rFonts w:hint="eastAsia"/>
          <w:highlight w:val="none"/>
        </w:rPr>
      </w:pPr>
    </w:p>
    <w:p>
      <w:pPr>
        <w:rPr>
          <w:rFonts w:hint="eastAsia"/>
          <w:highlight w:val="none"/>
        </w:rPr>
      </w:pPr>
    </w:p>
    <w:p>
      <w:pPr>
        <w:pStyle w:val="21"/>
        <w:rPr>
          <w:rFonts w:hint="eastAsia"/>
          <w:highlight w:val="none"/>
        </w:rPr>
      </w:pPr>
    </w:p>
    <w:p>
      <w:pPr>
        <w:rPr>
          <w:rFonts w:hint="eastAsia"/>
          <w:highlight w:val="none"/>
        </w:rPr>
      </w:pPr>
    </w:p>
    <w:p>
      <w:pPr>
        <w:pStyle w:val="21"/>
        <w:rPr>
          <w:rFonts w:hint="eastAsia"/>
          <w:highlight w:val="none"/>
        </w:rPr>
      </w:pPr>
    </w:p>
    <w:p>
      <w:pPr>
        <w:rPr>
          <w:rFonts w:hint="eastAsia"/>
          <w:highlight w:val="none"/>
        </w:rPr>
      </w:pPr>
    </w:p>
    <w:p>
      <w:pPr>
        <w:pStyle w:val="21"/>
        <w:rPr>
          <w:rFonts w:hint="eastAsia"/>
          <w:highlight w:val="none"/>
        </w:rPr>
      </w:pPr>
    </w:p>
    <w:p>
      <w:pPr>
        <w:rPr>
          <w:rFonts w:hint="eastAsia"/>
          <w:highlight w:val="none"/>
        </w:rPr>
      </w:pPr>
    </w:p>
    <w:p>
      <w:pPr>
        <w:pStyle w:val="21"/>
        <w:rPr>
          <w:rFonts w:hint="eastAsia"/>
          <w:highlight w:val="none"/>
        </w:rPr>
      </w:pPr>
    </w:p>
    <w:p>
      <w:pPr>
        <w:rPr>
          <w:rFonts w:hint="eastAsia"/>
          <w:highlight w:val="none"/>
        </w:rPr>
      </w:pPr>
    </w:p>
    <w:p>
      <w:pPr>
        <w:spacing w:line="360" w:lineRule="auto"/>
        <w:jc w:val="both"/>
        <w:rPr>
          <w:rFonts w:hint="eastAsia" w:ascii="楷体" w:hAnsi="楷体" w:eastAsia="楷体" w:cs="楷体"/>
          <w:b/>
          <w:bCs/>
          <w:color w:val="auto"/>
          <w:kern w:val="2"/>
          <w:sz w:val="32"/>
          <w:szCs w:val="32"/>
          <w:highlight w:val="none"/>
        </w:rPr>
      </w:pPr>
      <w:r>
        <w:rPr>
          <w:rFonts w:hint="eastAsia" w:ascii="楷体" w:hAnsi="楷体" w:eastAsia="楷体" w:cs="楷体"/>
          <w:b/>
          <w:bCs/>
          <w:color w:val="auto"/>
          <w:sz w:val="30"/>
          <w:szCs w:val="30"/>
          <w:highlight w:val="none"/>
        </w:rPr>
        <w:t>附件2：</w:t>
      </w:r>
    </w:p>
    <w:p>
      <w:pPr>
        <w:spacing w:line="360" w:lineRule="auto"/>
        <w:jc w:val="center"/>
        <w:rPr>
          <w:rFonts w:hint="eastAsia" w:ascii="楷体" w:hAnsi="楷体" w:eastAsia="楷体" w:cs="楷体"/>
          <w:b/>
          <w:bCs/>
          <w:color w:val="auto"/>
          <w:kern w:val="2"/>
          <w:sz w:val="32"/>
          <w:szCs w:val="32"/>
          <w:highlight w:val="none"/>
        </w:rPr>
      </w:pPr>
    </w:p>
    <w:p>
      <w:pPr>
        <w:spacing w:line="360" w:lineRule="auto"/>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kern w:val="2"/>
          <w:sz w:val="32"/>
          <w:szCs w:val="32"/>
          <w:highlight w:val="none"/>
        </w:rPr>
        <w:t xml:space="preserve"> </w:t>
      </w:r>
      <w:r>
        <w:rPr>
          <w:rFonts w:hint="eastAsia" w:ascii="楷体" w:hAnsi="楷体" w:eastAsia="楷体" w:cs="楷体"/>
          <w:b/>
          <w:bCs/>
          <w:color w:val="auto"/>
          <w:sz w:val="32"/>
          <w:szCs w:val="32"/>
          <w:highlight w:val="none"/>
        </w:rPr>
        <w:t>参加政府采购活动前三年内，在经营活动中</w:t>
      </w:r>
    </w:p>
    <w:p>
      <w:pPr>
        <w:spacing w:line="360" w:lineRule="auto"/>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没有重大违法记录书面声明</w:t>
      </w:r>
    </w:p>
    <w:p>
      <w:pPr>
        <w:spacing w:line="720" w:lineRule="auto"/>
        <w:jc w:val="left"/>
        <w:rPr>
          <w:rFonts w:hint="eastAsia" w:ascii="楷体" w:hAnsi="楷体" w:eastAsia="楷体" w:cs="楷体"/>
          <w:b/>
          <w:color w:val="auto"/>
          <w:highlight w:val="none"/>
        </w:rPr>
      </w:pPr>
      <w:r>
        <w:rPr>
          <w:rFonts w:hint="eastAsia" w:ascii="楷体" w:hAnsi="楷体" w:eastAsia="楷体" w:cs="楷体"/>
          <w:b/>
          <w:color w:val="auto"/>
          <w:highlight w:val="none"/>
        </w:rPr>
        <w:t>致：陕西正翼招标代理有限公司</w:t>
      </w:r>
    </w:p>
    <w:p>
      <w:pPr>
        <w:spacing w:line="720" w:lineRule="auto"/>
        <w:ind w:firstLine="480" w:firstLineChars="200"/>
        <w:jc w:val="left"/>
        <w:rPr>
          <w:rFonts w:hint="eastAsia" w:ascii="楷体" w:hAnsi="楷体" w:eastAsia="楷体" w:cs="楷体"/>
          <w:color w:val="auto"/>
          <w:highlight w:val="none"/>
        </w:rPr>
      </w:pPr>
      <w:r>
        <w:rPr>
          <w:rFonts w:hint="eastAsia" w:ascii="楷体" w:hAnsi="楷体" w:eastAsia="楷体" w:cs="楷体"/>
          <w:color w:val="auto"/>
          <w:highlight w:val="none"/>
        </w:rPr>
        <w:t>作为参加贵公司组织的招标项目的供应商，本公司郑重申告并承诺：近三年未受到有关行政主管部门的行政处理、不良行为记录为</w:t>
      </w: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u w:val="single"/>
          <w:lang w:val="en-US" w:eastAsia="zh-CN"/>
        </w:rPr>
        <w:t xml:space="preserve"> </w:t>
      </w: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rPr>
        <w:t>（没有填零）次，如有隐瞒或违反，同意接受主业及行政主管部门处理和处罚决定。</w:t>
      </w:r>
    </w:p>
    <w:p>
      <w:pPr>
        <w:spacing w:line="360" w:lineRule="auto"/>
        <w:ind w:firstLine="480" w:firstLineChars="200"/>
        <w:jc w:val="left"/>
        <w:rPr>
          <w:rFonts w:hint="eastAsia" w:ascii="楷体" w:hAnsi="楷体" w:eastAsia="楷体" w:cs="楷体"/>
          <w:color w:val="auto"/>
          <w:highlight w:val="none"/>
        </w:rPr>
      </w:pP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供应商名称（公章）：</w:t>
      </w:r>
    </w:p>
    <w:p>
      <w:pPr>
        <w:spacing w:line="360" w:lineRule="auto"/>
        <w:jc w:val="left"/>
        <w:rPr>
          <w:rFonts w:hint="eastAsia" w:ascii="楷体" w:hAnsi="楷体" w:eastAsia="楷体" w:cs="楷体"/>
          <w:b/>
          <w:color w:val="auto"/>
          <w:highlight w:val="none"/>
        </w:rPr>
      </w:pPr>
      <w:r>
        <w:rPr>
          <w:rFonts w:hint="eastAsia" w:ascii="楷体" w:hAnsi="楷体" w:eastAsia="楷体" w:cs="楷体"/>
          <w:color w:val="auto"/>
          <w:highlight w:val="none"/>
        </w:rPr>
        <w:t>法定代表人（</w:t>
      </w:r>
      <w:r>
        <w:rPr>
          <w:rFonts w:hint="eastAsia" w:ascii="楷体" w:hAnsi="楷体" w:eastAsia="楷体" w:cs="楷体"/>
          <w:color w:val="auto"/>
          <w:spacing w:val="4"/>
          <w:szCs w:val="24"/>
          <w:highlight w:val="none"/>
        </w:rPr>
        <w:t>签字或盖章</w:t>
      </w:r>
      <w:r>
        <w:rPr>
          <w:rFonts w:hint="eastAsia" w:ascii="楷体" w:hAnsi="楷体" w:eastAsia="楷体" w:cs="楷体"/>
          <w:color w:val="auto"/>
          <w:highlight w:val="none"/>
        </w:rPr>
        <w:t>）</w:t>
      </w:r>
      <w:r>
        <w:rPr>
          <w:rFonts w:hint="eastAsia" w:ascii="楷体" w:hAnsi="楷体" w:eastAsia="楷体" w:cs="楷体"/>
          <w:b/>
          <w:color w:val="auto"/>
          <w:highlight w:val="none"/>
        </w:rPr>
        <w:t>：</w:t>
      </w:r>
      <w:r>
        <w:rPr>
          <w:rFonts w:hint="eastAsia" w:ascii="楷体" w:hAnsi="楷体" w:eastAsia="楷体" w:cs="楷体"/>
          <w:b/>
          <w:color w:val="auto"/>
          <w:highlight w:val="none"/>
          <w:u w:val="single"/>
        </w:rPr>
        <w:t xml:space="preserve">                </w:t>
      </w:r>
    </w:p>
    <w:p>
      <w:pPr>
        <w:spacing w:line="360" w:lineRule="auto"/>
        <w:rPr>
          <w:rFonts w:hint="eastAsia" w:ascii="楷体" w:hAnsi="楷体" w:eastAsia="楷体" w:cs="楷体"/>
          <w:color w:val="auto"/>
          <w:highlight w:val="none"/>
        </w:rPr>
      </w:pPr>
      <w:r>
        <w:rPr>
          <w:rFonts w:hint="eastAsia" w:ascii="楷体" w:hAnsi="楷体" w:eastAsia="楷体" w:cs="楷体"/>
          <w:color w:val="auto"/>
          <w:highlight w:val="none"/>
        </w:rPr>
        <w:t>日    期：</w:t>
      </w:r>
    </w:p>
    <w:p>
      <w:pPr>
        <w:adjustRightInd w:val="0"/>
        <w:snapToGrid w:val="0"/>
        <w:spacing w:line="360" w:lineRule="auto"/>
        <w:jc w:val="left"/>
        <w:rPr>
          <w:rFonts w:hint="eastAsia" w:ascii="楷体" w:hAnsi="楷体" w:eastAsia="楷体" w:cs="楷体"/>
          <w:b/>
          <w:bCs/>
          <w:color w:val="auto"/>
          <w:szCs w:val="24"/>
          <w:highlight w:val="none"/>
        </w:rPr>
      </w:pPr>
    </w:p>
    <w:p>
      <w:pPr>
        <w:adjustRightInd w:val="0"/>
        <w:snapToGrid w:val="0"/>
        <w:spacing w:line="360" w:lineRule="auto"/>
        <w:jc w:val="left"/>
        <w:rPr>
          <w:rFonts w:hint="eastAsia" w:ascii="楷体" w:hAnsi="楷体" w:eastAsia="楷体" w:cs="楷体"/>
          <w:b/>
          <w:bCs/>
          <w:color w:val="auto"/>
          <w:szCs w:val="24"/>
          <w:highlight w:val="none"/>
        </w:rPr>
      </w:pPr>
    </w:p>
    <w:p>
      <w:pPr>
        <w:adjustRightInd w:val="0"/>
        <w:snapToGrid w:val="0"/>
        <w:spacing w:line="360" w:lineRule="auto"/>
        <w:jc w:val="left"/>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备注：1.供应商须根据自身实际情况作出真实声明。2.重大违法记录，是指供应商因违法经营受到刑事处罚或者责令停产停业、吊销许可证或者执照、较大数额罚款等行政处罚。</w:t>
      </w:r>
    </w:p>
    <w:p>
      <w:pPr>
        <w:adjustRightInd w:val="0"/>
        <w:snapToGrid w:val="0"/>
        <w:spacing w:line="360" w:lineRule="auto"/>
        <w:jc w:val="left"/>
        <w:rPr>
          <w:rFonts w:hint="eastAsia" w:ascii="楷体" w:hAnsi="楷体" w:eastAsia="楷体" w:cs="楷体"/>
          <w:b/>
          <w:bCs/>
          <w:color w:val="auto"/>
          <w:szCs w:val="24"/>
          <w:highlight w:val="none"/>
        </w:rPr>
      </w:pPr>
    </w:p>
    <w:p>
      <w:pPr>
        <w:adjustRightInd w:val="0"/>
        <w:snapToGrid w:val="0"/>
        <w:spacing w:line="360" w:lineRule="auto"/>
        <w:jc w:val="left"/>
        <w:rPr>
          <w:rFonts w:hint="eastAsia" w:ascii="楷体" w:hAnsi="楷体" w:eastAsia="楷体" w:cs="楷体"/>
          <w:b/>
          <w:bCs/>
          <w:color w:val="auto"/>
          <w:sz w:val="32"/>
          <w:szCs w:val="32"/>
          <w:highlight w:val="none"/>
        </w:rPr>
      </w:pPr>
      <w:r>
        <w:rPr>
          <w:rFonts w:hint="eastAsia" w:ascii="楷体" w:hAnsi="楷体" w:eastAsia="楷体" w:cs="楷体"/>
          <w:b/>
          <w:bCs/>
          <w:color w:val="auto"/>
          <w:szCs w:val="24"/>
          <w:highlight w:val="none"/>
        </w:rPr>
        <w:br w:type="page"/>
      </w:r>
    </w:p>
    <w:p>
      <w:pPr>
        <w:spacing w:line="360" w:lineRule="auto"/>
        <w:rPr>
          <w:rFonts w:hint="eastAsia" w:ascii="楷体" w:hAnsi="楷体" w:eastAsia="楷体" w:cs="楷体"/>
          <w:b/>
          <w:bCs/>
          <w:color w:val="auto"/>
          <w:sz w:val="30"/>
          <w:szCs w:val="30"/>
          <w:highlight w:val="none"/>
        </w:rPr>
      </w:pPr>
      <w:r>
        <w:rPr>
          <w:rFonts w:hint="eastAsia" w:ascii="楷体" w:hAnsi="楷体" w:eastAsia="楷体" w:cs="楷体"/>
          <w:b/>
          <w:bCs/>
          <w:color w:val="auto"/>
          <w:sz w:val="28"/>
          <w:szCs w:val="28"/>
          <w:highlight w:val="none"/>
        </w:rPr>
        <w:t>（二）供应商资格声明</w:t>
      </w:r>
    </w:p>
    <w:p>
      <w:pPr>
        <w:spacing w:line="360" w:lineRule="auto"/>
        <w:jc w:val="center"/>
        <w:rPr>
          <w:rFonts w:hint="eastAsia" w:ascii="楷体" w:hAnsi="楷体" w:eastAsia="楷体" w:cs="楷体"/>
          <w:b/>
          <w:color w:val="auto"/>
          <w:sz w:val="30"/>
          <w:szCs w:val="30"/>
          <w:highlight w:val="none"/>
        </w:rPr>
      </w:pPr>
      <w:r>
        <w:rPr>
          <w:rFonts w:hint="eastAsia" w:ascii="楷体" w:hAnsi="楷体" w:eastAsia="楷体" w:cs="楷体"/>
          <w:b/>
          <w:color w:val="auto"/>
          <w:sz w:val="30"/>
          <w:szCs w:val="30"/>
          <w:highlight w:val="none"/>
          <w:lang w:val="en-US" w:eastAsia="zh-CN"/>
        </w:rPr>
        <w:t>1.</w:t>
      </w:r>
      <w:r>
        <w:rPr>
          <w:rFonts w:hint="eastAsia" w:ascii="楷体" w:hAnsi="楷体" w:eastAsia="楷体" w:cs="楷体"/>
          <w:b/>
          <w:color w:val="auto"/>
          <w:sz w:val="30"/>
          <w:szCs w:val="30"/>
          <w:highlight w:val="none"/>
        </w:rPr>
        <w:t>供应商资格声明</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1.名称及其它情况</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供应商名称：</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rPr>
        <w:t xml:space="preserve">  地   址：</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ind w:firstLine="240" w:firstLineChars="1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电  话：</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成立和注册日期：</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主管部门：</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公司性质：</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职工总人数：</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工程技术及管理人员数分别为：                    </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3.供应商最近三年法律纠纷情况</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2280"/>
        <w:gridCol w:w="1826"/>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时间</w:t>
            </w:r>
          </w:p>
        </w:tc>
        <w:tc>
          <w:tcPr>
            <w:tcW w:w="2280"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案由</w:t>
            </w:r>
          </w:p>
        </w:tc>
        <w:tc>
          <w:tcPr>
            <w:tcW w:w="1826"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涉及金额</w:t>
            </w:r>
          </w:p>
        </w:tc>
        <w:tc>
          <w:tcPr>
            <w:tcW w:w="2812" w:type="dxa"/>
            <w:noWrap w:val="0"/>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目前办理情况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noWrap w:val="0"/>
            <w:vAlign w:val="top"/>
          </w:tcPr>
          <w:p>
            <w:pPr>
              <w:spacing w:line="360" w:lineRule="auto"/>
              <w:jc w:val="left"/>
              <w:rPr>
                <w:rFonts w:hint="eastAsia" w:ascii="楷体" w:hAnsi="楷体" w:eastAsia="楷体" w:cs="楷体"/>
                <w:color w:val="auto"/>
                <w:szCs w:val="24"/>
                <w:highlight w:val="none"/>
              </w:rPr>
            </w:pPr>
          </w:p>
        </w:tc>
        <w:tc>
          <w:tcPr>
            <w:tcW w:w="2280" w:type="dxa"/>
            <w:noWrap w:val="0"/>
            <w:vAlign w:val="top"/>
          </w:tcPr>
          <w:p>
            <w:pPr>
              <w:spacing w:line="360" w:lineRule="auto"/>
              <w:jc w:val="left"/>
              <w:rPr>
                <w:rFonts w:hint="eastAsia" w:ascii="楷体" w:hAnsi="楷体" w:eastAsia="楷体" w:cs="楷体"/>
                <w:color w:val="auto"/>
                <w:szCs w:val="24"/>
                <w:highlight w:val="none"/>
              </w:rPr>
            </w:pPr>
          </w:p>
        </w:tc>
        <w:tc>
          <w:tcPr>
            <w:tcW w:w="1826" w:type="dxa"/>
            <w:noWrap w:val="0"/>
            <w:vAlign w:val="top"/>
          </w:tcPr>
          <w:p>
            <w:pPr>
              <w:spacing w:line="360" w:lineRule="auto"/>
              <w:jc w:val="left"/>
              <w:rPr>
                <w:rFonts w:hint="eastAsia" w:ascii="楷体" w:hAnsi="楷体" w:eastAsia="楷体" w:cs="楷体"/>
                <w:color w:val="auto"/>
                <w:szCs w:val="24"/>
                <w:highlight w:val="none"/>
              </w:rPr>
            </w:pPr>
          </w:p>
        </w:tc>
        <w:tc>
          <w:tcPr>
            <w:tcW w:w="2812" w:type="dxa"/>
            <w:noWrap w:val="0"/>
            <w:vAlign w:val="top"/>
          </w:tcPr>
          <w:p>
            <w:pPr>
              <w:spacing w:line="360" w:lineRule="auto"/>
              <w:jc w:val="left"/>
              <w:rPr>
                <w:rFonts w:hint="eastAsia" w:ascii="楷体" w:hAnsi="楷体" w:eastAsia="楷体" w:cs="楷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noWrap w:val="0"/>
            <w:vAlign w:val="top"/>
          </w:tcPr>
          <w:p>
            <w:pPr>
              <w:spacing w:line="360" w:lineRule="auto"/>
              <w:jc w:val="left"/>
              <w:rPr>
                <w:rFonts w:hint="eastAsia" w:ascii="楷体" w:hAnsi="楷体" w:eastAsia="楷体" w:cs="楷体"/>
                <w:color w:val="auto"/>
                <w:szCs w:val="24"/>
                <w:highlight w:val="none"/>
              </w:rPr>
            </w:pPr>
          </w:p>
        </w:tc>
        <w:tc>
          <w:tcPr>
            <w:tcW w:w="2280" w:type="dxa"/>
            <w:noWrap w:val="0"/>
            <w:vAlign w:val="top"/>
          </w:tcPr>
          <w:p>
            <w:pPr>
              <w:spacing w:line="360" w:lineRule="auto"/>
              <w:jc w:val="left"/>
              <w:rPr>
                <w:rFonts w:hint="eastAsia" w:ascii="楷体" w:hAnsi="楷体" w:eastAsia="楷体" w:cs="楷体"/>
                <w:color w:val="auto"/>
                <w:szCs w:val="24"/>
                <w:highlight w:val="none"/>
              </w:rPr>
            </w:pPr>
          </w:p>
        </w:tc>
        <w:tc>
          <w:tcPr>
            <w:tcW w:w="1826" w:type="dxa"/>
            <w:noWrap w:val="0"/>
            <w:vAlign w:val="top"/>
          </w:tcPr>
          <w:p>
            <w:pPr>
              <w:spacing w:line="360" w:lineRule="auto"/>
              <w:jc w:val="left"/>
              <w:rPr>
                <w:rFonts w:hint="eastAsia" w:ascii="楷体" w:hAnsi="楷体" w:eastAsia="楷体" w:cs="楷体"/>
                <w:color w:val="auto"/>
                <w:szCs w:val="24"/>
                <w:highlight w:val="none"/>
              </w:rPr>
            </w:pPr>
          </w:p>
        </w:tc>
        <w:tc>
          <w:tcPr>
            <w:tcW w:w="2812" w:type="dxa"/>
            <w:noWrap w:val="0"/>
            <w:vAlign w:val="top"/>
          </w:tcPr>
          <w:p>
            <w:pPr>
              <w:spacing w:line="360" w:lineRule="auto"/>
              <w:jc w:val="left"/>
              <w:rPr>
                <w:rFonts w:hint="eastAsia" w:ascii="楷体" w:hAnsi="楷体" w:eastAsia="楷体" w:cs="楷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noWrap w:val="0"/>
            <w:vAlign w:val="top"/>
          </w:tcPr>
          <w:p>
            <w:pPr>
              <w:spacing w:line="360" w:lineRule="auto"/>
              <w:jc w:val="left"/>
              <w:rPr>
                <w:rFonts w:hint="eastAsia" w:ascii="楷体" w:hAnsi="楷体" w:eastAsia="楷体" w:cs="楷体"/>
                <w:color w:val="auto"/>
                <w:szCs w:val="24"/>
                <w:highlight w:val="none"/>
              </w:rPr>
            </w:pPr>
          </w:p>
        </w:tc>
        <w:tc>
          <w:tcPr>
            <w:tcW w:w="2280" w:type="dxa"/>
            <w:noWrap w:val="0"/>
            <w:vAlign w:val="top"/>
          </w:tcPr>
          <w:p>
            <w:pPr>
              <w:spacing w:line="360" w:lineRule="auto"/>
              <w:jc w:val="left"/>
              <w:rPr>
                <w:rFonts w:hint="eastAsia" w:ascii="楷体" w:hAnsi="楷体" w:eastAsia="楷体" w:cs="楷体"/>
                <w:color w:val="auto"/>
                <w:szCs w:val="24"/>
                <w:highlight w:val="none"/>
              </w:rPr>
            </w:pPr>
          </w:p>
        </w:tc>
        <w:tc>
          <w:tcPr>
            <w:tcW w:w="1826" w:type="dxa"/>
            <w:noWrap w:val="0"/>
            <w:vAlign w:val="top"/>
          </w:tcPr>
          <w:p>
            <w:pPr>
              <w:spacing w:line="360" w:lineRule="auto"/>
              <w:jc w:val="left"/>
              <w:rPr>
                <w:rFonts w:hint="eastAsia" w:ascii="楷体" w:hAnsi="楷体" w:eastAsia="楷体" w:cs="楷体"/>
                <w:color w:val="auto"/>
                <w:szCs w:val="24"/>
                <w:highlight w:val="none"/>
              </w:rPr>
            </w:pPr>
          </w:p>
        </w:tc>
        <w:tc>
          <w:tcPr>
            <w:tcW w:w="2812" w:type="dxa"/>
            <w:noWrap w:val="0"/>
            <w:vAlign w:val="top"/>
          </w:tcPr>
          <w:p>
            <w:pPr>
              <w:spacing w:line="360" w:lineRule="auto"/>
              <w:jc w:val="left"/>
              <w:rPr>
                <w:rFonts w:hint="eastAsia" w:ascii="楷体" w:hAnsi="楷体" w:eastAsia="楷体" w:cs="楷体"/>
                <w:color w:val="auto"/>
                <w:szCs w:val="24"/>
                <w:highlight w:val="none"/>
              </w:rPr>
            </w:pPr>
          </w:p>
        </w:tc>
      </w:tr>
    </w:tbl>
    <w:p>
      <w:pPr>
        <w:numPr>
          <w:ilvl w:val="0"/>
          <w:numId w:val="18"/>
        </w:num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有关银行的名称和地址：</w:t>
      </w:r>
      <w:r>
        <w:rPr>
          <w:rFonts w:hint="eastAsia" w:ascii="楷体" w:hAnsi="楷体" w:eastAsia="楷体" w:cs="楷体"/>
          <w:color w:val="auto"/>
          <w:szCs w:val="24"/>
          <w:highlight w:val="none"/>
          <w:u w:val="single"/>
        </w:rPr>
        <w:t xml:space="preserve">                        ;</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5.其他情况：</w:t>
      </w:r>
      <w:r>
        <w:rPr>
          <w:rFonts w:hint="eastAsia" w:ascii="楷体" w:hAnsi="楷体" w:eastAsia="楷体" w:cs="楷体"/>
          <w:color w:val="auto"/>
          <w:szCs w:val="24"/>
          <w:highlight w:val="none"/>
          <w:u w:val="single"/>
        </w:rPr>
        <w:t xml:space="preserve">                                    </w:t>
      </w:r>
    </w:p>
    <w:p>
      <w:pPr>
        <w:spacing w:line="360" w:lineRule="auto"/>
        <w:ind w:firstLine="360" w:firstLineChars="15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我们保证上述声明是真实的、正确的，并提供了全部能提供的资料和数据；如贵方要求我们同意出示进一步证明文件。</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 xml:space="preserve">供应商名称（公章）：          </w:t>
      </w: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法定代表人/被授权人</w:t>
      </w:r>
      <w:r>
        <w:rPr>
          <w:rFonts w:hint="eastAsia" w:ascii="楷体" w:hAnsi="楷体" w:eastAsia="楷体" w:cs="楷体"/>
          <w:color w:val="auto"/>
          <w:spacing w:val="4"/>
          <w:szCs w:val="24"/>
          <w:highlight w:val="none"/>
        </w:rPr>
        <w:t>（签字或盖章）</w:t>
      </w:r>
      <w:r>
        <w:rPr>
          <w:rFonts w:hint="eastAsia" w:ascii="楷体" w:hAnsi="楷体" w:eastAsia="楷体" w:cs="楷体"/>
          <w:color w:val="auto"/>
          <w:highlight w:val="none"/>
        </w:rPr>
        <w:t>：</w:t>
      </w:r>
    </w:p>
    <w:p>
      <w:pPr>
        <w:spacing w:line="360" w:lineRule="auto"/>
        <w:rPr>
          <w:rFonts w:hint="eastAsia" w:ascii="楷体" w:hAnsi="楷体" w:eastAsia="楷体" w:cs="楷体"/>
          <w:color w:val="auto"/>
          <w:highlight w:val="none"/>
        </w:rPr>
      </w:pPr>
      <w:r>
        <w:rPr>
          <w:rFonts w:hint="eastAsia" w:ascii="楷体" w:hAnsi="楷体" w:eastAsia="楷体" w:cs="楷体"/>
          <w:color w:val="auto"/>
          <w:highlight w:val="none"/>
        </w:rPr>
        <w:t>日    期：</w:t>
      </w:r>
    </w:p>
    <w:p>
      <w:pPr>
        <w:pStyle w:val="200"/>
        <w:rPr>
          <w:rFonts w:hint="eastAsia"/>
          <w:color w:val="auto"/>
          <w:highlight w:val="none"/>
        </w:rPr>
      </w:pPr>
    </w:p>
    <w:p>
      <w:pPr>
        <w:spacing w:line="360" w:lineRule="auto"/>
        <w:jc w:val="center"/>
        <w:rPr>
          <w:rFonts w:hint="eastAsia" w:ascii="楷体" w:hAnsi="楷体" w:eastAsia="楷体" w:cs="楷体"/>
          <w:b/>
          <w:bCs/>
          <w:color w:val="auto"/>
          <w:sz w:val="30"/>
          <w:szCs w:val="30"/>
          <w:highlight w:val="none"/>
          <w:lang w:val="en-US" w:eastAsia="zh-CN"/>
        </w:rPr>
      </w:pPr>
    </w:p>
    <w:p>
      <w:pPr>
        <w:spacing w:line="360" w:lineRule="auto"/>
        <w:jc w:val="center"/>
        <w:rPr>
          <w:rFonts w:hint="eastAsia" w:ascii="楷体" w:hAnsi="楷体" w:eastAsia="楷体" w:cs="楷体"/>
          <w:b/>
          <w:bCs/>
          <w:color w:val="auto"/>
          <w:sz w:val="30"/>
          <w:szCs w:val="30"/>
          <w:highlight w:val="none"/>
          <w:lang w:val="en-US" w:eastAsia="zh-CN"/>
        </w:rPr>
      </w:pPr>
    </w:p>
    <w:p>
      <w:pPr>
        <w:spacing w:line="360" w:lineRule="auto"/>
        <w:jc w:val="center"/>
        <w:rPr>
          <w:rFonts w:ascii="仿宋_GB2312" w:hAnsi="宋体" w:eastAsia="仿宋_GB2312"/>
          <w:b/>
          <w:color w:val="auto"/>
          <w:sz w:val="28"/>
          <w:szCs w:val="28"/>
          <w:highlight w:val="none"/>
        </w:rPr>
      </w:pPr>
      <w:r>
        <w:rPr>
          <w:rFonts w:hint="eastAsia" w:ascii="楷体" w:hAnsi="楷体" w:eastAsia="楷体" w:cs="楷体"/>
          <w:b/>
          <w:bCs/>
          <w:color w:val="auto"/>
          <w:sz w:val="30"/>
          <w:szCs w:val="30"/>
          <w:highlight w:val="none"/>
          <w:lang w:val="en-US" w:eastAsia="zh-CN"/>
        </w:rPr>
        <w:t>2</w:t>
      </w:r>
      <w:r>
        <w:rPr>
          <w:rFonts w:hint="eastAsia" w:ascii="楷体" w:hAnsi="楷体" w:eastAsia="楷体" w:cs="楷体"/>
          <w:b/>
          <w:color w:val="auto"/>
          <w:sz w:val="30"/>
          <w:szCs w:val="30"/>
          <w:highlight w:val="none"/>
        </w:rPr>
        <w:t>.供应商企业关联关系声明函</w:t>
      </w:r>
    </w:p>
    <w:p>
      <w:pPr>
        <w:adjustRightInd w:val="0"/>
        <w:snapToGrid w:val="0"/>
        <w:spacing w:line="360" w:lineRule="auto"/>
        <w:ind w:right="120" w:rightChars="50" w:firstLine="544" w:firstLineChars="227"/>
        <w:jc w:val="left"/>
        <w:rPr>
          <w:rFonts w:ascii="仿宋_GB2312" w:hAnsi="仿宋_GB2312" w:eastAsia="仿宋_GB2312" w:cs="仿宋_GB2312"/>
          <w:color w:val="auto"/>
          <w:szCs w:val="21"/>
          <w:highlight w:val="none"/>
        </w:rPr>
      </w:pPr>
    </w:p>
    <w:p>
      <w:pPr>
        <w:adjustRightInd w:val="0"/>
        <w:snapToGrid w:val="0"/>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说明：供应商应当如实披露与本单位存在下列关联关系的单位名称：</w:t>
      </w:r>
    </w:p>
    <w:p>
      <w:pPr>
        <w:pStyle w:val="21"/>
        <w:spacing w:after="0" w:line="360" w:lineRule="auto"/>
        <w:rPr>
          <w:rFonts w:hint="eastAsia" w:ascii="楷体" w:hAnsi="楷体" w:eastAsia="楷体" w:cs="楷体"/>
          <w:color w:val="auto"/>
          <w:sz w:val="24"/>
          <w:szCs w:val="24"/>
          <w:highlight w:val="none"/>
        </w:rPr>
      </w:pPr>
    </w:p>
    <w:p>
      <w:pPr>
        <w:adjustRightInd w:val="0"/>
        <w:snapToGrid w:val="0"/>
        <w:spacing w:line="360" w:lineRule="auto"/>
        <w:jc w:val="left"/>
        <w:rPr>
          <w:rFonts w:hint="eastAsia" w:ascii="楷体" w:hAnsi="楷体" w:eastAsia="楷体" w:cs="楷体"/>
          <w:color w:val="auto"/>
          <w:highlight w:val="none"/>
        </w:rPr>
      </w:pPr>
      <w:bookmarkStart w:id="82" w:name="_Toc31070_WPSOffice_Level2"/>
      <w:bookmarkStart w:id="83" w:name="_Toc2074_WPSOffice_Level2"/>
      <w:r>
        <w:rPr>
          <w:rFonts w:hint="eastAsia" w:ascii="楷体" w:hAnsi="楷体" w:eastAsia="楷体" w:cs="楷体"/>
          <w:color w:val="auto"/>
          <w:highlight w:val="none"/>
        </w:rPr>
        <w:t>（1）与供应商单位法定代表人为同一人的其他单位</w:t>
      </w:r>
      <w:bookmarkEnd w:id="82"/>
      <w:bookmarkEnd w:id="83"/>
      <w:r>
        <w:rPr>
          <w:rFonts w:hint="eastAsia" w:ascii="楷体" w:hAnsi="楷体" w:eastAsia="楷体" w:cs="楷体"/>
          <w:color w:val="auto"/>
          <w:highlight w:val="none"/>
        </w:rPr>
        <w:t>：</w:t>
      </w: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rPr>
        <w:t>。</w:t>
      </w:r>
    </w:p>
    <w:p>
      <w:pPr>
        <w:adjustRightInd w:val="0"/>
        <w:snapToGrid w:val="0"/>
        <w:spacing w:line="360" w:lineRule="auto"/>
        <w:jc w:val="left"/>
        <w:rPr>
          <w:rFonts w:hint="eastAsia" w:ascii="楷体" w:hAnsi="楷体" w:eastAsia="楷体" w:cs="楷体"/>
          <w:color w:val="auto"/>
          <w:highlight w:val="none"/>
        </w:rPr>
      </w:pPr>
      <w:bookmarkStart w:id="84" w:name="_Toc889_WPSOffice_Level2"/>
      <w:bookmarkStart w:id="85" w:name="_Toc27053_WPSOffice_Level2"/>
      <w:r>
        <w:rPr>
          <w:rFonts w:hint="eastAsia" w:ascii="楷体" w:hAnsi="楷体" w:eastAsia="楷体" w:cs="楷体"/>
          <w:color w:val="auto"/>
          <w:highlight w:val="none"/>
        </w:rPr>
        <w:t>（2）与供应商存在直接控股、管理关系的其他单位</w:t>
      </w:r>
      <w:bookmarkEnd w:id="84"/>
      <w:bookmarkEnd w:id="85"/>
      <w:r>
        <w:rPr>
          <w:rFonts w:hint="eastAsia" w:ascii="楷体" w:hAnsi="楷体" w:eastAsia="楷体" w:cs="楷体"/>
          <w:color w:val="auto"/>
          <w:highlight w:val="none"/>
        </w:rPr>
        <w:t>：</w:t>
      </w: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rPr>
        <w:t>。</w:t>
      </w:r>
    </w:p>
    <w:p>
      <w:pPr>
        <w:adjustRightInd w:val="0"/>
        <w:snapToGrid w:val="0"/>
        <w:spacing w:line="360" w:lineRule="auto"/>
        <w:ind w:right="120" w:rightChars="50" w:firstLine="544" w:firstLineChars="227"/>
        <w:jc w:val="left"/>
        <w:rPr>
          <w:rFonts w:hint="eastAsia" w:ascii="楷体" w:hAnsi="楷体" w:eastAsia="楷体" w:cs="楷体"/>
          <w:color w:val="auto"/>
          <w:highlight w:val="none"/>
        </w:rPr>
      </w:pPr>
    </w:p>
    <w:p>
      <w:pPr>
        <w:adjustRightInd w:val="0"/>
        <w:snapToGrid w:val="0"/>
        <w:spacing w:line="360" w:lineRule="auto"/>
        <w:ind w:right="120" w:rightChars="50"/>
        <w:jc w:val="left"/>
        <w:rPr>
          <w:rFonts w:hint="eastAsia" w:ascii="楷体" w:hAnsi="楷体" w:eastAsia="楷体" w:cs="楷体"/>
          <w:color w:val="auto"/>
          <w:highlight w:val="none"/>
        </w:rPr>
      </w:pPr>
      <w:r>
        <w:rPr>
          <w:rFonts w:hint="eastAsia" w:ascii="楷体" w:hAnsi="楷体" w:eastAsia="楷体" w:cs="楷体"/>
          <w:color w:val="auto"/>
          <w:highlight w:val="none"/>
        </w:rPr>
        <w:t>注：若无此情形，写“无”即可</w:t>
      </w:r>
    </w:p>
    <w:p>
      <w:pPr>
        <w:pStyle w:val="21"/>
        <w:rPr>
          <w:rFonts w:hint="eastAsia" w:ascii="楷体" w:hAnsi="楷体" w:eastAsia="楷体" w:cs="楷体"/>
          <w:color w:val="auto"/>
          <w:sz w:val="24"/>
          <w:szCs w:val="24"/>
          <w:highlight w:val="none"/>
        </w:rPr>
      </w:pPr>
    </w:p>
    <w:p>
      <w:pPr>
        <w:spacing w:line="360" w:lineRule="auto"/>
        <w:jc w:val="left"/>
        <w:rPr>
          <w:rFonts w:hint="eastAsia" w:ascii="楷体" w:hAnsi="楷体" w:eastAsia="楷体" w:cs="楷体"/>
          <w:color w:val="auto"/>
          <w:highlight w:val="none"/>
        </w:rPr>
      </w:pP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供应商名称（公章）：</w:t>
      </w:r>
    </w:p>
    <w:p>
      <w:pPr>
        <w:spacing w:line="360" w:lineRule="auto"/>
        <w:jc w:val="left"/>
        <w:rPr>
          <w:rFonts w:hint="eastAsia" w:ascii="楷体" w:hAnsi="楷体" w:eastAsia="楷体" w:cs="楷体"/>
          <w:b/>
          <w:color w:val="auto"/>
          <w:highlight w:val="none"/>
        </w:rPr>
      </w:pPr>
      <w:r>
        <w:rPr>
          <w:rFonts w:hint="eastAsia" w:ascii="楷体" w:hAnsi="楷体" w:eastAsia="楷体" w:cs="楷体"/>
          <w:color w:val="auto"/>
          <w:highlight w:val="none"/>
        </w:rPr>
        <w:t>法定代表人/被授权人（</w:t>
      </w:r>
      <w:r>
        <w:rPr>
          <w:rFonts w:hint="eastAsia" w:ascii="楷体" w:hAnsi="楷体" w:eastAsia="楷体" w:cs="楷体"/>
          <w:color w:val="auto"/>
          <w:spacing w:val="4"/>
          <w:szCs w:val="24"/>
          <w:highlight w:val="none"/>
        </w:rPr>
        <w:t>签字或盖章</w:t>
      </w:r>
      <w:r>
        <w:rPr>
          <w:rFonts w:hint="eastAsia" w:ascii="楷体" w:hAnsi="楷体" w:eastAsia="楷体" w:cs="楷体"/>
          <w:color w:val="auto"/>
          <w:highlight w:val="none"/>
        </w:rPr>
        <w:t>）</w:t>
      </w:r>
      <w:r>
        <w:rPr>
          <w:rFonts w:hint="eastAsia" w:ascii="楷体" w:hAnsi="楷体" w:eastAsia="楷体" w:cs="楷体"/>
          <w:b/>
          <w:color w:val="auto"/>
          <w:highlight w:val="none"/>
        </w:rPr>
        <w:t>：</w:t>
      </w:r>
    </w:p>
    <w:p>
      <w:pPr>
        <w:spacing w:line="360" w:lineRule="auto"/>
        <w:rPr>
          <w:rFonts w:hint="eastAsia" w:ascii="楷体" w:hAnsi="楷体" w:eastAsia="楷体" w:cs="楷体"/>
          <w:color w:val="auto"/>
          <w:highlight w:val="none"/>
        </w:rPr>
      </w:pPr>
      <w:r>
        <w:rPr>
          <w:rFonts w:hint="eastAsia" w:ascii="楷体" w:hAnsi="楷体" w:eastAsia="楷体" w:cs="楷体"/>
          <w:color w:val="auto"/>
          <w:highlight w:val="none"/>
        </w:rPr>
        <w:t>日    期：</w:t>
      </w:r>
    </w:p>
    <w:p>
      <w:pPr>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br w:type="page"/>
      </w:r>
    </w:p>
    <w:p>
      <w:pPr>
        <w:spacing w:line="360" w:lineRule="auto"/>
        <w:jc w:val="left"/>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（三）对第三章“合同条款前附表”项目实施地点、</w:t>
      </w:r>
      <w:r>
        <w:rPr>
          <w:rFonts w:hint="eastAsia" w:ascii="楷体" w:hAnsi="楷体" w:eastAsia="楷体" w:cs="仿宋"/>
          <w:b/>
          <w:color w:val="auto"/>
          <w:sz w:val="24"/>
          <w:szCs w:val="24"/>
          <w:highlight w:val="none"/>
          <w:lang w:val="en-US" w:eastAsia="zh-CN"/>
        </w:rPr>
        <w:t>交货</w:t>
      </w:r>
      <w:r>
        <w:rPr>
          <w:rFonts w:hint="eastAsia" w:ascii="楷体" w:hAnsi="楷体" w:eastAsia="楷体" w:cs="仿宋"/>
          <w:b/>
          <w:color w:val="auto"/>
          <w:sz w:val="24"/>
          <w:szCs w:val="24"/>
          <w:highlight w:val="none"/>
          <w:lang w:eastAsia="zh-CN"/>
        </w:rPr>
        <w:t>期</w:t>
      </w:r>
      <w:r>
        <w:rPr>
          <w:rFonts w:hint="eastAsia" w:ascii="楷体" w:hAnsi="楷体" w:eastAsia="楷体" w:cs="仿宋"/>
          <w:b/>
          <w:color w:val="auto"/>
          <w:sz w:val="24"/>
          <w:szCs w:val="24"/>
          <w:highlight w:val="none"/>
        </w:rPr>
        <w:t>、</w:t>
      </w:r>
      <w:r>
        <w:rPr>
          <w:rFonts w:hint="eastAsia" w:ascii="楷体" w:hAnsi="楷体" w:eastAsia="楷体" w:cs="仿宋"/>
          <w:b/>
          <w:color w:val="auto"/>
          <w:sz w:val="24"/>
          <w:szCs w:val="24"/>
          <w:highlight w:val="none"/>
          <w:lang w:val="en-US" w:eastAsia="zh-CN"/>
        </w:rPr>
        <w:t>质保期、</w:t>
      </w:r>
      <w:r>
        <w:rPr>
          <w:rFonts w:hint="eastAsia" w:ascii="楷体" w:hAnsi="楷体" w:eastAsia="楷体" w:cs="仿宋"/>
          <w:b/>
          <w:color w:val="auto"/>
          <w:sz w:val="24"/>
          <w:szCs w:val="24"/>
          <w:highlight w:val="none"/>
        </w:rPr>
        <w:t>付款方式、</w:t>
      </w:r>
      <w:r>
        <w:rPr>
          <w:rFonts w:hint="eastAsia" w:ascii="楷体" w:hAnsi="楷体" w:eastAsia="楷体" w:cs="仿宋"/>
          <w:b/>
          <w:color w:val="auto"/>
          <w:sz w:val="24"/>
          <w:szCs w:val="24"/>
          <w:highlight w:val="none"/>
          <w:lang w:val="en-US" w:eastAsia="zh-CN"/>
        </w:rPr>
        <w:t>质量保证及培训、</w:t>
      </w:r>
      <w:r>
        <w:rPr>
          <w:rFonts w:hint="eastAsia" w:ascii="楷体" w:hAnsi="楷体" w:eastAsia="楷体" w:cs="仿宋"/>
          <w:b/>
          <w:color w:val="auto"/>
          <w:sz w:val="24"/>
          <w:szCs w:val="24"/>
          <w:highlight w:val="none"/>
        </w:rPr>
        <w:t>运输、安装、调试要求</w:t>
      </w:r>
      <w:r>
        <w:rPr>
          <w:rFonts w:hint="eastAsia" w:ascii="楷体" w:hAnsi="楷体" w:eastAsia="楷体" w:cs="仿宋"/>
          <w:b/>
          <w:color w:val="auto"/>
          <w:sz w:val="24"/>
          <w:szCs w:val="24"/>
          <w:highlight w:val="none"/>
          <w:lang w:eastAsia="zh-CN"/>
        </w:rPr>
        <w:t>、</w:t>
      </w:r>
      <w:r>
        <w:rPr>
          <w:rFonts w:hint="eastAsia" w:ascii="楷体" w:hAnsi="楷体" w:eastAsia="楷体" w:cs="仿宋"/>
          <w:b/>
          <w:color w:val="auto"/>
          <w:sz w:val="24"/>
          <w:szCs w:val="24"/>
          <w:highlight w:val="none"/>
          <w:lang w:val="en-US" w:eastAsia="zh-CN"/>
        </w:rPr>
        <w:t>售后服务、验收等</w:t>
      </w:r>
      <w:r>
        <w:rPr>
          <w:rFonts w:hint="eastAsia" w:ascii="楷体" w:hAnsi="楷体" w:eastAsia="楷体" w:cs="楷体"/>
          <w:b/>
          <w:bCs/>
          <w:color w:val="auto"/>
          <w:sz w:val="24"/>
          <w:szCs w:val="24"/>
          <w:highlight w:val="none"/>
        </w:rPr>
        <w:t>合同条款逐条响应；（格式自拟）</w:t>
      </w:r>
    </w:p>
    <w:p>
      <w:pPr>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br w:type="page"/>
      </w:r>
    </w:p>
    <w:p>
      <w:pPr>
        <w:numPr>
          <w:ilvl w:val="0"/>
          <w:numId w:val="19"/>
        </w:numPr>
        <w:spacing w:line="360" w:lineRule="auto"/>
        <w:jc w:val="both"/>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供应商业绩情况</w:t>
      </w:r>
    </w:p>
    <w:p>
      <w:pPr>
        <w:numPr>
          <w:ilvl w:val="0"/>
          <w:numId w:val="0"/>
        </w:numPr>
        <w:spacing w:line="360" w:lineRule="auto"/>
        <w:jc w:val="center"/>
        <w:rPr>
          <w:rFonts w:hint="eastAsia" w:ascii="楷体" w:hAnsi="楷体" w:eastAsia="楷体" w:cs="仿宋"/>
          <w:b/>
          <w:bCs/>
          <w:color w:val="auto"/>
          <w:sz w:val="30"/>
          <w:szCs w:val="30"/>
          <w:highlight w:val="none"/>
        </w:rPr>
      </w:pPr>
      <w:r>
        <w:rPr>
          <w:rFonts w:hint="eastAsia" w:ascii="楷体" w:hAnsi="楷体" w:eastAsia="楷体" w:cs="仿宋"/>
          <w:b/>
          <w:bCs/>
          <w:color w:val="auto"/>
          <w:sz w:val="30"/>
          <w:szCs w:val="30"/>
          <w:highlight w:val="none"/>
        </w:rPr>
        <w:t>供应商业绩情况</w:t>
      </w:r>
    </w:p>
    <w:p>
      <w:pPr>
        <w:jc w:val="left"/>
        <w:rPr>
          <w:rFonts w:hint="eastAsia" w:ascii="楷体" w:hAnsi="楷体" w:eastAsia="楷体" w:cs="宋体"/>
          <w:b/>
          <w:color w:val="auto"/>
          <w:highlight w:val="none"/>
        </w:rPr>
      </w:pPr>
      <w:r>
        <w:rPr>
          <w:rFonts w:hint="eastAsia" w:ascii="楷体" w:hAnsi="楷体" w:eastAsia="楷体" w:cs="宋体"/>
          <w:b/>
          <w:color w:val="auto"/>
          <w:highlight w:val="none"/>
        </w:rPr>
        <w:t>项目名称：</w:t>
      </w:r>
    </w:p>
    <w:p>
      <w:pPr>
        <w:spacing w:line="360" w:lineRule="auto"/>
        <w:jc w:val="left"/>
        <w:rPr>
          <w:rFonts w:ascii="楷体" w:hAnsi="楷体" w:eastAsia="楷体" w:cs="仿宋"/>
          <w:b/>
          <w:color w:val="auto"/>
          <w:szCs w:val="24"/>
          <w:highlight w:val="none"/>
        </w:rPr>
      </w:pPr>
      <w:r>
        <w:rPr>
          <w:rFonts w:hint="eastAsia" w:ascii="楷体" w:hAnsi="楷体" w:eastAsia="楷体" w:cs="仿宋"/>
          <w:b/>
          <w:color w:val="auto"/>
          <w:szCs w:val="24"/>
          <w:highlight w:val="none"/>
        </w:rPr>
        <w:t xml:space="preserve">项目编号： </w:t>
      </w:r>
    </w:p>
    <w:tbl>
      <w:tblPr>
        <w:tblStyle w:val="46"/>
        <w:tblW w:w="833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16"/>
        <w:gridCol w:w="1275"/>
        <w:gridCol w:w="1134"/>
        <w:gridCol w:w="1276"/>
        <w:gridCol w:w="1145"/>
        <w:gridCol w:w="11"/>
        <w:gridCol w:w="1415"/>
        <w:gridCol w:w="115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tcBorders>
              <w:top w:val="single" w:color="auto" w:sz="4" w:space="0"/>
            </w:tcBorders>
            <w:vAlign w:val="center"/>
          </w:tcPr>
          <w:p>
            <w:pPr>
              <w:spacing w:line="400" w:lineRule="exact"/>
              <w:ind w:firstLine="120" w:firstLineChars="50"/>
              <w:rPr>
                <w:rFonts w:ascii="楷体" w:hAnsi="楷体" w:eastAsia="楷体" w:cs="Arial"/>
                <w:color w:val="auto"/>
                <w:szCs w:val="24"/>
                <w:highlight w:val="none"/>
              </w:rPr>
            </w:pPr>
            <w:r>
              <w:rPr>
                <w:rFonts w:hint="eastAsia" w:ascii="楷体" w:hAnsi="楷体" w:eastAsia="楷体" w:cs="Arial"/>
                <w:color w:val="auto"/>
                <w:szCs w:val="24"/>
                <w:highlight w:val="none"/>
              </w:rPr>
              <w:t>年份</w:t>
            </w:r>
          </w:p>
        </w:tc>
        <w:tc>
          <w:tcPr>
            <w:tcW w:w="1275" w:type="dxa"/>
            <w:vAlign w:val="center"/>
          </w:tcPr>
          <w:p>
            <w:pPr>
              <w:spacing w:line="400" w:lineRule="exact"/>
              <w:jc w:val="center"/>
              <w:rPr>
                <w:rFonts w:ascii="楷体" w:hAnsi="楷体" w:eastAsia="楷体" w:cs="Arial"/>
                <w:color w:val="auto"/>
                <w:szCs w:val="24"/>
                <w:highlight w:val="none"/>
              </w:rPr>
            </w:pPr>
            <w:r>
              <w:rPr>
                <w:rFonts w:hint="eastAsia" w:ascii="楷体" w:hAnsi="楷体" w:eastAsia="楷体" w:cs="Arial"/>
                <w:color w:val="auto"/>
                <w:szCs w:val="24"/>
                <w:highlight w:val="none"/>
              </w:rPr>
              <w:t>用户名称</w:t>
            </w:r>
          </w:p>
        </w:tc>
        <w:tc>
          <w:tcPr>
            <w:tcW w:w="1134" w:type="dxa"/>
            <w:vAlign w:val="center"/>
          </w:tcPr>
          <w:p>
            <w:pPr>
              <w:spacing w:line="400" w:lineRule="exact"/>
              <w:jc w:val="center"/>
              <w:rPr>
                <w:rFonts w:ascii="楷体" w:hAnsi="楷体" w:eastAsia="楷体" w:cs="Arial"/>
                <w:color w:val="auto"/>
                <w:szCs w:val="24"/>
                <w:highlight w:val="none"/>
              </w:rPr>
            </w:pPr>
            <w:r>
              <w:rPr>
                <w:rFonts w:ascii="楷体" w:hAnsi="楷体" w:eastAsia="楷体" w:cs="Arial"/>
                <w:color w:val="auto"/>
                <w:szCs w:val="24"/>
                <w:highlight w:val="none"/>
              </w:rPr>
              <w:t>项目名称</w:t>
            </w:r>
          </w:p>
        </w:tc>
        <w:tc>
          <w:tcPr>
            <w:tcW w:w="1276" w:type="dxa"/>
            <w:vAlign w:val="center"/>
          </w:tcPr>
          <w:p>
            <w:pPr>
              <w:spacing w:line="400" w:lineRule="exact"/>
              <w:jc w:val="center"/>
              <w:rPr>
                <w:rFonts w:ascii="楷体" w:hAnsi="楷体" w:eastAsia="楷体" w:cs="Arial"/>
                <w:color w:val="auto"/>
                <w:szCs w:val="24"/>
                <w:highlight w:val="none"/>
              </w:rPr>
            </w:pPr>
            <w:r>
              <w:rPr>
                <w:rFonts w:ascii="楷体" w:hAnsi="楷体" w:eastAsia="楷体" w:cs="Arial"/>
                <w:color w:val="auto"/>
                <w:szCs w:val="24"/>
                <w:highlight w:val="none"/>
              </w:rPr>
              <w:t>完成时间</w:t>
            </w:r>
          </w:p>
        </w:tc>
        <w:tc>
          <w:tcPr>
            <w:tcW w:w="1145" w:type="dxa"/>
            <w:vAlign w:val="center"/>
          </w:tcPr>
          <w:p>
            <w:pPr>
              <w:spacing w:line="400" w:lineRule="exact"/>
              <w:rPr>
                <w:rFonts w:ascii="楷体" w:hAnsi="楷体" w:eastAsia="楷体" w:cs="Arial"/>
                <w:color w:val="auto"/>
                <w:szCs w:val="24"/>
                <w:highlight w:val="none"/>
              </w:rPr>
            </w:pPr>
            <w:r>
              <w:rPr>
                <w:rFonts w:ascii="楷体" w:hAnsi="楷体" w:eastAsia="楷体" w:cs="Arial"/>
                <w:color w:val="auto"/>
                <w:szCs w:val="24"/>
                <w:highlight w:val="none"/>
              </w:rPr>
              <w:t>合同金额</w:t>
            </w:r>
          </w:p>
        </w:tc>
        <w:tc>
          <w:tcPr>
            <w:tcW w:w="1426" w:type="dxa"/>
            <w:gridSpan w:val="2"/>
            <w:tcBorders>
              <w:right w:val="single" w:color="auto" w:sz="4" w:space="0"/>
            </w:tcBorders>
            <w:vAlign w:val="center"/>
          </w:tcPr>
          <w:p>
            <w:pPr>
              <w:spacing w:line="400" w:lineRule="exact"/>
              <w:jc w:val="center"/>
              <w:rPr>
                <w:rFonts w:ascii="楷体" w:hAnsi="楷体" w:eastAsia="楷体" w:cs="Arial"/>
                <w:color w:val="auto"/>
                <w:szCs w:val="24"/>
                <w:highlight w:val="none"/>
              </w:rPr>
            </w:pPr>
            <w:r>
              <w:rPr>
                <w:rFonts w:hint="eastAsia" w:ascii="楷体" w:hAnsi="楷体" w:eastAsia="楷体" w:cs="Arial"/>
                <w:color w:val="auto"/>
                <w:szCs w:val="24"/>
                <w:highlight w:val="none"/>
              </w:rPr>
              <w:t>完成项目</w:t>
            </w:r>
          </w:p>
          <w:p>
            <w:pPr>
              <w:spacing w:line="400" w:lineRule="exact"/>
              <w:jc w:val="center"/>
              <w:rPr>
                <w:rFonts w:ascii="楷体" w:hAnsi="楷体" w:eastAsia="楷体" w:cs="Arial"/>
                <w:color w:val="auto"/>
                <w:szCs w:val="24"/>
                <w:highlight w:val="none"/>
              </w:rPr>
            </w:pPr>
            <w:r>
              <w:rPr>
                <w:rFonts w:hint="eastAsia" w:ascii="楷体" w:hAnsi="楷体" w:eastAsia="楷体" w:cs="Arial"/>
                <w:color w:val="auto"/>
                <w:szCs w:val="24"/>
                <w:highlight w:val="none"/>
              </w:rPr>
              <w:t>质量</w:t>
            </w:r>
          </w:p>
        </w:tc>
        <w:tc>
          <w:tcPr>
            <w:tcW w:w="1159" w:type="dxa"/>
            <w:tcBorders>
              <w:left w:val="single" w:color="auto" w:sz="4" w:space="0"/>
            </w:tcBorders>
            <w:vAlign w:val="center"/>
          </w:tcPr>
          <w:p>
            <w:pPr>
              <w:spacing w:line="400" w:lineRule="exact"/>
              <w:rPr>
                <w:rFonts w:ascii="楷体" w:hAnsi="楷体" w:eastAsia="楷体" w:cs="Arial"/>
                <w:color w:val="auto"/>
                <w:szCs w:val="24"/>
                <w:highlight w:val="none"/>
              </w:rPr>
            </w:pPr>
            <w:r>
              <w:rPr>
                <w:rFonts w:hint="eastAsia" w:ascii="楷体" w:hAnsi="楷体" w:eastAsia="楷体" w:cs="Arial"/>
                <w:color w:val="auto"/>
                <w:szCs w:val="24"/>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Arial"/>
                <w:color w:val="auto"/>
                <w:szCs w:val="24"/>
                <w:highlight w:val="none"/>
              </w:rPr>
            </w:pPr>
          </w:p>
        </w:tc>
        <w:tc>
          <w:tcPr>
            <w:tcW w:w="1275" w:type="dxa"/>
            <w:vAlign w:val="center"/>
          </w:tcPr>
          <w:p>
            <w:pPr>
              <w:spacing w:line="400" w:lineRule="exact"/>
              <w:jc w:val="center"/>
              <w:rPr>
                <w:rFonts w:ascii="楷体" w:hAnsi="楷体" w:eastAsia="楷体" w:cs="Arial"/>
                <w:color w:val="auto"/>
                <w:szCs w:val="24"/>
                <w:highlight w:val="none"/>
              </w:rPr>
            </w:pPr>
          </w:p>
        </w:tc>
        <w:tc>
          <w:tcPr>
            <w:tcW w:w="1134" w:type="dxa"/>
            <w:vAlign w:val="center"/>
          </w:tcPr>
          <w:p>
            <w:pPr>
              <w:spacing w:line="400" w:lineRule="exact"/>
              <w:jc w:val="center"/>
              <w:rPr>
                <w:rFonts w:ascii="楷体" w:hAnsi="楷体" w:eastAsia="楷体" w:cs="Arial"/>
                <w:color w:val="auto"/>
                <w:szCs w:val="24"/>
                <w:highlight w:val="none"/>
              </w:rPr>
            </w:pPr>
          </w:p>
        </w:tc>
        <w:tc>
          <w:tcPr>
            <w:tcW w:w="1276" w:type="dxa"/>
            <w:vAlign w:val="center"/>
          </w:tcPr>
          <w:p>
            <w:pPr>
              <w:spacing w:line="400" w:lineRule="exact"/>
              <w:jc w:val="center"/>
              <w:rPr>
                <w:rFonts w:ascii="楷体" w:hAnsi="楷体" w:eastAsia="楷体" w:cs="Arial"/>
                <w:color w:val="auto"/>
                <w:szCs w:val="24"/>
                <w:highlight w:val="none"/>
              </w:rPr>
            </w:pPr>
          </w:p>
        </w:tc>
        <w:tc>
          <w:tcPr>
            <w:tcW w:w="1145" w:type="dxa"/>
            <w:vAlign w:val="center"/>
          </w:tcPr>
          <w:p>
            <w:pPr>
              <w:spacing w:line="400" w:lineRule="exact"/>
              <w:jc w:val="center"/>
              <w:rPr>
                <w:rFonts w:ascii="楷体" w:hAnsi="楷体" w:eastAsia="楷体" w:cs="Arial"/>
                <w:color w:val="auto"/>
                <w:szCs w:val="24"/>
                <w:highlight w:val="none"/>
              </w:rPr>
            </w:pPr>
          </w:p>
        </w:tc>
        <w:tc>
          <w:tcPr>
            <w:tcW w:w="1426" w:type="dxa"/>
            <w:gridSpan w:val="2"/>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9"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Arial"/>
                <w:color w:val="auto"/>
                <w:szCs w:val="24"/>
                <w:highlight w:val="none"/>
              </w:rPr>
            </w:pPr>
          </w:p>
        </w:tc>
        <w:tc>
          <w:tcPr>
            <w:tcW w:w="1275" w:type="dxa"/>
            <w:vAlign w:val="center"/>
          </w:tcPr>
          <w:p>
            <w:pPr>
              <w:spacing w:line="400" w:lineRule="exact"/>
              <w:jc w:val="center"/>
              <w:rPr>
                <w:rFonts w:ascii="楷体" w:hAnsi="楷体" w:eastAsia="楷体" w:cs="Arial"/>
                <w:color w:val="auto"/>
                <w:szCs w:val="24"/>
                <w:highlight w:val="none"/>
              </w:rPr>
            </w:pPr>
          </w:p>
        </w:tc>
        <w:tc>
          <w:tcPr>
            <w:tcW w:w="1134" w:type="dxa"/>
            <w:vAlign w:val="center"/>
          </w:tcPr>
          <w:p>
            <w:pPr>
              <w:spacing w:line="400" w:lineRule="exact"/>
              <w:jc w:val="center"/>
              <w:rPr>
                <w:rFonts w:ascii="楷体" w:hAnsi="楷体" w:eastAsia="楷体" w:cs="Arial"/>
                <w:color w:val="auto"/>
                <w:szCs w:val="24"/>
                <w:highlight w:val="none"/>
              </w:rPr>
            </w:pPr>
          </w:p>
        </w:tc>
        <w:tc>
          <w:tcPr>
            <w:tcW w:w="1276" w:type="dxa"/>
            <w:vAlign w:val="center"/>
          </w:tcPr>
          <w:p>
            <w:pPr>
              <w:spacing w:line="400" w:lineRule="exact"/>
              <w:jc w:val="center"/>
              <w:rPr>
                <w:rFonts w:ascii="楷体" w:hAnsi="楷体" w:eastAsia="楷体" w:cs="Arial"/>
                <w:color w:val="auto"/>
                <w:szCs w:val="24"/>
                <w:highlight w:val="none"/>
              </w:rPr>
            </w:pPr>
          </w:p>
        </w:tc>
        <w:tc>
          <w:tcPr>
            <w:tcW w:w="1145" w:type="dxa"/>
            <w:vAlign w:val="center"/>
          </w:tcPr>
          <w:p>
            <w:pPr>
              <w:spacing w:line="400" w:lineRule="exact"/>
              <w:jc w:val="center"/>
              <w:rPr>
                <w:rFonts w:ascii="楷体" w:hAnsi="楷体" w:eastAsia="楷体" w:cs="Arial"/>
                <w:color w:val="auto"/>
                <w:szCs w:val="24"/>
                <w:highlight w:val="none"/>
              </w:rPr>
            </w:pPr>
          </w:p>
        </w:tc>
        <w:tc>
          <w:tcPr>
            <w:tcW w:w="1426" w:type="dxa"/>
            <w:gridSpan w:val="2"/>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9"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Arial"/>
                <w:color w:val="auto"/>
                <w:szCs w:val="24"/>
                <w:highlight w:val="none"/>
              </w:rPr>
            </w:pPr>
          </w:p>
        </w:tc>
        <w:tc>
          <w:tcPr>
            <w:tcW w:w="1275" w:type="dxa"/>
            <w:vAlign w:val="center"/>
          </w:tcPr>
          <w:p>
            <w:pPr>
              <w:spacing w:line="400" w:lineRule="exact"/>
              <w:jc w:val="center"/>
              <w:rPr>
                <w:rFonts w:ascii="楷体" w:hAnsi="楷体" w:eastAsia="楷体" w:cs="Arial"/>
                <w:color w:val="auto"/>
                <w:szCs w:val="24"/>
                <w:highlight w:val="none"/>
              </w:rPr>
            </w:pPr>
          </w:p>
        </w:tc>
        <w:tc>
          <w:tcPr>
            <w:tcW w:w="1134" w:type="dxa"/>
            <w:vAlign w:val="center"/>
          </w:tcPr>
          <w:p>
            <w:pPr>
              <w:spacing w:line="400" w:lineRule="exact"/>
              <w:jc w:val="center"/>
              <w:rPr>
                <w:rFonts w:ascii="楷体" w:hAnsi="楷体" w:eastAsia="楷体" w:cs="Arial"/>
                <w:color w:val="auto"/>
                <w:szCs w:val="24"/>
                <w:highlight w:val="none"/>
              </w:rPr>
            </w:pPr>
          </w:p>
        </w:tc>
        <w:tc>
          <w:tcPr>
            <w:tcW w:w="1276" w:type="dxa"/>
            <w:vAlign w:val="center"/>
          </w:tcPr>
          <w:p>
            <w:pPr>
              <w:spacing w:line="400" w:lineRule="exact"/>
              <w:jc w:val="center"/>
              <w:rPr>
                <w:rFonts w:ascii="楷体" w:hAnsi="楷体" w:eastAsia="楷体" w:cs="Arial"/>
                <w:color w:val="auto"/>
                <w:szCs w:val="24"/>
                <w:highlight w:val="none"/>
              </w:rPr>
            </w:pPr>
          </w:p>
        </w:tc>
        <w:tc>
          <w:tcPr>
            <w:tcW w:w="1145" w:type="dxa"/>
            <w:vAlign w:val="center"/>
          </w:tcPr>
          <w:p>
            <w:pPr>
              <w:spacing w:line="400" w:lineRule="exact"/>
              <w:jc w:val="center"/>
              <w:rPr>
                <w:rFonts w:ascii="楷体" w:hAnsi="楷体" w:eastAsia="楷体" w:cs="Arial"/>
                <w:color w:val="auto"/>
                <w:szCs w:val="24"/>
                <w:highlight w:val="none"/>
              </w:rPr>
            </w:pPr>
          </w:p>
        </w:tc>
        <w:tc>
          <w:tcPr>
            <w:tcW w:w="1426" w:type="dxa"/>
            <w:gridSpan w:val="2"/>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9"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Arial"/>
                <w:color w:val="auto"/>
                <w:szCs w:val="24"/>
                <w:highlight w:val="none"/>
              </w:rPr>
            </w:pPr>
          </w:p>
        </w:tc>
        <w:tc>
          <w:tcPr>
            <w:tcW w:w="1275" w:type="dxa"/>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34"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c>
          <w:tcPr>
            <w:tcW w:w="1276" w:type="dxa"/>
            <w:vAlign w:val="center"/>
          </w:tcPr>
          <w:p>
            <w:pPr>
              <w:spacing w:line="400" w:lineRule="exact"/>
              <w:jc w:val="center"/>
              <w:rPr>
                <w:rFonts w:ascii="楷体" w:hAnsi="楷体" w:eastAsia="楷体" w:cs="Arial"/>
                <w:color w:val="auto"/>
                <w:szCs w:val="24"/>
                <w:highlight w:val="none"/>
              </w:rPr>
            </w:pPr>
          </w:p>
        </w:tc>
        <w:tc>
          <w:tcPr>
            <w:tcW w:w="1145" w:type="dxa"/>
            <w:vAlign w:val="center"/>
          </w:tcPr>
          <w:p>
            <w:pPr>
              <w:spacing w:line="400" w:lineRule="exact"/>
              <w:jc w:val="center"/>
              <w:rPr>
                <w:rFonts w:ascii="楷体" w:hAnsi="楷体" w:eastAsia="楷体" w:cs="Arial"/>
                <w:color w:val="auto"/>
                <w:szCs w:val="24"/>
                <w:highlight w:val="none"/>
              </w:rPr>
            </w:pPr>
          </w:p>
        </w:tc>
        <w:tc>
          <w:tcPr>
            <w:tcW w:w="1426" w:type="dxa"/>
            <w:gridSpan w:val="2"/>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9"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275" w:type="dxa"/>
            <w:tcBorders>
              <w:left w:val="single" w:color="auto" w:sz="4" w:space="0"/>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34" w:type="dxa"/>
            <w:tcBorders>
              <w:left w:val="single" w:color="auto" w:sz="4" w:space="0"/>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276" w:type="dxa"/>
            <w:tcBorders>
              <w:left w:val="single" w:color="auto" w:sz="4" w:space="0"/>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6" w:type="dxa"/>
            <w:gridSpan w:val="2"/>
            <w:tcBorders>
              <w:left w:val="single" w:color="auto" w:sz="4" w:space="0"/>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415" w:type="dxa"/>
            <w:tcBorders>
              <w:left w:val="single" w:color="auto" w:sz="4" w:space="0"/>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9"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Arial"/>
                <w:color w:val="auto"/>
                <w:szCs w:val="24"/>
                <w:highlight w:val="none"/>
              </w:rPr>
            </w:pPr>
          </w:p>
        </w:tc>
        <w:tc>
          <w:tcPr>
            <w:tcW w:w="1275" w:type="dxa"/>
            <w:vAlign w:val="center"/>
          </w:tcPr>
          <w:p>
            <w:pPr>
              <w:spacing w:line="400" w:lineRule="exact"/>
              <w:jc w:val="center"/>
              <w:rPr>
                <w:rFonts w:ascii="楷体" w:hAnsi="楷体" w:eastAsia="楷体" w:cs="Arial"/>
                <w:color w:val="auto"/>
                <w:szCs w:val="24"/>
                <w:highlight w:val="none"/>
              </w:rPr>
            </w:pPr>
          </w:p>
        </w:tc>
        <w:tc>
          <w:tcPr>
            <w:tcW w:w="1134" w:type="dxa"/>
            <w:vAlign w:val="center"/>
          </w:tcPr>
          <w:p>
            <w:pPr>
              <w:spacing w:line="400" w:lineRule="exact"/>
              <w:jc w:val="center"/>
              <w:rPr>
                <w:rFonts w:ascii="楷体" w:hAnsi="楷体" w:eastAsia="楷体" w:cs="Arial"/>
                <w:color w:val="auto"/>
                <w:szCs w:val="24"/>
                <w:highlight w:val="none"/>
              </w:rPr>
            </w:pPr>
          </w:p>
        </w:tc>
        <w:tc>
          <w:tcPr>
            <w:tcW w:w="1276" w:type="dxa"/>
            <w:vAlign w:val="center"/>
          </w:tcPr>
          <w:p>
            <w:pPr>
              <w:spacing w:line="400" w:lineRule="exact"/>
              <w:jc w:val="center"/>
              <w:rPr>
                <w:rFonts w:ascii="楷体" w:hAnsi="楷体" w:eastAsia="楷体" w:cs="Arial"/>
                <w:color w:val="auto"/>
                <w:szCs w:val="24"/>
                <w:highlight w:val="none"/>
              </w:rPr>
            </w:pPr>
          </w:p>
        </w:tc>
        <w:tc>
          <w:tcPr>
            <w:tcW w:w="1156" w:type="dxa"/>
            <w:gridSpan w:val="2"/>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415" w:type="dxa"/>
            <w:tcBorders>
              <w:left w:val="single" w:color="auto" w:sz="4" w:space="0"/>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9"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r>
    </w:tbl>
    <w:p>
      <w:pPr>
        <w:spacing w:line="360" w:lineRule="auto"/>
        <w:jc w:val="left"/>
        <w:rPr>
          <w:rFonts w:hint="eastAsia" w:ascii="楷体" w:hAnsi="楷体" w:eastAsia="楷体" w:cs="楷体"/>
          <w:b/>
          <w:bCs/>
          <w:color w:val="auto"/>
          <w:sz w:val="21"/>
          <w:szCs w:val="21"/>
          <w:highlight w:val="none"/>
        </w:rPr>
      </w:pPr>
      <w:r>
        <w:rPr>
          <w:rFonts w:hint="eastAsia" w:ascii="楷体" w:hAnsi="楷体" w:eastAsia="楷体" w:cs="Arial"/>
          <w:b/>
          <w:color w:val="auto"/>
          <w:sz w:val="21"/>
          <w:szCs w:val="21"/>
          <w:highlight w:val="none"/>
        </w:rPr>
        <w:t>注：</w:t>
      </w:r>
      <w:r>
        <w:rPr>
          <w:rFonts w:hint="eastAsia" w:ascii="楷体" w:hAnsi="楷体" w:eastAsia="楷体" w:cs="Arial"/>
          <w:b/>
          <w:color w:val="auto"/>
          <w:sz w:val="21"/>
          <w:szCs w:val="21"/>
          <w:highlight w:val="none"/>
          <w:lang w:val="en-US" w:eastAsia="zh-CN"/>
        </w:rPr>
        <w:t>1</w:t>
      </w:r>
      <w:r>
        <w:rPr>
          <w:rFonts w:hint="eastAsia" w:ascii="楷体" w:hAnsi="楷体" w:eastAsia="楷体" w:cs="楷体"/>
          <w:b/>
          <w:bCs/>
          <w:color w:val="auto"/>
          <w:sz w:val="21"/>
          <w:szCs w:val="21"/>
          <w:highlight w:val="none"/>
        </w:rPr>
        <w:t>.本表后附业绩证明资料加盖供应商公章，签订时间及金额以合同中的内容为准。</w:t>
      </w:r>
    </w:p>
    <w:p>
      <w:pPr>
        <w:spacing w:line="360" w:lineRule="auto"/>
        <w:ind w:firstLine="422" w:firstLineChars="200"/>
        <w:jc w:val="left"/>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lang w:val="en-US" w:eastAsia="zh-CN"/>
        </w:rPr>
        <w:t>2</w:t>
      </w:r>
      <w:r>
        <w:rPr>
          <w:rFonts w:hint="eastAsia" w:ascii="楷体" w:hAnsi="楷体" w:eastAsia="楷体" w:cs="楷体"/>
          <w:b/>
          <w:bCs/>
          <w:color w:val="auto"/>
          <w:sz w:val="21"/>
          <w:szCs w:val="21"/>
          <w:highlight w:val="none"/>
        </w:rPr>
        <w:t>.供应商应如实列出以上情况，如有隐瞒，一经查实将导致其磋商响应文件被拒绝。</w:t>
      </w:r>
    </w:p>
    <w:p>
      <w:pPr>
        <w:spacing w:line="360" w:lineRule="auto"/>
        <w:ind w:firstLine="422" w:firstLineChars="200"/>
        <w:jc w:val="left"/>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lang w:val="en-US" w:eastAsia="zh-CN"/>
        </w:rPr>
        <w:t>3</w:t>
      </w:r>
      <w:r>
        <w:rPr>
          <w:rFonts w:hint="eastAsia" w:ascii="楷体" w:hAnsi="楷体" w:eastAsia="楷体" w:cs="楷体"/>
          <w:b/>
          <w:bCs/>
          <w:color w:val="auto"/>
          <w:sz w:val="21"/>
          <w:szCs w:val="21"/>
          <w:highlight w:val="none"/>
        </w:rPr>
        <w:t>.未按上述要求提供、填写的，评审时不予以考虑。</w:t>
      </w:r>
    </w:p>
    <w:p>
      <w:pPr>
        <w:spacing w:line="360" w:lineRule="auto"/>
        <w:rPr>
          <w:rFonts w:hint="eastAsia" w:ascii="楷体" w:hAnsi="楷体" w:eastAsia="楷体" w:cs="Arial"/>
          <w:b/>
          <w:color w:val="auto"/>
          <w:szCs w:val="24"/>
          <w:highlight w:val="none"/>
        </w:rPr>
      </w:pPr>
    </w:p>
    <w:p>
      <w:pPr>
        <w:spacing w:line="360" w:lineRule="auto"/>
        <w:rPr>
          <w:rFonts w:hint="eastAsia" w:ascii="楷体" w:hAnsi="楷体" w:eastAsia="楷体" w:cs="Arial"/>
          <w:b/>
          <w:color w:val="auto"/>
          <w:szCs w:val="24"/>
          <w:highlight w:val="none"/>
        </w:rPr>
      </w:pPr>
    </w:p>
    <w:p>
      <w:pPr>
        <w:spacing w:line="360" w:lineRule="auto"/>
        <w:rPr>
          <w:rFonts w:hint="eastAsia" w:ascii="楷体" w:hAnsi="楷体" w:eastAsia="楷体" w:cs="Arial"/>
          <w:b/>
          <w:color w:val="auto"/>
          <w:szCs w:val="24"/>
          <w:highlight w:val="none"/>
        </w:rPr>
      </w:pPr>
    </w:p>
    <w:p>
      <w:pPr>
        <w:spacing w:line="360" w:lineRule="auto"/>
        <w:rPr>
          <w:rFonts w:hint="eastAsia" w:ascii="楷体" w:hAnsi="楷体" w:eastAsia="楷体" w:cs="仿宋"/>
          <w:color w:val="auto"/>
          <w:highlight w:val="none"/>
        </w:rPr>
      </w:pPr>
    </w:p>
    <w:p>
      <w:pPr>
        <w:spacing w:line="360" w:lineRule="auto"/>
        <w:rPr>
          <w:rFonts w:hint="eastAsia" w:ascii="楷体" w:hAnsi="楷体" w:eastAsia="楷体" w:cs="仿宋"/>
          <w:color w:val="auto"/>
          <w:highlight w:val="none"/>
        </w:rPr>
      </w:pPr>
      <w:r>
        <w:rPr>
          <w:rFonts w:hint="eastAsia" w:ascii="楷体" w:hAnsi="楷体" w:eastAsia="楷体" w:cs="仿宋"/>
          <w:color w:val="auto"/>
          <w:highlight w:val="none"/>
        </w:rPr>
        <w:t xml:space="preserve">供应商名称（公章）  ：          </w:t>
      </w: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法定代表人/被授权人</w:t>
      </w:r>
      <w:r>
        <w:rPr>
          <w:rFonts w:hint="eastAsia" w:ascii="楷体" w:hAnsi="楷体" w:eastAsia="楷体" w:cs="仿宋"/>
          <w:color w:val="auto"/>
          <w:spacing w:val="4"/>
          <w:szCs w:val="24"/>
          <w:highlight w:val="none"/>
        </w:rPr>
        <w:t>（签字或盖章）</w:t>
      </w:r>
      <w:r>
        <w:rPr>
          <w:rFonts w:hint="eastAsia" w:ascii="楷体" w:hAnsi="楷体" w:eastAsia="楷体" w:cs="仿宋"/>
          <w:color w:val="auto"/>
          <w:highlight w:val="none"/>
        </w:rPr>
        <w:t>：</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日    期：</w:t>
      </w:r>
    </w:p>
    <w:p>
      <w:pPr>
        <w:rPr>
          <w:rFonts w:hint="eastAsia" w:ascii="楷体" w:hAnsi="楷体" w:eastAsia="楷体" w:cs="仿宋"/>
          <w:color w:val="auto"/>
          <w:szCs w:val="24"/>
          <w:highlight w:val="none"/>
        </w:rPr>
      </w:pPr>
      <w:r>
        <w:rPr>
          <w:rFonts w:hint="eastAsia" w:ascii="楷体" w:hAnsi="楷体" w:eastAsia="楷体" w:cs="仿宋"/>
          <w:color w:val="auto"/>
          <w:szCs w:val="24"/>
          <w:highlight w:val="none"/>
        </w:rPr>
        <w:br w:type="page"/>
      </w:r>
    </w:p>
    <w:p>
      <w:pPr>
        <w:rPr>
          <w:rFonts w:hint="eastAsia" w:ascii="楷体" w:hAnsi="楷体" w:eastAsia="楷体" w:cs="楷体"/>
          <w:b/>
          <w:bCs/>
          <w:color w:val="auto"/>
          <w:highlight w:val="none"/>
        </w:rPr>
      </w:pPr>
      <w:r>
        <w:rPr>
          <w:rFonts w:hint="eastAsia" w:ascii="楷体" w:hAnsi="楷体" w:eastAsia="楷体" w:cs="楷体"/>
          <w:b/>
          <w:bCs/>
          <w:color w:val="auto"/>
          <w:highlight w:val="none"/>
        </w:rPr>
        <w:t>（五）其他可以证明供应商实力的文件（如果有，格式自拟）</w:t>
      </w:r>
    </w:p>
    <w:p>
      <w:pPr>
        <w:pStyle w:val="200"/>
        <w:rPr>
          <w:rFonts w:hint="eastAsia"/>
          <w:color w:val="auto"/>
          <w:highlight w:val="none"/>
        </w:rPr>
      </w:pPr>
    </w:p>
    <w:p>
      <w:pPr>
        <w:pStyle w:val="39"/>
        <w:spacing w:line="360" w:lineRule="auto"/>
        <w:rPr>
          <w:rFonts w:hint="eastAsia"/>
          <w:color w:val="auto"/>
          <w:sz w:val="24"/>
          <w:szCs w:val="24"/>
          <w:highlight w:val="none"/>
        </w:rPr>
      </w:pPr>
    </w:p>
    <w:p>
      <w:pPr>
        <w:pStyle w:val="6"/>
        <w:numPr>
          <w:ilvl w:val="0"/>
          <w:numId w:val="0"/>
        </w:numPr>
        <w:spacing w:beforeLines="0" w:line="360" w:lineRule="auto"/>
        <w:jc w:val="center"/>
        <w:rPr>
          <w:rFonts w:hint="eastAsia" w:ascii="楷体" w:hAnsi="楷体" w:eastAsia="楷体" w:cs="仿宋"/>
          <w:color w:val="auto"/>
          <w:sz w:val="32"/>
          <w:szCs w:val="32"/>
          <w:highlight w:val="none"/>
        </w:rPr>
      </w:pPr>
      <w:r>
        <w:rPr>
          <w:rFonts w:hint="eastAsia" w:ascii="楷体" w:hAnsi="楷体" w:eastAsia="楷体" w:cs="仿宋"/>
          <w:color w:val="auto"/>
          <w:kern w:val="0"/>
          <w:highlight w:val="none"/>
        </w:rPr>
        <w:br w:type="page"/>
      </w:r>
      <w:bookmarkEnd w:id="81"/>
      <w:r>
        <w:rPr>
          <w:rFonts w:hint="eastAsia" w:ascii="楷体" w:hAnsi="楷体" w:eastAsia="楷体" w:cs="仿宋"/>
          <w:color w:val="auto"/>
          <w:kern w:val="0"/>
          <w:sz w:val="32"/>
          <w:szCs w:val="32"/>
          <w:highlight w:val="none"/>
          <w:lang w:val="en-US" w:eastAsia="zh-CN"/>
        </w:rPr>
        <w:t>五、</w:t>
      </w:r>
      <w:r>
        <w:rPr>
          <w:rFonts w:hint="eastAsia" w:ascii="楷体" w:hAnsi="楷体" w:eastAsia="楷体" w:cs="仿宋"/>
          <w:color w:val="auto"/>
          <w:sz w:val="32"/>
          <w:szCs w:val="32"/>
          <w:highlight w:val="none"/>
        </w:rPr>
        <w:t>技术要求</w:t>
      </w:r>
    </w:p>
    <w:p>
      <w:pPr>
        <w:spacing w:line="360" w:lineRule="auto"/>
        <w:jc w:val="center"/>
        <w:rPr>
          <w:rFonts w:hint="eastAsia" w:ascii="楷体" w:hAnsi="楷体" w:eastAsia="楷体" w:cs="楷体"/>
          <w:b/>
          <w:bCs/>
          <w:color w:val="auto"/>
          <w:sz w:val="28"/>
          <w:szCs w:val="21"/>
          <w:highlight w:val="none"/>
        </w:rPr>
      </w:pPr>
      <w:r>
        <w:rPr>
          <w:rFonts w:hint="eastAsia" w:ascii="楷体" w:hAnsi="楷体" w:eastAsia="楷体" w:cs="楷体"/>
          <w:b/>
          <w:bCs/>
          <w:color w:val="auto"/>
          <w:sz w:val="28"/>
          <w:szCs w:val="21"/>
          <w:highlight w:val="none"/>
        </w:rPr>
        <w:t>（格式自拟）</w:t>
      </w:r>
    </w:p>
    <w:p>
      <w:pPr>
        <w:spacing w:line="360" w:lineRule="auto"/>
        <w:ind w:firstLine="480" w:firstLineChars="200"/>
        <w:rPr>
          <w:rFonts w:hint="eastAsia" w:ascii="楷体" w:hAnsi="楷体" w:eastAsia="楷体" w:cs="仿宋"/>
          <w:bCs/>
          <w:color w:val="auto"/>
          <w:szCs w:val="24"/>
          <w:highlight w:val="none"/>
        </w:rPr>
      </w:pPr>
      <w:bookmarkStart w:id="86" w:name="_Toc403077656"/>
      <w:bookmarkStart w:id="87" w:name="_Toc363474033"/>
      <w:r>
        <w:rPr>
          <w:rFonts w:hint="eastAsia" w:ascii="楷体" w:hAnsi="楷体" w:eastAsia="楷体" w:cs="仿宋"/>
          <w:bCs/>
          <w:color w:val="auto"/>
          <w:szCs w:val="24"/>
          <w:highlight w:val="none"/>
        </w:rPr>
        <w:t>1.各供应商按照磋商文件“第四章各包采购内容及技术要求”及磋商文件“第五章 评审方法”中的评审细则表编制对应的技术要求。</w:t>
      </w:r>
    </w:p>
    <w:p>
      <w:pPr>
        <w:spacing w:line="360" w:lineRule="auto"/>
        <w:ind w:firstLine="480" w:firstLineChars="200"/>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2.供应商需要说明的其他问题。</w:t>
      </w:r>
    </w:p>
    <w:p>
      <w:pPr>
        <w:spacing w:line="360" w:lineRule="auto"/>
        <w:ind w:firstLine="480" w:firstLineChars="200"/>
        <w:jc w:val="left"/>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3.完成下列表格</w:t>
      </w:r>
    </w:p>
    <w:p>
      <w:pPr>
        <w:spacing w:line="360" w:lineRule="auto"/>
        <w:ind w:firstLine="480" w:firstLineChars="200"/>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附件</w:t>
      </w:r>
      <w:r>
        <w:rPr>
          <w:rFonts w:hint="eastAsia" w:ascii="楷体" w:hAnsi="楷体" w:eastAsia="楷体" w:cs="仿宋"/>
          <w:bCs/>
          <w:color w:val="auto"/>
          <w:szCs w:val="24"/>
          <w:highlight w:val="none"/>
          <w:lang w:val="en-US" w:eastAsia="zh-CN"/>
        </w:rPr>
        <w:t>3</w:t>
      </w:r>
      <w:r>
        <w:rPr>
          <w:rFonts w:hint="eastAsia" w:ascii="楷体" w:hAnsi="楷体" w:eastAsia="楷体" w:cs="仿宋"/>
          <w:bCs/>
          <w:color w:val="auto"/>
          <w:szCs w:val="24"/>
          <w:highlight w:val="none"/>
        </w:rPr>
        <w:t>：技术规格响应表</w:t>
      </w:r>
    </w:p>
    <w:p>
      <w:pPr>
        <w:spacing w:line="360" w:lineRule="auto"/>
        <w:ind w:firstLine="480" w:firstLineChars="200"/>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附件</w:t>
      </w:r>
      <w:r>
        <w:rPr>
          <w:rFonts w:hint="eastAsia" w:ascii="楷体" w:hAnsi="楷体" w:eastAsia="楷体" w:cs="仿宋"/>
          <w:bCs/>
          <w:color w:val="auto"/>
          <w:szCs w:val="24"/>
          <w:highlight w:val="none"/>
          <w:lang w:val="en-US" w:eastAsia="zh-CN"/>
        </w:rPr>
        <w:t>4</w:t>
      </w:r>
      <w:r>
        <w:rPr>
          <w:rFonts w:hint="eastAsia" w:ascii="楷体" w:hAnsi="楷体" w:eastAsia="楷体" w:cs="仿宋"/>
          <w:bCs/>
          <w:color w:val="auto"/>
          <w:szCs w:val="24"/>
          <w:highlight w:val="none"/>
        </w:rPr>
        <w:t>：供货内容一览表</w:t>
      </w:r>
    </w:p>
    <w:p>
      <w:pPr>
        <w:spacing w:line="360" w:lineRule="auto"/>
        <w:ind w:firstLine="480" w:firstLineChars="200"/>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附件</w:t>
      </w:r>
      <w:r>
        <w:rPr>
          <w:rFonts w:hint="eastAsia" w:ascii="楷体" w:hAnsi="楷体" w:eastAsia="楷体" w:cs="仿宋"/>
          <w:bCs/>
          <w:color w:val="auto"/>
          <w:szCs w:val="24"/>
          <w:highlight w:val="none"/>
          <w:lang w:val="en-US" w:eastAsia="zh-CN"/>
        </w:rPr>
        <w:t>5</w:t>
      </w:r>
      <w:r>
        <w:rPr>
          <w:rFonts w:hint="eastAsia" w:ascii="楷体" w:hAnsi="楷体" w:eastAsia="楷体" w:cs="仿宋"/>
          <w:bCs/>
          <w:color w:val="auto"/>
          <w:szCs w:val="24"/>
          <w:highlight w:val="none"/>
        </w:rPr>
        <w:t>：本项目拟投入人员汇总表</w:t>
      </w:r>
    </w:p>
    <w:p>
      <w:pPr>
        <w:spacing w:line="360" w:lineRule="auto"/>
        <w:ind w:firstLine="480" w:firstLineChars="200"/>
        <w:rPr>
          <w:rFonts w:hint="eastAsia" w:ascii="楷体" w:hAnsi="楷体" w:eastAsia="楷体" w:cs="仿宋"/>
          <w:b/>
          <w:bCs/>
          <w:color w:val="auto"/>
          <w:sz w:val="30"/>
          <w:szCs w:val="30"/>
          <w:highlight w:val="none"/>
        </w:rPr>
      </w:pPr>
      <w:r>
        <w:rPr>
          <w:rFonts w:hint="eastAsia" w:ascii="楷体" w:hAnsi="楷体" w:eastAsia="楷体" w:cs="仿宋"/>
          <w:bCs/>
          <w:color w:val="auto"/>
          <w:szCs w:val="24"/>
          <w:highlight w:val="none"/>
        </w:rPr>
        <w:t>附件</w:t>
      </w:r>
      <w:r>
        <w:rPr>
          <w:rFonts w:hint="eastAsia" w:ascii="楷体" w:hAnsi="楷体" w:eastAsia="楷体" w:cs="仿宋"/>
          <w:bCs/>
          <w:color w:val="auto"/>
          <w:szCs w:val="24"/>
          <w:highlight w:val="none"/>
          <w:lang w:val="en-US" w:eastAsia="zh-CN"/>
        </w:rPr>
        <w:t>6</w:t>
      </w:r>
      <w:r>
        <w:rPr>
          <w:rFonts w:hint="eastAsia" w:ascii="楷体" w:hAnsi="楷体" w:eastAsia="楷体" w:cs="仿宋"/>
          <w:bCs/>
          <w:color w:val="auto"/>
          <w:szCs w:val="24"/>
          <w:highlight w:val="none"/>
        </w:rPr>
        <w:t>：本项目拟投入主要人员简历表</w:t>
      </w:r>
    </w:p>
    <w:p>
      <w:pPr>
        <w:pStyle w:val="30"/>
        <w:rPr>
          <w:rFonts w:hint="eastAsia" w:ascii="楷体" w:hAnsi="楷体" w:eastAsia="楷体"/>
          <w:color w:val="auto"/>
          <w:highlight w:val="none"/>
        </w:rPr>
      </w:pPr>
    </w:p>
    <w:p>
      <w:pPr>
        <w:kinsoku w:val="0"/>
        <w:spacing w:line="360" w:lineRule="auto"/>
        <w:ind w:firstLine="480" w:firstLineChars="200"/>
        <w:rPr>
          <w:rFonts w:hint="eastAsia" w:ascii="楷体" w:hAnsi="楷体" w:eastAsia="楷体" w:cs="仿宋"/>
          <w:color w:val="auto"/>
          <w:szCs w:val="24"/>
          <w:highlight w:val="none"/>
        </w:rPr>
      </w:pPr>
    </w:p>
    <w:p>
      <w:pPr>
        <w:spacing w:line="360" w:lineRule="auto"/>
        <w:jc w:val="center"/>
        <w:rPr>
          <w:rFonts w:hint="eastAsia" w:ascii="楷体" w:hAnsi="楷体" w:eastAsia="楷体" w:cs="仿宋"/>
          <w:b/>
          <w:bCs/>
          <w:color w:val="auto"/>
          <w:kern w:val="2"/>
          <w:sz w:val="32"/>
          <w:szCs w:val="32"/>
          <w:highlight w:val="none"/>
        </w:rPr>
      </w:pPr>
    </w:p>
    <w:p>
      <w:pPr>
        <w:pStyle w:val="14"/>
        <w:ind w:firstLine="643"/>
        <w:rPr>
          <w:rFonts w:hint="eastAsia" w:ascii="楷体" w:hAnsi="楷体" w:eastAsia="楷体" w:cs="仿宋"/>
          <w:b/>
          <w:bCs/>
          <w:color w:val="auto"/>
          <w:sz w:val="32"/>
          <w:szCs w:val="32"/>
          <w:highlight w:val="none"/>
        </w:rPr>
      </w:pPr>
    </w:p>
    <w:p>
      <w:pPr>
        <w:pStyle w:val="14"/>
        <w:ind w:firstLine="643"/>
        <w:rPr>
          <w:rFonts w:hint="eastAsia" w:ascii="楷体" w:hAnsi="楷体" w:eastAsia="楷体" w:cs="仿宋"/>
          <w:b/>
          <w:bCs/>
          <w:color w:val="auto"/>
          <w:sz w:val="32"/>
          <w:szCs w:val="32"/>
          <w:highlight w:val="none"/>
        </w:rPr>
      </w:pPr>
    </w:p>
    <w:p>
      <w:pPr>
        <w:spacing w:line="360" w:lineRule="auto"/>
        <w:jc w:val="center"/>
        <w:rPr>
          <w:rFonts w:hint="eastAsia" w:ascii="楷体" w:hAnsi="楷体" w:eastAsia="楷体" w:cs="仿宋"/>
          <w:b/>
          <w:bCs/>
          <w:color w:val="auto"/>
          <w:kern w:val="2"/>
          <w:sz w:val="32"/>
          <w:szCs w:val="32"/>
          <w:highlight w:val="none"/>
        </w:rPr>
      </w:pPr>
    </w:p>
    <w:p>
      <w:pPr>
        <w:pStyle w:val="14"/>
        <w:ind w:firstLine="643"/>
        <w:rPr>
          <w:rFonts w:hint="eastAsia" w:ascii="楷体" w:hAnsi="楷体" w:eastAsia="楷体" w:cs="仿宋"/>
          <w:b/>
          <w:bCs/>
          <w:color w:val="auto"/>
          <w:sz w:val="32"/>
          <w:szCs w:val="32"/>
          <w:highlight w:val="none"/>
        </w:rPr>
      </w:pPr>
    </w:p>
    <w:p>
      <w:pPr>
        <w:pStyle w:val="14"/>
        <w:ind w:firstLine="643"/>
        <w:rPr>
          <w:rFonts w:hint="eastAsia" w:ascii="楷体" w:hAnsi="楷体" w:eastAsia="楷体" w:cs="仿宋"/>
          <w:b/>
          <w:bCs/>
          <w:color w:val="auto"/>
          <w:sz w:val="32"/>
          <w:szCs w:val="32"/>
          <w:highlight w:val="none"/>
        </w:rPr>
      </w:pPr>
    </w:p>
    <w:p>
      <w:pPr>
        <w:pStyle w:val="14"/>
        <w:ind w:firstLine="643"/>
        <w:rPr>
          <w:rFonts w:hint="eastAsia" w:ascii="楷体" w:hAnsi="楷体" w:eastAsia="楷体" w:cs="仿宋"/>
          <w:b/>
          <w:bCs/>
          <w:color w:val="auto"/>
          <w:sz w:val="32"/>
          <w:szCs w:val="32"/>
          <w:highlight w:val="none"/>
        </w:rPr>
      </w:pPr>
    </w:p>
    <w:p>
      <w:pPr>
        <w:pStyle w:val="14"/>
        <w:ind w:firstLine="643"/>
        <w:rPr>
          <w:rFonts w:hint="eastAsia" w:ascii="楷体" w:hAnsi="楷体" w:eastAsia="楷体" w:cs="仿宋"/>
          <w:b/>
          <w:bCs/>
          <w:color w:val="auto"/>
          <w:sz w:val="32"/>
          <w:szCs w:val="32"/>
          <w:highlight w:val="none"/>
        </w:rPr>
      </w:pPr>
    </w:p>
    <w:p>
      <w:pPr>
        <w:pStyle w:val="14"/>
        <w:ind w:firstLine="643"/>
        <w:rPr>
          <w:rFonts w:hint="eastAsia" w:ascii="楷体" w:hAnsi="楷体" w:eastAsia="楷体" w:cs="仿宋"/>
          <w:b/>
          <w:bCs/>
          <w:color w:val="auto"/>
          <w:sz w:val="32"/>
          <w:szCs w:val="32"/>
          <w:highlight w:val="none"/>
        </w:rPr>
      </w:pPr>
    </w:p>
    <w:p>
      <w:pPr>
        <w:pStyle w:val="14"/>
        <w:ind w:firstLine="643"/>
        <w:rPr>
          <w:rFonts w:hint="eastAsia" w:ascii="楷体" w:hAnsi="楷体" w:eastAsia="楷体" w:cs="仿宋"/>
          <w:b/>
          <w:bCs/>
          <w:color w:val="auto"/>
          <w:sz w:val="32"/>
          <w:szCs w:val="32"/>
          <w:highlight w:val="none"/>
        </w:rPr>
      </w:pPr>
    </w:p>
    <w:p>
      <w:pPr>
        <w:pStyle w:val="14"/>
        <w:ind w:firstLine="643"/>
        <w:rPr>
          <w:rFonts w:hint="eastAsia" w:ascii="楷体" w:hAnsi="楷体" w:eastAsia="楷体" w:cs="仿宋"/>
          <w:b/>
          <w:bCs/>
          <w:color w:val="auto"/>
          <w:sz w:val="32"/>
          <w:szCs w:val="32"/>
          <w:highlight w:val="none"/>
        </w:rPr>
      </w:pPr>
    </w:p>
    <w:p>
      <w:pPr>
        <w:spacing w:line="360" w:lineRule="auto"/>
        <w:jc w:val="center"/>
        <w:rPr>
          <w:rFonts w:hint="eastAsia" w:ascii="楷体" w:hAnsi="楷体" w:eastAsia="楷体" w:cs="仿宋"/>
          <w:b/>
          <w:bCs/>
          <w:color w:val="auto"/>
          <w:kern w:val="2"/>
          <w:sz w:val="32"/>
          <w:szCs w:val="32"/>
          <w:highlight w:val="none"/>
        </w:rPr>
      </w:pPr>
    </w:p>
    <w:bookmarkEnd w:id="86"/>
    <w:bookmarkEnd w:id="87"/>
    <w:p>
      <w:pPr>
        <w:spacing w:line="360" w:lineRule="auto"/>
        <w:rPr>
          <w:rFonts w:hint="eastAsia" w:ascii="楷体" w:hAnsi="楷体" w:eastAsia="楷体" w:cs="仿宋"/>
          <w:b/>
          <w:color w:val="auto"/>
          <w:sz w:val="30"/>
          <w:szCs w:val="30"/>
          <w:highlight w:val="none"/>
        </w:rPr>
      </w:pPr>
      <w:r>
        <w:rPr>
          <w:rFonts w:hint="eastAsia" w:ascii="楷体" w:hAnsi="楷体" w:eastAsia="楷体" w:cs="楷体"/>
          <w:b/>
          <w:bCs/>
          <w:color w:val="auto"/>
          <w:sz w:val="28"/>
          <w:szCs w:val="28"/>
          <w:highlight w:val="none"/>
        </w:rPr>
        <w:t>附件</w:t>
      </w:r>
      <w:r>
        <w:rPr>
          <w:rFonts w:hint="eastAsia" w:ascii="楷体" w:hAnsi="楷体" w:eastAsia="楷体" w:cs="楷体"/>
          <w:b/>
          <w:bCs/>
          <w:color w:val="auto"/>
          <w:sz w:val="28"/>
          <w:szCs w:val="28"/>
          <w:highlight w:val="none"/>
          <w:lang w:val="en-US" w:eastAsia="zh-CN"/>
        </w:rPr>
        <w:t>3</w:t>
      </w:r>
      <w:r>
        <w:rPr>
          <w:rFonts w:hint="eastAsia" w:ascii="楷体" w:hAnsi="楷体" w:eastAsia="楷体" w:cs="楷体"/>
          <w:b/>
          <w:bCs/>
          <w:color w:val="auto"/>
          <w:sz w:val="28"/>
          <w:szCs w:val="28"/>
          <w:highlight w:val="none"/>
        </w:rPr>
        <w:t>：</w:t>
      </w:r>
    </w:p>
    <w:p>
      <w:pPr>
        <w:spacing w:line="360" w:lineRule="auto"/>
        <w:jc w:val="center"/>
        <w:rPr>
          <w:rFonts w:hint="eastAsia" w:ascii="楷体" w:hAnsi="楷体" w:eastAsia="楷体" w:cs="仿宋"/>
          <w:b/>
          <w:bCs/>
          <w:color w:val="auto"/>
          <w:sz w:val="30"/>
          <w:szCs w:val="30"/>
          <w:highlight w:val="none"/>
        </w:rPr>
      </w:pPr>
      <w:r>
        <w:rPr>
          <w:rFonts w:hint="eastAsia" w:ascii="楷体" w:hAnsi="楷体" w:eastAsia="楷体" w:cs="仿宋"/>
          <w:b/>
          <w:bCs/>
          <w:color w:val="auto"/>
          <w:sz w:val="30"/>
          <w:szCs w:val="30"/>
          <w:highlight w:val="none"/>
        </w:rPr>
        <w:t>技术规格响应表</w:t>
      </w:r>
    </w:p>
    <w:p>
      <w:pPr>
        <w:jc w:val="left"/>
        <w:rPr>
          <w:rFonts w:hint="eastAsia" w:ascii="楷体" w:hAnsi="楷体" w:eastAsia="楷体" w:cs="宋体"/>
          <w:b/>
          <w:color w:val="auto"/>
          <w:highlight w:val="none"/>
        </w:rPr>
      </w:pPr>
      <w:r>
        <w:rPr>
          <w:rFonts w:hint="eastAsia" w:ascii="楷体" w:hAnsi="楷体" w:eastAsia="楷体" w:cs="宋体"/>
          <w:b/>
          <w:color w:val="auto"/>
          <w:highlight w:val="none"/>
        </w:rPr>
        <w:t xml:space="preserve"> 项目名称：</w:t>
      </w:r>
    </w:p>
    <w:p>
      <w:pPr>
        <w:spacing w:line="360" w:lineRule="auto"/>
        <w:ind w:firstLine="120" w:firstLineChars="50"/>
        <w:rPr>
          <w:rFonts w:hint="eastAsia" w:ascii="楷体" w:hAnsi="楷体" w:eastAsia="楷体" w:cs="仿宋"/>
          <w:color w:val="auto"/>
          <w:highlight w:val="none"/>
        </w:rPr>
      </w:pPr>
      <w:r>
        <w:rPr>
          <w:rFonts w:hint="eastAsia" w:ascii="楷体" w:hAnsi="楷体" w:eastAsia="楷体" w:cs="仿宋"/>
          <w:b/>
          <w:color w:val="auto"/>
          <w:szCs w:val="24"/>
          <w:highlight w:val="none"/>
        </w:rPr>
        <w:t xml:space="preserve">项目编号：     </w:t>
      </w:r>
      <w:r>
        <w:rPr>
          <w:rFonts w:hint="eastAsia" w:ascii="楷体" w:hAnsi="楷体" w:eastAsia="楷体" w:cs="仿宋"/>
          <w:color w:val="auto"/>
          <w:szCs w:val="24"/>
          <w:highlight w:val="none"/>
        </w:rPr>
        <w:t xml:space="preserve">                                    </w:t>
      </w:r>
    </w:p>
    <w:tbl>
      <w:tblPr>
        <w:tblStyle w:val="46"/>
        <w:tblW w:w="9078" w:type="dxa"/>
        <w:jc w:val="center"/>
        <w:tblLayout w:type="fixed"/>
        <w:tblCellMar>
          <w:top w:w="0" w:type="dxa"/>
          <w:left w:w="28" w:type="dxa"/>
          <w:bottom w:w="0" w:type="dxa"/>
          <w:right w:w="28" w:type="dxa"/>
        </w:tblCellMar>
      </w:tblPr>
      <w:tblGrid>
        <w:gridCol w:w="1032"/>
        <w:gridCol w:w="2566"/>
        <w:gridCol w:w="2620"/>
        <w:gridCol w:w="1609"/>
        <w:gridCol w:w="1251"/>
      </w:tblGrid>
      <w:tr>
        <w:tblPrEx>
          <w:tblCellMar>
            <w:top w:w="0" w:type="dxa"/>
            <w:left w:w="28" w:type="dxa"/>
            <w:bottom w:w="0" w:type="dxa"/>
            <w:right w:w="28" w:type="dxa"/>
          </w:tblCellMar>
        </w:tblPrEx>
        <w:trPr>
          <w:trHeight w:val="850" w:hRule="exact"/>
          <w:jc w:val="center"/>
        </w:trPr>
        <w:tc>
          <w:tcPr>
            <w:tcW w:w="10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楷体" w:hAnsi="楷体" w:eastAsia="楷体" w:cs="仿宋"/>
                <w:b/>
                <w:color w:val="auto"/>
                <w:kern w:val="2"/>
                <w:sz w:val="21"/>
                <w:szCs w:val="21"/>
                <w:highlight w:val="none"/>
              </w:rPr>
            </w:pPr>
            <w:r>
              <w:rPr>
                <w:rFonts w:hint="eastAsia" w:ascii="楷体" w:hAnsi="楷体" w:eastAsia="楷体" w:cs="仿宋"/>
                <w:b/>
                <w:color w:val="auto"/>
                <w:szCs w:val="24"/>
                <w:highlight w:val="none"/>
              </w:rPr>
              <w:t>序号</w:t>
            </w:r>
          </w:p>
        </w:tc>
        <w:tc>
          <w:tcPr>
            <w:tcW w:w="256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楷体" w:hAnsi="楷体" w:eastAsia="楷体" w:cs="仿宋"/>
                <w:b/>
                <w:color w:val="auto"/>
                <w:kern w:val="2"/>
                <w:sz w:val="21"/>
                <w:szCs w:val="21"/>
                <w:highlight w:val="none"/>
              </w:rPr>
            </w:pPr>
            <w:r>
              <w:rPr>
                <w:rFonts w:hint="eastAsia" w:ascii="楷体" w:hAnsi="楷体" w:eastAsia="楷体" w:cs="仿宋"/>
                <w:b/>
                <w:color w:val="auto"/>
                <w:szCs w:val="24"/>
                <w:highlight w:val="none"/>
              </w:rPr>
              <w:t>磋商规格</w:t>
            </w:r>
          </w:p>
        </w:tc>
        <w:tc>
          <w:tcPr>
            <w:tcW w:w="26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楷体" w:hAnsi="楷体" w:eastAsia="楷体" w:cs="仿宋"/>
                <w:b/>
                <w:color w:val="auto"/>
                <w:kern w:val="2"/>
                <w:sz w:val="21"/>
                <w:szCs w:val="21"/>
                <w:highlight w:val="none"/>
              </w:rPr>
            </w:pPr>
            <w:r>
              <w:rPr>
                <w:rFonts w:hint="eastAsia" w:ascii="楷体" w:hAnsi="楷体" w:eastAsia="楷体" w:cs="仿宋"/>
                <w:b/>
                <w:color w:val="auto"/>
                <w:szCs w:val="24"/>
                <w:highlight w:val="none"/>
              </w:rPr>
              <w:t>磋商响应规格</w:t>
            </w:r>
          </w:p>
        </w:tc>
        <w:tc>
          <w:tcPr>
            <w:tcW w:w="16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楷体" w:hAnsi="楷体" w:eastAsia="楷体" w:cs="仿宋"/>
                <w:b/>
                <w:color w:val="auto"/>
                <w:kern w:val="2"/>
                <w:sz w:val="21"/>
                <w:szCs w:val="21"/>
                <w:highlight w:val="none"/>
              </w:rPr>
            </w:pPr>
            <w:r>
              <w:rPr>
                <w:rFonts w:hint="eastAsia" w:ascii="楷体" w:hAnsi="楷体" w:eastAsia="楷体" w:cs="仿宋"/>
                <w:b/>
                <w:color w:val="auto"/>
                <w:szCs w:val="24"/>
                <w:highlight w:val="none"/>
              </w:rPr>
              <w:t>偏离说明</w:t>
            </w:r>
          </w:p>
        </w:tc>
        <w:tc>
          <w:tcPr>
            <w:tcW w:w="12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楷体" w:hAnsi="楷体" w:eastAsia="楷体" w:cs="仿宋"/>
                <w:b/>
                <w:color w:val="auto"/>
                <w:kern w:val="2"/>
                <w:sz w:val="21"/>
                <w:szCs w:val="21"/>
                <w:highlight w:val="none"/>
              </w:rPr>
            </w:pPr>
            <w:r>
              <w:rPr>
                <w:rFonts w:hint="eastAsia" w:ascii="楷体" w:hAnsi="楷体" w:eastAsia="楷体" w:cs="仿宋"/>
                <w:b/>
                <w:color w:val="auto"/>
                <w:szCs w:val="24"/>
                <w:highlight w:val="none"/>
              </w:rPr>
              <w:t>备注</w:t>
            </w:r>
          </w:p>
        </w:tc>
      </w:tr>
      <w:tr>
        <w:tblPrEx>
          <w:tblCellMar>
            <w:top w:w="0" w:type="dxa"/>
            <w:left w:w="28" w:type="dxa"/>
            <w:bottom w:w="0" w:type="dxa"/>
            <w:right w:w="28" w:type="dxa"/>
          </w:tblCellMar>
        </w:tblPrEx>
        <w:trPr>
          <w:trHeight w:val="850" w:hRule="exact"/>
          <w:jc w:val="center"/>
        </w:trPr>
        <w:tc>
          <w:tcPr>
            <w:tcW w:w="1032"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566"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620"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609"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251"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0" w:hRule="exact"/>
          <w:jc w:val="center"/>
        </w:trPr>
        <w:tc>
          <w:tcPr>
            <w:tcW w:w="1032"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566"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620"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609"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251"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0" w:hRule="exact"/>
          <w:jc w:val="center"/>
        </w:trPr>
        <w:tc>
          <w:tcPr>
            <w:tcW w:w="1032"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566"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620"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609"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251"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0" w:hRule="exact"/>
          <w:jc w:val="center"/>
        </w:trPr>
        <w:tc>
          <w:tcPr>
            <w:tcW w:w="1032"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566"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620"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609"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251"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0" w:hRule="exact"/>
          <w:jc w:val="center"/>
        </w:trPr>
        <w:tc>
          <w:tcPr>
            <w:tcW w:w="1032"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566"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620"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609"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251"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60" w:hRule="exact"/>
          <w:jc w:val="center"/>
        </w:trPr>
        <w:tc>
          <w:tcPr>
            <w:tcW w:w="1032"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566"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620"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609"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251"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r>
    </w:tbl>
    <w:p>
      <w:pPr>
        <w:widowControl/>
        <w:spacing w:line="360" w:lineRule="auto"/>
        <w:jc w:val="left"/>
        <w:rPr>
          <w:rFonts w:hint="eastAsia" w:ascii="楷体" w:hAnsi="楷体" w:eastAsia="楷体" w:cs="仿宋"/>
          <w:b/>
          <w:color w:val="auto"/>
          <w:szCs w:val="24"/>
          <w:highlight w:val="none"/>
        </w:rPr>
      </w:pPr>
      <w:r>
        <w:rPr>
          <w:rFonts w:hint="eastAsia" w:ascii="楷体" w:hAnsi="楷体" w:eastAsia="楷体" w:cs="仿宋"/>
          <w:b/>
          <w:color w:val="auto"/>
          <w:highlight w:val="none"/>
        </w:rPr>
        <w:t xml:space="preserve">注:  </w:t>
      </w:r>
      <w:r>
        <w:rPr>
          <w:rFonts w:hint="eastAsia" w:ascii="楷体" w:hAnsi="楷体" w:eastAsia="楷体" w:cs="仿宋"/>
          <w:b/>
          <w:color w:val="auto"/>
          <w:szCs w:val="24"/>
          <w:highlight w:val="none"/>
        </w:rPr>
        <w:t>偏离说明填写：优于、满足或低于。</w:t>
      </w:r>
    </w:p>
    <w:p>
      <w:pPr>
        <w:spacing w:line="360" w:lineRule="auto"/>
        <w:rPr>
          <w:rFonts w:hint="eastAsia" w:ascii="楷体" w:hAnsi="楷体" w:eastAsia="楷体" w:cs="仿宋"/>
          <w:color w:val="auto"/>
          <w:kern w:val="2"/>
          <w:sz w:val="21"/>
          <w:szCs w:val="21"/>
          <w:highlight w:val="none"/>
        </w:rPr>
      </w:pPr>
    </w:p>
    <w:p>
      <w:pPr>
        <w:spacing w:line="360" w:lineRule="auto"/>
        <w:rPr>
          <w:rFonts w:hint="eastAsia" w:ascii="楷体" w:hAnsi="楷体" w:eastAsia="楷体" w:cs="仿宋"/>
          <w:color w:val="auto"/>
          <w:highlight w:val="none"/>
        </w:rPr>
      </w:pPr>
      <w:r>
        <w:rPr>
          <w:rFonts w:hint="eastAsia" w:ascii="楷体" w:hAnsi="楷体" w:eastAsia="楷体" w:cs="仿宋"/>
          <w:color w:val="auto"/>
          <w:highlight w:val="none"/>
        </w:rPr>
        <w:t xml:space="preserve">供应商名称（公章）  ：          </w:t>
      </w: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法定代表人/被授权人</w:t>
      </w:r>
      <w:r>
        <w:rPr>
          <w:rFonts w:hint="eastAsia" w:ascii="楷体" w:hAnsi="楷体" w:eastAsia="楷体" w:cs="仿宋"/>
          <w:color w:val="auto"/>
          <w:spacing w:val="4"/>
          <w:szCs w:val="24"/>
          <w:highlight w:val="none"/>
        </w:rPr>
        <w:t>（签字或盖章）</w:t>
      </w:r>
      <w:r>
        <w:rPr>
          <w:rFonts w:hint="eastAsia" w:ascii="楷体" w:hAnsi="楷体" w:eastAsia="楷体" w:cs="仿宋"/>
          <w:color w:val="auto"/>
          <w:highlight w:val="none"/>
        </w:rPr>
        <w:t>：</w:t>
      </w:r>
    </w:p>
    <w:p>
      <w:pPr>
        <w:spacing w:line="360" w:lineRule="auto"/>
        <w:rPr>
          <w:rFonts w:hint="eastAsia" w:ascii="楷体" w:hAnsi="楷体" w:eastAsia="楷体" w:cs="仿宋"/>
          <w:color w:val="auto"/>
          <w:highlight w:val="none"/>
        </w:rPr>
      </w:pPr>
      <w:r>
        <w:rPr>
          <w:rFonts w:hint="eastAsia" w:ascii="楷体" w:hAnsi="楷体" w:eastAsia="楷体" w:cs="仿宋"/>
          <w:color w:val="auto"/>
          <w:szCs w:val="24"/>
          <w:highlight w:val="none"/>
        </w:rPr>
        <w:t>日    期：</w:t>
      </w:r>
    </w:p>
    <w:p>
      <w:pPr>
        <w:spacing w:line="360" w:lineRule="auto"/>
        <w:rPr>
          <w:rFonts w:hint="eastAsia" w:ascii="楷体" w:hAnsi="楷体" w:eastAsia="楷体" w:cs="仿宋"/>
          <w:color w:val="auto"/>
          <w:sz w:val="30"/>
          <w:szCs w:val="30"/>
          <w:highlight w:val="none"/>
        </w:rPr>
      </w:pPr>
      <w:r>
        <w:rPr>
          <w:rFonts w:hint="eastAsia" w:ascii="楷体" w:hAnsi="楷体" w:eastAsia="楷体" w:cs="仿宋"/>
          <w:color w:val="auto"/>
          <w:szCs w:val="24"/>
          <w:highlight w:val="none"/>
        </w:rPr>
        <w:br w:type="page"/>
      </w:r>
      <w:r>
        <w:rPr>
          <w:rFonts w:hint="eastAsia" w:ascii="楷体" w:hAnsi="楷体" w:eastAsia="楷体" w:cs="楷体"/>
          <w:b/>
          <w:bCs/>
          <w:color w:val="auto"/>
          <w:sz w:val="28"/>
          <w:szCs w:val="28"/>
          <w:highlight w:val="none"/>
        </w:rPr>
        <w:t>附件</w:t>
      </w:r>
      <w:r>
        <w:rPr>
          <w:rFonts w:hint="eastAsia" w:ascii="楷体" w:hAnsi="楷体" w:eastAsia="楷体" w:cs="楷体"/>
          <w:b/>
          <w:bCs/>
          <w:color w:val="auto"/>
          <w:sz w:val="28"/>
          <w:szCs w:val="28"/>
          <w:highlight w:val="none"/>
          <w:lang w:val="en-US" w:eastAsia="zh-CN"/>
        </w:rPr>
        <w:t>4</w:t>
      </w:r>
      <w:r>
        <w:rPr>
          <w:rFonts w:hint="eastAsia" w:ascii="楷体" w:hAnsi="楷体" w:eastAsia="楷体" w:cs="楷体"/>
          <w:b/>
          <w:bCs/>
          <w:color w:val="auto"/>
          <w:sz w:val="28"/>
          <w:szCs w:val="28"/>
          <w:highlight w:val="none"/>
        </w:rPr>
        <w:t>：</w:t>
      </w:r>
    </w:p>
    <w:p>
      <w:pPr>
        <w:spacing w:line="360" w:lineRule="auto"/>
        <w:jc w:val="center"/>
        <w:rPr>
          <w:rFonts w:ascii="楷体" w:hAnsi="楷体" w:eastAsia="楷体" w:cs="仿宋"/>
          <w:b/>
          <w:bCs/>
          <w:color w:val="auto"/>
          <w:sz w:val="30"/>
          <w:szCs w:val="30"/>
          <w:highlight w:val="none"/>
        </w:rPr>
      </w:pPr>
      <w:r>
        <w:rPr>
          <w:rFonts w:hint="eastAsia" w:ascii="楷体" w:hAnsi="楷体" w:eastAsia="楷体" w:cs="仿宋"/>
          <w:b/>
          <w:bCs/>
          <w:color w:val="auto"/>
          <w:sz w:val="30"/>
          <w:szCs w:val="30"/>
          <w:highlight w:val="none"/>
        </w:rPr>
        <w:t>供货内容一览表</w:t>
      </w:r>
    </w:p>
    <w:p>
      <w:pPr>
        <w:jc w:val="left"/>
        <w:rPr>
          <w:rFonts w:ascii="楷体" w:hAnsi="楷体" w:eastAsia="楷体" w:cs="宋体"/>
          <w:b/>
          <w:color w:val="auto"/>
          <w:highlight w:val="none"/>
        </w:rPr>
      </w:pPr>
      <w:r>
        <w:rPr>
          <w:rFonts w:hint="eastAsia" w:ascii="楷体" w:hAnsi="楷体" w:eastAsia="楷体" w:cs="宋体"/>
          <w:b/>
          <w:color w:val="auto"/>
          <w:highlight w:val="none"/>
        </w:rPr>
        <w:t>项目名称：</w:t>
      </w:r>
    </w:p>
    <w:p>
      <w:pPr>
        <w:spacing w:line="360" w:lineRule="auto"/>
        <w:jc w:val="left"/>
        <w:rPr>
          <w:rFonts w:ascii="楷体" w:hAnsi="楷体" w:eastAsia="楷体" w:cs="仿宋"/>
          <w:b/>
          <w:color w:val="auto"/>
          <w:szCs w:val="24"/>
          <w:highlight w:val="none"/>
        </w:rPr>
      </w:pPr>
      <w:r>
        <w:rPr>
          <w:rFonts w:hint="eastAsia" w:ascii="楷体" w:hAnsi="楷体" w:eastAsia="楷体" w:cs="仿宋"/>
          <w:b/>
          <w:color w:val="auto"/>
          <w:szCs w:val="24"/>
          <w:highlight w:val="none"/>
        </w:rPr>
        <w:t xml:space="preserve">项目编号： </w:t>
      </w:r>
    </w:p>
    <w:tbl>
      <w:tblPr>
        <w:tblStyle w:val="46"/>
        <w:tblW w:w="8476" w:type="dxa"/>
        <w:jc w:val="center"/>
        <w:tblLayout w:type="fixed"/>
        <w:tblCellMar>
          <w:top w:w="0" w:type="dxa"/>
          <w:left w:w="28" w:type="dxa"/>
          <w:bottom w:w="0" w:type="dxa"/>
          <w:right w:w="28" w:type="dxa"/>
        </w:tblCellMar>
      </w:tblPr>
      <w:tblGrid>
        <w:gridCol w:w="853"/>
        <w:gridCol w:w="1150"/>
        <w:gridCol w:w="1870"/>
        <w:gridCol w:w="1022"/>
        <w:gridCol w:w="1364"/>
        <w:gridCol w:w="1364"/>
        <w:gridCol w:w="853"/>
      </w:tblGrid>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仿宋"/>
                <w:b/>
                <w:bCs/>
                <w:color w:val="auto"/>
                <w:kern w:val="2"/>
                <w:sz w:val="21"/>
                <w:szCs w:val="21"/>
                <w:highlight w:val="none"/>
              </w:rPr>
            </w:pPr>
            <w:r>
              <w:rPr>
                <w:rFonts w:hint="eastAsia" w:ascii="楷体" w:hAnsi="楷体" w:eastAsia="楷体" w:cs="仿宋"/>
                <w:b/>
                <w:bCs/>
                <w:color w:val="auto"/>
                <w:szCs w:val="24"/>
                <w:highlight w:val="none"/>
              </w:rPr>
              <w:t>序号</w:t>
            </w:r>
          </w:p>
        </w:tc>
        <w:tc>
          <w:tcPr>
            <w:tcW w:w="1150"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仿宋"/>
                <w:b/>
                <w:bCs/>
                <w:color w:val="auto"/>
                <w:kern w:val="2"/>
                <w:sz w:val="21"/>
                <w:szCs w:val="21"/>
                <w:highlight w:val="none"/>
              </w:rPr>
            </w:pPr>
            <w:r>
              <w:rPr>
                <w:rFonts w:hint="eastAsia" w:ascii="楷体" w:hAnsi="楷体" w:eastAsia="楷体" w:cs="仿宋"/>
                <w:b/>
                <w:bCs/>
                <w:color w:val="auto"/>
                <w:szCs w:val="24"/>
                <w:highlight w:val="none"/>
              </w:rPr>
              <w:t>名称</w:t>
            </w:r>
          </w:p>
        </w:tc>
        <w:tc>
          <w:tcPr>
            <w:tcW w:w="187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楷体" w:hAnsi="楷体" w:eastAsia="楷体" w:cs="仿宋"/>
                <w:b/>
                <w:bCs/>
                <w:color w:val="auto"/>
                <w:szCs w:val="24"/>
                <w:highlight w:val="none"/>
              </w:rPr>
            </w:pPr>
            <w:r>
              <w:rPr>
                <w:rFonts w:hint="eastAsia" w:ascii="楷体" w:hAnsi="楷体" w:eastAsia="楷体" w:cs="仿宋"/>
                <w:b/>
                <w:bCs/>
                <w:color w:val="auto"/>
                <w:szCs w:val="24"/>
                <w:highlight w:val="none"/>
              </w:rPr>
              <w:t>品牌型号</w:t>
            </w:r>
          </w:p>
        </w:tc>
        <w:tc>
          <w:tcPr>
            <w:tcW w:w="1022"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仿宋"/>
                <w:b/>
                <w:bCs/>
                <w:color w:val="auto"/>
                <w:szCs w:val="24"/>
                <w:highlight w:val="none"/>
              </w:rPr>
            </w:pPr>
            <w:bookmarkStart w:id="88" w:name="_Toc426457706"/>
            <w:r>
              <w:rPr>
                <w:rFonts w:hint="eastAsia" w:ascii="楷体" w:hAnsi="楷体" w:eastAsia="楷体" w:cs="仿宋"/>
                <w:b/>
                <w:bCs/>
                <w:color w:val="auto"/>
                <w:szCs w:val="24"/>
                <w:highlight w:val="none"/>
              </w:rPr>
              <w:t>数量</w:t>
            </w:r>
            <w:bookmarkEnd w:id="88"/>
          </w:p>
        </w:tc>
        <w:tc>
          <w:tcPr>
            <w:tcW w:w="1364"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仿宋"/>
                <w:b/>
                <w:bCs/>
                <w:color w:val="auto"/>
                <w:szCs w:val="24"/>
                <w:highlight w:val="none"/>
              </w:rPr>
            </w:pPr>
            <w:bookmarkStart w:id="89" w:name="_Toc426457707"/>
            <w:r>
              <w:rPr>
                <w:rFonts w:hint="eastAsia" w:ascii="楷体" w:hAnsi="楷体" w:eastAsia="楷体" w:cs="仿宋"/>
                <w:b/>
                <w:bCs/>
                <w:color w:val="auto"/>
                <w:szCs w:val="24"/>
                <w:highlight w:val="none"/>
              </w:rPr>
              <w:t>交付地点</w:t>
            </w:r>
            <w:bookmarkEnd w:id="89"/>
          </w:p>
        </w:tc>
        <w:tc>
          <w:tcPr>
            <w:tcW w:w="1364"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仿宋"/>
                <w:b/>
                <w:bCs/>
                <w:color w:val="auto"/>
                <w:szCs w:val="24"/>
                <w:highlight w:val="none"/>
              </w:rPr>
            </w:pPr>
            <w:bookmarkStart w:id="90" w:name="_Toc426457708"/>
            <w:r>
              <w:rPr>
                <w:rFonts w:hint="eastAsia" w:ascii="楷体" w:hAnsi="楷体" w:eastAsia="楷体" w:cs="仿宋"/>
                <w:b/>
                <w:bCs/>
                <w:color w:val="auto"/>
                <w:szCs w:val="24"/>
                <w:highlight w:val="none"/>
              </w:rPr>
              <w:t>交付时间</w:t>
            </w:r>
            <w:bookmarkEnd w:id="90"/>
          </w:p>
        </w:tc>
        <w:tc>
          <w:tcPr>
            <w:tcW w:w="853"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仿宋"/>
                <w:b/>
                <w:bCs/>
                <w:color w:val="auto"/>
                <w:szCs w:val="24"/>
                <w:highlight w:val="none"/>
              </w:rPr>
            </w:pPr>
            <w:bookmarkStart w:id="91" w:name="_Toc426457709"/>
            <w:r>
              <w:rPr>
                <w:rFonts w:hint="eastAsia" w:ascii="楷体" w:hAnsi="楷体" w:eastAsia="楷体" w:cs="仿宋"/>
                <w:b/>
                <w:bCs/>
                <w:color w:val="auto"/>
                <w:szCs w:val="24"/>
                <w:highlight w:val="none"/>
              </w:rPr>
              <w:t>备注</w:t>
            </w:r>
            <w:bookmarkEnd w:id="91"/>
          </w:p>
        </w:tc>
      </w:tr>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15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87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022"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853"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15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87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022"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853"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15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87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022"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853"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15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87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022"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853"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15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87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022"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853"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15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87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022"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853"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r>
    </w:tbl>
    <w:p>
      <w:pPr>
        <w:spacing w:line="360" w:lineRule="auto"/>
        <w:rPr>
          <w:rFonts w:hint="eastAsia" w:ascii="楷体" w:hAnsi="楷体" w:eastAsia="楷体" w:cs="仿宋"/>
          <w:b/>
          <w:bCs/>
          <w:color w:val="auto"/>
          <w:kern w:val="2"/>
          <w:sz w:val="28"/>
          <w:szCs w:val="28"/>
          <w:highlight w:val="none"/>
        </w:rPr>
      </w:pPr>
      <w:r>
        <w:rPr>
          <w:rFonts w:hint="eastAsia" w:ascii="楷体" w:hAnsi="楷体" w:eastAsia="楷体" w:cs="仿宋"/>
          <w:b/>
          <w:color w:val="auto"/>
          <w:highlight w:val="none"/>
        </w:rPr>
        <w:t>注：供应商可适当调整该表格式。</w:t>
      </w:r>
    </w:p>
    <w:p>
      <w:pPr>
        <w:spacing w:line="360" w:lineRule="auto"/>
        <w:rPr>
          <w:rFonts w:hint="eastAsia" w:ascii="楷体" w:hAnsi="楷体" w:eastAsia="楷体" w:cs="仿宋"/>
          <w:b/>
          <w:bCs/>
          <w:color w:val="auto"/>
          <w:kern w:val="2"/>
          <w:sz w:val="28"/>
          <w:szCs w:val="28"/>
          <w:highlight w:val="none"/>
        </w:rPr>
      </w:pPr>
    </w:p>
    <w:p>
      <w:pPr>
        <w:spacing w:line="360" w:lineRule="auto"/>
        <w:rPr>
          <w:rFonts w:hint="eastAsia" w:ascii="楷体" w:hAnsi="楷体" w:eastAsia="楷体" w:cs="仿宋"/>
          <w:b/>
          <w:bCs/>
          <w:color w:val="auto"/>
          <w:kern w:val="2"/>
          <w:sz w:val="28"/>
          <w:szCs w:val="28"/>
          <w:highlight w:val="none"/>
        </w:rPr>
      </w:pP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 xml:space="preserve">供应商名称（公章）  ：          </w:t>
      </w: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法定代表人/被授权人</w:t>
      </w:r>
      <w:r>
        <w:rPr>
          <w:rFonts w:hint="eastAsia" w:ascii="楷体" w:hAnsi="楷体" w:eastAsia="楷体" w:cs="仿宋"/>
          <w:color w:val="auto"/>
          <w:spacing w:val="4"/>
          <w:szCs w:val="24"/>
          <w:highlight w:val="none"/>
        </w:rPr>
        <w:t>（签字或盖章）</w:t>
      </w:r>
      <w:r>
        <w:rPr>
          <w:rFonts w:hint="eastAsia" w:ascii="楷体" w:hAnsi="楷体" w:eastAsia="楷体" w:cs="仿宋"/>
          <w:color w:val="auto"/>
          <w:highlight w:val="none"/>
        </w:rPr>
        <w:t>：</w:t>
      </w:r>
    </w:p>
    <w:p>
      <w:pPr>
        <w:spacing w:line="360" w:lineRule="auto"/>
        <w:rPr>
          <w:rFonts w:hint="eastAsia" w:ascii="楷体" w:hAnsi="楷体" w:eastAsia="楷体" w:cs="仿宋"/>
          <w:color w:val="auto"/>
          <w:highlight w:val="none"/>
        </w:rPr>
      </w:pPr>
      <w:r>
        <w:rPr>
          <w:rFonts w:hint="eastAsia" w:ascii="楷体" w:hAnsi="楷体" w:eastAsia="楷体" w:cs="仿宋"/>
          <w:color w:val="auto"/>
          <w:szCs w:val="24"/>
          <w:highlight w:val="none"/>
        </w:rPr>
        <w:t>日    期：</w:t>
      </w:r>
    </w:p>
    <w:p>
      <w:pPr>
        <w:spacing w:line="360" w:lineRule="auto"/>
        <w:rPr>
          <w:rFonts w:hint="eastAsia" w:ascii="楷体" w:hAnsi="楷体" w:eastAsia="楷体" w:cs="仿宋"/>
          <w:color w:val="auto"/>
          <w:highlight w:val="none"/>
        </w:rPr>
      </w:pPr>
      <w:r>
        <w:rPr>
          <w:rFonts w:hint="eastAsia" w:ascii="楷体" w:hAnsi="楷体" w:eastAsia="楷体" w:cs="仿宋"/>
          <w:color w:val="auto"/>
          <w:highlight w:val="none"/>
        </w:rPr>
        <w:t xml:space="preserve"> </w:t>
      </w:r>
    </w:p>
    <w:p>
      <w:pPr>
        <w:spacing w:line="360" w:lineRule="auto"/>
        <w:rPr>
          <w:rFonts w:hint="eastAsia" w:ascii="楷体" w:hAnsi="楷体" w:eastAsia="楷体" w:cs="仿宋"/>
          <w:color w:val="auto"/>
          <w:highlight w:val="none"/>
        </w:rPr>
      </w:pPr>
      <w:r>
        <w:rPr>
          <w:rFonts w:hint="eastAsia" w:ascii="楷体" w:hAnsi="楷体" w:eastAsia="楷体" w:cs="仿宋"/>
          <w:color w:val="auto"/>
          <w:highlight w:val="none"/>
        </w:rPr>
        <w:t xml:space="preserve"> </w:t>
      </w:r>
    </w:p>
    <w:p>
      <w:pPr>
        <w:adjustRightInd w:val="0"/>
        <w:snapToGrid w:val="0"/>
        <w:spacing w:before="0" w:beforeAutospacing="0" w:after="0" w:afterAutospacing="0" w:line="360" w:lineRule="auto"/>
        <w:ind w:left="400" w:hanging="400" w:hangingChars="166"/>
        <w:rPr>
          <w:rFonts w:hint="eastAsia" w:ascii="楷体" w:hAnsi="楷体" w:eastAsia="楷体" w:cs="仿宋"/>
          <w:b/>
          <w:color w:val="auto"/>
          <w:highlight w:val="none"/>
        </w:rPr>
      </w:pPr>
    </w:p>
    <w:p>
      <w:pPr>
        <w:spacing w:line="360" w:lineRule="auto"/>
        <w:rPr>
          <w:rFonts w:hint="eastAsia" w:ascii="楷体" w:hAnsi="楷体" w:eastAsia="楷体" w:cs="仿宋"/>
          <w:b/>
          <w:bCs/>
          <w:color w:val="auto"/>
          <w:sz w:val="30"/>
          <w:szCs w:val="30"/>
          <w:highlight w:val="none"/>
        </w:rPr>
      </w:pPr>
      <w:r>
        <w:rPr>
          <w:rFonts w:hint="eastAsia" w:ascii="楷体" w:hAnsi="楷体" w:eastAsia="楷体" w:cs="仿宋"/>
          <w:color w:val="auto"/>
          <w:szCs w:val="24"/>
          <w:highlight w:val="none"/>
        </w:rPr>
        <w:br w:type="page"/>
      </w:r>
      <w:r>
        <w:rPr>
          <w:rFonts w:hint="eastAsia" w:ascii="楷体" w:hAnsi="楷体" w:eastAsia="楷体" w:cs="楷体"/>
          <w:b/>
          <w:bCs/>
          <w:color w:val="auto"/>
          <w:sz w:val="28"/>
          <w:szCs w:val="28"/>
          <w:highlight w:val="none"/>
        </w:rPr>
        <w:t>附件</w:t>
      </w:r>
      <w:r>
        <w:rPr>
          <w:rFonts w:hint="eastAsia" w:ascii="楷体" w:hAnsi="楷体" w:eastAsia="楷体" w:cs="楷体"/>
          <w:b/>
          <w:bCs/>
          <w:color w:val="auto"/>
          <w:sz w:val="28"/>
          <w:szCs w:val="28"/>
          <w:highlight w:val="none"/>
          <w:lang w:val="en-US" w:eastAsia="zh-CN"/>
        </w:rPr>
        <w:t>5</w:t>
      </w:r>
      <w:r>
        <w:rPr>
          <w:rFonts w:hint="eastAsia" w:ascii="楷体" w:hAnsi="楷体" w:eastAsia="楷体" w:cs="楷体"/>
          <w:b/>
          <w:bCs/>
          <w:color w:val="auto"/>
          <w:sz w:val="28"/>
          <w:szCs w:val="28"/>
          <w:highlight w:val="none"/>
        </w:rPr>
        <w:t>：</w:t>
      </w:r>
    </w:p>
    <w:p>
      <w:pPr>
        <w:spacing w:line="360" w:lineRule="auto"/>
        <w:jc w:val="center"/>
        <w:rPr>
          <w:rFonts w:hint="eastAsia" w:ascii="楷体" w:hAnsi="楷体" w:eastAsia="楷体" w:cs="仿宋"/>
          <w:b/>
          <w:bCs/>
          <w:color w:val="auto"/>
          <w:sz w:val="30"/>
          <w:szCs w:val="30"/>
          <w:highlight w:val="none"/>
        </w:rPr>
      </w:pPr>
      <w:r>
        <w:rPr>
          <w:rFonts w:hint="eastAsia" w:ascii="楷体" w:hAnsi="楷体" w:eastAsia="楷体" w:cs="仿宋"/>
          <w:b/>
          <w:bCs/>
          <w:color w:val="auto"/>
          <w:sz w:val="30"/>
          <w:szCs w:val="30"/>
          <w:highlight w:val="none"/>
        </w:rPr>
        <w:t>本项目拟投入人员汇总表</w:t>
      </w:r>
    </w:p>
    <w:tbl>
      <w:tblPr>
        <w:tblStyle w:val="46"/>
        <w:tblW w:w="8378" w:type="dxa"/>
        <w:tblInd w:w="157" w:type="dxa"/>
        <w:tblLayout w:type="fixed"/>
        <w:tblCellMar>
          <w:top w:w="0" w:type="dxa"/>
          <w:left w:w="0" w:type="dxa"/>
          <w:bottom w:w="0" w:type="dxa"/>
          <w:right w:w="0" w:type="dxa"/>
        </w:tblCellMar>
      </w:tblPr>
      <w:tblGrid>
        <w:gridCol w:w="660"/>
        <w:gridCol w:w="1252"/>
        <w:gridCol w:w="665"/>
        <w:gridCol w:w="665"/>
        <w:gridCol w:w="665"/>
        <w:gridCol w:w="976"/>
        <w:gridCol w:w="1349"/>
        <w:gridCol w:w="2146"/>
      </w:tblGrid>
      <w:tr>
        <w:tblPrEx>
          <w:tblCellMar>
            <w:top w:w="0" w:type="dxa"/>
            <w:left w:w="0" w:type="dxa"/>
            <w:bottom w:w="0" w:type="dxa"/>
            <w:right w:w="0" w:type="dxa"/>
          </w:tblCellMar>
        </w:tblPrEx>
        <w:trPr>
          <w:trHeight w:val="86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序号</w:t>
            </w: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姓  名</w:t>
            </w: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性别</w:t>
            </w: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年龄</w:t>
            </w: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学历</w:t>
            </w: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sz w:val="21"/>
                <w:szCs w:val="21"/>
                <w:highlight w:val="none"/>
              </w:rPr>
            </w:pPr>
            <w:r>
              <w:rPr>
                <w:rFonts w:hint="eastAsia" w:ascii="楷体" w:hAnsi="楷体" w:eastAsia="楷体" w:cs="仿宋"/>
                <w:b/>
                <w:bCs/>
                <w:color w:val="auto"/>
                <w:highlight w:val="none"/>
              </w:rPr>
              <w:t>技术</w:t>
            </w:r>
          </w:p>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职称</w:t>
            </w: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sz w:val="21"/>
                <w:szCs w:val="21"/>
                <w:highlight w:val="none"/>
              </w:rPr>
            </w:pPr>
            <w:r>
              <w:rPr>
                <w:rFonts w:hint="eastAsia" w:ascii="楷体" w:hAnsi="楷体" w:eastAsia="楷体" w:cs="仿宋"/>
                <w:b/>
                <w:bCs/>
                <w:color w:val="auto"/>
                <w:highlight w:val="none"/>
              </w:rPr>
              <w:t>资格证</w:t>
            </w:r>
          </w:p>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书种类</w:t>
            </w: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拟担任的职务</w:t>
            </w:r>
          </w:p>
        </w:tc>
      </w:tr>
      <w:tr>
        <w:tblPrEx>
          <w:tblCellMar>
            <w:top w:w="0" w:type="dxa"/>
            <w:left w:w="0" w:type="dxa"/>
            <w:bottom w:w="0" w:type="dxa"/>
            <w:right w:w="0" w:type="dxa"/>
          </w:tblCellMar>
        </w:tblPrEx>
        <w:trPr>
          <w:trHeight w:val="86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r>
      <w:tr>
        <w:tblPrEx>
          <w:tblCellMar>
            <w:top w:w="0" w:type="dxa"/>
            <w:left w:w="0" w:type="dxa"/>
            <w:bottom w:w="0" w:type="dxa"/>
            <w:right w:w="0" w:type="dxa"/>
          </w:tblCellMar>
        </w:tblPrEx>
        <w:trPr>
          <w:trHeight w:val="86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r>
      <w:tr>
        <w:tblPrEx>
          <w:tblCellMar>
            <w:top w:w="0" w:type="dxa"/>
            <w:left w:w="0" w:type="dxa"/>
            <w:bottom w:w="0" w:type="dxa"/>
            <w:right w:w="0" w:type="dxa"/>
          </w:tblCellMar>
        </w:tblPrEx>
        <w:trPr>
          <w:trHeight w:val="86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r>
      <w:tr>
        <w:tblPrEx>
          <w:tblCellMar>
            <w:top w:w="0" w:type="dxa"/>
            <w:left w:w="0" w:type="dxa"/>
            <w:bottom w:w="0" w:type="dxa"/>
            <w:right w:w="0" w:type="dxa"/>
          </w:tblCellMar>
        </w:tblPrEx>
        <w:trPr>
          <w:trHeight w:val="86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r>
      <w:tr>
        <w:tblPrEx>
          <w:tblCellMar>
            <w:top w:w="0" w:type="dxa"/>
            <w:left w:w="0" w:type="dxa"/>
            <w:bottom w:w="0" w:type="dxa"/>
            <w:right w:w="0" w:type="dxa"/>
          </w:tblCellMar>
        </w:tblPrEx>
        <w:trPr>
          <w:trHeight w:val="86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r>
      <w:tr>
        <w:tblPrEx>
          <w:tblCellMar>
            <w:top w:w="0" w:type="dxa"/>
            <w:left w:w="0" w:type="dxa"/>
            <w:bottom w:w="0" w:type="dxa"/>
            <w:right w:w="0" w:type="dxa"/>
          </w:tblCellMar>
        </w:tblPrEx>
        <w:trPr>
          <w:trHeight w:val="87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r>
    </w:tbl>
    <w:p>
      <w:pPr>
        <w:spacing w:line="360" w:lineRule="auto"/>
        <w:jc w:val="left"/>
        <w:rPr>
          <w:rFonts w:hint="eastAsia" w:ascii="楷体" w:hAnsi="楷体" w:eastAsia="楷体" w:cs="仿宋"/>
          <w:b/>
          <w:bCs/>
          <w:color w:val="auto"/>
          <w:highlight w:val="none"/>
        </w:rPr>
      </w:pPr>
      <w:r>
        <w:rPr>
          <w:rFonts w:hint="eastAsia" w:ascii="楷体" w:hAnsi="楷体" w:eastAsia="楷体" w:cs="仿宋"/>
          <w:b/>
          <w:bCs/>
          <w:color w:val="auto"/>
          <w:szCs w:val="24"/>
          <w:highlight w:val="none"/>
        </w:rPr>
        <w:t>注：在填写时，如本表不适合供应商实际情况，可根据本表格式自行划表填写。</w:t>
      </w:r>
    </w:p>
    <w:p>
      <w:pPr>
        <w:spacing w:line="360" w:lineRule="auto"/>
        <w:jc w:val="left"/>
        <w:rPr>
          <w:rFonts w:hint="eastAsia" w:ascii="楷体" w:hAnsi="楷体" w:eastAsia="楷体" w:cs="仿宋"/>
          <w:color w:val="auto"/>
          <w:szCs w:val="24"/>
          <w:highlight w:val="none"/>
        </w:rPr>
      </w:pPr>
    </w:p>
    <w:p>
      <w:pPr>
        <w:spacing w:line="360" w:lineRule="auto"/>
        <w:jc w:val="left"/>
        <w:rPr>
          <w:rFonts w:hint="eastAsia" w:ascii="楷体" w:hAnsi="楷体" w:eastAsia="楷体" w:cs="仿宋"/>
          <w:color w:val="auto"/>
          <w:szCs w:val="24"/>
          <w:highlight w:val="none"/>
        </w:rPr>
      </w:pP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 xml:space="preserve">供应商名称（公章）：          </w:t>
      </w: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法定代表人/被授权人</w:t>
      </w:r>
      <w:r>
        <w:rPr>
          <w:rFonts w:hint="eastAsia" w:ascii="楷体" w:hAnsi="楷体" w:eastAsia="楷体" w:cs="仿宋"/>
          <w:color w:val="auto"/>
          <w:spacing w:val="4"/>
          <w:szCs w:val="24"/>
          <w:highlight w:val="none"/>
        </w:rPr>
        <w:t>（签字或盖章）</w:t>
      </w:r>
      <w:r>
        <w:rPr>
          <w:rFonts w:hint="eastAsia" w:ascii="楷体" w:hAnsi="楷体" w:eastAsia="楷体" w:cs="仿宋"/>
          <w:color w:val="auto"/>
          <w:highlight w:val="none"/>
        </w:rPr>
        <w:t>：</w:t>
      </w:r>
    </w:p>
    <w:p>
      <w:pPr>
        <w:spacing w:line="360" w:lineRule="auto"/>
        <w:rPr>
          <w:rFonts w:hint="eastAsia" w:ascii="楷体" w:hAnsi="楷体" w:eastAsia="楷体" w:cs="仿宋"/>
          <w:color w:val="auto"/>
          <w:highlight w:val="none"/>
        </w:rPr>
      </w:pPr>
      <w:r>
        <w:rPr>
          <w:rFonts w:hint="eastAsia" w:ascii="楷体" w:hAnsi="楷体" w:eastAsia="楷体" w:cs="仿宋"/>
          <w:color w:val="auto"/>
          <w:szCs w:val="24"/>
          <w:highlight w:val="none"/>
        </w:rPr>
        <w:t>日    期：</w:t>
      </w:r>
    </w:p>
    <w:p>
      <w:pPr>
        <w:spacing w:line="360" w:lineRule="auto"/>
        <w:jc w:val="left"/>
        <w:rPr>
          <w:rFonts w:hint="eastAsia" w:ascii="楷体" w:hAnsi="楷体" w:eastAsia="楷体" w:cs="仿宋"/>
          <w:b/>
          <w:bCs/>
          <w:color w:val="auto"/>
          <w:szCs w:val="24"/>
          <w:highlight w:val="none"/>
        </w:rPr>
      </w:pPr>
    </w:p>
    <w:p>
      <w:pPr>
        <w:spacing w:line="360" w:lineRule="auto"/>
        <w:jc w:val="left"/>
        <w:rPr>
          <w:rFonts w:hint="eastAsia" w:ascii="楷体" w:hAnsi="楷体" w:eastAsia="楷体" w:cs="仿宋"/>
          <w:b/>
          <w:bCs/>
          <w:color w:val="auto"/>
          <w:szCs w:val="24"/>
          <w:highlight w:val="none"/>
        </w:rPr>
      </w:pPr>
    </w:p>
    <w:p>
      <w:pPr>
        <w:spacing w:line="360" w:lineRule="auto"/>
        <w:rPr>
          <w:rFonts w:hint="eastAsia" w:ascii="楷体" w:hAnsi="楷体" w:eastAsia="楷体" w:cs="楷体"/>
          <w:b/>
          <w:bCs/>
          <w:color w:val="auto"/>
          <w:sz w:val="28"/>
          <w:szCs w:val="28"/>
          <w:highlight w:val="none"/>
        </w:rPr>
      </w:pPr>
      <w:r>
        <w:rPr>
          <w:rFonts w:hint="eastAsia" w:ascii="楷体" w:hAnsi="楷体" w:eastAsia="楷体" w:cs="仿宋"/>
          <w:color w:val="auto"/>
          <w:szCs w:val="24"/>
          <w:highlight w:val="none"/>
        </w:rPr>
        <w:br w:type="page"/>
      </w:r>
      <w:r>
        <w:rPr>
          <w:rFonts w:hint="eastAsia" w:ascii="楷体" w:hAnsi="楷体" w:eastAsia="楷体" w:cs="楷体"/>
          <w:b/>
          <w:bCs/>
          <w:color w:val="auto"/>
          <w:sz w:val="28"/>
          <w:szCs w:val="28"/>
          <w:highlight w:val="none"/>
        </w:rPr>
        <w:t>附件</w:t>
      </w:r>
      <w:r>
        <w:rPr>
          <w:rFonts w:hint="eastAsia" w:ascii="楷体" w:hAnsi="楷体" w:eastAsia="楷体" w:cs="楷体"/>
          <w:b/>
          <w:bCs/>
          <w:color w:val="auto"/>
          <w:sz w:val="28"/>
          <w:szCs w:val="28"/>
          <w:highlight w:val="none"/>
          <w:lang w:val="en-US" w:eastAsia="zh-CN"/>
        </w:rPr>
        <w:t>6</w:t>
      </w:r>
      <w:r>
        <w:rPr>
          <w:rFonts w:hint="eastAsia" w:ascii="楷体" w:hAnsi="楷体" w:eastAsia="楷体" w:cs="楷体"/>
          <w:b/>
          <w:bCs/>
          <w:color w:val="auto"/>
          <w:sz w:val="28"/>
          <w:szCs w:val="28"/>
          <w:highlight w:val="none"/>
        </w:rPr>
        <w:t>：</w:t>
      </w:r>
    </w:p>
    <w:p>
      <w:pPr>
        <w:pStyle w:val="21"/>
        <w:jc w:val="center"/>
        <w:rPr>
          <w:rFonts w:hint="eastAsia" w:ascii="楷体" w:hAnsi="楷体" w:eastAsia="楷体" w:cs="仿宋"/>
          <w:b/>
          <w:bCs/>
          <w:color w:val="auto"/>
          <w:kern w:val="0"/>
          <w:sz w:val="30"/>
          <w:szCs w:val="30"/>
          <w:highlight w:val="none"/>
        </w:rPr>
      </w:pPr>
      <w:r>
        <w:rPr>
          <w:rFonts w:hint="eastAsia" w:ascii="楷体" w:hAnsi="楷体" w:eastAsia="楷体" w:cs="仿宋"/>
          <w:b/>
          <w:bCs/>
          <w:color w:val="auto"/>
          <w:kern w:val="0"/>
          <w:sz w:val="30"/>
          <w:szCs w:val="30"/>
          <w:highlight w:val="none"/>
        </w:rPr>
        <w:t>本项目拟投入主要人员简历表</w:t>
      </w:r>
    </w:p>
    <w:tbl>
      <w:tblPr>
        <w:tblStyle w:val="46"/>
        <w:tblW w:w="8222" w:type="dxa"/>
        <w:tblInd w:w="108" w:type="dxa"/>
        <w:tblLayout w:type="fixed"/>
        <w:tblCellMar>
          <w:top w:w="0" w:type="dxa"/>
          <w:left w:w="108" w:type="dxa"/>
          <w:bottom w:w="0" w:type="dxa"/>
          <w:right w:w="108" w:type="dxa"/>
        </w:tblCellMar>
      </w:tblPr>
      <w:tblGrid>
        <w:gridCol w:w="1386"/>
        <w:gridCol w:w="32"/>
        <w:gridCol w:w="1701"/>
        <w:gridCol w:w="1134"/>
        <w:gridCol w:w="142"/>
        <w:gridCol w:w="1134"/>
        <w:gridCol w:w="283"/>
        <w:gridCol w:w="1276"/>
        <w:gridCol w:w="283"/>
        <w:gridCol w:w="851"/>
      </w:tblGrid>
      <w:tr>
        <w:tblPrEx>
          <w:tblCellMar>
            <w:top w:w="0" w:type="dxa"/>
            <w:left w:w="108" w:type="dxa"/>
            <w:bottom w:w="0" w:type="dxa"/>
            <w:right w:w="108" w:type="dxa"/>
          </w:tblCellMar>
        </w:tblPrEx>
        <w:trPr>
          <w:trHeight w:val="521" w:hRule="atLeast"/>
        </w:trPr>
        <w:tc>
          <w:tcPr>
            <w:tcW w:w="1418" w:type="dxa"/>
            <w:gridSpan w:val="2"/>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姓  名</w:t>
            </w:r>
          </w:p>
        </w:tc>
        <w:tc>
          <w:tcPr>
            <w:tcW w:w="170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276"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性</w:t>
            </w:r>
            <w:r>
              <w:rPr>
                <w:rFonts w:hint="eastAsia" w:hAnsi="宋体" w:cs="宋体"/>
                <w:color w:val="auto"/>
                <w:highlight w:val="none"/>
              </w:rPr>
              <w:t> </w:t>
            </w:r>
            <w:r>
              <w:rPr>
                <w:rFonts w:hint="eastAsia" w:ascii="楷体" w:hAnsi="楷体" w:eastAsia="楷体" w:cs="仿宋"/>
                <w:color w:val="auto"/>
                <w:highlight w:val="none"/>
              </w:rPr>
              <w:t>别</w:t>
            </w:r>
          </w:p>
        </w:tc>
        <w:tc>
          <w:tcPr>
            <w:tcW w:w="1134"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年</w:t>
            </w:r>
            <w:r>
              <w:rPr>
                <w:rFonts w:hint="eastAsia" w:hAnsi="宋体" w:cs="宋体"/>
                <w:color w:val="auto"/>
                <w:highlight w:val="none"/>
              </w:rPr>
              <w:t> </w:t>
            </w:r>
            <w:r>
              <w:rPr>
                <w:rFonts w:hint="eastAsia" w:ascii="楷体" w:hAnsi="楷体" w:eastAsia="楷体" w:cs="仿宋"/>
                <w:color w:val="auto"/>
                <w:highlight w:val="none"/>
              </w:rPr>
              <w:t>龄</w:t>
            </w:r>
          </w:p>
        </w:tc>
        <w:tc>
          <w:tcPr>
            <w:tcW w:w="1134"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22" w:hRule="atLeast"/>
        </w:trPr>
        <w:tc>
          <w:tcPr>
            <w:tcW w:w="1418" w:type="dxa"/>
            <w:gridSpan w:val="2"/>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职</w:t>
            </w:r>
            <w:r>
              <w:rPr>
                <w:rFonts w:hint="eastAsia" w:hAnsi="宋体" w:cs="宋体"/>
                <w:color w:val="auto"/>
                <w:highlight w:val="none"/>
              </w:rPr>
              <w:t> </w:t>
            </w:r>
            <w:r>
              <w:rPr>
                <w:rFonts w:hint="eastAsia" w:ascii="楷体" w:hAnsi="楷体" w:eastAsia="楷体" w:cs="仿宋"/>
                <w:color w:val="auto"/>
                <w:highlight w:val="none"/>
              </w:rPr>
              <w:t xml:space="preserve"> 称</w:t>
            </w:r>
          </w:p>
        </w:tc>
        <w:tc>
          <w:tcPr>
            <w:tcW w:w="170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276"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身份证号</w:t>
            </w:r>
          </w:p>
        </w:tc>
        <w:tc>
          <w:tcPr>
            <w:tcW w:w="1134"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专业/年限</w:t>
            </w:r>
          </w:p>
        </w:tc>
        <w:tc>
          <w:tcPr>
            <w:tcW w:w="1134"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21" w:hRule="atLeast"/>
        </w:trPr>
        <w:tc>
          <w:tcPr>
            <w:tcW w:w="1418" w:type="dxa"/>
            <w:gridSpan w:val="2"/>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毕业时间</w:t>
            </w:r>
          </w:p>
        </w:tc>
        <w:tc>
          <w:tcPr>
            <w:tcW w:w="170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276"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毕业学校</w:t>
            </w:r>
          </w:p>
        </w:tc>
        <w:tc>
          <w:tcPr>
            <w:tcW w:w="1134"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学历/专业</w:t>
            </w:r>
          </w:p>
        </w:tc>
        <w:tc>
          <w:tcPr>
            <w:tcW w:w="1134"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21" w:hRule="atLeast"/>
        </w:trPr>
        <w:tc>
          <w:tcPr>
            <w:tcW w:w="1418" w:type="dxa"/>
            <w:gridSpan w:val="2"/>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资格证书</w:t>
            </w:r>
          </w:p>
        </w:tc>
        <w:tc>
          <w:tcPr>
            <w:tcW w:w="170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276"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注册时间</w:t>
            </w:r>
          </w:p>
        </w:tc>
        <w:tc>
          <w:tcPr>
            <w:tcW w:w="1134"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从业时间</w:t>
            </w:r>
          </w:p>
        </w:tc>
        <w:tc>
          <w:tcPr>
            <w:tcW w:w="1134"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22" w:hRule="atLeast"/>
        </w:trPr>
        <w:tc>
          <w:tcPr>
            <w:tcW w:w="3119" w:type="dxa"/>
            <w:gridSpan w:val="3"/>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是否属供应商固定雇员</w:t>
            </w:r>
          </w:p>
        </w:tc>
        <w:tc>
          <w:tcPr>
            <w:tcW w:w="1276"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2693"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为供应商服务时间</w:t>
            </w:r>
          </w:p>
        </w:tc>
        <w:tc>
          <w:tcPr>
            <w:tcW w:w="1134"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21" w:hRule="atLeast"/>
        </w:trPr>
        <w:tc>
          <w:tcPr>
            <w:tcW w:w="3119" w:type="dxa"/>
            <w:gridSpan w:val="3"/>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拟在本项目担任职务</w:t>
            </w:r>
          </w:p>
        </w:tc>
        <w:tc>
          <w:tcPr>
            <w:tcW w:w="5103" w:type="dxa"/>
            <w:gridSpan w:val="7"/>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46" w:hRule="atLeast"/>
        </w:trPr>
        <w:tc>
          <w:tcPr>
            <w:tcW w:w="8222" w:type="dxa"/>
            <w:gridSpan w:val="10"/>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工作经历</w:t>
            </w:r>
          </w:p>
        </w:tc>
      </w:tr>
      <w:tr>
        <w:tblPrEx>
          <w:tblCellMar>
            <w:top w:w="0" w:type="dxa"/>
            <w:left w:w="108" w:type="dxa"/>
            <w:bottom w:w="0" w:type="dxa"/>
            <w:right w:w="108" w:type="dxa"/>
          </w:tblCellMar>
        </w:tblPrEx>
        <w:trPr>
          <w:trHeight w:val="546" w:hRule="atLeast"/>
        </w:trPr>
        <w:tc>
          <w:tcPr>
            <w:tcW w:w="1386" w:type="dxa"/>
            <w:tcBorders>
              <w:top w:val="single" w:color="auto" w:sz="4" w:space="0"/>
              <w:left w:val="single" w:color="auto" w:sz="4" w:space="0"/>
              <w:bottom w:val="single" w:color="auto" w:sz="4" w:space="0"/>
              <w:right w:val="single" w:color="auto" w:sz="4" w:space="0"/>
            </w:tcBorders>
            <w:vAlign w:val="center"/>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时  间</w:t>
            </w:r>
          </w:p>
        </w:tc>
        <w:tc>
          <w:tcPr>
            <w:tcW w:w="2867" w:type="dxa"/>
            <w:gridSpan w:val="3"/>
            <w:tcBorders>
              <w:top w:val="single" w:color="auto" w:sz="4" w:space="0"/>
              <w:left w:val="nil"/>
              <w:bottom w:val="single" w:color="auto" w:sz="4" w:space="0"/>
              <w:right w:val="single" w:color="auto" w:sz="4" w:space="0"/>
            </w:tcBorders>
            <w:vAlign w:val="center"/>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sz w:val="21"/>
                <w:szCs w:val="21"/>
                <w:highlight w:val="none"/>
              </w:rPr>
            </w:pPr>
            <w:r>
              <w:rPr>
                <w:rFonts w:hint="eastAsia" w:ascii="楷体" w:hAnsi="楷体" w:eastAsia="楷体" w:cs="仿宋"/>
                <w:color w:val="auto"/>
                <w:highlight w:val="none"/>
              </w:rPr>
              <w:t>参加过的项目名称</w:t>
            </w:r>
          </w:p>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及当时所在单位</w:t>
            </w:r>
          </w:p>
        </w:tc>
        <w:tc>
          <w:tcPr>
            <w:tcW w:w="1559" w:type="dxa"/>
            <w:gridSpan w:val="3"/>
            <w:tcBorders>
              <w:top w:val="single" w:color="auto" w:sz="4" w:space="0"/>
              <w:left w:val="nil"/>
              <w:bottom w:val="single" w:color="auto" w:sz="4" w:space="0"/>
              <w:right w:val="single" w:color="auto" w:sz="4" w:space="0"/>
            </w:tcBorders>
            <w:vAlign w:val="center"/>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担任何职</w:t>
            </w:r>
          </w:p>
        </w:tc>
        <w:tc>
          <w:tcPr>
            <w:tcW w:w="1559" w:type="dxa"/>
            <w:gridSpan w:val="2"/>
            <w:tcBorders>
              <w:top w:val="single" w:color="auto" w:sz="4" w:space="0"/>
              <w:left w:val="nil"/>
              <w:bottom w:val="single" w:color="auto" w:sz="4" w:space="0"/>
              <w:right w:val="single" w:color="auto" w:sz="4" w:space="0"/>
            </w:tcBorders>
            <w:vAlign w:val="center"/>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主要工作内容</w:t>
            </w:r>
          </w:p>
        </w:tc>
        <w:tc>
          <w:tcPr>
            <w:tcW w:w="851" w:type="dxa"/>
            <w:tcBorders>
              <w:top w:val="single" w:color="auto" w:sz="4" w:space="0"/>
              <w:left w:val="nil"/>
              <w:bottom w:val="single" w:color="auto" w:sz="4" w:space="0"/>
              <w:right w:val="single" w:color="auto" w:sz="4" w:space="0"/>
            </w:tcBorders>
            <w:vAlign w:val="center"/>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备注</w:t>
            </w:r>
          </w:p>
        </w:tc>
      </w:tr>
      <w:tr>
        <w:tblPrEx>
          <w:tblCellMar>
            <w:top w:w="0" w:type="dxa"/>
            <w:left w:w="108" w:type="dxa"/>
            <w:bottom w:w="0" w:type="dxa"/>
            <w:right w:w="108" w:type="dxa"/>
          </w:tblCellMar>
        </w:tblPrEx>
        <w:trPr>
          <w:trHeight w:val="546" w:hRule="atLeast"/>
        </w:trPr>
        <w:tc>
          <w:tcPr>
            <w:tcW w:w="1386" w:type="dxa"/>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2867"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85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47" w:hRule="atLeast"/>
        </w:trPr>
        <w:tc>
          <w:tcPr>
            <w:tcW w:w="1386" w:type="dxa"/>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2867"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85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46" w:hRule="atLeast"/>
        </w:trPr>
        <w:tc>
          <w:tcPr>
            <w:tcW w:w="1386" w:type="dxa"/>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2867"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85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46" w:hRule="atLeast"/>
        </w:trPr>
        <w:tc>
          <w:tcPr>
            <w:tcW w:w="1386" w:type="dxa"/>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2867"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85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r>
    </w:tbl>
    <w:p>
      <w:pPr>
        <w:spacing w:line="360" w:lineRule="auto"/>
        <w:jc w:val="left"/>
        <w:rPr>
          <w:rFonts w:hint="eastAsia" w:ascii="楷体" w:hAnsi="楷体" w:eastAsia="楷体" w:cs="仿宋"/>
          <w:color w:val="auto"/>
          <w:highlight w:val="none"/>
        </w:rPr>
      </w:pP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 xml:space="preserve">供应商名称（公章）：          </w:t>
      </w: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法定代表人/被授权人</w:t>
      </w:r>
      <w:r>
        <w:rPr>
          <w:rFonts w:hint="eastAsia" w:ascii="楷体" w:hAnsi="楷体" w:eastAsia="楷体" w:cs="仿宋"/>
          <w:color w:val="auto"/>
          <w:spacing w:val="4"/>
          <w:szCs w:val="24"/>
          <w:highlight w:val="none"/>
        </w:rPr>
        <w:t>（签字或盖章）</w:t>
      </w:r>
      <w:r>
        <w:rPr>
          <w:rFonts w:hint="eastAsia" w:ascii="楷体" w:hAnsi="楷体" w:eastAsia="楷体" w:cs="仿宋"/>
          <w:color w:val="auto"/>
          <w:highlight w:val="none"/>
        </w:rPr>
        <w:t>：</w:t>
      </w:r>
    </w:p>
    <w:p>
      <w:pPr>
        <w:spacing w:line="360" w:lineRule="auto"/>
        <w:rPr>
          <w:rFonts w:hint="eastAsia" w:ascii="楷体" w:hAnsi="楷体" w:eastAsia="楷体" w:cs="仿宋"/>
          <w:color w:val="auto"/>
          <w:highlight w:val="none"/>
        </w:rPr>
      </w:pPr>
      <w:r>
        <w:rPr>
          <w:rFonts w:hint="eastAsia" w:ascii="楷体" w:hAnsi="楷体" w:eastAsia="楷体" w:cs="仿宋"/>
          <w:color w:val="auto"/>
          <w:szCs w:val="24"/>
          <w:highlight w:val="none"/>
        </w:rPr>
        <w:t>日    期：</w:t>
      </w:r>
    </w:p>
    <w:p>
      <w:pPr>
        <w:spacing w:line="360" w:lineRule="auto"/>
        <w:rPr>
          <w:rFonts w:hint="eastAsia" w:ascii="楷体" w:hAnsi="楷体" w:eastAsia="楷体" w:cs="仿宋"/>
          <w:color w:val="auto"/>
          <w:szCs w:val="24"/>
          <w:highlight w:val="none"/>
          <w:u w:val="single"/>
        </w:rPr>
        <w:sectPr>
          <w:footerReference r:id="rId6" w:type="default"/>
          <w:pgSz w:w="11906" w:h="16838"/>
          <w:pgMar w:top="1440" w:right="1800" w:bottom="1440" w:left="1800" w:header="851" w:footer="992" w:gutter="0"/>
          <w:pgNumType w:fmt="decimal"/>
          <w:cols w:space="720" w:num="1"/>
          <w:docGrid w:type="lines" w:linePitch="326" w:charSpace="0"/>
        </w:sectPr>
      </w:pPr>
    </w:p>
    <w:p>
      <w:pPr>
        <w:spacing w:line="360" w:lineRule="auto"/>
        <w:jc w:val="center"/>
        <w:rPr>
          <w:rFonts w:hint="eastAsia" w:ascii="楷体" w:hAnsi="楷体" w:eastAsia="楷体" w:cs="仿宋"/>
          <w:color w:val="auto"/>
          <w:sz w:val="30"/>
          <w:szCs w:val="30"/>
          <w:highlight w:val="none"/>
        </w:rPr>
      </w:pPr>
      <w:r>
        <w:rPr>
          <w:rFonts w:hint="eastAsia" w:ascii="楷体" w:hAnsi="楷体" w:eastAsia="楷体" w:cs="仿宋"/>
          <w:b/>
          <w:bCs/>
          <w:color w:val="auto"/>
          <w:sz w:val="30"/>
          <w:szCs w:val="30"/>
          <w:highlight w:val="none"/>
          <w:lang w:eastAsia="zh-CN"/>
        </w:rPr>
        <w:t>六</w:t>
      </w:r>
      <w:r>
        <w:rPr>
          <w:rFonts w:hint="eastAsia" w:ascii="楷体" w:hAnsi="楷体" w:eastAsia="楷体" w:cs="仿宋"/>
          <w:b/>
          <w:bCs/>
          <w:color w:val="auto"/>
          <w:sz w:val="30"/>
          <w:szCs w:val="30"/>
          <w:highlight w:val="none"/>
        </w:rPr>
        <w:t>、陕西省政府采购供应商拒绝政府采购领域商业贿赂承诺书</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为响应党中央、国务院关于治理政府采购领域商业贿赂行为的号召，我公司在此庄严承诺：</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1.在参与政府采购活动中遵纪守法、诚信经营、公平竞标。</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2.不向政府采购人、招标代理机构和政府采购评审专家进行任何形式的商业贿赂以谋取交易机会。</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3.不向政府招标代理机构和采购人提供虚假资质文件或采用虚假应标方式参与政府采购市场竞争并谋取中标、成交。</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4.不采取“围标、陪标”等商业欺诈手段获得政府采购定单。</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5.不采取不正当手段诋毁、排挤其他供应商。</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6.不在提供商品和服务时“偷梁换柱、以次充好”损害采购人的合法权益。</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7.不与采购人、招标代理机构政府采购评审专家或其它供应商恶意串通，进行质疑和投诉，维护政府采购市场秩序。</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8.尊重和接受政府采购监督管理部门的监督和政府招标代理机构招标采购要求，承担因违约行为给采购人造成的损失。</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9.不发生其他有悖于政府采购公开、公平、公正和诚信原则的行为。</w:t>
      </w:r>
      <w:r>
        <w:rPr>
          <w:rFonts w:hint="eastAsia" w:ascii="楷体" w:hAnsi="楷体" w:eastAsia="楷体" w:cs="仿宋"/>
          <w:color w:val="auto"/>
          <w:szCs w:val="24"/>
          <w:highlight w:val="none"/>
        </w:rPr>
        <w:br w:type="textWrapping"/>
      </w:r>
      <w:r>
        <w:rPr>
          <w:rFonts w:hint="eastAsia" w:ascii="楷体" w:hAnsi="楷体" w:eastAsia="楷体" w:cs="仿宋"/>
          <w:color w:val="auto"/>
          <w:szCs w:val="24"/>
          <w:highlight w:val="none"/>
        </w:rPr>
        <w:t xml:space="preserve">    </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承诺单位（盖章）：</w:t>
      </w:r>
    </w:p>
    <w:p>
      <w:pPr>
        <w:spacing w:line="600" w:lineRule="exact"/>
        <w:ind w:firstLine="480" w:firstLineChars="200"/>
        <w:jc w:val="left"/>
        <w:rPr>
          <w:rFonts w:hint="eastAsia" w:ascii="楷体" w:hAnsi="楷体" w:eastAsia="楷体" w:cs="仿宋"/>
          <w:color w:val="auto"/>
          <w:highlight w:val="none"/>
        </w:rPr>
      </w:pPr>
      <w:r>
        <w:rPr>
          <w:rFonts w:hint="eastAsia" w:ascii="楷体" w:hAnsi="楷体" w:eastAsia="楷体" w:cs="仿宋"/>
          <w:color w:val="auto"/>
          <w:szCs w:val="24"/>
          <w:highlight w:val="none"/>
          <w:lang w:val="en-US" w:eastAsia="zh-CN"/>
        </w:rPr>
        <w:t>法定</w:t>
      </w:r>
      <w:r>
        <w:rPr>
          <w:rFonts w:hint="eastAsia" w:ascii="楷体" w:hAnsi="楷体" w:eastAsia="楷体" w:cs="仿宋"/>
          <w:color w:val="auto"/>
          <w:szCs w:val="24"/>
          <w:highlight w:val="none"/>
        </w:rPr>
        <w:t>代表人</w:t>
      </w:r>
      <w:r>
        <w:rPr>
          <w:rFonts w:hint="eastAsia" w:ascii="楷体" w:hAnsi="楷体" w:eastAsia="楷体" w:cs="仿宋"/>
          <w:color w:val="auto"/>
          <w:highlight w:val="none"/>
        </w:rPr>
        <w:t>（签字或盖章）：</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地址：</w:t>
      </w:r>
      <w:r>
        <w:rPr>
          <w:rFonts w:hint="eastAsia" w:hAnsi="宋体" w:cs="宋体"/>
          <w:color w:val="auto"/>
          <w:szCs w:val="24"/>
          <w:highlight w:val="none"/>
        </w:rPr>
        <w:t>                        </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邮编：</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电话：</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时间：</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b/>
          <w:bCs/>
          <w:color w:val="auto"/>
          <w:sz w:val="30"/>
          <w:szCs w:val="30"/>
          <w:highlight w:val="none"/>
        </w:rPr>
      </w:pPr>
      <w:r>
        <w:rPr>
          <w:rFonts w:hint="eastAsia" w:ascii="楷体" w:hAnsi="楷体" w:eastAsia="楷体" w:cs="楷体"/>
          <w:b/>
          <w:bCs/>
          <w:color w:val="auto"/>
          <w:sz w:val="30"/>
          <w:szCs w:val="30"/>
          <w:highlight w:val="none"/>
          <w:lang w:eastAsia="zh-CN"/>
        </w:rPr>
        <w:t>七、</w:t>
      </w:r>
      <w:r>
        <w:rPr>
          <w:rFonts w:hint="eastAsia" w:ascii="楷体" w:hAnsi="楷体" w:eastAsia="楷体" w:cs="楷体"/>
          <w:b/>
          <w:bCs/>
          <w:color w:val="auto"/>
          <w:sz w:val="30"/>
          <w:szCs w:val="30"/>
          <w:highlight w:val="none"/>
        </w:rPr>
        <w:t>落实政府采购政策须提供的资料及供应商认为有必要提供的其它资料</w:t>
      </w:r>
    </w:p>
    <w:p>
      <w:pPr>
        <w:rPr>
          <w:rFonts w:hint="eastAsia" w:ascii="楷体" w:hAnsi="楷体" w:eastAsia="楷体" w:cs="楷体"/>
          <w:b/>
          <w:bCs/>
          <w:color w:val="auto"/>
          <w:sz w:val="30"/>
          <w:szCs w:val="30"/>
          <w:highlight w:val="none"/>
        </w:rPr>
      </w:pPr>
      <w:r>
        <w:rPr>
          <w:rFonts w:hint="eastAsia" w:ascii="楷体" w:hAnsi="楷体" w:eastAsia="楷体" w:cs="楷体"/>
          <w:b/>
          <w:bCs/>
          <w:color w:val="auto"/>
          <w:sz w:val="30"/>
          <w:szCs w:val="30"/>
          <w:highlight w:val="none"/>
        </w:rPr>
        <w:br w:type="page"/>
      </w:r>
    </w:p>
    <w:p>
      <w:pPr>
        <w:keepNext w:val="0"/>
        <w:keepLines w:val="0"/>
        <w:pageBreakBefore w:val="0"/>
        <w:widowControl w:val="0"/>
        <w:kinsoku/>
        <w:wordWrap/>
        <w:overflowPunct/>
        <w:topLinePunct w:val="0"/>
        <w:autoSpaceDE/>
        <w:autoSpaceDN/>
        <w:bidi w:val="0"/>
        <w:spacing w:line="360" w:lineRule="auto"/>
        <w:jc w:val="left"/>
        <w:textAlignment w:val="auto"/>
        <w:rPr>
          <w:rFonts w:hint="default" w:ascii="楷体" w:hAnsi="楷体" w:eastAsia="楷体" w:cs="楷体"/>
          <w:b/>
          <w:bCs/>
          <w:color w:val="auto"/>
          <w:sz w:val="30"/>
          <w:szCs w:val="30"/>
          <w:highlight w:val="none"/>
          <w:lang w:val="en-US" w:eastAsia="zh-CN"/>
        </w:rPr>
      </w:pPr>
      <w:r>
        <w:rPr>
          <w:rFonts w:hint="eastAsia" w:ascii="楷体" w:hAnsi="楷体" w:eastAsia="楷体" w:cs="楷体"/>
          <w:b/>
          <w:bCs/>
          <w:color w:val="auto"/>
          <w:sz w:val="30"/>
          <w:szCs w:val="30"/>
          <w:highlight w:val="none"/>
          <w:lang w:eastAsia="zh-CN"/>
        </w:rPr>
        <w:t>附件</w:t>
      </w:r>
      <w:r>
        <w:rPr>
          <w:rFonts w:hint="eastAsia" w:ascii="楷体" w:hAnsi="楷体" w:eastAsia="楷体" w:cs="楷体"/>
          <w:b/>
          <w:bCs/>
          <w:color w:val="auto"/>
          <w:sz w:val="30"/>
          <w:szCs w:val="30"/>
          <w:highlight w:val="none"/>
          <w:lang w:val="en-US" w:eastAsia="zh-CN"/>
        </w:rPr>
        <w:t>7：（如有）</w:t>
      </w:r>
    </w:p>
    <w:p>
      <w:pPr>
        <w:widowControl w:val="0"/>
        <w:numPr>
          <w:ilvl w:val="0"/>
          <w:numId w:val="0"/>
        </w:numPr>
        <w:jc w:val="center"/>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中小企业声明函（货物）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本公司（联合体）郑重声明，根据《政府采购促进中小企业发展管理办法》（财库﹝2020﹞46 号）的规定，本公司（联合体）参加</w:t>
      </w:r>
      <w:r>
        <w:rPr>
          <w:rFonts w:hint="eastAsia" w:ascii="楷体" w:hAnsi="楷体" w:eastAsia="楷体" w:cs="楷体"/>
          <w:b w:val="0"/>
          <w:bCs w:val="0"/>
          <w:i w:val="0"/>
          <w:iCs w:val="0"/>
          <w:color w:val="auto"/>
          <w:sz w:val="24"/>
          <w:szCs w:val="24"/>
          <w:highlight w:val="none"/>
          <w:u w:val="single"/>
          <w:lang w:val="en-US" w:eastAsia="zh-CN"/>
        </w:rPr>
        <w:t>（单位名称）</w:t>
      </w:r>
      <w:r>
        <w:rPr>
          <w:rFonts w:hint="eastAsia" w:ascii="楷体" w:hAnsi="楷体" w:eastAsia="楷体" w:cs="楷体"/>
          <w:b w:val="0"/>
          <w:bCs w:val="0"/>
          <w:i w:val="0"/>
          <w:iCs w:val="0"/>
          <w:color w:val="auto"/>
          <w:sz w:val="24"/>
          <w:szCs w:val="24"/>
          <w:highlight w:val="none"/>
          <w:lang w:val="en-US" w:eastAsia="zh-CN"/>
        </w:rPr>
        <w:t>的</w:t>
      </w:r>
      <w:r>
        <w:rPr>
          <w:rFonts w:hint="eastAsia" w:ascii="楷体" w:hAnsi="楷体" w:eastAsia="楷体" w:cs="楷体"/>
          <w:b w:val="0"/>
          <w:bCs w:val="0"/>
          <w:i w:val="0"/>
          <w:iCs w:val="0"/>
          <w:color w:val="auto"/>
          <w:sz w:val="24"/>
          <w:szCs w:val="24"/>
          <w:highlight w:val="none"/>
          <w:u w:val="single"/>
          <w:lang w:val="en-US" w:eastAsia="zh-CN"/>
        </w:rPr>
        <w:t>（项目名称）</w:t>
      </w:r>
      <w:r>
        <w:rPr>
          <w:rFonts w:hint="eastAsia" w:ascii="楷体" w:hAnsi="楷体" w:eastAsia="楷体" w:cs="楷体"/>
          <w:b w:val="0"/>
          <w:bCs w:val="0"/>
          <w:i w:val="0"/>
          <w:iCs w:val="0"/>
          <w:color w:val="auto"/>
          <w:sz w:val="24"/>
          <w:szCs w:val="24"/>
          <w:highlight w:val="none"/>
          <w:lang w:val="en-US" w:eastAsia="zh-CN"/>
        </w:rPr>
        <w:t>采购活动，提供的货物全部由符合政策要求的中小企业制造。相关企业（含联合体中的中小企业、签订分包意向协议的中小企业）的具体情况如下：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1.</w:t>
      </w:r>
      <w:r>
        <w:rPr>
          <w:rFonts w:hint="eastAsia" w:ascii="楷体" w:hAnsi="楷体" w:eastAsia="楷体" w:cs="楷体"/>
          <w:b w:val="0"/>
          <w:bCs w:val="0"/>
          <w:i w:val="0"/>
          <w:iCs w:val="0"/>
          <w:color w:val="auto"/>
          <w:sz w:val="24"/>
          <w:szCs w:val="24"/>
          <w:highlight w:val="none"/>
          <w:u w:val="single"/>
          <w:lang w:val="en-US" w:eastAsia="zh-CN"/>
        </w:rPr>
        <w:t xml:space="preserve"> （标的名称） </w:t>
      </w:r>
      <w:r>
        <w:rPr>
          <w:rFonts w:hint="eastAsia" w:ascii="楷体" w:hAnsi="楷体" w:eastAsia="楷体" w:cs="楷体"/>
          <w:b w:val="0"/>
          <w:bCs w:val="0"/>
          <w:i w:val="0"/>
          <w:iCs w:val="0"/>
          <w:color w:val="auto"/>
          <w:sz w:val="24"/>
          <w:szCs w:val="24"/>
          <w:highlight w:val="none"/>
          <w:lang w:val="en-US" w:eastAsia="zh-CN"/>
        </w:rPr>
        <w:t>，属于</w:t>
      </w:r>
      <w:r>
        <w:rPr>
          <w:rFonts w:hint="eastAsia" w:ascii="楷体" w:hAnsi="楷体" w:eastAsia="楷体" w:cs="楷体"/>
          <w:b w:val="0"/>
          <w:bCs w:val="0"/>
          <w:i w:val="0"/>
          <w:iCs w:val="0"/>
          <w:color w:val="auto"/>
          <w:sz w:val="24"/>
          <w:szCs w:val="24"/>
          <w:highlight w:val="none"/>
          <w:u w:val="single"/>
          <w:lang w:val="en-US" w:eastAsia="zh-CN"/>
        </w:rPr>
        <w:t xml:space="preserve"> （工业） </w:t>
      </w:r>
      <w:r>
        <w:rPr>
          <w:rFonts w:hint="eastAsia" w:ascii="楷体" w:hAnsi="楷体" w:eastAsia="楷体" w:cs="楷体"/>
          <w:b w:val="0"/>
          <w:bCs w:val="0"/>
          <w:i w:val="0"/>
          <w:iCs w:val="0"/>
          <w:color w:val="auto"/>
          <w:sz w:val="24"/>
          <w:szCs w:val="24"/>
          <w:highlight w:val="none"/>
          <w:lang w:val="en-US" w:eastAsia="zh-CN"/>
        </w:rPr>
        <w:t>行业；制造商为</w:t>
      </w:r>
      <w:r>
        <w:rPr>
          <w:rFonts w:hint="eastAsia" w:ascii="楷体" w:hAnsi="楷体" w:eastAsia="楷体" w:cs="楷体"/>
          <w:b w:val="0"/>
          <w:bCs w:val="0"/>
          <w:i w:val="0"/>
          <w:iCs w:val="0"/>
          <w:color w:val="auto"/>
          <w:sz w:val="24"/>
          <w:szCs w:val="24"/>
          <w:highlight w:val="none"/>
          <w:u w:val="single"/>
          <w:lang w:val="en-US" w:eastAsia="zh-CN"/>
        </w:rPr>
        <w:t>（企业名称）</w:t>
      </w:r>
      <w:r>
        <w:rPr>
          <w:rFonts w:hint="eastAsia" w:ascii="楷体" w:hAnsi="楷体" w:eastAsia="楷体" w:cs="楷体"/>
          <w:b w:val="0"/>
          <w:bCs w:val="0"/>
          <w:i w:val="0"/>
          <w:iCs w:val="0"/>
          <w:color w:val="auto"/>
          <w:sz w:val="24"/>
          <w:szCs w:val="24"/>
          <w:highlight w:val="none"/>
          <w:lang w:val="en-US" w:eastAsia="zh-CN"/>
        </w:rPr>
        <w:t>，从业人员</w:t>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lang w:val="en-US" w:eastAsia="zh-CN"/>
        </w:rPr>
        <w:t>人，营业收入为</w:t>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lang w:val="en-US" w:eastAsia="zh-CN"/>
        </w:rPr>
        <w:t>万元，资产总额为</w:t>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lang w:val="en-US" w:eastAsia="zh-CN"/>
        </w:rPr>
        <w:t>万元，属于</w:t>
      </w:r>
      <w:r>
        <w:rPr>
          <w:rFonts w:hint="eastAsia" w:ascii="楷体" w:hAnsi="楷体" w:eastAsia="楷体" w:cs="楷体"/>
          <w:b w:val="0"/>
          <w:bCs w:val="0"/>
          <w:i w:val="0"/>
          <w:iCs w:val="0"/>
          <w:color w:val="auto"/>
          <w:sz w:val="24"/>
          <w:szCs w:val="24"/>
          <w:highlight w:val="none"/>
          <w:u w:val="single"/>
          <w:lang w:val="en-US" w:eastAsia="zh-CN"/>
        </w:rPr>
        <w:t>（中型企业、小型企业、微型企业）</w:t>
      </w:r>
      <w:r>
        <w:rPr>
          <w:rFonts w:hint="eastAsia" w:ascii="楷体" w:hAnsi="楷体" w:eastAsia="楷体" w:cs="楷体"/>
          <w:b w:val="0"/>
          <w:bCs w:val="0"/>
          <w:i w:val="0"/>
          <w:i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2.</w:t>
      </w:r>
      <w:r>
        <w:rPr>
          <w:rFonts w:hint="eastAsia" w:ascii="楷体" w:hAnsi="楷体" w:eastAsia="楷体" w:cs="楷体"/>
          <w:b w:val="0"/>
          <w:bCs w:val="0"/>
          <w:i w:val="0"/>
          <w:iCs w:val="0"/>
          <w:color w:val="auto"/>
          <w:sz w:val="24"/>
          <w:szCs w:val="24"/>
          <w:highlight w:val="none"/>
          <w:u w:val="single"/>
          <w:lang w:val="en-US" w:eastAsia="zh-CN"/>
        </w:rPr>
        <w:t xml:space="preserve"> （标的名称） </w:t>
      </w:r>
      <w:r>
        <w:rPr>
          <w:rFonts w:hint="eastAsia" w:ascii="楷体" w:hAnsi="楷体" w:eastAsia="楷体" w:cs="楷体"/>
          <w:b w:val="0"/>
          <w:bCs w:val="0"/>
          <w:i w:val="0"/>
          <w:iCs w:val="0"/>
          <w:color w:val="auto"/>
          <w:sz w:val="24"/>
          <w:szCs w:val="24"/>
          <w:highlight w:val="none"/>
          <w:lang w:val="en-US" w:eastAsia="zh-CN"/>
        </w:rPr>
        <w:t>，属于</w:t>
      </w:r>
      <w:r>
        <w:rPr>
          <w:rFonts w:hint="eastAsia" w:ascii="楷体" w:hAnsi="楷体" w:eastAsia="楷体" w:cs="楷体"/>
          <w:b w:val="0"/>
          <w:bCs w:val="0"/>
          <w:i w:val="0"/>
          <w:iCs w:val="0"/>
          <w:color w:val="auto"/>
          <w:sz w:val="24"/>
          <w:szCs w:val="24"/>
          <w:highlight w:val="none"/>
          <w:u w:val="single"/>
          <w:lang w:val="en-US" w:eastAsia="zh-CN"/>
        </w:rPr>
        <w:t xml:space="preserve"> （工业） </w:t>
      </w:r>
      <w:r>
        <w:rPr>
          <w:rFonts w:hint="eastAsia" w:ascii="楷体" w:hAnsi="楷体" w:eastAsia="楷体" w:cs="楷体"/>
          <w:b w:val="0"/>
          <w:bCs w:val="0"/>
          <w:i w:val="0"/>
          <w:iCs w:val="0"/>
          <w:color w:val="auto"/>
          <w:sz w:val="24"/>
          <w:szCs w:val="24"/>
          <w:highlight w:val="none"/>
          <w:lang w:val="en-US" w:eastAsia="zh-CN"/>
        </w:rPr>
        <w:t>行业；制造商为</w:t>
      </w:r>
      <w:r>
        <w:rPr>
          <w:rFonts w:hint="eastAsia" w:ascii="楷体" w:hAnsi="楷体" w:eastAsia="楷体" w:cs="楷体"/>
          <w:b w:val="0"/>
          <w:bCs w:val="0"/>
          <w:i w:val="0"/>
          <w:iCs w:val="0"/>
          <w:color w:val="auto"/>
          <w:sz w:val="24"/>
          <w:szCs w:val="24"/>
          <w:highlight w:val="none"/>
          <w:u w:val="single"/>
          <w:lang w:val="en-US" w:eastAsia="zh-CN"/>
        </w:rPr>
        <w:t>（企业名称）</w:t>
      </w:r>
      <w:r>
        <w:rPr>
          <w:rFonts w:hint="eastAsia" w:ascii="楷体" w:hAnsi="楷体" w:eastAsia="楷体" w:cs="楷体"/>
          <w:b w:val="0"/>
          <w:bCs w:val="0"/>
          <w:i w:val="0"/>
          <w:iCs w:val="0"/>
          <w:color w:val="auto"/>
          <w:sz w:val="24"/>
          <w:szCs w:val="24"/>
          <w:highlight w:val="none"/>
          <w:lang w:val="en-US" w:eastAsia="zh-CN"/>
        </w:rPr>
        <w:t>，从业人员</w:t>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lang w:val="en-US" w:eastAsia="zh-CN"/>
        </w:rPr>
        <w:t>人，营业收入为</w:t>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lang w:val="en-US" w:eastAsia="zh-CN"/>
        </w:rPr>
        <w:t>万元，资产总额为</w:t>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lang w:val="en-US" w:eastAsia="zh-CN"/>
        </w:rPr>
        <w:t>万元，属于</w:t>
      </w:r>
      <w:r>
        <w:rPr>
          <w:rFonts w:hint="eastAsia" w:ascii="楷体" w:hAnsi="楷体" w:eastAsia="楷体" w:cs="楷体"/>
          <w:b w:val="0"/>
          <w:bCs w:val="0"/>
          <w:i w:val="0"/>
          <w:iCs w:val="0"/>
          <w:color w:val="auto"/>
          <w:sz w:val="24"/>
          <w:szCs w:val="24"/>
          <w:highlight w:val="none"/>
          <w:u w:val="single"/>
          <w:lang w:val="en-US" w:eastAsia="zh-CN"/>
        </w:rPr>
        <w:t>（中型企业、小型企业、微型企业）</w:t>
      </w:r>
      <w:r>
        <w:rPr>
          <w:rFonts w:hint="eastAsia" w:ascii="楷体" w:hAnsi="楷体" w:eastAsia="楷体" w:cs="楷体"/>
          <w:b w:val="0"/>
          <w:bCs w:val="0"/>
          <w:i w:val="0"/>
          <w:i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以上企业，不属于大企业的分支机构，不存在控股股东为大企业的情形，也不存在与大企业的负责人为同一人的情形。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本企业对上述声明内容的真实性负责。如有虚假，将依法承担相应责任。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960" w:firstLineChars="1650"/>
        <w:jc w:val="left"/>
        <w:textAlignment w:val="auto"/>
        <w:rPr>
          <w:rFonts w:hint="eastAsia" w:ascii="楷体" w:hAnsi="楷体" w:eastAsia="楷体" w:cs="楷体"/>
          <w:b w:val="0"/>
          <w:bCs w:val="0"/>
          <w:i w:val="0"/>
          <w:i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960" w:firstLineChars="1650"/>
        <w:jc w:val="left"/>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企业名称（盖章）：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960" w:firstLineChars="1650"/>
        <w:jc w:val="left"/>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楷体" w:hAnsi="楷体" w:eastAsia="楷体"/>
          <w:color w:val="auto"/>
          <w:szCs w:val="21"/>
          <w:highlight w:val="none"/>
        </w:rPr>
      </w:pPr>
    </w:p>
    <w:p>
      <w:pPr>
        <w:pStyle w:val="14"/>
        <w:rPr>
          <w:rFonts w:hint="eastAsia"/>
          <w:highlight w:val="none"/>
        </w:rPr>
      </w:pPr>
    </w:p>
    <w:p>
      <w:pPr>
        <w:adjustRightInd w:val="0"/>
        <w:snapToGrid w:val="0"/>
        <w:spacing w:line="360" w:lineRule="auto"/>
        <w:rPr>
          <w:rFonts w:ascii="楷体" w:hAnsi="楷体" w:eastAsia="楷体"/>
          <w:szCs w:val="21"/>
          <w:highlight w:val="none"/>
        </w:rPr>
      </w:pPr>
      <w:r>
        <w:rPr>
          <w:rFonts w:hint="eastAsia" w:ascii="楷体" w:hAnsi="楷体" w:eastAsia="楷体"/>
          <w:szCs w:val="21"/>
          <w:highlight w:val="none"/>
        </w:rPr>
        <w:t>说明：</w:t>
      </w:r>
    </w:p>
    <w:p>
      <w:pPr>
        <w:adjustRightInd w:val="0"/>
        <w:snapToGrid w:val="0"/>
        <w:spacing w:line="360" w:lineRule="auto"/>
        <w:ind w:firstLine="600" w:firstLineChars="250"/>
        <w:rPr>
          <w:rFonts w:ascii="楷体" w:hAnsi="楷体" w:eastAsia="楷体"/>
          <w:szCs w:val="21"/>
          <w:highlight w:val="none"/>
        </w:rPr>
      </w:pPr>
      <w:r>
        <w:rPr>
          <w:rFonts w:hint="eastAsia" w:ascii="楷体" w:hAnsi="楷体" w:eastAsia="楷体"/>
          <w:szCs w:val="21"/>
          <w:highlight w:val="none"/>
        </w:rPr>
        <w:t>1.填写前请认真阅读</w:t>
      </w:r>
      <w:r>
        <w:rPr>
          <w:rFonts w:hint="eastAsia" w:ascii="楷体" w:hAnsi="楷体" w:eastAsia="楷体" w:cs="宋体"/>
          <w:spacing w:val="6"/>
          <w:szCs w:val="21"/>
          <w:highlight w:val="none"/>
        </w:rPr>
        <w:t>《工业和信息化部、国家统计局、国家发展和改革委员会、财政部关于印发中小企业划型标准规定的通知》（工信部联企业[2011]300号）和</w:t>
      </w:r>
      <w:r>
        <w:rPr>
          <w:rFonts w:hint="eastAsia" w:ascii="楷体" w:hAnsi="楷体" w:eastAsia="楷体"/>
          <w:spacing w:val="6"/>
          <w:szCs w:val="21"/>
          <w:highlight w:val="none"/>
        </w:rPr>
        <w:t>《财政部</w:t>
      </w:r>
      <w:r>
        <w:rPr>
          <w:rFonts w:hint="eastAsia" w:ascii="楷体" w:hAnsi="楷体" w:eastAsia="楷体"/>
          <w:szCs w:val="21"/>
          <w:highlight w:val="none"/>
        </w:rPr>
        <w:t xml:space="preserve"> </w:t>
      </w:r>
      <w:r>
        <w:rPr>
          <w:rFonts w:hint="eastAsia" w:ascii="楷体" w:hAnsi="楷体" w:eastAsia="楷体"/>
          <w:spacing w:val="6"/>
          <w:szCs w:val="21"/>
          <w:highlight w:val="none"/>
        </w:rPr>
        <w:t>工业和信息化部</w:t>
      </w:r>
      <w:r>
        <w:rPr>
          <w:rFonts w:hint="eastAsia" w:ascii="楷体" w:hAnsi="楷体" w:eastAsia="楷体"/>
          <w:bCs/>
          <w:szCs w:val="21"/>
          <w:highlight w:val="none"/>
        </w:rPr>
        <w:t>关于印发＜政府采购促进中小企业发展暂行办法＞的通知》(</w:t>
      </w:r>
      <w:r>
        <w:rPr>
          <w:rFonts w:hint="eastAsia" w:ascii="楷体" w:hAnsi="楷体" w:eastAsia="楷体"/>
          <w:szCs w:val="21"/>
          <w:highlight w:val="none"/>
        </w:rPr>
        <w:t>财库[2011]181号)相关规定。</w:t>
      </w:r>
      <w:r>
        <w:rPr>
          <w:rFonts w:hint="eastAsia" w:ascii="楷体" w:hAnsi="楷体" w:eastAsia="楷体"/>
          <w:b/>
          <w:bCs/>
          <w:szCs w:val="21"/>
          <w:highlight w:val="none"/>
        </w:rPr>
        <w:t>如实填写，不符合条件的投标人无需填写。如果出现虚假应标，由此产生的后果由投标人自行负责。</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textAlignment w:val="auto"/>
        <w:rPr>
          <w:rFonts w:ascii="楷体" w:hAnsi="楷体" w:eastAsia="楷体"/>
          <w:color w:val="auto"/>
          <w:szCs w:val="21"/>
          <w:highlight w:val="none"/>
        </w:rPr>
      </w:pPr>
      <w:r>
        <w:rPr>
          <w:rFonts w:hint="eastAsia" w:ascii="楷体" w:hAnsi="楷体" w:eastAsia="楷体"/>
          <w:szCs w:val="21"/>
          <w:highlight w:val="none"/>
        </w:rPr>
        <w:t>2.</w:t>
      </w:r>
      <w:r>
        <w:rPr>
          <w:rFonts w:hint="eastAsia" w:ascii="楷体" w:hAnsi="楷体" w:eastAsia="楷体"/>
          <w:bCs/>
          <w:szCs w:val="21"/>
          <w:highlight w:val="none"/>
        </w:rPr>
        <w:t>未按上述要求提供、</w:t>
      </w:r>
      <w:r>
        <w:rPr>
          <w:rFonts w:hint="eastAsia" w:ascii="楷体" w:hAnsi="楷体" w:eastAsia="楷体"/>
          <w:szCs w:val="21"/>
          <w:highlight w:val="none"/>
        </w:rPr>
        <w:t>填写</w:t>
      </w:r>
      <w:r>
        <w:rPr>
          <w:rFonts w:hint="eastAsia" w:ascii="楷体" w:hAnsi="楷体" w:eastAsia="楷体"/>
          <w:bCs/>
          <w:szCs w:val="21"/>
          <w:highlight w:val="none"/>
        </w:rPr>
        <w:t>的，评审时不予以考虑。</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kern w:val="2"/>
          <w:sz w:val="30"/>
          <w:szCs w:val="30"/>
          <w:highlight w:val="none"/>
          <w:lang w:val="en-US" w:eastAsia="zh-CN" w:bidi="ar-SA"/>
        </w:rPr>
        <w:t>附件8：（如有）</w:t>
      </w:r>
    </w:p>
    <w:p>
      <w:pPr>
        <w:autoSpaceDE w:val="0"/>
        <w:autoSpaceDN w:val="0"/>
        <w:adjustRightInd w:val="0"/>
        <w:spacing w:line="360" w:lineRule="auto"/>
        <w:jc w:val="center"/>
        <w:rPr>
          <w:rFonts w:hint="eastAsia" w:ascii="楷体" w:hAnsi="楷体" w:eastAsia="楷体" w:cs="楷体"/>
          <w:b/>
          <w:bCs w:val="0"/>
          <w:color w:val="auto"/>
          <w:sz w:val="30"/>
          <w:szCs w:val="30"/>
          <w:highlight w:val="none"/>
          <w:lang w:val="zh-CN"/>
        </w:rPr>
      </w:pPr>
      <w:r>
        <w:rPr>
          <w:rFonts w:hint="eastAsia" w:ascii="楷体" w:hAnsi="楷体" w:eastAsia="楷体" w:cs="楷体"/>
          <w:b/>
          <w:bCs w:val="0"/>
          <w:color w:val="auto"/>
          <w:sz w:val="30"/>
          <w:szCs w:val="30"/>
          <w:highlight w:val="none"/>
          <w:lang w:val="zh-CN"/>
        </w:rPr>
        <w:t>残疾人福利性单位声明函</w:t>
      </w: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楷体" w:hAnsi="楷体" w:eastAsia="楷体" w:cs="楷体"/>
          <w:bCs/>
          <w:color w:val="auto"/>
          <w:sz w:val="24"/>
          <w:szCs w:val="24"/>
          <w:highlight w:val="none"/>
          <w:u w:val="single"/>
          <w:lang w:val="en-US" w:eastAsia="zh-CN"/>
        </w:rPr>
        <w:t xml:space="preserve">           </w:t>
      </w:r>
      <w:r>
        <w:rPr>
          <w:rFonts w:hint="eastAsia" w:ascii="楷体" w:hAnsi="楷体" w:eastAsia="楷体" w:cs="楷体"/>
          <w:bCs/>
          <w:color w:val="auto"/>
          <w:sz w:val="24"/>
          <w:szCs w:val="24"/>
          <w:highlight w:val="none"/>
          <w:lang w:val="zh-CN"/>
        </w:rPr>
        <w:t>单位的</w:t>
      </w:r>
      <w:r>
        <w:rPr>
          <w:rFonts w:hint="eastAsia" w:ascii="楷体" w:hAnsi="楷体" w:eastAsia="楷体" w:cs="楷体"/>
          <w:bCs/>
          <w:color w:val="auto"/>
          <w:sz w:val="24"/>
          <w:szCs w:val="24"/>
          <w:highlight w:val="none"/>
          <w:u w:val="single"/>
          <w:lang w:val="en-US" w:eastAsia="zh-CN"/>
        </w:rPr>
        <w:t xml:space="preserve">           </w:t>
      </w:r>
      <w:r>
        <w:rPr>
          <w:rFonts w:hint="eastAsia" w:ascii="楷体" w:hAnsi="楷体" w:eastAsia="楷体" w:cs="楷体"/>
          <w:bCs/>
          <w:color w:val="auto"/>
          <w:sz w:val="24"/>
          <w:szCs w:val="24"/>
          <w:highlight w:val="none"/>
          <w:lang w:val="zh-CN"/>
        </w:rPr>
        <w:t>项目采购活动提供本单位制造的货物（由本单位承担工程/提供服务），或者提供其他残疾人福利性单位制造的货物（不包括使用非残疾人福利性单位注册商标的货物）。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本单位对上述声明的真实性负责。如有虚假，将依法承担相应责任。</w:t>
      </w: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p>
    <w:p>
      <w:pPr>
        <w:autoSpaceDE w:val="0"/>
        <w:autoSpaceDN w:val="0"/>
        <w:adjustRightInd w:val="0"/>
        <w:spacing w:line="360" w:lineRule="auto"/>
        <w:ind w:firstLine="3840" w:firstLineChars="1600"/>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单位名称（盖章）：</w:t>
      </w:r>
    </w:p>
    <w:p>
      <w:pPr>
        <w:autoSpaceDE w:val="0"/>
        <w:autoSpaceDN w:val="0"/>
        <w:adjustRightInd w:val="0"/>
        <w:spacing w:line="360" w:lineRule="auto"/>
        <w:ind w:firstLine="3840" w:firstLineChars="1600"/>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日  期：</w:t>
      </w:r>
    </w:p>
    <w:p>
      <w:pPr>
        <w:keepNext w:val="0"/>
        <w:keepLines w:val="0"/>
        <w:pageBreakBefore w:val="0"/>
        <w:widowControl w:val="0"/>
        <w:kinsoku/>
        <w:wordWrap/>
        <w:overflowPunct/>
        <w:topLinePunct w:val="0"/>
        <w:autoSpaceDE/>
        <w:autoSpaceDN/>
        <w:bidi w:val="0"/>
        <w:adjustRightInd w:val="0"/>
        <w:snapToGrid w:val="0"/>
        <w:spacing w:line="360" w:lineRule="auto"/>
        <w:ind w:right="0"/>
        <w:jc w:val="left"/>
        <w:textAlignment w:val="auto"/>
        <w:rPr>
          <w:rFonts w:hint="eastAsia" w:ascii="楷体" w:hAnsi="楷体" w:eastAsia="楷体" w:cs="楷体"/>
          <w:color w:val="auto"/>
          <w:sz w:val="24"/>
          <w:highlight w:val="none"/>
        </w:rPr>
      </w:pPr>
    </w:p>
    <w:p>
      <w:pPr>
        <w:keepNext w:val="0"/>
        <w:keepLines w:val="0"/>
        <w:pageBreakBefore w:val="0"/>
        <w:widowControl w:val="0"/>
        <w:tabs>
          <w:tab w:val="left" w:pos="1620"/>
          <w:tab w:val="left" w:pos="1800"/>
        </w:tabs>
        <w:kinsoku/>
        <w:wordWrap/>
        <w:overflowPunct/>
        <w:topLinePunct w:val="0"/>
        <w:autoSpaceDE/>
        <w:autoSpaceDN/>
        <w:bidi w:val="0"/>
        <w:spacing w:line="360" w:lineRule="auto"/>
        <w:ind w:right="617" w:rightChars="257"/>
        <w:jc w:val="left"/>
        <w:textAlignment w:val="auto"/>
        <w:rPr>
          <w:rFonts w:hint="eastAsia" w:ascii="楷体" w:hAnsi="楷体" w:eastAsia="楷体" w:cs="楷体"/>
          <w:color w:val="auto"/>
          <w:highlight w:val="none"/>
        </w:rPr>
      </w:pPr>
    </w:p>
    <w:p>
      <w:pPr>
        <w:keepNext w:val="0"/>
        <w:keepLines w:val="0"/>
        <w:pageBreakBefore w:val="0"/>
        <w:widowControl w:val="0"/>
        <w:tabs>
          <w:tab w:val="left" w:pos="1620"/>
          <w:tab w:val="left" w:pos="1800"/>
        </w:tabs>
        <w:kinsoku/>
        <w:wordWrap/>
        <w:overflowPunct/>
        <w:topLinePunct w:val="0"/>
        <w:autoSpaceDE/>
        <w:autoSpaceDN/>
        <w:bidi w:val="0"/>
        <w:spacing w:line="360" w:lineRule="auto"/>
        <w:ind w:right="617" w:rightChars="257"/>
        <w:jc w:val="left"/>
        <w:textAlignment w:val="auto"/>
        <w:rPr>
          <w:rFonts w:hint="eastAsia" w:ascii="楷体" w:hAnsi="楷体" w:eastAsia="楷体" w:cs="楷体"/>
          <w:color w:val="auto"/>
          <w:highlight w:val="none"/>
        </w:rPr>
      </w:pPr>
    </w:p>
    <w:p>
      <w:pPr>
        <w:pStyle w:val="21"/>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color w:val="auto"/>
          <w:highlight w:val="none"/>
        </w:rPr>
      </w:pPr>
    </w:p>
    <w:p>
      <w:pPr>
        <w:pStyle w:val="21"/>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color w:val="auto"/>
          <w:highlight w:val="none"/>
        </w:rPr>
      </w:pPr>
    </w:p>
    <w:p>
      <w:pPr>
        <w:autoSpaceDE w:val="0"/>
        <w:autoSpaceDN w:val="0"/>
        <w:adjustRightInd w:val="0"/>
        <w:spacing w:line="360" w:lineRule="auto"/>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注：</w:t>
      </w:r>
      <w:r>
        <w:rPr>
          <w:rFonts w:hint="eastAsia" w:ascii="楷体" w:hAnsi="楷体" w:eastAsia="楷体" w:cs="楷体"/>
          <w:bCs/>
          <w:color w:val="auto"/>
          <w:sz w:val="24"/>
          <w:szCs w:val="24"/>
          <w:highlight w:val="none"/>
          <w:lang w:val="en-US" w:eastAsia="zh-CN"/>
        </w:rPr>
        <w:t>1.</w:t>
      </w:r>
      <w:r>
        <w:rPr>
          <w:rFonts w:hint="eastAsia" w:ascii="楷体" w:hAnsi="楷体" w:eastAsia="楷体" w:cs="楷体"/>
          <w:bCs/>
          <w:color w:val="auto"/>
          <w:sz w:val="24"/>
          <w:szCs w:val="24"/>
          <w:highlight w:val="none"/>
          <w:lang w:val="zh-CN"/>
        </w:rPr>
        <w:t>投标人应仔细阅读《财政部 民政部 中国残疾人联合会关于促进残疾人就业政府采购政策的通知》，并如实填写本表，符合条件的投标人未按上述要求提供、填写的，评审时不予以考虑。</w:t>
      </w:r>
    </w:p>
    <w:p>
      <w:pPr>
        <w:autoSpaceDE w:val="0"/>
        <w:autoSpaceDN w:val="0"/>
        <w:adjustRightInd w:val="0"/>
        <w:spacing w:line="360" w:lineRule="auto"/>
        <w:ind w:firstLine="480" w:firstLineChars="200"/>
        <w:jc w:val="left"/>
        <w:rPr>
          <w:rFonts w:hint="eastAsia" w:ascii="楷体" w:hAnsi="楷体" w:eastAsia="楷体" w:cs="楷体"/>
          <w:b/>
          <w:bCs w:val="0"/>
          <w:color w:val="auto"/>
          <w:sz w:val="24"/>
          <w:szCs w:val="24"/>
          <w:highlight w:val="none"/>
          <w:lang w:val="zh-CN"/>
        </w:rPr>
      </w:pPr>
      <w:r>
        <w:rPr>
          <w:rFonts w:hint="eastAsia" w:ascii="楷体" w:hAnsi="楷体" w:eastAsia="楷体"/>
          <w:b w:val="0"/>
          <w:bCs w:val="0"/>
          <w:color w:val="auto"/>
          <w:szCs w:val="21"/>
          <w:highlight w:val="none"/>
          <w:lang w:val="en-US" w:eastAsia="zh-CN"/>
        </w:rPr>
        <w:t>2.</w:t>
      </w:r>
      <w:r>
        <w:rPr>
          <w:rFonts w:hint="eastAsia" w:ascii="楷体" w:hAnsi="楷体" w:eastAsia="楷体"/>
          <w:b w:val="0"/>
          <w:bCs w:val="0"/>
          <w:color w:val="auto"/>
          <w:szCs w:val="21"/>
          <w:highlight w:val="none"/>
        </w:rPr>
        <w:t>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1"/>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color w:val="auto"/>
          <w:highlight w:val="none"/>
        </w:rPr>
      </w:pPr>
    </w:p>
    <w:p>
      <w:pPr>
        <w:pStyle w:val="21"/>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b/>
          <w:bCs/>
          <w:color w:val="auto"/>
          <w:sz w:val="30"/>
          <w:szCs w:val="30"/>
          <w:highlight w:val="none"/>
          <w:lang w:val="en-US" w:eastAsia="zh-CN"/>
        </w:rPr>
      </w:pPr>
      <w:r>
        <w:rPr>
          <w:rFonts w:hint="eastAsia" w:ascii="楷体" w:hAnsi="楷体" w:eastAsia="楷体" w:cs="楷体"/>
          <w:b/>
          <w:bCs/>
          <w:color w:val="auto"/>
          <w:sz w:val="30"/>
          <w:szCs w:val="30"/>
          <w:highlight w:val="none"/>
        </w:rPr>
        <w:t>附件</w:t>
      </w:r>
      <w:r>
        <w:rPr>
          <w:rFonts w:hint="eastAsia" w:ascii="楷体" w:hAnsi="楷体" w:eastAsia="楷体" w:cs="楷体"/>
          <w:b/>
          <w:bCs/>
          <w:color w:val="auto"/>
          <w:sz w:val="30"/>
          <w:szCs w:val="30"/>
          <w:highlight w:val="none"/>
          <w:lang w:val="en-US" w:eastAsia="zh-CN"/>
        </w:rPr>
        <w:t>9</w:t>
      </w:r>
      <w:r>
        <w:rPr>
          <w:rFonts w:hint="eastAsia" w:ascii="楷体" w:hAnsi="楷体" w:eastAsia="楷体" w:cs="楷体"/>
          <w:b/>
          <w:bCs/>
          <w:color w:val="auto"/>
          <w:sz w:val="30"/>
          <w:szCs w:val="30"/>
          <w:highlight w:val="none"/>
        </w:rPr>
        <w:t>：</w:t>
      </w:r>
      <w:r>
        <w:rPr>
          <w:rFonts w:hint="eastAsia" w:ascii="楷体" w:hAnsi="楷体" w:eastAsia="楷体" w:cs="楷体"/>
          <w:b/>
          <w:bCs/>
          <w:color w:val="auto"/>
          <w:sz w:val="30"/>
          <w:szCs w:val="30"/>
          <w:highlight w:val="none"/>
          <w:lang w:val="en-US" w:eastAsia="zh-CN"/>
        </w:rPr>
        <w:t>（如有）</w:t>
      </w:r>
    </w:p>
    <w:p>
      <w:pPr>
        <w:pStyle w:val="21"/>
        <w:keepNext w:val="0"/>
        <w:keepLines w:val="0"/>
        <w:pageBreakBefore w:val="0"/>
        <w:widowControl w:val="0"/>
        <w:kinsoku/>
        <w:wordWrap/>
        <w:overflowPunct/>
        <w:topLinePunct w:val="0"/>
        <w:autoSpaceDE/>
        <w:autoSpaceDN/>
        <w:bidi w:val="0"/>
        <w:spacing w:line="360" w:lineRule="auto"/>
        <w:jc w:val="center"/>
        <w:textAlignment w:val="auto"/>
        <w:rPr>
          <w:rFonts w:hint="eastAsia" w:ascii="楷体" w:hAnsi="楷体" w:eastAsia="楷体" w:cs="楷体"/>
          <w:b/>
          <w:bCs/>
          <w:color w:val="auto"/>
          <w:sz w:val="30"/>
          <w:szCs w:val="30"/>
          <w:highlight w:val="none"/>
          <w:lang w:eastAsia="zh-CN"/>
        </w:rPr>
      </w:pPr>
      <w:r>
        <w:rPr>
          <w:rFonts w:hint="eastAsia" w:ascii="楷体" w:hAnsi="楷体" w:eastAsia="楷体" w:cs="楷体"/>
          <w:b/>
          <w:bCs/>
          <w:color w:val="auto"/>
          <w:sz w:val="30"/>
          <w:szCs w:val="30"/>
          <w:highlight w:val="none"/>
          <w:lang w:eastAsia="zh-CN"/>
        </w:rPr>
        <w:t>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highlight w:val="none"/>
        </w:rPr>
      </w:pPr>
      <w:r>
        <w:rPr>
          <w:rFonts w:hint="eastAsia" w:ascii="楷体" w:hAnsi="楷体" w:eastAsia="楷体" w:cs="楷体"/>
          <w:color w:val="auto"/>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b/>
          <w:bCs/>
          <w:color w:val="auto"/>
          <w:sz w:val="28"/>
          <w:szCs w:val="28"/>
          <w:highlight w:val="none"/>
        </w:rPr>
      </w:pPr>
      <w:r>
        <w:rPr>
          <w:rFonts w:hint="eastAsia" w:ascii="楷体" w:hAnsi="楷体" w:eastAsia="楷体" w:cs="楷体"/>
          <w:color w:val="auto"/>
          <w:highlight w:val="none"/>
        </w:rPr>
        <w:t>监狱企业参加政府采购活动时，应当提供由省级以上监狱管理局、戒毒管理局（含新疆生产建设兵团）出具的属于监狱企业的证明文件。</w:t>
      </w:r>
    </w:p>
    <w:p>
      <w:pPr>
        <w:spacing w:before="163" w:beforeLines="50" w:after="326" w:afterLines="100"/>
        <w:jc w:val="left"/>
        <w:rPr>
          <w:rFonts w:hint="eastAsia" w:ascii="楷体" w:hAnsi="楷体" w:eastAsia="楷体" w:cs="楷体"/>
          <w:b/>
          <w:bCs/>
          <w:color w:val="auto"/>
          <w:sz w:val="28"/>
          <w:szCs w:val="28"/>
          <w:highlight w:val="none"/>
        </w:rPr>
      </w:pPr>
    </w:p>
    <w:p>
      <w:pPr>
        <w:spacing w:before="163" w:beforeLines="50" w:after="326" w:afterLines="100"/>
        <w:jc w:val="left"/>
        <w:rPr>
          <w:rFonts w:hint="eastAsia" w:ascii="楷体" w:hAnsi="楷体" w:eastAsia="楷体" w:cs="楷体"/>
          <w:b/>
          <w:bCs/>
          <w:color w:val="auto"/>
          <w:sz w:val="28"/>
          <w:szCs w:val="28"/>
          <w:highlight w:val="none"/>
        </w:rPr>
      </w:pPr>
    </w:p>
    <w:p>
      <w:pPr>
        <w:spacing w:before="163" w:beforeLines="50" w:after="326" w:afterLines="100"/>
        <w:jc w:val="left"/>
        <w:rPr>
          <w:rFonts w:hint="eastAsia" w:ascii="楷体" w:hAnsi="楷体" w:eastAsia="楷体" w:cs="楷体"/>
          <w:b/>
          <w:bCs/>
          <w:color w:val="auto"/>
          <w:sz w:val="28"/>
          <w:szCs w:val="28"/>
          <w:highlight w:val="none"/>
        </w:rPr>
      </w:pPr>
    </w:p>
    <w:p>
      <w:pPr>
        <w:adjustRightInd w:val="0"/>
        <w:snapToGrid w:val="0"/>
        <w:spacing w:line="360" w:lineRule="auto"/>
        <w:rPr>
          <w:rFonts w:ascii="楷体" w:hAnsi="楷体" w:eastAsia="楷体"/>
          <w:color w:val="auto"/>
          <w:szCs w:val="21"/>
          <w:highlight w:val="none"/>
        </w:rPr>
      </w:pPr>
      <w:r>
        <w:rPr>
          <w:rFonts w:hint="eastAsia" w:ascii="楷体" w:hAnsi="楷体" w:eastAsia="楷体"/>
          <w:color w:val="auto"/>
          <w:szCs w:val="21"/>
          <w:highlight w:val="none"/>
        </w:rPr>
        <w:t>说明：</w:t>
      </w:r>
    </w:p>
    <w:p>
      <w:pPr>
        <w:adjustRightInd w:val="0"/>
        <w:snapToGrid w:val="0"/>
        <w:spacing w:line="360" w:lineRule="auto"/>
        <w:ind w:firstLine="525"/>
        <w:rPr>
          <w:rFonts w:ascii="楷体" w:hAnsi="楷体" w:eastAsia="楷体"/>
          <w:bCs/>
          <w:color w:val="auto"/>
          <w:szCs w:val="21"/>
          <w:highlight w:val="none"/>
        </w:rPr>
      </w:pPr>
      <w:r>
        <w:rPr>
          <w:rFonts w:hint="eastAsia" w:ascii="楷体" w:hAnsi="楷体" w:eastAsia="楷体"/>
          <w:bCs/>
          <w:color w:val="auto"/>
          <w:szCs w:val="21"/>
          <w:highlight w:val="none"/>
        </w:rPr>
        <w:t>1.无格式要求，由出具监狱企业证明的单位自行拟定；</w:t>
      </w:r>
    </w:p>
    <w:p>
      <w:pPr>
        <w:adjustRightInd w:val="0"/>
        <w:snapToGrid w:val="0"/>
        <w:spacing w:line="360" w:lineRule="auto"/>
        <w:ind w:firstLine="525"/>
        <w:rPr>
          <w:rFonts w:hint="eastAsia" w:ascii="楷体" w:hAnsi="楷体" w:eastAsia="楷体" w:cs="仿宋"/>
          <w:b/>
          <w:color w:val="auto"/>
          <w:szCs w:val="24"/>
          <w:highlight w:val="none"/>
        </w:rPr>
      </w:pPr>
      <w:r>
        <w:rPr>
          <w:rFonts w:hint="eastAsia" w:ascii="楷体" w:hAnsi="楷体" w:eastAsia="楷体"/>
          <w:color w:val="auto"/>
          <w:szCs w:val="21"/>
          <w:highlight w:val="none"/>
          <w:lang w:val="en-US" w:eastAsia="zh-CN"/>
        </w:rPr>
        <w:t>2</w:t>
      </w:r>
      <w:r>
        <w:rPr>
          <w:rFonts w:hint="eastAsia" w:ascii="楷体" w:hAnsi="楷体" w:eastAsia="楷体"/>
          <w:color w:val="auto"/>
          <w:szCs w:val="21"/>
          <w:highlight w:val="none"/>
        </w:rPr>
        <w:t>.</w:t>
      </w:r>
      <w:r>
        <w:rPr>
          <w:rFonts w:hint="eastAsia" w:ascii="楷体" w:hAnsi="楷体" w:eastAsia="楷体"/>
          <w:b w:val="0"/>
          <w:bCs w:val="0"/>
          <w:color w:val="auto"/>
          <w:szCs w:val="21"/>
          <w:highlight w:val="none"/>
        </w:rPr>
        <w:t>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Fonts w:hint="eastAsia" w:ascii="楷体" w:hAnsi="楷体" w:eastAsia="楷体" w:cs="仿宋"/>
          <w:b/>
          <w:color w:val="auto"/>
          <w:szCs w:val="24"/>
          <w:highlight w:val="none"/>
        </w:rPr>
      </w:pPr>
    </w:p>
    <w:p>
      <w:pPr>
        <w:ind w:firstLine="480" w:firstLineChars="200"/>
        <w:rPr>
          <w:rFonts w:hint="eastAsia" w:ascii="楷体" w:hAnsi="楷体" w:eastAsia="楷体" w:cs="仿宋"/>
          <w:color w:val="auto"/>
          <w:szCs w:val="24"/>
          <w:highlight w:val="none"/>
        </w:rPr>
      </w:pPr>
    </w:p>
    <w:p>
      <w:pPr>
        <w:spacing w:line="360" w:lineRule="auto"/>
        <w:ind w:right="640"/>
        <w:rPr>
          <w:rFonts w:hint="eastAsia" w:ascii="楷体" w:hAnsi="楷体" w:eastAsia="楷体" w:cs="仿宋"/>
          <w:color w:val="auto"/>
          <w:szCs w:val="24"/>
          <w:highlight w:val="none"/>
        </w:rPr>
      </w:pPr>
    </w:p>
    <w:p>
      <w:pPr>
        <w:pStyle w:val="2"/>
        <w:rPr>
          <w:rFonts w:hint="eastAsia" w:ascii="楷体" w:hAnsi="楷体" w:eastAsia="楷体" w:cs="仿宋"/>
          <w:color w:val="auto"/>
          <w:szCs w:val="24"/>
          <w:highlight w:val="none"/>
        </w:rPr>
      </w:pPr>
    </w:p>
    <w:p>
      <w:pPr>
        <w:rPr>
          <w:rFonts w:hint="eastAsia" w:ascii="楷体" w:hAnsi="楷体" w:eastAsia="楷体" w:cs="仿宋"/>
          <w:color w:val="auto"/>
          <w:szCs w:val="24"/>
          <w:highlight w:val="none"/>
        </w:rPr>
      </w:pPr>
    </w:p>
    <w:p>
      <w:pPr>
        <w:pStyle w:val="14"/>
        <w:ind w:firstLine="0" w:firstLineChars="0"/>
        <w:rPr>
          <w:rFonts w:ascii="楷体" w:hAnsi="楷体" w:eastAsia="楷体" w:cs="楷体"/>
          <w:b/>
          <w:color w:val="000000"/>
          <w:kern w:val="0"/>
          <w:sz w:val="30"/>
          <w:szCs w:val="30"/>
        </w:rPr>
      </w:pPr>
      <w:r>
        <w:rPr>
          <w:rFonts w:hint="eastAsia" w:ascii="楷体" w:hAnsi="楷体" w:eastAsia="楷体" w:cs="楷体"/>
          <w:b/>
          <w:color w:val="000000"/>
          <w:kern w:val="0"/>
          <w:sz w:val="30"/>
          <w:szCs w:val="30"/>
        </w:rPr>
        <w:t>附件1</w:t>
      </w:r>
      <w:r>
        <w:rPr>
          <w:rFonts w:hint="eastAsia" w:ascii="楷体" w:hAnsi="楷体" w:eastAsia="楷体" w:cs="楷体"/>
          <w:b/>
          <w:color w:val="000000"/>
          <w:kern w:val="0"/>
          <w:sz w:val="30"/>
          <w:szCs w:val="30"/>
          <w:lang w:val="en-US" w:eastAsia="zh-CN"/>
        </w:rPr>
        <w:t>0</w:t>
      </w:r>
      <w:r>
        <w:rPr>
          <w:rFonts w:hint="eastAsia" w:ascii="楷体" w:hAnsi="楷体" w:eastAsia="楷体" w:cs="楷体"/>
          <w:b/>
          <w:color w:val="000000"/>
          <w:kern w:val="0"/>
          <w:sz w:val="30"/>
          <w:szCs w:val="30"/>
        </w:rPr>
        <w:t>：</w:t>
      </w:r>
    </w:p>
    <w:p>
      <w:pPr>
        <w:jc w:val="center"/>
        <w:rPr>
          <w:rFonts w:hint="eastAsia" w:ascii="楷体" w:hAnsi="楷体" w:eastAsia="楷体" w:cs="楷体"/>
          <w:b/>
          <w:color w:val="000000"/>
          <w:sz w:val="28"/>
          <w:szCs w:val="28"/>
        </w:rPr>
      </w:pPr>
      <w:r>
        <w:rPr>
          <w:rFonts w:hint="eastAsia" w:ascii="楷体" w:hAnsi="楷体" w:eastAsia="楷体" w:cs="楷体"/>
          <w:b/>
          <w:color w:val="000000"/>
          <w:sz w:val="28"/>
          <w:szCs w:val="28"/>
        </w:rPr>
        <w:t>封袋正面标识式样</w:t>
      </w:r>
    </w:p>
    <w:p>
      <w:pPr>
        <w:spacing w:line="360" w:lineRule="auto"/>
        <w:rPr>
          <w:rFonts w:hint="eastAsia" w:ascii="楷体" w:hAnsi="楷体" w:eastAsia="楷体" w:cs="楷体"/>
          <w:b/>
          <w:color w:val="000000"/>
          <w:szCs w:val="24"/>
        </w:rPr>
      </w:pPr>
      <w:r>
        <w:rPr>
          <w:rFonts w:hint="eastAsia" w:ascii="楷体" w:hAnsi="楷体" w:eastAsia="楷体" w:cs="楷体"/>
          <w:b/>
          <w:color w:val="000000"/>
          <w:szCs w:val="24"/>
        </w:rPr>
        <w:t xml:space="preserve"> 格式</w:t>
      </w:r>
      <w:r>
        <w:rPr>
          <w:rFonts w:hint="eastAsia" w:ascii="楷体" w:hAnsi="楷体" w:eastAsia="楷体" w:cs="楷体"/>
          <w:b/>
          <w:color w:val="000000"/>
          <w:szCs w:val="24"/>
          <w:lang w:val="en-US" w:eastAsia="zh-CN"/>
        </w:rPr>
        <w:t>A</w:t>
      </w:r>
      <w:r>
        <w:rPr>
          <w:rFonts w:hint="eastAsia" w:ascii="楷体" w:hAnsi="楷体" w:eastAsia="楷体" w:cs="楷体"/>
          <w:b/>
          <w:color w:val="000000"/>
          <w:szCs w:val="24"/>
        </w:rPr>
        <w:t>：电子版封袋正面标识式样</w:t>
      </w:r>
    </w:p>
    <w:p>
      <w:pPr>
        <w:spacing w:line="460" w:lineRule="exact"/>
        <w:ind w:firstLine="482" w:firstLineChars="200"/>
        <w:rPr>
          <w:rFonts w:hint="eastAsia" w:ascii="楷体" w:hAnsi="楷体" w:eastAsia="楷体" w:cs="楷体"/>
          <w:color w:val="000000"/>
        </w:rPr>
      </w:pPr>
      <w:r>
        <w:rPr>
          <w:rFonts w:hint="eastAsia" w:ascii="楷体" w:hAnsi="楷体" w:eastAsia="楷体" w:cs="楷体"/>
          <w:b/>
          <w:color w:val="000000"/>
          <w:lang w:val="zh-CN"/>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123190</wp:posOffset>
                </wp:positionV>
                <wp:extent cx="5367020" cy="3500755"/>
                <wp:effectExtent l="4445" t="4445" r="8255" b="15240"/>
                <wp:wrapNone/>
                <wp:docPr id="3" name="文本框 3"/>
                <wp:cNvGraphicFramePr/>
                <a:graphic xmlns:a="http://schemas.openxmlformats.org/drawingml/2006/main">
                  <a:graphicData uri="http://schemas.microsoft.com/office/word/2010/wordprocessingShape">
                    <wps:wsp>
                      <wps:cNvSpPr txBox="1"/>
                      <wps:spPr>
                        <a:xfrm>
                          <a:off x="0" y="0"/>
                          <a:ext cx="5367020" cy="35007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楷体" w:hAnsi="楷体" w:eastAsia="楷体" w:cs="楷体"/>
                                <w:sz w:val="28"/>
                                <w:szCs w:val="28"/>
                              </w:rPr>
                            </w:pPr>
                            <w:r>
                              <w:rPr>
                                <w:rFonts w:hint="eastAsia" w:ascii="楷体" w:hAnsi="楷体" w:eastAsia="楷体" w:cs="楷体"/>
                                <w:sz w:val="28"/>
                                <w:szCs w:val="28"/>
                              </w:rPr>
                              <w:t>致：陕西正翼招标代理有限公司</w:t>
                            </w:r>
                          </w:p>
                          <w:p>
                            <w:pPr>
                              <w:rPr>
                                <w:rFonts w:hint="eastAsia" w:ascii="楷体" w:hAnsi="楷体" w:eastAsia="楷体" w:cs="楷体"/>
                                <w:color w:val="FF0000"/>
                                <w:sz w:val="28"/>
                                <w:szCs w:val="28"/>
                              </w:rPr>
                            </w:pPr>
                            <w:r>
                              <w:rPr>
                                <w:rFonts w:hint="eastAsia" w:ascii="楷体" w:hAnsi="楷体" w:eastAsia="楷体" w:cs="楷体"/>
                                <w:sz w:val="28"/>
                                <w:szCs w:val="28"/>
                              </w:rPr>
                              <w:t>项目编号：</w:t>
                            </w:r>
                          </w:p>
                          <w:p>
                            <w:pPr>
                              <w:rPr>
                                <w:rFonts w:hint="eastAsia" w:ascii="楷体" w:hAnsi="楷体" w:eastAsia="楷体" w:cs="楷体"/>
                                <w:color w:val="FF0000"/>
                                <w:sz w:val="28"/>
                                <w:szCs w:val="28"/>
                              </w:rPr>
                            </w:pPr>
                            <w:r>
                              <w:rPr>
                                <w:rFonts w:hint="eastAsia" w:ascii="楷体" w:hAnsi="楷体" w:eastAsia="楷体" w:cs="楷体"/>
                                <w:sz w:val="28"/>
                                <w:szCs w:val="28"/>
                              </w:rPr>
                              <w:t>项目名称：</w:t>
                            </w:r>
                          </w:p>
                          <w:p>
                            <w:pPr>
                              <w:jc w:val="center"/>
                              <w:rPr>
                                <w:rFonts w:hint="eastAsia" w:ascii="楷体" w:hAnsi="楷体" w:eastAsia="楷体" w:cs="楷体"/>
                                <w:b/>
                                <w:sz w:val="44"/>
                                <w:szCs w:val="44"/>
                              </w:rPr>
                            </w:pPr>
                            <w:r>
                              <w:rPr>
                                <w:rFonts w:hint="eastAsia" w:ascii="楷体" w:hAnsi="楷体" w:eastAsia="楷体" w:cs="楷体"/>
                                <w:b/>
                                <w:sz w:val="44"/>
                                <w:szCs w:val="44"/>
                              </w:rPr>
                              <w:t>电子版本</w:t>
                            </w:r>
                          </w:p>
                          <w:p>
                            <w:pPr>
                              <w:jc w:val="center"/>
                              <w:rPr>
                                <w:rFonts w:hint="eastAsia" w:ascii="楷体" w:hAnsi="楷体" w:eastAsia="楷体" w:cs="楷体"/>
                                <w:sz w:val="28"/>
                                <w:szCs w:val="28"/>
                              </w:rPr>
                            </w:pPr>
                            <w:r>
                              <w:rPr>
                                <w:rFonts w:hint="eastAsia" w:ascii="楷体" w:hAnsi="楷体" w:eastAsia="楷体" w:cs="楷体"/>
                                <w:sz w:val="28"/>
                                <w:szCs w:val="28"/>
                              </w:rPr>
                              <w:t>（非磋商阶段不得启封）</w:t>
                            </w:r>
                          </w:p>
                          <w:p>
                            <w:pPr>
                              <w:jc w:val="center"/>
                              <w:rPr>
                                <w:rFonts w:hint="eastAsia" w:ascii="楷体" w:hAnsi="楷体" w:eastAsia="楷体" w:cs="楷体"/>
                                <w:sz w:val="28"/>
                                <w:szCs w:val="28"/>
                              </w:rPr>
                            </w:pPr>
                          </w:p>
                          <w:p>
                            <w:pPr>
                              <w:rPr>
                                <w:rFonts w:hint="eastAsia" w:ascii="楷体" w:hAnsi="楷体" w:eastAsia="楷体" w:cs="楷体"/>
                                <w:sz w:val="28"/>
                                <w:szCs w:val="28"/>
                              </w:rPr>
                            </w:pPr>
                            <w:r>
                              <w:rPr>
                                <w:rFonts w:hint="eastAsia" w:ascii="楷体" w:hAnsi="楷体" w:eastAsia="楷体" w:cs="楷体"/>
                                <w:sz w:val="28"/>
                                <w:szCs w:val="28"/>
                              </w:rPr>
                              <w:t xml:space="preserve">供应商名称（公章）： </w:t>
                            </w:r>
                          </w:p>
                          <w:p>
                            <w:pPr>
                              <w:rPr>
                                <w:rFonts w:hint="eastAsia" w:ascii="楷体" w:hAnsi="楷体" w:eastAsia="楷体" w:cs="楷体"/>
                                <w:sz w:val="28"/>
                                <w:szCs w:val="28"/>
                              </w:rPr>
                            </w:pPr>
                            <w:r>
                              <w:rPr>
                                <w:rFonts w:hint="eastAsia" w:ascii="楷体" w:hAnsi="楷体" w:eastAsia="楷体" w:cs="楷体"/>
                                <w:sz w:val="28"/>
                                <w:szCs w:val="28"/>
                              </w:rPr>
                              <w:t>磋商时间：</w:t>
                            </w:r>
                          </w:p>
                          <w:p>
                            <w:pPr>
                              <w:rPr>
                                <w:rFonts w:ascii="楷体" w:hAnsi="楷体"/>
                                <w:sz w:val="28"/>
                                <w:szCs w:val="28"/>
                              </w:rPr>
                            </w:pPr>
                          </w:p>
                        </w:txbxContent>
                      </wps:txbx>
                      <wps:bodyPr upright="1"/>
                    </wps:wsp>
                  </a:graphicData>
                </a:graphic>
              </wp:anchor>
            </w:drawing>
          </mc:Choice>
          <mc:Fallback>
            <w:pict>
              <v:shape id="_x0000_s1026" o:spid="_x0000_s1026" o:spt="202" type="#_x0000_t202" style="position:absolute;left:0pt;margin-left:0.8pt;margin-top:9.7pt;height:275.65pt;width:422.6pt;z-index:251659264;mso-width-relative:page;mso-height-relative:page;" fillcolor="#FFFFFF" filled="t" stroked="t" coordsize="21600,21600" o:gfxdata="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X+PTdcAAAAIAQAADwAAAAAAAAABACAAAAAi&#10;AAAAZHJzL2Rvd25yZXYueG1sUEsBAhQAFAAAAAgAh07iQH+8is8LAgAANwQAAA4AAAAAAAAAAQAg&#10;AAAAJgEAAGRycy9lMm9Eb2MueG1sUEsFBgAAAAAGAAYAWQEAAKMFAAAAAA==&#10;">
                <v:fill on="t" focussize="0,0"/>
                <v:stroke color="#000000" joinstyle="miter"/>
                <v:imagedata o:title=""/>
                <o:lock v:ext="edit" aspectratio="f"/>
                <v:textbox>
                  <w:txbxContent>
                    <w:p>
                      <w:pPr>
                        <w:rPr>
                          <w:rFonts w:hint="eastAsia" w:ascii="楷体" w:hAnsi="楷体" w:eastAsia="楷体" w:cs="楷体"/>
                          <w:sz w:val="28"/>
                          <w:szCs w:val="28"/>
                        </w:rPr>
                      </w:pPr>
                      <w:r>
                        <w:rPr>
                          <w:rFonts w:hint="eastAsia" w:ascii="楷体" w:hAnsi="楷体" w:eastAsia="楷体" w:cs="楷体"/>
                          <w:sz w:val="28"/>
                          <w:szCs w:val="28"/>
                        </w:rPr>
                        <w:t>致：陕西正翼招标代理有限公司</w:t>
                      </w:r>
                    </w:p>
                    <w:p>
                      <w:pPr>
                        <w:rPr>
                          <w:rFonts w:hint="eastAsia" w:ascii="楷体" w:hAnsi="楷体" w:eastAsia="楷体" w:cs="楷体"/>
                          <w:color w:val="FF0000"/>
                          <w:sz w:val="28"/>
                          <w:szCs w:val="28"/>
                        </w:rPr>
                      </w:pPr>
                      <w:r>
                        <w:rPr>
                          <w:rFonts w:hint="eastAsia" w:ascii="楷体" w:hAnsi="楷体" w:eastAsia="楷体" w:cs="楷体"/>
                          <w:sz w:val="28"/>
                          <w:szCs w:val="28"/>
                        </w:rPr>
                        <w:t>项目编号：</w:t>
                      </w:r>
                    </w:p>
                    <w:p>
                      <w:pPr>
                        <w:rPr>
                          <w:rFonts w:hint="eastAsia" w:ascii="楷体" w:hAnsi="楷体" w:eastAsia="楷体" w:cs="楷体"/>
                          <w:color w:val="FF0000"/>
                          <w:sz w:val="28"/>
                          <w:szCs w:val="28"/>
                        </w:rPr>
                      </w:pPr>
                      <w:r>
                        <w:rPr>
                          <w:rFonts w:hint="eastAsia" w:ascii="楷体" w:hAnsi="楷体" w:eastAsia="楷体" w:cs="楷体"/>
                          <w:sz w:val="28"/>
                          <w:szCs w:val="28"/>
                        </w:rPr>
                        <w:t>项目名称：</w:t>
                      </w:r>
                    </w:p>
                    <w:p>
                      <w:pPr>
                        <w:jc w:val="center"/>
                        <w:rPr>
                          <w:rFonts w:hint="eastAsia" w:ascii="楷体" w:hAnsi="楷体" w:eastAsia="楷体" w:cs="楷体"/>
                          <w:b/>
                          <w:sz w:val="44"/>
                          <w:szCs w:val="44"/>
                        </w:rPr>
                      </w:pPr>
                      <w:r>
                        <w:rPr>
                          <w:rFonts w:hint="eastAsia" w:ascii="楷体" w:hAnsi="楷体" w:eastAsia="楷体" w:cs="楷体"/>
                          <w:b/>
                          <w:sz w:val="44"/>
                          <w:szCs w:val="44"/>
                        </w:rPr>
                        <w:t>电子版本</w:t>
                      </w:r>
                    </w:p>
                    <w:p>
                      <w:pPr>
                        <w:jc w:val="center"/>
                        <w:rPr>
                          <w:rFonts w:hint="eastAsia" w:ascii="楷体" w:hAnsi="楷体" w:eastAsia="楷体" w:cs="楷体"/>
                          <w:sz w:val="28"/>
                          <w:szCs w:val="28"/>
                        </w:rPr>
                      </w:pPr>
                      <w:r>
                        <w:rPr>
                          <w:rFonts w:hint="eastAsia" w:ascii="楷体" w:hAnsi="楷体" w:eastAsia="楷体" w:cs="楷体"/>
                          <w:sz w:val="28"/>
                          <w:szCs w:val="28"/>
                        </w:rPr>
                        <w:t>（非磋商阶段不得启封）</w:t>
                      </w:r>
                    </w:p>
                    <w:p>
                      <w:pPr>
                        <w:jc w:val="center"/>
                        <w:rPr>
                          <w:rFonts w:hint="eastAsia" w:ascii="楷体" w:hAnsi="楷体" w:eastAsia="楷体" w:cs="楷体"/>
                          <w:sz w:val="28"/>
                          <w:szCs w:val="28"/>
                        </w:rPr>
                      </w:pPr>
                    </w:p>
                    <w:p>
                      <w:pPr>
                        <w:rPr>
                          <w:rFonts w:hint="eastAsia" w:ascii="楷体" w:hAnsi="楷体" w:eastAsia="楷体" w:cs="楷体"/>
                          <w:sz w:val="28"/>
                          <w:szCs w:val="28"/>
                        </w:rPr>
                      </w:pPr>
                      <w:r>
                        <w:rPr>
                          <w:rFonts w:hint="eastAsia" w:ascii="楷体" w:hAnsi="楷体" w:eastAsia="楷体" w:cs="楷体"/>
                          <w:sz w:val="28"/>
                          <w:szCs w:val="28"/>
                        </w:rPr>
                        <w:t xml:space="preserve">供应商名称（公章）： </w:t>
                      </w:r>
                    </w:p>
                    <w:p>
                      <w:pPr>
                        <w:rPr>
                          <w:rFonts w:hint="eastAsia" w:ascii="楷体" w:hAnsi="楷体" w:eastAsia="楷体" w:cs="楷体"/>
                          <w:sz w:val="28"/>
                          <w:szCs w:val="28"/>
                        </w:rPr>
                      </w:pPr>
                      <w:r>
                        <w:rPr>
                          <w:rFonts w:hint="eastAsia" w:ascii="楷体" w:hAnsi="楷体" w:eastAsia="楷体" w:cs="楷体"/>
                          <w:sz w:val="28"/>
                          <w:szCs w:val="28"/>
                        </w:rPr>
                        <w:t>磋商时间：</w:t>
                      </w:r>
                    </w:p>
                    <w:p>
                      <w:pPr>
                        <w:rPr>
                          <w:rFonts w:ascii="楷体" w:hAnsi="楷体"/>
                          <w:sz w:val="28"/>
                          <w:szCs w:val="28"/>
                        </w:rPr>
                      </w:pPr>
                    </w:p>
                  </w:txbxContent>
                </v:textbox>
              </v:shape>
            </w:pict>
          </mc:Fallback>
        </mc:AlternateContent>
      </w:r>
    </w:p>
    <w:p>
      <w:pPr>
        <w:rPr>
          <w:rFonts w:hint="eastAsia" w:ascii="楷体" w:hAnsi="楷体" w:eastAsia="楷体" w:cs="楷体"/>
          <w:b/>
          <w:color w:val="000000"/>
          <w:szCs w:val="24"/>
        </w:rPr>
      </w:pPr>
    </w:p>
    <w:p>
      <w:pPr>
        <w:rPr>
          <w:rFonts w:hint="eastAsia" w:ascii="楷体" w:hAnsi="楷体" w:eastAsia="楷体" w:cs="楷体"/>
          <w:b/>
          <w:color w:val="000000"/>
          <w:szCs w:val="24"/>
        </w:rPr>
      </w:pPr>
    </w:p>
    <w:p>
      <w:pPr>
        <w:rPr>
          <w:rFonts w:hint="eastAsia" w:ascii="楷体" w:hAnsi="楷体" w:eastAsia="楷体" w:cs="楷体"/>
          <w:b/>
          <w:color w:val="000000"/>
          <w:szCs w:val="24"/>
        </w:rPr>
      </w:pPr>
    </w:p>
    <w:p>
      <w:pPr>
        <w:rPr>
          <w:rFonts w:hint="eastAsia" w:ascii="楷体" w:hAnsi="楷体" w:eastAsia="楷体" w:cs="楷体"/>
          <w:b/>
          <w:color w:val="000000"/>
          <w:szCs w:val="24"/>
        </w:rPr>
      </w:pPr>
    </w:p>
    <w:p>
      <w:pPr>
        <w:rPr>
          <w:rFonts w:hint="eastAsia" w:ascii="楷体" w:hAnsi="楷体" w:eastAsia="楷体" w:cs="楷体"/>
          <w:b/>
          <w:color w:val="000000"/>
          <w:szCs w:val="24"/>
        </w:rPr>
      </w:pPr>
    </w:p>
    <w:p>
      <w:pPr>
        <w:rPr>
          <w:rFonts w:hint="eastAsia" w:ascii="楷体" w:hAnsi="楷体" w:eastAsia="楷体" w:cs="楷体"/>
          <w:color w:val="000000"/>
        </w:rPr>
      </w:pPr>
    </w:p>
    <w:p>
      <w:pPr>
        <w:rPr>
          <w:rFonts w:hint="eastAsia" w:ascii="楷体" w:hAnsi="楷体" w:eastAsia="楷体" w:cs="楷体"/>
          <w:color w:val="000000"/>
        </w:rPr>
      </w:pPr>
    </w:p>
    <w:p>
      <w:pPr>
        <w:rPr>
          <w:rFonts w:hint="eastAsia" w:ascii="楷体" w:hAnsi="楷体" w:eastAsia="楷体" w:cs="楷体"/>
          <w:color w:val="000000"/>
        </w:rPr>
      </w:pPr>
    </w:p>
    <w:p>
      <w:pPr>
        <w:rPr>
          <w:rFonts w:hint="eastAsia" w:ascii="楷体" w:hAnsi="楷体" w:eastAsia="楷体" w:cs="楷体"/>
          <w:color w:val="000000"/>
        </w:rPr>
      </w:pPr>
    </w:p>
    <w:p>
      <w:pPr>
        <w:spacing w:line="460" w:lineRule="exact"/>
        <w:rPr>
          <w:rFonts w:hint="eastAsia" w:ascii="楷体" w:hAnsi="楷体" w:eastAsia="楷体" w:cs="楷体"/>
          <w:b/>
          <w:color w:val="000000"/>
        </w:rPr>
      </w:pPr>
    </w:p>
    <w:p>
      <w:pPr>
        <w:spacing w:line="460" w:lineRule="exact"/>
        <w:rPr>
          <w:rFonts w:hint="eastAsia" w:ascii="楷体" w:hAnsi="楷体" w:eastAsia="楷体" w:cs="楷体"/>
          <w:b/>
          <w:color w:val="000000"/>
        </w:rPr>
      </w:pPr>
    </w:p>
    <w:p>
      <w:pPr>
        <w:spacing w:line="460" w:lineRule="exact"/>
        <w:rPr>
          <w:rFonts w:hint="eastAsia" w:ascii="楷体" w:hAnsi="楷体" w:eastAsia="楷体" w:cs="楷体"/>
          <w:b/>
          <w:color w:val="000000"/>
        </w:rPr>
      </w:pPr>
    </w:p>
    <w:p>
      <w:pPr>
        <w:spacing w:line="460" w:lineRule="exact"/>
        <w:rPr>
          <w:rFonts w:hint="eastAsia" w:ascii="楷体" w:hAnsi="楷体" w:eastAsia="楷体" w:cs="楷体"/>
          <w:b/>
          <w:color w:val="000000"/>
        </w:rPr>
      </w:pPr>
    </w:p>
    <w:p>
      <w:pPr>
        <w:spacing w:line="460" w:lineRule="exact"/>
        <w:rPr>
          <w:rFonts w:hint="eastAsia" w:ascii="楷体" w:hAnsi="楷体" w:eastAsia="楷体" w:cs="楷体"/>
          <w:b/>
          <w:color w:val="000000"/>
          <w:szCs w:val="24"/>
        </w:rPr>
      </w:pPr>
    </w:p>
    <w:p>
      <w:pPr>
        <w:adjustRightInd w:val="0"/>
        <w:snapToGrid w:val="0"/>
        <w:spacing w:line="360" w:lineRule="auto"/>
        <w:ind w:firstLine="525"/>
        <w:rPr>
          <w:rFonts w:hint="eastAsia" w:ascii="楷体" w:hAnsi="楷体" w:eastAsia="楷体" w:cs="仿宋"/>
          <w:szCs w:val="24"/>
        </w:rPr>
      </w:pPr>
    </w:p>
    <w:p>
      <w:pPr>
        <w:rPr>
          <w:rFonts w:hint="eastAsia" w:ascii="楷体" w:hAnsi="楷体" w:eastAsia="楷体" w:cs="仿宋"/>
          <w:szCs w:val="24"/>
        </w:rPr>
      </w:pPr>
    </w:p>
    <w:p>
      <w:pPr>
        <w:pStyle w:val="2"/>
        <w:rPr>
          <w:rFonts w:hint="eastAsia"/>
        </w:rPr>
      </w:pPr>
    </w:p>
    <w:sectPr>
      <w:pgSz w:w="11906" w:h="16838"/>
      <w:pgMar w:top="1440" w:right="1800" w:bottom="1440" w:left="1800" w:header="851" w:footer="992"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Wingdings 2">
    <w:altName w:val="Wingdings"/>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GYXIQ+Frutiger-Cn">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rPr>
        <w:rFonts w:hint="eastAsia" w:ascii="楷体" w:hAnsi="楷体" w:eastAsia="楷体" w:cs="楷体"/>
      </w:rPr>
    </w:pPr>
    <w:r>
      <w:rPr>
        <w:rFonts w:hint="eastAsia" w:ascii="楷体" w:hAnsi="楷体" w:eastAsia="楷体" w:cs="楷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ascii="楷体" w:hAnsi="楷体" w:eastAsia="楷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楷体" w:hAnsi="楷体" w:eastAsia="楷体" w:cs="仿宋"/>
        <w:sz w:val="21"/>
        <w:szCs w:val="21"/>
      </w:rPr>
      <w:t>陕西正翼招标代理有限公司</w:t>
    </w:r>
    <w:r>
      <w:rPr>
        <w:rFonts w:hint="eastAsia" w:ascii="楷体" w:hAnsi="楷体" w:eastAsia="楷体"/>
        <w:sz w:val="21"/>
        <w:szCs w:val="21"/>
      </w:rPr>
      <w:t xml:space="preserve">                                           029-86210100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ascii="楷体" w:hAnsi="楷体" w:eastAsia="楷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30</w:t>
                    </w:r>
                    <w:r>
                      <w:fldChar w:fldCharType="end"/>
                    </w:r>
                  </w:p>
                </w:txbxContent>
              </v:textbox>
            </v:shape>
          </w:pict>
        </mc:Fallback>
      </mc:AlternateContent>
    </w:r>
    <w:r>
      <w:rPr>
        <w:rFonts w:hint="eastAsia" w:ascii="楷体" w:hAnsi="楷体" w:eastAsia="楷体" w:cs="仿宋"/>
        <w:sz w:val="21"/>
        <w:szCs w:val="21"/>
      </w:rPr>
      <w:t>陕西正翼招标代理有限公司</w:t>
    </w:r>
    <w:r>
      <w:rPr>
        <w:rFonts w:hint="eastAsia" w:ascii="楷体" w:hAnsi="楷体" w:eastAsia="楷体"/>
        <w:sz w:val="21"/>
        <w:szCs w:val="21"/>
      </w:rPr>
      <w:t xml:space="preserve">                                           029-86210100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left"/>
      <w:rPr>
        <w:color w:val="FF0000"/>
      </w:rPr>
    </w:pPr>
    <w:r>
      <w:rPr>
        <w:rFonts w:hint="eastAsia" w:ascii="楷体" w:hAnsi="楷体" w:eastAsia="楷体"/>
        <w:sz w:val="21"/>
        <w:szCs w:val="21"/>
        <w:lang w:eastAsia="zh-CN"/>
      </w:rPr>
      <w:t>汉阴县汉阴中学教学主楼智慧黑板采购项目</w:t>
    </w:r>
    <w:r>
      <w:rPr>
        <w:rFonts w:hint="eastAsia" w:ascii="楷体" w:hAnsi="楷体" w:eastAsia="楷体"/>
        <w:sz w:val="21"/>
        <w:szCs w:val="21"/>
      </w:rPr>
      <w:t xml:space="preserve">                    </w:t>
    </w:r>
    <w:r>
      <w:rPr>
        <w:rFonts w:hint="eastAsia" w:ascii="楷体" w:hAnsi="楷体" w:eastAsia="楷体"/>
        <w:sz w:val="21"/>
        <w:szCs w:val="21"/>
        <w:lang w:val="en-US" w:eastAsia="zh-CN"/>
      </w:rPr>
      <w:t xml:space="preserve">      </w:t>
    </w:r>
    <w:r>
      <w:rPr>
        <w:rFonts w:hint="eastAsia" w:ascii="楷体" w:hAnsi="楷体" w:eastAsia="楷体"/>
        <w:sz w:val="21"/>
        <w:szCs w:val="21"/>
      </w:rPr>
      <w:t xml:space="preserve">    </w:t>
    </w:r>
    <w:r>
      <w:rPr>
        <w:rFonts w:hint="eastAsia" w:ascii="楷体" w:hAnsi="楷体" w:eastAsia="楷体"/>
        <w:sz w:val="21"/>
        <w:szCs w:val="21"/>
        <w:lang w:val="en-US" w:eastAsia="zh-CN"/>
      </w:rPr>
      <w:t xml:space="preserve"> </w:t>
    </w:r>
    <w:r>
      <w:rPr>
        <w:color w:val="FF0000"/>
      </w:rPr>
      <w:t xml:space="preserve"> </w:t>
    </w:r>
    <w:r>
      <w:rPr>
        <w:rFonts w:hint="eastAsia" w:ascii="楷体" w:hAnsi="楷体" w:eastAsia="楷体"/>
        <w:color w:val="000000"/>
        <w:sz w:val="21"/>
        <w:szCs w:val="21"/>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E7FBD"/>
    <w:multiLevelType w:val="singleLevel"/>
    <w:tmpl w:val="9BEE7FBD"/>
    <w:lvl w:ilvl="0" w:tentative="0">
      <w:start w:val="4"/>
      <w:numFmt w:val="decimal"/>
      <w:lvlText w:val="%1."/>
      <w:lvlJc w:val="left"/>
      <w:pPr>
        <w:tabs>
          <w:tab w:val="left" w:pos="312"/>
        </w:tabs>
      </w:pPr>
    </w:lvl>
  </w:abstractNum>
  <w:abstractNum w:abstractNumId="1">
    <w:nsid w:val="C18F278C"/>
    <w:multiLevelType w:val="singleLevel"/>
    <w:tmpl w:val="C18F278C"/>
    <w:lvl w:ilvl="0" w:tentative="0">
      <w:start w:val="4"/>
      <w:numFmt w:val="chineseCounting"/>
      <w:suff w:val="space"/>
      <w:lvlText w:val="第%1章"/>
      <w:lvlJc w:val="left"/>
      <w:rPr>
        <w:rFonts w:hint="eastAsia"/>
      </w:rPr>
    </w:lvl>
  </w:abstractNum>
  <w:abstractNum w:abstractNumId="2">
    <w:nsid w:val="00000001"/>
    <w:multiLevelType w:val="multilevel"/>
    <w:tmpl w:val="000000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2"/>
    <w:multiLevelType w:val="multilevel"/>
    <w:tmpl w:val="00000002"/>
    <w:lvl w:ilvl="0" w:tentative="0">
      <w:start w:val="1"/>
      <w:numFmt w:val="decimal"/>
      <w:pStyle w:val="163"/>
      <w:lvlText w:val="%1. "/>
      <w:lvlJc w:val="left"/>
      <w:pPr>
        <w:tabs>
          <w:tab w:val="left" w:pos="839"/>
        </w:tabs>
        <w:ind w:left="839" w:hanging="419"/>
      </w:pPr>
      <w:rPr>
        <w:rFonts w:hint="eastAsia"/>
      </w:rPr>
    </w:lvl>
    <w:lvl w:ilvl="1" w:tentative="0">
      <w:start w:val="1"/>
      <w:numFmt w:val="upperLetter"/>
      <w:pStyle w:val="216"/>
      <w:lvlText w:val="%2. "/>
      <w:lvlJc w:val="left"/>
      <w:pPr>
        <w:tabs>
          <w:tab w:val="left" w:pos="1049"/>
        </w:tabs>
        <w:ind w:left="1049" w:hanging="420"/>
      </w:pPr>
      <w:rPr>
        <w:rFonts w:hint="eastAsia"/>
      </w:rPr>
    </w:lvl>
    <w:lvl w:ilvl="2" w:tentative="0">
      <w:start w:val="1"/>
      <w:numFmt w:val="lowerLetter"/>
      <w:pStyle w:val="219"/>
      <w:lvlText w:val="%3. "/>
      <w:lvlJc w:val="left"/>
      <w:pPr>
        <w:tabs>
          <w:tab w:val="left" w:pos="1259"/>
        </w:tabs>
        <w:ind w:left="1259" w:hanging="420"/>
      </w:pPr>
      <w:rPr>
        <w:rFonts w:hint="eastAsia"/>
      </w:rPr>
    </w:lvl>
    <w:lvl w:ilvl="3" w:tentative="0">
      <w:start w:val="1"/>
      <w:numFmt w:val="lowerLetter"/>
      <w:pStyle w:val="203"/>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4">
    <w:nsid w:val="00000003"/>
    <w:multiLevelType w:val="multilevel"/>
    <w:tmpl w:val="00000003"/>
    <w:lvl w:ilvl="0" w:tentative="0">
      <w:start w:val="1"/>
      <w:numFmt w:val="decimal"/>
      <w:lvlText w:val="%1．"/>
      <w:lvlJc w:val="left"/>
      <w:pPr>
        <w:ind w:left="276" w:hanging="27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4"/>
    <w:multiLevelType w:val="multilevel"/>
    <w:tmpl w:val="000000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5"/>
    <w:multiLevelType w:val="multilevel"/>
    <w:tmpl w:val="00000005"/>
    <w:lvl w:ilvl="0" w:tentative="0">
      <w:start w:val="1"/>
      <w:numFmt w:val="decimal"/>
      <w:lvlText w:val="%1．"/>
      <w:lvlJc w:val="left"/>
      <w:pPr>
        <w:ind w:left="276" w:hanging="27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6"/>
    <w:multiLevelType w:val="multilevel"/>
    <w:tmpl w:val="000000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7"/>
    <w:multiLevelType w:val="multilevel"/>
    <w:tmpl w:val="0000000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08"/>
    <w:multiLevelType w:val="multilevel"/>
    <w:tmpl w:val="00000008"/>
    <w:lvl w:ilvl="0" w:tentative="0">
      <w:start w:val="1"/>
      <w:numFmt w:val="decimal"/>
      <w:lvlText w:val="%1."/>
      <w:lvlJc w:val="left"/>
      <w:pPr>
        <w:ind w:left="420" w:hanging="420"/>
      </w:pPr>
    </w:lvl>
    <w:lvl w:ilvl="1" w:tentative="0">
      <w:start w:val="1"/>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1F"/>
    <w:multiLevelType w:val="singleLevel"/>
    <w:tmpl w:val="0000001F"/>
    <w:lvl w:ilvl="0" w:tentative="0">
      <w:start w:val="1"/>
      <w:numFmt w:val="decimal"/>
      <w:pStyle w:val="181"/>
      <w:lvlText w:val="%1．"/>
      <w:lvlJc w:val="left"/>
      <w:pPr>
        <w:tabs>
          <w:tab w:val="left" w:pos="720"/>
        </w:tabs>
        <w:ind w:left="720" w:hanging="720"/>
      </w:pPr>
    </w:lvl>
  </w:abstractNum>
  <w:abstractNum w:abstractNumId="11">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207"/>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4"/>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16D7533"/>
    <w:multiLevelType w:val="singleLevel"/>
    <w:tmpl w:val="416D7533"/>
    <w:lvl w:ilvl="0" w:tentative="0">
      <w:start w:val="3"/>
      <w:numFmt w:val="chineseCounting"/>
      <w:suff w:val="nothing"/>
      <w:lvlText w:val="%1、"/>
      <w:lvlJc w:val="left"/>
      <w:rPr>
        <w:rFonts w:hint="eastAsia"/>
      </w:rPr>
    </w:lvl>
  </w:abstractNum>
  <w:abstractNum w:abstractNumId="14">
    <w:nsid w:val="484717CC"/>
    <w:multiLevelType w:val="multilevel"/>
    <w:tmpl w:val="484717CC"/>
    <w:lvl w:ilvl="0" w:tentative="0">
      <w:start w:val="1"/>
      <w:numFmt w:val="chineseCountingThousand"/>
      <w:pStyle w:val="166"/>
      <w:lvlText w:val="第%1章  "/>
      <w:lvlJc w:val="left"/>
      <w:pPr>
        <w:ind w:left="432" w:hanging="432"/>
      </w:pPr>
      <w:rPr>
        <w:rFonts w:hint="default" w:ascii="Arial" w:hAnsi="Arial" w:eastAsia="宋体" w:cs="Times New Roman"/>
        <w:b/>
        <w:i w:val="0"/>
        <w:sz w:val="44"/>
      </w:rPr>
    </w:lvl>
    <w:lvl w:ilvl="1" w:tentative="0">
      <w:start w:val="1"/>
      <w:numFmt w:val="decimal"/>
      <w:pStyle w:val="177"/>
      <w:suff w:val="space"/>
      <w:lvlText w:val="%2."/>
      <w:lvlJc w:val="left"/>
      <w:rPr>
        <w:rFonts w:hint="default" w:ascii="Times New Roman" w:hAnsi="Times New Roman" w:eastAsia="宋体" w:cs="Times New Roman"/>
        <w:b w:val="0"/>
        <w:i w:val="0"/>
        <w:sz w:val="28"/>
      </w:rPr>
    </w:lvl>
    <w:lvl w:ilvl="2" w:tentative="0">
      <w:start w:val="1"/>
      <w:numFmt w:val="decimal"/>
      <w:suff w:val="space"/>
      <w:lvlText w:val="%2.%3"/>
      <w:lvlJc w:val="left"/>
      <w:rPr>
        <w:rFonts w:hint="default" w:ascii="Times New Roman" w:hAnsi="Times New Roman" w:eastAsia="宋体" w:cs="Times New Roman"/>
        <w:b w:val="0"/>
        <w:i w:val="0"/>
        <w:sz w:val="24"/>
      </w:rPr>
    </w:lvl>
    <w:lvl w:ilvl="3" w:tentative="0">
      <w:start w:val="1"/>
      <w:numFmt w:val="decimal"/>
      <w:suff w:val="space"/>
      <w:lvlText w:val="%2.%3.%4"/>
      <w:lvlJc w:val="left"/>
      <w:pPr>
        <w:ind w:left="483" w:firstLine="510"/>
      </w:pPr>
      <w:rPr>
        <w:rFonts w:hint="default" w:ascii="Times New Roman" w:hAnsi="Times New Roman" w:eastAsia="宋体" w:cs="Times New Roman"/>
        <w:b w:val="0"/>
        <w:i w:val="0"/>
        <w:iCs w:val="0"/>
        <w:caps w:val="0"/>
        <w:smallCaps w:val="0"/>
        <w:strike w:val="0"/>
        <w:dstrike w:val="0"/>
        <w:vanish w:val="0"/>
        <w:color w:val="000000"/>
        <w:spacing w:val="0"/>
        <w:position w:val="0"/>
        <w:sz w:val="24"/>
        <w:u w:val="none"/>
        <w:vertAlign w:val="baseline"/>
      </w:rPr>
    </w:lvl>
    <w:lvl w:ilvl="4" w:tentative="0">
      <w:start w:val="1"/>
      <w:numFmt w:val="decimal"/>
      <w:lvlText w:val="%2.%3.%4.%5"/>
      <w:lvlJc w:val="left"/>
      <w:pPr>
        <w:ind w:left="1008" w:hanging="1008"/>
      </w:pPr>
      <w:rPr>
        <w:rFonts w:hint="default" w:ascii="Arial" w:hAnsi="Arial" w:eastAsia="宋体" w:cs="Times New Roman"/>
        <w:b w:val="0"/>
        <w:i w:val="0"/>
        <w:sz w:val="28"/>
      </w:rPr>
    </w:lvl>
    <w:lvl w:ilvl="5" w:tentative="0">
      <w:start w:val="1"/>
      <w:numFmt w:val="decimal"/>
      <w:lvlText w:val="（%6）"/>
      <w:lvlJc w:val="left"/>
      <w:pPr>
        <w:ind w:left="227" w:hanging="227"/>
      </w:pPr>
      <w:rPr>
        <w:rFonts w:hint="eastAsia" w:cs="Times New Roman"/>
        <w:b w:val="0"/>
        <w:i w:val="0"/>
        <w:iCs w:val="0"/>
        <w:caps w:val="0"/>
        <w:smallCaps w:val="0"/>
        <w:strike w:val="0"/>
        <w:dstrike w:val="0"/>
        <w:vanish w:val="0"/>
        <w:color w:val="000000"/>
        <w:spacing w:val="0"/>
        <w:position w:val="0"/>
        <w:u w:val="none"/>
        <w:vertAlign w:val="baseline"/>
      </w:rPr>
    </w:lvl>
    <w:lvl w:ilvl="6" w:tentative="0">
      <w:start w:val="1"/>
      <w:numFmt w:val="decimal"/>
      <w:lvlText w:val="%7）"/>
      <w:lvlJc w:val="left"/>
      <w:pPr>
        <w:ind w:left="1296" w:hanging="1296"/>
      </w:pPr>
      <w:rPr>
        <w:rFonts w:hint="default" w:ascii="Arial" w:hAnsi="Arial" w:eastAsia="宋体" w:cs="Times New Roman"/>
        <w:b w:val="0"/>
        <w:i w:val="0"/>
        <w:sz w:val="28"/>
      </w:rPr>
    </w:lvl>
    <w:lvl w:ilvl="7" w:tentative="0">
      <w:start w:val="1"/>
      <w:numFmt w:val="lowerLetter"/>
      <w:lvlText w:val="%8"/>
      <w:lvlJc w:val="left"/>
      <w:pPr>
        <w:ind w:left="1440" w:hanging="1440"/>
      </w:pPr>
      <w:rPr>
        <w:rFonts w:hint="default" w:ascii="Arial" w:hAnsi="Arial" w:eastAsia="宋体" w:cs="Times New Roman"/>
        <w:b w:val="0"/>
        <w:i w:val="0"/>
        <w:sz w:val="28"/>
      </w:rPr>
    </w:lvl>
    <w:lvl w:ilvl="8" w:tentative="0">
      <w:start w:val="1"/>
      <w:numFmt w:val="bullet"/>
      <w:lvlText w:val=""/>
      <w:lvlJc w:val="left"/>
      <w:pPr>
        <w:ind w:left="1584" w:hanging="1584"/>
      </w:pPr>
      <w:rPr>
        <w:rFonts w:hint="default" w:ascii="Wingdings" w:hAnsi="Wingdings" w:eastAsia="宋体"/>
        <w:b w:val="0"/>
        <w:i w:val="0"/>
        <w:sz w:val="28"/>
      </w:rPr>
    </w:lvl>
  </w:abstractNum>
  <w:abstractNum w:abstractNumId="15">
    <w:nsid w:val="4FE67DFC"/>
    <w:multiLevelType w:val="multilevel"/>
    <w:tmpl w:val="4FE67DFC"/>
    <w:lvl w:ilvl="0" w:tentative="0">
      <w:start w:val="3"/>
      <w:numFmt w:val="decimal"/>
      <w:lvlText w:val="%1、"/>
      <w:lvlJc w:val="left"/>
      <w:pPr>
        <w:ind w:left="360" w:hanging="36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B32CE90"/>
    <w:multiLevelType w:val="singleLevel"/>
    <w:tmpl w:val="5B32CE90"/>
    <w:lvl w:ilvl="0" w:tentative="0">
      <w:start w:val="2"/>
      <w:numFmt w:val="decimal"/>
      <w:suff w:val="nothing"/>
      <w:lvlText w:val="%1、"/>
      <w:lvlJc w:val="left"/>
      <w:pPr>
        <w:ind w:left="-2"/>
      </w:pPr>
    </w:lvl>
  </w:abstractNum>
  <w:abstractNum w:abstractNumId="17">
    <w:nsid w:val="65924DDB"/>
    <w:multiLevelType w:val="multilevel"/>
    <w:tmpl w:val="65924DD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A363A11"/>
    <w:multiLevelType w:val="singleLevel"/>
    <w:tmpl w:val="6A363A11"/>
    <w:lvl w:ilvl="0" w:tentative="0">
      <w:start w:val="4"/>
      <w:numFmt w:val="chineseCounting"/>
      <w:suff w:val="nothing"/>
      <w:lvlText w:val="（%1）"/>
      <w:lvlJc w:val="left"/>
      <w:rPr>
        <w:rFonts w:hint="eastAsia"/>
      </w:rPr>
    </w:lvl>
  </w:abstractNum>
  <w:num w:numId="1">
    <w:abstractNumId w:val="12"/>
  </w:num>
  <w:num w:numId="2">
    <w:abstractNumId w:val="3"/>
  </w:num>
  <w:num w:numId="3">
    <w:abstractNumId w:val="14"/>
  </w:num>
  <w:num w:numId="4">
    <w:abstractNumId w:val="10"/>
  </w:num>
  <w:num w:numId="5">
    <w:abstractNumId w:val="11"/>
  </w:num>
  <w:num w:numId="6">
    <w:abstractNumId w:val="1"/>
  </w:num>
  <w:num w:numId="7">
    <w:abstractNumId w:val="13"/>
  </w:num>
  <w:num w:numId="8">
    <w:abstractNumId w:val="8"/>
  </w:num>
  <w:num w:numId="9">
    <w:abstractNumId w:val="15"/>
  </w:num>
  <w:num w:numId="10">
    <w:abstractNumId w:val="5"/>
  </w:num>
  <w:num w:numId="11">
    <w:abstractNumId w:val="2"/>
  </w:num>
  <w:num w:numId="12">
    <w:abstractNumId w:val="7"/>
  </w:num>
  <w:num w:numId="13">
    <w:abstractNumId w:val="4"/>
  </w:num>
  <w:num w:numId="14">
    <w:abstractNumId w:val="6"/>
  </w:num>
  <w:num w:numId="15">
    <w:abstractNumId w:val="9"/>
  </w:num>
  <w:num w:numId="16">
    <w:abstractNumId w:val="16"/>
  </w:num>
  <w:num w:numId="17">
    <w:abstractNumId w:val="17"/>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MjBiNjBjMmY1OTQ4MjNiNGMzMDZhOTQ0NDU0MmMifQ=="/>
  </w:docVars>
  <w:rsids>
    <w:rsidRoot w:val="00172A27"/>
    <w:rsid w:val="000004C3"/>
    <w:rsid w:val="000021AE"/>
    <w:rsid w:val="0000418A"/>
    <w:rsid w:val="00012115"/>
    <w:rsid w:val="00012D69"/>
    <w:rsid w:val="000141CD"/>
    <w:rsid w:val="00014C32"/>
    <w:rsid w:val="00016F61"/>
    <w:rsid w:val="00020576"/>
    <w:rsid w:val="00020AF5"/>
    <w:rsid w:val="00022499"/>
    <w:rsid w:val="000233CF"/>
    <w:rsid w:val="000243F0"/>
    <w:rsid w:val="00025808"/>
    <w:rsid w:val="00030787"/>
    <w:rsid w:val="00030F97"/>
    <w:rsid w:val="00043DA2"/>
    <w:rsid w:val="000455CC"/>
    <w:rsid w:val="00046E72"/>
    <w:rsid w:val="00054D95"/>
    <w:rsid w:val="00055155"/>
    <w:rsid w:val="00055EB5"/>
    <w:rsid w:val="00057309"/>
    <w:rsid w:val="000602F4"/>
    <w:rsid w:val="00060FBC"/>
    <w:rsid w:val="000638D0"/>
    <w:rsid w:val="00063908"/>
    <w:rsid w:val="0006391E"/>
    <w:rsid w:val="00064B71"/>
    <w:rsid w:val="00065175"/>
    <w:rsid w:val="00072ABC"/>
    <w:rsid w:val="00074D10"/>
    <w:rsid w:val="00075040"/>
    <w:rsid w:val="00080162"/>
    <w:rsid w:val="00080AA7"/>
    <w:rsid w:val="00083033"/>
    <w:rsid w:val="000841C3"/>
    <w:rsid w:val="00087CCB"/>
    <w:rsid w:val="00090337"/>
    <w:rsid w:val="00090563"/>
    <w:rsid w:val="00090EC7"/>
    <w:rsid w:val="000926E5"/>
    <w:rsid w:val="000926F5"/>
    <w:rsid w:val="00095409"/>
    <w:rsid w:val="000961C6"/>
    <w:rsid w:val="000A1511"/>
    <w:rsid w:val="000A18B8"/>
    <w:rsid w:val="000A2A73"/>
    <w:rsid w:val="000A5C0A"/>
    <w:rsid w:val="000A74EE"/>
    <w:rsid w:val="000B0226"/>
    <w:rsid w:val="000B2677"/>
    <w:rsid w:val="000B2C32"/>
    <w:rsid w:val="000B47A9"/>
    <w:rsid w:val="000B5B2E"/>
    <w:rsid w:val="000B6375"/>
    <w:rsid w:val="000C018D"/>
    <w:rsid w:val="000C0EEC"/>
    <w:rsid w:val="000C1FB1"/>
    <w:rsid w:val="000C33E4"/>
    <w:rsid w:val="000C4341"/>
    <w:rsid w:val="000C5D72"/>
    <w:rsid w:val="000D0986"/>
    <w:rsid w:val="000D1185"/>
    <w:rsid w:val="000D2704"/>
    <w:rsid w:val="000D361B"/>
    <w:rsid w:val="000D4B8D"/>
    <w:rsid w:val="000D6A2F"/>
    <w:rsid w:val="000E0344"/>
    <w:rsid w:val="000E361D"/>
    <w:rsid w:val="000E44C4"/>
    <w:rsid w:val="000E4D00"/>
    <w:rsid w:val="000E61B6"/>
    <w:rsid w:val="000F0E07"/>
    <w:rsid w:val="000F3B75"/>
    <w:rsid w:val="000F3D4A"/>
    <w:rsid w:val="000F3ED0"/>
    <w:rsid w:val="000F4F5E"/>
    <w:rsid w:val="000F7D5C"/>
    <w:rsid w:val="00101DF4"/>
    <w:rsid w:val="00102400"/>
    <w:rsid w:val="00102737"/>
    <w:rsid w:val="001049A5"/>
    <w:rsid w:val="001050BF"/>
    <w:rsid w:val="00107CB5"/>
    <w:rsid w:val="00110FEE"/>
    <w:rsid w:val="0011520D"/>
    <w:rsid w:val="0011591D"/>
    <w:rsid w:val="00120DE3"/>
    <w:rsid w:val="00121B8F"/>
    <w:rsid w:val="001223F3"/>
    <w:rsid w:val="00122923"/>
    <w:rsid w:val="001300AC"/>
    <w:rsid w:val="001300CE"/>
    <w:rsid w:val="00133D61"/>
    <w:rsid w:val="00136EAA"/>
    <w:rsid w:val="00137B78"/>
    <w:rsid w:val="00140466"/>
    <w:rsid w:val="001420B8"/>
    <w:rsid w:val="00146E8A"/>
    <w:rsid w:val="00147ED4"/>
    <w:rsid w:val="00150018"/>
    <w:rsid w:val="00150719"/>
    <w:rsid w:val="00153B99"/>
    <w:rsid w:val="001544B7"/>
    <w:rsid w:val="00154F6D"/>
    <w:rsid w:val="001575DB"/>
    <w:rsid w:val="00157D81"/>
    <w:rsid w:val="001600D7"/>
    <w:rsid w:val="00161AAF"/>
    <w:rsid w:val="00162FB9"/>
    <w:rsid w:val="001633E8"/>
    <w:rsid w:val="0016342B"/>
    <w:rsid w:val="001646D4"/>
    <w:rsid w:val="0016717C"/>
    <w:rsid w:val="00167830"/>
    <w:rsid w:val="00167B51"/>
    <w:rsid w:val="001721EB"/>
    <w:rsid w:val="001743AC"/>
    <w:rsid w:val="0017505D"/>
    <w:rsid w:val="00180735"/>
    <w:rsid w:val="0018125D"/>
    <w:rsid w:val="00181816"/>
    <w:rsid w:val="00181CC5"/>
    <w:rsid w:val="00182525"/>
    <w:rsid w:val="00182680"/>
    <w:rsid w:val="00182E6F"/>
    <w:rsid w:val="001841B7"/>
    <w:rsid w:val="00184598"/>
    <w:rsid w:val="00184A7E"/>
    <w:rsid w:val="00191558"/>
    <w:rsid w:val="00192D5F"/>
    <w:rsid w:val="001931EF"/>
    <w:rsid w:val="00195910"/>
    <w:rsid w:val="001971C8"/>
    <w:rsid w:val="001A53BF"/>
    <w:rsid w:val="001A58AF"/>
    <w:rsid w:val="001A73A7"/>
    <w:rsid w:val="001B17B3"/>
    <w:rsid w:val="001B1B47"/>
    <w:rsid w:val="001B3825"/>
    <w:rsid w:val="001B3BEE"/>
    <w:rsid w:val="001B4787"/>
    <w:rsid w:val="001B4C42"/>
    <w:rsid w:val="001C069C"/>
    <w:rsid w:val="001C685E"/>
    <w:rsid w:val="001D2F24"/>
    <w:rsid w:val="001D5CF5"/>
    <w:rsid w:val="001D6840"/>
    <w:rsid w:val="001D7104"/>
    <w:rsid w:val="001E0662"/>
    <w:rsid w:val="001E0EDA"/>
    <w:rsid w:val="001E439E"/>
    <w:rsid w:val="001E471C"/>
    <w:rsid w:val="001E4EF8"/>
    <w:rsid w:val="001F0919"/>
    <w:rsid w:val="001F34CB"/>
    <w:rsid w:val="001F59DD"/>
    <w:rsid w:val="001F7ABC"/>
    <w:rsid w:val="00202CE6"/>
    <w:rsid w:val="0020419D"/>
    <w:rsid w:val="002048D8"/>
    <w:rsid w:val="00204D46"/>
    <w:rsid w:val="00204E54"/>
    <w:rsid w:val="002059DD"/>
    <w:rsid w:val="002070DD"/>
    <w:rsid w:val="00207EBC"/>
    <w:rsid w:val="00210011"/>
    <w:rsid w:val="00211E3C"/>
    <w:rsid w:val="00214736"/>
    <w:rsid w:val="00214B03"/>
    <w:rsid w:val="00216B5F"/>
    <w:rsid w:val="00217281"/>
    <w:rsid w:val="00220029"/>
    <w:rsid w:val="0022118B"/>
    <w:rsid w:val="002241B9"/>
    <w:rsid w:val="00225E39"/>
    <w:rsid w:val="00226BAE"/>
    <w:rsid w:val="00227BA9"/>
    <w:rsid w:val="00240B5E"/>
    <w:rsid w:val="00241D49"/>
    <w:rsid w:val="00243700"/>
    <w:rsid w:val="0024739E"/>
    <w:rsid w:val="00247C32"/>
    <w:rsid w:val="002511B9"/>
    <w:rsid w:val="002514BF"/>
    <w:rsid w:val="002538EB"/>
    <w:rsid w:val="00253E49"/>
    <w:rsid w:val="00260698"/>
    <w:rsid w:val="002608A3"/>
    <w:rsid w:val="00262BE8"/>
    <w:rsid w:val="00263C38"/>
    <w:rsid w:val="00265417"/>
    <w:rsid w:val="00266CDB"/>
    <w:rsid w:val="00267773"/>
    <w:rsid w:val="00271352"/>
    <w:rsid w:val="0027201A"/>
    <w:rsid w:val="00274C37"/>
    <w:rsid w:val="00274C3E"/>
    <w:rsid w:val="002757C7"/>
    <w:rsid w:val="002757FD"/>
    <w:rsid w:val="00280609"/>
    <w:rsid w:val="00283AD5"/>
    <w:rsid w:val="00285094"/>
    <w:rsid w:val="00287D8C"/>
    <w:rsid w:val="0029086B"/>
    <w:rsid w:val="0029158F"/>
    <w:rsid w:val="00292421"/>
    <w:rsid w:val="00294D9B"/>
    <w:rsid w:val="00295550"/>
    <w:rsid w:val="00295EB7"/>
    <w:rsid w:val="00296255"/>
    <w:rsid w:val="00296B09"/>
    <w:rsid w:val="002978F3"/>
    <w:rsid w:val="00297A41"/>
    <w:rsid w:val="002A1691"/>
    <w:rsid w:val="002A1D64"/>
    <w:rsid w:val="002A39C7"/>
    <w:rsid w:val="002A4D6D"/>
    <w:rsid w:val="002A6752"/>
    <w:rsid w:val="002A7381"/>
    <w:rsid w:val="002B0D02"/>
    <w:rsid w:val="002B26B4"/>
    <w:rsid w:val="002B3B2B"/>
    <w:rsid w:val="002B6C39"/>
    <w:rsid w:val="002C1269"/>
    <w:rsid w:val="002C5203"/>
    <w:rsid w:val="002C6B52"/>
    <w:rsid w:val="002C7B48"/>
    <w:rsid w:val="002D1636"/>
    <w:rsid w:val="002D2973"/>
    <w:rsid w:val="002D29CC"/>
    <w:rsid w:val="002D3FDC"/>
    <w:rsid w:val="002D4F28"/>
    <w:rsid w:val="002D6E55"/>
    <w:rsid w:val="002E4FD0"/>
    <w:rsid w:val="002E676C"/>
    <w:rsid w:val="002F147C"/>
    <w:rsid w:val="002F257A"/>
    <w:rsid w:val="002F2CAE"/>
    <w:rsid w:val="002F3FA8"/>
    <w:rsid w:val="002F5558"/>
    <w:rsid w:val="002F6BAA"/>
    <w:rsid w:val="0030235D"/>
    <w:rsid w:val="00302533"/>
    <w:rsid w:val="00304EBC"/>
    <w:rsid w:val="00306F79"/>
    <w:rsid w:val="003117BA"/>
    <w:rsid w:val="00311CA9"/>
    <w:rsid w:val="00312328"/>
    <w:rsid w:val="00314103"/>
    <w:rsid w:val="0031682C"/>
    <w:rsid w:val="00323246"/>
    <w:rsid w:val="00323F83"/>
    <w:rsid w:val="00325774"/>
    <w:rsid w:val="00325B23"/>
    <w:rsid w:val="00327F51"/>
    <w:rsid w:val="00331D63"/>
    <w:rsid w:val="00331F03"/>
    <w:rsid w:val="00333578"/>
    <w:rsid w:val="003338D6"/>
    <w:rsid w:val="00334041"/>
    <w:rsid w:val="00340C36"/>
    <w:rsid w:val="003460A9"/>
    <w:rsid w:val="003470FF"/>
    <w:rsid w:val="003477A4"/>
    <w:rsid w:val="003503D7"/>
    <w:rsid w:val="0035124E"/>
    <w:rsid w:val="0035309A"/>
    <w:rsid w:val="003600D3"/>
    <w:rsid w:val="00360117"/>
    <w:rsid w:val="0036031D"/>
    <w:rsid w:val="00360723"/>
    <w:rsid w:val="0036508F"/>
    <w:rsid w:val="00366345"/>
    <w:rsid w:val="003663DE"/>
    <w:rsid w:val="003678F9"/>
    <w:rsid w:val="00370554"/>
    <w:rsid w:val="003756D7"/>
    <w:rsid w:val="003771E2"/>
    <w:rsid w:val="00380558"/>
    <w:rsid w:val="00382D6E"/>
    <w:rsid w:val="00383C2E"/>
    <w:rsid w:val="00384440"/>
    <w:rsid w:val="00384A32"/>
    <w:rsid w:val="00384A8A"/>
    <w:rsid w:val="00385260"/>
    <w:rsid w:val="003862C3"/>
    <w:rsid w:val="0038661D"/>
    <w:rsid w:val="00386926"/>
    <w:rsid w:val="00390DC0"/>
    <w:rsid w:val="0039118C"/>
    <w:rsid w:val="00393866"/>
    <w:rsid w:val="00397425"/>
    <w:rsid w:val="00397446"/>
    <w:rsid w:val="003A18A5"/>
    <w:rsid w:val="003A1BB4"/>
    <w:rsid w:val="003A31A0"/>
    <w:rsid w:val="003A35A3"/>
    <w:rsid w:val="003A3785"/>
    <w:rsid w:val="003A412B"/>
    <w:rsid w:val="003A4941"/>
    <w:rsid w:val="003A6E82"/>
    <w:rsid w:val="003B2649"/>
    <w:rsid w:val="003B3B64"/>
    <w:rsid w:val="003B3FF1"/>
    <w:rsid w:val="003B6790"/>
    <w:rsid w:val="003B7208"/>
    <w:rsid w:val="003B72B6"/>
    <w:rsid w:val="003C35C4"/>
    <w:rsid w:val="003C37A5"/>
    <w:rsid w:val="003C495B"/>
    <w:rsid w:val="003C5FD1"/>
    <w:rsid w:val="003D0B00"/>
    <w:rsid w:val="003D0B81"/>
    <w:rsid w:val="003D19AE"/>
    <w:rsid w:val="003D3003"/>
    <w:rsid w:val="003D5248"/>
    <w:rsid w:val="003D5D00"/>
    <w:rsid w:val="003D6178"/>
    <w:rsid w:val="003D6277"/>
    <w:rsid w:val="003E1C7F"/>
    <w:rsid w:val="003E2A23"/>
    <w:rsid w:val="003E575F"/>
    <w:rsid w:val="003E73FC"/>
    <w:rsid w:val="003F10E0"/>
    <w:rsid w:val="003F3FEC"/>
    <w:rsid w:val="003F523E"/>
    <w:rsid w:val="003F70F4"/>
    <w:rsid w:val="00400945"/>
    <w:rsid w:val="00402117"/>
    <w:rsid w:val="00402C9F"/>
    <w:rsid w:val="00403CFD"/>
    <w:rsid w:val="00406636"/>
    <w:rsid w:val="00407164"/>
    <w:rsid w:val="00410A5C"/>
    <w:rsid w:val="00412CB3"/>
    <w:rsid w:val="004133D8"/>
    <w:rsid w:val="00414956"/>
    <w:rsid w:val="00415B04"/>
    <w:rsid w:val="00415B8A"/>
    <w:rsid w:val="00416FF8"/>
    <w:rsid w:val="00420E1E"/>
    <w:rsid w:val="00421B85"/>
    <w:rsid w:val="00426616"/>
    <w:rsid w:val="004278B3"/>
    <w:rsid w:val="00427A6C"/>
    <w:rsid w:val="004310B4"/>
    <w:rsid w:val="00432DD0"/>
    <w:rsid w:val="0043395C"/>
    <w:rsid w:val="0043628F"/>
    <w:rsid w:val="00440BD7"/>
    <w:rsid w:val="00442681"/>
    <w:rsid w:val="00444086"/>
    <w:rsid w:val="004447E9"/>
    <w:rsid w:val="004460C3"/>
    <w:rsid w:val="00447779"/>
    <w:rsid w:val="0045246B"/>
    <w:rsid w:val="004556BB"/>
    <w:rsid w:val="0045656A"/>
    <w:rsid w:val="00457C17"/>
    <w:rsid w:val="00462B92"/>
    <w:rsid w:val="00462DC6"/>
    <w:rsid w:val="00463624"/>
    <w:rsid w:val="00465648"/>
    <w:rsid w:val="00467E18"/>
    <w:rsid w:val="00473882"/>
    <w:rsid w:val="00475BAF"/>
    <w:rsid w:val="00476571"/>
    <w:rsid w:val="0047666F"/>
    <w:rsid w:val="00477C9E"/>
    <w:rsid w:val="00477D13"/>
    <w:rsid w:val="004845C4"/>
    <w:rsid w:val="00490551"/>
    <w:rsid w:val="004932B5"/>
    <w:rsid w:val="0049359B"/>
    <w:rsid w:val="0049482E"/>
    <w:rsid w:val="004963E8"/>
    <w:rsid w:val="004A04E7"/>
    <w:rsid w:val="004A134D"/>
    <w:rsid w:val="004A1AA0"/>
    <w:rsid w:val="004A3B55"/>
    <w:rsid w:val="004A4300"/>
    <w:rsid w:val="004A51AC"/>
    <w:rsid w:val="004B0760"/>
    <w:rsid w:val="004B0D28"/>
    <w:rsid w:val="004B54D2"/>
    <w:rsid w:val="004C2082"/>
    <w:rsid w:val="004C49C8"/>
    <w:rsid w:val="004C7065"/>
    <w:rsid w:val="004D7614"/>
    <w:rsid w:val="004D7A1F"/>
    <w:rsid w:val="004E020E"/>
    <w:rsid w:val="004E0ACF"/>
    <w:rsid w:val="004E24F8"/>
    <w:rsid w:val="004E2AC2"/>
    <w:rsid w:val="004E43B1"/>
    <w:rsid w:val="004F0D52"/>
    <w:rsid w:val="004F147C"/>
    <w:rsid w:val="004F4D9F"/>
    <w:rsid w:val="004F5D22"/>
    <w:rsid w:val="005006C4"/>
    <w:rsid w:val="00502EDA"/>
    <w:rsid w:val="00510E64"/>
    <w:rsid w:val="00515ABD"/>
    <w:rsid w:val="00516852"/>
    <w:rsid w:val="00516E00"/>
    <w:rsid w:val="00520076"/>
    <w:rsid w:val="0052039C"/>
    <w:rsid w:val="0052100F"/>
    <w:rsid w:val="00521A1B"/>
    <w:rsid w:val="005276AB"/>
    <w:rsid w:val="00530B72"/>
    <w:rsid w:val="00530CBD"/>
    <w:rsid w:val="00531FAE"/>
    <w:rsid w:val="00533D38"/>
    <w:rsid w:val="005349EB"/>
    <w:rsid w:val="00534E34"/>
    <w:rsid w:val="00535CC2"/>
    <w:rsid w:val="00536093"/>
    <w:rsid w:val="00537C5E"/>
    <w:rsid w:val="005416EC"/>
    <w:rsid w:val="00541C57"/>
    <w:rsid w:val="00541E71"/>
    <w:rsid w:val="005422BA"/>
    <w:rsid w:val="00543C5F"/>
    <w:rsid w:val="00543C72"/>
    <w:rsid w:val="00544169"/>
    <w:rsid w:val="00545990"/>
    <w:rsid w:val="00546EA1"/>
    <w:rsid w:val="005472D2"/>
    <w:rsid w:val="00547BA1"/>
    <w:rsid w:val="0055162C"/>
    <w:rsid w:val="0055234D"/>
    <w:rsid w:val="005602F1"/>
    <w:rsid w:val="00560C86"/>
    <w:rsid w:val="00562990"/>
    <w:rsid w:val="0056352E"/>
    <w:rsid w:val="00565277"/>
    <w:rsid w:val="00567354"/>
    <w:rsid w:val="00567BD7"/>
    <w:rsid w:val="00571070"/>
    <w:rsid w:val="005731E9"/>
    <w:rsid w:val="00573980"/>
    <w:rsid w:val="00573F57"/>
    <w:rsid w:val="00576D75"/>
    <w:rsid w:val="00577140"/>
    <w:rsid w:val="005803B6"/>
    <w:rsid w:val="00580470"/>
    <w:rsid w:val="00581AAD"/>
    <w:rsid w:val="00583B34"/>
    <w:rsid w:val="0058433C"/>
    <w:rsid w:val="00585085"/>
    <w:rsid w:val="00585F6A"/>
    <w:rsid w:val="00587969"/>
    <w:rsid w:val="005918B3"/>
    <w:rsid w:val="0059295E"/>
    <w:rsid w:val="005929D3"/>
    <w:rsid w:val="00594583"/>
    <w:rsid w:val="005A5EF0"/>
    <w:rsid w:val="005A6860"/>
    <w:rsid w:val="005A6C47"/>
    <w:rsid w:val="005B0E25"/>
    <w:rsid w:val="005B11AD"/>
    <w:rsid w:val="005B151E"/>
    <w:rsid w:val="005B3343"/>
    <w:rsid w:val="005B354C"/>
    <w:rsid w:val="005B48DF"/>
    <w:rsid w:val="005B66E1"/>
    <w:rsid w:val="005C0328"/>
    <w:rsid w:val="005C3CBA"/>
    <w:rsid w:val="005C64CB"/>
    <w:rsid w:val="005D07EC"/>
    <w:rsid w:val="005D20BC"/>
    <w:rsid w:val="005D324B"/>
    <w:rsid w:val="005D6C3F"/>
    <w:rsid w:val="005E0BCD"/>
    <w:rsid w:val="005E22E2"/>
    <w:rsid w:val="005E4C93"/>
    <w:rsid w:val="005E5A58"/>
    <w:rsid w:val="005E6A13"/>
    <w:rsid w:val="005F6C35"/>
    <w:rsid w:val="005F7A0C"/>
    <w:rsid w:val="00601C92"/>
    <w:rsid w:val="0060365A"/>
    <w:rsid w:val="0060760F"/>
    <w:rsid w:val="00607BBE"/>
    <w:rsid w:val="00613CB3"/>
    <w:rsid w:val="00617D1F"/>
    <w:rsid w:val="0062070A"/>
    <w:rsid w:val="0062252C"/>
    <w:rsid w:val="006238FD"/>
    <w:rsid w:val="00623904"/>
    <w:rsid w:val="006245E9"/>
    <w:rsid w:val="00624D1F"/>
    <w:rsid w:val="00625547"/>
    <w:rsid w:val="0062643E"/>
    <w:rsid w:val="00627788"/>
    <w:rsid w:val="006300DA"/>
    <w:rsid w:val="00630916"/>
    <w:rsid w:val="00630D54"/>
    <w:rsid w:val="00632760"/>
    <w:rsid w:val="00633FCF"/>
    <w:rsid w:val="00634096"/>
    <w:rsid w:val="006345A9"/>
    <w:rsid w:val="00634DE1"/>
    <w:rsid w:val="00634F92"/>
    <w:rsid w:val="006373DE"/>
    <w:rsid w:val="00637872"/>
    <w:rsid w:val="00641ED3"/>
    <w:rsid w:val="006425F5"/>
    <w:rsid w:val="00643DC7"/>
    <w:rsid w:val="006508FE"/>
    <w:rsid w:val="00651E66"/>
    <w:rsid w:val="00654ABC"/>
    <w:rsid w:val="00656B48"/>
    <w:rsid w:val="00662AE5"/>
    <w:rsid w:val="00662DB1"/>
    <w:rsid w:val="00666A55"/>
    <w:rsid w:val="006677C6"/>
    <w:rsid w:val="0067217F"/>
    <w:rsid w:val="0067238D"/>
    <w:rsid w:val="00673CAD"/>
    <w:rsid w:val="00675032"/>
    <w:rsid w:val="006779EF"/>
    <w:rsid w:val="00677BE6"/>
    <w:rsid w:val="00680447"/>
    <w:rsid w:val="00680508"/>
    <w:rsid w:val="006808F6"/>
    <w:rsid w:val="00683C3C"/>
    <w:rsid w:val="006854DE"/>
    <w:rsid w:val="00692314"/>
    <w:rsid w:val="006959C0"/>
    <w:rsid w:val="0069653B"/>
    <w:rsid w:val="006A1F55"/>
    <w:rsid w:val="006A6290"/>
    <w:rsid w:val="006A798A"/>
    <w:rsid w:val="006B1737"/>
    <w:rsid w:val="006B22A4"/>
    <w:rsid w:val="006B22AF"/>
    <w:rsid w:val="006B268D"/>
    <w:rsid w:val="006B78BC"/>
    <w:rsid w:val="006C1EA5"/>
    <w:rsid w:val="006C4739"/>
    <w:rsid w:val="006C4EEE"/>
    <w:rsid w:val="006C5279"/>
    <w:rsid w:val="006C6FBE"/>
    <w:rsid w:val="006D0847"/>
    <w:rsid w:val="006D24F4"/>
    <w:rsid w:val="006D3A81"/>
    <w:rsid w:val="006D44C9"/>
    <w:rsid w:val="006D4B8D"/>
    <w:rsid w:val="006D6A15"/>
    <w:rsid w:val="006E120E"/>
    <w:rsid w:val="006E2400"/>
    <w:rsid w:val="006E292F"/>
    <w:rsid w:val="006E7084"/>
    <w:rsid w:val="006F00A6"/>
    <w:rsid w:val="006F059D"/>
    <w:rsid w:val="006F3127"/>
    <w:rsid w:val="006F435E"/>
    <w:rsid w:val="006F4AB2"/>
    <w:rsid w:val="00700CFE"/>
    <w:rsid w:val="00700FB8"/>
    <w:rsid w:val="007012A9"/>
    <w:rsid w:val="0070281A"/>
    <w:rsid w:val="00705F6B"/>
    <w:rsid w:val="007065EF"/>
    <w:rsid w:val="00706D08"/>
    <w:rsid w:val="007118CE"/>
    <w:rsid w:val="00713FB9"/>
    <w:rsid w:val="00714D05"/>
    <w:rsid w:val="00720AE9"/>
    <w:rsid w:val="00722D36"/>
    <w:rsid w:val="0072500A"/>
    <w:rsid w:val="00730927"/>
    <w:rsid w:val="0073274C"/>
    <w:rsid w:val="00733267"/>
    <w:rsid w:val="00733D46"/>
    <w:rsid w:val="00733D52"/>
    <w:rsid w:val="00734052"/>
    <w:rsid w:val="00736DF5"/>
    <w:rsid w:val="00741ED8"/>
    <w:rsid w:val="00743152"/>
    <w:rsid w:val="00743A1D"/>
    <w:rsid w:val="00744385"/>
    <w:rsid w:val="00745AC5"/>
    <w:rsid w:val="007464D7"/>
    <w:rsid w:val="00747431"/>
    <w:rsid w:val="00747C3E"/>
    <w:rsid w:val="00751DBA"/>
    <w:rsid w:val="00753ABD"/>
    <w:rsid w:val="00755B5A"/>
    <w:rsid w:val="007606AE"/>
    <w:rsid w:val="0076138E"/>
    <w:rsid w:val="00762329"/>
    <w:rsid w:val="0076398C"/>
    <w:rsid w:val="007675FA"/>
    <w:rsid w:val="00767BFC"/>
    <w:rsid w:val="00767E1A"/>
    <w:rsid w:val="00767FFA"/>
    <w:rsid w:val="00770E63"/>
    <w:rsid w:val="007720B3"/>
    <w:rsid w:val="00772A11"/>
    <w:rsid w:val="00773838"/>
    <w:rsid w:val="0077449B"/>
    <w:rsid w:val="0077460F"/>
    <w:rsid w:val="0077527B"/>
    <w:rsid w:val="0077619E"/>
    <w:rsid w:val="00780454"/>
    <w:rsid w:val="0078391D"/>
    <w:rsid w:val="0078486D"/>
    <w:rsid w:val="00785D81"/>
    <w:rsid w:val="00785DBE"/>
    <w:rsid w:val="00787FF6"/>
    <w:rsid w:val="0079151F"/>
    <w:rsid w:val="00791578"/>
    <w:rsid w:val="00791DE9"/>
    <w:rsid w:val="007954C5"/>
    <w:rsid w:val="0079636F"/>
    <w:rsid w:val="00797864"/>
    <w:rsid w:val="007A1773"/>
    <w:rsid w:val="007A3215"/>
    <w:rsid w:val="007A340F"/>
    <w:rsid w:val="007A6181"/>
    <w:rsid w:val="007A7F5F"/>
    <w:rsid w:val="007B2059"/>
    <w:rsid w:val="007B5C4B"/>
    <w:rsid w:val="007B6220"/>
    <w:rsid w:val="007B66CF"/>
    <w:rsid w:val="007B7AA7"/>
    <w:rsid w:val="007C13B3"/>
    <w:rsid w:val="007C2BCC"/>
    <w:rsid w:val="007C3E8E"/>
    <w:rsid w:val="007C4EEC"/>
    <w:rsid w:val="007C5614"/>
    <w:rsid w:val="007C7B08"/>
    <w:rsid w:val="007E0E06"/>
    <w:rsid w:val="007E10C8"/>
    <w:rsid w:val="007E174B"/>
    <w:rsid w:val="007E4C7D"/>
    <w:rsid w:val="007E733A"/>
    <w:rsid w:val="007E76A1"/>
    <w:rsid w:val="007F4EBA"/>
    <w:rsid w:val="007F7202"/>
    <w:rsid w:val="007F7B20"/>
    <w:rsid w:val="00800709"/>
    <w:rsid w:val="008061B3"/>
    <w:rsid w:val="008068A1"/>
    <w:rsid w:val="00810F3F"/>
    <w:rsid w:val="00812D42"/>
    <w:rsid w:val="00814CF3"/>
    <w:rsid w:val="0081609A"/>
    <w:rsid w:val="00817C5D"/>
    <w:rsid w:val="00820DAE"/>
    <w:rsid w:val="00822F1B"/>
    <w:rsid w:val="00824610"/>
    <w:rsid w:val="00824A91"/>
    <w:rsid w:val="0082788A"/>
    <w:rsid w:val="00827C42"/>
    <w:rsid w:val="0083056E"/>
    <w:rsid w:val="00833AC9"/>
    <w:rsid w:val="00841A4A"/>
    <w:rsid w:val="00841E32"/>
    <w:rsid w:val="008424BB"/>
    <w:rsid w:val="008439CB"/>
    <w:rsid w:val="00843E4D"/>
    <w:rsid w:val="00850753"/>
    <w:rsid w:val="00850A7A"/>
    <w:rsid w:val="00852219"/>
    <w:rsid w:val="00853102"/>
    <w:rsid w:val="00854633"/>
    <w:rsid w:val="008570EA"/>
    <w:rsid w:val="008573CD"/>
    <w:rsid w:val="00861C52"/>
    <w:rsid w:val="0086349E"/>
    <w:rsid w:val="00864723"/>
    <w:rsid w:val="008706C9"/>
    <w:rsid w:val="008707A6"/>
    <w:rsid w:val="0087106F"/>
    <w:rsid w:val="008729F9"/>
    <w:rsid w:val="0087510F"/>
    <w:rsid w:val="008760A7"/>
    <w:rsid w:val="00876B8C"/>
    <w:rsid w:val="008771F9"/>
    <w:rsid w:val="0088023E"/>
    <w:rsid w:val="008810DC"/>
    <w:rsid w:val="00882CFF"/>
    <w:rsid w:val="00884DEC"/>
    <w:rsid w:val="00886D0B"/>
    <w:rsid w:val="00890301"/>
    <w:rsid w:val="00893B3C"/>
    <w:rsid w:val="008953B6"/>
    <w:rsid w:val="008A3F41"/>
    <w:rsid w:val="008A411E"/>
    <w:rsid w:val="008A42F6"/>
    <w:rsid w:val="008A435B"/>
    <w:rsid w:val="008A6DD6"/>
    <w:rsid w:val="008A6EFE"/>
    <w:rsid w:val="008B0986"/>
    <w:rsid w:val="008B0BA0"/>
    <w:rsid w:val="008B110B"/>
    <w:rsid w:val="008B2333"/>
    <w:rsid w:val="008B2428"/>
    <w:rsid w:val="008B45B6"/>
    <w:rsid w:val="008B4FD9"/>
    <w:rsid w:val="008B775C"/>
    <w:rsid w:val="008B7ADB"/>
    <w:rsid w:val="008C0EDC"/>
    <w:rsid w:val="008C660A"/>
    <w:rsid w:val="008D020F"/>
    <w:rsid w:val="008D162E"/>
    <w:rsid w:val="008D1A36"/>
    <w:rsid w:val="008D4091"/>
    <w:rsid w:val="008E2FDD"/>
    <w:rsid w:val="008E31D2"/>
    <w:rsid w:val="008E350B"/>
    <w:rsid w:val="008E35A6"/>
    <w:rsid w:val="008E7A9B"/>
    <w:rsid w:val="008F0673"/>
    <w:rsid w:val="008F5526"/>
    <w:rsid w:val="008F5A5F"/>
    <w:rsid w:val="008F74CC"/>
    <w:rsid w:val="00900713"/>
    <w:rsid w:val="00900FEF"/>
    <w:rsid w:val="0090362E"/>
    <w:rsid w:val="00903922"/>
    <w:rsid w:val="00903F17"/>
    <w:rsid w:val="00907B1F"/>
    <w:rsid w:val="0091117B"/>
    <w:rsid w:val="00912FF3"/>
    <w:rsid w:val="00914615"/>
    <w:rsid w:val="00914A43"/>
    <w:rsid w:val="009209E7"/>
    <w:rsid w:val="00920F1A"/>
    <w:rsid w:val="009222F7"/>
    <w:rsid w:val="00923928"/>
    <w:rsid w:val="009247FF"/>
    <w:rsid w:val="00925142"/>
    <w:rsid w:val="00926644"/>
    <w:rsid w:val="009300E8"/>
    <w:rsid w:val="00930939"/>
    <w:rsid w:val="00931EBB"/>
    <w:rsid w:val="00933286"/>
    <w:rsid w:val="00935BD5"/>
    <w:rsid w:val="0094002B"/>
    <w:rsid w:val="00940800"/>
    <w:rsid w:val="00942218"/>
    <w:rsid w:val="009457D0"/>
    <w:rsid w:val="00946221"/>
    <w:rsid w:val="00946E94"/>
    <w:rsid w:val="00947D01"/>
    <w:rsid w:val="009542DF"/>
    <w:rsid w:val="00954D32"/>
    <w:rsid w:val="00956FC7"/>
    <w:rsid w:val="00957591"/>
    <w:rsid w:val="00962BDC"/>
    <w:rsid w:val="00963C6E"/>
    <w:rsid w:val="00967711"/>
    <w:rsid w:val="009709EB"/>
    <w:rsid w:val="00970F0E"/>
    <w:rsid w:val="00971273"/>
    <w:rsid w:val="00973110"/>
    <w:rsid w:val="00973E4D"/>
    <w:rsid w:val="009744BC"/>
    <w:rsid w:val="00974835"/>
    <w:rsid w:val="00974E01"/>
    <w:rsid w:val="00975B9F"/>
    <w:rsid w:val="00977F5F"/>
    <w:rsid w:val="00980BD8"/>
    <w:rsid w:val="00982BAD"/>
    <w:rsid w:val="00982F68"/>
    <w:rsid w:val="00983AA3"/>
    <w:rsid w:val="0098599A"/>
    <w:rsid w:val="00985A90"/>
    <w:rsid w:val="00987394"/>
    <w:rsid w:val="00987755"/>
    <w:rsid w:val="009916A3"/>
    <w:rsid w:val="00991CEB"/>
    <w:rsid w:val="009A0B01"/>
    <w:rsid w:val="009A1825"/>
    <w:rsid w:val="009A4350"/>
    <w:rsid w:val="009A526A"/>
    <w:rsid w:val="009A6439"/>
    <w:rsid w:val="009A650E"/>
    <w:rsid w:val="009B365D"/>
    <w:rsid w:val="009B4D81"/>
    <w:rsid w:val="009B4F01"/>
    <w:rsid w:val="009B6AB3"/>
    <w:rsid w:val="009C0896"/>
    <w:rsid w:val="009C4D17"/>
    <w:rsid w:val="009C569F"/>
    <w:rsid w:val="009D03FA"/>
    <w:rsid w:val="009D659D"/>
    <w:rsid w:val="009D7238"/>
    <w:rsid w:val="009D7787"/>
    <w:rsid w:val="009E64DC"/>
    <w:rsid w:val="009E6AEA"/>
    <w:rsid w:val="009E7D6D"/>
    <w:rsid w:val="009F0A7B"/>
    <w:rsid w:val="009F0C16"/>
    <w:rsid w:val="009F2554"/>
    <w:rsid w:val="009F3212"/>
    <w:rsid w:val="009F709F"/>
    <w:rsid w:val="009F730F"/>
    <w:rsid w:val="00A03014"/>
    <w:rsid w:val="00A032CE"/>
    <w:rsid w:val="00A0401A"/>
    <w:rsid w:val="00A050A3"/>
    <w:rsid w:val="00A118A1"/>
    <w:rsid w:val="00A119CA"/>
    <w:rsid w:val="00A12148"/>
    <w:rsid w:val="00A130EE"/>
    <w:rsid w:val="00A13DB3"/>
    <w:rsid w:val="00A14A25"/>
    <w:rsid w:val="00A15A18"/>
    <w:rsid w:val="00A16834"/>
    <w:rsid w:val="00A175FE"/>
    <w:rsid w:val="00A211E6"/>
    <w:rsid w:val="00A21EDD"/>
    <w:rsid w:val="00A2204B"/>
    <w:rsid w:val="00A22095"/>
    <w:rsid w:val="00A222E1"/>
    <w:rsid w:val="00A2396F"/>
    <w:rsid w:val="00A24B3E"/>
    <w:rsid w:val="00A318CE"/>
    <w:rsid w:val="00A332C7"/>
    <w:rsid w:val="00A353AC"/>
    <w:rsid w:val="00A359CA"/>
    <w:rsid w:val="00A36480"/>
    <w:rsid w:val="00A36F0C"/>
    <w:rsid w:val="00A37E9F"/>
    <w:rsid w:val="00A40394"/>
    <w:rsid w:val="00A42647"/>
    <w:rsid w:val="00A431A5"/>
    <w:rsid w:val="00A44DD0"/>
    <w:rsid w:val="00A45E6B"/>
    <w:rsid w:val="00A475EE"/>
    <w:rsid w:val="00A47E97"/>
    <w:rsid w:val="00A50340"/>
    <w:rsid w:val="00A55740"/>
    <w:rsid w:val="00A612F7"/>
    <w:rsid w:val="00A61D3E"/>
    <w:rsid w:val="00A61F4A"/>
    <w:rsid w:val="00A625F6"/>
    <w:rsid w:val="00A62B12"/>
    <w:rsid w:val="00A63D5B"/>
    <w:rsid w:val="00A642FF"/>
    <w:rsid w:val="00A669FC"/>
    <w:rsid w:val="00A674F9"/>
    <w:rsid w:val="00A71461"/>
    <w:rsid w:val="00A73AA1"/>
    <w:rsid w:val="00A750CF"/>
    <w:rsid w:val="00A75743"/>
    <w:rsid w:val="00A77EA6"/>
    <w:rsid w:val="00A81342"/>
    <w:rsid w:val="00A82C79"/>
    <w:rsid w:val="00A82CE3"/>
    <w:rsid w:val="00A83FA2"/>
    <w:rsid w:val="00A840DE"/>
    <w:rsid w:val="00A84810"/>
    <w:rsid w:val="00A86CD6"/>
    <w:rsid w:val="00A9035D"/>
    <w:rsid w:val="00A92312"/>
    <w:rsid w:val="00A9698A"/>
    <w:rsid w:val="00AA1D3B"/>
    <w:rsid w:val="00AA2401"/>
    <w:rsid w:val="00AA3C17"/>
    <w:rsid w:val="00AA3D68"/>
    <w:rsid w:val="00AA47EC"/>
    <w:rsid w:val="00AA5C63"/>
    <w:rsid w:val="00AA6064"/>
    <w:rsid w:val="00AA611E"/>
    <w:rsid w:val="00AB02FE"/>
    <w:rsid w:val="00AB32F3"/>
    <w:rsid w:val="00AB363C"/>
    <w:rsid w:val="00AC78DB"/>
    <w:rsid w:val="00AD14C3"/>
    <w:rsid w:val="00AD23D2"/>
    <w:rsid w:val="00AD405E"/>
    <w:rsid w:val="00AD5187"/>
    <w:rsid w:val="00AE15AB"/>
    <w:rsid w:val="00AE4DF8"/>
    <w:rsid w:val="00AE68D1"/>
    <w:rsid w:val="00AF2C52"/>
    <w:rsid w:val="00AF4544"/>
    <w:rsid w:val="00AF5B86"/>
    <w:rsid w:val="00AF744D"/>
    <w:rsid w:val="00AF7C6F"/>
    <w:rsid w:val="00B00F3E"/>
    <w:rsid w:val="00B0121F"/>
    <w:rsid w:val="00B02CF6"/>
    <w:rsid w:val="00B03E01"/>
    <w:rsid w:val="00B048DF"/>
    <w:rsid w:val="00B07F14"/>
    <w:rsid w:val="00B100E8"/>
    <w:rsid w:val="00B10FD8"/>
    <w:rsid w:val="00B11D8D"/>
    <w:rsid w:val="00B12FCF"/>
    <w:rsid w:val="00B13CC6"/>
    <w:rsid w:val="00B17E9A"/>
    <w:rsid w:val="00B20386"/>
    <w:rsid w:val="00B21B7A"/>
    <w:rsid w:val="00B26C29"/>
    <w:rsid w:val="00B27CFF"/>
    <w:rsid w:val="00B30F4A"/>
    <w:rsid w:val="00B32492"/>
    <w:rsid w:val="00B347E3"/>
    <w:rsid w:val="00B3729F"/>
    <w:rsid w:val="00B372A6"/>
    <w:rsid w:val="00B42BD3"/>
    <w:rsid w:val="00B43632"/>
    <w:rsid w:val="00B44506"/>
    <w:rsid w:val="00B457D8"/>
    <w:rsid w:val="00B4596F"/>
    <w:rsid w:val="00B46226"/>
    <w:rsid w:val="00B50256"/>
    <w:rsid w:val="00B532B9"/>
    <w:rsid w:val="00B5608E"/>
    <w:rsid w:val="00B56B2B"/>
    <w:rsid w:val="00B64114"/>
    <w:rsid w:val="00B64F88"/>
    <w:rsid w:val="00B70FDC"/>
    <w:rsid w:val="00B72107"/>
    <w:rsid w:val="00B72E38"/>
    <w:rsid w:val="00B764B4"/>
    <w:rsid w:val="00B76998"/>
    <w:rsid w:val="00B77696"/>
    <w:rsid w:val="00B77809"/>
    <w:rsid w:val="00B80014"/>
    <w:rsid w:val="00B80B29"/>
    <w:rsid w:val="00B81D52"/>
    <w:rsid w:val="00B83FC3"/>
    <w:rsid w:val="00B85471"/>
    <w:rsid w:val="00B874DF"/>
    <w:rsid w:val="00B90032"/>
    <w:rsid w:val="00B93FED"/>
    <w:rsid w:val="00B94486"/>
    <w:rsid w:val="00B9582B"/>
    <w:rsid w:val="00B963AE"/>
    <w:rsid w:val="00B96DB3"/>
    <w:rsid w:val="00BA1BE5"/>
    <w:rsid w:val="00BA2BE5"/>
    <w:rsid w:val="00BA4807"/>
    <w:rsid w:val="00BA6461"/>
    <w:rsid w:val="00BA776E"/>
    <w:rsid w:val="00BB134B"/>
    <w:rsid w:val="00BB1A19"/>
    <w:rsid w:val="00BB1CA0"/>
    <w:rsid w:val="00BB22CA"/>
    <w:rsid w:val="00BB6C7D"/>
    <w:rsid w:val="00BB7720"/>
    <w:rsid w:val="00BC2FC6"/>
    <w:rsid w:val="00BC2FC9"/>
    <w:rsid w:val="00BC4ADB"/>
    <w:rsid w:val="00BC643C"/>
    <w:rsid w:val="00BC659F"/>
    <w:rsid w:val="00BC68EC"/>
    <w:rsid w:val="00BD0477"/>
    <w:rsid w:val="00BD256B"/>
    <w:rsid w:val="00BD3DE9"/>
    <w:rsid w:val="00BD5893"/>
    <w:rsid w:val="00BD61F7"/>
    <w:rsid w:val="00BD63B5"/>
    <w:rsid w:val="00BD738F"/>
    <w:rsid w:val="00BE18C0"/>
    <w:rsid w:val="00BF04A5"/>
    <w:rsid w:val="00BF4011"/>
    <w:rsid w:val="00BF4E9F"/>
    <w:rsid w:val="00BF5269"/>
    <w:rsid w:val="00BF650B"/>
    <w:rsid w:val="00BF76C1"/>
    <w:rsid w:val="00C00259"/>
    <w:rsid w:val="00C007DD"/>
    <w:rsid w:val="00C04CE2"/>
    <w:rsid w:val="00C067C8"/>
    <w:rsid w:val="00C12863"/>
    <w:rsid w:val="00C12B53"/>
    <w:rsid w:val="00C151F2"/>
    <w:rsid w:val="00C15DE8"/>
    <w:rsid w:val="00C175E8"/>
    <w:rsid w:val="00C21896"/>
    <w:rsid w:val="00C21A78"/>
    <w:rsid w:val="00C32699"/>
    <w:rsid w:val="00C328FD"/>
    <w:rsid w:val="00C32D9D"/>
    <w:rsid w:val="00C34E13"/>
    <w:rsid w:val="00C37DB0"/>
    <w:rsid w:val="00C408C5"/>
    <w:rsid w:val="00C42715"/>
    <w:rsid w:val="00C42A97"/>
    <w:rsid w:val="00C461A8"/>
    <w:rsid w:val="00C47254"/>
    <w:rsid w:val="00C47355"/>
    <w:rsid w:val="00C47919"/>
    <w:rsid w:val="00C50164"/>
    <w:rsid w:val="00C50559"/>
    <w:rsid w:val="00C50AB9"/>
    <w:rsid w:val="00C5433C"/>
    <w:rsid w:val="00C610F0"/>
    <w:rsid w:val="00C6408A"/>
    <w:rsid w:val="00C719D1"/>
    <w:rsid w:val="00C72478"/>
    <w:rsid w:val="00C72707"/>
    <w:rsid w:val="00C767E2"/>
    <w:rsid w:val="00C76D86"/>
    <w:rsid w:val="00C76EA7"/>
    <w:rsid w:val="00C776AD"/>
    <w:rsid w:val="00C77FED"/>
    <w:rsid w:val="00C81D2F"/>
    <w:rsid w:val="00C85BC8"/>
    <w:rsid w:val="00C86198"/>
    <w:rsid w:val="00C90814"/>
    <w:rsid w:val="00C9087B"/>
    <w:rsid w:val="00C90DBD"/>
    <w:rsid w:val="00C92CB7"/>
    <w:rsid w:val="00C93CBF"/>
    <w:rsid w:val="00C93D12"/>
    <w:rsid w:val="00C96486"/>
    <w:rsid w:val="00C97517"/>
    <w:rsid w:val="00C97D9A"/>
    <w:rsid w:val="00CA2192"/>
    <w:rsid w:val="00CA2E92"/>
    <w:rsid w:val="00CA3FFB"/>
    <w:rsid w:val="00CA41A8"/>
    <w:rsid w:val="00CA5D2D"/>
    <w:rsid w:val="00CA7068"/>
    <w:rsid w:val="00CA76DF"/>
    <w:rsid w:val="00CA7C84"/>
    <w:rsid w:val="00CB0F2A"/>
    <w:rsid w:val="00CB114F"/>
    <w:rsid w:val="00CB1340"/>
    <w:rsid w:val="00CB4677"/>
    <w:rsid w:val="00CB4AC0"/>
    <w:rsid w:val="00CB53A3"/>
    <w:rsid w:val="00CB5F0F"/>
    <w:rsid w:val="00CB6022"/>
    <w:rsid w:val="00CB7501"/>
    <w:rsid w:val="00CB7803"/>
    <w:rsid w:val="00CB7E0C"/>
    <w:rsid w:val="00CC07BA"/>
    <w:rsid w:val="00CC21B5"/>
    <w:rsid w:val="00CC39C5"/>
    <w:rsid w:val="00CC48CC"/>
    <w:rsid w:val="00CC762F"/>
    <w:rsid w:val="00CD4C6A"/>
    <w:rsid w:val="00CD6B2D"/>
    <w:rsid w:val="00CD6D64"/>
    <w:rsid w:val="00CD7C8D"/>
    <w:rsid w:val="00CE04B4"/>
    <w:rsid w:val="00CE27AD"/>
    <w:rsid w:val="00CE6564"/>
    <w:rsid w:val="00CF020E"/>
    <w:rsid w:val="00CF0B99"/>
    <w:rsid w:val="00CF32BD"/>
    <w:rsid w:val="00CF582D"/>
    <w:rsid w:val="00D01B99"/>
    <w:rsid w:val="00D02F96"/>
    <w:rsid w:val="00D12930"/>
    <w:rsid w:val="00D137F7"/>
    <w:rsid w:val="00D141C2"/>
    <w:rsid w:val="00D1473A"/>
    <w:rsid w:val="00D21452"/>
    <w:rsid w:val="00D218F3"/>
    <w:rsid w:val="00D228BB"/>
    <w:rsid w:val="00D2328C"/>
    <w:rsid w:val="00D23388"/>
    <w:rsid w:val="00D23434"/>
    <w:rsid w:val="00D2456C"/>
    <w:rsid w:val="00D26F18"/>
    <w:rsid w:val="00D30677"/>
    <w:rsid w:val="00D30767"/>
    <w:rsid w:val="00D309AF"/>
    <w:rsid w:val="00D322E0"/>
    <w:rsid w:val="00D3698F"/>
    <w:rsid w:val="00D40655"/>
    <w:rsid w:val="00D41BE1"/>
    <w:rsid w:val="00D41DAA"/>
    <w:rsid w:val="00D437A6"/>
    <w:rsid w:val="00D44259"/>
    <w:rsid w:val="00D45313"/>
    <w:rsid w:val="00D45472"/>
    <w:rsid w:val="00D515A2"/>
    <w:rsid w:val="00D52139"/>
    <w:rsid w:val="00D556ED"/>
    <w:rsid w:val="00D56E23"/>
    <w:rsid w:val="00D61942"/>
    <w:rsid w:val="00D631F3"/>
    <w:rsid w:val="00D63C1C"/>
    <w:rsid w:val="00D643BC"/>
    <w:rsid w:val="00D65FB6"/>
    <w:rsid w:val="00D66751"/>
    <w:rsid w:val="00D66D68"/>
    <w:rsid w:val="00D70018"/>
    <w:rsid w:val="00D72A94"/>
    <w:rsid w:val="00D754D8"/>
    <w:rsid w:val="00D75DBE"/>
    <w:rsid w:val="00D80EF9"/>
    <w:rsid w:val="00D811FE"/>
    <w:rsid w:val="00D857A2"/>
    <w:rsid w:val="00D864B5"/>
    <w:rsid w:val="00D868C9"/>
    <w:rsid w:val="00D86DE1"/>
    <w:rsid w:val="00D871A0"/>
    <w:rsid w:val="00D87F19"/>
    <w:rsid w:val="00D94C88"/>
    <w:rsid w:val="00D975F8"/>
    <w:rsid w:val="00D97FD0"/>
    <w:rsid w:val="00DA13E2"/>
    <w:rsid w:val="00DA191C"/>
    <w:rsid w:val="00DA3033"/>
    <w:rsid w:val="00DA4048"/>
    <w:rsid w:val="00DA5C58"/>
    <w:rsid w:val="00DA6AC5"/>
    <w:rsid w:val="00DB2081"/>
    <w:rsid w:val="00DB2134"/>
    <w:rsid w:val="00DB2F6A"/>
    <w:rsid w:val="00DB30C1"/>
    <w:rsid w:val="00DB6E0B"/>
    <w:rsid w:val="00DC1725"/>
    <w:rsid w:val="00DC19CB"/>
    <w:rsid w:val="00DC34EC"/>
    <w:rsid w:val="00DC3A1D"/>
    <w:rsid w:val="00DC3FD5"/>
    <w:rsid w:val="00DC513D"/>
    <w:rsid w:val="00DC652E"/>
    <w:rsid w:val="00DC774A"/>
    <w:rsid w:val="00DD0D20"/>
    <w:rsid w:val="00DD5703"/>
    <w:rsid w:val="00DD762C"/>
    <w:rsid w:val="00DE2087"/>
    <w:rsid w:val="00DE2D66"/>
    <w:rsid w:val="00DE424F"/>
    <w:rsid w:val="00DE60E8"/>
    <w:rsid w:val="00DF051C"/>
    <w:rsid w:val="00DF15FD"/>
    <w:rsid w:val="00DF49BD"/>
    <w:rsid w:val="00DF5177"/>
    <w:rsid w:val="00DF75A5"/>
    <w:rsid w:val="00E053EB"/>
    <w:rsid w:val="00E106EE"/>
    <w:rsid w:val="00E13C41"/>
    <w:rsid w:val="00E166E0"/>
    <w:rsid w:val="00E1788D"/>
    <w:rsid w:val="00E2033F"/>
    <w:rsid w:val="00E25F9B"/>
    <w:rsid w:val="00E3059B"/>
    <w:rsid w:val="00E30885"/>
    <w:rsid w:val="00E313A2"/>
    <w:rsid w:val="00E32871"/>
    <w:rsid w:val="00E338AA"/>
    <w:rsid w:val="00E347EE"/>
    <w:rsid w:val="00E351E3"/>
    <w:rsid w:val="00E36804"/>
    <w:rsid w:val="00E40845"/>
    <w:rsid w:val="00E439F2"/>
    <w:rsid w:val="00E449A4"/>
    <w:rsid w:val="00E45267"/>
    <w:rsid w:val="00E4670A"/>
    <w:rsid w:val="00E47210"/>
    <w:rsid w:val="00E5053D"/>
    <w:rsid w:val="00E507E3"/>
    <w:rsid w:val="00E5126C"/>
    <w:rsid w:val="00E52627"/>
    <w:rsid w:val="00E5594A"/>
    <w:rsid w:val="00E56B20"/>
    <w:rsid w:val="00E56EEF"/>
    <w:rsid w:val="00E61E0F"/>
    <w:rsid w:val="00E648BA"/>
    <w:rsid w:val="00E652D0"/>
    <w:rsid w:val="00E6613E"/>
    <w:rsid w:val="00E667C0"/>
    <w:rsid w:val="00E670B3"/>
    <w:rsid w:val="00E6781E"/>
    <w:rsid w:val="00E678F6"/>
    <w:rsid w:val="00E67FB3"/>
    <w:rsid w:val="00E73378"/>
    <w:rsid w:val="00E74CC0"/>
    <w:rsid w:val="00E763B5"/>
    <w:rsid w:val="00E76A63"/>
    <w:rsid w:val="00E77469"/>
    <w:rsid w:val="00E77E37"/>
    <w:rsid w:val="00E81011"/>
    <w:rsid w:val="00E82689"/>
    <w:rsid w:val="00E82939"/>
    <w:rsid w:val="00E82959"/>
    <w:rsid w:val="00E84674"/>
    <w:rsid w:val="00E87192"/>
    <w:rsid w:val="00E926F8"/>
    <w:rsid w:val="00E95069"/>
    <w:rsid w:val="00E952C3"/>
    <w:rsid w:val="00EA0B0B"/>
    <w:rsid w:val="00EA13AE"/>
    <w:rsid w:val="00EA24BD"/>
    <w:rsid w:val="00EA2CD6"/>
    <w:rsid w:val="00EA40FD"/>
    <w:rsid w:val="00EA6E14"/>
    <w:rsid w:val="00EA7E02"/>
    <w:rsid w:val="00EB03CF"/>
    <w:rsid w:val="00EB09C5"/>
    <w:rsid w:val="00EB2A40"/>
    <w:rsid w:val="00EB3F86"/>
    <w:rsid w:val="00EB4924"/>
    <w:rsid w:val="00EB4BB5"/>
    <w:rsid w:val="00EC4392"/>
    <w:rsid w:val="00EC6455"/>
    <w:rsid w:val="00EC7D4C"/>
    <w:rsid w:val="00ED0CE0"/>
    <w:rsid w:val="00ED1728"/>
    <w:rsid w:val="00ED1B8F"/>
    <w:rsid w:val="00ED38C1"/>
    <w:rsid w:val="00ED3C51"/>
    <w:rsid w:val="00ED4D2E"/>
    <w:rsid w:val="00ED4D9F"/>
    <w:rsid w:val="00ED6EF9"/>
    <w:rsid w:val="00ED789E"/>
    <w:rsid w:val="00EE25F3"/>
    <w:rsid w:val="00EE3E2D"/>
    <w:rsid w:val="00EE50D2"/>
    <w:rsid w:val="00EE79A4"/>
    <w:rsid w:val="00EE7A3C"/>
    <w:rsid w:val="00EF3D3A"/>
    <w:rsid w:val="00EF6FD4"/>
    <w:rsid w:val="00F017F1"/>
    <w:rsid w:val="00F04684"/>
    <w:rsid w:val="00F05CF8"/>
    <w:rsid w:val="00F05D0F"/>
    <w:rsid w:val="00F07B7C"/>
    <w:rsid w:val="00F101B6"/>
    <w:rsid w:val="00F113B4"/>
    <w:rsid w:val="00F113C4"/>
    <w:rsid w:val="00F14AA7"/>
    <w:rsid w:val="00F15E6D"/>
    <w:rsid w:val="00F17380"/>
    <w:rsid w:val="00F1776E"/>
    <w:rsid w:val="00F17E85"/>
    <w:rsid w:val="00F23C91"/>
    <w:rsid w:val="00F25714"/>
    <w:rsid w:val="00F26A6A"/>
    <w:rsid w:val="00F2758E"/>
    <w:rsid w:val="00F30A98"/>
    <w:rsid w:val="00F3228D"/>
    <w:rsid w:val="00F3448B"/>
    <w:rsid w:val="00F34F90"/>
    <w:rsid w:val="00F36355"/>
    <w:rsid w:val="00F367FA"/>
    <w:rsid w:val="00F36A41"/>
    <w:rsid w:val="00F435B9"/>
    <w:rsid w:val="00F43DCC"/>
    <w:rsid w:val="00F52831"/>
    <w:rsid w:val="00F5515E"/>
    <w:rsid w:val="00F559D9"/>
    <w:rsid w:val="00F65878"/>
    <w:rsid w:val="00F67C0C"/>
    <w:rsid w:val="00F74756"/>
    <w:rsid w:val="00F75359"/>
    <w:rsid w:val="00F764CE"/>
    <w:rsid w:val="00F76D10"/>
    <w:rsid w:val="00F76DEF"/>
    <w:rsid w:val="00F77B47"/>
    <w:rsid w:val="00F819B0"/>
    <w:rsid w:val="00F848E6"/>
    <w:rsid w:val="00F86985"/>
    <w:rsid w:val="00F875FF"/>
    <w:rsid w:val="00F90676"/>
    <w:rsid w:val="00F90CFE"/>
    <w:rsid w:val="00F91824"/>
    <w:rsid w:val="00F9247C"/>
    <w:rsid w:val="00F93FE8"/>
    <w:rsid w:val="00F94532"/>
    <w:rsid w:val="00F947F1"/>
    <w:rsid w:val="00F95901"/>
    <w:rsid w:val="00FA057F"/>
    <w:rsid w:val="00FA060A"/>
    <w:rsid w:val="00FA0D63"/>
    <w:rsid w:val="00FA151A"/>
    <w:rsid w:val="00FA251A"/>
    <w:rsid w:val="00FA315A"/>
    <w:rsid w:val="00FA432A"/>
    <w:rsid w:val="00FA45D8"/>
    <w:rsid w:val="00FA588A"/>
    <w:rsid w:val="00FA5D40"/>
    <w:rsid w:val="00FA63E1"/>
    <w:rsid w:val="00FA65B9"/>
    <w:rsid w:val="00FA777F"/>
    <w:rsid w:val="00FA785A"/>
    <w:rsid w:val="00FA7FC4"/>
    <w:rsid w:val="00FB07A0"/>
    <w:rsid w:val="00FB0F8A"/>
    <w:rsid w:val="00FB1B2F"/>
    <w:rsid w:val="00FB42BF"/>
    <w:rsid w:val="00FB495E"/>
    <w:rsid w:val="00FB6778"/>
    <w:rsid w:val="00FB77D8"/>
    <w:rsid w:val="00FC1D3B"/>
    <w:rsid w:val="00FC3126"/>
    <w:rsid w:val="00FC38FD"/>
    <w:rsid w:val="00FD1778"/>
    <w:rsid w:val="00FD6882"/>
    <w:rsid w:val="00FD712C"/>
    <w:rsid w:val="00FD72A4"/>
    <w:rsid w:val="00FD736A"/>
    <w:rsid w:val="00FD7E5E"/>
    <w:rsid w:val="00FE1564"/>
    <w:rsid w:val="00FE6CDF"/>
    <w:rsid w:val="00FE7844"/>
    <w:rsid w:val="00FF0E54"/>
    <w:rsid w:val="00FF5CA2"/>
    <w:rsid w:val="00FF64C5"/>
    <w:rsid w:val="00FF687F"/>
    <w:rsid w:val="00FF7091"/>
    <w:rsid w:val="01037987"/>
    <w:rsid w:val="01176EA7"/>
    <w:rsid w:val="012F6212"/>
    <w:rsid w:val="01BD6FF2"/>
    <w:rsid w:val="01C60EC2"/>
    <w:rsid w:val="01C931ED"/>
    <w:rsid w:val="01E321F3"/>
    <w:rsid w:val="01EC0334"/>
    <w:rsid w:val="027104E7"/>
    <w:rsid w:val="02A44208"/>
    <w:rsid w:val="02C31095"/>
    <w:rsid w:val="02F2613F"/>
    <w:rsid w:val="030E33BF"/>
    <w:rsid w:val="030F7665"/>
    <w:rsid w:val="032D2A3F"/>
    <w:rsid w:val="03453536"/>
    <w:rsid w:val="0395080F"/>
    <w:rsid w:val="03A42065"/>
    <w:rsid w:val="03CE4C8D"/>
    <w:rsid w:val="040C5EDE"/>
    <w:rsid w:val="04103E30"/>
    <w:rsid w:val="044C3494"/>
    <w:rsid w:val="047821B1"/>
    <w:rsid w:val="04956901"/>
    <w:rsid w:val="04A42D91"/>
    <w:rsid w:val="04B92374"/>
    <w:rsid w:val="04CB42A2"/>
    <w:rsid w:val="04DF335C"/>
    <w:rsid w:val="04E82329"/>
    <w:rsid w:val="052A6A67"/>
    <w:rsid w:val="055F254C"/>
    <w:rsid w:val="05B61608"/>
    <w:rsid w:val="05D61FCC"/>
    <w:rsid w:val="05DC758C"/>
    <w:rsid w:val="05DC7A76"/>
    <w:rsid w:val="05DE391A"/>
    <w:rsid w:val="060317A8"/>
    <w:rsid w:val="06074F9A"/>
    <w:rsid w:val="06110C06"/>
    <w:rsid w:val="0616597F"/>
    <w:rsid w:val="064D796F"/>
    <w:rsid w:val="06DD19B8"/>
    <w:rsid w:val="06E07243"/>
    <w:rsid w:val="06E97868"/>
    <w:rsid w:val="06F257CE"/>
    <w:rsid w:val="070E48A8"/>
    <w:rsid w:val="070F6420"/>
    <w:rsid w:val="0712260D"/>
    <w:rsid w:val="071D1164"/>
    <w:rsid w:val="073A3E6D"/>
    <w:rsid w:val="073B2155"/>
    <w:rsid w:val="077336AF"/>
    <w:rsid w:val="078E7E1C"/>
    <w:rsid w:val="079056D2"/>
    <w:rsid w:val="07DA0F08"/>
    <w:rsid w:val="086E3851"/>
    <w:rsid w:val="089D749F"/>
    <w:rsid w:val="08C14BED"/>
    <w:rsid w:val="08C85A10"/>
    <w:rsid w:val="08CE75AF"/>
    <w:rsid w:val="08CF7A30"/>
    <w:rsid w:val="08D665F8"/>
    <w:rsid w:val="09041703"/>
    <w:rsid w:val="092473B3"/>
    <w:rsid w:val="092B530E"/>
    <w:rsid w:val="098958FC"/>
    <w:rsid w:val="09B62D33"/>
    <w:rsid w:val="09E3201C"/>
    <w:rsid w:val="09FA3B82"/>
    <w:rsid w:val="0A190F6D"/>
    <w:rsid w:val="0A21432E"/>
    <w:rsid w:val="0A2A432D"/>
    <w:rsid w:val="0A4E0753"/>
    <w:rsid w:val="0A522BA1"/>
    <w:rsid w:val="0A7E52D5"/>
    <w:rsid w:val="0AA2282E"/>
    <w:rsid w:val="0AC05448"/>
    <w:rsid w:val="0AC20823"/>
    <w:rsid w:val="0AC92FC0"/>
    <w:rsid w:val="0AF708CD"/>
    <w:rsid w:val="0B285F6F"/>
    <w:rsid w:val="0B717AD3"/>
    <w:rsid w:val="0B7E220F"/>
    <w:rsid w:val="0B8F481C"/>
    <w:rsid w:val="0B907D1C"/>
    <w:rsid w:val="0BC01616"/>
    <w:rsid w:val="0BF9321F"/>
    <w:rsid w:val="0C093793"/>
    <w:rsid w:val="0C184D4D"/>
    <w:rsid w:val="0C41302A"/>
    <w:rsid w:val="0C6077F3"/>
    <w:rsid w:val="0C9B4A83"/>
    <w:rsid w:val="0CAC6289"/>
    <w:rsid w:val="0CDA2D15"/>
    <w:rsid w:val="0CE57C3E"/>
    <w:rsid w:val="0CE656A6"/>
    <w:rsid w:val="0CF61C69"/>
    <w:rsid w:val="0CFA17A8"/>
    <w:rsid w:val="0CFD0378"/>
    <w:rsid w:val="0D043550"/>
    <w:rsid w:val="0D163706"/>
    <w:rsid w:val="0D22763F"/>
    <w:rsid w:val="0D2F1868"/>
    <w:rsid w:val="0D50220E"/>
    <w:rsid w:val="0D8003C9"/>
    <w:rsid w:val="0D8B27AF"/>
    <w:rsid w:val="0D9767E6"/>
    <w:rsid w:val="0D9E60F3"/>
    <w:rsid w:val="0DE267AE"/>
    <w:rsid w:val="0E52103C"/>
    <w:rsid w:val="0E614E1F"/>
    <w:rsid w:val="0E6820F7"/>
    <w:rsid w:val="0E8272B0"/>
    <w:rsid w:val="0EAB43FD"/>
    <w:rsid w:val="0EAE7875"/>
    <w:rsid w:val="0F3F7997"/>
    <w:rsid w:val="0F75411A"/>
    <w:rsid w:val="0F7B483B"/>
    <w:rsid w:val="0FA20284"/>
    <w:rsid w:val="0FC63F72"/>
    <w:rsid w:val="0FDB200C"/>
    <w:rsid w:val="0FE9014D"/>
    <w:rsid w:val="0FEE0B17"/>
    <w:rsid w:val="10156CA8"/>
    <w:rsid w:val="104734F6"/>
    <w:rsid w:val="104D4694"/>
    <w:rsid w:val="1061277C"/>
    <w:rsid w:val="1094298C"/>
    <w:rsid w:val="109D7315"/>
    <w:rsid w:val="111007BC"/>
    <w:rsid w:val="114879B4"/>
    <w:rsid w:val="11640B91"/>
    <w:rsid w:val="1166018B"/>
    <w:rsid w:val="11837110"/>
    <w:rsid w:val="118C41EC"/>
    <w:rsid w:val="12057A0C"/>
    <w:rsid w:val="12186FC5"/>
    <w:rsid w:val="123406F1"/>
    <w:rsid w:val="1250210D"/>
    <w:rsid w:val="126059AA"/>
    <w:rsid w:val="126463AF"/>
    <w:rsid w:val="12712C4D"/>
    <w:rsid w:val="12A75380"/>
    <w:rsid w:val="12AB55C0"/>
    <w:rsid w:val="12BE4981"/>
    <w:rsid w:val="12DF3592"/>
    <w:rsid w:val="12FE23F5"/>
    <w:rsid w:val="131274CE"/>
    <w:rsid w:val="13141029"/>
    <w:rsid w:val="135F2069"/>
    <w:rsid w:val="136A4DFA"/>
    <w:rsid w:val="137C014E"/>
    <w:rsid w:val="13A91E1D"/>
    <w:rsid w:val="13BC64F2"/>
    <w:rsid w:val="13C3190B"/>
    <w:rsid w:val="141058BA"/>
    <w:rsid w:val="141352AC"/>
    <w:rsid w:val="144E42E3"/>
    <w:rsid w:val="145764DB"/>
    <w:rsid w:val="147823A8"/>
    <w:rsid w:val="148A6C4A"/>
    <w:rsid w:val="14AA3E63"/>
    <w:rsid w:val="14B96529"/>
    <w:rsid w:val="14C97A57"/>
    <w:rsid w:val="14CB4FE8"/>
    <w:rsid w:val="14D73C5B"/>
    <w:rsid w:val="152657A2"/>
    <w:rsid w:val="155344FA"/>
    <w:rsid w:val="15BD7BC5"/>
    <w:rsid w:val="15C305BD"/>
    <w:rsid w:val="169C3C7F"/>
    <w:rsid w:val="16B25BAD"/>
    <w:rsid w:val="16E91B7A"/>
    <w:rsid w:val="17082F39"/>
    <w:rsid w:val="17085261"/>
    <w:rsid w:val="17312619"/>
    <w:rsid w:val="174F6F43"/>
    <w:rsid w:val="1760610C"/>
    <w:rsid w:val="176F08CD"/>
    <w:rsid w:val="176F3141"/>
    <w:rsid w:val="1773518C"/>
    <w:rsid w:val="179130B8"/>
    <w:rsid w:val="17D64125"/>
    <w:rsid w:val="181F0CB9"/>
    <w:rsid w:val="1835035D"/>
    <w:rsid w:val="184B6B2E"/>
    <w:rsid w:val="18526FE7"/>
    <w:rsid w:val="18741B0A"/>
    <w:rsid w:val="1881458D"/>
    <w:rsid w:val="189506B0"/>
    <w:rsid w:val="18995C5E"/>
    <w:rsid w:val="18AD0F2F"/>
    <w:rsid w:val="18C92AD8"/>
    <w:rsid w:val="18D77422"/>
    <w:rsid w:val="18DE594F"/>
    <w:rsid w:val="190F7042"/>
    <w:rsid w:val="197D6F7E"/>
    <w:rsid w:val="197F0FD1"/>
    <w:rsid w:val="19971CFA"/>
    <w:rsid w:val="19E97E1E"/>
    <w:rsid w:val="19FB0CBC"/>
    <w:rsid w:val="1A1F4B51"/>
    <w:rsid w:val="1A3B14D9"/>
    <w:rsid w:val="1A422354"/>
    <w:rsid w:val="1A726BF0"/>
    <w:rsid w:val="1AC4741C"/>
    <w:rsid w:val="1AE46F1A"/>
    <w:rsid w:val="1B272729"/>
    <w:rsid w:val="1B3E084B"/>
    <w:rsid w:val="1B6B3C20"/>
    <w:rsid w:val="1B7A20B5"/>
    <w:rsid w:val="1BB756B2"/>
    <w:rsid w:val="1BCF3EEE"/>
    <w:rsid w:val="1BEA723A"/>
    <w:rsid w:val="1BFC3C3B"/>
    <w:rsid w:val="1C093F9F"/>
    <w:rsid w:val="1C1C780E"/>
    <w:rsid w:val="1C346708"/>
    <w:rsid w:val="1C4D6F0D"/>
    <w:rsid w:val="1C4E6200"/>
    <w:rsid w:val="1C6101F6"/>
    <w:rsid w:val="1C8B048D"/>
    <w:rsid w:val="1C905802"/>
    <w:rsid w:val="1C962E28"/>
    <w:rsid w:val="1CAA74A3"/>
    <w:rsid w:val="1CF73BFF"/>
    <w:rsid w:val="1D1518C2"/>
    <w:rsid w:val="1D4367AA"/>
    <w:rsid w:val="1D4E7C49"/>
    <w:rsid w:val="1DDE5D49"/>
    <w:rsid w:val="1DEA0E09"/>
    <w:rsid w:val="1DEC3F82"/>
    <w:rsid w:val="1DF51867"/>
    <w:rsid w:val="1E45378D"/>
    <w:rsid w:val="1E4F0F03"/>
    <w:rsid w:val="1E6942EB"/>
    <w:rsid w:val="1E796654"/>
    <w:rsid w:val="1E9C1622"/>
    <w:rsid w:val="1ED47654"/>
    <w:rsid w:val="1F057784"/>
    <w:rsid w:val="1F085781"/>
    <w:rsid w:val="1F0E75D9"/>
    <w:rsid w:val="1F2B1594"/>
    <w:rsid w:val="1F5772F8"/>
    <w:rsid w:val="1FAB2FE2"/>
    <w:rsid w:val="1FDF5BC6"/>
    <w:rsid w:val="1FE34670"/>
    <w:rsid w:val="1FE80FDF"/>
    <w:rsid w:val="1FEA3725"/>
    <w:rsid w:val="202A314E"/>
    <w:rsid w:val="206249BD"/>
    <w:rsid w:val="20696B8B"/>
    <w:rsid w:val="206E3013"/>
    <w:rsid w:val="207D4B9D"/>
    <w:rsid w:val="208D2E20"/>
    <w:rsid w:val="20DC7FD3"/>
    <w:rsid w:val="20EA188C"/>
    <w:rsid w:val="213B0DA4"/>
    <w:rsid w:val="21462142"/>
    <w:rsid w:val="214747E7"/>
    <w:rsid w:val="215149F0"/>
    <w:rsid w:val="21CC3BA5"/>
    <w:rsid w:val="21D545D7"/>
    <w:rsid w:val="21F95655"/>
    <w:rsid w:val="22672709"/>
    <w:rsid w:val="228160FE"/>
    <w:rsid w:val="229E600E"/>
    <w:rsid w:val="22DF51AE"/>
    <w:rsid w:val="230D467C"/>
    <w:rsid w:val="2318643B"/>
    <w:rsid w:val="23267A20"/>
    <w:rsid w:val="232A1FA6"/>
    <w:rsid w:val="232E65BC"/>
    <w:rsid w:val="23623853"/>
    <w:rsid w:val="238D755E"/>
    <w:rsid w:val="23AE69F2"/>
    <w:rsid w:val="23BA45D6"/>
    <w:rsid w:val="23D16F0C"/>
    <w:rsid w:val="23D36E1F"/>
    <w:rsid w:val="23E51609"/>
    <w:rsid w:val="23ED3901"/>
    <w:rsid w:val="24157FAC"/>
    <w:rsid w:val="24207C5E"/>
    <w:rsid w:val="242636FC"/>
    <w:rsid w:val="24F46A34"/>
    <w:rsid w:val="24FA1CBF"/>
    <w:rsid w:val="25047B3A"/>
    <w:rsid w:val="253F4B41"/>
    <w:rsid w:val="255B4AC8"/>
    <w:rsid w:val="255F7023"/>
    <w:rsid w:val="25803A37"/>
    <w:rsid w:val="259A62A5"/>
    <w:rsid w:val="25A064DB"/>
    <w:rsid w:val="25E1625E"/>
    <w:rsid w:val="25F54276"/>
    <w:rsid w:val="25F9675E"/>
    <w:rsid w:val="261A20D2"/>
    <w:rsid w:val="263B3004"/>
    <w:rsid w:val="26451986"/>
    <w:rsid w:val="26924DA4"/>
    <w:rsid w:val="269E39A8"/>
    <w:rsid w:val="26B56FF9"/>
    <w:rsid w:val="26B612F4"/>
    <w:rsid w:val="270A7814"/>
    <w:rsid w:val="27174C5C"/>
    <w:rsid w:val="27185844"/>
    <w:rsid w:val="272107E7"/>
    <w:rsid w:val="276776AF"/>
    <w:rsid w:val="27950A7A"/>
    <w:rsid w:val="285477E8"/>
    <w:rsid w:val="28FC5B08"/>
    <w:rsid w:val="29052210"/>
    <w:rsid w:val="29373F7B"/>
    <w:rsid w:val="29592E63"/>
    <w:rsid w:val="295E3016"/>
    <w:rsid w:val="2961476E"/>
    <w:rsid w:val="29A661B9"/>
    <w:rsid w:val="29B92F88"/>
    <w:rsid w:val="29D303B0"/>
    <w:rsid w:val="29DB6859"/>
    <w:rsid w:val="29FC7A00"/>
    <w:rsid w:val="2A092FF2"/>
    <w:rsid w:val="2A5C70AC"/>
    <w:rsid w:val="2AC46EA9"/>
    <w:rsid w:val="2AF10235"/>
    <w:rsid w:val="2B2731C8"/>
    <w:rsid w:val="2B2B41E4"/>
    <w:rsid w:val="2B7E7234"/>
    <w:rsid w:val="2BC25ADE"/>
    <w:rsid w:val="2BE209CF"/>
    <w:rsid w:val="2BEA6463"/>
    <w:rsid w:val="2C0226DC"/>
    <w:rsid w:val="2C2046A0"/>
    <w:rsid w:val="2C43365B"/>
    <w:rsid w:val="2C592CFC"/>
    <w:rsid w:val="2C7D17F5"/>
    <w:rsid w:val="2C931DC2"/>
    <w:rsid w:val="2CB10399"/>
    <w:rsid w:val="2CCE06F6"/>
    <w:rsid w:val="2CD4486C"/>
    <w:rsid w:val="2CF117D5"/>
    <w:rsid w:val="2D02699A"/>
    <w:rsid w:val="2D1B2CD9"/>
    <w:rsid w:val="2D241394"/>
    <w:rsid w:val="2D3103DD"/>
    <w:rsid w:val="2D40325C"/>
    <w:rsid w:val="2D553710"/>
    <w:rsid w:val="2D5D78AA"/>
    <w:rsid w:val="2D5F5B4D"/>
    <w:rsid w:val="2D8357DB"/>
    <w:rsid w:val="2D861357"/>
    <w:rsid w:val="2DE42774"/>
    <w:rsid w:val="2DE94831"/>
    <w:rsid w:val="2E0C40AB"/>
    <w:rsid w:val="2E200B2D"/>
    <w:rsid w:val="2E4755CF"/>
    <w:rsid w:val="2E535B2F"/>
    <w:rsid w:val="2E574187"/>
    <w:rsid w:val="2EF47B1B"/>
    <w:rsid w:val="2F0B5380"/>
    <w:rsid w:val="2F130518"/>
    <w:rsid w:val="2F191CB7"/>
    <w:rsid w:val="2F212B1B"/>
    <w:rsid w:val="2F235B41"/>
    <w:rsid w:val="2F6A581B"/>
    <w:rsid w:val="2FA10343"/>
    <w:rsid w:val="2FA62E57"/>
    <w:rsid w:val="2FB628E7"/>
    <w:rsid w:val="30185CCC"/>
    <w:rsid w:val="301C7090"/>
    <w:rsid w:val="301F3862"/>
    <w:rsid w:val="302E6A3F"/>
    <w:rsid w:val="303F76FD"/>
    <w:rsid w:val="30540F28"/>
    <w:rsid w:val="305E6AB8"/>
    <w:rsid w:val="306652B0"/>
    <w:rsid w:val="30901524"/>
    <w:rsid w:val="30BD1F03"/>
    <w:rsid w:val="30C2542E"/>
    <w:rsid w:val="30E802FC"/>
    <w:rsid w:val="31813809"/>
    <w:rsid w:val="31B84A3D"/>
    <w:rsid w:val="31DA54FD"/>
    <w:rsid w:val="32100EC2"/>
    <w:rsid w:val="326813C3"/>
    <w:rsid w:val="32687149"/>
    <w:rsid w:val="326F3B9E"/>
    <w:rsid w:val="32AC5BC1"/>
    <w:rsid w:val="32BE2E57"/>
    <w:rsid w:val="335805A4"/>
    <w:rsid w:val="338E6424"/>
    <w:rsid w:val="339D30FA"/>
    <w:rsid w:val="34137260"/>
    <w:rsid w:val="34853D83"/>
    <w:rsid w:val="349F39BB"/>
    <w:rsid w:val="34DD7C07"/>
    <w:rsid w:val="35217C89"/>
    <w:rsid w:val="35310FDA"/>
    <w:rsid w:val="35543827"/>
    <w:rsid w:val="355806FF"/>
    <w:rsid w:val="355E0F75"/>
    <w:rsid w:val="35721F4B"/>
    <w:rsid w:val="358728C6"/>
    <w:rsid w:val="359A03AE"/>
    <w:rsid w:val="360A4309"/>
    <w:rsid w:val="360B1D56"/>
    <w:rsid w:val="361C2D71"/>
    <w:rsid w:val="362044A4"/>
    <w:rsid w:val="36234390"/>
    <w:rsid w:val="362C0724"/>
    <w:rsid w:val="364644FC"/>
    <w:rsid w:val="36B10C0B"/>
    <w:rsid w:val="36ED649F"/>
    <w:rsid w:val="373B6637"/>
    <w:rsid w:val="378B7314"/>
    <w:rsid w:val="37977E1F"/>
    <w:rsid w:val="37CC4D0D"/>
    <w:rsid w:val="37F9067C"/>
    <w:rsid w:val="37FE7E9E"/>
    <w:rsid w:val="38146D1F"/>
    <w:rsid w:val="383E7EED"/>
    <w:rsid w:val="384D4A7D"/>
    <w:rsid w:val="38517F9B"/>
    <w:rsid w:val="3859358C"/>
    <w:rsid w:val="3867475B"/>
    <w:rsid w:val="386D2BEA"/>
    <w:rsid w:val="387168C2"/>
    <w:rsid w:val="388A34DF"/>
    <w:rsid w:val="389E4CBE"/>
    <w:rsid w:val="389E53B4"/>
    <w:rsid w:val="38B62E65"/>
    <w:rsid w:val="38BF3057"/>
    <w:rsid w:val="38D046FA"/>
    <w:rsid w:val="38E072EA"/>
    <w:rsid w:val="38FC33EB"/>
    <w:rsid w:val="390A4BA7"/>
    <w:rsid w:val="390F1C37"/>
    <w:rsid w:val="3915158B"/>
    <w:rsid w:val="391725EB"/>
    <w:rsid w:val="39221B09"/>
    <w:rsid w:val="392E34AA"/>
    <w:rsid w:val="39626E0D"/>
    <w:rsid w:val="398120C1"/>
    <w:rsid w:val="39AD2FA3"/>
    <w:rsid w:val="39DE4A86"/>
    <w:rsid w:val="39EF0C59"/>
    <w:rsid w:val="39F836EA"/>
    <w:rsid w:val="3A107915"/>
    <w:rsid w:val="3A17593D"/>
    <w:rsid w:val="3A376D44"/>
    <w:rsid w:val="3A3E6C77"/>
    <w:rsid w:val="3A5306EA"/>
    <w:rsid w:val="3A7601BF"/>
    <w:rsid w:val="3A91750A"/>
    <w:rsid w:val="3AB67FCB"/>
    <w:rsid w:val="3ACF243E"/>
    <w:rsid w:val="3ADE5BFC"/>
    <w:rsid w:val="3AFC5601"/>
    <w:rsid w:val="3B067E73"/>
    <w:rsid w:val="3B4A33FA"/>
    <w:rsid w:val="3B7C24C9"/>
    <w:rsid w:val="3B950589"/>
    <w:rsid w:val="3BA224D9"/>
    <w:rsid w:val="3BA22875"/>
    <w:rsid w:val="3BB21B2A"/>
    <w:rsid w:val="3BE35FC8"/>
    <w:rsid w:val="3C02537C"/>
    <w:rsid w:val="3C0557C2"/>
    <w:rsid w:val="3C192192"/>
    <w:rsid w:val="3C1D12C8"/>
    <w:rsid w:val="3CA435C3"/>
    <w:rsid w:val="3CBE7455"/>
    <w:rsid w:val="3D432499"/>
    <w:rsid w:val="3D476588"/>
    <w:rsid w:val="3D736816"/>
    <w:rsid w:val="3D7C1689"/>
    <w:rsid w:val="3D84740C"/>
    <w:rsid w:val="3DAD5513"/>
    <w:rsid w:val="3DCB3DB0"/>
    <w:rsid w:val="3DE077D4"/>
    <w:rsid w:val="3DF053E7"/>
    <w:rsid w:val="3DFE25DE"/>
    <w:rsid w:val="3E0734C6"/>
    <w:rsid w:val="3E13406F"/>
    <w:rsid w:val="3E256DC8"/>
    <w:rsid w:val="3E44301D"/>
    <w:rsid w:val="3E8C28EC"/>
    <w:rsid w:val="3EBA35FA"/>
    <w:rsid w:val="3EE1651D"/>
    <w:rsid w:val="3EE173F0"/>
    <w:rsid w:val="3F0F6BC1"/>
    <w:rsid w:val="3F36673B"/>
    <w:rsid w:val="3F6D58A7"/>
    <w:rsid w:val="3F700DFF"/>
    <w:rsid w:val="3F7E6087"/>
    <w:rsid w:val="3FB54E6C"/>
    <w:rsid w:val="3FCC6EBA"/>
    <w:rsid w:val="400A15A3"/>
    <w:rsid w:val="401F0C9D"/>
    <w:rsid w:val="403F1053"/>
    <w:rsid w:val="405D2B2C"/>
    <w:rsid w:val="40750919"/>
    <w:rsid w:val="407935F3"/>
    <w:rsid w:val="40A4674E"/>
    <w:rsid w:val="40D001FB"/>
    <w:rsid w:val="40FB4828"/>
    <w:rsid w:val="41503EB0"/>
    <w:rsid w:val="41517290"/>
    <w:rsid w:val="415E0F3B"/>
    <w:rsid w:val="417B64CD"/>
    <w:rsid w:val="419740CD"/>
    <w:rsid w:val="41AA69A0"/>
    <w:rsid w:val="41BC6507"/>
    <w:rsid w:val="41C342E7"/>
    <w:rsid w:val="41D8596D"/>
    <w:rsid w:val="41EC6CB1"/>
    <w:rsid w:val="42000DB2"/>
    <w:rsid w:val="42041038"/>
    <w:rsid w:val="42045BFF"/>
    <w:rsid w:val="4204781C"/>
    <w:rsid w:val="42261463"/>
    <w:rsid w:val="422B2058"/>
    <w:rsid w:val="422E75D1"/>
    <w:rsid w:val="42645CC3"/>
    <w:rsid w:val="428D639C"/>
    <w:rsid w:val="4290323D"/>
    <w:rsid w:val="429D7A98"/>
    <w:rsid w:val="42A81B96"/>
    <w:rsid w:val="42CE1329"/>
    <w:rsid w:val="42D2508D"/>
    <w:rsid w:val="42E00145"/>
    <w:rsid w:val="43065F63"/>
    <w:rsid w:val="436A2E6D"/>
    <w:rsid w:val="43D96C7F"/>
    <w:rsid w:val="441E71D2"/>
    <w:rsid w:val="442173BD"/>
    <w:rsid w:val="4423155F"/>
    <w:rsid w:val="446451CA"/>
    <w:rsid w:val="448D5A87"/>
    <w:rsid w:val="449C4B39"/>
    <w:rsid w:val="44BA15F0"/>
    <w:rsid w:val="44BB2432"/>
    <w:rsid w:val="44C72666"/>
    <w:rsid w:val="44CB1E58"/>
    <w:rsid w:val="44E22E39"/>
    <w:rsid w:val="451A0F13"/>
    <w:rsid w:val="454B3FF6"/>
    <w:rsid w:val="455C075A"/>
    <w:rsid w:val="456F5271"/>
    <w:rsid w:val="457E3292"/>
    <w:rsid w:val="4581170D"/>
    <w:rsid w:val="459C2AA4"/>
    <w:rsid w:val="45A71A34"/>
    <w:rsid w:val="45ED5C94"/>
    <w:rsid w:val="461C0EB3"/>
    <w:rsid w:val="467E19BD"/>
    <w:rsid w:val="46A90369"/>
    <w:rsid w:val="46C431BD"/>
    <w:rsid w:val="46DB738C"/>
    <w:rsid w:val="46F969B9"/>
    <w:rsid w:val="47052DE2"/>
    <w:rsid w:val="47054805"/>
    <w:rsid w:val="472E597E"/>
    <w:rsid w:val="474A467B"/>
    <w:rsid w:val="477C2B44"/>
    <w:rsid w:val="47832688"/>
    <w:rsid w:val="47B61C55"/>
    <w:rsid w:val="47E6303F"/>
    <w:rsid w:val="480768FB"/>
    <w:rsid w:val="482C2F03"/>
    <w:rsid w:val="487C3EC9"/>
    <w:rsid w:val="48C51E17"/>
    <w:rsid w:val="48C80D9D"/>
    <w:rsid w:val="48ED20D2"/>
    <w:rsid w:val="48FE4030"/>
    <w:rsid w:val="4916491B"/>
    <w:rsid w:val="4930204D"/>
    <w:rsid w:val="49496807"/>
    <w:rsid w:val="49952B55"/>
    <w:rsid w:val="499A3D92"/>
    <w:rsid w:val="499B5946"/>
    <w:rsid w:val="49A1051A"/>
    <w:rsid w:val="49BC1967"/>
    <w:rsid w:val="49CB7828"/>
    <w:rsid w:val="49CC256A"/>
    <w:rsid w:val="49DA47BC"/>
    <w:rsid w:val="49FF3B4F"/>
    <w:rsid w:val="4A1F7F53"/>
    <w:rsid w:val="4A631EB9"/>
    <w:rsid w:val="4B240208"/>
    <w:rsid w:val="4B957464"/>
    <w:rsid w:val="4BAF23C9"/>
    <w:rsid w:val="4BBA0128"/>
    <w:rsid w:val="4BE527AC"/>
    <w:rsid w:val="4BEF49E2"/>
    <w:rsid w:val="4C0D36D9"/>
    <w:rsid w:val="4C1D5F1E"/>
    <w:rsid w:val="4C2A669F"/>
    <w:rsid w:val="4C337F50"/>
    <w:rsid w:val="4C6360CA"/>
    <w:rsid w:val="4C6477DD"/>
    <w:rsid w:val="4C8E50FC"/>
    <w:rsid w:val="4C9646F1"/>
    <w:rsid w:val="4CA319B2"/>
    <w:rsid w:val="4CB020A0"/>
    <w:rsid w:val="4D1F7D01"/>
    <w:rsid w:val="4D293443"/>
    <w:rsid w:val="4D331E14"/>
    <w:rsid w:val="4D5E3292"/>
    <w:rsid w:val="4D651623"/>
    <w:rsid w:val="4D8547CD"/>
    <w:rsid w:val="4D866130"/>
    <w:rsid w:val="4D9B4FC2"/>
    <w:rsid w:val="4DA076BA"/>
    <w:rsid w:val="4DB2364D"/>
    <w:rsid w:val="4DEC4768"/>
    <w:rsid w:val="4DF13CB6"/>
    <w:rsid w:val="4E38257C"/>
    <w:rsid w:val="4E3F005F"/>
    <w:rsid w:val="4E453CD9"/>
    <w:rsid w:val="4E4656B8"/>
    <w:rsid w:val="4E4B5067"/>
    <w:rsid w:val="4E923952"/>
    <w:rsid w:val="4EAA4C96"/>
    <w:rsid w:val="4EB22B78"/>
    <w:rsid w:val="4ED72BBA"/>
    <w:rsid w:val="4F500668"/>
    <w:rsid w:val="4F7121E5"/>
    <w:rsid w:val="4F7466CC"/>
    <w:rsid w:val="4F8A2083"/>
    <w:rsid w:val="4F8B6F0E"/>
    <w:rsid w:val="4FA514A2"/>
    <w:rsid w:val="4FA73AB8"/>
    <w:rsid w:val="4FBE54C4"/>
    <w:rsid w:val="4FF13FA3"/>
    <w:rsid w:val="4FFA4F97"/>
    <w:rsid w:val="5014556F"/>
    <w:rsid w:val="5051217F"/>
    <w:rsid w:val="50AC1573"/>
    <w:rsid w:val="50B06310"/>
    <w:rsid w:val="50D002CC"/>
    <w:rsid w:val="50D72D8C"/>
    <w:rsid w:val="50D85A11"/>
    <w:rsid w:val="50F11EF6"/>
    <w:rsid w:val="51147B25"/>
    <w:rsid w:val="51493631"/>
    <w:rsid w:val="515801C7"/>
    <w:rsid w:val="51A0391C"/>
    <w:rsid w:val="521C0B75"/>
    <w:rsid w:val="523043B9"/>
    <w:rsid w:val="527A31C6"/>
    <w:rsid w:val="52A80CDA"/>
    <w:rsid w:val="52B96C7C"/>
    <w:rsid w:val="52EB235B"/>
    <w:rsid w:val="534F18C5"/>
    <w:rsid w:val="53937294"/>
    <w:rsid w:val="53EF7346"/>
    <w:rsid w:val="5415036D"/>
    <w:rsid w:val="5429409D"/>
    <w:rsid w:val="546F31F6"/>
    <w:rsid w:val="547E0B3A"/>
    <w:rsid w:val="547F0ECF"/>
    <w:rsid w:val="5489255F"/>
    <w:rsid w:val="54A23E3E"/>
    <w:rsid w:val="55153574"/>
    <w:rsid w:val="552D0400"/>
    <w:rsid w:val="55321373"/>
    <w:rsid w:val="557F47E2"/>
    <w:rsid w:val="55C74137"/>
    <w:rsid w:val="55D03672"/>
    <w:rsid w:val="55EE4C56"/>
    <w:rsid w:val="55F104DC"/>
    <w:rsid w:val="55FA2FD9"/>
    <w:rsid w:val="561B30C3"/>
    <w:rsid w:val="561B45B6"/>
    <w:rsid w:val="562400E5"/>
    <w:rsid w:val="56260894"/>
    <w:rsid w:val="565C2364"/>
    <w:rsid w:val="565D54C8"/>
    <w:rsid w:val="566322B0"/>
    <w:rsid w:val="56807540"/>
    <w:rsid w:val="568E5D67"/>
    <w:rsid w:val="56A44C11"/>
    <w:rsid w:val="56A75FAD"/>
    <w:rsid w:val="56BB4817"/>
    <w:rsid w:val="56D5341C"/>
    <w:rsid w:val="56EF2477"/>
    <w:rsid w:val="578241DC"/>
    <w:rsid w:val="57EA3B43"/>
    <w:rsid w:val="584E0297"/>
    <w:rsid w:val="58EB3135"/>
    <w:rsid w:val="58ED3809"/>
    <w:rsid w:val="592669E6"/>
    <w:rsid w:val="5986351F"/>
    <w:rsid w:val="59873EE8"/>
    <w:rsid w:val="59A044B9"/>
    <w:rsid w:val="59B63CDD"/>
    <w:rsid w:val="59BA610E"/>
    <w:rsid w:val="59E35BCC"/>
    <w:rsid w:val="5A2C0A39"/>
    <w:rsid w:val="5A397BEC"/>
    <w:rsid w:val="5A3E5FA5"/>
    <w:rsid w:val="5A560D49"/>
    <w:rsid w:val="5A5C7B63"/>
    <w:rsid w:val="5ADE798F"/>
    <w:rsid w:val="5B0D035F"/>
    <w:rsid w:val="5B377BC8"/>
    <w:rsid w:val="5B627CC1"/>
    <w:rsid w:val="5B8D0701"/>
    <w:rsid w:val="5B995CB8"/>
    <w:rsid w:val="5BA72B9B"/>
    <w:rsid w:val="5C24562B"/>
    <w:rsid w:val="5C445BBB"/>
    <w:rsid w:val="5C4A1646"/>
    <w:rsid w:val="5C5F3C14"/>
    <w:rsid w:val="5C693FE2"/>
    <w:rsid w:val="5C971A7E"/>
    <w:rsid w:val="5D31278A"/>
    <w:rsid w:val="5D607F79"/>
    <w:rsid w:val="5D8772FB"/>
    <w:rsid w:val="5DA50A5C"/>
    <w:rsid w:val="5DBD59D0"/>
    <w:rsid w:val="5DC4115E"/>
    <w:rsid w:val="5DE72346"/>
    <w:rsid w:val="5E093C80"/>
    <w:rsid w:val="5E125ED2"/>
    <w:rsid w:val="5E166799"/>
    <w:rsid w:val="5E2C3838"/>
    <w:rsid w:val="5E3F54D7"/>
    <w:rsid w:val="5E81007A"/>
    <w:rsid w:val="5E8216ED"/>
    <w:rsid w:val="5E874280"/>
    <w:rsid w:val="5EDD6435"/>
    <w:rsid w:val="5F2D4DF0"/>
    <w:rsid w:val="5F436668"/>
    <w:rsid w:val="5F6A70F2"/>
    <w:rsid w:val="5F75438A"/>
    <w:rsid w:val="5F8403D9"/>
    <w:rsid w:val="5F9F1C40"/>
    <w:rsid w:val="5FC91297"/>
    <w:rsid w:val="5FD1010E"/>
    <w:rsid w:val="5FF22747"/>
    <w:rsid w:val="6007506A"/>
    <w:rsid w:val="60567FC7"/>
    <w:rsid w:val="60571A8E"/>
    <w:rsid w:val="60731194"/>
    <w:rsid w:val="60795960"/>
    <w:rsid w:val="609B4312"/>
    <w:rsid w:val="60AA677E"/>
    <w:rsid w:val="60B34EAA"/>
    <w:rsid w:val="60C61722"/>
    <w:rsid w:val="61037CE0"/>
    <w:rsid w:val="610849B3"/>
    <w:rsid w:val="61090FE7"/>
    <w:rsid w:val="614D64E9"/>
    <w:rsid w:val="61B54FFD"/>
    <w:rsid w:val="61B61107"/>
    <w:rsid w:val="61C15638"/>
    <w:rsid w:val="61F950AE"/>
    <w:rsid w:val="62047BB6"/>
    <w:rsid w:val="622E0ED9"/>
    <w:rsid w:val="62764F6B"/>
    <w:rsid w:val="6277700B"/>
    <w:rsid w:val="62B8630C"/>
    <w:rsid w:val="63434A26"/>
    <w:rsid w:val="63720156"/>
    <w:rsid w:val="63A8615C"/>
    <w:rsid w:val="63DF60F1"/>
    <w:rsid w:val="64174DB8"/>
    <w:rsid w:val="64277486"/>
    <w:rsid w:val="64410D72"/>
    <w:rsid w:val="644138B3"/>
    <w:rsid w:val="64696A1E"/>
    <w:rsid w:val="64713C3C"/>
    <w:rsid w:val="6488096B"/>
    <w:rsid w:val="64BE2823"/>
    <w:rsid w:val="64CB58EC"/>
    <w:rsid w:val="650B1AB4"/>
    <w:rsid w:val="65674256"/>
    <w:rsid w:val="657A619E"/>
    <w:rsid w:val="65852E29"/>
    <w:rsid w:val="661667EE"/>
    <w:rsid w:val="66596194"/>
    <w:rsid w:val="665C78D2"/>
    <w:rsid w:val="665C7EF2"/>
    <w:rsid w:val="665D4685"/>
    <w:rsid w:val="666834D4"/>
    <w:rsid w:val="66691670"/>
    <w:rsid w:val="66794261"/>
    <w:rsid w:val="66971BD5"/>
    <w:rsid w:val="66A65676"/>
    <w:rsid w:val="66B45A48"/>
    <w:rsid w:val="66C45C10"/>
    <w:rsid w:val="66FB72FE"/>
    <w:rsid w:val="670238A6"/>
    <w:rsid w:val="670A0C4F"/>
    <w:rsid w:val="671016AF"/>
    <w:rsid w:val="67472418"/>
    <w:rsid w:val="67566BDD"/>
    <w:rsid w:val="679E1412"/>
    <w:rsid w:val="68266ABE"/>
    <w:rsid w:val="682D2035"/>
    <w:rsid w:val="68921DB9"/>
    <w:rsid w:val="692A27B1"/>
    <w:rsid w:val="692E6C1B"/>
    <w:rsid w:val="69322481"/>
    <w:rsid w:val="69792EBA"/>
    <w:rsid w:val="699669C4"/>
    <w:rsid w:val="69EA7720"/>
    <w:rsid w:val="69F90D80"/>
    <w:rsid w:val="6A414B09"/>
    <w:rsid w:val="6A5A5422"/>
    <w:rsid w:val="6A68298A"/>
    <w:rsid w:val="6A935974"/>
    <w:rsid w:val="6A9668EF"/>
    <w:rsid w:val="6AC57E98"/>
    <w:rsid w:val="6AD96895"/>
    <w:rsid w:val="6AEA5EDC"/>
    <w:rsid w:val="6AF25035"/>
    <w:rsid w:val="6B016D82"/>
    <w:rsid w:val="6B025AEA"/>
    <w:rsid w:val="6B573AE8"/>
    <w:rsid w:val="6B911237"/>
    <w:rsid w:val="6B973A4A"/>
    <w:rsid w:val="6B9A2BBF"/>
    <w:rsid w:val="6BA118E7"/>
    <w:rsid w:val="6C0E3E84"/>
    <w:rsid w:val="6C1765A4"/>
    <w:rsid w:val="6C1B7353"/>
    <w:rsid w:val="6C3A179C"/>
    <w:rsid w:val="6C477986"/>
    <w:rsid w:val="6C54076C"/>
    <w:rsid w:val="6C6F7514"/>
    <w:rsid w:val="6C8D0520"/>
    <w:rsid w:val="6CD04355"/>
    <w:rsid w:val="6CFE7A1D"/>
    <w:rsid w:val="6D385560"/>
    <w:rsid w:val="6D594269"/>
    <w:rsid w:val="6D5D0252"/>
    <w:rsid w:val="6D826E65"/>
    <w:rsid w:val="6DAF69CB"/>
    <w:rsid w:val="6DBA50FC"/>
    <w:rsid w:val="6DCA41F4"/>
    <w:rsid w:val="6DD37C69"/>
    <w:rsid w:val="6DF64A0D"/>
    <w:rsid w:val="6E9127FD"/>
    <w:rsid w:val="6E9616A0"/>
    <w:rsid w:val="6ED51C0C"/>
    <w:rsid w:val="6EE77F93"/>
    <w:rsid w:val="6F047C50"/>
    <w:rsid w:val="6F1658B8"/>
    <w:rsid w:val="6F1E0E88"/>
    <w:rsid w:val="6F317A03"/>
    <w:rsid w:val="6F391A6E"/>
    <w:rsid w:val="6F3A5FAD"/>
    <w:rsid w:val="6F471A31"/>
    <w:rsid w:val="6F667A77"/>
    <w:rsid w:val="6F906BCD"/>
    <w:rsid w:val="700C4405"/>
    <w:rsid w:val="70523494"/>
    <w:rsid w:val="70590E69"/>
    <w:rsid w:val="70632EE5"/>
    <w:rsid w:val="706B725F"/>
    <w:rsid w:val="70846ADE"/>
    <w:rsid w:val="70855A59"/>
    <w:rsid w:val="709D59AA"/>
    <w:rsid w:val="70E51775"/>
    <w:rsid w:val="70F86876"/>
    <w:rsid w:val="710E3191"/>
    <w:rsid w:val="71115F46"/>
    <w:rsid w:val="711530E4"/>
    <w:rsid w:val="711B05E7"/>
    <w:rsid w:val="714A0870"/>
    <w:rsid w:val="71594D33"/>
    <w:rsid w:val="71BE777B"/>
    <w:rsid w:val="71E64B8F"/>
    <w:rsid w:val="72063B57"/>
    <w:rsid w:val="720E0941"/>
    <w:rsid w:val="721F464C"/>
    <w:rsid w:val="722C2936"/>
    <w:rsid w:val="723C7CE5"/>
    <w:rsid w:val="72451BDC"/>
    <w:rsid w:val="725A1DC5"/>
    <w:rsid w:val="72A9042B"/>
    <w:rsid w:val="72E10742"/>
    <w:rsid w:val="72EF7592"/>
    <w:rsid w:val="72F82E40"/>
    <w:rsid w:val="730B4C41"/>
    <w:rsid w:val="731D012B"/>
    <w:rsid w:val="73497518"/>
    <w:rsid w:val="735C0438"/>
    <w:rsid w:val="73675A09"/>
    <w:rsid w:val="736A26C1"/>
    <w:rsid w:val="73813227"/>
    <w:rsid w:val="739B7B94"/>
    <w:rsid w:val="74045F52"/>
    <w:rsid w:val="741A6021"/>
    <w:rsid w:val="74381EFF"/>
    <w:rsid w:val="74405221"/>
    <w:rsid w:val="74854BCD"/>
    <w:rsid w:val="749F1AE5"/>
    <w:rsid w:val="751400CF"/>
    <w:rsid w:val="751F18CB"/>
    <w:rsid w:val="75561A7C"/>
    <w:rsid w:val="75657129"/>
    <w:rsid w:val="75A33D44"/>
    <w:rsid w:val="75A716B1"/>
    <w:rsid w:val="760B2B67"/>
    <w:rsid w:val="7615441A"/>
    <w:rsid w:val="762A3631"/>
    <w:rsid w:val="762E0E27"/>
    <w:rsid w:val="763135D6"/>
    <w:rsid w:val="7632245C"/>
    <w:rsid w:val="768F16E6"/>
    <w:rsid w:val="76A80931"/>
    <w:rsid w:val="76B84BD8"/>
    <w:rsid w:val="76C35D4A"/>
    <w:rsid w:val="76C5307F"/>
    <w:rsid w:val="76C70E7F"/>
    <w:rsid w:val="76F77D7C"/>
    <w:rsid w:val="77183FA5"/>
    <w:rsid w:val="7763209E"/>
    <w:rsid w:val="778C0E0C"/>
    <w:rsid w:val="779C40BA"/>
    <w:rsid w:val="77E16AC6"/>
    <w:rsid w:val="780B7F5B"/>
    <w:rsid w:val="78424E8D"/>
    <w:rsid w:val="787C3257"/>
    <w:rsid w:val="789231A1"/>
    <w:rsid w:val="78B24E53"/>
    <w:rsid w:val="78DB61C2"/>
    <w:rsid w:val="78DF4BA6"/>
    <w:rsid w:val="79307E2B"/>
    <w:rsid w:val="793116D8"/>
    <w:rsid w:val="79DB270F"/>
    <w:rsid w:val="7A2165EB"/>
    <w:rsid w:val="7A382B07"/>
    <w:rsid w:val="7A55424C"/>
    <w:rsid w:val="7A6B4218"/>
    <w:rsid w:val="7A6B4228"/>
    <w:rsid w:val="7A7038BC"/>
    <w:rsid w:val="7A9609AE"/>
    <w:rsid w:val="7B167612"/>
    <w:rsid w:val="7B196895"/>
    <w:rsid w:val="7B2955D3"/>
    <w:rsid w:val="7B352DCB"/>
    <w:rsid w:val="7B3E13AC"/>
    <w:rsid w:val="7B444C53"/>
    <w:rsid w:val="7B455D27"/>
    <w:rsid w:val="7B701662"/>
    <w:rsid w:val="7BBB0D4A"/>
    <w:rsid w:val="7BC07E15"/>
    <w:rsid w:val="7BE47358"/>
    <w:rsid w:val="7BF236E3"/>
    <w:rsid w:val="7C3243DC"/>
    <w:rsid w:val="7C7D4484"/>
    <w:rsid w:val="7CAC2CCF"/>
    <w:rsid w:val="7CB66E9F"/>
    <w:rsid w:val="7CB7004D"/>
    <w:rsid w:val="7D0C6736"/>
    <w:rsid w:val="7D0F6B7D"/>
    <w:rsid w:val="7D134019"/>
    <w:rsid w:val="7D7C40E6"/>
    <w:rsid w:val="7DB14F26"/>
    <w:rsid w:val="7DC6234D"/>
    <w:rsid w:val="7DD2726A"/>
    <w:rsid w:val="7DF31900"/>
    <w:rsid w:val="7E0A442B"/>
    <w:rsid w:val="7E132871"/>
    <w:rsid w:val="7E980502"/>
    <w:rsid w:val="7ED12BE2"/>
    <w:rsid w:val="7EE66483"/>
    <w:rsid w:val="7EF075E5"/>
    <w:rsid w:val="7F052969"/>
    <w:rsid w:val="7F0F40D3"/>
    <w:rsid w:val="7F192175"/>
    <w:rsid w:val="7F26336E"/>
    <w:rsid w:val="7F2906C4"/>
    <w:rsid w:val="7F5D2958"/>
    <w:rsid w:val="7F63103D"/>
    <w:rsid w:val="7F87646B"/>
    <w:rsid w:val="7F8F6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qFormat="1"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0"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4">
    <w:name w:val="heading 1"/>
    <w:basedOn w:val="1"/>
    <w:next w:val="1"/>
    <w:link w:val="141"/>
    <w:qFormat/>
    <w:uiPriority w:val="0"/>
    <w:pPr>
      <w:keepNext/>
      <w:jc w:val="center"/>
      <w:outlineLvl w:val="0"/>
    </w:pPr>
    <w:rPr>
      <w:rFonts w:ascii="仿宋_GB2312" w:hAnsi="仿宋_GB2312" w:eastAsia="楷体"/>
      <w:b/>
      <w:kern w:val="2"/>
      <w:sz w:val="36"/>
    </w:rPr>
  </w:style>
  <w:style w:type="paragraph" w:styleId="5">
    <w:name w:val="heading 2"/>
    <w:basedOn w:val="1"/>
    <w:next w:val="1"/>
    <w:link w:val="136"/>
    <w:qFormat/>
    <w:uiPriority w:val="9"/>
    <w:pPr>
      <w:keepNext/>
      <w:keepLines/>
      <w:widowControl/>
      <w:spacing w:before="260" w:after="260"/>
      <w:ind w:left="284"/>
      <w:jc w:val="left"/>
      <w:outlineLvl w:val="1"/>
    </w:pPr>
    <w:rPr>
      <w:rFonts w:ascii="Arial" w:hAnsi="Arial"/>
      <w:b/>
      <w:bCs/>
      <w:sz w:val="28"/>
      <w:szCs w:val="32"/>
    </w:rPr>
  </w:style>
  <w:style w:type="paragraph" w:styleId="6">
    <w:name w:val="heading 3"/>
    <w:basedOn w:val="1"/>
    <w:next w:val="1"/>
    <w:link w:val="74"/>
    <w:qFormat/>
    <w:uiPriority w:val="0"/>
    <w:pPr>
      <w:keepNext/>
      <w:spacing w:beforeLines="200" w:line="400" w:lineRule="exact"/>
      <w:jc w:val="center"/>
      <w:outlineLvl w:val="2"/>
    </w:pPr>
    <w:rPr>
      <w:rFonts w:ascii="Times New Roman"/>
      <w:b/>
      <w:bCs/>
      <w:kern w:val="2"/>
      <w:szCs w:val="24"/>
    </w:rPr>
  </w:style>
  <w:style w:type="paragraph" w:styleId="7">
    <w:name w:val="heading 4"/>
    <w:basedOn w:val="1"/>
    <w:next w:val="1"/>
    <w:link w:val="11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8">
    <w:name w:val="heading 5"/>
    <w:basedOn w:val="1"/>
    <w:next w:val="1"/>
    <w:link w:val="99"/>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9">
    <w:name w:val="heading 6"/>
    <w:basedOn w:val="1"/>
    <w:next w:val="1"/>
    <w:link w:val="104"/>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10">
    <w:name w:val="heading 7"/>
    <w:basedOn w:val="1"/>
    <w:next w:val="1"/>
    <w:link w:val="143"/>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1">
    <w:name w:val="heading 8"/>
    <w:basedOn w:val="1"/>
    <w:next w:val="1"/>
    <w:link w:val="64"/>
    <w:qFormat/>
    <w:uiPriority w:val="0"/>
    <w:pPr>
      <w:keepNext/>
      <w:tabs>
        <w:tab w:val="left" w:pos="1440"/>
      </w:tabs>
      <w:spacing w:line="360" w:lineRule="auto"/>
      <w:ind w:left="1440" w:hanging="1440"/>
      <w:outlineLvl w:val="7"/>
    </w:pPr>
    <w:rPr>
      <w:rFonts w:ascii="仿宋_GB2312" w:eastAsia="仿宋_GB2312"/>
      <w:b/>
      <w:kern w:val="2"/>
    </w:rPr>
  </w:style>
  <w:style w:type="paragraph" w:styleId="12">
    <w:name w:val="heading 9"/>
    <w:basedOn w:val="1"/>
    <w:next w:val="1"/>
    <w:link w:val="96"/>
    <w:qFormat/>
    <w:uiPriority w:val="0"/>
    <w:pPr>
      <w:keepNext/>
      <w:keepLines/>
      <w:tabs>
        <w:tab w:val="left" w:pos="1584"/>
      </w:tabs>
      <w:spacing w:before="240" w:after="64" w:line="320" w:lineRule="auto"/>
      <w:ind w:left="1584" w:hanging="1584"/>
      <w:outlineLvl w:val="8"/>
    </w:pPr>
    <w:rPr>
      <w:rFonts w:ascii="Arial" w:hAnsi="Arial" w:eastAsia="黑体"/>
      <w:kern w:val="2"/>
      <w:sz w:val="21"/>
      <w:szCs w:val="21"/>
    </w:rPr>
  </w:style>
  <w:style w:type="character" w:default="1" w:styleId="48">
    <w:name w:val="Default Paragraph Font"/>
    <w:qFormat/>
    <w:uiPriority w:val="0"/>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0"/>
    </w:pPr>
    <w:rPr>
      <w:rFonts w:cs="Times New Roman"/>
    </w:rPr>
  </w:style>
  <w:style w:type="paragraph" w:styleId="3">
    <w:name w:val="Body Text Indent"/>
    <w:basedOn w:val="1"/>
    <w:next w:val="2"/>
    <w:link w:val="91"/>
    <w:qFormat/>
    <w:uiPriority w:val="0"/>
    <w:pPr>
      <w:widowControl/>
      <w:ind w:firstLine="652" w:firstLineChars="233"/>
    </w:pPr>
    <w:rPr>
      <w:rFonts w:ascii="Times New Roman"/>
      <w:sz w:val="28"/>
    </w:rPr>
  </w:style>
  <w:style w:type="paragraph" w:styleId="13">
    <w:name w:val="toc 7"/>
    <w:basedOn w:val="1"/>
    <w:next w:val="1"/>
    <w:unhideWhenUsed/>
    <w:qFormat/>
    <w:uiPriority w:val="39"/>
    <w:pPr>
      <w:ind w:left="2520" w:leftChars="1200"/>
    </w:pPr>
  </w:style>
  <w:style w:type="paragraph" w:styleId="14">
    <w:name w:val="Normal Indent"/>
    <w:basedOn w:val="1"/>
    <w:next w:val="15"/>
    <w:link w:val="93"/>
    <w:qFormat/>
    <w:uiPriority w:val="0"/>
    <w:pPr>
      <w:spacing w:line="300" w:lineRule="auto"/>
      <w:ind w:firstLine="420" w:firstLineChars="200"/>
    </w:pPr>
    <w:rPr>
      <w:rFonts w:ascii="Times New Roman"/>
      <w:kern w:val="2"/>
      <w:sz w:val="21"/>
      <w:szCs w:val="24"/>
    </w:rPr>
  </w:style>
  <w:style w:type="paragraph" w:styleId="15">
    <w:name w:val="toc 4"/>
    <w:basedOn w:val="1"/>
    <w:next w:val="1"/>
    <w:unhideWhenUsed/>
    <w:qFormat/>
    <w:uiPriority w:val="39"/>
    <w:pPr>
      <w:ind w:left="1260" w:leftChars="600"/>
    </w:pPr>
  </w:style>
  <w:style w:type="paragraph" w:styleId="16">
    <w:name w:val="caption"/>
    <w:basedOn w:val="1"/>
    <w:next w:val="1"/>
    <w:link w:val="129"/>
    <w:qFormat/>
    <w:uiPriority w:val="0"/>
    <w:pPr>
      <w:spacing w:before="152" w:after="160"/>
    </w:pPr>
    <w:rPr>
      <w:rFonts w:ascii="Arial" w:hAnsi="Arial" w:eastAsia="黑体"/>
      <w:kern w:val="2"/>
      <w:sz w:val="20"/>
    </w:rPr>
  </w:style>
  <w:style w:type="paragraph" w:styleId="17">
    <w:name w:val="Document Map"/>
    <w:basedOn w:val="1"/>
    <w:link w:val="80"/>
    <w:qFormat/>
    <w:uiPriority w:val="0"/>
    <w:pPr>
      <w:shd w:val="clear" w:color="auto" w:fill="000080"/>
    </w:pPr>
    <w:rPr>
      <w:rFonts w:ascii="Times New Roman"/>
      <w:kern w:val="2"/>
      <w:sz w:val="21"/>
    </w:rPr>
  </w:style>
  <w:style w:type="paragraph" w:styleId="18">
    <w:name w:val="annotation text"/>
    <w:basedOn w:val="1"/>
    <w:link w:val="120"/>
    <w:qFormat/>
    <w:uiPriority w:val="99"/>
    <w:pPr>
      <w:jc w:val="left"/>
    </w:pPr>
    <w:rPr>
      <w:rFonts w:ascii="Times New Roman"/>
      <w:kern w:val="2"/>
      <w:sz w:val="21"/>
      <w:szCs w:val="24"/>
    </w:rPr>
  </w:style>
  <w:style w:type="paragraph" w:styleId="19">
    <w:name w:val="Salutation"/>
    <w:basedOn w:val="1"/>
    <w:next w:val="1"/>
    <w:link w:val="145"/>
    <w:qFormat/>
    <w:uiPriority w:val="99"/>
    <w:rPr>
      <w:rFonts w:ascii="Times New Roman"/>
      <w:kern w:val="2"/>
      <w:szCs w:val="24"/>
    </w:rPr>
  </w:style>
  <w:style w:type="paragraph" w:styleId="20">
    <w:name w:val="Body Text 3"/>
    <w:basedOn w:val="1"/>
    <w:link w:val="71"/>
    <w:qFormat/>
    <w:uiPriority w:val="0"/>
    <w:pPr>
      <w:jc w:val="center"/>
    </w:pPr>
    <w:rPr>
      <w:rFonts w:ascii="Times New Roman"/>
      <w:b/>
      <w:spacing w:val="-20"/>
      <w:w w:val="110"/>
      <w:kern w:val="2"/>
      <w:sz w:val="52"/>
    </w:rPr>
  </w:style>
  <w:style w:type="paragraph" w:styleId="21">
    <w:name w:val="Body Text"/>
    <w:basedOn w:val="1"/>
    <w:next w:val="1"/>
    <w:link w:val="147"/>
    <w:qFormat/>
    <w:uiPriority w:val="0"/>
    <w:pPr>
      <w:spacing w:after="120"/>
    </w:pPr>
    <w:rPr>
      <w:rFonts w:ascii="Times New Roman"/>
      <w:kern w:val="2"/>
      <w:sz w:val="21"/>
    </w:rPr>
  </w:style>
  <w:style w:type="paragraph" w:styleId="22">
    <w:name w:val="HTML Address"/>
    <w:basedOn w:val="1"/>
    <w:qFormat/>
    <w:uiPriority w:val="0"/>
    <w:pPr>
      <w:widowControl/>
      <w:jc w:val="left"/>
    </w:pPr>
    <w:rPr>
      <w:rFonts w:hAnsi="宋体" w:cs="宋体"/>
      <w:i/>
      <w:iCs/>
      <w:szCs w:val="24"/>
    </w:rPr>
  </w:style>
  <w:style w:type="paragraph" w:styleId="23">
    <w:name w:val="toc 5"/>
    <w:basedOn w:val="1"/>
    <w:next w:val="1"/>
    <w:unhideWhenUsed/>
    <w:qFormat/>
    <w:uiPriority w:val="39"/>
    <w:pPr>
      <w:ind w:left="1680" w:leftChars="800"/>
    </w:pPr>
  </w:style>
  <w:style w:type="paragraph" w:styleId="24">
    <w:name w:val="toc 3"/>
    <w:basedOn w:val="1"/>
    <w:next w:val="1"/>
    <w:unhideWhenUsed/>
    <w:qFormat/>
    <w:uiPriority w:val="39"/>
    <w:pPr>
      <w:ind w:left="840" w:leftChars="400"/>
    </w:pPr>
  </w:style>
  <w:style w:type="paragraph" w:styleId="25">
    <w:name w:val="Plain Text"/>
    <w:basedOn w:val="1"/>
    <w:next w:val="1"/>
    <w:link w:val="149"/>
    <w:qFormat/>
    <w:uiPriority w:val="0"/>
    <w:rPr>
      <w:rFonts w:hAnsi="Courier New"/>
      <w:kern w:val="2"/>
      <w:sz w:val="21"/>
    </w:rPr>
  </w:style>
  <w:style w:type="paragraph" w:styleId="26">
    <w:name w:val="toc 8"/>
    <w:basedOn w:val="1"/>
    <w:next w:val="1"/>
    <w:unhideWhenUsed/>
    <w:qFormat/>
    <w:uiPriority w:val="39"/>
    <w:pPr>
      <w:ind w:left="2940" w:leftChars="1400"/>
    </w:pPr>
  </w:style>
  <w:style w:type="paragraph" w:styleId="27">
    <w:name w:val="Date"/>
    <w:basedOn w:val="1"/>
    <w:next w:val="1"/>
    <w:link w:val="78"/>
    <w:qFormat/>
    <w:uiPriority w:val="0"/>
    <w:rPr>
      <w:rFonts w:ascii="Times New Roman"/>
      <w:kern w:val="2"/>
      <w:sz w:val="28"/>
    </w:rPr>
  </w:style>
  <w:style w:type="paragraph" w:styleId="28">
    <w:name w:val="Body Text Indent 2"/>
    <w:basedOn w:val="1"/>
    <w:link w:val="125"/>
    <w:qFormat/>
    <w:uiPriority w:val="99"/>
    <w:pPr>
      <w:tabs>
        <w:tab w:val="left" w:pos="5625"/>
      </w:tabs>
      <w:ind w:left="1138" w:leftChars="542"/>
    </w:pPr>
    <w:rPr>
      <w:rFonts w:ascii="Times New Roman"/>
      <w:kern w:val="2"/>
    </w:rPr>
  </w:style>
  <w:style w:type="paragraph" w:styleId="29">
    <w:name w:val="Balloon Text"/>
    <w:basedOn w:val="1"/>
    <w:link w:val="122"/>
    <w:qFormat/>
    <w:uiPriority w:val="99"/>
    <w:rPr>
      <w:rFonts w:ascii="Times New Roman"/>
      <w:kern w:val="2"/>
      <w:sz w:val="18"/>
      <w:szCs w:val="18"/>
    </w:rPr>
  </w:style>
  <w:style w:type="paragraph" w:styleId="30">
    <w:name w:val="footer"/>
    <w:basedOn w:val="1"/>
    <w:next w:val="21"/>
    <w:link w:val="115"/>
    <w:qFormat/>
    <w:uiPriority w:val="99"/>
    <w:pPr>
      <w:tabs>
        <w:tab w:val="center" w:pos="4153"/>
        <w:tab w:val="right" w:pos="8306"/>
      </w:tabs>
      <w:snapToGrid w:val="0"/>
      <w:jc w:val="left"/>
    </w:pPr>
    <w:rPr>
      <w:rFonts w:ascii="Times New Roman"/>
      <w:kern w:val="2"/>
      <w:sz w:val="18"/>
      <w:szCs w:val="18"/>
    </w:rPr>
  </w:style>
  <w:style w:type="paragraph" w:styleId="31">
    <w:name w:val="header"/>
    <w:basedOn w:val="1"/>
    <w:link w:val="69"/>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32">
    <w:name w:val="toc 1"/>
    <w:basedOn w:val="1"/>
    <w:next w:val="1"/>
    <w:unhideWhenUsed/>
    <w:qFormat/>
    <w:uiPriority w:val="39"/>
  </w:style>
  <w:style w:type="paragraph" w:styleId="33">
    <w:name w:val="Subtitle"/>
    <w:basedOn w:val="1"/>
    <w:next w:val="1"/>
    <w:link w:val="151"/>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numPr>
        <w:ilvl w:val="1"/>
        <w:numId w:val="1"/>
      </w:numPr>
      <w:spacing w:line="360" w:lineRule="auto"/>
      <w:jc w:val="left"/>
    </w:pPr>
    <w:rPr>
      <w:szCs w:val="24"/>
    </w:rPr>
  </w:style>
  <w:style w:type="paragraph" w:styleId="35">
    <w:name w:val="toc 6"/>
    <w:basedOn w:val="1"/>
    <w:next w:val="1"/>
    <w:unhideWhenUsed/>
    <w:qFormat/>
    <w:uiPriority w:val="39"/>
    <w:pPr>
      <w:ind w:left="2100" w:leftChars="1000"/>
    </w:pPr>
  </w:style>
  <w:style w:type="paragraph" w:styleId="36">
    <w:name w:val="Body Text Indent 3"/>
    <w:basedOn w:val="1"/>
    <w:link w:val="153"/>
    <w:qFormat/>
    <w:uiPriority w:val="0"/>
    <w:pPr>
      <w:spacing w:line="410" w:lineRule="exact"/>
      <w:ind w:left="619" w:leftChars="295" w:firstLine="390" w:firstLineChars="179"/>
    </w:pPr>
    <w:rPr>
      <w:rFonts w:hAnsi="宋体"/>
      <w:spacing w:val="4"/>
      <w:kern w:val="2"/>
      <w:sz w:val="21"/>
    </w:rPr>
  </w:style>
  <w:style w:type="paragraph" w:styleId="37">
    <w:name w:val="toc 2"/>
    <w:basedOn w:val="1"/>
    <w:next w:val="1"/>
    <w:unhideWhenUsed/>
    <w:qFormat/>
    <w:uiPriority w:val="39"/>
    <w:pPr>
      <w:ind w:left="420" w:leftChars="200"/>
    </w:pPr>
  </w:style>
  <w:style w:type="paragraph" w:styleId="38">
    <w:name w:val="toc 9"/>
    <w:basedOn w:val="1"/>
    <w:next w:val="1"/>
    <w:unhideWhenUsed/>
    <w:qFormat/>
    <w:uiPriority w:val="39"/>
    <w:pPr>
      <w:ind w:left="3360" w:leftChars="1600"/>
    </w:pPr>
  </w:style>
  <w:style w:type="paragraph" w:styleId="39">
    <w:name w:val="Body Text 2"/>
    <w:basedOn w:val="1"/>
    <w:link w:val="138"/>
    <w:qFormat/>
    <w:uiPriority w:val="0"/>
    <w:rPr>
      <w:rFonts w:ascii="楷体_GB2312" w:hAnsi="Copperplate Gothic Bold" w:eastAsia="楷体_GB2312"/>
      <w:kern w:val="2"/>
      <w:sz w:val="28"/>
    </w:rPr>
  </w:style>
  <w:style w:type="paragraph" w:styleId="40">
    <w:name w:val="Message Header"/>
    <w:basedOn w:val="1"/>
    <w:next w:val="21"/>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sz w:val="20"/>
    </w:rPr>
  </w:style>
  <w:style w:type="paragraph" w:styleId="42">
    <w:name w:val="Normal (Web)"/>
    <w:basedOn w:val="1"/>
    <w:qFormat/>
    <w:uiPriority w:val="99"/>
    <w:pPr>
      <w:spacing w:before="0" w:beforeAutospacing="1" w:after="0" w:afterAutospacing="1"/>
      <w:ind w:left="0" w:right="0"/>
      <w:jc w:val="left"/>
    </w:pPr>
    <w:rPr>
      <w:kern w:val="0"/>
      <w:sz w:val="24"/>
      <w:lang w:val="en-US" w:eastAsia="zh-CN" w:bidi="ar"/>
    </w:rPr>
  </w:style>
  <w:style w:type="paragraph" w:styleId="43">
    <w:name w:val="Title"/>
    <w:basedOn w:val="1"/>
    <w:next w:val="1"/>
    <w:link w:val="83"/>
    <w:qFormat/>
    <w:uiPriority w:val="0"/>
    <w:pPr>
      <w:spacing w:before="240" w:after="60"/>
      <w:jc w:val="center"/>
      <w:outlineLvl w:val="0"/>
    </w:pPr>
    <w:rPr>
      <w:rFonts w:ascii="Cambria" w:hAnsi="Cambria"/>
      <w:b/>
      <w:bCs/>
      <w:kern w:val="2"/>
      <w:sz w:val="32"/>
      <w:szCs w:val="32"/>
    </w:rPr>
  </w:style>
  <w:style w:type="paragraph" w:styleId="44">
    <w:name w:val="annotation subject"/>
    <w:basedOn w:val="18"/>
    <w:next w:val="18"/>
    <w:link w:val="102"/>
    <w:qFormat/>
    <w:uiPriority w:val="0"/>
    <w:rPr>
      <w:b/>
      <w:bCs/>
    </w:rPr>
  </w:style>
  <w:style w:type="paragraph" w:styleId="45">
    <w:name w:val="Body Text First Indent"/>
    <w:basedOn w:val="21"/>
    <w:unhideWhenUsed/>
    <w:qFormat/>
    <w:uiPriority w:val="0"/>
    <w:pPr>
      <w:ind w:firstLine="420" w:firstLineChars="100"/>
    </w:pPr>
    <w:rPr>
      <w:sz w:val="18"/>
      <w:szCs w:val="18"/>
    </w:rPr>
  </w:style>
  <w:style w:type="table" w:styleId="47">
    <w:name w:val="Table Grid"/>
    <w:basedOn w:val="46"/>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99"/>
    <w:rPr>
      <w:color w:val="0066CC"/>
      <w:u w:val="none"/>
    </w:rPr>
  </w:style>
  <w:style w:type="character" w:styleId="52">
    <w:name w:val="Emphasis"/>
    <w:qFormat/>
    <w:uiPriority w:val="0"/>
    <w:rPr>
      <w:i/>
      <w:iCs/>
    </w:rPr>
  </w:style>
  <w:style w:type="character" w:styleId="53">
    <w:name w:val="HTML Definition"/>
    <w:unhideWhenUsed/>
    <w:qFormat/>
    <w:uiPriority w:val="99"/>
  </w:style>
  <w:style w:type="character" w:styleId="54">
    <w:name w:val="HTML Typewriter"/>
    <w:qFormat/>
    <w:uiPriority w:val="0"/>
    <w:rPr>
      <w:rFonts w:ascii="黑体" w:hAnsi="Courier New" w:eastAsia="黑体" w:cs="Courier New"/>
      <w:sz w:val="20"/>
      <w:szCs w:val="20"/>
    </w:rPr>
  </w:style>
  <w:style w:type="character" w:styleId="55">
    <w:name w:val="HTML Acronym"/>
    <w:basedOn w:val="48"/>
    <w:semiHidden/>
    <w:unhideWhenUsed/>
    <w:qFormat/>
    <w:uiPriority w:val="99"/>
  </w:style>
  <w:style w:type="character" w:styleId="56">
    <w:name w:val="HTML Variable"/>
    <w:unhideWhenUsed/>
    <w:qFormat/>
    <w:uiPriority w:val="99"/>
  </w:style>
  <w:style w:type="character" w:styleId="57">
    <w:name w:val="Hyperlink"/>
    <w:qFormat/>
    <w:uiPriority w:val="99"/>
    <w:rPr>
      <w:color w:val="0066CC"/>
      <w:u w:val="none"/>
    </w:rPr>
  </w:style>
  <w:style w:type="character" w:styleId="58">
    <w:name w:val="HTML Code"/>
    <w:basedOn w:val="48"/>
    <w:unhideWhenUsed/>
    <w:qFormat/>
    <w:uiPriority w:val="99"/>
    <w:rPr>
      <w:rFonts w:hint="default" w:ascii="monospace" w:hAnsi="monospace" w:eastAsia="monospace" w:cs="monospace"/>
      <w:sz w:val="20"/>
    </w:rPr>
  </w:style>
  <w:style w:type="character" w:styleId="59">
    <w:name w:val="annotation reference"/>
    <w:qFormat/>
    <w:uiPriority w:val="0"/>
    <w:rPr>
      <w:sz w:val="21"/>
      <w:szCs w:val="21"/>
    </w:rPr>
  </w:style>
  <w:style w:type="character" w:styleId="60">
    <w:name w:val="HTML Cite"/>
    <w:unhideWhenUsed/>
    <w:qFormat/>
    <w:uiPriority w:val="99"/>
  </w:style>
  <w:style w:type="character" w:styleId="61">
    <w:name w:val="HTML Keyboard"/>
    <w:basedOn w:val="48"/>
    <w:unhideWhenUsed/>
    <w:qFormat/>
    <w:uiPriority w:val="99"/>
    <w:rPr>
      <w:rFonts w:ascii="Consolas" w:hAnsi="Consolas" w:eastAsia="Consolas" w:cs="Consolas"/>
      <w:color w:val="FFFFFF"/>
      <w:sz w:val="21"/>
      <w:szCs w:val="21"/>
      <w:shd w:val="clear" w:color="auto" w:fill="333333"/>
    </w:rPr>
  </w:style>
  <w:style w:type="character" w:styleId="62">
    <w:name w:val="HTML Sample"/>
    <w:basedOn w:val="48"/>
    <w:unhideWhenUsed/>
    <w:qFormat/>
    <w:uiPriority w:val="99"/>
    <w:rPr>
      <w:rFonts w:hint="default" w:ascii="Consolas" w:hAnsi="Consolas" w:eastAsia="Consolas" w:cs="Consolas"/>
      <w:sz w:val="21"/>
      <w:szCs w:val="21"/>
    </w:rPr>
  </w:style>
  <w:style w:type="character" w:customStyle="1" w:styleId="63">
    <w:name w:val="正文文本 2 Char1"/>
    <w:semiHidden/>
    <w:qFormat/>
    <w:uiPriority w:val="99"/>
    <w:rPr>
      <w:kern w:val="2"/>
      <w:sz w:val="21"/>
    </w:rPr>
  </w:style>
  <w:style w:type="character" w:customStyle="1" w:styleId="64">
    <w:name w:val="标题 8 Char"/>
    <w:link w:val="11"/>
    <w:qFormat/>
    <w:uiPriority w:val="0"/>
    <w:rPr>
      <w:rFonts w:ascii="仿宋_GB2312" w:eastAsia="仿宋_GB2312"/>
      <w:b/>
      <w:kern w:val="2"/>
      <w:sz w:val="24"/>
    </w:rPr>
  </w:style>
  <w:style w:type="character" w:customStyle="1" w:styleId="65">
    <w:name w:val="font91"/>
    <w:basedOn w:val="48"/>
    <w:qFormat/>
    <w:uiPriority w:val="0"/>
    <w:rPr>
      <w:rFonts w:ascii="Wingdings 2" w:hAnsi="Wingdings 2" w:eastAsia="Wingdings 2" w:cs="Wingdings 2"/>
      <w:color w:val="000000"/>
      <w:sz w:val="20"/>
      <w:szCs w:val="20"/>
      <w:u w:val="none"/>
    </w:rPr>
  </w:style>
  <w:style w:type="character" w:customStyle="1" w:styleId="66">
    <w:name w:val="nobor"/>
    <w:basedOn w:val="48"/>
    <w:qFormat/>
    <w:uiPriority w:val="0"/>
  </w:style>
  <w:style w:type="character" w:customStyle="1" w:styleId="67">
    <w:name w:val="emtidy-2"/>
    <w:basedOn w:val="48"/>
    <w:qFormat/>
    <w:uiPriority w:val="0"/>
  </w:style>
  <w:style w:type="character" w:customStyle="1" w:styleId="68">
    <w:name w:val=" Char Char7"/>
    <w:qFormat/>
    <w:uiPriority w:val="0"/>
    <w:rPr>
      <w:rFonts w:ascii="宋体" w:hAnsi="Courier New" w:eastAsia="宋体"/>
      <w:kern w:val="2"/>
      <w:sz w:val="21"/>
      <w:lang w:val="en-US" w:eastAsia="zh-CN" w:bidi="ar-SA"/>
    </w:rPr>
  </w:style>
  <w:style w:type="character" w:customStyle="1" w:styleId="69">
    <w:name w:val="页眉 Char"/>
    <w:link w:val="31"/>
    <w:qFormat/>
    <w:uiPriority w:val="99"/>
    <w:rPr>
      <w:rFonts w:eastAsia="宋体"/>
      <w:kern w:val="2"/>
      <w:sz w:val="18"/>
      <w:szCs w:val="18"/>
      <w:lang w:val="en-US" w:eastAsia="zh-CN" w:bidi="ar-SA"/>
    </w:rPr>
  </w:style>
  <w:style w:type="character" w:customStyle="1" w:styleId="70">
    <w:name w:val="font11"/>
    <w:basedOn w:val="48"/>
    <w:qFormat/>
    <w:uiPriority w:val="0"/>
    <w:rPr>
      <w:rFonts w:hint="eastAsia" w:ascii="楷体" w:hAnsi="楷体" w:eastAsia="楷体" w:cs="楷体"/>
      <w:color w:val="000000"/>
      <w:sz w:val="24"/>
      <w:szCs w:val="24"/>
      <w:u w:val="none"/>
    </w:rPr>
  </w:style>
  <w:style w:type="character" w:customStyle="1" w:styleId="71">
    <w:name w:val="正文文本 3 Char"/>
    <w:link w:val="20"/>
    <w:qFormat/>
    <w:uiPriority w:val="0"/>
    <w:rPr>
      <w:b/>
      <w:spacing w:val="-20"/>
      <w:w w:val="110"/>
      <w:kern w:val="2"/>
      <w:sz w:val="52"/>
    </w:rPr>
  </w:style>
  <w:style w:type="character" w:customStyle="1" w:styleId="72">
    <w:name w:val="font21"/>
    <w:qFormat/>
    <w:uiPriority w:val="0"/>
    <w:rPr>
      <w:rFonts w:hint="eastAsia" w:ascii="宋体" w:hAnsi="宋体" w:eastAsia="宋体" w:cs="宋体"/>
      <w:color w:val="1D41D5"/>
      <w:sz w:val="20"/>
      <w:szCs w:val="20"/>
      <w:u w:val="none"/>
    </w:rPr>
  </w:style>
  <w:style w:type="character" w:customStyle="1" w:styleId="73">
    <w:name w:val="emtidy-3"/>
    <w:basedOn w:val="48"/>
    <w:qFormat/>
    <w:uiPriority w:val="0"/>
  </w:style>
  <w:style w:type="character" w:customStyle="1" w:styleId="74">
    <w:name w:val="标题 3 Char"/>
    <w:link w:val="6"/>
    <w:qFormat/>
    <w:uiPriority w:val="0"/>
    <w:rPr>
      <w:b/>
      <w:bCs/>
      <w:kern w:val="2"/>
      <w:sz w:val="24"/>
      <w:szCs w:val="24"/>
    </w:rPr>
  </w:style>
  <w:style w:type="character" w:customStyle="1" w:styleId="75">
    <w:name w:val="nochoice_haspass"/>
    <w:basedOn w:val="48"/>
    <w:qFormat/>
    <w:uiPriority w:val="0"/>
  </w:style>
  <w:style w:type="character" w:customStyle="1" w:styleId="76">
    <w:name w:val="hui3"/>
    <w:qFormat/>
    <w:uiPriority w:val="0"/>
    <w:rPr>
      <w:color w:val="333333"/>
    </w:rPr>
  </w:style>
  <w:style w:type="character" w:customStyle="1" w:styleId="77">
    <w:name w:val="orange"/>
    <w:qFormat/>
    <w:uiPriority w:val="0"/>
    <w:rPr>
      <w:rFonts w:ascii="Arial" w:hAnsi="Arial" w:cs="Arial"/>
      <w:color w:val="EE3300"/>
      <w:sz w:val="27"/>
      <w:szCs w:val="27"/>
    </w:rPr>
  </w:style>
  <w:style w:type="character" w:customStyle="1" w:styleId="78">
    <w:name w:val="日期 Char"/>
    <w:link w:val="27"/>
    <w:qFormat/>
    <w:uiPriority w:val="0"/>
    <w:rPr>
      <w:kern w:val="2"/>
      <w:sz w:val="28"/>
    </w:rPr>
  </w:style>
  <w:style w:type="character" w:customStyle="1" w:styleId="79">
    <w:name w:val="font61"/>
    <w:basedOn w:val="48"/>
    <w:qFormat/>
    <w:uiPriority w:val="0"/>
    <w:rPr>
      <w:rFonts w:hint="eastAsia" w:ascii="宋体" w:hAnsi="宋体" w:eastAsia="宋体" w:cs="宋体"/>
      <w:color w:val="000000"/>
      <w:sz w:val="20"/>
      <w:szCs w:val="20"/>
      <w:u w:val="none"/>
    </w:rPr>
  </w:style>
  <w:style w:type="character" w:customStyle="1" w:styleId="80">
    <w:name w:val="文档结构图 Char"/>
    <w:link w:val="17"/>
    <w:qFormat/>
    <w:uiPriority w:val="0"/>
    <w:rPr>
      <w:kern w:val="2"/>
      <w:sz w:val="21"/>
      <w:shd w:val="clear" w:color="auto" w:fill="000080"/>
    </w:rPr>
  </w:style>
  <w:style w:type="character" w:customStyle="1" w:styleId="81">
    <w:name w:val="style31"/>
    <w:qFormat/>
    <w:uiPriority w:val="0"/>
    <w:rPr>
      <w:sz w:val="21"/>
      <w:szCs w:val="21"/>
    </w:rPr>
  </w:style>
  <w:style w:type="character" w:customStyle="1" w:styleId="82">
    <w:name w:val="ziti12-333-25"/>
    <w:basedOn w:val="48"/>
    <w:qFormat/>
    <w:uiPriority w:val="0"/>
  </w:style>
  <w:style w:type="character" w:customStyle="1" w:styleId="83">
    <w:name w:val="标题 Char"/>
    <w:link w:val="43"/>
    <w:qFormat/>
    <w:uiPriority w:val="0"/>
    <w:rPr>
      <w:rFonts w:ascii="Cambria" w:hAnsi="Cambria"/>
      <w:b/>
      <w:bCs/>
      <w:kern w:val="2"/>
      <w:sz w:val="32"/>
      <w:szCs w:val="32"/>
    </w:rPr>
  </w:style>
  <w:style w:type="character" w:customStyle="1" w:styleId="84">
    <w:name w:val="hover1"/>
    <w:qFormat/>
    <w:uiPriority w:val="0"/>
    <w:rPr>
      <w:shd w:val="clear" w:color="auto" w:fill="F9FCF5"/>
    </w:rPr>
  </w:style>
  <w:style w:type="character" w:customStyle="1" w:styleId="85">
    <w:name w:val="nochoice_passd"/>
    <w:basedOn w:val="48"/>
    <w:qFormat/>
    <w:uiPriority w:val="0"/>
  </w:style>
  <w:style w:type="character" w:customStyle="1" w:styleId="86">
    <w:name w:val="para1"/>
    <w:qFormat/>
    <w:uiPriority w:val="0"/>
    <w:rPr>
      <w:rFonts w:hint="default" w:ascii="Arial" w:hAnsi="Arial" w:cs="Arial"/>
      <w:sz w:val="18"/>
      <w:szCs w:val="18"/>
    </w:rPr>
  </w:style>
  <w:style w:type="character" w:customStyle="1" w:styleId="87">
    <w:name w:val="无间隔 Char"/>
    <w:link w:val="88"/>
    <w:qFormat/>
    <w:uiPriority w:val="1"/>
    <w:rPr>
      <w:kern w:val="2"/>
      <w:sz w:val="21"/>
      <w:szCs w:val="22"/>
      <w:lang w:val="en-US" w:eastAsia="zh-CN" w:bidi="ar-SA"/>
    </w:rPr>
  </w:style>
  <w:style w:type="paragraph" w:styleId="88">
    <w:name w:val="No Spacing"/>
    <w:link w:val="87"/>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89">
    <w:name w:val="称呼 Char1"/>
    <w:semiHidden/>
    <w:qFormat/>
    <w:uiPriority w:val="99"/>
    <w:rPr>
      <w:rFonts w:ascii="宋体"/>
      <w:sz w:val="24"/>
    </w:rPr>
  </w:style>
  <w:style w:type="character" w:customStyle="1" w:styleId="90">
    <w:name w:val="beforeinfotext"/>
    <w:basedOn w:val="48"/>
    <w:qFormat/>
    <w:uiPriority w:val="0"/>
    <w:rPr>
      <w:color w:val="666666"/>
    </w:rPr>
  </w:style>
  <w:style w:type="character" w:customStyle="1" w:styleId="91">
    <w:name w:val="正文文本缩进 Char"/>
    <w:link w:val="3"/>
    <w:qFormat/>
    <w:uiPriority w:val="0"/>
    <w:rPr>
      <w:sz w:val="28"/>
    </w:rPr>
  </w:style>
  <w:style w:type="character" w:customStyle="1" w:styleId="92">
    <w:name w:val="emtidy-4"/>
    <w:basedOn w:val="48"/>
    <w:qFormat/>
    <w:uiPriority w:val="0"/>
  </w:style>
  <w:style w:type="character" w:customStyle="1" w:styleId="93">
    <w:name w:val="正文缩进 Char"/>
    <w:link w:val="14"/>
    <w:qFormat/>
    <w:uiPriority w:val="0"/>
    <w:rPr>
      <w:kern w:val="2"/>
      <w:sz w:val="21"/>
      <w:szCs w:val="24"/>
    </w:rPr>
  </w:style>
  <w:style w:type="character" w:customStyle="1" w:styleId="94">
    <w:name w:val="招标书 正文 Char Char"/>
    <w:link w:val="95"/>
    <w:qFormat/>
    <w:uiPriority w:val="0"/>
    <w:rPr>
      <w:rFonts w:ascii="宋体" w:hAnsi="宋体"/>
      <w:color w:val="000000"/>
      <w:sz w:val="24"/>
      <w:szCs w:val="28"/>
    </w:rPr>
  </w:style>
  <w:style w:type="paragraph" w:customStyle="1" w:styleId="95">
    <w:name w:val="招标书 正文"/>
    <w:basedOn w:val="1"/>
    <w:link w:val="94"/>
    <w:qFormat/>
    <w:uiPriority w:val="0"/>
    <w:pPr>
      <w:widowControl/>
      <w:snapToGrid w:val="0"/>
      <w:spacing w:line="560" w:lineRule="exact"/>
      <w:ind w:firstLine="560" w:firstLineChars="200"/>
      <w:jc w:val="left"/>
    </w:pPr>
    <w:rPr>
      <w:rFonts w:hAnsi="宋体"/>
      <w:color w:val="000000"/>
      <w:szCs w:val="28"/>
    </w:rPr>
  </w:style>
  <w:style w:type="character" w:customStyle="1" w:styleId="96">
    <w:name w:val="标题 9 Char"/>
    <w:link w:val="12"/>
    <w:qFormat/>
    <w:uiPriority w:val="0"/>
    <w:rPr>
      <w:rFonts w:ascii="Arial" w:hAnsi="Arial" w:eastAsia="黑体"/>
      <w:kern w:val="2"/>
      <w:sz w:val="21"/>
      <w:szCs w:val="21"/>
    </w:rPr>
  </w:style>
  <w:style w:type="character" w:customStyle="1" w:styleId="97">
    <w:name w:val="hilite6"/>
    <w:basedOn w:val="48"/>
    <w:qFormat/>
    <w:uiPriority w:val="0"/>
    <w:rPr>
      <w:color w:val="FFFFFF"/>
      <w:shd w:val="clear" w:color="auto" w:fill="666677"/>
    </w:rPr>
  </w:style>
  <w:style w:type="character" w:customStyle="1" w:styleId="98">
    <w:name w:val="hover"/>
    <w:qFormat/>
    <w:uiPriority w:val="0"/>
    <w:rPr>
      <w:color w:val="FFFFFF"/>
      <w:u w:val="none"/>
      <w:shd w:val="clear" w:color="auto" w:fill="91B700"/>
    </w:rPr>
  </w:style>
  <w:style w:type="character" w:customStyle="1" w:styleId="99">
    <w:name w:val="标题 5 Char"/>
    <w:link w:val="8"/>
    <w:qFormat/>
    <w:uiPriority w:val="0"/>
    <w:rPr>
      <w:rFonts w:ascii="Arial Unicode MS" w:hAnsi="Arial Unicode MS"/>
      <w:bCs/>
      <w:kern w:val="2"/>
      <w:sz w:val="24"/>
      <w:szCs w:val="24"/>
    </w:rPr>
  </w:style>
  <w:style w:type="character" w:customStyle="1" w:styleId="100">
    <w:name w:val="font51"/>
    <w:basedOn w:val="48"/>
    <w:qFormat/>
    <w:uiPriority w:val="0"/>
    <w:rPr>
      <w:rFonts w:hint="default" w:ascii="仿宋_GB2312" w:eastAsia="仿宋_GB2312" w:cs="仿宋_GB2312"/>
      <w:color w:val="000000"/>
      <w:sz w:val="32"/>
      <w:szCs w:val="32"/>
      <w:u w:val="none"/>
    </w:rPr>
  </w:style>
  <w:style w:type="character" w:customStyle="1" w:styleId="101">
    <w:name w:val="proollist"/>
    <w:basedOn w:val="48"/>
    <w:qFormat/>
    <w:uiPriority w:val="0"/>
  </w:style>
  <w:style w:type="character" w:customStyle="1" w:styleId="102">
    <w:name w:val="批注主题 Char"/>
    <w:link w:val="44"/>
    <w:qFormat/>
    <w:uiPriority w:val="0"/>
    <w:rPr>
      <w:rFonts w:eastAsia="宋体"/>
      <w:b/>
      <w:bCs/>
      <w:kern w:val="2"/>
      <w:sz w:val="21"/>
      <w:szCs w:val="24"/>
      <w:lang w:val="en-US" w:eastAsia="zh-CN" w:bidi="ar-SA"/>
    </w:rPr>
  </w:style>
  <w:style w:type="character" w:customStyle="1" w:styleId="103">
    <w:name w:val="glyphicon4"/>
    <w:basedOn w:val="48"/>
    <w:qFormat/>
    <w:uiPriority w:val="0"/>
  </w:style>
  <w:style w:type="character" w:customStyle="1" w:styleId="104">
    <w:name w:val="标题 6 Char"/>
    <w:link w:val="9"/>
    <w:qFormat/>
    <w:uiPriority w:val="0"/>
    <w:rPr>
      <w:rFonts w:ascii="Arial Unicode MS" w:hAnsi="Arial Unicode MS"/>
      <w:bCs/>
      <w:kern w:val="2"/>
      <w:sz w:val="24"/>
      <w:szCs w:val="24"/>
    </w:rPr>
  </w:style>
  <w:style w:type="character" w:customStyle="1" w:styleId="105">
    <w:name w:val="ktxtr-p2"/>
    <w:basedOn w:val="48"/>
    <w:qFormat/>
    <w:uiPriority w:val="0"/>
  </w:style>
  <w:style w:type="character" w:customStyle="1" w:styleId="106">
    <w:name w:val="input-direction"/>
    <w:basedOn w:val="48"/>
    <w:qFormat/>
    <w:uiPriority w:val="0"/>
    <w:rPr>
      <w:color w:val="FF6600"/>
    </w:rPr>
  </w:style>
  <w:style w:type="character" w:customStyle="1" w:styleId="107">
    <w:name w:val="列出段落 Char"/>
    <w:link w:val="108"/>
    <w:qFormat/>
    <w:uiPriority w:val="34"/>
    <w:rPr>
      <w:rFonts w:ascii="Calibri" w:hAnsi="Calibri"/>
      <w:kern w:val="2"/>
      <w:sz w:val="21"/>
      <w:szCs w:val="22"/>
    </w:rPr>
  </w:style>
  <w:style w:type="paragraph" w:styleId="108">
    <w:name w:val="List Paragraph"/>
    <w:basedOn w:val="1"/>
    <w:link w:val="107"/>
    <w:qFormat/>
    <w:uiPriority w:val="34"/>
    <w:pPr>
      <w:ind w:firstLine="420" w:firstLineChars="200"/>
    </w:pPr>
    <w:rPr>
      <w:rFonts w:ascii="Calibri" w:hAnsi="Calibri"/>
      <w:kern w:val="2"/>
      <w:sz w:val="21"/>
      <w:szCs w:val="22"/>
    </w:rPr>
  </w:style>
  <w:style w:type="character" w:customStyle="1" w:styleId="109">
    <w:name w:val="font41"/>
    <w:basedOn w:val="48"/>
    <w:qFormat/>
    <w:uiPriority w:val="0"/>
    <w:rPr>
      <w:rFonts w:ascii="Calibri" w:hAnsi="Calibri" w:cs="Calibri"/>
      <w:color w:val="000000"/>
      <w:sz w:val="21"/>
      <w:szCs w:val="21"/>
      <w:u w:val="none"/>
    </w:rPr>
  </w:style>
  <w:style w:type="character" w:customStyle="1" w:styleId="110">
    <w:name w:val="stclosebtn"/>
    <w:basedOn w:val="48"/>
    <w:qFormat/>
    <w:uiPriority w:val="0"/>
  </w:style>
  <w:style w:type="character" w:customStyle="1" w:styleId="111">
    <w:name w:val="标题 4 Char"/>
    <w:link w:val="7"/>
    <w:qFormat/>
    <w:uiPriority w:val="0"/>
    <w:rPr>
      <w:rFonts w:ascii="Arial" w:hAnsi="Arial"/>
      <w:bCs/>
      <w:kern w:val="2"/>
      <w:sz w:val="24"/>
      <w:szCs w:val="28"/>
    </w:rPr>
  </w:style>
  <w:style w:type="character" w:customStyle="1" w:styleId="112">
    <w:name w:val="font101"/>
    <w:basedOn w:val="48"/>
    <w:qFormat/>
    <w:uiPriority w:val="0"/>
    <w:rPr>
      <w:rFonts w:hint="eastAsia" w:ascii="宋体" w:hAnsi="宋体" w:eastAsia="宋体" w:cs="宋体"/>
      <w:color w:val="FF0000"/>
      <w:sz w:val="32"/>
      <w:szCs w:val="32"/>
      <w:u w:val="none"/>
    </w:rPr>
  </w:style>
  <w:style w:type="character" w:customStyle="1" w:styleId="113">
    <w:name w:val=" Char Char5"/>
    <w:qFormat/>
    <w:uiPriority w:val="0"/>
    <w:rPr>
      <w:rFonts w:ascii="宋体" w:hAnsi="Courier New" w:eastAsia="宋体"/>
      <w:kern w:val="2"/>
      <w:sz w:val="21"/>
      <w:lang w:val="en-US" w:eastAsia="zh-CN" w:bidi="ar-SA"/>
    </w:rPr>
  </w:style>
  <w:style w:type="character" w:customStyle="1" w:styleId="114">
    <w:name w:val="button"/>
    <w:basedOn w:val="48"/>
    <w:qFormat/>
    <w:uiPriority w:val="0"/>
  </w:style>
  <w:style w:type="character" w:customStyle="1" w:styleId="115">
    <w:name w:val="页脚 Char"/>
    <w:link w:val="30"/>
    <w:qFormat/>
    <w:uiPriority w:val="99"/>
    <w:rPr>
      <w:rFonts w:eastAsia="宋体"/>
      <w:kern w:val="2"/>
      <w:sz w:val="18"/>
      <w:szCs w:val="18"/>
      <w:lang w:val="en-US" w:eastAsia="zh-CN" w:bidi="ar-SA"/>
    </w:rPr>
  </w:style>
  <w:style w:type="character" w:customStyle="1" w:styleId="116">
    <w:name w:val="tmpztreemove_arrow"/>
    <w:basedOn w:val="48"/>
    <w:qFormat/>
    <w:uiPriority w:val="0"/>
  </w:style>
  <w:style w:type="character" w:customStyle="1" w:styleId="117">
    <w:name w:val="正文文本 3 Char1"/>
    <w:semiHidden/>
    <w:qFormat/>
    <w:uiPriority w:val="99"/>
    <w:rPr>
      <w:kern w:val="2"/>
      <w:sz w:val="16"/>
      <w:szCs w:val="16"/>
    </w:rPr>
  </w:style>
  <w:style w:type="character" w:customStyle="1" w:styleId="118">
    <w:name w:val="ca-01"/>
    <w:qFormat/>
    <w:uiPriority w:val="0"/>
    <w:rPr>
      <w:rFonts w:hint="eastAsia" w:ascii="宋体" w:hAnsi="宋体" w:eastAsia="宋体"/>
      <w:sz w:val="28"/>
      <w:szCs w:val="28"/>
    </w:rPr>
  </w:style>
  <w:style w:type="character" w:customStyle="1" w:styleId="119">
    <w:name w:val="number"/>
    <w:basedOn w:val="48"/>
    <w:qFormat/>
    <w:uiPriority w:val="0"/>
    <w:rPr>
      <w:color w:val="FF8833"/>
      <w:sz w:val="18"/>
      <w:szCs w:val="18"/>
    </w:rPr>
  </w:style>
  <w:style w:type="character" w:customStyle="1" w:styleId="120">
    <w:name w:val="批注文字 Char"/>
    <w:link w:val="18"/>
    <w:qFormat/>
    <w:uiPriority w:val="99"/>
    <w:rPr>
      <w:rFonts w:eastAsia="宋体"/>
      <w:kern w:val="2"/>
      <w:sz w:val="21"/>
      <w:szCs w:val="24"/>
      <w:lang w:val="en-US" w:eastAsia="zh-CN" w:bidi="ar-SA"/>
    </w:rPr>
  </w:style>
  <w:style w:type="character" w:customStyle="1" w:styleId="121">
    <w:name w:val="indent"/>
    <w:basedOn w:val="48"/>
    <w:qFormat/>
    <w:uiPriority w:val="0"/>
  </w:style>
  <w:style w:type="character" w:customStyle="1" w:styleId="122">
    <w:name w:val="批注框文本 Char"/>
    <w:link w:val="29"/>
    <w:qFormat/>
    <w:uiPriority w:val="99"/>
    <w:rPr>
      <w:kern w:val="2"/>
      <w:sz w:val="18"/>
      <w:szCs w:val="18"/>
    </w:rPr>
  </w:style>
  <w:style w:type="character" w:customStyle="1" w:styleId="123">
    <w:name w:val="font81"/>
    <w:basedOn w:val="48"/>
    <w:qFormat/>
    <w:uiPriority w:val="0"/>
    <w:rPr>
      <w:rFonts w:hint="default" w:ascii="Times New Roman" w:hAnsi="Times New Roman" w:cs="Times New Roman"/>
      <w:color w:val="000000"/>
      <w:sz w:val="32"/>
      <w:szCs w:val="32"/>
      <w:u w:val="none"/>
    </w:rPr>
  </w:style>
  <w:style w:type="character" w:customStyle="1" w:styleId="124">
    <w:name w:val="font01"/>
    <w:qFormat/>
    <w:uiPriority w:val="0"/>
    <w:rPr>
      <w:rFonts w:hint="eastAsia" w:ascii="宋体" w:hAnsi="宋体" w:eastAsia="宋体" w:cs="宋体"/>
      <w:color w:val="000000"/>
      <w:sz w:val="20"/>
      <w:szCs w:val="20"/>
      <w:u w:val="none"/>
    </w:rPr>
  </w:style>
  <w:style w:type="character" w:customStyle="1" w:styleId="125">
    <w:name w:val="正文文本缩进 2 Char"/>
    <w:link w:val="28"/>
    <w:qFormat/>
    <w:uiPriority w:val="99"/>
    <w:rPr>
      <w:kern w:val="2"/>
      <w:sz w:val="24"/>
    </w:rPr>
  </w:style>
  <w:style w:type="character" w:customStyle="1" w:styleId="126">
    <w:name w:val="font71"/>
    <w:basedOn w:val="48"/>
    <w:qFormat/>
    <w:uiPriority w:val="0"/>
    <w:rPr>
      <w:rFonts w:hint="eastAsia" w:ascii="宋体" w:hAnsi="宋体" w:eastAsia="宋体" w:cs="宋体"/>
      <w:color w:val="000000"/>
      <w:sz w:val="32"/>
      <w:szCs w:val="32"/>
      <w:u w:val="none"/>
    </w:rPr>
  </w:style>
  <w:style w:type="character" w:customStyle="1" w:styleId="127">
    <w:name w:val="base"/>
    <w:basedOn w:val="48"/>
    <w:qFormat/>
    <w:uiPriority w:val="0"/>
  </w:style>
  <w:style w:type="character" w:customStyle="1" w:styleId="128">
    <w:name w:val="font31"/>
    <w:basedOn w:val="48"/>
    <w:qFormat/>
    <w:uiPriority w:val="0"/>
    <w:rPr>
      <w:rFonts w:hint="eastAsia" w:ascii="宋体" w:hAnsi="宋体" w:eastAsia="宋体" w:cs="宋体"/>
      <w:color w:val="000000"/>
      <w:sz w:val="21"/>
      <w:szCs w:val="21"/>
      <w:u w:val="none"/>
    </w:rPr>
  </w:style>
  <w:style w:type="character" w:customStyle="1" w:styleId="129">
    <w:name w:val="题注 Char"/>
    <w:link w:val="16"/>
    <w:qFormat/>
    <w:uiPriority w:val="0"/>
    <w:rPr>
      <w:rFonts w:ascii="Arial" w:hAnsi="Arial" w:eastAsia="黑体" w:cs="Arial"/>
      <w:kern w:val="2"/>
    </w:rPr>
  </w:style>
  <w:style w:type="character" w:customStyle="1" w:styleId="130">
    <w:name w:val="副标题 Char1"/>
    <w:qFormat/>
    <w:uiPriority w:val="11"/>
    <w:rPr>
      <w:rFonts w:ascii="Cambria" w:hAnsi="Cambria" w:cs="Times New Roman"/>
      <w:b/>
      <w:bCs/>
      <w:kern w:val="28"/>
      <w:sz w:val="32"/>
      <w:szCs w:val="32"/>
    </w:rPr>
  </w:style>
  <w:style w:type="character" w:customStyle="1" w:styleId="131">
    <w:name w:val="emtidy-5"/>
    <w:basedOn w:val="48"/>
    <w:qFormat/>
    <w:uiPriority w:val="0"/>
  </w:style>
  <w:style w:type="character" w:customStyle="1" w:styleId="132">
    <w:name w:val="hover3"/>
    <w:basedOn w:val="48"/>
    <w:qFormat/>
    <w:uiPriority w:val="0"/>
    <w:rPr>
      <w:shd w:val="clear" w:color="auto" w:fill="EEEEEE"/>
    </w:rPr>
  </w:style>
  <w:style w:type="character" w:customStyle="1" w:styleId="133">
    <w:name w:val="样式 正文缩进 + 首行缩进:  2 字符 段前: 0.5 行 段后: 0.5 行 Char Char"/>
    <w:link w:val="134"/>
    <w:qFormat/>
    <w:uiPriority w:val="0"/>
    <w:rPr>
      <w:rFonts w:cs="宋体"/>
      <w:kern w:val="2"/>
      <w:sz w:val="24"/>
    </w:rPr>
  </w:style>
  <w:style w:type="paragraph" w:customStyle="1" w:styleId="134">
    <w:name w:val="样式 正文缩进 + 首行缩进:  2 字符 段前: 0.5 行 段后: 0.5 行"/>
    <w:basedOn w:val="14"/>
    <w:link w:val="133"/>
    <w:qFormat/>
    <w:uiPriority w:val="0"/>
    <w:pPr>
      <w:spacing w:beforeLines="50" w:afterLines="50" w:line="360" w:lineRule="auto"/>
      <w:ind w:firstLine="480"/>
    </w:pPr>
    <w:rPr>
      <w:sz w:val="24"/>
      <w:szCs w:val="20"/>
    </w:rPr>
  </w:style>
  <w:style w:type="character" w:customStyle="1" w:styleId="135">
    <w:name w:val="prev2"/>
    <w:qFormat/>
    <w:uiPriority w:val="0"/>
    <w:rPr>
      <w:color w:val="999999"/>
      <w:bdr w:val="single" w:color="CECECE" w:sz="6" w:space="0"/>
      <w:shd w:val="clear" w:color="auto" w:fill="DDDDDD"/>
    </w:rPr>
  </w:style>
  <w:style w:type="character" w:customStyle="1" w:styleId="136">
    <w:name w:val="标题 2 Char"/>
    <w:link w:val="5"/>
    <w:qFormat/>
    <w:uiPriority w:val="9"/>
    <w:rPr>
      <w:rFonts w:ascii="Arial" w:hAnsi="Arial"/>
      <w:b/>
      <w:bCs/>
      <w:sz w:val="28"/>
      <w:szCs w:val="32"/>
    </w:rPr>
  </w:style>
  <w:style w:type="character" w:customStyle="1" w:styleId="137">
    <w:name w:val="introduction1"/>
    <w:qFormat/>
    <w:uiPriority w:val="0"/>
  </w:style>
  <w:style w:type="character" w:customStyle="1" w:styleId="138">
    <w:name w:val="正文文本 2 Char"/>
    <w:link w:val="39"/>
    <w:qFormat/>
    <w:uiPriority w:val="0"/>
    <w:rPr>
      <w:rFonts w:ascii="楷体_GB2312" w:hAnsi="Copperplate Gothic Bold" w:eastAsia="楷体_GB2312"/>
      <w:kern w:val="2"/>
      <w:sz w:val="28"/>
    </w:rPr>
  </w:style>
  <w:style w:type="character" w:customStyle="1" w:styleId="139">
    <w:name w:val="hour_pm"/>
    <w:basedOn w:val="48"/>
    <w:qFormat/>
    <w:uiPriority w:val="0"/>
  </w:style>
  <w:style w:type="character" w:customStyle="1" w:styleId="140">
    <w:name w:val="phone"/>
    <w:basedOn w:val="48"/>
    <w:qFormat/>
    <w:uiPriority w:val="0"/>
    <w:rPr>
      <w:color w:val="FF8833"/>
      <w:sz w:val="18"/>
      <w:szCs w:val="18"/>
    </w:rPr>
  </w:style>
  <w:style w:type="character" w:customStyle="1" w:styleId="141">
    <w:name w:val="标题 1 Char"/>
    <w:link w:val="4"/>
    <w:qFormat/>
    <w:uiPriority w:val="0"/>
    <w:rPr>
      <w:rFonts w:ascii="仿宋_GB2312" w:hAnsi="仿宋_GB2312" w:eastAsia="楷体"/>
      <w:b/>
      <w:kern w:val="2"/>
      <w:sz w:val="36"/>
    </w:rPr>
  </w:style>
  <w:style w:type="character" w:customStyle="1" w:styleId="142">
    <w:name w:val="nochoice_cancel"/>
    <w:basedOn w:val="48"/>
    <w:qFormat/>
    <w:uiPriority w:val="0"/>
  </w:style>
  <w:style w:type="character" w:customStyle="1" w:styleId="143">
    <w:name w:val="标题 7 Char"/>
    <w:link w:val="10"/>
    <w:qFormat/>
    <w:uiPriority w:val="0"/>
    <w:rPr>
      <w:rFonts w:ascii="Arial" w:hAnsi="Arial"/>
      <w:b/>
      <w:color w:val="000000"/>
      <w:kern w:val="2"/>
      <w:sz w:val="15"/>
    </w:rPr>
  </w:style>
  <w:style w:type="character" w:customStyle="1" w:styleId="144">
    <w:name w:val="next2"/>
    <w:qFormat/>
    <w:uiPriority w:val="0"/>
    <w:rPr>
      <w:color w:val="999999"/>
      <w:bdr w:val="single" w:color="CECECE" w:sz="6" w:space="0"/>
      <w:shd w:val="clear" w:color="auto" w:fill="DDDDDD"/>
    </w:rPr>
  </w:style>
  <w:style w:type="character" w:customStyle="1" w:styleId="145">
    <w:name w:val="称呼 Char"/>
    <w:link w:val="19"/>
    <w:qFormat/>
    <w:uiPriority w:val="99"/>
    <w:rPr>
      <w:kern w:val="2"/>
      <w:sz w:val="24"/>
      <w:szCs w:val="24"/>
    </w:rPr>
  </w:style>
  <w:style w:type="character" w:customStyle="1" w:styleId="146">
    <w:name w:val="c lh15"/>
    <w:basedOn w:val="48"/>
    <w:qFormat/>
    <w:uiPriority w:val="0"/>
  </w:style>
  <w:style w:type="character" w:customStyle="1" w:styleId="147">
    <w:name w:val="正文文本 Char"/>
    <w:link w:val="21"/>
    <w:qFormat/>
    <w:uiPriority w:val="0"/>
    <w:rPr>
      <w:kern w:val="2"/>
      <w:sz w:val="21"/>
    </w:rPr>
  </w:style>
  <w:style w:type="character" w:customStyle="1" w:styleId="148">
    <w:name w:val="active6"/>
    <w:basedOn w:val="48"/>
    <w:qFormat/>
    <w:uiPriority w:val="0"/>
    <w:rPr>
      <w:color w:val="00FF00"/>
      <w:shd w:val="clear" w:color="auto" w:fill="000000"/>
    </w:rPr>
  </w:style>
  <w:style w:type="character" w:customStyle="1" w:styleId="149">
    <w:name w:val="纯文本 Char"/>
    <w:link w:val="25"/>
    <w:qFormat/>
    <w:uiPriority w:val="0"/>
    <w:rPr>
      <w:rFonts w:ascii="宋体" w:hAnsi="Courier New" w:eastAsia="宋体"/>
      <w:kern w:val="2"/>
      <w:sz w:val="21"/>
      <w:lang w:val="en-US" w:eastAsia="zh-CN" w:bidi="ar-SA"/>
    </w:rPr>
  </w:style>
  <w:style w:type="character" w:customStyle="1" w:styleId="150">
    <w:name w:val="c1"/>
    <w:qFormat/>
    <w:uiPriority w:val="0"/>
    <w:rPr>
      <w:sz w:val="28"/>
      <w:szCs w:val="28"/>
    </w:rPr>
  </w:style>
  <w:style w:type="character" w:customStyle="1" w:styleId="151">
    <w:name w:val="副标题 Char"/>
    <w:link w:val="33"/>
    <w:qFormat/>
    <w:uiPriority w:val="0"/>
    <w:rPr>
      <w:rFonts w:ascii="Cambria" w:hAnsi="Cambria"/>
      <w:b/>
      <w:bCs/>
      <w:kern w:val="28"/>
      <w:sz w:val="32"/>
      <w:szCs w:val="32"/>
    </w:rPr>
  </w:style>
  <w:style w:type="character" w:customStyle="1" w:styleId="152">
    <w:name w:val="view_contact"/>
    <w:basedOn w:val="48"/>
    <w:qFormat/>
    <w:uiPriority w:val="0"/>
  </w:style>
  <w:style w:type="character" w:customStyle="1" w:styleId="153">
    <w:name w:val="正文文本缩进 3 Char"/>
    <w:link w:val="36"/>
    <w:qFormat/>
    <w:uiPriority w:val="0"/>
    <w:rPr>
      <w:rFonts w:ascii="宋体" w:hAnsi="宋体"/>
      <w:spacing w:val="4"/>
      <w:kern w:val="2"/>
      <w:sz w:val="21"/>
    </w:rPr>
  </w:style>
  <w:style w:type="character" w:customStyle="1" w:styleId="154">
    <w:name w:val="style5 style5"/>
    <w:basedOn w:val="48"/>
    <w:qFormat/>
    <w:uiPriority w:val="0"/>
  </w:style>
  <w:style w:type="character" w:customStyle="1" w:styleId="155">
    <w:name w:val="emtidy-6"/>
    <w:basedOn w:val="48"/>
    <w:qFormat/>
    <w:uiPriority w:val="0"/>
  </w:style>
  <w:style w:type="character" w:customStyle="1" w:styleId="156">
    <w:name w:val="hour_am"/>
    <w:basedOn w:val="48"/>
    <w:qFormat/>
    <w:uiPriority w:val="0"/>
  </w:style>
  <w:style w:type="character" w:customStyle="1" w:styleId="157">
    <w:name w:val="old"/>
    <w:basedOn w:val="48"/>
    <w:qFormat/>
    <w:uiPriority w:val="0"/>
    <w:rPr>
      <w:color w:val="999999"/>
    </w:rPr>
  </w:style>
  <w:style w:type="character" w:customStyle="1" w:styleId="158">
    <w:name w:val="span-long"/>
    <w:basedOn w:val="48"/>
    <w:qFormat/>
    <w:uiPriority w:val="0"/>
  </w:style>
  <w:style w:type="character" w:customStyle="1" w:styleId="159">
    <w:name w:val="unnamed11"/>
    <w:basedOn w:val="48"/>
    <w:qFormat/>
    <w:uiPriority w:val="0"/>
  </w:style>
  <w:style w:type="paragraph" w:customStyle="1" w:styleId="160">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161">
    <w:name w:val="BodyText"/>
    <w:basedOn w:val="1"/>
    <w:next w:val="1"/>
    <w:qFormat/>
    <w:uiPriority w:val="0"/>
    <w:pPr>
      <w:spacing w:after="120"/>
      <w:textAlignment w:val="baseline"/>
    </w:pPr>
    <w:rPr>
      <w:rFonts w:ascii="Times New Roman"/>
      <w:kern w:val="2"/>
      <w:sz w:val="21"/>
    </w:rPr>
  </w:style>
  <w:style w:type="paragraph" w:customStyle="1" w:styleId="162">
    <w:name w:val="TOC Heading"/>
    <w:basedOn w:val="4"/>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163">
    <w:name w:val="正文序号 1"/>
    <w:basedOn w:val="1"/>
    <w:qFormat/>
    <w:uiPriority w:val="0"/>
    <w:pPr>
      <w:numPr>
        <w:ilvl w:val="0"/>
        <w:numId w:val="2"/>
      </w:numPr>
      <w:spacing w:before="60"/>
    </w:pPr>
    <w:rPr>
      <w:szCs w:val="24"/>
    </w:rPr>
  </w:style>
  <w:style w:type="paragraph" w:customStyle="1" w:styleId="164">
    <w:name w:val="列出段落1"/>
    <w:basedOn w:val="1"/>
    <w:qFormat/>
    <w:uiPriority w:val="0"/>
    <w:pPr>
      <w:ind w:firstLine="420" w:firstLineChars="200"/>
    </w:pPr>
  </w:style>
  <w:style w:type="paragraph" w:customStyle="1" w:styleId="165">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宋体"/>
      <w:b/>
      <w:bCs/>
      <w:szCs w:val="24"/>
    </w:rPr>
  </w:style>
  <w:style w:type="paragraph" w:customStyle="1" w:styleId="166">
    <w:name w:val="章标题"/>
    <w:basedOn w:val="4"/>
    <w:qFormat/>
    <w:uiPriority w:val="99"/>
    <w:pPr>
      <w:numPr>
        <w:ilvl w:val="0"/>
        <w:numId w:val="3"/>
      </w:numPr>
      <w:spacing w:beforeLines="50" w:afterLines="50" w:line="360" w:lineRule="auto"/>
      <w:ind w:firstLine="0"/>
    </w:pPr>
  </w:style>
  <w:style w:type="paragraph" w:customStyle="1" w:styleId="167">
    <w:name w:val="※正文"/>
    <w:basedOn w:val="1"/>
    <w:next w:val="1"/>
    <w:qFormat/>
    <w:uiPriority w:val="0"/>
    <w:pPr>
      <w:widowControl/>
      <w:wordWrap w:val="0"/>
      <w:spacing w:line="400" w:lineRule="exact"/>
    </w:pPr>
    <w:rPr>
      <w:rFonts w:ascii="Calibri Light" w:hAnsi="Calibri Light" w:eastAsia="华文仿宋"/>
      <w:kern w:val="2"/>
      <w:sz w:val="28"/>
      <w:szCs w:val="28"/>
    </w:rPr>
  </w:style>
  <w:style w:type="paragraph" w:customStyle="1" w:styleId="168">
    <w:name w:val=" Char"/>
    <w:basedOn w:val="1"/>
    <w:qFormat/>
    <w:uiPriority w:val="0"/>
    <w:rPr>
      <w:rFonts w:hAnsi="宋体"/>
      <w:szCs w:val="24"/>
    </w:rPr>
  </w:style>
  <w:style w:type="paragraph" w:customStyle="1" w:styleId="169">
    <w:name w:val="Char12"/>
    <w:basedOn w:val="1"/>
    <w:qFormat/>
    <w:uiPriority w:val="0"/>
    <w:pPr>
      <w:tabs>
        <w:tab w:val="left" w:pos="360"/>
      </w:tabs>
    </w:pPr>
    <w:rPr>
      <w:szCs w:val="24"/>
    </w:rPr>
  </w:style>
  <w:style w:type="paragraph" w:customStyle="1" w:styleId="170">
    <w:name w:val="Form Header 1"/>
    <w:basedOn w:val="1"/>
    <w:next w:val="1"/>
    <w:qFormat/>
    <w:uiPriority w:val="0"/>
    <w:pPr>
      <w:widowControl/>
      <w:spacing w:before="80" w:after="80"/>
      <w:jc w:val="left"/>
    </w:pPr>
    <w:rPr>
      <w:rFonts w:ascii="Arial" w:hAnsi="Arial"/>
      <w:b/>
      <w:lang w:val="de-DE" w:eastAsia="en-US"/>
    </w:rPr>
  </w:style>
  <w:style w:type="paragraph" w:customStyle="1" w:styleId="171">
    <w:name w:val="缺省文本"/>
    <w:basedOn w:val="1"/>
    <w:qFormat/>
    <w:uiPriority w:val="0"/>
    <w:pPr>
      <w:autoSpaceDE w:val="0"/>
      <w:autoSpaceDN w:val="0"/>
      <w:adjustRightInd w:val="0"/>
      <w:jc w:val="left"/>
    </w:pPr>
  </w:style>
  <w:style w:type="paragraph" w:customStyle="1" w:styleId="172">
    <w:name w:val="Char Char1"/>
    <w:basedOn w:val="1"/>
    <w:qFormat/>
    <w:uiPriority w:val="0"/>
    <w:pPr>
      <w:widowControl/>
      <w:spacing w:after="160" w:line="240" w:lineRule="exact"/>
      <w:jc w:val="left"/>
    </w:pPr>
    <w:rPr>
      <w:rFonts w:ascii="Verdana" w:hAnsi="Verdana" w:eastAsia="楷体_GB2312"/>
      <w:b/>
      <w:i/>
      <w:iCs/>
      <w:color w:val="000000"/>
      <w:sz w:val="20"/>
      <w:lang w:eastAsia="en-US"/>
    </w:rPr>
  </w:style>
  <w:style w:type="paragraph" w:customStyle="1" w:styleId="173">
    <w:name w:val="插图编号"/>
    <w:basedOn w:val="1"/>
    <w:next w:val="14"/>
    <w:qFormat/>
    <w:uiPriority w:val="0"/>
    <w:pPr>
      <w:tabs>
        <w:tab w:val="left" w:pos="1440"/>
      </w:tabs>
      <w:spacing w:line="360" w:lineRule="auto"/>
      <w:ind w:left="1021" w:hanging="1021"/>
    </w:pPr>
    <w:rPr>
      <w:spacing w:val="20"/>
      <w:szCs w:val="24"/>
    </w:rPr>
  </w:style>
  <w:style w:type="paragraph" w:customStyle="1" w:styleId="174">
    <w:name w:val="Char Char Char Char"/>
    <w:basedOn w:val="1"/>
    <w:qFormat/>
    <w:uiPriority w:val="0"/>
    <w:pPr>
      <w:widowControl/>
      <w:spacing w:after="160" w:line="240" w:lineRule="exact"/>
      <w:jc w:val="center"/>
    </w:pPr>
    <w:rPr>
      <w:rFonts w:hAnsi="宋体"/>
      <w:b/>
      <w:sz w:val="28"/>
      <w:szCs w:val="28"/>
      <w:lang w:eastAsia="en-US"/>
    </w:rPr>
  </w:style>
  <w:style w:type="paragraph" w:customStyle="1" w:styleId="175">
    <w:name w:val="p0"/>
    <w:basedOn w:val="1"/>
    <w:qFormat/>
    <w:uiPriority w:val="0"/>
    <w:pPr>
      <w:widowControl/>
      <w:snapToGrid w:val="0"/>
      <w:spacing w:line="312" w:lineRule="atLeast"/>
      <w:textAlignment w:val="baseline"/>
    </w:pPr>
    <w:rPr>
      <w:szCs w:val="21"/>
    </w:rPr>
  </w:style>
  <w:style w:type="paragraph" w:customStyle="1" w:styleId="176">
    <w:name w:val="Q/19LGT01—2001"/>
    <w:basedOn w:val="1"/>
    <w:qFormat/>
    <w:uiPriority w:val="0"/>
    <w:pPr>
      <w:tabs>
        <w:tab w:val="left" w:pos="555"/>
      </w:tabs>
      <w:spacing w:line="360" w:lineRule="auto"/>
      <w:ind w:firstLine="420" w:firstLineChars="200"/>
    </w:pPr>
    <w:rPr>
      <w:rFonts w:hAnsi="宋体"/>
      <w:bCs/>
    </w:rPr>
  </w:style>
  <w:style w:type="paragraph" w:customStyle="1" w:styleId="177">
    <w:name w:val="节标题"/>
    <w:basedOn w:val="166"/>
    <w:qFormat/>
    <w:uiPriority w:val="99"/>
    <w:pPr>
      <w:keepNext w:val="0"/>
      <w:numPr>
        <w:ilvl w:val="1"/>
      </w:numPr>
      <w:jc w:val="left"/>
      <w:outlineLvl w:val="1"/>
    </w:pPr>
    <w:rPr>
      <w:rFonts w:eastAsia="黑体"/>
      <w:b w:val="0"/>
      <w:sz w:val="28"/>
    </w:rPr>
  </w:style>
  <w:style w:type="paragraph" w:customStyle="1" w:styleId="178">
    <w:name w:val="?§?§?¨¤?§o????¨¤?"/>
    <w:basedOn w:val="1"/>
    <w:qFormat/>
    <w:uiPriority w:val="0"/>
    <w:pPr>
      <w:autoSpaceDE w:val="0"/>
      <w:autoSpaceDN w:val="0"/>
      <w:adjustRightInd w:val="0"/>
      <w:jc w:val="left"/>
    </w:pPr>
  </w:style>
  <w:style w:type="paragraph" w:customStyle="1" w:styleId="179">
    <w:name w:val="xl48"/>
    <w:basedOn w:val="1"/>
    <w:qFormat/>
    <w:uiPriority w:val="0"/>
    <w:pPr>
      <w:widowControl/>
      <w:pBdr>
        <w:bottom w:val="single" w:color="auto" w:sz="4" w:space="0"/>
      </w:pBdr>
      <w:spacing w:before="100" w:beforeAutospacing="1" w:after="100" w:afterAutospacing="1"/>
      <w:jc w:val="center"/>
    </w:pPr>
    <w:rPr>
      <w:rFonts w:ascii="Times New Roman" w:eastAsia="Arial Unicode MS"/>
      <w:szCs w:val="24"/>
    </w:rPr>
  </w:style>
  <w:style w:type="paragraph" w:customStyle="1" w:styleId="180">
    <w:name w:val="Normal (Web)1"/>
    <w:basedOn w:val="1"/>
    <w:qFormat/>
    <w:uiPriority w:val="0"/>
    <w:pPr>
      <w:widowControl/>
      <w:spacing w:before="100" w:beforeAutospacing="1" w:after="100" w:afterAutospacing="1"/>
      <w:jc w:val="left"/>
    </w:pPr>
    <w:rPr>
      <w:rFonts w:hAnsi="宋体" w:cs="宋体"/>
      <w:szCs w:val="24"/>
    </w:rPr>
  </w:style>
  <w:style w:type="paragraph" w:customStyle="1" w:styleId="181">
    <w:name w:val="Char"/>
    <w:basedOn w:val="17"/>
    <w:next w:val="6"/>
    <w:qFormat/>
    <w:uiPriority w:val="0"/>
    <w:pPr>
      <w:numPr>
        <w:ilvl w:val="0"/>
        <w:numId w:val="4"/>
      </w:numPr>
      <w:tabs>
        <w:tab w:val="left" w:pos="1200"/>
        <w:tab w:val="clear" w:pos="720"/>
      </w:tabs>
      <w:ind w:left="1200" w:hanging="360"/>
    </w:pPr>
    <w:rPr>
      <w:sz w:val="24"/>
      <w:szCs w:val="24"/>
    </w:rPr>
  </w:style>
  <w:style w:type="paragraph" w:customStyle="1" w:styleId="182">
    <w:name w:val="12 Table Text"/>
    <w:basedOn w:val="1"/>
    <w:qFormat/>
    <w:uiPriority w:val="0"/>
    <w:pPr>
      <w:spacing w:beforeLines="10" w:afterLines="10"/>
    </w:pPr>
    <w:rPr>
      <w:rFonts w:ascii="Calibri" w:hAnsi="Calibri"/>
    </w:rPr>
  </w:style>
  <w:style w:type="paragraph" w:customStyle="1" w:styleId="183">
    <w:name w:val="文字列表"/>
    <w:basedOn w:val="1"/>
    <w:qFormat/>
    <w:uiPriority w:val="0"/>
    <w:pPr>
      <w:tabs>
        <w:tab w:val="left" w:pos="420"/>
      </w:tabs>
      <w:spacing w:line="360" w:lineRule="auto"/>
      <w:ind w:left="358" w:leftChars="128" w:firstLine="2"/>
    </w:pPr>
    <w:rPr>
      <w:spacing w:val="20"/>
      <w:szCs w:val="24"/>
    </w:rPr>
  </w:style>
  <w:style w:type="paragraph" w:customStyle="1" w:styleId="184">
    <w:name w:val="xl51"/>
    <w:basedOn w:val="1"/>
    <w:qFormat/>
    <w:uiPriority w:val="0"/>
    <w:pPr>
      <w:widowControl/>
      <w:spacing w:before="100" w:beforeAutospacing="1" w:after="100" w:afterAutospacing="1"/>
      <w:jc w:val="center"/>
    </w:pPr>
    <w:rPr>
      <w:rFonts w:ascii="Arial Unicode MS" w:hAnsi="Arial Unicode MS" w:eastAsia="Arial Unicode MS"/>
      <w:b/>
      <w:sz w:val="32"/>
    </w:rPr>
  </w:style>
  <w:style w:type="paragraph" w:customStyle="1" w:styleId="185">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sz w:val="32"/>
      <w:szCs w:val="24"/>
    </w:rPr>
  </w:style>
  <w:style w:type="paragraph" w:customStyle="1" w:styleId="186">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87">
    <w:name w:val="??¨???¨????ì?¨¨??¨?o??????ì?¨¨?"/>
    <w:basedOn w:val="1"/>
    <w:qFormat/>
    <w:uiPriority w:val="0"/>
    <w:pPr>
      <w:autoSpaceDE w:val="0"/>
      <w:autoSpaceDN w:val="0"/>
      <w:adjustRightInd w:val="0"/>
      <w:jc w:val="left"/>
    </w:pPr>
  </w:style>
  <w:style w:type="paragraph" w:customStyle="1" w:styleId="18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 w:val="28"/>
    </w:rPr>
  </w:style>
  <w:style w:type="paragraph" w:customStyle="1" w:styleId="189">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90">
    <w:name w:val="日期1"/>
    <w:basedOn w:val="1"/>
    <w:next w:val="1"/>
    <w:qFormat/>
    <w:uiPriority w:val="0"/>
    <w:rPr>
      <w:rFonts w:ascii="黑体" w:eastAsia="黑体"/>
      <w:sz w:val="28"/>
    </w:rPr>
  </w:style>
  <w:style w:type="paragraph" w:customStyle="1" w:styleId="191">
    <w:name w:val="正文段"/>
    <w:basedOn w:val="1"/>
    <w:qFormat/>
    <w:uiPriority w:val="0"/>
    <w:pPr>
      <w:adjustRightInd w:val="0"/>
      <w:snapToGrid w:val="0"/>
      <w:spacing w:line="360" w:lineRule="auto"/>
    </w:pPr>
    <w:rPr>
      <w:rFonts w:eastAsia="仿宋_GB2312"/>
      <w:spacing w:val="-8"/>
    </w:rPr>
  </w:style>
  <w:style w:type="paragraph" w:customStyle="1" w:styleId="192">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Char1"/>
    <w:basedOn w:val="1"/>
    <w:qFormat/>
    <w:uiPriority w:val="0"/>
    <w:pPr>
      <w:tabs>
        <w:tab w:val="left" w:pos="360"/>
      </w:tabs>
      <w:ind w:left="360" w:hanging="360" w:hangingChars="200"/>
    </w:pPr>
    <w:rPr>
      <w:szCs w:val="24"/>
    </w:rPr>
  </w:style>
  <w:style w:type="paragraph" w:customStyle="1" w:styleId="194">
    <w:name w:val="List Paragraph1"/>
    <w:basedOn w:val="1"/>
    <w:qFormat/>
    <w:uiPriority w:val="34"/>
    <w:pPr>
      <w:ind w:firstLine="420" w:firstLineChars="200"/>
    </w:pPr>
  </w:style>
  <w:style w:type="paragraph" w:customStyle="1" w:styleId="195">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96">
    <w:name w:val="普通(网站)1"/>
    <w:basedOn w:val="1"/>
    <w:qFormat/>
    <w:uiPriority w:val="0"/>
    <w:pPr>
      <w:widowControl/>
      <w:spacing w:before="100" w:beforeAutospacing="1" w:after="100" w:afterAutospacing="1"/>
      <w:jc w:val="left"/>
    </w:pPr>
    <w:rPr>
      <w:rFonts w:hAnsi="宋体" w:cs="宋体"/>
      <w:szCs w:val="24"/>
    </w:rPr>
  </w:style>
  <w:style w:type="paragraph" w:customStyle="1" w:styleId="197">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198">
    <w:name w:val="正文空2格  1."/>
    <w:basedOn w:val="1"/>
    <w:qFormat/>
    <w:uiPriority w:val="0"/>
    <w:pPr>
      <w:adjustRightInd w:val="0"/>
      <w:spacing w:line="360" w:lineRule="auto"/>
      <w:ind w:firstLine="480" w:firstLineChars="200"/>
      <w:textAlignment w:val="baseline"/>
    </w:pPr>
    <w:rPr>
      <w:rFonts w:eastAsia="仿宋" w:cs="宋体"/>
      <w:sz w:val="28"/>
    </w:rPr>
  </w:style>
  <w:style w:type="paragraph" w:customStyle="1" w:styleId="199">
    <w:name w:val="Date"/>
    <w:basedOn w:val="1"/>
    <w:next w:val="1"/>
    <w:qFormat/>
    <w:uiPriority w:val="0"/>
    <w:rPr>
      <w:rFonts w:ascii="黑体" w:eastAsia="黑体"/>
      <w:sz w:val="28"/>
    </w:rPr>
  </w:style>
  <w:style w:type="paragraph" w:customStyle="1" w:styleId="200">
    <w:name w:val="正文缩进1"/>
    <w:basedOn w:val="1"/>
    <w:qFormat/>
    <w:uiPriority w:val="0"/>
    <w:pPr>
      <w:ind w:firstLine="420" w:firstLineChars="200"/>
    </w:pPr>
  </w:style>
  <w:style w:type="paragraph" w:customStyle="1" w:styleId="201">
    <w:name w:val="ec_msonormal"/>
    <w:basedOn w:val="1"/>
    <w:qFormat/>
    <w:uiPriority w:val="0"/>
    <w:pPr>
      <w:widowControl/>
      <w:spacing w:before="100" w:beforeAutospacing="1" w:after="100" w:afterAutospacing="1"/>
      <w:jc w:val="left"/>
    </w:pPr>
    <w:rPr>
      <w:rFonts w:hAnsi="宋体" w:cs="宋体"/>
      <w:szCs w:val="24"/>
    </w:rPr>
  </w:style>
  <w:style w:type="paragraph" w:customStyle="1" w:styleId="202">
    <w:name w:val="TOC 标题1"/>
    <w:basedOn w:val="4"/>
    <w:next w:val="1"/>
    <w:qFormat/>
    <w:uiPriority w:val="99"/>
    <w:pPr>
      <w:spacing w:before="480" w:line="276" w:lineRule="auto"/>
      <w:outlineLvl w:val="9"/>
    </w:pPr>
    <w:rPr>
      <w:rFonts w:ascii="仿宋" w:hAnsi="仿宋" w:eastAsia="仿宋"/>
      <w:color w:val="000000"/>
      <w:kern w:val="0"/>
      <w:szCs w:val="32"/>
    </w:rPr>
  </w:style>
  <w:style w:type="paragraph" w:customStyle="1" w:styleId="203">
    <w:name w:val="正文序号 4"/>
    <w:basedOn w:val="1"/>
    <w:qFormat/>
    <w:uiPriority w:val="0"/>
    <w:pPr>
      <w:numPr>
        <w:ilvl w:val="3"/>
        <w:numId w:val="2"/>
      </w:numPr>
      <w:spacing w:before="60"/>
    </w:pPr>
    <w:rPr>
      <w:szCs w:val="24"/>
    </w:rPr>
  </w:style>
  <w:style w:type="paragraph" w:customStyle="1" w:styleId="204">
    <w:name w:val="表内文字"/>
    <w:basedOn w:val="1"/>
    <w:qFormat/>
    <w:uiPriority w:val="0"/>
    <w:pPr>
      <w:jc w:val="left"/>
    </w:pPr>
    <w:rPr>
      <w:szCs w:val="24"/>
    </w:rPr>
  </w:style>
  <w:style w:type="paragraph" w:customStyle="1" w:styleId="205">
    <w:name w:val="Char3"/>
    <w:basedOn w:val="1"/>
    <w:qFormat/>
    <w:uiPriority w:val="0"/>
    <w:pPr>
      <w:tabs>
        <w:tab w:val="left" w:pos="360"/>
      </w:tabs>
    </w:pPr>
    <w:rPr>
      <w:szCs w:val="24"/>
    </w:rPr>
  </w:style>
  <w:style w:type="paragraph" w:customStyle="1" w:styleId="206">
    <w:name w:val="表格文字中"/>
    <w:basedOn w:val="1"/>
    <w:qFormat/>
    <w:uiPriority w:val="0"/>
    <w:pPr>
      <w:adjustRightInd w:val="0"/>
      <w:snapToGrid w:val="0"/>
      <w:ind w:left="22" w:leftChars="8"/>
      <w:jc w:val="center"/>
    </w:pPr>
    <w:rPr>
      <w:szCs w:val="24"/>
    </w:rPr>
  </w:style>
  <w:style w:type="paragraph" w:customStyle="1" w:styleId="207">
    <w:name w:val="二级条标题"/>
    <w:basedOn w:val="1"/>
    <w:next w:val="1"/>
    <w:qFormat/>
    <w:uiPriority w:val="0"/>
    <w:pPr>
      <w:widowControl/>
      <w:numPr>
        <w:ilvl w:val="3"/>
        <w:numId w:val="5"/>
      </w:numPr>
      <w:jc w:val="left"/>
      <w:outlineLvl w:val="3"/>
    </w:pPr>
    <w:rPr>
      <w:rFonts w:eastAsia="黑体"/>
    </w:rPr>
  </w:style>
  <w:style w:type="paragraph" w:customStyle="1" w:styleId="208">
    <w:name w:val="Plain Text"/>
    <w:basedOn w:val="1"/>
    <w:qFormat/>
    <w:uiPriority w:val="0"/>
    <w:pPr>
      <w:spacing w:line="324" w:lineRule="auto"/>
    </w:pPr>
    <w:rPr>
      <w:rFonts w:hAnsi="Courier New" w:cs="Courier New"/>
      <w:szCs w:val="21"/>
    </w:rPr>
  </w:style>
  <w:style w:type="paragraph" w:customStyle="1" w:styleId="209">
    <w:name w:val="case31"/>
    <w:basedOn w:val="1"/>
    <w:qFormat/>
    <w:uiPriority w:val="0"/>
    <w:pPr>
      <w:widowControl/>
      <w:spacing w:before="100" w:beforeAutospacing="1" w:after="100" w:afterAutospacing="1"/>
      <w:jc w:val="left"/>
    </w:pPr>
    <w:rPr>
      <w:rFonts w:hAnsi="宋体"/>
      <w:color w:val="000000"/>
      <w:szCs w:val="24"/>
    </w:rPr>
  </w:style>
  <w:style w:type="paragraph" w:customStyle="1" w:styleId="210">
    <w:name w:val="表格文字"/>
    <w:basedOn w:val="1"/>
    <w:qFormat/>
    <w:uiPriority w:val="0"/>
    <w:pPr>
      <w:spacing w:before="120" w:after="120"/>
    </w:pPr>
    <w:rPr>
      <w:rFonts w:ascii="新宋体" w:hAnsi="宋体" w:eastAsia="新宋体"/>
      <w:bCs/>
      <w:color w:val="000000"/>
      <w:sz w:val="18"/>
      <w:szCs w:val="18"/>
    </w:rPr>
  </w:style>
  <w:style w:type="paragraph" w:customStyle="1" w:styleId="211">
    <w:name w:val="小标题 2"/>
    <w:basedOn w:val="1"/>
    <w:qFormat/>
    <w:uiPriority w:val="0"/>
    <w:pPr>
      <w:autoSpaceDE w:val="0"/>
      <w:autoSpaceDN w:val="0"/>
      <w:adjustRightInd w:val="0"/>
    </w:pPr>
    <w:rPr>
      <w:rFonts w:ascii="黑体" w:eastAsia="黑体" w:cs="黑体"/>
      <w:szCs w:val="24"/>
    </w:rPr>
  </w:style>
  <w:style w:type="paragraph" w:customStyle="1" w:styleId="212">
    <w:name w:val="_Style 37"/>
    <w:basedOn w:val="1"/>
    <w:qFormat/>
    <w:uiPriority w:val="0"/>
    <w:pPr>
      <w:widowControl/>
      <w:spacing w:after="160" w:line="240" w:lineRule="exact"/>
      <w:jc w:val="center"/>
    </w:pPr>
    <w:rPr>
      <w:rFonts w:hAnsi="宋体"/>
      <w:b/>
      <w:sz w:val="28"/>
      <w:szCs w:val="28"/>
      <w:lang w:eastAsia="en-US"/>
    </w:rPr>
  </w:style>
  <w:style w:type="paragraph" w:customStyle="1" w:styleId="213">
    <w:name w:val="标准"/>
    <w:basedOn w:val="1"/>
    <w:qFormat/>
    <w:uiPriority w:val="0"/>
    <w:pPr>
      <w:widowControl/>
      <w:autoSpaceDE w:val="0"/>
      <w:autoSpaceDN w:val="0"/>
      <w:adjustRightInd w:val="0"/>
      <w:spacing w:line="318" w:lineRule="atLeast"/>
    </w:pPr>
    <w:rPr>
      <w:rFonts w:ascii="楷体_GB2312" w:hAnsi="宋体" w:eastAsia="楷体_GB2312" w:cs="宋体"/>
    </w:rPr>
  </w:style>
  <w:style w:type="paragraph" w:customStyle="1" w:styleId="214">
    <w:name w:val="自由格式"/>
    <w:qFormat/>
    <w:uiPriority w:val="0"/>
    <w:rPr>
      <w:rFonts w:ascii="Helvetica" w:hAnsi="Helvetica" w:eastAsia="ヒラギノ角ゴ Pro W3" w:cs="Times New Roman"/>
      <w:color w:val="000000"/>
      <w:sz w:val="24"/>
      <w:szCs w:val="22"/>
      <w:lang w:val="en-US" w:eastAsia="zh-CN" w:bidi="ar-SA"/>
    </w:rPr>
  </w:style>
  <w:style w:type="paragraph" w:customStyle="1" w:styleId="215">
    <w:name w:val="Char1 Char Char Char"/>
    <w:basedOn w:val="1"/>
    <w:qFormat/>
    <w:uiPriority w:val="0"/>
  </w:style>
  <w:style w:type="paragraph" w:customStyle="1" w:styleId="216">
    <w:name w:val="正文序号 2"/>
    <w:basedOn w:val="1"/>
    <w:qFormat/>
    <w:uiPriority w:val="0"/>
    <w:pPr>
      <w:numPr>
        <w:ilvl w:val="1"/>
        <w:numId w:val="2"/>
      </w:numPr>
      <w:spacing w:before="60"/>
    </w:pPr>
    <w:rPr>
      <w:szCs w:val="24"/>
    </w:rPr>
  </w:style>
  <w:style w:type="paragraph" w:customStyle="1" w:styleId="217">
    <w:name w:val="Char11"/>
    <w:basedOn w:val="1"/>
    <w:qFormat/>
    <w:uiPriority w:val="0"/>
    <w:rPr>
      <w:rFonts w:hAnsi="宋体"/>
      <w:szCs w:val="24"/>
    </w:rPr>
  </w:style>
  <w:style w:type="paragraph" w:customStyle="1" w:styleId="218">
    <w:name w:val="样式3"/>
    <w:basedOn w:val="25"/>
    <w:qFormat/>
    <w:uiPriority w:val="0"/>
    <w:pPr>
      <w:spacing w:line="0" w:lineRule="atLeast"/>
      <w:outlineLvl w:val="0"/>
    </w:pPr>
    <w:rPr>
      <w:sz w:val="28"/>
    </w:rPr>
  </w:style>
  <w:style w:type="paragraph" w:customStyle="1" w:styleId="219">
    <w:name w:val="正文序号 3"/>
    <w:basedOn w:val="1"/>
    <w:qFormat/>
    <w:uiPriority w:val="0"/>
    <w:pPr>
      <w:numPr>
        <w:ilvl w:val="2"/>
        <w:numId w:val="2"/>
      </w:numPr>
      <w:spacing w:before="60"/>
    </w:pPr>
    <w:rPr>
      <w:szCs w:val="24"/>
    </w:rPr>
  </w:style>
  <w:style w:type="paragraph" w:customStyle="1" w:styleId="220">
    <w:name w:val=" Char1"/>
    <w:basedOn w:val="1"/>
    <w:qFormat/>
    <w:uiPriority w:val="0"/>
    <w:pPr>
      <w:tabs>
        <w:tab w:val="left" w:pos="360"/>
      </w:tabs>
      <w:ind w:left="360" w:hanging="360" w:hangingChars="200"/>
    </w:pPr>
    <w:rPr>
      <w:szCs w:val="24"/>
    </w:rPr>
  </w:style>
  <w:style w:type="paragraph" w:customStyle="1" w:styleId="221">
    <w:name w:val="排列"/>
    <w:basedOn w:val="1"/>
    <w:qFormat/>
    <w:uiPriority w:val="0"/>
    <w:pPr>
      <w:adjustRightInd w:val="0"/>
      <w:spacing w:line="360" w:lineRule="auto"/>
      <w:ind w:hanging="627"/>
      <w:jc w:val="left"/>
    </w:pPr>
    <w:rPr>
      <w:b/>
    </w:rPr>
  </w:style>
  <w:style w:type="character" w:customStyle="1" w:styleId="222">
    <w:name w:val="c-icon28"/>
    <w:basedOn w:val="48"/>
    <w:qFormat/>
    <w:uiPriority w:val="0"/>
  </w:style>
  <w:style w:type="character" w:customStyle="1" w:styleId="223">
    <w:name w:val="hover24"/>
    <w:basedOn w:val="48"/>
    <w:qFormat/>
    <w:uiPriority w:val="0"/>
  </w:style>
  <w:style w:type="character" w:customStyle="1" w:styleId="224">
    <w:name w:val="hover25"/>
    <w:basedOn w:val="48"/>
    <w:qFormat/>
    <w:uiPriority w:val="0"/>
    <w:rPr>
      <w:color w:val="315EFB"/>
    </w:rPr>
  </w:style>
  <w:style w:type="character" w:customStyle="1" w:styleId="225">
    <w:name w:val="c-icon"/>
    <w:basedOn w:val="48"/>
    <w:qFormat/>
    <w:uiPriority w:val="0"/>
  </w:style>
  <w:style w:type="character" w:customStyle="1" w:styleId="226">
    <w:name w:val="hover22"/>
    <w:basedOn w:val="48"/>
    <w:qFormat/>
    <w:uiPriority w:val="0"/>
  </w:style>
  <w:style w:type="character" w:customStyle="1" w:styleId="227">
    <w:name w:val="hover23"/>
    <w:basedOn w:val="48"/>
    <w:qFormat/>
    <w:uiPriority w:val="0"/>
    <w:rPr>
      <w:color w:val="315EFB"/>
    </w:rPr>
  </w:style>
  <w:style w:type="character" w:customStyle="1" w:styleId="228">
    <w:name w:val="c-icon27"/>
    <w:basedOn w:val="48"/>
    <w:qFormat/>
    <w:uiPriority w:val="0"/>
  </w:style>
  <w:style w:type="character" w:customStyle="1" w:styleId="229">
    <w:name w:val="hover26"/>
    <w:basedOn w:val="48"/>
    <w:qFormat/>
    <w:uiPriority w:val="0"/>
  </w:style>
  <w:style w:type="character" w:customStyle="1" w:styleId="230">
    <w:name w:val="hover27"/>
    <w:basedOn w:val="48"/>
    <w:qFormat/>
    <w:uiPriority w:val="0"/>
    <w:rPr>
      <w:color w:val="315EFB"/>
    </w:rPr>
  </w:style>
  <w:style w:type="character" w:customStyle="1" w:styleId="231">
    <w:name w:val="c-icon30"/>
    <w:basedOn w:val="48"/>
    <w:qFormat/>
    <w:uiPriority w:val="0"/>
  </w:style>
  <w:style w:type="character" w:customStyle="1" w:styleId="232">
    <w:name w:val="mini-outputtext1"/>
    <w:basedOn w:val="4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79</Pages>
  <Words>34880</Words>
  <Characters>36849</Characters>
  <Lines>275</Lines>
  <Paragraphs>77</Paragraphs>
  <TotalTime>4</TotalTime>
  <ScaleCrop>false</ScaleCrop>
  <LinksUpToDate>false</LinksUpToDate>
  <CharactersWithSpaces>39172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2021-03-31T04:11:00Z</dcterms:created>
  <dc:creator>郭颖</dc:creator>
  <cp:lastModifiedBy>Administrator</cp:lastModifiedBy>
  <cp:lastPrinted>2022-07-26T00:50:00Z</cp:lastPrinted>
  <dcterms:modified xsi:type="dcterms:W3CDTF">2022-07-28T01:07:46Z</dcterms:modified>
  <dc:title>政府采购货物和服务项目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68B61E07A8A14340BC5FE3ED116F7D41</vt:lpwstr>
  </property>
</Properties>
</file>