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auto"/>
        <w:kinsoku/>
        <w:wordWrap/>
        <w:overflowPunct/>
        <w:topLinePunct w:val="0"/>
        <w:autoSpaceDE/>
        <w:autoSpaceDN/>
        <w:bidi w:val="0"/>
        <w:adjustRightInd/>
        <w:snapToGrid/>
        <w:spacing w:before="3" w:line="500" w:lineRule="exact"/>
        <w:ind w:right="1" w:firstLine="643" w:firstLineChars="200"/>
        <w:jc w:val="center"/>
        <w:textAlignment w:val="auto"/>
        <w:rPr>
          <w:rFonts w:hint="eastAsia" w:ascii="宋体" w:hAnsi="宋体" w:eastAsia="宋体" w:cs="宋体"/>
          <w:b/>
          <w:bCs/>
          <w:spacing w:val="-20"/>
          <w:kern w:val="2"/>
          <w:sz w:val="36"/>
          <w:szCs w:val="36"/>
          <w:lang w:val="zh-CN" w:eastAsia="zh-CN" w:bidi="ar-SA"/>
        </w:rPr>
      </w:pPr>
      <w:r>
        <w:rPr>
          <w:rFonts w:hint="eastAsia" w:ascii="宋体" w:hAnsi="宋体" w:eastAsia="宋体" w:cs="宋体"/>
          <w:b/>
          <w:bCs/>
          <w:spacing w:val="-20"/>
          <w:kern w:val="2"/>
          <w:sz w:val="36"/>
          <w:szCs w:val="36"/>
          <w:lang w:val="zh-CN" w:eastAsia="zh-CN" w:bidi="ar-SA"/>
        </w:rPr>
        <w:t>石泉县熨斗镇喜熨路人行道提升建设工程竞争性谈判公告</w:t>
      </w:r>
    </w:p>
    <w:p>
      <w:pPr>
        <w:keepNext w:val="0"/>
        <w:keepLines w:val="0"/>
        <w:pageBreakBefore w:val="0"/>
        <w:shd w:val="clear" w:color="auto" w:fill="auto"/>
        <w:kinsoku/>
        <w:wordWrap/>
        <w:overflowPunct/>
        <w:topLinePunct w:val="0"/>
        <w:autoSpaceDE/>
        <w:autoSpaceDN/>
        <w:bidi w:val="0"/>
        <w:adjustRightInd/>
        <w:snapToGrid/>
        <w:spacing w:before="3" w:line="500" w:lineRule="exact"/>
        <w:ind w:right="1"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zh-CN" w:eastAsia="zh-CN" w:bidi="ar-SA"/>
        </w:rPr>
        <w:t>石泉县熨斗镇喜熨路人行道提升建设工程</w:t>
      </w:r>
      <w:r>
        <w:rPr>
          <w:rFonts w:hint="eastAsia" w:ascii="宋体" w:hAnsi="宋体" w:eastAsia="宋体" w:cs="Times New Roman"/>
          <w:kern w:val="0"/>
          <w:sz w:val="24"/>
          <w:szCs w:val="24"/>
          <w:lang w:val="en-US" w:eastAsia="zh-CN" w:bidi="ar-SA"/>
        </w:rPr>
        <w:t>的潜在供应商应在全国公共资源交易中心平台（陕西省.安康市）获取采购文件，并于2022 年06月17日16时 00 分（北京时间）前提交响应文件。</w:t>
      </w:r>
    </w:p>
    <w:p>
      <w:pPr>
        <w:keepNext w:val="0"/>
        <w:keepLines w:val="0"/>
        <w:pageBreakBefore w:val="0"/>
        <w:kinsoku/>
        <w:wordWrap/>
        <w:overflowPunct/>
        <w:topLinePunct w:val="0"/>
        <w:bidi w:val="0"/>
        <w:adjustRightInd/>
        <w:snapToGrid/>
        <w:spacing w:before="203" w:line="500" w:lineRule="exact"/>
        <w:ind w:right="0"/>
        <w:jc w:val="left"/>
        <w:textAlignment w:val="auto"/>
        <w:outlineLvl w:val="1"/>
        <w:rPr>
          <w:rFonts w:hint="eastAsia" w:ascii="宋体" w:hAnsi="宋体" w:eastAsia="宋体" w:cs="宋体"/>
          <w:b/>
          <w:sz w:val="24"/>
          <w:szCs w:val="24"/>
        </w:rPr>
      </w:pPr>
      <w:bookmarkStart w:id="0" w:name="一、项目基本情况"/>
      <w:bookmarkEnd w:id="0"/>
      <w:bookmarkStart w:id="1" w:name="_Toc25362"/>
      <w:r>
        <w:rPr>
          <w:rFonts w:hint="eastAsia" w:ascii="宋体" w:hAnsi="宋体" w:eastAsia="宋体" w:cs="宋体"/>
          <w:b/>
          <w:sz w:val="24"/>
          <w:szCs w:val="24"/>
        </w:rPr>
        <w:t>一、项目基本情况</w:t>
      </w:r>
      <w:bookmarkEnd w:id="1"/>
    </w:p>
    <w:p>
      <w:pPr>
        <w:keepNext w:val="0"/>
        <w:keepLines w:val="0"/>
        <w:pageBreakBefore w:val="0"/>
        <w:widowControl w:val="0"/>
        <w:kinsoku/>
        <w:wordWrap/>
        <w:overflowPunct/>
        <w:topLinePunct w:val="0"/>
        <w:autoSpaceDE/>
        <w:autoSpaceDN/>
        <w:bidi w:val="0"/>
        <w:adjustRightInd/>
        <w:snapToGrid/>
        <w:spacing w:before="52" w:line="500" w:lineRule="exact"/>
        <w:ind w:left="97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YC22440036(ZBB)</w:t>
      </w:r>
    </w:p>
    <w:p>
      <w:pPr>
        <w:keepNext w:val="0"/>
        <w:keepLines w:val="0"/>
        <w:pageBreakBefore w:val="0"/>
        <w:widowControl w:val="0"/>
        <w:tabs>
          <w:tab w:val="left" w:pos="10300"/>
        </w:tabs>
        <w:kinsoku/>
        <w:wordWrap/>
        <w:overflowPunct/>
        <w:topLinePunct w:val="0"/>
        <w:autoSpaceDE/>
        <w:autoSpaceDN/>
        <w:bidi w:val="0"/>
        <w:adjustRightInd/>
        <w:snapToGrid/>
        <w:spacing w:before="52" w:line="500" w:lineRule="exact"/>
        <w:ind w:left="971" w:right="110" w:rightChars="0" w:firstLine="0"/>
        <w:jc w:val="left"/>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Times New Roman"/>
          <w:kern w:val="0"/>
          <w:sz w:val="24"/>
          <w:szCs w:val="24"/>
          <w:lang w:val="zh-CN" w:eastAsia="zh-CN" w:bidi="ar-SA"/>
        </w:rPr>
        <w:t>石泉县熨斗镇喜熨路人行道提升建设工程</w:t>
      </w:r>
    </w:p>
    <w:p>
      <w:pPr>
        <w:keepNext w:val="0"/>
        <w:keepLines w:val="0"/>
        <w:pageBreakBefore w:val="0"/>
        <w:widowControl w:val="0"/>
        <w:tabs>
          <w:tab w:val="left" w:pos="10300"/>
        </w:tabs>
        <w:kinsoku/>
        <w:wordWrap/>
        <w:overflowPunct/>
        <w:topLinePunct w:val="0"/>
        <w:autoSpaceDE/>
        <w:autoSpaceDN/>
        <w:bidi w:val="0"/>
        <w:adjustRightInd/>
        <w:snapToGrid/>
        <w:spacing w:before="52" w:line="500" w:lineRule="exact"/>
        <w:ind w:left="971" w:right="110" w:rightChars="0"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采购方式：</w:t>
      </w:r>
      <w:r>
        <w:rPr>
          <w:rFonts w:hint="eastAsia" w:ascii="宋体" w:hAnsi="宋体" w:eastAsia="宋体" w:cs="宋体"/>
          <w:sz w:val="24"/>
          <w:szCs w:val="24"/>
          <w:lang w:eastAsia="zh-CN"/>
        </w:rPr>
        <w:t>竞争性谈判</w:t>
      </w:r>
    </w:p>
    <w:p>
      <w:pPr>
        <w:keepNext w:val="0"/>
        <w:keepLines w:val="0"/>
        <w:pageBreakBefore w:val="0"/>
        <w:widowControl w:val="0"/>
        <w:kinsoku/>
        <w:wordWrap/>
        <w:overflowPunct/>
        <w:topLinePunct w:val="0"/>
        <w:autoSpaceDE/>
        <w:autoSpaceDN/>
        <w:bidi w:val="0"/>
        <w:adjustRightInd/>
        <w:snapToGrid/>
        <w:spacing w:before="0" w:line="500" w:lineRule="exact"/>
        <w:ind w:left="971" w:right="4487" w:rightChars="0" w:firstLine="0"/>
        <w:jc w:val="left"/>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2143935.92</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before="0" w:line="500" w:lineRule="exact"/>
        <w:ind w:left="971" w:right="4487" w:rightChars="0" w:firstLine="0"/>
        <w:jc w:val="left"/>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tabs>
          <w:tab w:val="left" w:pos="10300"/>
        </w:tabs>
        <w:kinsoku/>
        <w:wordWrap/>
        <w:overflowPunct/>
        <w:topLinePunct w:val="0"/>
        <w:autoSpaceDE/>
        <w:autoSpaceDN/>
        <w:bidi w:val="0"/>
        <w:adjustRightInd/>
        <w:snapToGrid/>
        <w:spacing w:before="52" w:line="500" w:lineRule="exact"/>
        <w:ind w:left="971" w:right="110" w:rightChars="0" w:firstLine="0"/>
        <w:jc w:val="left"/>
        <w:textAlignment w:val="auto"/>
        <w:rPr>
          <w:rFonts w:hint="eastAsia" w:ascii="宋体" w:hAnsi="宋体" w:eastAsia="宋体" w:cs="宋体"/>
          <w:sz w:val="24"/>
          <w:szCs w:val="24"/>
        </w:rPr>
      </w:pPr>
      <w:r>
        <w:rPr>
          <w:rFonts w:hint="eastAsia" w:ascii="宋体" w:hAnsi="宋体" w:eastAsia="宋体" w:cs="宋体"/>
          <w:sz w:val="24"/>
          <w:szCs w:val="24"/>
        </w:rPr>
        <w:t>合同包 1(</w:t>
      </w:r>
      <w:r>
        <w:rPr>
          <w:rFonts w:hint="eastAsia" w:ascii="宋体" w:hAnsi="宋体" w:eastAsia="宋体" w:cs="Times New Roman"/>
          <w:kern w:val="0"/>
          <w:sz w:val="24"/>
          <w:szCs w:val="24"/>
          <w:lang w:val="zh-CN" w:eastAsia="zh-CN" w:bidi="ar-SA"/>
        </w:rPr>
        <w:t>石泉县熨斗镇喜熨路人行道提升建设工程</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before="52" w:line="500" w:lineRule="exact"/>
        <w:ind w:left="1003" w:leftChars="456" w:right="4487"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val="en-US" w:eastAsia="zh-CN"/>
        </w:rPr>
        <w:t>2143935.92</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before="52" w:line="500" w:lineRule="exact"/>
        <w:ind w:left="1003" w:leftChars="456" w:right="4487"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val="en-US" w:eastAsia="zh-CN"/>
        </w:rPr>
        <w:t>2143935.92</w:t>
      </w:r>
      <w:r>
        <w:rPr>
          <w:rFonts w:hint="eastAsia" w:ascii="宋体" w:hAnsi="宋体" w:eastAsia="宋体" w:cs="宋体"/>
          <w:sz w:val="24"/>
          <w:szCs w:val="24"/>
        </w:rPr>
        <w:t>元</w:t>
      </w:r>
    </w:p>
    <w:tbl>
      <w:tblPr>
        <w:tblStyle w:val="6"/>
        <w:tblpPr w:leftFromText="180" w:rightFromText="180" w:vertAnchor="text" w:horzAnchor="page" w:tblpX="1053" w:tblpY="25"/>
        <w:tblOverlap w:val="never"/>
        <w:tblW w:w="10496" w:type="dxa"/>
        <w:tblInd w:w="0"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38"/>
        <w:gridCol w:w="1499"/>
        <w:gridCol w:w="1370"/>
        <w:gridCol w:w="1209"/>
        <w:gridCol w:w="2303"/>
        <w:gridCol w:w="1589"/>
        <w:gridCol w:w="1688"/>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85" w:hRule="atLeast"/>
        </w:trPr>
        <w:tc>
          <w:tcPr>
            <w:tcW w:w="838" w:type="dxa"/>
            <w:tcBorders>
              <w:bottom w:val="single" w:color="auto" w:sz="4" w:space="0"/>
            </w:tcBorders>
            <w:noWrap w:val="0"/>
            <w:vAlign w:val="center"/>
          </w:tcPr>
          <w:p>
            <w:pPr>
              <w:pStyle w:val="8"/>
              <w:keepNext w:val="0"/>
              <w:keepLines w:val="0"/>
              <w:pageBreakBefore w:val="0"/>
              <w:kinsoku/>
              <w:wordWrap/>
              <w:overflowPunct/>
              <w:topLinePunct w:val="0"/>
              <w:bidi w:val="0"/>
              <w:adjustRightInd/>
              <w:snapToGrid/>
              <w:spacing w:before="46" w:line="500" w:lineRule="exact"/>
              <w:ind w:right="159"/>
              <w:jc w:val="center"/>
              <w:textAlignment w:val="auto"/>
              <w:rPr>
                <w:rFonts w:hint="eastAsia" w:ascii="宋体" w:hAnsi="宋体" w:eastAsia="宋体" w:cs="宋体"/>
                <w:b/>
                <w:bCs/>
                <w:spacing w:val="-20"/>
                <w:kern w:val="2"/>
                <w:sz w:val="24"/>
                <w:szCs w:val="24"/>
                <w:lang w:val="en-US" w:eastAsia="zh-CN" w:bidi="ar-SA"/>
              </w:rPr>
            </w:pPr>
            <w:r>
              <w:rPr>
                <w:rFonts w:hint="eastAsia" w:ascii="宋体" w:hAnsi="宋体" w:eastAsia="宋体" w:cs="宋体"/>
                <w:b/>
                <w:bCs/>
                <w:spacing w:val="-20"/>
                <w:kern w:val="2"/>
                <w:sz w:val="24"/>
                <w:szCs w:val="24"/>
                <w:lang w:val="en-US" w:eastAsia="zh-CN" w:bidi="ar-SA"/>
              </w:rPr>
              <w:t>品目号</w:t>
            </w:r>
          </w:p>
        </w:tc>
        <w:tc>
          <w:tcPr>
            <w:tcW w:w="1499" w:type="dxa"/>
            <w:tcBorders>
              <w:bottom w:val="single" w:color="auto" w:sz="4" w:space="0"/>
            </w:tcBorders>
            <w:noWrap w:val="0"/>
            <w:vAlign w:val="center"/>
          </w:tcPr>
          <w:p>
            <w:pPr>
              <w:pStyle w:val="8"/>
              <w:keepNext w:val="0"/>
              <w:keepLines w:val="0"/>
              <w:pageBreakBefore w:val="0"/>
              <w:kinsoku/>
              <w:wordWrap/>
              <w:overflowPunct/>
              <w:topLinePunct w:val="0"/>
              <w:bidi w:val="0"/>
              <w:adjustRightInd/>
              <w:snapToGrid/>
              <w:spacing w:line="500" w:lineRule="exact"/>
              <w:ind w:right="236"/>
              <w:jc w:val="both"/>
              <w:textAlignment w:val="auto"/>
              <w:rPr>
                <w:rFonts w:hint="eastAsia" w:ascii="宋体" w:hAnsi="宋体" w:eastAsia="宋体" w:cs="宋体"/>
                <w:b/>
                <w:bCs/>
                <w:spacing w:val="-20"/>
                <w:kern w:val="2"/>
                <w:sz w:val="24"/>
                <w:szCs w:val="24"/>
                <w:lang w:val="en-US" w:eastAsia="zh-CN" w:bidi="ar-SA"/>
              </w:rPr>
            </w:pPr>
            <w:r>
              <w:rPr>
                <w:rFonts w:hint="eastAsia" w:ascii="宋体" w:hAnsi="宋体" w:eastAsia="宋体" w:cs="宋体"/>
                <w:b/>
                <w:bCs/>
                <w:spacing w:val="-20"/>
                <w:kern w:val="2"/>
                <w:sz w:val="24"/>
                <w:szCs w:val="24"/>
                <w:lang w:val="en-US" w:eastAsia="zh-CN" w:bidi="ar-SA"/>
              </w:rPr>
              <w:t>品目名称</w:t>
            </w:r>
          </w:p>
        </w:tc>
        <w:tc>
          <w:tcPr>
            <w:tcW w:w="1370" w:type="dxa"/>
            <w:tcBorders>
              <w:bottom w:val="single" w:color="auto" w:sz="4" w:space="0"/>
            </w:tcBorders>
            <w:noWrap w:val="0"/>
            <w:vAlign w:val="center"/>
          </w:tcPr>
          <w:p>
            <w:pPr>
              <w:pStyle w:val="8"/>
              <w:keepNext w:val="0"/>
              <w:keepLines w:val="0"/>
              <w:pageBreakBefore w:val="0"/>
              <w:kinsoku/>
              <w:wordWrap/>
              <w:overflowPunct/>
              <w:topLinePunct w:val="0"/>
              <w:bidi w:val="0"/>
              <w:adjustRightInd/>
              <w:snapToGrid/>
              <w:spacing w:line="500" w:lineRule="exact"/>
              <w:ind w:right="236"/>
              <w:jc w:val="both"/>
              <w:textAlignment w:val="auto"/>
              <w:rPr>
                <w:rFonts w:hint="eastAsia" w:ascii="宋体" w:hAnsi="宋体" w:eastAsia="宋体" w:cs="宋体"/>
                <w:b/>
                <w:bCs/>
                <w:spacing w:val="-20"/>
                <w:kern w:val="2"/>
                <w:sz w:val="24"/>
                <w:szCs w:val="24"/>
                <w:lang w:val="en-US" w:eastAsia="zh-CN" w:bidi="ar-SA"/>
              </w:rPr>
            </w:pPr>
            <w:r>
              <w:rPr>
                <w:rFonts w:hint="eastAsia" w:ascii="宋体" w:hAnsi="宋体" w:eastAsia="宋体" w:cs="宋体"/>
                <w:b/>
                <w:bCs/>
                <w:spacing w:val="-20"/>
                <w:kern w:val="2"/>
                <w:sz w:val="24"/>
                <w:szCs w:val="24"/>
                <w:lang w:val="en-US" w:eastAsia="zh-CN" w:bidi="ar-SA"/>
              </w:rPr>
              <w:t>采购标的</w:t>
            </w:r>
          </w:p>
        </w:tc>
        <w:tc>
          <w:tcPr>
            <w:tcW w:w="1209" w:type="dxa"/>
            <w:tcBorders>
              <w:bottom w:val="single" w:color="auto" w:sz="4" w:space="0"/>
            </w:tcBorders>
            <w:noWrap w:val="0"/>
            <w:vAlign w:val="center"/>
          </w:tcPr>
          <w:p>
            <w:pPr>
              <w:pStyle w:val="8"/>
              <w:keepNext w:val="0"/>
              <w:keepLines w:val="0"/>
              <w:pageBreakBefore w:val="0"/>
              <w:kinsoku/>
              <w:wordWrap/>
              <w:overflowPunct/>
              <w:topLinePunct w:val="0"/>
              <w:bidi w:val="0"/>
              <w:adjustRightInd/>
              <w:snapToGrid/>
              <w:spacing w:line="500" w:lineRule="exact"/>
              <w:ind w:right="160"/>
              <w:jc w:val="both"/>
              <w:textAlignment w:val="auto"/>
              <w:rPr>
                <w:rFonts w:hint="eastAsia" w:ascii="宋体" w:hAnsi="宋体" w:eastAsia="宋体" w:cs="宋体"/>
                <w:b/>
                <w:bCs/>
                <w:spacing w:val="-20"/>
                <w:kern w:val="2"/>
                <w:sz w:val="24"/>
                <w:szCs w:val="24"/>
                <w:lang w:val="en-US" w:eastAsia="zh-CN" w:bidi="ar-SA"/>
              </w:rPr>
            </w:pPr>
            <w:r>
              <w:rPr>
                <w:rFonts w:hint="eastAsia" w:ascii="宋体" w:hAnsi="宋体" w:eastAsia="宋体" w:cs="宋体"/>
                <w:b/>
                <w:bCs/>
                <w:spacing w:val="-20"/>
                <w:kern w:val="2"/>
                <w:sz w:val="24"/>
                <w:szCs w:val="24"/>
                <w:lang w:val="en-US" w:eastAsia="zh-CN" w:bidi="ar-SA"/>
              </w:rPr>
              <w:t>数量（单位）</w:t>
            </w:r>
          </w:p>
        </w:tc>
        <w:tc>
          <w:tcPr>
            <w:tcW w:w="2303" w:type="dxa"/>
            <w:tcBorders>
              <w:bottom w:val="single" w:color="auto" w:sz="4" w:space="0"/>
            </w:tcBorders>
            <w:noWrap w:val="0"/>
            <w:vAlign w:val="center"/>
          </w:tcPr>
          <w:p>
            <w:pPr>
              <w:pStyle w:val="8"/>
              <w:keepNext w:val="0"/>
              <w:keepLines w:val="0"/>
              <w:pageBreakBefore w:val="0"/>
              <w:kinsoku/>
              <w:wordWrap/>
              <w:overflowPunct/>
              <w:topLinePunct w:val="0"/>
              <w:bidi w:val="0"/>
              <w:adjustRightInd/>
              <w:snapToGrid/>
              <w:spacing w:before="46" w:line="500" w:lineRule="exact"/>
              <w:ind w:right="48"/>
              <w:jc w:val="center"/>
              <w:textAlignment w:val="auto"/>
              <w:rPr>
                <w:rFonts w:hint="eastAsia" w:ascii="宋体" w:hAnsi="宋体" w:eastAsia="宋体" w:cs="宋体"/>
                <w:b/>
                <w:bCs/>
                <w:spacing w:val="-20"/>
                <w:kern w:val="2"/>
                <w:sz w:val="24"/>
                <w:szCs w:val="24"/>
                <w:lang w:val="en-US" w:eastAsia="zh-CN" w:bidi="ar-SA"/>
              </w:rPr>
            </w:pPr>
            <w:r>
              <w:rPr>
                <w:rFonts w:hint="eastAsia" w:ascii="宋体" w:hAnsi="宋体" w:eastAsia="宋体" w:cs="宋体"/>
                <w:b/>
                <w:bCs/>
                <w:spacing w:val="-20"/>
                <w:kern w:val="2"/>
                <w:sz w:val="24"/>
                <w:szCs w:val="24"/>
                <w:lang w:val="en-US" w:eastAsia="zh-CN" w:bidi="ar-SA"/>
              </w:rPr>
              <w:t>技术规格、参数及要求</w:t>
            </w:r>
          </w:p>
        </w:tc>
        <w:tc>
          <w:tcPr>
            <w:tcW w:w="1589" w:type="dxa"/>
            <w:tcBorders>
              <w:bottom w:val="single" w:color="auto" w:sz="4" w:space="0"/>
            </w:tcBorders>
            <w:noWrap w:val="0"/>
            <w:vAlign w:val="center"/>
          </w:tcPr>
          <w:p>
            <w:pPr>
              <w:pStyle w:val="8"/>
              <w:keepNext w:val="0"/>
              <w:keepLines w:val="0"/>
              <w:pageBreakBefore w:val="0"/>
              <w:kinsoku/>
              <w:wordWrap/>
              <w:overflowPunct/>
              <w:topLinePunct w:val="0"/>
              <w:bidi w:val="0"/>
              <w:adjustRightInd/>
              <w:snapToGrid/>
              <w:spacing w:before="46" w:line="500" w:lineRule="exact"/>
              <w:ind w:right="232"/>
              <w:jc w:val="center"/>
              <w:textAlignment w:val="auto"/>
              <w:rPr>
                <w:rFonts w:hint="eastAsia" w:ascii="宋体" w:hAnsi="宋体" w:eastAsia="宋体" w:cs="宋体"/>
                <w:b/>
                <w:bCs/>
                <w:spacing w:val="-20"/>
                <w:kern w:val="2"/>
                <w:sz w:val="24"/>
                <w:szCs w:val="24"/>
                <w:lang w:val="en-US" w:eastAsia="zh-CN" w:bidi="ar-SA"/>
              </w:rPr>
            </w:pPr>
            <w:r>
              <w:rPr>
                <w:rFonts w:hint="eastAsia" w:ascii="宋体" w:hAnsi="宋体" w:eastAsia="宋体" w:cs="宋体"/>
                <w:b/>
                <w:bCs/>
                <w:spacing w:val="-20"/>
                <w:kern w:val="2"/>
                <w:sz w:val="24"/>
                <w:szCs w:val="24"/>
                <w:lang w:val="en-US" w:eastAsia="zh-CN" w:bidi="ar-SA"/>
              </w:rPr>
              <w:t>品目预算(元)</w:t>
            </w:r>
          </w:p>
        </w:tc>
        <w:tc>
          <w:tcPr>
            <w:tcW w:w="1688" w:type="dxa"/>
            <w:tcBorders>
              <w:bottom w:val="single" w:color="auto" w:sz="4" w:space="0"/>
            </w:tcBorders>
            <w:noWrap w:val="0"/>
            <w:vAlign w:val="center"/>
          </w:tcPr>
          <w:p>
            <w:pPr>
              <w:pStyle w:val="8"/>
              <w:keepNext w:val="0"/>
              <w:keepLines w:val="0"/>
              <w:pageBreakBefore w:val="0"/>
              <w:kinsoku/>
              <w:wordWrap/>
              <w:overflowPunct/>
              <w:topLinePunct w:val="0"/>
              <w:bidi w:val="0"/>
              <w:adjustRightInd/>
              <w:snapToGrid/>
              <w:spacing w:before="46" w:line="500" w:lineRule="exact"/>
              <w:ind w:right="231"/>
              <w:jc w:val="center"/>
              <w:textAlignment w:val="auto"/>
              <w:rPr>
                <w:rFonts w:hint="eastAsia" w:ascii="宋体" w:hAnsi="宋体" w:eastAsia="宋体" w:cs="宋体"/>
                <w:b/>
                <w:bCs/>
                <w:spacing w:val="-20"/>
                <w:kern w:val="2"/>
                <w:sz w:val="24"/>
                <w:szCs w:val="24"/>
                <w:lang w:val="en-US" w:eastAsia="zh-CN" w:bidi="ar-SA"/>
              </w:rPr>
            </w:pPr>
            <w:r>
              <w:rPr>
                <w:rFonts w:hint="eastAsia" w:ascii="宋体" w:hAnsi="宋体" w:eastAsia="宋体" w:cs="宋体"/>
                <w:b/>
                <w:bCs/>
                <w:spacing w:val="-20"/>
                <w:kern w:val="2"/>
                <w:sz w:val="24"/>
                <w:szCs w:val="24"/>
                <w:lang w:val="en-US" w:eastAsia="zh-CN" w:bidi="ar-SA"/>
              </w:rPr>
              <w:t>最高限价(元)</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74" w:hRule="atLeast"/>
        </w:trPr>
        <w:tc>
          <w:tcPr>
            <w:tcW w:w="838" w:type="dxa"/>
            <w:tcBorders>
              <w:top w:val="single" w:color="auto" w:sz="4" w:space="0"/>
              <w:left w:val="single" w:color="auto" w:sz="4" w:space="0"/>
              <w:bottom w:val="single" w:color="auto" w:sz="4" w:space="0"/>
            </w:tcBorders>
            <w:noWrap w:val="0"/>
            <w:vAlign w:val="center"/>
          </w:tcPr>
          <w:p>
            <w:pPr>
              <w:pStyle w:val="8"/>
              <w:keepNext w:val="0"/>
              <w:keepLines w:val="0"/>
              <w:pageBreakBefore w:val="0"/>
              <w:kinsoku/>
              <w:wordWrap/>
              <w:overflowPunct/>
              <w:topLinePunct w:val="0"/>
              <w:bidi w:val="0"/>
              <w:adjustRightInd/>
              <w:snapToGrid/>
              <w:spacing w:line="500" w:lineRule="exact"/>
              <w:jc w:val="center"/>
              <w:textAlignment w:val="auto"/>
              <w:rPr>
                <w:rFonts w:hint="default" w:eastAsia="宋体"/>
                <w:sz w:val="21"/>
                <w:lang w:val="en-US" w:eastAsia="zh-CN"/>
              </w:rPr>
            </w:pPr>
            <w:r>
              <w:rPr>
                <w:rFonts w:hint="eastAsia"/>
                <w:sz w:val="21"/>
                <w:lang w:val="en-US" w:eastAsia="zh-CN"/>
              </w:rPr>
              <w:t>1-1</w:t>
            </w:r>
          </w:p>
        </w:tc>
        <w:tc>
          <w:tcPr>
            <w:tcW w:w="1499" w:type="dxa"/>
            <w:tcBorders>
              <w:top w:val="single" w:color="auto" w:sz="4" w:space="0"/>
              <w:bottom w:val="single" w:color="auto" w:sz="4" w:space="0"/>
            </w:tcBorders>
            <w:noWrap w:val="0"/>
            <w:vAlign w:val="center"/>
          </w:tcPr>
          <w:p>
            <w:pPr>
              <w:keepNext w:val="0"/>
              <w:keepLines w:val="0"/>
              <w:pageBreakBefore w:val="0"/>
              <w:widowControl w:val="0"/>
              <w:tabs>
                <w:tab w:val="left" w:pos="10300"/>
              </w:tabs>
              <w:kinsoku/>
              <w:wordWrap/>
              <w:overflowPunct/>
              <w:topLinePunct w:val="0"/>
              <w:autoSpaceDE/>
              <w:autoSpaceDN/>
              <w:bidi w:val="0"/>
              <w:adjustRightInd/>
              <w:snapToGrid/>
              <w:spacing w:before="52" w:line="500" w:lineRule="exact"/>
              <w:ind w:right="11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其他市政工程施工</w:t>
            </w:r>
          </w:p>
        </w:tc>
        <w:tc>
          <w:tcPr>
            <w:tcW w:w="1370" w:type="dxa"/>
            <w:tcBorders>
              <w:top w:val="single" w:color="auto" w:sz="4" w:space="0"/>
              <w:bottom w:val="single" w:color="auto" w:sz="4" w:space="0"/>
            </w:tcBorders>
            <w:noWrap w:val="0"/>
            <w:vAlign w:val="center"/>
          </w:tcPr>
          <w:p>
            <w:pPr>
              <w:keepNext w:val="0"/>
              <w:keepLines w:val="0"/>
              <w:pageBreakBefore w:val="0"/>
              <w:widowControl w:val="0"/>
              <w:tabs>
                <w:tab w:val="left" w:pos="10300"/>
              </w:tabs>
              <w:kinsoku/>
              <w:wordWrap/>
              <w:overflowPunct/>
              <w:topLinePunct w:val="0"/>
              <w:autoSpaceDE/>
              <w:autoSpaceDN/>
              <w:bidi w:val="0"/>
              <w:adjustRightInd/>
              <w:snapToGrid/>
              <w:spacing w:before="52" w:line="500" w:lineRule="exact"/>
              <w:ind w:right="110" w:rightChars="0"/>
              <w:jc w:val="left"/>
              <w:textAlignment w:val="auto"/>
              <w:rPr>
                <w:rFonts w:hint="eastAsia" w:ascii="宋体" w:hAnsi="宋体" w:eastAsia="宋体" w:cs="宋体"/>
                <w:sz w:val="24"/>
                <w:szCs w:val="24"/>
              </w:rPr>
            </w:pPr>
            <w:r>
              <w:rPr>
                <w:rFonts w:hint="eastAsia" w:ascii="宋体" w:hAnsi="宋体" w:eastAsia="宋体" w:cs="Times New Roman"/>
                <w:kern w:val="0"/>
                <w:sz w:val="24"/>
                <w:szCs w:val="24"/>
                <w:lang w:val="zh-CN" w:eastAsia="zh-CN" w:bidi="ar-SA"/>
              </w:rPr>
              <w:t>石泉县熨斗镇喜熨路人行道提升建设工程</w:t>
            </w:r>
          </w:p>
          <w:p>
            <w:pPr>
              <w:pStyle w:val="8"/>
              <w:keepNext w:val="0"/>
              <w:keepLines w:val="0"/>
              <w:pageBreakBefore w:val="0"/>
              <w:kinsoku/>
              <w:wordWrap/>
              <w:overflowPunct/>
              <w:topLinePunct w:val="0"/>
              <w:bidi w:val="0"/>
              <w:adjustRightInd/>
              <w:snapToGrid/>
              <w:spacing w:before="1" w:line="500" w:lineRule="exact"/>
              <w:ind w:right="236"/>
              <w:jc w:val="center"/>
              <w:textAlignment w:val="auto"/>
              <w:rPr>
                <w:rFonts w:ascii="Times New Roman"/>
                <w:sz w:val="21"/>
              </w:rPr>
            </w:pPr>
          </w:p>
        </w:tc>
        <w:tc>
          <w:tcPr>
            <w:tcW w:w="1209" w:type="dxa"/>
            <w:tcBorders>
              <w:top w:val="single" w:color="auto" w:sz="4" w:space="0"/>
              <w:bottom w:val="single" w:color="auto" w:sz="4" w:space="0"/>
            </w:tcBorders>
            <w:noWrap w:val="0"/>
            <w:vAlign w:val="center"/>
          </w:tcPr>
          <w:p>
            <w:pPr>
              <w:pStyle w:val="8"/>
              <w:keepNext w:val="0"/>
              <w:keepLines w:val="0"/>
              <w:pageBreakBefore w:val="0"/>
              <w:kinsoku/>
              <w:wordWrap/>
              <w:overflowPunct/>
              <w:topLinePunct w:val="0"/>
              <w:bidi w:val="0"/>
              <w:adjustRightInd/>
              <w:snapToGrid/>
              <w:spacing w:before="1" w:line="500" w:lineRule="exact"/>
              <w:ind w:right="236"/>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2303" w:type="dxa"/>
            <w:tcBorders>
              <w:top w:val="single" w:color="auto" w:sz="4" w:space="0"/>
              <w:bottom w:val="single" w:color="auto" w:sz="4" w:space="0"/>
            </w:tcBorders>
            <w:noWrap w:val="0"/>
            <w:vAlign w:val="center"/>
          </w:tcPr>
          <w:p>
            <w:pPr>
              <w:pStyle w:val="8"/>
              <w:keepNext w:val="0"/>
              <w:keepLines w:val="0"/>
              <w:pageBreakBefore w:val="0"/>
              <w:kinsoku/>
              <w:wordWrap/>
              <w:overflowPunct/>
              <w:topLinePunct w:val="0"/>
              <w:bidi w:val="0"/>
              <w:adjustRightInd/>
              <w:snapToGrid/>
              <w:spacing w:before="1" w:line="500" w:lineRule="exact"/>
              <w:ind w:right="236"/>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1589"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adjustRightInd/>
              <w:snapToGrid/>
              <w:spacing w:before="1" w:line="500" w:lineRule="exact"/>
              <w:ind w:left="0" w:leftChars="0" w:right="0" w:righ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2143935.92</w:t>
            </w:r>
          </w:p>
        </w:tc>
        <w:tc>
          <w:tcPr>
            <w:tcW w:w="1688"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before="1" w:line="500" w:lineRule="exact"/>
              <w:ind w:left="0" w:leftChars="0" w:right="0" w:righ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2143935.92</w:t>
            </w:r>
          </w:p>
        </w:tc>
      </w:tr>
    </w:tbl>
    <w:p>
      <w:pPr>
        <w:keepNext w:val="0"/>
        <w:keepLines w:val="0"/>
        <w:pageBreakBefore w:val="0"/>
        <w:widowControl w:val="0"/>
        <w:kinsoku/>
        <w:wordWrap/>
        <w:overflowPunct/>
        <w:topLinePunct w:val="0"/>
        <w:autoSpaceDE/>
        <w:autoSpaceDN/>
        <w:bidi w:val="0"/>
        <w:adjustRightInd/>
        <w:snapToGrid/>
        <w:spacing w:before="52" w:line="500" w:lineRule="exact"/>
        <w:ind w:left="1003" w:leftChars="456" w:right="4487" w:righ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本合同包不接受联合体投标</w:t>
      </w:r>
    </w:p>
    <w:p>
      <w:pPr>
        <w:keepNext w:val="0"/>
        <w:keepLines w:val="0"/>
        <w:pageBreakBefore w:val="0"/>
        <w:widowControl w:val="0"/>
        <w:kinsoku/>
        <w:wordWrap/>
        <w:overflowPunct/>
        <w:topLinePunct w:val="0"/>
        <w:autoSpaceDE/>
        <w:autoSpaceDN/>
        <w:bidi w:val="0"/>
        <w:adjustRightInd/>
        <w:snapToGrid/>
        <w:spacing w:before="52" w:line="500" w:lineRule="exact"/>
        <w:ind w:left="1003" w:leftChars="456" w:right="4487" w:righ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合同履行期限：90日历日</w:t>
      </w:r>
    </w:p>
    <w:p>
      <w:pPr>
        <w:keepNext w:val="0"/>
        <w:keepLines w:val="0"/>
        <w:pageBreakBefore w:val="0"/>
        <w:kinsoku/>
        <w:wordWrap/>
        <w:overflowPunct/>
        <w:topLinePunct w:val="0"/>
        <w:bidi w:val="0"/>
        <w:adjustRightInd/>
        <w:snapToGrid/>
        <w:spacing w:before="155" w:line="500" w:lineRule="exact"/>
        <w:ind w:right="0"/>
        <w:jc w:val="left"/>
        <w:textAlignment w:val="auto"/>
        <w:outlineLvl w:val="1"/>
        <w:rPr>
          <w:rFonts w:hint="eastAsia" w:ascii="宋体" w:hAnsi="宋体" w:eastAsia="宋体" w:cs="宋体"/>
          <w:b/>
          <w:sz w:val="24"/>
          <w:szCs w:val="24"/>
        </w:rPr>
      </w:pPr>
      <w:bookmarkStart w:id="2" w:name="二、申请人的资格要求："/>
      <w:bookmarkEnd w:id="2"/>
      <w:bookmarkStart w:id="3" w:name="_Toc27735"/>
      <w:r>
        <w:rPr>
          <w:rFonts w:hint="eastAsia" w:ascii="宋体" w:hAnsi="宋体" w:eastAsia="宋体" w:cs="宋体"/>
          <w:b/>
          <w:sz w:val="24"/>
          <w:szCs w:val="24"/>
        </w:rPr>
        <w:t>二、申请人的资格要求：</w:t>
      </w:r>
      <w:bookmarkEnd w:id="3"/>
    </w:p>
    <w:p>
      <w:pPr>
        <w:pStyle w:val="9"/>
        <w:keepNext w:val="0"/>
        <w:keepLines w:val="0"/>
        <w:pageBreakBefore w:val="0"/>
        <w:numPr>
          <w:ilvl w:val="0"/>
          <w:numId w:val="0"/>
        </w:numPr>
        <w:tabs>
          <w:tab w:val="left" w:pos="1145"/>
        </w:tabs>
        <w:kinsoku/>
        <w:wordWrap/>
        <w:overflowPunct/>
        <w:topLinePunct w:val="0"/>
        <w:bidi w:val="0"/>
        <w:adjustRightInd/>
        <w:snapToGrid/>
        <w:spacing w:before="52" w:after="0" w:line="500" w:lineRule="exact"/>
        <w:ind w:right="0" w:rightChars="0"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满足《中华人民共和国政府采购法》第二十二条规定;</w:t>
      </w:r>
    </w:p>
    <w:p>
      <w:pPr>
        <w:pStyle w:val="9"/>
        <w:keepNext w:val="0"/>
        <w:keepLines w:val="0"/>
        <w:pageBreakBefore w:val="0"/>
        <w:numPr>
          <w:ilvl w:val="0"/>
          <w:numId w:val="0"/>
        </w:numPr>
        <w:tabs>
          <w:tab w:val="left" w:pos="1145"/>
        </w:tabs>
        <w:kinsoku/>
        <w:wordWrap/>
        <w:overflowPunct/>
        <w:topLinePunct w:val="0"/>
        <w:bidi w:val="0"/>
        <w:adjustRightInd/>
        <w:snapToGrid/>
        <w:spacing w:before="55" w:after="0" w:line="500" w:lineRule="exact"/>
        <w:ind w:right="0" w:rightChars="0"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落实政府采购政策需满足的资格要求：</w:t>
      </w:r>
    </w:p>
    <w:p>
      <w:pPr>
        <w:keepNext w:val="0"/>
        <w:keepLines w:val="0"/>
        <w:pageBreakBefore w:val="0"/>
        <w:kinsoku/>
        <w:wordWrap/>
        <w:overflowPunct/>
        <w:topLinePunct w:val="0"/>
        <w:bidi w:val="0"/>
        <w:adjustRightInd/>
        <w:snapToGrid/>
        <w:spacing w:before="52" w:line="50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Times New Roman"/>
          <w:kern w:val="0"/>
          <w:sz w:val="24"/>
          <w:szCs w:val="24"/>
          <w:lang w:val="zh-CN" w:eastAsia="zh-CN" w:bidi="ar-SA"/>
        </w:rPr>
        <w:t>石泉县熨斗镇喜熨路人行道提升建设工程</w:t>
      </w:r>
      <w:r>
        <w:rPr>
          <w:rFonts w:hint="eastAsia" w:ascii="宋体" w:hAnsi="宋体" w:eastAsia="宋体" w:cs="宋体"/>
          <w:sz w:val="24"/>
          <w:szCs w:val="24"/>
        </w:rPr>
        <w:t>)落实政府采购政策需满足的资格要求如下:</w:t>
      </w:r>
    </w:p>
    <w:p>
      <w:pPr>
        <w:keepNext w:val="0"/>
        <w:keepLines w:val="0"/>
        <w:pageBreakBefore w:val="0"/>
        <w:numPr>
          <w:ilvl w:val="0"/>
          <w:numId w:val="0"/>
        </w:numPr>
        <w:kinsoku/>
        <w:wordWrap/>
        <w:overflowPunct/>
        <w:topLinePunct w:val="0"/>
        <w:bidi w:val="0"/>
        <w:adjustRightInd/>
        <w:snapToGrid/>
        <w:spacing w:before="52" w:line="500" w:lineRule="exact"/>
        <w:ind w:right="898" w:rightChars="0"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《节能产品政府采购实施意见》（财库〔2004〕185 号）；</w:t>
      </w:r>
    </w:p>
    <w:p>
      <w:pPr>
        <w:keepNext w:val="0"/>
        <w:keepLines w:val="0"/>
        <w:pageBreakBefore w:val="0"/>
        <w:numPr>
          <w:ilvl w:val="0"/>
          <w:numId w:val="0"/>
        </w:numPr>
        <w:kinsoku/>
        <w:wordWrap/>
        <w:overflowPunct/>
        <w:topLinePunct w:val="0"/>
        <w:bidi w:val="0"/>
        <w:adjustRightInd/>
        <w:snapToGrid/>
        <w:spacing w:before="52" w:line="500" w:lineRule="exact"/>
        <w:ind w:right="86" w:rightChars="0"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《国务院办公厅关于建立政府强制采购节能产品制度的通知》（国办发〔2007〕51 号）；</w:t>
      </w:r>
    </w:p>
    <w:p>
      <w:pPr>
        <w:keepNext w:val="0"/>
        <w:keepLines w:val="0"/>
        <w:pageBreakBefore w:val="0"/>
        <w:numPr>
          <w:ilvl w:val="0"/>
          <w:numId w:val="0"/>
        </w:numPr>
        <w:kinsoku/>
        <w:wordWrap/>
        <w:overflowPunct/>
        <w:topLinePunct w:val="0"/>
        <w:bidi w:val="0"/>
        <w:adjustRightInd/>
        <w:snapToGrid/>
        <w:spacing w:before="52" w:line="500" w:lineRule="exact"/>
        <w:ind w:right="898" w:rightChars="0"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《环境标志产品政府采购实施的意见》（财库[2006]90 号）；</w:t>
      </w:r>
    </w:p>
    <w:p>
      <w:pPr>
        <w:keepNext w:val="0"/>
        <w:keepLines w:val="0"/>
        <w:pageBreakBefore w:val="0"/>
        <w:numPr>
          <w:ilvl w:val="0"/>
          <w:numId w:val="0"/>
        </w:numPr>
        <w:kinsoku/>
        <w:wordWrap/>
        <w:overflowPunct/>
        <w:topLinePunct w:val="0"/>
        <w:bidi w:val="0"/>
        <w:adjustRightInd/>
        <w:snapToGrid/>
        <w:spacing w:before="52" w:line="500" w:lineRule="exact"/>
        <w:ind w:right="86" w:rightChars="0"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 号）；</w:t>
      </w:r>
    </w:p>
    <w:p>
      <w:pPr>
        <w:keepNext w:val="0"/>
        <w:keepLines w:val="0"/>
        <w:pageBreakBefore w:val="0"/>
        <w:numPr>
          <w:ilvl w:val="0"/>
          <w:numId w:val="0"/>
        </w:numPr>
        <w:kinsoku/>
        <w:wordWrap/>
        <w:overflowPunct/>
        <w:topLinePunct w:val="0"/>
        <w:bidi w:val="0"/>
        <w:adjustRightInd/>
        <w:snapToGrid/>
        <w:spacing w:before="52" w:line="500" w:lineRule="exact"/>
        <w:ind w:right="86" w:rightChars="0"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《财政部民政部中国残疾人联合会关于促进残疾人就业政府采购政策的通知》（财库〔2017〕141 号）;</w:t>
      </w:r>
    </w:p>
    <w:p>
      <w:pPr>
        <w:keepNext w:val="0"/>
        <w:keepLines w:val="0"/>
        <w:pageBreakBefore w:val="0"/>
        <w:numPr>
          <w:ilvl w:val="0"/>
          <w:numId w:val="0"/>
        </w:numPr>
        <w:kinsoku/>
        <w:wordWrap/>
        <w:overflowPunct/>
        <w:topLinePunct w:val="0"/>
        <w:bidi w:val="0"/>
        <w:adjustRightInd/>
        <w:snapToGrid/>
        <w:spacing w:before="52" w:line="500" w:lineRule="exact"/>
        <w:ind w:right="898" w:rightChars="0"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 号）；</w:t>
      </w:r>
    </w:p>
    <w:p>
      <w:pPr>
        <w:keepNext w:val="0"/>
        <w:keepLines w:val="0"/>
        <w:pageBreakBefore w:val="0"/>
        <w:numPr>
          <w:ilvl w:val="0"/>
          <w:numId w:val="0"/>
        </w:numPr>
        <w:kinsoku/>
        <w:wordWrap/>
        <w:overflowPunct/>
        <w:topLinePunct w:val="0"/>
        <w:bidi w:val="0"/>
        <w:adjustRightInd/>
        <w:snapToGrid/>
        <w:spacing w:before="52" w:line="500" w:lineRule="exact"/>
        <w:ind w:right="86" w:rightChars="0"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陕西省财政厅关于印发 《陕西省中小企业政府采购信用融资办法》（陕财办采[2018]23 号）;</w:t>
      </w:r>
    </w:p>
    <w:p>
      <w:pPr>
        <w:keepNext w:val="0"/>
        <w:keepLines w:val="0"/>
        <w:pageBreakBefore w:val="0"/>
        <w:numPr>
          <w:ilvl w:val="0"/>
          <w:numId w:val="0"/>
        </w:numPr>
        <w:kinsoku/>
        <w:wordWrap/>
        <w:overflowPunct/>
        <w:topLinePunct w:val="0"/>
        <w:bidi w:val="0"/>
        <w:adjustRightInd/>
        <w:snapToGrid/>
        <w:spacing w:before="52" w:line="500" w:lineRule="exact"/>
        <w:ind w:right="898" w:rightChars="0"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、其他需要落实的政府采购政策。</w:t>
      </w:r>
    </w:p>
    <w:p>
      <w:pPr>
        <w:pStyle w:val="9"/>
        <w:keepNext w:val="0"/>
        <w:keepLines w:val="0"/>
        <w:pageBreakBefore w:val="0"/>
        <w:numPr>
          <w:ilvl w:val="0"/>
          <w:numId w:val="0"/>
        </w:numPr>
        <w:tabs>
          <w:tab w:val="left" w:pos="1145"/>
        </w:tabs>
        <w:kinsoku/>
        <w:wordWrap/>
        <w:overflowPunct/>
        <w:topLinePunct w:val="0"/>
        <w:bidi w:val="0"/>
        <w:adjustRightInd/>
        <w:snapToGrid/>
        <w:spacing w:before="0" w:after="0" w:line="50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本项目的特定资格要求：</w:t>
      </w:r>
    </w:p>
    <w:p>
      <w:pPr>
        <w:spacing w:before="1" w:line="391" w:lineRule="auto"/>
        <w:ind w:left="555" w:right="477" w:firstLine="420"/>
        <w:jc w:val="both"/>
        <w:rPr>
          <w:rFonts w:hint="eastAsia" w:ascii="宋体" w:hAnsi="宋体" w:eastAsia="宋体" w:cs="宋体"/>
          <w:sz w:val="24"/>
        </w:rPr>
      </w:pPr>
      <w:bookmarkStart w:id="4" w:name="三、获取采购文件"/>
      <w:bookmarkEnd w:id="4"/>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、具有独立承担民事责任的能力，提供营业执照、税务登记证、组织机构代码证</w:t>
      </w:r>
      <w:r>
        <w:rPr>
          <w:rFonts w:hint="eastAsia" w:ascii="宋体" w:hAnsi="宋体" w:eastAsia="宋体" w:cs="宋体"/>
          <w:spacing w:val="-1"/>
          <w:sz w:val="24"/>
        </w:rPr>
        <w:t>或登载有统一社会信用代码的营业执照</w:t>
      </w:r>
      <w:r>
        <w:rPr>
          <w:rFonts w:hint="eastAsia" w:ascii="宋体" w:hAnsi="宋体" w:eastAsia="宋体" w:cs="宋体"/>
          <w:sz w:val="24"/>
        </w:rPr>
        <w:t>（</w:t>
      </w:r>
      <w:r>
        <w:rPr>
          <w:rFonts w:hint="eastAsia" w:ascii="宋体" w:hAnsi="宋体" w:eastAsia="宋体" w:cs="宋体"/>
          <w:spacing w:val="-7"/>
          <w:sz w:val="24"/>
        </w:rPr>
        <w:t>或《事业单位法人证书》或其他合法组织登记</w:t>
      </w:r>
      <w:r>
        <w:rPr>
          <w:rFonts w:hint="eastAsia" w:ascii="宋体" w:hAnsi="宋体" w:eastAsia="宋体" w:cs="宋体"/>
          <w:sz w:val="24"/>
        </w:rPr>
        <w:t>证书、自然人只须提交身份证；</w:t>
      </w:r>
    </w:p>
    <w:p>
      <w:pPr>
        <w:spacing w:before="97" w:line="388" w:lineRule="auto"/>
        <w:ind w:left="555" w:right="489" w:firstLine="42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、法定代表人授权书（附法定代表人身份证复印件）及被授权人身份证（法定代表人直接参加投标只须提供法定代表人身份证）；</w:t>
      </w:r>
    </w:p>
    <w:p>
      <w:pPr>
        <w:spacing w:before="39" w:line="388" w:lineRule="auto"/>
        <w:ind w:left="555" w:right="489" w:firstLine="42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、投标供应商应具有行政管理部门颁发的</w:t>
      </w:r>
      <w:r>
        <w:rPr>
          <w:rFonts w:hint="eastAsia" w:ascii="宋体" w:hAnsi="宋体" w:eastAsia="宋体" w:cs="宋体"/>
          <w:sz w:val="24"/>
          <w:lang w:eastAsia="zh-CN"/>
        </w:rPr>
        <w:t>市政</w:t>
      </w:r>
      <w:r>
        <w:rPr>
          <w:rFonts w:hint="eastAsia" w:ascii="宋体" w:hAnsi="宋体" w:eastAsia="宋体" w:cs="宋体"/>
          <w:sz w:val="24"/>
        </w:rPr>
        <w:t>工程施工总承包三级（含三级）以上资质、企业安全生产许可证,并在人员配备、设备等方面具备相应的施工能力；</w:t>
      </w:r>
    </w:p>
    <w:p>
      <w:pPr>
        <w:spacing w:before="103" w:line="391" w:lineRule="auto"/>
        <w:ind w:left="555" w:right="429" w:firstLine="42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、拟派项目经理具有</w:t>
      </w:r>
      <w:r>
        <w:rPr>
          <w:rFonts w:hint="eastAsia" w:ascii="宋体" w:hAnsi="宋体" w:eastAsia="宋体" w:cs="宋体"/>
          <w:sz w:val="24"/>
          <w:lang w:eastAsia="zh-CN"/>
        </w:rPr>
        <w:t>市政</w:t>
      </w:r>
      <w:r>
        <w:rPr>
          <w:rFonts w:hint="eastAsia" w:ascii="宋体" w:hAnsi="宋体" w:eastAsia="宋体" w:cs="宋体"/>
          <w:sz w:val="24"/>
        </w:rPr>
        <w:t>工程专业二级以上（含二级）注册建造师证书，提供项</w:t>
      </w:r>
      <w:r>
        <w:rPr>
          <w:rFonts w:hint="eastAsia" w:ascii="宋体" w:hAnsi="宋体" w:eastAsia="宋体" w:cs="宋体"/>
          <w:spacing w:val="-1"/>
          <w:sz w:val="24"/>
        </w:rPr>
        <w:t>目经理的执业资格证、注册证、安全生产考核合格证书及未担任其他在建工程承诺书；</w:t>
      </w:r>
    </w:p>
    <w:p>
      <w:pPr>
        <w:spacing w:before="100"/>
        <w:ind w:left="1036" w:right="0" w:firstLine="0"/>
        <w:jc w:val="left"/>
        <w:rPr>
          <w:rFonts w:hint="eastAsia" w:ascii="宋体" w:hAnsi="宋体" w:eastAsia="宋体" w:cs="宋体"/>
          <w:sz w:val="24"/>
        </w:rPr>
      </w:pPr>
      <w:r>
        <w:rPr>
          <w:rFonts w:hint="eastAsia" w:ascii="宋体" w:hAnsi="宋体" w:eastAsia="宋体" w:cs="宋体"/>
          <w:spacing w:val="-5"/>
          <w:sz w:val="24"/>
          <w:lang w:eastAsia="zh-CN"/>
        </w:rPr>
        <w:t>（</w:t>
      </w:r>
      <w:r>
        <w:rPr>
          <w:rFonts w:hint="eastAsia" w:ascii="宋体" w:hAnsi="宋体" w:eastAsia="宋体" w:cs="宋体"/>
          <w:spacing w:val="-5"/>
          <w:sz w:val="24"/>
          <w:lang w:val="en-US" w:eastAsia="zh-CN"/>
        </w:rPr>
        <w:t>5</w:t>
      </w:r>
      <w:r>
        <w:rPr>
          <w:rFonts w:hint="eastAsia" w:ascii="宋体" w:hAnsi="宋体" w:eastAsia="宋体" w:cs="宋体"/>
          <w:spacing w:val="-5"/>
          <w:sz w:val="24"/>
          <w:lang w:eastAsia="zh-CN"/>
        </w:rPr>
        <w:t>）</w:t>
      </w:r>
      <w:r>
        <w:rPr>
          <w:rFonts w:hint="eastAsia" w:ascii="宋体" w:hAnsi="宋体" w:eastAsia="宋体" w:cs="宋体"/>
          <w:spacing w:val="-5"/>
          <w:sz w:val="24"/>
        </w:rPr>
        <w:t xml:space="preserve">、财务状况报告：提供 </w:t>
      </w:r>
      <w:r>
        <w:rPr>
          <w:rFonts w:hint="eastAsia" w:ascii="宋体" w:hAnsi="宋体" w:eastAsia="宋体" w:cs="宋体"/>
          <w:sz w:val="24"/>
        </w:rPr>
        <w:t>202</w:t>
      </w:r>
      <w:r>
        <w:rPr>
          <w:rFonts w:hint="eastAsia" w:ascii="宋体" w:hAnsi="宋体" w:eastAsia="宋体" w:cs="宋体"/>
          <w:sz w:val="24"/>
          <w:lang w:val="en-US" w:eastAsia="zh-CN"/>
        </w:rPr>
        <w:t>1</w:t>
      </w:r>
      <w:r>
        <w:rPr>
          <w:rFonts w:hint="eastAsia" w:ascii="宋体" w:hAnsi="宋体" w:eastAsia="宋体" w:cs="宋体"/>
          <w:spacing w:val="-8"/>
          <w:sz w:val="24"/>
        </w:rPr>
        <w:t xml:space="preserve"> 年财务审计报告</w:t>
      </w:r>
      <w:r>
        <w:rPr>
          <w:rFonts w:hint="eastAsia" w:ascii="宋体" w:hAnsi="宋体" w:eastAsia="宋体" w:cs="宋体"/>
          <w:sz w:val="24"/>
        </w:rPr>
        <w:t>（成立时间至提交响应文件截止时</w:t>
      </w:r>
    </w:p>
    <w:p>
      <w:pPr>
        <w:spacing w:before="191" w:line="388" w:lineRule="auto"/>
        <w:ind w:left="555" w:right="477" w:firstLine="0"/>
        <w:jc w:val="left"/>
        <w:rPr>
          <w:rFonts w:hint="eastAsia" w:ascii="宋体" w:hAnsi="宋体" w:eastAsia="宋体" w:cs="宋体"/>
          <w:sz w:val="24"/>
        </w:rPr>
      </w:pPr>
      <w:r>
        <w:rPr>
          <w:rFonts w:hint="eastAsia" w:ascii="宋体" w:hAnsi="宋体" w:eastAsia="宋体" w:cs="宋体"/>
          <w:spacing w:val="-15"/>
          <w:sz w:val="24"/>
        </w:rPr>
        <w:t xml:space="preserve">间不足 </w:t>
      </w:r>
      <w:r>
        <w:rPr>
          <w:rFonts w:hint="eastAsia" w:ascii="宋体" w:hAnsi="宋体" w:eastAsia="宋体" w:cs="宋体"/>
          <w:sz w:val="24"/>
        </w:rPr>
        <w:t>1</w:t>
      </w:r>
      <w:r>
        <w:rPr>
          <w:rFonts w:hint="eastAsia" w:ascii="宋体" w:hAnsi="宋体" w:eastAsia="宋体" w:cs="宋体"/>
          <w:spacing w:val="-8"/>
          <w:sz w:val="24"/>
        </w:rPr>
        <w:t xml:space="preserve"> 年的可提供成立后任意时段的资产负债表</w:t>
      </w:r>
      <w:r>
        <w:rPr>
          <w:rFonts w:hint="eastAsia" w:ascii="宋体" w:hAnsi="宋体" w:eastAsia="宋体" w:cs="宋体"/>
          <w:spacing w:val="-48"/>
          <w:sz w:val="24"/>
        </w:rPr>
        <w:t>）</w:t>
      </w:r>
      <w:r>
        <w:rPr>
          <w:rFonts w:hint="eastAsia" w:ascii="宋体" w:hAnsi="宋体" w:eastAsia="宋体" w:cs="宋体"/>
          <w:spacing w:val="-2"/>
          <w:sz w:val="24"/>
        </w:rPr>
        <w:t>或其基本存款账户开户银行出具的</w:t>
      </w:r>
      <w:r>
        <w:rPr>
          <w:rFonts w:hint="eastAsia" w:ascii="宋体" w:hAnsi="宋体" w:eastAsia="宋体" w:cs="宋体"/>
          <w:sz w:val="24"/>
        </w:rPr>
        <w:t>资信证明；</w:t>
      </w:r>
    </w:p>
    <w:p>
      <w:pPr>
        <w:spacing w:before="103" w:line="391" w:lineRule="auto"/>
        <w:ind w:left="555" w:right="477" w:firstLine="480"/>
        <w:jc w:val="both"/>
        <w:rPr>
          <w:rFonts w:hint="eastAsia" w:ascii="宋体" w:hAnsi="宋体" w:eastAsia="宋体" w:cs="宋体"/>
          <w:sz w:val="24"/>
        </w:rPr>
      </w:pPr>
      <w:r>
        <w:rPr>
          <w:rFonts w:hint="eastAsia" w:ascii="宋体" w:hAnsi="宋体" w:eastAsia="宋体" w:cs="宋体"/>
          <w:spacing w:val="-10"/>
          <w:sz w:val="24"/>
          <w:lang w:eastAsia="zh-CN"/>
        </w:rPr>
        <w:t>（</w:t>
      </w:r>
      <w:r>
        <w:rPr>
          <w:rFonts w:hint="eastAsia" w:ascii="宋体" w:hAnsi="宋体" w:eastAsia="宋体" w:cs="宋体"/>
          <w:spacing w:val="-10"/>
          <w:sz w:val="24"/>
          <w:lang w:val="en-US" w:eastAsia="zh-CN"/>
        </w:rPr>
        <w:t>6</w:t>
      </w:r>
      <w:r>
        <w:rPr>
          <w:rFonts w:hint="eastAsia" w:ascii="宋体" w:hAnsi="宋体" w:eastAsia="宋体" w:cs="宋体"/>
          <w:spacing w:val="-10"/>
          <w:sz w:val="24"/>
          <w:lang w:eastAsia="zh-CN"/>
        </w:rPr>
        <w:t>）</w:t>
      </w:r>
      <w:r>
        <w:rPr>
          <w:rFonts w:hint="eastAsia" w:ascii="宋体" w:hAnsi="宋体" w:eastAsia="宋体" w:cs="宋体"/>
          <w:spacing w:val="-10"/>
          <w:sz w:val="24"/>
        </w:rPr>
        <w:t xml:space="preserve">、提供自 </w:t>
      </w: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pacing w:val="-40"/>
          <w:sz w:val="24"/>
        </w:rPr>
        <w:t xml:space="preserve">年 </w:t>
      </w:r>
      <w:r>
        <w:rPr>
          <w:rFonts w:hint="eastAsia" w:ascii="宋体" w:hAnsi="宋体" w:eastAsia="宋体" w:cs="宋体"/>
          <w:sz w:val="24"/>
        </w:rPr>
        <w:t>1</w:t>
      </w:r>
      <w:r>
        <w:rPr>
          <w:rFonts w:hint="eastAsia" w:ascii="宋体" w:hAnsi="宋体" w:eastAsia="宋体" w:cs="宋体"/>
          <w:spacing w:val="-40"/>
          <w:sz w:val="24"/>
        </w:rPr>
        <w:t xml:space="preserve"> 月 </w:t>
      </w:r>
      <w:r>
        <w:rPr>
          <w:rFonts w:hint="eastAsia" w:ascii="宋体" w:hAnsi="宋体" w:eastAsia="宋体" w:cs="宋体"/>
          <w:sz w:val="24"/>
        </w:rPr>
        <w:t>1</w:t>
      </w:r>
      <w:r>
        <w:rPr>
          <w:rFonts w:hint="eastAsia" w:ascii="宋体" w:hAnsi="宋体" w:eastAsia="宋体" w:cs="宋体"/>
          <w:spacing w:val="-8"/>
          <w:sz w:val="24"/>
        </w:rPr>
        <w:t>日缴存以来的任意连续三个月的社会保障资金缴存单据</w:t>
      </w:r>
      <w:r>
        <w:rPr>
          <w:rFonts w:hint="eastAsia" w:ascii="宋体" w:hAnsi="宋体" w:eastAsia="宋体" w:cs="宋体"/>
          <w:spacing w:val="-11"/>
          <w:sz w:val="24"/>
        </w:rPr>
        <w:t>或社保机构开具的社会保险参保缴费情况证明，成立不足一年的公司提供自成立后至今</w:t>
      </w:r>
      <w:r>
        <w:rPr>
          <w:rFonts w:hint="eastAsia" w:ascii="宋体" w:hAnsi="宋体" w:eastAsia="宋体" w:cs="宋体"/>
          <w:spacing w:val="-3"/>
          <w:sz w:val="24"/>
        </w:rPr>
        <w:t>连续缴存社会保障资金缴存单据或社保机构开具的社会保险参保缴费情况证明，单据或证明上应有社保机构或代收机构的公章或业务专用章；依法不需要缴纳社会保障资金的</w:t>
      </w:r>
      <w:r>
        <w:rPr>
          <w:rFonts w:hint="eastAsia" w:ascii="宋体" w:hAnsi="宋体" w:eastAsia="宋体" w:cs="宋体"/>
          <w:sz w:val="24"/>
        </w:rPr>
        <w:t>单位应提供相关证明材料；</w:t>
      </w:r>
    </w:p>
    <w:p>
      <w:pPr>
        <w:spacing w:before="96" w:line="388" w:lineRule="auto"/>
        <w:ind w:left="555" w:right="549" w:firstLine="480"/>
        <w:jc w:val="both"/>
        <w:rPr>
          <w:rFonts w:hint="eastAsia" w:ascii="宋体" w:hAnsi="宋体" w:eastAsia="宋体" w:cs="宋体"/>
          <w:sz w:val="24"/>
        </w:rPr>
      </w:pPr>
      <w:r>
        <w:rPr>
          <w:rFonts w:hint="eastAsia" w:ascii="宋体" w:hAnsi="宋体" w:eastAsia="宋体" w:cs="宋体"/>
          <w:spacing w:val="-12"/>
          <w:sz w:val="24"/>
          <w:lang w:eastAsia="zh-CN"/>
        </w:rPr>
        <w:t>（</w:t>
      </w:r>
      <w:r>
        <w:rPr>
          <w:rFonts w:hint="eastAsia" w:ascii="宋体" w:hAnsi="宋体" w:eastAsia="宋体" w:cs="宋体"/>
          <w:spacing w:val="-12"/>
          <w:sz w:val="24"/>
          <w:lang w:val="en-US" w:eastAsia="zh-CN"/>
        </w:rPr>
        <w:t>7</w:t>
      </w:r>
      <w:r>
        <w:rPr>
          <w:rFonts w:hint="eastAsia" w:ascii="宋体" w:hAnsi="宋体" w:eastAsia="宋体" w:cs="宋体"/>
          <w:spacing w:val="-12"/>
          <w:sz w:val="24"/>
          <w:lang w:eastAsia="zh-CN"/>
        </w:rPr>
        <w:t>）</w:t>
      </w:r>
      <w:r>
        <w:rPr>
          <w:rFonts w:hint="eastAsia" w:ascii="宋体" w:hAnsi="宋体" w:eastAsia="宋体" w:cs="宋体"/>
          <w:spacing w:val="-12"/>
          <w:sz w:val="24"/>
        </w:rPr>
        <w:t xml:space="preserve">、提供 </w:t>
      </w: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pacing w:val="-40"/>
          <w:sz w:val="24"/>
        </w:rPr>
        <w:t xml:space="preserve">年 </w:t>
      </w:r>
      <w:r>
        <w:rPr>
          <w:rFonts w:hint="eastAsia" w:ascii="宋体" w:hAnsi="宋体" w:eastAsia="宋体" w:cs="宋体"/>
          <w:sz w:val="24"/>
        </w:rPr>
        <w:t>1</w:t>
      </w:r>
      <w:r>
        <w:rPr>
          <w:rFonts w:hint="eastAsia" w:ascii="宋体" w:hAnsi="宋体" w:eastAsia="宋体" w:cs="宋体"/>
          <w:spacing w:val="-40"/>
          <w:sz w:val="24"/>
        </w:rPr>
        <w:t xml:space="preserve"> 月 </w:t>
      </w:r>
      <w:r>
        <w:rPr>
          <w:rFonts w:hint="eastAsia" w:ascii="宋体" w:hAnsi="宋体" w:eastAsia="宋体" w:cs="宋体"/>
          <w:sz w:val="24"/>
        </w:rPr>
        <w:t>1</w:t>
      </w:r>
      <w:r>
        <w:rPr>
          <w:rFonts w:hint="eastAsia" w:ascii="宋体" w:hAnsi="宋体" w:eastAsia="宋体" w:cs="宋体"/>
          <w:spacing w:val="-9"/>
          <w:sz w:val="24"/>
        </w:rPr>
        <w:t>日至今已缴纳的至少三个月的纳税证明或完税证明，依法</w:t>
      </w:r>
      <w:r>
        <w:rPr>
          <w:rFonts w:hint="eastAsia" w:ascii="宋体" w:hAnsi="宋体" w:eastAsia="宋体" w:cs="宋体"/>
          <w:sz w:val="24"/>
        </w:rPr>
        <w:t>免税的单位应提供相关证明材料；</w:t>
      </w:r>
    </w:p>
    <w:p>
      <w:pPr>
        <w:spacing w:before="103" w:line="391" w:lineRule="auto"/>
        <w:ind w:left="555" w:right="477" w:firstLine="480"/>
        <w:jc w:val="left"/>
        <w:rPr>
          <w:rFonts w:hint="eastAsia" w:ascii="宋体" w:hAnsi="宋体" w:eastAsia="宋体" w:cs="宋体"/>
          <w:sz w:val="24"/>
        </w:rPr>
      </w:pPr>
      <w:r>
        <w:rPr>
          <w:rFonts w:hint="eastAsia" w:ascii="宋体" w:hAnsi="宋体" w:eastAsia="宋体" w:cs="宋体"/>
          <w:spacing w:val="-7"/>
          <w:sz w:val="24"/>
          <w:lang w:eastAsia="zh-CN"/>
        </w:rPr>
        <w:t>（</w:t>
      </w:r>
      <w:r>
        <w:rPr>
          <w:rFonts w:hint="eastAsia" w:ascii="宋体" w:hAnsi="宋体" w:eastAsia="宋体" w:cs="宋体"/>
          <w:spacing w:val="-7"/>
          <w:sz w:val="24"/>
          <w:lang w:val="en-US" w:eastAsia="zh-CN"/>
        </w:rPr>
        <w:t>8</w:t>
      </w:r>
      <w:r>
        <w:rPr>
          <w:rFonts w:hint="eastAsia" w:ascii="宋体" w:hAnsi="宋体" w:eastAsia="宋体" w:cs="宋体"/>
          <w:spacing w:val="-7"/>
          <w:sz w:val="24"/>
          <w:lang w:eastAsia="zh-CN"/>
        </w:rPr>
        <w:t>）</w:t>
      </w:r>
      <w:r>
        <w:rPr>
          <w:rFonts w:hint="eastAsia" w:ascii="宋体" w:hAnsi="宋体" w:eastAsia="宋体" w:cs="宋体"/>
          <w:spacing w:val="-7"/>
          <w:sz w:val="24"/>
        </w:rPr>
        <w:t>、未被列入失信被执行人、重大税收违法案件当事人名单、政府采购严重违法失</w:t>
      </w:r>
      <w:r>
        <w:rPr>
          <w:rFonts w:hint="eastAsia" w:ascii="宋体" w:hAnsi="宋体" w:eastAsia="宋体" w:cs="宋体"/>
          <w:sz w:val="24"/>
        </w:rPr>
        <w:t>信行为记录名单；以“信用中国”网站(www.creditchina.gov.cn)、中国政府采购网(www.ccgp.gov.cn) 查询结果为准（提供查询截图）；</w:t>
      </w:r>
    </w:p>
    <w:p>
      <w:pPr>
        <w:spacing w:before="97"/>
        <w:ind w:left="1036" w:right="0" w:firstLine="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、具备履行合同所必须的设备和专业技术能力的书面声明；</w:t>
      </w:r>
    </w:p>
    <w:p>
      <w:pPr>
        <w:pStyle w:val="2"/>
        <w:spacing w:before="10"/>
        <w:rPr>
          <w:rFonts w:hint="eastAsia" w:ascii="宋体" w:hAnsi="宋体" w:eastAsia="宋体" w:cs="宋体"/>
          <w:sz w:val="22"/>
        </w:rPr>
      </w:pPr>
    </w:p>
    <w:p>
      <w:pPr>
        <w:spacing w:before="0" w:line="388" w:lineRule="auto"/>
        <w:ind w:left="555" w:right="477" w:firstLine="480"/>
        <w:jc w:val="left"/>
        <w:rPr>
          <w:rFonts w:hint="eastAsia" w:ascii="宋体" w:hAnsi="宋体" w:eastAsia="宋体" w:cs="宋体"/>
          <w:sz w:val="24"/>
        </w:rPr>
      </w:pPr>
      <w:r>
        <w:rPr>
          <w:rFonts w:hint="eastAsia" w:ascii="宋体" w:hAnsi="宋体" w:eastAsia="宋体" w:cs="宋体"/>
          <w:spacing w:val="-6"/>
          <w:sz w:val="24"/>
          <w:lang w:val="en-US" w:eastAsia="zh-CN"/>
        </w:rPr>
        <w:t>(10)</w:t>
      </w:r>
      <w:r>
        <w:rPr>
          <w:rFonts w:hint="eastAsia" w:ascii="宋体" w:hAnsi="宋体" w:eastAsia="宋体" w:cs="宋体"/>
          <w:spacing w:val="-6"/>
          <w:sz w:val="24"/>
        </w:rPr>
        <w:t>、提供供应商近三年内</w:t>
      </w:r>
      <w:r>
        <w:rPr>
          <w:rFonts w:hint="eastAsia" w:ascii="宋体" w:hAnsi="宋体" w:eastAsia="宋体" w:cs="宋体"/>
          <w:sz w:val="24"/>
        </w:rPr>
        <w:t>（新成立公司自公司成立之日起计算</w:t>
      </w:r>
      <w:r>
        <w:rPr>
          <w:rFonts w:hint="eastAsia" w:ascii="宋体" w:hAnsi="宋体" w:eastAsia="宋体" w:cs="宋体"/>
          <w:spacing w:val="-17"/>
          <w:sz w:val="24"/>
        </w:rPr>
        <w:t>）</w:t>
      </w:r>
      <w:r>
        <w:rPr>
          <w:rFonts w:hint="eastAsia" w:ascii="宋体" w:hAnsi="宋体" w:eastAsia="宋体" w:cs="宋体"/>
          <w:spacing w:val="-3"/>
          <w:sz w:val="24"/>
        </w:rPr>
        <w:t>在经营活动中无重</w:t>
      </w:r>
      <w:r>
        <w:rPr>
          <w:rFonts w:hint="eastAsia" w:ascii="宋体" w:hAnsi="宋体" w:eastAsia="宋体" w:cs="宋体"/>
          <w:sz w:val="24"/>
        </w:rPr>
        <w:t>大违法记录声明；</w:t>
      </w:r>
    </w:p>
    <w:p>
      <w:pPr>
        <w:keepNext w:val="0"/>
        <w:keepLines w:val="0"/>
        <w:pageBreakBefore w:val="0"/>
        <w:shd w:val="clear" w:color="auto" w:fill="auto"/>
        <w:kinsoku/>
        <w:wordWrap/>
        <w:overflowPunct/>
        <w:topLinePunct w:val="0"/>
        <w:autoSpaceDE/>
        <w:autoSpaceDN/>
        <w:bidi w:val="0"/>
        <w:adjustRightInd/>
        <w:snapToGrid/>
        <w:spacing w:before="3" w:line="500" w:lineRule="exact"/>
        <w:ind w:right="1" w:firstLine="960" w:firstLineChars="400"/>
        <w:textAlignment w:val="auto"/>
        <w:rPr>
          <w:rFonts w:hint="eastAsia" w:ascii="宋体" w:hAnsi="宋体" w:eastAsia="宋体" w:cs="Times New Roman"/>
          <w:kern w:val="0"/>
          <w:sz w:val="24"/>
          <w:szCs w:val="24"/>
          <w:lang w:val="en-US" w:eastAsia="zh-CN" w:bidi="ar-SA"/>
        </w:rPr>
      </w:pPr>
      <w:r>
        <w:rPr>
          <w:rFonts w:hint="eastAsia" w:ascii="宋体" w:hAnsi="宋体" w:eastAsia="宋体" w:cs="宋体"/>
          <w:sz w:val="24"/>
          <w:lang w:val="en-US" w:eastAsia="zh-CN"/>
        </w:rPr>
        <w:t>（11）</w:t>
      </w:r>
      <w:r>
        <w:rPr>
          <w:rFonts w:hint="eastAsia" w:ascii="宋体" w:hAnsi="宋体" w:eastAsia="宋体" w:cs="宋体"/>
          <w:spacing w:val="-2"/>
          <w:sz w:val="24"/>
        </w:rPr>
        <w:t>、本项目不接受联合体投标。</w:t>
      </w:r>
    </w:p>
    <w:p>
      <w:pPr>
        <w:keepNext w:val="0"/>
        <w:keepLines w:val="0"/>
        <w:pageBreakBefore w:val="0"/>
        <w:kinsoku/>
        <w:wordWrap/>
        <w:overflowPunct/>
        <w:topLinePunct w:val="0"/>
        <w:bidi w:val="0"/>
        <w:adjustRightInd/>
        <w:snapToGrid/>
        <w:spacing w:before="138" w:line="500" w:lineRule="exact"/>
        <w:ind w:left="491" w:right="0" w:firstLine="0"/>
        <w:jc w:val="left"/>
        <w:textAlignment w:val="auto"/>
        <w:outlineLvl w:val="1"/>
        <w:rPr>
          <w:rFonts w:hint="eastAsia" w:ascii="宋体" w:hAnsi="宋体" w:eastAsia="宋体" w:cs="宋体"/>
          <w:b/>
          <w:sz w:val="24"/>
          <w:szCs w:val="24"/>
        </w:rPr>
      </w:pPr>
      <w:bookmarkStart w:id="5" w:name="_Toc15368"/>
      <w:r>
        <w:rPr>
          <w:rFonts w:hint="eastAsia" w:ascii="宋体" w:hAnsi="宋体" w:eastAsia="宋体" w:cs="宋体"/>
          <w:b/>
          <w:sz w:val="24"/>
          <w:szCs w:val="24"/>
        </w:rPr>
        <w:t>三、获取采购文件</w:t>
      </w:r>
      <w:bookmarkEnd w:id="5"/>
    </w:p>
    <w:p>
      <w:pPr>
        <w:keepNext w:val="0"/>
        <w:keepLines w:val="0"/>
        <w:pageBreakBefore w:val="0"/>
        <w:kinsoku/>
        <w:wordWrap/>
        <w:overflowPunct/>
        <w:topLinePunct w:val="0"/>
        <w:bidi w:val="0"/>
        <w:adjustRightInd/>
        <w:snapToGrid/>
        <w:spacing w:before="138" w:line="500" w:lineRule="exact"/>
        <w:ind w:right="284" w:rightChars="129" w:firstLine="720" w:firstLineChars="300"/>
        <w:jc w:val="left"/>
        <w:textAlignment w:val="auto"/>
        <w:rPr>
          <w:rFonts w:hint="eastAsia" w:ascii="宋体" w:hAnsi="宋体" w:eastAsia="宋体" w:cs="宋体"/>
          <w:kern w:val="0"/>
          <w:sz w:val="24"/>
          <w:szCs w:val="24"/>
          <w:lang w:val="en-US" w:eastAsia="zh-CN" w:bidi="ar-SA"/>
        </w:rPr>
      </w:pPr>
      <w:r>
        <w:rPr>
          <w:rFonts w:hint="eastAsia" w:ascii="宋体" w:hAnsi="宋体" w:eastAsia="宋体" w:cs="Times New Roman"/>
          <w:kern w:val="0"/>
          <w:sz w:val="24"/>
          <w:szCs w:val="24"/>
          <w:lang w:val="en-US" w:eastAsia="zh-CN" w:bidi="ar-SA"/>
        </w:rPr>
        <w:t xml:space="preserve">时间：2022 年 06 月 10日 至 2022 年 06 月14日 </w:t>
      </w:r>
      <w:r>
        <w:rPr>
          <w:rFonts w:hint="eastAsia" w:ascii="宋体" w:hAnsi="宋体" w:eastAsia="宋体" w:cs="宋体"/>
          <w:kern w:val="0"/>
          <w:sz w:val="24"/>
          <w:szCs w:val="24"/>
          <w:lang w:val="en-US" w:eastAsia="zh-CN" w:bidi="ar-SA"/>
        </w:rPr>
        <w:t xml:space="preserve">，每天上午 09:00:00 至12:00:00 ，下午 14:00:00 至 17:30:00 （北京时间,法定节假日除外）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720" w:firstLineChars="300"/>
        <w:textAlignment w:val="auto"/>
        <w:rPr>
          <w:rFonts w:hint="eastAsia" w:ascii="宋体" w:hAnsi="宋体" w:eastAsia="宋体" w:cs="宋体"/>
        </w:rPr>
      </w:pPr>
      <w:r>
        <w:rPr>
          <w:rFonts w:hint="eastAsia" w:ascii="宋体" w:hAnsi="宋体" w:eastAsia="宋体" w:cs="宋体"/>
        </w:rPr>
        <w:t xml:space="preserve">地点：全国公共资源交易中心平台（陕西省.安康市）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720" w:firstLineChars="300"/>
        <w:textAlignment w:val="auto"/>
        <w:rPr>
          <w:rFonts w:hint="eastAsia" w:ascii="宋体" w:hAnsi="宋体" w:eastAsia="宋体" w:cs="宋体"/>
          <w:lang w:eastAsia="zh-CN"/>
        </w:rPr>
      </w:pPr>
      <w:r>
        <w:rPr>
          <w:rFonts w:hint="eastAsia" w:ascii="宋体" w:hAnsi="宋体" w:eastAsia="宋体" w:cs="宋体"/>
        </w:rPr>
        <w:t>方式：</w:t>
      </w:r>
      <w:r>
        <w:rPr>
          <w:rFonts w:hint="eastAsia" w:ascii="宋体" w:hAnsi="宋体" w:eastAsia="宋体" w:cs="宋体"/>
          <w:lang w:eastAsia="zh-CN"/>
        </w:rPr>
        <w:t>现场获取</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720" w:firstLineChars="300"/>
        <w:textAlignment w:val="auto"/>
        <w:rPr>
          <w:rFonts w:hint="eastAsia" w:ascii="宋体" w:hAnsi="宋体" w:eastAsia="宋体" w:cs="宋体"/>
        </w:rPr>
      </w:pPr>
      <w:r>
        <w:rPr>
          <w:rFonts w:hint="eastAsia" w:ascii="宋体" w:hAnsi="宋体" w:eastAsia="宋体" w:cs="宋体"/>
        </w:rPr>
        <w:t>售价： 500 元</w:t>
      </w:r>
    </w:p>
    <w:p>
      <w:pPr>
        <w:keepNext w:val="0"/>
        <w:keepLines w:val="0"/>
        <w:pageBreakBefore w:val="0"/>
        <w:kinsoku/>
        <w:wordWrap/>
        <w:overflowPunct/>
        <w:topLinePunct w:val="0"/>
        <w:bidi w:val="0"/>
        <w:adjustRightInd/>
        <w:snapToGrid/>
        <w:spacing w:before="203" w:line="500" w:lineRule="exact"/>
        <w:ind w:left="491" w:right="0" w:firstLine="0"/>
        <w:jc w:val="left"/>
        <w:textAlignment w:val="auto"/>
        <w:outlineLvl w:val="1"/>
        <w:rPr>
          <w:rFonts w:hint="eastAsia" w:ascii="宋体" w:hAnsi="宋体" w:eastAsia="宋体" w:cs="宋体"/>
          <w:b/>
          <w:sz w:val="24"/>
          <w:szCs w:val="24"/>
        </w:rPr>
      </w:pPr>
      <w:bookmarkStart w:id="6" w:name="四、响应文件提交"/>
      <w:bookmarkEnd w:id="6"/>
      <w:bookmarkStart w:id="7" w:name="_Toc10722"/>
      <w:r>
        <w:rPr>
          <w:rFonts w:hint="eastAsia" w:ascii="宋体" w:hAnsi="宋体" w:eastAsia="宋体" w:cs="宋体"/>
          <w:b/>
          <w:sz w:val="24"/>
          <w:szCs w:val="24"/>
        </w:rPr>
        <w:t>四、响应文件提交</w:t>
      </w:r>
      <w:bookmarkEnd w:id="7"/>
    </w:p>
    <w:p>
      <w:pPr>
        <w:keepNext w:val="0"/>
        <w:keepLines w:val="0"/>
        <w:pageBreakBefore w:val="0"/>
        <w:kinsoku/>
        <w:wordWrap/>
        <w:overflowPunct/>
        <w:topLinePunct w:val="0"/>
        <w:bidi w:val="0"/>
        <w:adjustRightInd/>
        <w:snapToGrid/>
        <w:spacing w:before="52" w:line="500" w:lineRule="exact"/>
        <w:ind w:left="97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截止</w:t>
      </w:r>
      <w:r>
        <w:rPr>
          <w:rFonts w:hint="eastAsia" w:ascii="宋体" w:hAnsi="宋体" w:eastAsia="宋体" w:cs="宋体"/>
          <w:kern w:val="0"/>
          <w:sz w:val="24"/>
          <w:szCs w:val="24"/>
          <w:lang w:val="en-US" w:eastAsia="zh-CN" w:bidi="ar-SA"/>
        </w:rPr>
        <w:t xml:space="preserve">时间： 2022 年 06月17日 16时 00 分 00 秒 </w:t>
      </w:r>
      <w:r>
        <w:rPr>
          <w:rFonts w:hint="eastAsia" w:ascii="宋体" w:hAnsi="宋体" w:eastAsia="宋体" w:cs="宋体"/>
          <w:sz w:val="24"/>
          <w:szCs w:val="24"/>
        </w:rPr>
        <w:t>（北京时间）</w:t>
      </w:r>
    </w:p>
    <w:p>
      <w:pPr>
        <w:keepNext w:val="0"/>
        <w:keepLines w:val="0"/>
        <w:pageBreakBefore w:val="0"/>
        <w:kinsoku/>
        <w:wordWrap/>
        <w:overflowPunct/>
        <w:topLinePunct w:val="0"/>
        <w:bidi w:val="0"/>
        <w:adjustRightInd/>
        <w:snapToGrid/>
        <w:spacing w:before="52" w:line="500" w:lineRule="exact"/>
        <w:ind w:left="97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地点：安康市公共资源交易中心</w:t>
      </w:r>
      <w:r>
        <w:rPr>
          <w:rFonts w:hint="eastAsia" w:ascii="宋体" w:hAnsi="宋体" w:eastAsia="宋体" w:cs="宋体"/>
          <w:sz w:val="24"/>
          <w:szCs w:val="24"/>
          <w:lang w:val="en-US" w:eastAsia="zh-CN"/>
        </w:rPr>
        <w:t>301</w:t>
      </w:r>
      <w:r>
        <w:rPr>
          <w:rFonts w:hint="eastAsia" w:ascii="宋体" w:hAnsi="宋体" w:eastAsia="宋体" w:cs="宋体"/>
          <w:sz w:val="24"/>
          <w:szCs w:val="24"/>
        </w:rPr>
        <w:t>开标室</w:t>
      </w:r>
    </w:p>
    <w:p>
      <w:pPr>
        <w:keepNext w:val="0"/>
        <w:keepLines w:val="0"/>
        <w:pageBreakBefore w:val="0"/>
        <w:kinsoku/>
        <w:wordWrap/>
        <w:overflowPunct/>
        <w:topLinePunct w:val="0"/>
        <w:bidi w:val="0"/>
        <w:adjustRightInd/>
        <w:snapToGrid/>
        <w:spacing w:before="203" w:line="500" w:lineRule="exact"/>
        <w:ind w:left="491" w:right="0" w:firstLine="0"/>
        <w:jc w:val="left"/>
        <w:textAlignment w:val="auto"/>
        <w:outlineLvl w:val="1"/>
        <w:rPr>
          <w:rFonts w:hint="eastAsia" w:ascii="宋体" w:hAnsi="宋体" w:eastAsia="宋体" w:cs="宋体"/>
          <w:b/>
          <w:sz w:val="24"/>
          <w:szCs w:val="24"/>
        </w:rPr>
      </w:pPr>
      <w:bookmarkStart w:id="8" w:name="五、开启"/>
      <w:bookmarkEnd w:id="8"/>
      <w:bookmarkStart w:id="9" w:name="_Toc11072"/>
      <w:r>
        <w:rPr>
          <w:rFonts w:hint="eastAsia" w:ascii="宋体" w:hAnsi="宋体" w:eastAsia="宋体" w:cs="宋体"/>
          <w:b/>
          <w:sz w:val="24"/>
          <w:szCs w:val="24"/>
        </w:rPr>
        <w:t>五、开启</w:t>
      </w:r>
      <w:bookmarkEnd w:id="9"/>
    </w:p>
    <w:p>
      <w:pPr>
        <w:keepNext w:val="0"/>
        <w:keepLines w:val="0"/>
        <w:pageBreakBefore w:val="0"/>
        <w:kinsoku/>
        <w:wordWrap/>
        <w:overflowPunct/>
        <w:topLinePunct w:val="0"/>
        <w:bidi w:val="0"/>
        <w:adjustRightInd/>
        <w:snapToGrid/>
        <w:spacing w:before="55" w:line="500" w:lineRule="exact"/>
        <w:ind w:left="97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时间： 2022 年 0</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17</w:t>
      </w:r>
      <w:r>
        <w:rPr>
          <w:rFonts w:hint="eastAsia" w:ascii="宋体" w:hAnsi="宋体" w:eastAsia="宋体" w:cs="宋体"/>
          <w:sz w:val="24"/>
          <w:szCs w:val="24"/>
        </w:rPr>
        <w:t xml:space="preserve"> 日 </w:t>
      </w:r>
      <w:r>
        <w:rPr>
          <w:rFonts w:hint="eastAsia" w:ascii="宋体" w:hAnsi="宋体" w:eastAsia="宋体" w:cs="宋体"/>
          <w:sz w:val="24"/>
          <w:szCs w:val="24"/>
          <w:lang w:val="en-US" w:eastAsia="zh-CN"/>
        </w:rPr>
        <w:t>16</w:t>
      </w:r>
      <w:r>
        <w:rPr>
          <w:rFonts w:hint="eastAsia" w:ascii="宋体" w:hAnsi="宋体" w:eastAsia="宋体" w:cs="宋体"/>
          <w:sz w:val="24"/>
          <w:szCs w:val="24"/>
        </w:rPr>
        <w:t>时 00 分 00 秒 （北京时间）</w:t>
      </w:r>
    </w:p>
    <w:p>
      <w:pPr>
        <w:keepNext w:val="0"/>
        <w:keepLines w:val="0"/>
        <w:pageBreakBefore w:val="0"/>
        <w:kinsoku/>
        <w:wordWrap/>
        <w:overflowPunct/>
        <w:topLinePunct w:val="0"/>
        <w:bidi w:val="0"/>
        <w:adjustRightInd/>
        <w:snapToGrid/>
        <w:spacing w:before="52" w:line="500" w:lineRule="exact"/>
        <w:ind w:left="97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地点：安康市公共资源交易中心 </w:t>
      </w:r>
      <w:r>
        <w:rPr>
          <w:rFonts w:hint="eastAsia" w:ascii="宋体" w:hAnsi="宋体" w:cs="宋体"/>
          <w:sz w:val="24"/>
          <w:szCs w:val="24"/>
          <w:lang w:val="en-US" w:eastAsia="zh-CN"/>
        </w:rPr>
        <w:t>301</w:t>
      </w:r>
      <w:r>
        <w:rPr>
          <w:rFonts w:hint="eastAsia" w:ascii="宋体" w:hAnsi="宋体" w:eastAsia="宋体" w:cs="宋体"/>
          <w:sz w:val="24"/>
          <w:szCs w:val="24"/>
        </w:rPr>
        <w:t>开标室</w:t>
      </w:r>
    </w:p>
    <w:p>
      <w:pPr>
        <w:keepNext w:val="0"/>
        <w:keepLines w:val="0"/>
        <w:pageBreakBefore w:val="0"/>
        <w:kinsoku/>
        <w:wordWrap/>
        <w:overflowPunct/>
        <w:topLinePunct w:val="0"/>
        <w:bidi w:val="0"/>
        <w:adjustRightInd/>
        <w:snapToGrid/>
        <w:spacing w:before="203" w:line="500" w:lineRule="exact"/>
        <w:ind w:left="491" w:right="0" w:firstLine="0"/>
        <w:jc w:val="left"/>
        <w:textAlignment w:val="auto"/>
        <w:outlineLvl w:val="1"/>
        <w:rPr>
          <w:rFonts w:hint="eastAsia" w:ascii="宋体" w:hAnsi="宋体" w:eastAsia="宋体" w:cs="宋体"/>
          <w:b/>
          <w:sz w:val="24"/>
          <w:szCs w:val="24"/>
        </w:rPr>
      </w:pPr>
      <w:bookmarkStart w:id="10" w:name="六、公告期限"/>
      <w:bookmarkEnd w:id="10"/>
      <w:bookmarkStart w:id="11" w:name="_Toc24920"/>
      <w:r>
        <w:rPr>
          <w:rFonts w:hint="eastAsia" w:ascii="宋体" w:hAnsi="宋体" w:eastAsia="宋体" w:cs="宋体"/>
          <w:b/>
          <w:sz w:val="24"/>
          <w:szCs w:val="24"/>
        </w:rPr>
        <w:t>六、公告期限</w:t>
      </w:r>
      <w:bookmarkEnd w:id="11"/>
    </w:p>
    <w:p>
      <w:pPr>
        <w:keepNext w:val="0"/>
        <w:keepLines w:val="0"/>
        <w:pageBreakBefore w:val="0"/>
        <w:kinsoku/>
        <w:wordWrap/>
        <w:overflowPunct/>
        <w:topLinePunct w:val="0"/>
        <w:bidi w:val="0"/>
        <w:adjustRightInd/>
        <w:snapToGrid/>
        <w:spacing w:before="52" w:line="500" w:lineRule="exact"/>
        <w:ind w:left="97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自本公告发布之日起 </w:t>
      </w:r>
      <w:r>
        <w:rPr>
          <w:rFonts w:hint="eastAsia" w:ascii="宋体" w:hAnsi="宋体" w:cs="宋体"/>
          <w:sz w:val="24"/>
          <w:szCs w:val="24"/>
          <w:lang w:val="en-US" w:eastAsia="zh-CN"/>
        </w:rPr>
        <w:t>3</w:t>
      </w:r>
      <w:r>
        <w:rPr>
          <w:rFonts w:hint="eastAsia" w:ascii="宋体" w:hAnsi="宋体" w:eastAsia="宋体" w:cs="宋体"/>
          <w:sz w:val="24"/>
          <w:szCs w:val="24"/>
        </w:rPr>
        <w:t>个工作日。</w:t>
      </w:r>
    </w:p>
    <w:p>
      <w:pPr>
        <w:keepNext w:val="0"/>
        <w:keepLines w:val="0"/>
        <w:pageBreakBefore w:val="0"/>
        <w:kinsoku/>
        <w:wordWrap/>
        <w:overflowPunct/>
        <w:topLinePunct w:val="0"/>
        <w:bidi w:val="0"/>
        <w:adjustRightInd/>
        <w:snapToGrid/>
        <w:spacing w:before="204" w:line="500" w:lineRule="exact"/>
        <w:ind w:left="491" w:right="0" w:firstLine="0"/>
        <w:jc w:val="left"/>
        <w:textAlignment w:val="auto"/>
        <w:outlineLvl w:val="1"/>
        <w:rPr>
          <w:rFonts w:hint="eastAsia" w:ascii="宋体" w:hAnsi="宋体" w:eastAsia="宋体" w:cs="宋体"/>
          <w:b/>
          <w:sz w:val="24"/>
          <w:szCs w:val="24"/>
        </w:rPr>
      </w:pPr>
      <w:bookmarkStart w:id="12" w:name="七、其他补充事宜"/>
      <w:bookmarkEnd w:id="12"/>
      <w:bookmarkStart w:id="13" w:name="_Toc32681"/>
      <w:r>
        <w:rPr>
          <w:rFonts w:hint="eastAsia" w:ascii="宋体" w:hAnsi="宋体" w:eastAsia="宋体" w:cs="宋体"/>
          <w:b/>
          <w:sz w:val="24"/>
          <w:szCs w:val="24"/>
        </w:rPr>
        <w:t>七、其他补充事宜</w:t>
      </w:r>
      <w:bookmarkEnd w:id="13"/>
    </w:p>
    <w:p>
      <w:pPr>
        <w:keepNext w:val="0"/>
        <w:keepLines w:val="0"/>
        <w:pageBreakBefore w:val="0"/>
        <w:widowControl w:val="0"/>
        <w:kinsoku/>
        <w:wordWrap/>
        <w:overflowPunct/>
        <w:topLinePunct w:val="0"/>
        <w:autoSpaceDE w:val="0"/>
        <w:autoSpaceDN w:val="0"/>
        <w:bidi w:val="0"/>
        <w:adjustRightInd/>
        <w:snapToGrid/>
        <w:spacing w:before="161" w:line="500" w:lineRule="exact"/>
        <w:ind w:left="0" w:leftChars="0" w:right="0" w:firstLine="480" w:firstLineChars="200"/>
        <w:jc w:val="left"/>
        <w:textAlignment w:val="auto"/>
        <w:rPr>
          <w:rFonts w:hint="eastAsia" w:ascii="宋体" w:hAnsi="宋体" w:eastAsia="宋体" w:cs="宋体"/>
          <w:sz w:val="24"/>
        </w:rPr>
      </w:pPr>
      <w:bookmarkStart w:id="14" w:name="八、凡对本次采购提出询问，请按以下方式联系。"/>
      <w:bookmarkEnd w:id="14"/>
      <w:r>
        <w:rPr>
          <w:rFonts w:hint="eastAsia" w:ascii="宋体" w:hAnsi="宋体" w:eastAsia="宋体" w:cs="宋体"/>
          <w:sz w:val="24"/>
        </w:rPr>
        <w:t>①在报名规定时间内使用捆绑省交易平台的 CA 锁登录安康市公共资源交易中心</w:t>
      </w:r>
    </w:p>
    <w:p>
      <w:pPr>
        <w:keepNext w:val="0"/>
        <w:keepLines w:val="0"/>
        <w:pageBreakBefore w:val="0"/>
        <w:widowControl w:val="0"/>
        <w:kinsoku/>
        <w:wordWrap/>
        <w:overflowPunct/>
        <w:topLinePunct w:val="0"/>
        <w:autoSpaceDE w:val="0"/>
        <w:autoSpaceDN w:val="0"/>
        <w:bidi w:val="0"/>
        <w:adjustRightInd/>
        <w:snapToGrid/>
        <w:spacing w:before="160" w:line="500" w:lineRule="exact"/>
        <w:ind w:right="549"/>
        <w:jc w:val="left"/>
        <w:textAlignment w:val="auto"/>
        <w:rPr>
          <w:rFonts w:hint="eastAsia" w:ascii="宋体" w:hAnsi="宋体" w:eastAsia="宋体" w:cs="宋体"/>
          <w:sz w:val="24"/>
        </w:rPr>
      </w:pPr>
      <w:r>
        <w:rPr>
          <w:rFonts w:hint="eastAsia" w:ascii="宋体" w:hAnsi="宋体" w:eastAsia="宋体" w:cs="宋体"/>
          <w:sz w:val="24"/>
        </w:rPr>
        <w:t>（http：//ak.sxggzyjy.cn/），选择电子交易平台，通过政府采购系统企业端进入， 点击我要投标，完善相关投标信息。</w:t>
      </w:r>
    </w:p>
    <w:p>
      <w:pPr>
        <w:keepNext w:val="0"/>
        <w:keepLines w:val="0"/>
        <w:pageBreakBefore w:val="0"/>
        <w:widowControl w:val="0"/>
        <w:kinsoku/>
        <w:wordWrap/>
        <w:overflowPunct/>
        <w:topLinePunct w:val="0"/>
        <w:autoSpaceDE w:val="0"/>
        <w:autoSpaceDN w:val="0"/>
        <w:bidi w:val="0"/>
        <w:adjustRightInd/>
        <w:snapToGrid/>
        <w:spacing w:before="2" w:line="500" w:lineRule="exact"/>
        <w:ind w:left="0" w:leftChars="0" w:right="357" w:firstLine="440" w:firstLineChars="200"/>
        <w:jc w:val="left"/>
        <w:textAlignment w:val="auto"/>
        <w:rPr>
          <w:rFonts w:hint="eastAsia" w:ascii="宋体" w:hAnsi="宋体" w:eastAsia="宋体" w:cs="宋体"/>
          <w:sz w:val="24"/>
        </w:rPr>
      </w:pPr>
      <w:r>
        <w:rPr>
          <w:rFonts w:hint="eastAsia" w:ascii="宋体" w:hAnsi="宋体" w:eastAsia="宋体" w:cs="宋体"/>
          <w:spacing w:val="-10"/>
          <w:sz w:val="24"/>
        </w:rPr>
        <w:t>②采购代理公司确认：</w:t>
      </w:r>
      <w:r>
        <w:rPr>
          <w:rFonts w:hint="eastAsia" w:ascii="宋体" w:hAnsi="宋体" w:eastAsia="宋体" w:cs="宋体"/>
          <w:sz w:val="24"/>
          <w:lang w:val="en-US" w:eastAsia="zh-CN"/>
        </w:rPr>
        <w:t>投标供应商网上报名成功后携带报名成功回执单以及营业执照加盖公章的复印件、法人授权委托书、本人身份证</w:t>
      </w:r>
      <w:r>
        <w:rPr>
          <w:rFonts w:hint="eastAsia" w:ascii="宋体" w:hAnsi="宋体" w:cs="宋体"/>
          <w:sz w:val="24"/>
          <w:lang w:val="en-US" w:eastAsia="zh-CN"/>
        </w:rPr>
        <w:t>原件</w:t>
      </w:r>
      <w:r>
        <w:rPr>
          <w:rFonts w:hint="eastAsia" w:ascii="宋体" w:hAnsi="宋体" w:eastAsia="宋体" w:cs="宋体"/>
          <w:sz w:val="24"/>
          <w:lang w:val="en-US" w:eastAsia="zh-CN"/>
        </w:rPr>
        <w:t>在(石泉县育才北路4号金江花园后门）进行缴费确认，确认完毕后方可下载文件，文件获取截止时间为开标截止时间前</w:t>
      </w:r>
      <w:r>
        <w:rPr>
          <w:rFonts w:hint="eastAsia" w:ascii="宋体" w:hAnsi="宋体" w:eastAsia="宋体" w:cs="宋体"/>
          <w:sz w:val="24"/>
        </w:rPr>
        <w:t>。</w:t>
      </w:r>
    </w:p>
    <w:p>
      <w:pPr>
        <w:keepNext w:val="0"/>
        <w:keepLines w:val="0"/>
        <w:pageBreakBefore w:val="0"/>
        <w:widowControl w:val="0"/>
        <w:kinsoku/>
        <w:wordWrap/>
        <w:overflowPunct/>
        <w:topLinePunct w:val="0"/>
        <w:autoSpaceDE w:val="0"/>
        <w:autoSpaceDN w:val="0"/>
        <w:bidi w:val="0"/>
        <w:adjustRightInd/>
        <w:snapToGrid/>
        <w:spacing w:before="1" w:line="500" w:lineRule="exact"/>
        <w:ind w:left="0" w:leftChars="0" w:right="0" w:firstLine="480" w:firstLineChars="200"/>
        <w:jc w:val="left"/>
        <w:textAlignment w:val="auto"/>
        <w:rPr>
          <w:rFonts w:hint="eastAsia" w:ascii="宋体" w:hAnsi="宋体" w:eastAsia="宋体" w:cs="宋体"/>
          <w:sz w:val="24"/>
        </w:rPr>
      </w:pPr>
      <w:r>
        <w:rPr>
          <w:rFonts w:hint="eastAsia" w:ascii="宋体" w:hAnsi="宋体" w:eastAsia="宋体" w:cs="宋体"/>
          <w:sz w:val="24"/>
        </w:rPr>
        <w:t>③未完成网上投标成功的或未向采购代理公司缴费并确认的，视为报名失败。</w:t>
      </w:r>
    </w:p>
    <w:p>
      <w:pPr>
        <w:keepNext w:val="0"/>
        <w:keepLines w:val="0"/>
        <w:pageBreakBefore w:val="0"/>
        <w:widowControl w:val="0"/>
        <w:kinsoku/>
        <w:wordWrap/>
        <w:overflowPunct/>
        <w:topLinePunct w:val="0"/>
        <w:autoSpaceDE w:val="0"/>
        <w:autoSpaceDN w:val="0"/>
        <w:bidi w:val="0"/>
        <w:adjustRightInd/>
        <w:snapToGrid/>
        <w:spacing w:before="161" w:line="500" w:lineRule="exact"/>
        <w:ind w:left="0" w:leftChars="0" w:right="477" w:firstLine="472" w:firstLineChars="200"/>
        <w:jc w:val="both"/>
        <w:textAlignment w:val="auto"/>
        <w:rPr>
          <w:rFonts w:hint="eastAsia" w:ascii="宋体" w:hAnsi="宋体" w:eastAsia="宋体" w:cs="宋体"/>
          <w:sz w:val="24"/>
        </w:rPr>
      </w:pPr>
      <w:r>
        <w:rPr>
          <w:rFonts w:hint="eastAsia" w:ascii="宋体" w:hAnsi="宋体" w:eastAsia="宋体" w:cs="宋体"/>
          <w:spacing w:val="-2"/>
          <w:sz w:val="24"/>
        </w:rPr>
        <w:t>④本项目采用电子化投标及远程不见面开标方式。投标人须使用数字认证证书对</w:t>
      </w:r>
      <w:r>
        <w:rPr>
          <w:rFonts w:hint="eastAsia" w:ascii="宋体" w:hAnsi="宋体" w:eastAsia="宋体" w:cs="宋体"/>
          <w:spacing w:val="-6"/>
          <w:sz w:val="24"/>
        </w:rPr>
        <w:t>电子</w:t>
      </w:r>
      <w:r>
        <w:rPr>
          <w:rFonts w:hint="eastAsia" w:ascii="宋体" w:hAnsi="宋体" w:eastAsia="宋体" w:cs="宋体"/>
          <w:spacing w:val="-6"/>
          <w:sz w:val="24"/>
          <w:lang w:eastAsia="zh-CN"/>
        </w:rPr>
        <w:t>谈判文件</w:t>
      </w:r>
      <w:r>
        <w:rPr>
          <w:rFonts w:hint="eastAsia" w:ascii="宋体" w:hAnsi="宋体" w:eastAsia="宋体" w:cs="宋体"/>
          <w:spacing w:val="-6"/>
          <w:sz w:val="24"/>
        </w:rPr>
        <w:t>进行签章、加密、递交及开标时解密等相关招投标事宜。开标前，供应商需登录网络开标大厅。开标时，按照工作人员要求进行远程解密，如因供应商自身原因</w:t>
      </w:r>
      <w:r>
        <w:rPr>
          <w:rFonts w:hint="eastAsia" w:ascii="宋体" w:hAnsi="宋体" w:eastAsia="宋体" w:cs="宋体"/>
          <w:sz w:val="24"/>
        </w:rPr>
        <w:t>造成无法签到或解密</w:t>
      </w:r>
      <w:r>
        <w:rPr>
          <w:rFonts w:hint="eastAsia" w:ascii="宋体" w:hAnsi="宋体" w:eastAsia="宋体" w:cs="宋体"/>
          <w:sz w:val="24"/>
          <w:lang w:eastAsia="zh-CN"/>
        </w:rPr>
        <w:t>谈判文件</w:t>
      </w:r>
      <w:r>
        <w:rPr>
          <w:rFonts w:hint="eastAsia" w:ascii="宋体" w:hAnsi="宋体" w:eastAsia="宋体" w:cs="宋体"/>
          <w:sz w:val="24"/>
        </w:rPr>
        <w:t>，按无效投标对待。</w:t>
      </w:r>
    </w:p>
    <w:p>
      <w:pPr>
        <w:keepNext w:val="0"/>
        <w:keepLines w:val="0"/>
        <w:pageBreakBefore w:val="0"/>
        <w:widowControl w:val="0"/>
        <w:kinsoku/>
        <w:wordWrap/>
        <w:overflowPunct/>
        <w:topLinePunct w:val="0"/>
        <w:autoSpaceDE w:val="0"/>
        <w:autoSpaceDN w:val="0"/>
        <w:bidi w:val="0"/>
        <w:adjustRightInd/>
        <w:snapToGrid/>
        <w:spacing w:before="2" w:line="500" w:lineRule="exact"/>
        <w:ind w:left="0" w:leftChars="0" w:right="477" w:firstLine="460" w:firstLineChars="200"/>
        <w:jc w:val="both"/>
        <w:textAlignment w:val="auto"/>
        <w:rPr>
          <w:rFonts w:hint="eastAsia" w:ascii="宋体" w:hAnsi="宋体" w:eastAsia="宋体" w:cs="宋体"/>
          <w:b/>
          <w:sz w:val="24"/>
          <w:szCs w:val="24"/>
        </w:rPr>
      </w:pPr>
      <w:r>
        <w:rPr>
          <w:rFonts w:hint="eastAsia" w:ascii="宋体" w:hAnsi="宋体" w:eastAsia="宋体" w:cs="宋体"/>
          <w:spacing w:val="-5"/>
          <w:sz w:val="24"/>
        </w:rPr>
        <w:t>备注：请各投标人购买谈判文件后，按照陕西省财政厅《关于政府采购供应商注</w:t>
      </w:r>
      <w:r>
        <w:rPr>
          <w:rFonts w:hint="eastAsia" w:ascii="宋体" w:hAnsi="宋体" w:eastAsia="宋体" w:cs="宋体"/>
          <w:spacing w:val="-6"/>
          <w:sz w:val="24"/>
        </w:rPr>
        <w:t>册登记有关事项的通知》要求，通过陕西省政府采购网注册登记加入陕西省政府采购供</w:t>
      </w:r>
      <w:r>
        <w:rPr>
          <w:rFonts w:hint="eastAsia" w:ascii="宋体" w:hAnsi="宋体" w:eastAsia="宋体" w:cs="宋体"/>
          <w:sz w:val="24"/>
        </w:rPr>
        <w:t>应商库。</w:t>
      </w:r>
    </w:p>
    <w:p>
      <w:pPr>
        <w:keepNext w:val="0"/>
        <w:keepLines w:val="0"/>
        <w:pageBreakBefore w:val="0"/>
        <w:kinsoku/>
        <w:wordWrap/>
        <w:overflowPunct/>
        <w:topLinePunct w:val="0"/>
        <w:bidi w:val="0"/>
        <w:adjustRightInd/>
        <w:snapToGrid/>
        <w:spacing w:before="140" w:line="500" w:lineRule="exact"/>
        <w:ind w:left="0" w:leftChars="0" w:right="0" w:firstLine="482" w:firstLineChars="200"/>
        <w:jc w:val="left"/>
        <w:textAlignment w:val="auto"/>
        <w:outlineLvl w:val="1"/>
        <w:rPr>
          <w:rFonts w:hint="eastAsia" w:ascii="宋体" w:hAnsi="宋体" w:eastAsia="宋体" w:cs="宋体"/>
          <w:sz w:val="24"/>
          <w:szCs w:val="24"/>
        </w:rPr>
      </w:pPr>
      <w:bookmarkStart w:id="15" w:name="_Toc21848"/>
      <w:r>
        <w:rPr>
          <w:rFonts w:hint="eastAsia" w:ascii="宋体" w:hAnsi="宋体" w:eastAsia="宋体" w:cs="宋体"/>
          <w:b/>
          <w:sz w:val="24"/>
          <w:szCs w:val="24"/>
        </w:rPr>
        <w:t>八、凡对本次采购提出询问，请按以下方式联系。</w:t>
      </w:r>
      <w:bookmarkEnd w:id="15"/>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00" w:lineRule="exact"/>
        <w:ind w:left="0" w:right="0" w:firstLine="420"/>
        <w:textAlignment w:val="auto"/>
        <w:rPr>
          <w:rFonts w:hint="eastAsia" w:ascii="宋体" w:hAnsi="宋体" w:eastAsia="宋体" w:cs="宋体"/>
          <w:spacing w:val="-6"/>
          <w:kern w:val="0"/>
          <w:sz w:val="24"/>
          <w:szCs w:val="22"/>
          <w:lang w:val="zh-CN" w:eastAsia="zh-CN" w:bidi="zh-CN"/>
        </w:rPr>
      </w:pPr>
      <w:r>
        <w:rPr>
          <w:rFonts w:hint="eastAsia" w:ascii="宋体" w:hAnsi="宋体" w:eastAsia="宋体" w:cs="宋体"/>
          <w:spacing w:val="-6"/>
          <w:kern w:val="0"/>
          <w:sz w:val="24"/>
          <w:szCs w:val="22"/>
          <w:lang w:val="zh-CN" w:eastAsia="zh-CN" w:bidi="zh-CN"/>
        </w:rPr>
        <w:t>1、采购人信息：</w:t>
      </w:r>
      <w:r>
        <w:rPr>
          <w:rFonts w:hint="eastAsia" w:eastAsia="宋体" w:cs="宋体"/>
          <w:spacing w:val="-6"/>
          <w:kern w:val="0"/>
          <w:sz w:val="24"/>
          <w:szCs w:val="22"/>
          <w:lang w:val="zh-CN" w:eastAsia="zh-CN" w:bidi="zh-CN"/>
        </w:rPr>
        <w:t>石泉县熨斗镇人民政府</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00" w:lineRule="exact"/>
        <w:ind w:left="0" w:right="0" w:firstLine="420"/>
        <w:textAlignment w:val="auto"/>
        <w:rPr>
          <w:rFonts w:hint="eastAsia" w:ascii="宋体" w:hAnsi="宋体" w:eastAsia="宋体" w:cs="宋体"/>
          <w:spacing w:val="-6"/>
          <w:kern w:val="0"/>
          <w:sz w:val="24"/>
          <w:szCs w:val="22"/>
          <w:lang w:val="zh-CN" w:eastAsia="zh-CN" w:bidi="zh-CN"/>
        </w:rPr>
      </w:pPr>
      <w:r>
        <w:rPr>
          <w:rFonts w:hint="eastAsia" w:ascii="宋体" w:hAnsi="宋体" w:eastAsia="宋体" w:cs="宋体"/>
          <w:spacing w:val="-6"/>
          <w:kern w:val="0"/>
          <w:sz w:val="24"/>
          <w:szCs w:val="22"/>
          <w:lang w:val="zh-CN" w:eastAsia="zh-CN" w:bidi="zh-CN"/>
        </w:rPr>
        <w:t>联系人：陈</w:t>
      </w:r>
      <w:r>
        <w:rPr>
          <w:rFonts w:hint="eastAsia" w:eastAsia="宋体" w:cs="宋体"/>
          <w:spacing w:val="-6"/>
          <w:kern w:val="0"/>
          <w:sz w:val="24"/>
          <w:szCs w:val="22"/>
          <w:lang w:val="zh-CN" w:eastAsia="zh-CN" w:bidi="zh-CN"/>
        </w:rPr>
        <w:t>先生</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00" w:lineRule="exact"/>
        <w:ind w:left="0" w:right="0" w:firstLine="420"/>
        <w:textAlignment w:val="auto"/>
        <w:rPr>
          <w:rFonts w:hint="eastAsia" w:ascii="宋体" w:hAnsi="宋体" w:eastAsia="宋体" w:cs="宋体"/>
          <w:spacing w:val="-6"/>
          <w:kern w:val="0"/>
          <w:sz w:val="24"/>
          <w:szCs w:val="22"/>
          <w:lang w:val="zh-CN" w:eastAsia="zh-CN" w:bidi="zh-CN"/>
        </w:rPr>
      </w:pPr>
      <w:r>
        <w:rPr>
          <w:rFonts w:hint="eastAsia" w:ascii="宋体" w:hAnsi="宋体" w:eastAsia="宋体" w:cs="宋体"/>
          <w:spacing w:val="-6"/>
          <w:kern w:val="0"/>
          <w:sz w:val="24"/>
          <w:szCs w:val="22"/>
          <w:lang w:val="zh-CN" w:eastAsia="zh-CN" w:bidi="zh-CN"/>
        </w:rPr>
        <w:t>联系地址：石泉县</w:t>
      </w:r>
      <w:r>
        <w:rPr>
          <w:rFonts w:hint="eastAsia" w:eastAsia="宋体" w:cs="宋体"/>
          <w:spacing w:val="-6"/>
          <w:kern w:val="0"/>
          <w:sz w:val="24"/>
          <w:szCs w:val="22"/>
          <w:lang w:val="zh-CN" w:eastAsia="zh-CN" w:bidi="zh-CN"/>
        </w:rPr>
        <w:t>熨斗镇</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00" w:lineRule="exact"/>
        <w:ind w:left="0" w:right="0" w:firstLine="420"/>
        <w:textAlignment w:val="auto"/>
        <w:rPr>
          <w:rFonts w:hint="default" w:ascii="宋体" w:hAnsi="宋体" w:eastAsia="宋体" w:cs="宋体"/>
          <w:spacing w:val="-6"/>
          <w:kern w:val="0"/>
          <w:sz w:val="24"/>
          <w:szCs w:val="22"/>
          <w:lang w:val="en-US" w:eastAsia="zh-CN" w:bidi="zh-CN"/>
        </w:rPr>
      </w:pPr>
      <w:r>
        <w:rPr>
          <w:rFonts w:hint="eastAsia" w:ascii="宋体" w:hAnsi="宋体" w:eastAsia="宋体" w:cs="宋体"/>
          <w:spacing w:val="-6"/>
          <w:kern w:val="0"/>
          <w:sz w:val="24"/>
          <w:szCs w:val="22"/>
          <w:lang w:val="zh-CN" w:eastAsia="zh-CN" w:bidi="zh-CN"/>
        </w:rPr>
        <w:t>联系电话：</w:t>
      </w:r>
      <w:r>
        <w:rPr>
          <w:rFonts w:hint="eastAsia" w:eastAsia="宋体" w:cs="宋体"/>
          <w:spacing w:val="-6"/>
          <w:kern w:val="0"/>
          <w:sz w:val="24"/>
          <w:szCs w:val="22"/>
          <w:lang w:val="en-US" w:eastAsia="zh-CN" w:bidi="zh-CN"/>
        </w:rPr>
        <w:t>18909152960</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00" w:lineRule="exact"/>
        <w:ind w:left="0" w:right="0" w:firstLine="420"/>
        <w:textAlignment w:val="auto"/>
        <w:rPr>
          <w:rFonts w:hint="eastAsia" w:ascii="宋体" w:hAnsi="宋体" w:eastAsia="宋体" w:cs="宋体"/>
          <w:spacing w:val="-6"/>
          <w:kern w:val="0"/>
          <w:sz w:val="24"/>
          <w:szCs w:val="22"/>
          <w:lang w:val="zh-CN" w:eastAsia="zh-CN" w:bidi="zh-CN"/>
        </w:rPr>
      </w:pPr>
      <w:r>
        <w:rPr>
          <w:rFonts w:hint="eastAsia" w:ascii="宋体" w:hAnsi="宋体" w:eastAsia="宋体" w:cs="宋体"/>
          <w:spacing w:val="-6"/>
          <w:kern w:val="0"/>
          <w:sz w:val="24"/>
          <w:szCs w:val="22"/>
          <w:lang w:val="zh-CN" w:eastAsia="zh-CN" w:bidi="zh-CN"/>
        </w:rPr>
        <w:t>2、采购代理机构信息</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00" w:lineRule="exact"/>
        <w:ind w:left="0" w:right="0" w:firstLine="420"/>
        <w:textAlignment w:val="auto"/>
        <w:rPr>
          <w:rFonts w:hint="eastAsia" w:ascii="宋体" w:hAnsi="宋体" w:eastAsia="宋体" w:cs="宋体"/>
          <w:spacing w:val="-6"/>
          <w:kern w:val="0"/>
          <w:sz w:val="24"/>
          <w:szCs w:val="22"/>
          <w:lang w:val="zh-CN" w:eastAsia="zh-CN" w:bidi="zh-CN"/>
        </w:rPr>
      </w:pPr>
      <w:r>
        <w:rPr>
          <w:rFonts w:hint="eastAsia" w:ascii="宋体" w:hAnsi="宋体" w:eastAsia="宋体" w:cs="宋体"/>
          <w:spacing w:val="-6"/>
          <w:kern w:val="0"/>
          <w:sz w:val="24"/>
          <w:szCs w:val="22"/>
          <w:lang w:val="zh-CN" w:eastAsia="zh-CN" w:bidi="zh-CN"/>
        </w:rPr>
        <w:t>名称：亿诚建设项目管理有限公司</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00" w:lineRule="exact"/>
        <w:ind w:left="0" w:right="0" w:firstLine="420"/>
        <w:textAlignment w:val="auto"/>
        <w:rPr>
          <w:rFonts w:hint="default" w:ascii="宋体" w:hAnsi="宋体" w:eastAsia="宋体" w:cs="宋体"/>
          <w:spacing w:val="-6"/>
          <w:kern w:val="0"/>
          <w:sz w:val="24"/>
          <w:szCs w:val="22"/>
          <w:lang w:val="en-US" w:eastAsia="zh-CN" w:bidi="zh-CN"/>
        </w:rPr>
      </w:pPr>
      <w:r>
        <w:rPr>
          <w:rFonts w:hint="eastAsia" w:ascii="宋体" w:hAnsi="宋体" w:eastAsia="宋体" w:cs="宋体"/>
          <w:spacing w:val="-6"/>
          <w:kern w:val="0"/>
          <w:sz w:val="24"/>
          <w:szCs w:val="22"/>
          <w:lang w:val="zh-CN" w:eastAsia="zh-CN" w:bidi="zh-CN"/>
        </w:rPr>
        <w:t>联系地址：陕西省西安市雁塔区吉祥路</w:t>
      </w:r>
      <w:r>
        <w:rPr>
          <w:rFonts w:hint="eastAsia" w:ascii="宋体" w:hAnsi="宋体" w:eastAsia="宋体" w:cs="宋体"/>
          <w:spacing w:val="-6"/>
          <w:kern w:val="0"/>
          <w:sz w:val="24"/>
          <w:szCs w:val="22"/>
          <w:lang w:val="en-US" w:eastAsia="zh-CN" w:bidi="zh-CN"/>
        </w:rPr>
        <w:t>135号</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00" w:lineRule="exact"/>
        <w:ind w:left="0" w:right="0" w:firstLine="420"/>
        <w:textAlignment w:val="auto"/>
        <w:rPr>
          <w:rFonts w:hint="default" w:ascii="宋体" w:hAnsi="宋体" w:eastAsia="宋体" w:cs="宋体"/>
          <w:spacing w:val="-6"/>
          <w:kern w:val="0"/>
          <w:sz w:val="24"/>
          <w:szCs w:val="22"/>
          <w:lang w:val="en-US" w:eastAsia="zh-CN" w:bidi="zh-CN"/>
        </w:rPr>
      </w:pPr>
      <w:r>
        <w:rPr>
          <w:rFonts w:hint="eastAsia" w:ascii="宋体" w:hAnsi="宋体" w:eastAsia="宋体" w:cs="宋体"/>
          <w:spacing w:val="-6"/>
          <w:kern w:val="0"/>
          <w:sz w:val="24"/>
          <w:szCs w:val="22"/>
          <w:lang w:val="zh-CN" w:eastAsia="zh-CN" w:bidi="zh-CN"/>
        </w:rPr>
        <w:t>联系方式：</w:t>
      </w:r>
      <w:r>
        <w:rPr>
          <w:rFonts w:hint="eastAsia" w:ascii="宋体" w:hAnsi="宋体" w:eastAsia="宋体" w:cs="宋体"/>
          <w:spacing w:val="-6"/>
          <w:kern w:val="0"/>
          <w:sz w:val="24"/>
          <w:szCs w:val="22"/>
          <w:lang w:val="en-US" w:eastAsia="zh-CN" w:bidi="zh-CN"/>
        </w:rPr>
        <w:t>15229053396</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00" w:lineRule="exact"/>
        <w:ind w:left="0" w:right="0" w:firstLine="420"/>
        <w:textAlignment w:val="auto"/>
        <w:rPr>
          <w:rFonts w:hint="eastAsia" w:ascii="宋体" w:hAnsi="宋体" w:eastAsia="宋体" w:cs="宋体"/>
          <w:spacing w:val="-6"/>
          <w:kern w:val="0"/>
          <w:sz w:val="24"/>
          <w:szCs w:val="22"/>
          <w:lang w:val="zh-CN" w:eastAsia="zh-CN" w:bidi="zh-CN"/>
        </w:rPr>
      </w:pPr>
      <w:r>
        <w:rPr>
          <w:rFonts w:hint="eastAsia" w:ascii="宋体" w:hAnsi="宋体" w:eastAsia="宋体" w:cs="宋体"/>
          <w:spacing w:val="-6"/>
          <w:kern w:val="0"/>
          <w:sz w:val="24"/>
          <w:szCs w:val="22"/>
          <w:lang w:val="en-US" w:eastAsia="zh-CN" w:bidi="zh-CN"/>
        </w:rPr>
        <w:t>3、</w:t>
      </w:r>
      <w:r>
        <w:rPr>
          <w:rFonts w:hint="eastAsia" w:ascii="宋体" w:hAnsi="宋体" w:eastAsia="宋体" w:cs="宋体"/>
          <w:spacing w:val="-6"/>
          <w:kern w:val="0"/>
          <w:sz w:val="24"/>
          <w:szCs w:val="22"/>
          <w:lang w:val="zh-CN" w:eastAsia="zh-CN" w:bidi="zh-CN"/>
        </w:rPr>
        <w:t>项目联系方式</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00" w:lineRule="exact"/>
        <w:ind w:left="0" w:right="0" w:firstLine="420"/>
        <w:textAlignment w:val="auto"/>
        <w:rPr>
          <w:rFonts w:hint="eastAsia" w:ascii="宋体" w:hAnsi="宋体" w:eastAsia="宋体" w:cs="宋体"/>
          <w:spacing w:val="-6"/>
          <w:kern w:val="0"/>
          <w:sz w:val="24"/>
          <w:szCs w:val="22"/>
          <w:lang w:val="zh-CN" w:eastAsia="zh-CN" w:bidi="zh-CN"/>
        </w:rPr>
      </w:pPr>
      <w:r>
        <w:rPr>
          <w:rFonts w:hint="eastAsia" w:ascii="宋体" w:hAnsi="宋体" w:eastAsia="宋体" w:cs="宋体"/>
          <w:spacing w:val="-6"/>
          <w:kern w:val="0"/>
          <w:sz w:val="24"/>
          <w:szCs w:val="22"/>
          <w:lang w:val="zh-CN" w:eastAsia="zh-CN" w:bidi="zh-CN"/>
        </w:rPr>
        <w:t>项目联系人：刘恒云</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500" w:lineRule="exact"/>
        <w:ind w:left="0" w:right="0" w:firstLine="420"/>
        <w:textAlignment w:val="auto"/>
        <w:rPr>
          <w:rFonts w:hint="default" w:ascii="宋体" w:hAnsi="宋体" w:eastAsia="宋体" w:cs="宋体"/>
          <w:spacing w:val="-6"/>
          <w:kern w:val="0"/>
          <w:sz w:val="24"/>
          <w:szCs w:val="22"/>
          <w:lang w:val="en-US" w:eastAsia="zh-CN" w:bidi="zh-CN"/>
        </w:rPr>
      </w:pPr>
      <w:r>
        <w:rPr>
          <w:rFonts w:hint="eastAsia" w:ascii="宋体" w:hAnsi="宋体" w:eastAsia="宋体" w:cs="宋体"/>
          <w:spacing w:val="-6"/>
          <w:kern w:val="0"/>
          <w:sz w:val="24"/>
          <w:szCs w:val="22"/>
          <w:lang w:val="zh-CN" w:eastAsia="zh-CN" w:bidi="zh-CN"/>
        </w:rPr>
        <w:t>电 话：</w:t>
      </w:r>
      <w:r>
        <w:rPr>
          <w:rFonts w:hint="eastAsia" w:ascii="宋体" w:hAnsi="宋体" w:eastAsia="宋体" w:cs="宋体"/>
          <w:spacing w:val="-6"/>
          <w:kern w:val="0"/>
          <w:sz w:val="24"/>
          <w:szCs w:val="22"/>
          <w:lang w:val="en-US" w:eastAsia="zh-CN" w:bidi="zh-CN"/>
        </w:rPr>
        <w:t>15229053396</w:t>
      </w:r>
    </w:p>
    <w:p>
      <w:pPr>
        <w:keepNext w:val="0"/>
        <w:keepLines w:val="0"/>
        <w:pageBreakBefore w:val="0"/>
        <w:kinsoku/>
        <w:wordWrap/>
        <w:overflowPunct/>
        <w:topLinePunct w:val="0"/>
        <w:bidi w:val="0"/>
        <w:adjustRightInd/>
        <w:snapToGrid/>
        <w:spacing w:before="201" w:line="500" w:lineRule="exact"/>
        <w:ind w:left="0" w:right="1048" w:firstLine="0"/>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亿诚建设项目管理有限公司</w:t>
      </w:r>
    </w:p>
    <w:p>
      <w:pPr>
        <w:keepNext w:val="0"/>
        <w:keepLines w:val="0"/>
        <w:pageBreakBefore w:val="0"/>
        <w:kinsoku/>
        <w:wordWrap/>
        <w:overflowPunct/>
        <w:topLinePunct w:val="0"/>
        <w:bidi w:val="0"/>
        <w:adjustRightInd/>
        <w:snapToGrid/>
        <w:spacing w:before="201" w:line="500" w:lineRule="exact"/>
        <w:ind w:left="0" w:right="1048" w:firstLine="0"/>
        <w:jc w:val="center"/>
        <w:textAlignment w:val="auto"/>
        <w:outlineLvl w:val="1"/>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bookmarkStart w:id="16" w:name="_Toc11027"/>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2022 年 </w:t>
      </w:r>
      <w:r>
        <w:rPr>
          <w:rFonts w:hint="eastAsia" w:ascii="宋体" w:hAnsi="宋体" w:eastAsia="宋体" w:cs="宋体"/>
          <w:sz w:val="24"/>
          <w:szCs w:val="24"/>
          <w:lang w:val="en-US" w:eastAsia="zh-CN"/>
        </w:rPr>
        <w:t>06</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bookmarkEnd w:id="16"/>
    </w:p>
    <w:p/>
    <w:p>
      <w:pPr>
        <w:spacing w:before="83" w:line="364" w:lineRule="auto"/>
        <w:ind w:left="555" w:right="477" w:firstLine="240"/>
        <w:jc w:val="both"/>
        <w:rPr>
          <w:rFonts w:hint="eastAsia" w:ascii="宋体" w:hAnsi="宋体" w:eastAsia="宋体" w:cs="宋体"/>
          <w:sz w:val="24"/>
        </w:rPr>
      </w:pPr>
    </w:p>
    <w:p>
      <w:pPr>
        <w:spacing w:before="83" w:line="364" w:lineRule="auto"/>
        <w:ind w:left="555" w:right="477" w:firstLine="240"/>
        <w:jc w:val="both"/>
        <w:rPr>
          <w:rFonts w:hint="eastAsia" w:ascii="宋体" w:hAnsi="宋体" w:eastAsia="宋体" w:cs="宋体"/>
          <w:sz w:val="24"/>
        </w:rPr>
      </w:pPr>
      <w:bookmarkStart w:id="18" w:name="_GoBack"/>
      <w:bookmarkEnd w:id="18"/>
    </w:p>
    <w:p>
      <w:pPr>
        <w:spacing w:before="83" w:line="364" w:lineRule="auto"/>
        <w:ind w:left="555" w:right="477" w:firstLine="240"/>
        <w:jc w:val="both"/>
        <w:rPr>
          <w:rFonts w:hint="eastAsia" w:ascii="宋体" w:hAnsi="宋体" w:eastAsia="宋体" w:cs="宋体"/>
          <w:sz w:val="24"/>
        </w:rPr>
      </w:pPr>
    </w:p>
    <w:p>
      <w:pPr>
        <w:spacing w:before="83" w:line="364" w:lineRule="auto"/>
        <w:ind w:left="555" w:right="477" w:firstLine="240"/>
        <w:jc w:val="both"/>
        <w:rPr>
          <w:rFonts w:hint="eastAsia" w:ascii="宋体" w:hAnsi="宋体" w:eastAsia="宋体" w:cs="宋体"/>
          <w:sz w:val="24"/>
        </w:rPr>
      </w:pPr>
    </w:p>
    <w:p>
      <w:pPr>
        <w:spacing w:before="83" w:line="364" w:lineRule="auto"/>
        <w:ind w:left="555" w:right="477" w:firstLine="240"/>
        <w:jc w:val="both"/>
        <w:rPr>
          <w:rFonts w:hint="eastAsia" w:ascii="宋体" w:hAnsi="宋体" w:eastAsia="宋体" w:cs="宋体"/>
          <w:sz w:val="24"/>
        </w:rPr>
      </w:pPr>
    </w:p>
    <w:p>
      <w:pPr>
        <w:spacing w:before="83" w:line="364" w:lineRule="auto"/>
        <w:ind w:left="555" w:right="477" w:firstLine="240"/>
        <w:jc w:val="both"/>
        <w:rPr>
          <w:rFonts w:hint="eastAsia" w:ascii="宋体" w:hAnsi="宋体" w:eastAsia="宋体" w:cs="宋体"/>
          <w:sz w:val="24"/>
        </w:rPr>
      </w:pPr>
    </w:p>
    <w:p>
      <w:pPr>
        <w:spacing w:before="83" w:line="364" w:lineRule="auto"/>
        <w:ind w:left="555" w:right="477" w:firstLine="240"/>
        <w:jc w:val="both"/>
        <w:rPr>
          <w:rFonts w:hint="eastAsia" w:ascii="宋体" w:hAnsi="宋体" w:eastAsia="宋体" w:cs="宋体"/>
          <w:sz w:val="24"/>
        </w:rPr>
      </w:pPr>
    </w:p>
    <w:p>
      <w:pPr>
        <w:spacing w:before="83" w:line="364" w:lineRule="auto"/>
        <w:ind w:left="555" w:right="477" w:firstLine="240"/>
        <w:jc w:val="both"/>
        <w:rPr>
          <w:rFonts w:hint="eastAsia" w:ascii="宋体" w:hAnsi="宋体" w:eastAsia="宋体" w:cs="宋体"/>
          <w:sz w:val="24"/>
        </w:rPr>
      </w:pPr>
    </w:p>
    <w:p>
      <w:pPr>
        <w:spacing w:before="83" w:line="364" w:lineRule="auto"/>
        <w:ind w:left="555" w:right="477" w:firstLine="240"/>
        <w:jc w:val="both"/>
        <w:rPr>
          <w:rFonts w:hint="eastAsia" w:ascii="宋体" w:hAnsi="宋体" w:eastAsia="宋体" w:cs="宋体"/>
          <w:sz w:val="24"/>
        </w:rPr>
      </w:pPr>
    </w:p>
    <w:p>
      <w:pPr>
        <w:spacing w:before="83" w:line="364" w:lineRule="auto"/>
        <w:ind w:left="555" w:right="477" w:firstLine="240"/>
        <w:jc w:val="both"/>
        <w:rPr>
          <w:rFonts w:hint="eastAsia" w:ascii="宋体" w:hAnsi="宋体" w:eastAsia="宋体" w:cs="宋体"/>
          <w:sz w:val="24"/>
        </w:rPr>
      </w:pPr>
    </w:p>
    <w:p>
      <w:pPr>
        <w:spacing w:before="83" w:line="364" w:lineRule="auto"/>
        <w:ind w:left="555" w:right="477" w:firstLine="240"/>
        <w:jc w:val="both"/>
        <w:rPr>
          <w:rFonts w:hint="eastAsia" w:ascii="宋体" w:hAnsi="宋体" w:eastAsia="宋体" w:cs="宋体"/>
          <w:sz w:val="24"/>
        </w:rPr>
      </w:pPr>
    </w:p>
    <w:p>
      <w:pPr>
        <w:spacing w:before="83" w:line="364" w:lineRule="auto"/>
        <w:ind w:left="555" w:right="477" w:firstLine="240"/>
        <w:jc w:val="both"/>
        <w:rPr>
          <w:rFonts w:hint="eastAsia" w:ascii="宋体" w:hAnsi="宋体" w:eastAsia="宋体" w:cs="宋体"/>
          <w:sz w:val="24"/>
        </w:rPr>
      </w:pPr>
    </w:p>
    <w:p>
      <w:pPr>
        <w:spacing w:before="83" w:line="364" w:lineRule="auto"/>
        <w:ind w:left="555" w:right="477" w:firstLine="240"/>
        <w:jc w:val="both"/>
        <w:rPr>
          <w:rFonts w:hint="eastAsia" w:ascii="宋体" w:hAnsi="宋体" w:eastAsia="宋体" w:cs="宋体"/>
          <w:sz w:val="24"/>
        </w:rPr>
      </w:pPr>
    </w:p>
    <w:p>
      <w:pPr>
        <w:spacing w:before="20"/>
        <w:ind w:left="82" w:right="0" w:firstLine="0"/>
        <w:jc w:val="center"/>
        <w:rPr>
          <w:rFonts w:hint="eastAsia" w:ascii="宋体" w:hAnsi="宋体" w:eastAsia="宋体" w:cs="宋体"/>
          <w:b/>
          <w:sz w:val="36"/>
        </w:rPr>
      </w:pPr>
      <w:bookmarkStart w:id="17" w:name="第二部分 供应商须知及前附表"/>
      <w:bookmarkEnd w:id="17"/>
    </w:p>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2F7C3359"/>
    <w:rsid w:val="2F7C3359"/>
    <w:rsid w:val="5DDA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4">
    <w:name w:val="heading 1"/>
    <w:basedOn w:val="1"/>
    <w:next w:val="1"/>
    <w:qFormat/>
    <w:uiPriority w:val="1"/>
    <w:pPr>
      <w:spacing w:before="20"/>
      <w:ind w:left="85"/>
      <w:jc w:val="center"/>
      <w:outlineLvl w:val="1"/>
    </w:pPr>
    <w:rPr>
      <w:rFonts w:ascii="仿宋" w:hAnsi="仿宋" w:eastAsia="仿宋" w:cs="仿宋"/>
      <w:b/>
      <w:bCs/>
      <w:sz w:val="36"/>
      <w:szCs w:val="36"/>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仿宋" w:hAnsi="仿宋" w:eastAsia="仿宋" w:cs="仿宋"/>
      <w:sz w:val="21"/>
      <w:szCs w:val="21"/>
      <w:lang w:val="zh-CN" w:eastAsia="zh-CN" w:bidi="zh-CN"/>
    </w:rPr>
  </w:style>
  <w:style w:type="paragraph" w:styleId="3">
    <w:name w:val="Body Text 2"/>
    <w:basedOn w:val="1"/>
    <w:qFormat/>
    <w:uiPriority w:val="0"/>
    <w:rPr>
      <w:rFonts w:ascii="楷体_GB2312" w:hAnsi="Copperplate Gothic Bold" w:eastAsia="楷体_GB2312"/>
      <w:kern w:val="2"/>
      <w:sz w:val="2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8">
    <w:name w:val="Table Paragraph"/>
    <w:basedOn w:val="1"/>
    <w:qFormat/>
    <w:uiPriority w:val="1"/>
    <w:rPr>
      <w:rFonts w:ascii="仿宋" w:hAnsi="仿宋" w:eastAsia="仿宋" w:cs="仿宋"/>
      <w:lang w:val="zh-CN" w:eastAsia="zh-CN" w:bidi="zh-CN"/>
    </w:rPr>
  </w:style>
  <w:style w:type="paragraph" w:styleId="9">
    <w:name w:val="List Paragraph"/>
    <w:basedOn w:val="1"/>
    <w:qFormat/>
    <w:uiPriority w:val="1"/>
    <w:pPr>
      <w:ind w:left="555" w:firstLine="42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2253</Words>
  <Characters>2531</Characters>
  <Lines>0</Lines>
  <Paragraphs>0</Paragraphs>
  <TotalTime>1</TotalTime>
  <ScaleCrop>false</ScaleCrop>
  <LinksUpToDate>false</LinksUpToDate>
  <CharactersWithSpaces>2649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2022-06-09T09:02:00Z</dcterms:created>
  <dc:creator>青青（财务）</dc:creator>
  <cp:lastModifiedBy>青青（财务）</cp:lastModifiedBy>
  <dcterms:modified xsi:type="dcterms:W3CDTF">2022-06-09T09:21:19Z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C6A490D5C1CA4DEE8C65060225B182FA</vt:lpwstr>
  </property>
</Properties>
</file>