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bookmarkStart w:id="0" w:name="_Toc2694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b/>
          <w:bCs/>
          <w:sz w:val="32"/>
          <w:szCs w:val="32"/>
          <w:lang w:val="en-US" w:eastAsia="zh-CN"/>
        </w:rPr>
      </w:pPr>
      <w:bookmarkStart w:id="1" w:name="_Toc26503"/>
      <w:r>
        <w:rPr>
          <w:rFonts w:hint="eastAsia" w:ascii="仿宋" w:hAnsi="仿宋" w:eastAsia="仿宋" w:cs="仿宋"/>
          <w:b/>
          <w:bCs/>
          <w:sz w:val="32"/>
          <w:szCs w:val="32"/>
          <w:lang w:val="en-US" w:eastAsia="zh-CN"/>
        </w:rPr>
        <w:t>项目编号：SHCG2022-00</w:t>
      </w:r>
      <w:bookmarkEnd w:id="0"/>
      <w:r>
        <w:rPr>
          <w:rFonts w:hint="eastAsia" w:ascii="仿宋" w:hAnsi="仿宋" w:eastAsia="仿宋" w:cs="仿宋"/>
          <w:b/>
          <w:bCs/>
          <w:sz w:val="32"/>
          <w:szCs w:val="32"/>
          <w:lang w:val="en-US" w:eastAsia="zh-CN"/>
        </w:rPr>
        <w:t>4</w:t>
      </w:r>
      <w:bookmarkEnd w:id="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p>
    <w:p>
      <w:pPr>
        <w:pStyle w:val="2"/>
        <w:spacing w:line="360" w:lineRule="auto"/>
        <w:rPr>
          <w:rFonts w:hint="eastAsia" w:ascii="仿宋" w:hAnsi="仿宋" w:eastAsia="仿宋" w:cs="仿宋"/>
          <w:lang w:val="en-US" w:eastAsia="zh-CN"/>
        </w:rPr>
      </w:pPr>
    </w:p>
    <w:p>
      <w:pPr>
        <w:rPr>
          <w:rFonts w:hint="eastAsia"/>
          <w:lang w:val="en-US" w:eastAsia="zh-CN"/>
        </w:rPr>
      </w:pPr>
    </w:p>
    <w:p>
      <w:pPr>
        <w:pStyle w:val="2"/>
        <w:jc w:val="center"/>
        <w:outlineLvl w:val="0"/>
        <w:rPr>
          <w:rFonts w:hint="eastAsia" w:ascii="仿宋" w:hAnsi="仿宋" w:eastAsia="仿宋" w:cs="仿宋"/>
          <w:b/>
          <w:bCs/>
          <w:sz w:val="52"/>
          <w:szCs w:val="52"/>
          <w:lang w:val="en-US" w:eastAsia="zh-CN"/>
        </w:rPr>
      </w:pPr>
      <w:bookmarkStart w:id="2" w:name="_Toc14845"/>
      <w:bookmarkStart w:id="3" w:name="_Toc16646"/>
      <w:r>
        <w:rPr>
          <w:rFonts w:hint="eastAsia" w:ascii="仿宋" w:hAnsi="仿宋" w:eastAsia="仿宋" w:cs="仿宋"/>
          <w:b/>
          <w:bCs/>
          <w:sz w:val="52"/>
          <w:szCs w:val="52"/>
          <w:lang w:val="en-US" w:eastAsia="zh-CN"/>
        </w:rPr>
        <w:t>平利县全域旅游标识体系建设项目</w:t>
      </w:r>
      <w:bookmarkEnd w:id="2"/>
      <w:bookmarkEnd w:id="3"/>
    </w:p>
    <w:p>
      <w:pPr>
        <w:rPr>
          <w:rFonts w:hint="eastAsia" w:ascii="仿宋" w:hAnsi="仿宋" w:eastAsia="仿宋" w:cs="仿宋"/>
          <w:lang w:val="en-US" w:eastAsia="zh-CN"/>
        </w:rPr>
      </w:pPr>
    </w:p>
    <w:p>
      <w:pPr>
        <w:jc w:val="center"/>
        <w:rPr>
          <w:rFonts w:hint="eastAsia" w:ascii="仿宋" w:hAnsi="仿宋" w:eastAsia="仿宋" w:cs="仿宋"/>
          <w:b/>
          <w:sz w:val="96"/>
          <w:szCs w:val="96"/>
          <w:lang w:eastAsia="zh-CN"/>
        </w:rPr>
      </w:pPr>
    </w:p>
    <w:p>
      <w:pPr>
        <w:jc w:val="center"/>
        <w:rPr>
          <w:rFonts w:hint="eastAsia" w:ascii="仿宋" w:hAnsi="仿宋" w:eastAsia="仿宋" w:cs="仿宋"/>
          <w:b/>
          <w:sz w:val="96"/>
          <w:szCs w:val="96"/>
          <w:lang w:eastAsia="zh-CN"/>
        </w:rPr>
      </w:pPr>
      <w:r>
        <w:rPr>
          <w:rFonts w:hint="eastAsia" w:ascii="仿宋" w:hAnsi="仿宋" w:eastAsia="仿宋" w:cs="仿宋"/>
          <w:b/>
          <w:sz w:val="96"/>
          <w:szCs w:val="96"/>
          <w:lang w:eastAsia="zh-CN"/>
        </w:rPr>
        <w:t>招标文件</w:t>
      </w:r>
    </w:p>
    <w:p>
      <w:pPr>
        <w:pStyle w:val="2"/>
        <w:rPr>
          <w:rFonts w:hint="eastAsia" w:ascii="仿宋" w:hAnsi="仿宋" w:eastAsia="仿宋" w:cs="仿宋"/>
        </w:rPr>
      </w:pPr>
    </w:p>
    <w:p>
      <w:pPr>
        <w:jc w:val="center"/>
        <w:rPr>
          <w:rFonts w:hint="eastAsia" w:ascii="仿宋" w:hAnsi="仿宋" w:eastAsia="仿宋" w:cs="仿宋"/>
          <w:b/>
          <w:sz w:val="32"/>
          <w:szCs w:val="32"/>
          <w:lang w:eastAsia="zh-CN"/>
        </w:rPr>
      </w:pPr>
      <w:r>
        <w:rPr>
          <w:rFonts w:hint="eastAsia" w:ascii="仿宋" w:hAnsi="仿宋" w:eastAsia="仿宋" w:cs="仿宋"/>
          <w:b/>
          <w:sz w:val="44"/>
          <w:szCs w:val="44"/>
        </w:rPr>
        <w:drawing>
          <wp:inline distT="0" distB="0" distL="114300" distR="114300">
            <wp:extent cx="2338070" cy="1511935"/>
            <wp:effectExtent l="0" t="0" r="5080" b="12065"/>
            <wp:docPr id="4" name="图片 1" descr="C:\Users\ADMINI~1\AppData\Local\Temp\360zip$Temp\360$0\╩·░µ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1\AppData\Local\Temp\360zip$Temp\360$0\╩·░µ4.png"/>
                    <pic:cNvPicPr>
                      <a:picLocks noChangeAspect="1"/>
                    </pic:cNvPicPr>
                  </pic:nvPicPr>
                  <pic:blipFill>
                    <a:blip r:embed="rId10"/>
                    <a:stretch>
                      <a:fillRect/>
                    </a:stretch>
                  </pic:blipFill>
                  <pic:spPr>
                    <a:xfrm>
                      <a:off x="0" y="0"/>
                      <a:ext cx="2338070" cy="15119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b/>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outlineLvl w:val="0"/>
        <w:rPr>
          <w:rFonts w:hint="eastAsia" w:ascii="仿宋" w:hAnsi="仿宋" w:eastAsia="仿宋" w:cs="仿宋"/>
          <w:b/>
          <w:sz w:val="32"/>
          <w:szCs w:val="32"/>
          <w:lang w:eastAsia="zh-CN"/>
        </w:rPr>
      </w:pPr>
      <w:bookmarkStart w:id="4" w:name="_Toc1016"/>
      <w:bookmarkStart w:id="5" w:name="_Toc8186"/>
      <w:r>
        <w:rPr>
          <w:rFonts w:hint="eastAsia" w:ascii="仿宋" w:hAnsi="仿宋" w:eastAsia="仿宋" w:cs="仿宋"/>
          <w:b/>
          <w:sz w:val="32"/>
          <w:szCs w:val="32"/>
          <w:lang w:eastAsia="zh-CN"/>
        </w:rPr>
        <w:t>采购单位：</w:t>
      </w:r>
      <w:r>
        <w:rPr>
          <w:rFonts w:hint="eastAsia" w:ascii="仿宋" w:hAnsi="仿宋" w:eastAsia="仿宋" w:cs="仿宋"/>
          <w:b/>
          <w:sz w:val="32"/>
          <w:szCs w:val="32"/>
          <w:lang w:val="en-US" w:eastAsia="zh-CN"/>
        </w:rPr>
        <w:t>平利县文化和旅游广电局</w:t>
      </w:r>
      <w:bookmarkEnd w:id="4"/>
      <w:bookmarkEnd w:id="5"/>
    </w:p>
    <w:p>
      <w:pPr>
        <w:pStyle w:val="2"/>
        <w:keepNext w:val="0"/>
        <w:keepLines w:val="0"/>
        <w:pageBreakBefore w:val="0"/>
        <w:widowControl w:val="0"/>
        <w:kinsoku/>
        <w:wordWrap/>
        <w:overflowPunct/>
        <w:topLinePunct w:val="0"/>
        <w:autoSpaceDE/>
        <w:autoSpaceDN/>
        <w:bidi w:val="0"/>
        <w:adjustRightInd/>
        <w:snapToGrid/>
        <w:spacing w:line="360" w:lineRule="auto"/>
        <w:ind w:firstLine="1928" w:firstLineChars="600"/>
        <w:textAlignment w:val="auto"/>
        <w:outlineLvl w:val="0"/>
        <w:rPr>
          <w:rFonts w:hint="eastAsia" w:ascii="仿宋" w:hAnsi="仿宋" w:eastAsia="仿宋" w:cs="仿宋"/>
          <w:b/>
          <w:sz w:val="32"/>
          <w:szCs w:val="32"/>
          <w:lang w:eastAsia="zh-CN"/>
        </w:rPr>
      </w:pPr>
      <w:bookmarkStart w:id="6" w:name="_Toc20101"/>
      <w:bookmarkStart w:id="7" w:name="_Toc15299"/>
      <w:r>
        <w:rPr>
          <w:rFonts w:hint="eastAsia" w:ascii="仿宋" w:hAnsi="仿宋" w:eastAsia="仿宋" w:cs="仿宋"/>
          <w:b/>
          <w:sz w:val="32"/>
          <w:szCs w:val="32"/>
          <w:lang w:eastAsia="zh-CN"/>
        </w:rPr>
        <w:t>代理机构：圣弘建设股份有限公司</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textAlignment w:val="auto"/>
        <w:rPr>
          <w:rFonts w:hint="eastAsia" w:ascii="仿宋" w:hAnsi="仿宋" w:eastAsia="仿宋" w:cs="仿宋"/>
          <w:sz w:val="32"/>
          <w:szCs w:val="32"/>
          <w:lang w:eastAsia="zh-CN"/>
        </w:rPr>
      </w:pPr>
      <w:r>
        <w:rPr>
          <w:rFonts w:hint="eastAsia" w:ascii="仿宋" w:hAnsi="仿宋" w:eastAsia="仿宋" w:cs="仿宋"/>
          <w:b/>
          <w:sz w:val="32"/>
          <w:szCs w:val="32"/>
          <w:lang w:eastAsia="zh-CN"/>
        </w:rPr>
        <w:t>编制时间：二〇二二年八月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FF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28"/>
          <w:szCs w:val="28"/>
          <w:lang w:eastAsia="zh-CN"/>
        </w:rPr>
        <w:t>特别提醒：</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val="en-US" w:eastAsia="zh-CN"/>
        </w:rPr>
        <w:t>请各投标供应商务必仔细阅读理解本招标文件以及开标时间，并依据采购要求编制投标文件，如有不明之处在开标前及时询问，否则后果自负！</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1、本项目采用电子化投标的方式</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投标供应商须使用数字认证证书对电子投标文件进行签章、加密、递交及开标时解密等相关招投标事宜。开标时请务必携带数字认证证书，如因投标供应商自身原因未携带数字认证证书造成无法解密投标文件，按无效投标对待。</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2、制作电子投标文件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投标供应商须在“全国公共资源交易中心平台(陕西省) (</w:t>
      </w:r>
      <w:r>
        <w:rPr>
          <w:rFonts w:hint="eastAsia" w:ascii="仿宋" w:hAnsi="仿宋" w:eastAsia="仿宋" w:cs="仿宋"/>
          <w:b/>
          <w:bCs w:val="0"/>
          <w:color w:val="000000"/>
          <w:sz w:val="24"/>
          <w:szCs w:val="24"/>
          <w:lang w:eastAsia="zh-CN"/>
        </w:rPr>
        <w:fldChar w:fldCharType="begin"/>
      </w:r>
      <w:r>
        <w:rPr>
          <w:rFonts w:hint="eastAsia" w:ascii="仿宋" w:hAnsi="仿宋" w:eastAsia="仿宋" w:cs="仿宋"/>
          <w:b/>
          <w:bCs w:val="0"/>
          <w:color w:val="000000"/>
          <w:sz w:val="24"/>
          <w:szCs w:val="24"/>
          <w:lang w:eastAsia="zh-CN"/>
        </w:rPr>
        <w:instrText xml:space="preserve"> HYPERLINK "http://www.sxggzyjy.cn/" </w:instrText>
      </w:r>
      <w:r>
        <w:rPr>
          <w:rFonts w:hint="eastAsia" w:ascii="仿宋" w:hAnsi="仿宋" w:eastAsia="仿宋" w:cs="仿宋"/>
          <w:b/>
          <w:bCs w:val="0"/>
          <w:color w:val="000000"/>
          <w:sz w:val="24"/>
          <w:szCs w:val="24"/>
          <w:lang w:eastAsia="zh-CN"/>
        </w:rPr>
        <w:fldChar w:fldCharType="separate"/>
      </w:r>
      <w:r>
        <w:rPr>
          <w:rFonts w:hint="eastAsia" w:ascii="仿宋" w:hAnsi="仿宋" w:eastAsia="仿宋" w:cs="仿宋"/>
          <w:b/>
          <w:bCs w:val="0"/>
          <w:color w:val="000000"/>
          <w:sz w:val="24"/>
          <w:szCs w:val="24"/>
          <w:lang w:eastAsia="zh-CN"/>
        </w:rPr>
        <w:t>http://www.sxggzyjy.cn/</w:t>
      </w:r>
      <w:r>
        <w:rPr>
          <w:rFonts w:hint="eastAsia" w:ascii="仿宋" w:hAnsi="仿宋" w:eastAsia="仿宋" w:cs="仿宋"/>
          <w:b/>
          <w:bCs w:val="0"/>
          <w:color w:val="000000"/>
          <w:sz w:val="24"/>
          <w:szCs w:val="24"/>
          <w:lang w:eastAsia="zh-CN"/>
        </w:rPr>
        <w:fldChar w:fldCharType="end"/>
      </w:r>
      <w:r>
        <w:rPr>
          <w:rFonts w:hint="eastAsia" w:ascii="仿宋" w:hAnsi="仿宋" w:eastAsia="仿宋" w:cs="仿宋"/>
          <w:b/>
          <w:bCs w:val="0"/>
          <w:color w:val="000000"/>
          <w:sz w:val="24"/>
          <w:szCs w:val="24"/>
          <w:lang w:eastAsia="zh-CN"/>
        </w:rPr>
        <w:t>)”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3、递交电子投标文件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登录全国公共资源交易中心平台(陕西省)(http://www.sxggzyjy.cn/)，选择“电子交易平台—陕西政府采购交易系统—供应商端”进行登录，登录后选择“交易乙方”身份进入，进入菜单“采购业务—我的项目——项目流程——上传响应文件” ，上传加密的电子投标文件。上传成功后，电子化平台将予以记录。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val="en-US" w:eastAsia="zh-CN"/>
        </w:rPr>
        <w:t>项目如有变更文件，则应点击“项目流程——答疑文件下载”下载更新后的电子投标文件（*.SXSCF），使用旧版电子投标文件制作的电子投标文件，系统将拒绝接收。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val="en-US" w:eastAsia="zh-CN"/>
        </w:rPr>
        <w:t>4、投标供应商拒绝对电子投标文件进行解密的、因投标供应商自身原因(如未带CA 锁、或所带 CA 锁与制作电子投标文件使用的 CA 锁不一致、或沿用旧版招标文件编制投标文件等情形)导致在规定时间内无法解密投标文件的、上传的电子投标文件无法打开的都将按照无效处理。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5、电子投标文件技术支持：4009280095、4009980000。</w:t>
      </w: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color w:val="auto"/>
          <w:sz w:val="28"/>
          <w:szCs w:val="28"/>
          <w:highlight w:val="none"/>
        </w:rPr>
      </w:pPr>
    </w:p>
    <w:sdt>
      <w:sdtPr>
        <w:rPr>
          <w:rFonts w:hint="eastAsia" w:ascii="仿宋" w:hAnsi="仿宋" w:eastAsia="仿宋" w:cs="仿宋"/>
          <w:b/>
          <w:bCs/>
          <w:kern w:val="2"/>
          <w:sz w:val="32"/>
          <w:szCs w:val="32"/>
          <w:lang w:val="en-US" w:eastAsia="zh-CN" w:bidi="ar-SA"/>
        </w:rPr>
        <w:id w:val="147482527"/>
        <w15:color w:val="DBDBDB"/>
      </w:sdtPr>
      <w:sdtEndPr>
        <w:rPr>
          <w:rFonts w:hint="eastAsia" w:ascii="仿宋" w:hAnsi="仿宋" w:eastAsia="仿宋" w:cs="仿宋"/>
          <w:b/>
          <w:bCs/>
          <w:color w:val="auto"/>
          <w:kern w:val="2"/>
          <w:sz w:val="21"/>
          <w:szCs w:val="24"/>
          <w:highlight w:val="none"/>
          <w:lang w:val="en-US" w:eastAsia="zh-CN" w:bidi="ar-SA"/>
        </w:rPr>
      </w:sdtEndPr>
      <w:sdtContent>
        <w:sdt>
          <w:sdtPr>
            <w:rPr>
              <w:rFonts w:hint="eastAsia" w:ascii="仿宋" w:hAnsi="仿宋" w:eastAsia="仿宋" w:cs="仿宋"/>
              <w:b/>
              <w:bCs/>
              <w:kern w:val="2"/>
              <w:sz w:val="36"/>
              <w:szCs w:val="36"/>
              <w:lang w:val="en-US" w:eastAsia="zh-CN" w:bidi="ar-SA"/>
            </w:rPr>
            <w:id w:val="147462424"/>
            <w15:color w:val="DBDBDB"/>
            <w:docPartObj>
              <w:docPartGallery w:val="Table of Contents"/>
              <w:docPartUnique/>
            </w:docPartObj>
          </w:sdtPr>
          <w:sdtEndPr>
            <w:rPr>
              <w:rFonts w:hint="eastAsia" w:ascii="仿宋" w:hAnsi="仿宋" w:eastAsia="仿宋" w:cs="仿宋"/>
              <w:b/>
              <w:bCs/>
              <w:kern w:val="2"/>
              <w:sz w:val="36"/>
              <w:szCs w:val="36"/>
              <w:lang w:val="en-US" w:eastAsia="zh-CN" w:bidi="ar-SA"/>
            </w:rPr>
          </w:sdtEndPr>
          <w:sdtContent>
            <w:p>
              <w:pPr>
                <w:tabs>
                  <w:tab w:val="left" w:pos="3393"/>
                  <w:tab w:val="left" w:pos="3675"/>
                  <w:tab w:val="center" w:pos="4425"/>
                </w:tabs>
                <w:spacing w:line="480" w:lineRule="auto"/>
                <w:jc w:val="center"/>
                <w:rPr>
                  <w:rFonts w:hint="eastAsia" w:ascii="仿宋" w:hAnsi="仿宋" w:eastAsia="仿宋" w:cs="仿宋"/>
                  <w:sz w:val="28"/>
                  <w:szCs w:val="28"/>
                </w:rPr>
              </w:pPr>
              <w:r>
                <w:rPr>
                  <w:rFonts w:hint="eastAsia" w:ascii="仿宋" w:hAnsi="仿宋" w:eastAsia="仿宋" w:cs="仿宋"/>
                  <w:b/>
                  <w:bCs/>
                  <w:kern w:val="2"/>
                  <w:sz w:val="36"/>
                  <w:szCs w:val="36"/>
                  <w:lang w:val="en-US" w:eastAsia="zh-CN" w:bidi="ar-SA"/>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_Toc1450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_Toc1450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_Toc14992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 xml:space="preserve">第二章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投标须知前附表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_Toc14992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_Toc28860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第三章  投标须知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_Toc28860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_Toc8005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第四章  采购内容</w:t>
              </w:r>
              <w:r>
                <w:rPr>
                  <w:rFonts w:hint="eastAsia" w:ascii="仿宋" w:hAnsi="仿宋" w:eastAsia="仿宋" w:cs="仿宋"/>
                  <w:b/>
                  <w:bCs/>
                  <w:sz w:val="28"/>
                  <w:szCs w:val="28"/>
                  <w:highlight w:val="none"/>
                  <w:lang w:eastAsia="zh-CN"/>
                </w:rPr>
                <w:t>及</w:t>
              </w:r>
              <w:r>
                <w:rPr>
                  <w:rFonts w:hint="eastAsia" w:ascii="仿宋" w:hAnsi="仿宋" w:eastAsia="仿宋" w:cs="仿宋"/>
                  <w:b/>
                  <w:bCs/>
                  <w:sz w:val="28"/>
                  <w:szCs w:val="28"/>
                  <w:highlight w:val="none"/>
                </w:rPr>
                <w:t>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_Toc8005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_Toc1805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五章</w:t>
              </w:r>
              <w:r>
                <w:rPr>
                  <w:rFonts w:hint="eastAsia" w:ascii="仿宋" w:hAnsi="仿宋" w:eastAsia="仿宋" w:cs="仿宋"/>
                  <w:b/>
                  <w:bCs/>
                  <w:sz w:val="28"/>
                  <w:szCs w:val="28"/>
                  <w:highlight w:val="none"/>
                </w:rPr>
                <w:t xml:space="preserve">  商务要求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_Toc1805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_Toc14494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lang w:eastAsia="zh-CN"/>
                </w:rPr>
                <w:t>第六章</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合同主要条款</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_Toc14494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39</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_Toc7713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 xml:space="preserve">章  </w:t>
              </w:r>
              <w:r>
                <w:rPr>
                  <w:rFonts w:hint="eastAsia" w:ascii="仿宋" w:hAnsi="仿宋" w:eastAsia="仿宋" w:cs="仿宋"/>
                  <w:b/>
                  <w:bCs/>
                  <w:sz w:val="28"/>
                  <w:szCs w:val="28"/>
                  <w:highlight w:val="none"/>
                  <w:lang w:val="zh-CN"/>
                </w:rPr>
                <w:t>投标文件基本格式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_Toc7713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14"/>
                <w:tabs>
                  <w:tab w:val="right" w:leader="dot" w:pos="8731"/>
                </w:tabs>
                <w:spacing w:line="480" w:lineRule="auto"/>
                <w:rPr>
                  <w:rFonts w:hint="eastAsia" w:ascii="仿宋" w:hAnsi="仿宋" w:eastAsia="仿宋" w:cs="仿宋"/>
                  <w:sz w:val="28"/>
                  <w:szCs w:val="28"/>
                </w:rPr>
              </w:pPr>
            </w:p>
            <w:p>
              <w:pPr>
                <w:spacing w:line="480" w:lineRule="auto"/>
                <w:rPr>
                  <w:rFonts w:ascii="仿宋" w:hAnsi="仿宋" w:eastAsia="仿宋" w:cs="仿宋"/>
                  <w:color w:val="auto"/>
                  <w:highlight w:val="none"/>
                </w:rPr>
              </w:pPr>
              <w:r>
                <w:rPr>
                  <w:rFonts w:hint="eastAsia" w:ascii="仿宋" w:hAnsi="仿宋" w:eastAsia="仿宋" w:cs="仿宋"/>
                  <w:sz w:val="28"/>
                  <w:szCs w:val="28"/>
                </w:rPr>
                <w:fldChar w:fldCharType="end"/>
              </w:r>
            </w:p>
          </w:sdtContent>
        </w:sdt>
      </w:sdtContent>
    </w:sdt>
    <w:p>
      <w:pPr>
        <w:tabs>
          <w:tab w:val="left" w:pos="3240"/>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ab/>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tabs>
          <w:tab w:val="left" w:pos="6517"/>
        </w:tabs>
        <w:bidi w:val="0"/>
        <w:jc w:val="left"/>
        <w:rPr>
          <w:rFonts w:hint="eastAsia"/>
          <w:lang w:val="en-US" w:eastAsia="zh-CN"/>
        </w:rPr>
      </w:pPr>
      <w:r>
        <w:rPr>
          <w:rFonts w:hint="eastAsia"/>
          <w:lang w:val="en-US" w:eastAsia="zh-CN"/>
        </w:rPr>
        <w:tab/>
      </w:r>
    </w:p>
    <w:p>
      <w:pPr>
        <w:bidi w:val="0"/>
        <w:rPr>
          <w:rFonts w:ascii="Times New Roman" w:hAnsi="Times New Roman" w:eastAsia="宋体" w:cs="Times New Roman"/>
          <w:kern w:val="2"/>
          <w:sz w:val="21"/>
          <w:szCs w:val="24"/>
          <w:lang w:val="en-US" w:eastAsia="zh-CN" w:bidi="ar-SA"/>
        </w:rPr>
      </w:pPr>
    </w:p>
    <w:p>
      <w:pPr>
        <w:tabs>
          <w:tab w:val="left" w:pos="6478"/>
        </w:tabs>
        <w:bidi w:val="0"/>
        <w:jc w:val="left"/>
        <w:rPr>
          <w:rFonts w:hint="eastAsia"/>
          <w:lang w:val="en-US" w:eastAsia="zh-CN"/>
        </w:rPr>
      </w:pPr>
      <w:r>
        <w:rPr>
          <w:rFonts w:hint="eastAsia"/>
          <w:lang w:val="en-US" w:eastAsia="zh-CN"/>
        </w:rPr>
        <w:tab/>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left"/>
        <w:rPr>
          <w:lang w:val="en-US" w:eastAsia="zh-CN"/>
        </w:rPr>
        <w:sectPr>
          <w:headerReference r:id="rId3" w:type="default"/>
          <w:pgSz w:w="11905" w:h="16838"/>
          <w:pgMar w:top="1474" w:right="1587" w:bottom="1474" w:left="1587" w:header="567" w:footer="567" w:gutter="0"/>
          <w:pgNumType w:fmt="numberInDash" w:start="1"/>
          <w:cols w:space="0" w:num="1"/>
          <w:rtlGutter w:val="0"/>
          <w:docGrid w:linePitch="318" w:charSpace="0"/>
        </w:sectPr>
      </w:pPr>
    </w:p>
    <w:p>
      <w:pPr>
        <w:jc w:val="center"/>
        <w:outlineLvl w:val="0"/>
        <w:rPr>
          <w:rFonts w:ascii="仿宋" w:hAnsi="仿宋" w:eastAsia="仿宋" w:cs="仿宋"/>
          <w:b/>
          <w:color w:val="auto"/>
          <w:sz w:val="32"/>
          <w:szCs w:val="32"/>
          <w:highlight w:val="none"/>
        </w:rPr>
      </w:pPr>
      <w:bookmarkStart w:id="8" w:name="_Toc1450"/>
      <w:bookmarkStart w:id="9" w:name="_Toc32521"/>
      <w:bookmarkStart w:id="10" w:name="_Toc9877"/>
      <w:r>
        <w:rPr>
          <w:rFonts w:hint="eastAsia" w:ascii="仿宋" w:hAnsi="仿宋" w:eastAsia="仿宋" w:cs="仿宋"/>
          <w:b/>
          <w:color w:val="auto"/>
          <w:sz w:val="32"/>
          <w:szCs w:val="32"/>
          <w:highlight w:val="none"/>
        </w:rPr>
        <w:t>第一章  招标公告</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bookmarkStart w:id="11" w:name="_Toc9153"/>
      <w:bookmarkStart w:id="12" w:name="_Toc28595"/>
      <w:bookmarkStart w:id="13" w:name="_Toc498326351"/>
      <w:bookmarkStart w:id="14" w:name="_Toc167591478"/>
      <w:bookmarkStart w:id="15" w:name="_Toc244623577"/>
      <w:bookmarkStart w:id="16" w:name="_Toc175032423"/>
      <w:bookmarkStart w:id="17" w:name="_Toc207897902"/>
      <w:bookmarkStart w:id="18" w:name="_Toc170980440"/>
      <w:bookmarkStart w:id="19" w:name="_Toc167590761"/>
      <w:bookmarkStart w:id="20" w:name="_Toc208337150"/>
      <w:bookmarkStart w:id="21" w:name="_Toc169838518"/>
      <w:bookmarkStart w:id="22" w:name="_Toc154482465"/>
      <w:bookmarkStart w:id="23" w:name="_Toc167591316"/>
      <w:bookmarkStart w:id="24" w:name="_Toc169846859"/>
      <w:bookmarkStart w:id="25" w:name="_Toc173549964"/>
      <w:bookmarkStart w:id="26" w:name="_Toc170980538"/>
      <w:bookmarkStart w:id="27" w:name="_Toc169846762"/>
      <w:bookmarkStart w:id="28" w:name="_Toc245658520"/>
      <w:bookmarkStart w:id="29" w:name="_Toc167591130"/>
      <w:bookmarkStart w:id="30" w:name="_Toc175033578"/>
      <w:bookmarkStart w:id="31" w:name="_Toc245657539"/>
      <w:bookmarkStart w:id="32" w:name="_Toc245176651"/>
      <w:bookmarkStart w:id="33" w:name="_Toc167591029"/>
      <w:bookmarkStart w:id="34" w:name="_Toc167849346"/>
      <w:bookmarkStart w:id="35" w:name="_Toc260242592"/>
      <w:bookmarkStart w:id="36" w:name="_Toc201650492"/>
      <w:r>
        <w:rPr>
          <w:rFonts w:hint="eastAsia" w:ascii="仿宋" w:hAnsi="仿宋" w:eastAsia="仿宋" w:cs="仿宋"/>
          <w:b/>
          <w:bCs/>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平利县全域旅游标识体系建设项目招标项目的潜在投标供应商应在安康市公共资源交易平台获取招标文件，</w:t>
      </w:r>
      <w:r>
        <w:rPr>
          <w:rFonts w:hint="eastAsia" w:ascii="仿宋" w:hAnsi="仿宋" w:eastAsia="仿宋" w:cs="仿宋"/>
          <w:b w:val="0"/>
          <w:bCs w:val="0"/>
          <w:sz w:val="24"/>
          <w:szCs w:val="24"/>
          <w:highlight w:val="none"/>
          <w:lang w:val="en-US" w:eastAsia="zh-CN"/>
        </w:rPr>
        <w:t>并</w:t>
      </w:r>
      <w:r>
        <w:rPr>
          <w:rFonts w:hint="eastAsia" w:ascii="仿宋" w:hAnsi="仿宋" w:eastAsia="仿宋" w:cs="仿宋"/>
          <w:b w:val="0"/>
          <w:bCs w:val="0"/>
          <w:color w:val="auto"/>
          <w:sz w:val="24"/>
          <w:szCs w:val="24"/>
          <w:highlight w:val="none"/>
          <w:lang w:val="en-US" w:eastAsia="zh-CN"/>
        </w:rPr>
        <w:t>于2022年08月26日14时00分</w:t>
      </w:r>
      <w:r>
        <w:rPr>
          <w:rFonts w:hint="eastAsia" w:ascii="仿宋" w:hAnsi="仿宋" w:eastAsia="仿宋" w:cs="仿宋"/>
          <w:b w:val="0"/>
          <w:bCs w:val="0"/>
          <w:color w:val="auto"/>
          <w:sz w:val="24"/>
          <w:szCs w:val="24"/>
          <w:lang w:val="en-US" w:eastAsia="zh-CN"/>
        </w:rPr>
        <w:t>（北京</w:t>
      </w:r>
      <w:r>
        <w:rPr>
          <w:rFonts w:hint="eastAsia" w:ascii="仿宋" w:hAnsi="仿宋" w:eastAsia="仿宋" w:cs="仿宋"/>
          <w:b w:val="0"/>
          <w:bCs w:val="0"/>
          <w:sz w:val="24"/>
          <w:szCs w:val="24"/>
          <w:lang w:val="en-US" w:eastAsia="zh-CN"/>
        </w:rPr>
        <w:t>时间）前递交投标文件。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项目编号：SHCG2022-004</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项目名称：平利县全域旅游标识体系建设项目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预算金额：3550000.00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合同包1(平利县全域旅游标识体系建设项目):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合同包预算金额：3550000.00元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合同包最高限价：3550000.00元</w:t>
      </w:r>
    </w:p>
    <w:tbl>
      <w:tblPr>
        <w:tblStyle w:val="27"/>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624"/>
        <w:gridCol w:w="1500"/>
        <w:gridCol w:w="1183"/>
        <w:gridCol w:w="1528"/>
        <w:gridCol w:w="19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品目号</w:t>
            </w:r>
          </w:p>
        </w:tc>
        <w:tc>
          <w:tcPr>
            <w:tcW w:w="16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品目名称</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采购标的</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数量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w:t>
            </w:r>
          </w:p>
        </w:tc>
        <w:tc>
          <w:tcPr>
            <w:tcW w:w="1528"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技术规格、参数及要求</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品目预算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（元）</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i w:val="0"/>
                <w:iCs w:val="0"/>
                <w:caps w:val="0"/>
                <w:color w:val="auto"/>
                <w:spacing w:val="0"/>
                <w:sz w:val="24"/>
                <w:szCs w:val="24"/>
                <w:shd w:val="clear"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w:t>
            </w:r>
          </w:p>
        </w:tc>
        <w:tc>
          <w:tcPr>
            <w:tcW w:w="16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发光标志、铭牌</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全域旅游标识体系建设</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1(批)</w:t>
            </w:r>
          </w:p>
        </w:tc>
        <w:tc>
          <w:tcPr>
            <w:tcW w:w="1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详见采购文件</w:t>
            </w:r>
          </w:p>
        </w:tc>
        <w:tc>
          <w:tcPr>
            <w:tcW w:w="1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3550000.00</w:t>
            </w:r>
          </w:p>
        </w:tc>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3550000.00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合同履行期限：2022-08-30 00:00:00 至 2022-10-20 00:00:00（具体服务起止日期可随合同签订时间相应顺延）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2.落实政府采购政策需满足的资格要求如下: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 （12）《陕西省财政厅关于加快推进我省中小企业政府采购信用融资工作的通知》（陕财办采〔2020〕15号）。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3.本项目的特定资格要求：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（2）法定代表人参加投标时，须提供本人身份证复印件；授权代表参加投标时，须提供法定代表人授权委托书、法定代表人和被授权人身份证复印件；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（3）财务状况</w:t>
      </w:r>
      <w:r>
        <w:rPr>
          <w:rFonts w:hint="eastAsia" w:ascii="仿宋" w:hAnsi="仿宋" w:eastAsia="仿宋" w:cs="仿宋"/>
          <w:b w:val="0"/>
          <w:bCs w:val="0"/>
          <w:color w:val="auto"/>
          <w:sz w:val="24"/>
          <w:szCs w:val="24"/>
          <w:highlight w:val="none"/>
          <w:lang w:val="en-US" w:eastAsia="zh-CN"/>
        </w:rPr>
        <w:t>报告：须提供具有财务审计资质单位出具的2021年度财务审计报告（新成立的投标供应商不足一年的可提供成立后任意时段的资产负债表）；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（4）具有履行合同所必需的设备和专业技术能力的证明材料（须提供自述材料）；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（5）税收缴纳证明：须提供自2022年1月1日至2022年8月1日内已缴纳的至少3个月的纳税证明或完税证明（任意税种）；依法免税或新成立的投标供应商须应提供相关文件证明；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社会保障资金缴纳证明：须提供自2022年1月1日至2022年8月1日内已缴存至少3个月的社会保障资金缴存单据或社保机构开具的社会保险参保缴费情况证明；依法不需要缴纳社会保障资金或新成立的投标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（7）参加本次政府采购活动近三年内在经营活动中没有重大违纪，以及未被列入失信被执行人、重大税收违法案件当事人名单、政府采购严重违法失信行为记录名单的书面声明；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（8）投标供应商通过“信用中国”网站(www.creditchina.gov.cn )和中国政府采购网(www.ccgp.gov.cn)等渠道查询相关主体信用记录，对列入失信被执行人、重大税收违法案件当事人名单、政府采购严重违法失信行为记录名单的投标供应商，将拒绝其参与政府采购活动；</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获取招标文件：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时  间：2022年08月04日至2022年08月11日，每天上午 08:00:00 至 12:00:00 ，下午 14:00:00 至 18:00:00 （北京时间,法定节假日除外）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地</w:t>
      </w:r>
      <w:r>
        <w:rPr>
          <w:rFonts w:hint="eastAsia" w:ascii="仿宋" w:hAnsi="仿宋" w:eastAsia="仿宋" w:cs="仿宋"/>
          <w:b w:val="0"/>
          <w:bCs w:val="0"/>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auto"/>
          <w:spacing w:val="0"/>
          <w:sz w:val="24"/>
          <w:szCs w:val="24"/>
          <w:shd w:val="clear" w:fill="FFFFFF"/>
          <w:vertAlign w:val="baseline"/>
        </w:rPr>
        <w:t>点：安康市公共资源交易平台</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333333"/>
          <w:spacing w:val="0"/>
          <w:sz w:val="24"/>
          <w:szCs w:val="24"/>
          <w:shd w:val="clear" w:fill="FFFFFF"/>
          <w:vertAlign w:val="baseline"/>
          <w:lang w:eastAsia="zh-CN"/>
        </w:rPr>
      </w:pPr>
      <w:r>
        <w:rPr>
          <w:rFonts w:hint="eastAsia" w:ascii="仿宋" w:hAnsi="仿宋" w:eastAsia="仿宋" w:cs="仿宋"/>
          <w:b w:val="0"/>
          <w:bCs w:val="0"/>
          <w:i w:val="0"/>
          <w:iCs w:val="0"/>
          <w:caps w:val="0"/>
          <w:color w:val="333333"/>
          <w:spacing w:val="0"/>
          <w:sz w:val="24"/>
          <w:szCs w:val="24"/>
          <w:shd w:val="clear" w:fill="FFFFFF"/>
          <w:vertAlign w:val="baseline"/>
        </w:rPr>
        <w:t>方</w:t>
      </w: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333333"/>
          <w:spacing w:val="0"/>
          <w:sz w:val="24"/>
          <w:szCs w:val="24"/>
          <w:shd w:val="clear" w:fill="FFFFFF"/>
          <w:vertAlign w:val="baseline"/>
        </w:rPr>
        <w:t>式：</w:t>
      </w:r>
      <w:r>
        <w:rPr>
          <w:rFonts w:hint="eastAsia" w:ascii="仿宋" w:hAnsi="仿宋" w:eastAsia="仿宋" w:cs="仿宋"/>
          <w:b w:val="0"/>
          <w:bCs w:val="0"/>
          <w:i w:val="0"/>
          <w:iCs w:val="0"/>
          <w:caps w:val="0"/>
          <w:color w:val="333333"/>
          <w:spacing w:val="0"/>
          <w:sz w:val="24"/>
          <w:szCs w:val="24"/>
          <w:shd w:val="clear" w:fill="FFFFFF"/>
          <w:vertAlign w:val="baseline"/>
          <w:lang w:eastAsia="zh-CN"/>
        </w:rPr>
        <w:t>在线获取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eastAsia="zh-CN"/>
        </w:rPr>
        <w:t>售</w:t>
      </w: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333333"/>
          <w:spacing w:val="0"/>
          <w:sz w:val="24"/>
          <w:szCs w:val="24"/>
          <w:shd w:val="clear" w:fill="FFFFFF"/>
          <w:vertAlign w:val="baseline"/>
          <w:lang w:eastAsia="zh-CN"/>
        </w:rPr>
        <w:t>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2022年08月26日14时00分00秒（北京时间）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点：全国公共资源交易平台（陕西省安康市）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b/>
          <w:bCs/>
          <w:i w:val="0"/>
          <w:iCs w:val="0"/>
          <w:caps w:val="0"/>
          <w:color w:val="auto"/>
          <w:spacing w:val="0"/>
          <w:sz w:val="24"/>
          <w:szCs w:val="24"/>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五、公告期限：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1.本项目开标地点：安康市汉滨区香溪路8号安康市公共资源交易中心307第五开标室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本项目为专门面向中小企业采购项目，投标供应商为中型企业、小型企业、微型企业的应根据《政府采购促进中小企业发展管理办法》（财库〔2020〕46号）自行填写《中小企业声明函》；投标供应商为监狱企业的，应提供监狱企业的证明文件；投标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3.其他事项：</w:t>
      </w:r>
      <w:r>
        <w:rPr>
          <w:rFonts w:hint="eastAsia" w:ascii="仿宋" w:hAnsi="仿宋" w:eastAsia="仿宋" w:cs="仿宋"/>
          <w:b w:val="0"/>
          <w:bCs w:val="0"/>
          <w:color w:val="auto"/>
          <w:sz w:val="24"/>
          <w:szCs w:val="24"/>
          <w:lang w:val="en-US" w:eastAsia="zh-CN"/>
        </w:rPr>
        <w:t>（1）投标供应商使用捆绑CA证书登录安康市公共资源交易中心（http://ak.sxggzyjy.cn/），选择有意向的项目点击“我要投标”完善相关信息。</w:t>
      </w:r>
      <w:r>
        <w:rPr>
          <w:rFonts w:hint="eastAsia" w:ascii="仿宋" w:hAnsi="仿宋" w:eastAsia="仿宋" w:cs="仿宋"/>
          <w:b/>
          <w:bCs/>
          <w:color w:val="auto"/>
          <w:sz w:val="24"/>
          <w:szCs w:val="24"/>
          <w:lang w:val="en-US" w:eastAsia="zh-CN"/>
        </w:rPr>
        <w:t>（2）网上投标成功后，投标供应商需在文件获取时间内携带（加盖公章的网上投标成功回执单、营业执照复印件、法定代表人授权书及被授权人身份证复印件）前往安康市汉滨区南环东路明江嘉园泰子府6栋2单元303室进行线下报名登记确认，否则无法完成后续流程；</w:t>
      </w:r>
      <w:r>
        <w:rPr>
          <w:rFonts w:hint="eastAsia" w:ascii="仿宋" w:hAnsi="仿宋" w:eastAsia="仿宋" w:cs="仿宋"/>
          <w:b w:val="0"/>
          <w:bCs w:val="0"/>
          <w:color w:val="auto"/>
          <w:sz w:val="24"/>
          <w:szCs w:val="24"/>
          <w:lang w:val="en-US" w:eastAsia="zh-CN"/>
        </w:rPr>
        <w:t>（3）下载文件：投标供应商线下报名登记确认后，登录安康市公共资源交易中心（http://ak.sxggzyjy.cn/），选择“交易乙方”身份进入投标供应商界面下载招标文件；</w:t>
      </w:r>
      <w:r>
        <w:rPr>
          <w:rFonts w:hint="eastAsia" w:ascii="仿宋" w:hAnsi="仿宋" w:eastAsia="仿宋" w:cs="仿宋"/>
          <w:b/>
          <w:bCs/>
          <w:color w:val="auto"/>
          <w:sz w:val="24"/>
          <w:szCs w:val="24"/>
          <w:lang w:val="en-US" w:eastAsia="zh-CN"/>
        </w:rPr>
        <w:t>（4）本项目采用电子化投标的方式，相关操作流程详见全国公共资源交易平台（陕西省）网站[服务指南-下载专区]中的《陕西省公共资源交易中心政府采购项目投标指南》；</w:t>
      </w:r>
      <w:r>
        <w:rPr>
          <w:rFonts w:hint="eastAsia" w:ascii="仿宋" w:hAnsi="仿宋" w:eastAsia="仿宋" w:cs="仿宋"/>
          <w:b w:val="0"/>
          <w:bCs w:val="0"/>
          <w:color w:val="auto"/>
          <w:sz w:val="24"/>
          <w:szCs w:val="24"/>
          <w:lang w:val="en-US" w:eastAsia="zh-CN"/>
        </w:rPr>
        <w:t>（5）电子招标文件技术支持：4009280095、4009980000；（6）未及时下载招标文件或未经招标代理机构确认的将会影响后续开评标活动。如无进行线上操作，导致无法参与投标的，责任自负；（7）各投标供应商只可委托一名代表到场参与投标，进入安康市公共资源交易中心，需出示健康码和行程码（呈绿码），如行程码带“*”号需持48小时内核酸检测报告（阴性）方可进入会场，到场人员需自备口罩等防护工具，做好个人防护。因疫情防控政策时刻发生变化，来返安康，请拨打安康市疫情防控政策疫情防控咨询电话：0915-3319794，提前掌握疫情防控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名称：平利县文化和旅游广电局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地址：平利县城关镇月湖南路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联系方式：13669153208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名称：圣弘建设股份有限公司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地址：安康市汉滨区南环东路明江嘉园泰子府6栋2单元303室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联系方式：0915-8880180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项目联系人：朱工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电话：13922860752</w:t>
      </w:r>
    </w:p>
    <w:p>
      <w:pPr>
        <w:pStyle w:val="2"/>
        <w:keepNext w:val="0"/>
        <w:keepLines w:val="0"/>
        <w:pageBreakBefore w:val="0"/>
        <w:kinsoku/>
        <w:wordWrap/>
        <w:overflowPunct/>
        <w:topLinePunct w:val="0"/>
        <w:autoSpaceDE/>
        <w:autoSpaceDN/>
        <w:bidi w:val="0"/>
        <w:adjustRightInd/>
        <w:snapToGrid/>
        <w:spacing w:after="0" w:line="480" w:lineRule="exact"/>
        <w:rPr>
          <w:rFonts w:hint="eastAsia" w:ascii="宋体" w:hAnsi="宋体" w:eastAsia="宋体" w:cs="宋体"/>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b w:val="0"/>
          <w:bCs w:val="0"/>
          <w:color w:val="auto"/>
          <w:sz w:val="24"/>
          <w:szCs w:val="24"/>
          <w:lang w:val="en-US" w:eastAsia="zh-CN"/>
        </w:rPr>
      </w:pPr>
    </w:p>
    <w:p>
      <w:pPr>
        <w:jc w:val="center"/>
        <w:outlineLvl w:val="9"/>
        <w:rPr>
          <w:rFonts w:hint="eastAsia" w:ascii="仿宋" w:hAnsi="仿宋" w:eastAsia="仿宋" w:cs="仿宋"/>
          <w:b/>
          <w:color w:val="auto"/>
          <w:sz w:val="32"/>
          <w:szCs w:val="32"/>
          <w:highlight w:val="none"/>
        </w:rPr>
      </w:pPr>
    </w:p>
    <w:p>
      <w:pPr>
        <w:jc w:val="center"/>
        <w:outlineLvl w:val="9"/>
        <w:rPr>
          <w:rFonts w:hint="eastAsia" w:ascii="仿宋" w:hAnsi="仿宋" w:eastAsia="仿宋" w:cs="仿宋"/>
          <w:b/>
          <w:color w:val="auto"/>
          <w:sz w:val="32"/>
          <w:szCs w:val="32"/>
          <w:highlight w:val="none"/>
        </w:rPr>
      </w:pPr>
    </w:p>
    <w:p>
      <w:pPr>
        <w:jc w:val="both"/>
        <w:outlineLvl w:val="9"/>
        <w:rPr>
          <w:rFonts w:hint="eastAsia" w:ascii="仿宋" w:hAnsi="仿宋" w:eastAsia="仿宋" w:cs="仿宋"/>
          <w:b/>
          <w:color w:val="auto"/>
          <w:sz w:val="32"/>
          <w:szCs w:val="32"/>
          <w:highlight w:val="none"/>
        </w:rPr>
      </w:pPr>
    </w:p>
    <w:p>
      <w:pPr>
        <w:jc w:val="center"/>
        <w:outlineLvl w:val="0"/>
        <w:rPr>
          <w:rFonts w:ascii="仿宋" w:hAnsi="仿宋" w:eastAsia="仿宋" w:cs="仿宋"/>
          <w:b/>
          <w:color w:val="auto"/>
          <w:sz w:val="32"/>
          <w:szCs w:val="32"/>
          <w:highlight w:val="none"/>
        </w:rPr>
      </w:pPr>
      <w:bookmarkStart w:id="37" w:name="_Toc14992"/>
      <w:r>
        <w:rPr>
          <w:rFonts w:hint="eastAsia" w:ascii="仿宋" w:hAnsi="仿宋" w:eastAsia="仿宋" w:cs="仿宋"/>
          <w:b/>
          <w:color w:val="auto"/>
          <w:sz w:val="32"/>
          <w:szCs w:val="32"/>
          <w:highlight w:val="none"/>
        </w:rPr>
        <w:t>第二章 投标须知前附表</w:t>
      </w:r>
      <w:bookmarkEnd w:id="11"/>
      <w:bookmarkEnd w:id="12"/>
      <w:bookmarkEnd w:id="37"/>
    </w:p>
    <w:bookmarkEnd w:id="13"/>
    <w:tbl>
      <w:tblPr>
        <w:tblStyle w:val="2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86"/>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6" w:type="dxa"/>
            <w:vAlign w:val="center"/>
          </w:tcPr>
          <w:p>
            <w:pPr>
              <w:spacing w:line="32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586" w:type="dxa"/>
            <w:vAlign w:val="center"/>
          </w:tcPr>
          <w:p>
            <w:pPr>
              <w:spacing w:line="32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内容</w:t>
            </w:r>
          </w:p>
        </w:tc>
        <w:tc>
          <w:tcPr>
            <w:tcW w:w="7288" w:type="dxa"/>
            <w:vAlign w:val="center"/>
          </w:tcPr>
          <w:p>
            <w:pPr>
              <w:tabs>
                <w:tab w:val="left" w:pos="1180"/>
              </w:tabs>
              <w:spacing w:line="32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1</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项目编号</w:t>
            </w:r>
          </w:p>
        </w:tc>
        <w:tc>
          <w:tcPr>
            <w:tcW w:w="7288" w:type="dxa"/>
            <w:vAlign w:val="center"/>
          </w:tcPr>
          <w:p>
            <w:pPr>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SHCG2022-004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2</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项目名称</w:t>
            </w:r>
          </w:p>
        </w:tc>
        <w:tc>
          <w:tcPr>
            <w:tcW w:w="7288" w:type="dxa"/>
            <w:vAlign w:val="center"/>
          </w:tcPr>
          <w:p>
            <w:pPr>
              <w:spacing w:line="400" w:lineRule="exact"/>
              <w:rPr>
                <w:rFonts w:hint="eastAsia" w:ascii="仿宋" w:hAnsi="仿宋" w:eastAsia="宋体" w:cs="仿宋"/>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平利县全域旅游标识体系建设项目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eastAsia="zh-CN"/>
              </w:rPr>
              <w:t>资金来源</w:t>
            </w:r>
          </w:p>
        </w:tc>
        <w:tc>
          <w:tcPr>
            <w:tcW w:w="7288" w:type="dxa"/>
            <w:vAlign w:val="center"/>
          </w:tcPr>
          <w:p>
            <w:pPr>
              <w:spacing w:line="400" w:lineRule="exact"/>
              <w:rPr>
                <w:rFonts w:hint="default" w:ascii="仿宋" w:hAnsi="仿宋" w:eastAsia="宋体" w:cs="仿宋"/>
                <w:color w:val="auto"/>
                <w:kern w:val="0"/>
                <w:sz w:val="24"/>
                <w:szCs w:val="24"/>
                <w:highlight w:val="none"/>
                <w:lang w:val="en-US" w:eastAsia="zh-CN" w:bidi="ar-SA"/>
              </w:rPr>
            </w:pPr>
            <w:r>
              <w:rPr>
                <w:rFonts w:hint="default" w:ascii="仿宋" w:hAnsi="仿宋" w:eastAsia="仿宋" w:cs="仿宋"/>
                <w:color w:val="auto"/>
                <w:sz w:val="24"/>
                <w:highlight w:val="none"/>
                <w:lang w:val="en-US"/>
              </w:rPr>
              <w:t>县发改局协调解决前期费用30万元</w:t>
            </w:r>
            <w:r>
              <w:rPr>
                <w:rFonts w:hint="eastAsia" w:ascii="仿宋" w:hAnsi="仿宋" w:eastAsia="仿宋" w:cs="仿宋"/>
                <w:color w:val="auto"/>
                <w:sz w:val="24"/>
                <w:highlight w:val="none"/>
                <w:lang w:val="en-US" w:eastAsia="zh-CN"/>
              </w:rPr>
              <w:t>和2022年全县旅游发展专项资金统筹325万。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6" w:type="dxa"/>
            <w:vAlign w:val="center"/>
          </w:tcPr>
          <w:p>
            <w:pPr>
              <w:spacing w:line="32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p>
        </w:tc>
        <w:tc>
          <w:tcPr>
            <w:tcW w:w="1586" w:type="dxa"/>
            <w:vAlign w:val="center"/>
          </w:tcPr>
          <w:p>
            <w:pPr>
              <w:spacing w:line="32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kern w:val="2"/>
                <w:sz w:val="24"/>
                <w:szCs w:val="24"/>
                <w:highlight w:val="none"/>
                <w:lang w:val="en-US" w:eastAsia="zh-CN" w:bidi="ar-SA"/>
              </w:rPr>
              <w:t>项目概算</w:t>
            </w:r>
          </w:p>
        </w:tc>
        <w:tc>
          <w:tcPr>
            <w:tcW w:w="72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3550000.00元（叁佰伍拾伍万元整）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招标最高</w:t>
            </w:r>
          </w:p>
          <w:p>
            <w:pP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highlight w:val="none"/>
                <w:lang w:val="zh-CN" w:eastAsia="zh-CN" w:bidi="ar-SA"/>
              </w:rPr>
              <w:t>限价</w:t>
            </w:r>
          </w:p>
        </w:tc>
        <w:tc>
          <w:tcPr>
            <w:tcW w:w="7288" w:type="dxa"/>
            <w:vAlign w:val="center"/>
          </w:tcPr>
          <w:p>
            <w:pPr>
              <w:bidi w:val="0"/>
              <w:rPr>
                <w:rFonts w:hint="default" w:ascii="仿宋" w:hAnsi="仿宋" w:eastAsia="仿宋" w:cs="仿宋"/>
                <w:color w:val="auto"/>
                <w:sz w:val="24"/>
                <w:highlight w:val="none"/>
                <w:lang w:val="en-US"/>
              </w:rPr>
            </w:pPr>
            <w:r>
              <w:rPr>
                <w:rFonts w:hint="eastAsia" w:ascii="仿宋" w:hAnsi="仿宋" w:eastAsia="仿宋" w:cs="仿宋"/>
                <w:b/>
                <w:bCs/>
                <w:color w:val="auto"/>
                <w:sz w:val="24"/>
                <w:highlight w:val="none"/>
                <w:lang w:val="en-US" w:eastAsia="zh-CN"/>
              </w:rPr>
              <w:t>本项目最高限价为人民币</w:t>
            </w:r>
            <w:r>
              <w:rPr>
                <w:rFonts w:hint="eastAsia" w:ascii="仿宋" w:hAnsi="仿宋" w:eastAsia="仿宋" w:cs="仿宋"/>
                <w:b/>
                <w:bCs/>
                <w:color w:val="auto"/>
                <w:sz w:val="24"/>
                <w:highlight w:val="none"/>
                <w:u w:val="single"/>
                <w:lang w:val="en-US" w:eastAsia="zh-CN"/>
              </w:rPr>
              <w:t>叁佰伍拾伍万元整（¥3550000.00元）</w:t>
            </w:r>
            <w:r>
              <w:rPr>
                <w:rFonts w:hint="eastAsia" w:ascii="仿宋" w:hAnsi="仿宋" w:eastAsia="仿宋" w:cs="仿宋"/>
                <w:color w:val="auto"/>
                <w:sz w:val="24"/>
                <w:highlight w:val="none"/>
                <w:lang w:val="en-US" w:eastAsia="zh-CN"/>
              </w:rPr>
              <w:t>；投标供应商报价大于等于最高限价金额的，按无效投标处理。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726" w:type="dxa"/>
            <w:vAlign w:val="center"/>
          </w:tcPr>
          <w:p>
            <w:pPr>
              <w:spacing w:line="32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6</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采购内容</w:t>
            </w:r>
          </w:p>
        </w:tc>
        <w:tc>
          <w:tcPr>
            <w:tcW w:w="72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highlight w:val="none"/>
                <w:lang w:val="en-US"/>
              </w:rPr>
            </w:pPr>
            <w:r>
              <w:rPr>
                <w:rFonts w:hint="default" w:ascii="仿宋" w:hAnsi="仿宋" w:eastAsia="仿宋" w:cs="仿宋"/>
                <w:color w:val="auto"/>
                <w:sz w:val="24"/>
                <w:highlight w:val="none"/>
                <w:lang w:val="en-US"/>
              </w:rPr>
              <w:t>平利县全域旅游标识体系建设项目</w:t>
            </w:r>
            <w:r>
              <w:rPr>
                <w:rFonts w:hint="eastAsia" w:ascii="仿宋" w:hAnsi="仿宋" w:eastAsia="仿宋" w:cs="仿宋"/>
                <w:color w:val="auto"/>
                <w:sz w:val="24"/>
                <w:highlight w:val="none"/>
                <w:lang w:val="en-US" w:eastAsia="zh-CN"/>
              </w:rPr>
              <w:t>采购内容</w:t>
            </w:r>
            <w:r>
              <w:rPr>
                <w:rFonts w:hint="default" w:ascii="仿宋" w:hAnsi="仿宋" w:eastAsia="仿宋" w:cs="仿宋"/>
                <w:color w:val="auto"/>
                <w:sz w:val="24"/>
                <w:highlight w:val="none"/>
                <w:lang w:val="en-US"/>
              </w:rPr>
              <w:t>主要包括过境高速公路旅游标识牌、入境旅游形象标识牌、通景公路沿线旅游交通牌、重点景区和游客聚集场所全域全景图；采购数量:1批；主要功能或目标:完善平利县全域旅游标识体系，提升平利县全域旅游质量和水平；需满足的要求:能够满足平利县创建省级全域旅游示范区要求，提升旅游文化品味，彰显地方特色，满足游客到平利旅游的标识导视需求</w:t>
            </w:r>
            <w:r>
              <w:rPr>
                <w:rFonts w:hint="default" w:ascii="仿宋" w:hAnsi="仿宋" w:eastAsia="仿宋" w:cs="仿宋"/>
                <w:color w:val="auto"/>
                <w:sz w:val="24"/>
                <w:highlight w:val="none"/>
                <w:lang w:val="en-US" w:eastAsia="zh-CN"/>
              </w:rPr>
              <w:t>。</w:t>
            </w:r>
            <w:r>
              <w:rPr>
                <w:rFonts w:hint="eastAsia" w:ascii="仿宋" w:hAnsi="仿宋" w:eastAsia="仿宋" w:cs="仿宋"/>
                <w:b/>
                <w:bCs/>
                <w:color w:val="auto"/>
                <w:sz w:val="24"/>
                <w:highlight w:val="none"/>
                <w:lang w:val="en-US" w:eastAsia="zh-CN"/>
              </w:rPr>
              <w:t>（具体详见“第四章 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p>
        </w:tc>
        <w:tc>
          <w:tcPr>
            <w:tcW w:w="1586" w:type="dxa"/>
            <w:vAlign w:val="center"/>
          </w:tcPr>
          <w:p>
            <w:pP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特定资格</w:t>
            </w:r>
          </w:p>
          <w:p>
            <w:pPr>
              <w:spacing w:line="32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要求</w:t>
            </w:r>
          </w:p>
        </w:tc>
        <w:tc>
          <w:tcPr>
            <w:tcW w:w="7288" w:type="dxa"/>
            <w:vAlign w:val="center"/>
          </w:tcPr>
          <w:p>
            <w:pPr>
              <w:pStyle w:val="10"/>
              <w:widowControl/>
              <w:adjustRightInd/>
              <w:spacing w:line="400" w:lineRule="exact"/>
              <w:ind w:left="1" w:leftChars="0"/>
              <w:rPr>
                <w:rFonts w:hint="eastAsia" w:ascii="仿宋" w:hAnsi="仿宋" w:eastAsia="仿宋" w:cs="仿宋"/>
                <w:color w:val="FF0000"/>
                <w:sz w:val="24"/>
                <w:highlight w:val="none"/>
                <w:lang w:val="en-US" w:eastAsia="zh-CN"/>
              </w:rPr>
            </w:pPr>
            <w:r>
              <w:rPr>
                <w:rFonts w:hint="eastAsia" w:ascii="仿宋" w:hAnsi="仿宋" w:eastAsia="仿宋" w:cs="仿宋"/>
                <w:color w:val="auto"/>
                <w:kern w:val="2"/>
                <w:szCs w:val="24"/>
                <w:highlight w:val="none"/>
              </w:rPr>
              <w:t>详见招标</w:t>
            </w:r>
            <w:r>
              <w:rPr>
                <w:rFonts w:hint="eastAsia" w:ascii="仿宋" w:hAnsi="仿宋" w:eastAsia="仿宋" w:cs="仿宋"/>
                <w:color w:val="auto"/>
                <w:kern w:val="2"/>
                <w:szCs w:val="24"/>
                <w:highlight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8</w:t>
            </w:r>
          </w:p>
        </w:tc>
        <w:tc>
          <w:tcPr>
            <w:tcW w:w="1586" w:type="dxa"/>
            <w:vAlign w:val="center"/>
          </w:tcPr>
          <w:p>
            <w:pPr>
              <w:spacing w:line="320" w:lineRule="exac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供货安装</w:t>
            </w:r>
          </w:p>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eastAsia="zh-CN"/>
              </w:rPr>
              <w:t>地点</w:t>
            </w:r>
          </w:p>
        </w:tc>
        <w:tc>
          <w:tcPr>
            <w:tcW w:w="72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9</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eastAsia="zh-CN"/>
              </w:rPr>
              <w:t>供货安装期</w:t>
            </w:r>
          </w:p>
        </w:tc>
        <w:tc>
          <w:tcPr>
            <w:tcW w:w="72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合同签订后50日历天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10</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质保期</w:t>
            </w:r>
          </w:p>
        </w:tc>
        <w:tc>
          <w:tcPr>
            <w:tcW w:w="7288" w:type="dxa"/>
            <w:vAlign w:val="center"/>
          </w:tcPr>
          <w:p>
            <w:pPr>
              <w:pStyle w:val="10"/>
              <w:widowControl/>
              <w:adjustRightInd/>
              <w:spacing w:line="400" w:lineRule="exact"/>
              <w:ind w:left="1" w:lef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Cs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质量</w:t>
            </w:r>
            <w:r>
              <w:rPr>
                <w:rFonts w:hint="eastAsia" w:ascii="仿宋" w:hAnsi="仿宋" w:eastAsia="仿宋" w:cs="仿宋"/>
                <w:b/>
                <w:bCs/>
                <w:color w:val="auto"/>
                <w:sz w:val="24"/>
                <w:highlight w:val="none"/>
                <w:lang w:eastAsia="zh-CN"/>
              </w:rPr>
              <w:t>要求</w:t>
            </w:r>
          </w:p>
        </w:tc>
        <w:tc>
          <w:tcPr>
            <w:tcW w:w="7288" w:type="dxa"/>
            <w:vAlign w:val="center"/>
          </w:tcPr>
          <w:p>
            <w:pPr>
              <w:pStyle w:val="10"/>
              <w:widowControl/>
              <w:adjustRightInd/>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合格（符合国家、省、市及相关部门的质量标准要求）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12</w:t>
            </w:r>
          </w:p>
        </w:tc>
        <w:tc>
          <w:tcPr>
            <w:tcW w:w="1586" w:type="dxa"/>
            <w:vAlign w:val="center"/>
          </w:tcPr>
          <w:p>
            <w:pPr>
              <w:spacing w:line="3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现场踏勘</w:t>
            </w:r>
          </w:p>
        </w:tc>
        <w:tc>
          <w:tcPr>
            <w:tcW w:w="7288" w:type="dxa"/>
            <w:vAlign w:val="center"/>
          </w:tcPr>
          <w:p>
            <w:pPr>
              <w:pStyle w:val="10"/>
              <w:widowControl/>
              <w:adjustRightInd/>
              <w:spacing w:line="400" w:lineRule="exact"/>
              <w:ind w:left="1" w:left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Cs w:val="24"/>
                <w:highlight w:val="none"/>
                <w:lang w:eastAsia="zh-CN"/>
              </w:rPr>
              <w:t>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13</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采购方式</w:t>
            </w:r>
          </w:p>
        </w:tc>
        <w:tc>
          <w:tcPr>
            <w:tcW w:w="7288" w:type="dxa"/>
            <w:vAlign w:val="center"/>
          </w:tcPr>
          <w:p>
            <w:pPr>
              <w:pStyle w:val="10"/>
              <w:widowControl/>
              <w:adjustRightInd/>
              <w:spacing w:line="400" w:lineRule="exact"/>
              <w:rPr>
                <w:rFonts w:ascii="仿宋" w:hAnsi="仿宋" w:eastAsia="仿宋" w:cs="仿宋"/>
                <w:color w:val="auto"/>
                <w:szCs w:val="24"/>
                <w:highlight w:val="none"/>
              </w:rPr>
            </w:pPr>
            <w:r>
              <w:rPr>
                <w:rFonts w:hint="eastAsia" w:ascii="仿宋" w:hAnsi="仿宋" w:eastAsia="仿宋" w:cs="仿宋"/>
                <w:color w:val="auto"/>
                <w:szCs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14</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投标文件</w:t>
            </w:r>
          </w:p>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份数</w:t>
            </w:r>
          </w:p>
        </w:tc>
        <w:tc>
          <w:tcPr>
            <w:tcW w:w="7288" w:type="dxa"/>
            <w:vAlign w:val="center"/>
          </w:tcPr>
          <w:p>
            <w:pPr>
              <w:pStyle w:val="10"/>
              <w:widowControl/>
              <w:adjustRightInd/>
              <w:spacing w:line="400" w:lineRule="exac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电子投标文件（*.SXSTF）1份</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rPr>
              <w:t>提交响应文件截止时间前任意时段登录全国公共资源交易平台（陕西省）网站进行提交，逾期系统将拒绝接收。项目</w:t>
            </w:r>
            <w:r>
              <w:rPr>
                <w:rFonts w:hint="eastAsia" w:ascii="仿宋" w:hAnsi="仿宋" w:eastAsia="仿宋" w:cs="仿宋"/>
                <w:b/>
                <w:bCs/>
                <w:color w:val="auto"/>
                <w:szCs w:val="24"/>
                <w:highlight w:val="none"/>
                <w:lang w:eastAsia="zh-CN"/>
              </w:rPr>
              <w:t>中标</w:t>
            </w:r>
            <w:r>
              <w:rPr>
                <w:rFonts w:hint="eastAsia" w:ascii="仿宋" w:hAnsi="仿宋" w:eastAsia="仿宋" w:cs="仿宋"/>
                <w:b/>
                <w:bCs/>
                <w:color w:val="auto"/>
                <w:szCs w:val="24"/>
                <w:highlight w:val="none"/>
              </w:rPr>
              <w:t>后由</w:t>
            </w:r>
            <w:r>
              <w:rPr>
                <w:rFonts w:hint="eastAsia" w:ascii="仿宋" w:hAnsi="仿宋" w:eastAsia="仿宋" w:cs="仿宋"/>
                <w:b/>
                <w:bCs/>
                <w:color w:val="auto"/>
                <w:szCs w:val="24"/>
                <w:highlight w:val="none"/>
                <w:lang w:eastAsia="zh-CN"/>
              </w:rPr>
              <w:t>中标投标供应商</w:t>
            </w:r>
            <w:r>
              <w:rPr>
                <w:rFonts w:hint="eastAsia" w:ascii="仿宋" w:hAnsi="仿宋" w:eastAsia="仿宋" w:cs="仿宋"/>
                <w:b/>
                <w:bCs/>
                <w:color w:val="auto"/>
                <w:szCs w:val="24"/>
                <w:highlight w:val="none"/>
              </w:rPr>
              <w:t>在领取</w:t>
            </w:r>
            <w:r>
              <w:rPr>
                <w:rFonts w:hint="eastAsia" w:ascii="仿宋" w:hAnsi="仿宋" w:eastAsia="仿宋" w:cs="仿宋"/>
                <w:b/>
                <w:bCs/>
                <w:color w:val="auto"/>
                <w:szCs w:val="24"/>
                <w:highlight w:val="none"/>
                <w:lang w:eastAsia="zh-CN"/>
              </w:rPr>
              <w:t>中标</w:t>
            </w:r>
            <w:r>
              <w:rPr>
                <w:rFonts w:hint="eastAsia" w:ascii="仿宋" w:hAnsi="仿宋" w:eastAsia="仿宋" w:cs="仿宋"/>
                <w:b/>
                <w:bCs/>
                <w:color w:val="auto"/>
                <w:szCs w:val="24"/>
                <w:highlight w:val="none"/>
              </w:rPr>
              <w:t>通知书时提供一正两副纸质版投标文件用于备案。</w:t>
            </w:r>
          </w:p>
          <w:p>
            <w:pPr>
              <w:pStyle w:val="10"/>
              <w:widowControl/>
              <w:adjustRightInd/>
              <w:spacing w:line="400" w:lineRule="exact"/>
              <w:ind w:firstLine="482" w:firstLineChars="200"/>
              <w:rPr>
                <w:rFonts w:ascii="仿宋" w:hAnsi="仿宋" w:eastAsia="仿宋" w:cs="仿宋"/>
                <w:color w:val="auto"/>
                <w:szCs w:val="24"/>
                <w:highlight w:val="none"/>
              </w:rPr>
            </w:pPr>
            <w:r>
              <w:rPr>
                <w:rFonts w:hint="eastAsia" w:ascii="仿宋" w:hAnsi="仿宋" w:eastAsia="仿宋" w:cs="仿宋"/>
                <w:b/>
                <w:bCs/>
                <w:color w:val="auto"/>
                <w:szCs w:val="24"/>
                <w:highlight w:val="none"/>
                <w:lang w:eastAsia="zh-CN"/>
              </w:rPr>
              <w:t>注：投标供应商须</w:t>
            </w:r>
            <w:r>
              <w:rPr>
                <w:rFonts w:hint="eastAsia" w:ascii="仿宋" w:hAnsi="仿宋" w:eastAsia="仿宋" w:cs="仿宋"/>
                <w:b/>
                <w:bCs/>
                <w:color w:val="auto"/>
                <w:szCs w:val="24"/>
                <w:highlight w:val="none"/>
              </w:rPr>
              <w:t>确保电子</w:t>
            </w:r>
            <w:r>
              <w:rPr>
                <w:rFonts w:hint="eastAsia" w:ascii="仿宋" w:hAnsi="仿宋" w:eastAsia="仿宋" w:cs="仿宋"/>
                <w:b/>
                <w:bCs/>
                <w:color w:val="auto"/>
                <w:szCs w:val="24"/>
                <w:highlight w:val="none"/>
                <w:lang w:eastAsia="zh-CN"/>
              </w:rPr>
              <w:t>响应</w:t>
            </w:r>
            <w:r>
              <w:rPr>
                <w:rFonts w:hint="eastAsia" w:ascii="仿宋" w:hAnsi="仿宋" w:eastAsia="仿宋" w:cs="仿宋"/>
                <w:b/>
                <w:bCs/>
                <w:color w:val="auto"/>
                <w:szCs w:val="24"/>
                <w:highlight w:val="none"/>
                <w:lang w:val="en-US" w:eastAsia="zh-CN"/>
              </w:rPr>
              <w:t>文件（*.SXSTF）内容字迹清晰、易于辨认、避免涂改、行间插字或增删，如有修改错漏之处，必须由投标供应商加盖投标供应商的印章或由投标文件签字人签字后才有效。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6" w:type="dxa"/>
            <w:vAlign w:val="center"/>
          </w:tcPr>
          <w:p>
            <w:pPr>
              <w:spacing w:line="320" w:lineRule="exact"/>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15</w:t>
            </w:r>
          </w:p>
        </w:tc>
        <w:tc>
          <w:tcPr>
            <w:tcW w:w="1586" w:type="dxa"/>
            <w:vAlign w:val="center"/>
          </w:tcPr>
          <w:p>
            <w:pPr>
              <w:spacing w:line="320" w:lineRule="exact"/>
              <w:jc w:val="center"/>
              <w:rPr>
                <w:rFonts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投标有效期</w:t>
            </w:r>
          </w:p>
        </w:tc>
        <w:tc>
          <w:tcPr>
            <w:tcW w:w="7288" w:type="dxa"/>
            <w:vAlign w:val="center"/>
          </w:tcPr>
          <w:p>
            <w:pPr>
              <w:spacing w:line="400" w:lineRule="exact"/>
              <w:ind w:left="-29" w:leftChars="-14"/>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90个日历天（从投标截止之日算起）。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rPr>
            </w:pPr>
            <w:r>
              <w:rPr>
                <w:rFonts w:hint="eastAsia" w:ascii="仿宋" w:hAnsi="仿宋" w:eastAsia="仿宋" w:cs="仿宋"/>
                <w:b/>
                <w:bCs/>
                <w:color w:val="auto"/>
                <w:sz w:val="24"/>
                <w:highlight w:val="none"/>
                <w:lang w:val="en-US" w:eastAsia="zh-CN"/>
              </w:rPr>
              <w:t>16</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签字盖章</w:t>
            </w:r>
          </w:p>
          <w:p>
            <w:pP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要求</w:t>
            </w:r>
          </w:p>
        </w:tc>
        <w:tc>
          <w:tcPr>
            <w:tcW w:w="7288" w:type="dxa"/>
            <w:vAlign w:val="center"/>
          </w:tcPr>
          <w:p>
            <w:pPr>
              <w:pStyle w:val="10"/>
              <w:widowControl/>
              <w:ind w:firstLine="482" w:firstLineChars="200"/>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投标文件封面、投标函</w:t>
            </w:r>
            <w:r>
              <w:rPr>
                <w:rFonts w:hint="eastAsia" w:ascii="仿宋" w:hAnsi="仿宋" w:eastAsia="仿宋" w:cs="仿宋"/>
                <w:b/>
                <w:bCs/>
                <w:color w:val="auto"/>
                <w:szCs w:val="24"/>
                <w:highlight w:val="none"/>
                <w:lang w:eastAsia="zh-CN"/>
              </w:rPr>
              <w:t>及投标文件</w:t>
            </w:r>
            <w:r>
              <w:rPr>
                <w:rFonts w:hint="eastAsia" w:ascii="仿宋" w:hAnsi="仿宋" w:eastAsia="仿宋" w:cs="仿宋"/>
                <w:b/>
                <w:bCs/>
                <w:color w:val="auto"/>
                <w:szCs w:val="24"/>
                <w:highlight w:val="none"/>
                <w:lang w:val="en-US" w:eastAsia="zh-CN"/>
              </w:rPr>
              <w:t>中</w:t>
            </w:r>
            <w:r>
              <w:rPr>
                <w:rFonts w:hint="eastAsia" w:ascii="仿宋" w:hAnsi="仿宋" w:eastAsia="仿宋" w:cs="仿宋"/>
                <w:b/>
                <w:bCs/>
                <w:color w:val="auto"/>
                <w:szCs w:val="24"/>
                <w:highlight w:val="none"/>
              </w:rPr>
              <w:t>其它有要求处</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rPr>
              <w:t>均应加盖</w:t>
            </w:r>
            <w:r>
              <w:rPr>
                <w:rFonts w:hint="eastAsia" w:ascii="仿宋" w:hAnsi="仿宋" w:eastAsia="仿宋" w:cs="仿宋"/>
                <w:b/>
                <w:bCs/>
                <w:color w:val="auto"/>
                <w:szCs w:val="24"/>
                <w:highlight w:val="none"/>
                <w:lang w:eastAsia="zh-CN"/>
              </w:rPr>
              <w:t>投标供应商</w:t>
            </w:r>
            <w:r>
              <w:rPr>
                <w:rFonts w:hint="eastAsia" w:ascii="仿宋" w:hAnsi="仿宋" w:eastAsia="仿宋" w:cs="仿宋"/>
                <w:b/>
                <w:bCs/>
                <w:color w:val="auto"/>
                <w:szCs w:val="24"/>
                <w:highlight w:val="none"/>
              </w:rPr>
              <w:t>印章</w:t>
            </w:r>
            <w:r>
              <w:rPr>
                <w:rFonts w:hint="eastAsia" w:ascii="仿宋" w:hAnsi="仿宋" w:eastAsia="仿宋" w:cs="仿宋"/>
                <w:b/>
                <w:bCs/>
                <w:color w:val="auto"/>
                <w:szCs w:val="24"/>
                <w:highlight w:val="none"/>
                <w:lang w:eastAsia="zh-CN"/>
              </w:rPr>
              <w:t>、法人章或法定代表人签字且无遗漏，</w:t>
            </w:r>
            <w:r>
              <w:rPr>
                <w:rFonts w:hint="eastAsia" w:ascii="仿宋" w:hAnsi="仿宋" w:eastAsia="仿宋" w:cs="仿宋"/>
                <w:b/>
                <w:bCs/>
                <w:color w:val="auto"/>
                <w:szCs w:val="24"/>
                <w:highlight w:val="none"/>
              </w:rPr>
              <w:t>由委托代理人签字的在投标文件中须同时提交投标文件签署授权委托书。</w:t>
            </w:r>
          </w:p>
          <w:p>
            <w:pPr>
              <w:pStyle w:val="10"/>
              <w:widowControl/>
              <w:spacing w:line="360" w:lineRule="exact"/>
              <w:ind w:firstLine="482" w:firstLineChars="200"/>
              <w:rPr>
                <w:rFonts w:hint="eastAsia" w:ascii="仿宋" w:hAnsi="仿宋" w:eastAsia="仿宋" w:cs="仿宋"/>
                <w:b/>
                <w:bCs/>
                <w:color w:val="FF0000"/>
                <w:szCs w:val="24"/>
                <w:highlight w:val="none"/>
              </w:rPr>
            </w:pPr>
            <w:r>
              <w:rPr>
                <w:rFonts w:hint="eastAsia" w:ascii="仿宋" w:hAnsi="仿宋" w:eastAsia="仿宋" w:cs="仿宋"/>
                <w:b/>
                <w:bCs/>
                <w:color w:val="auto"/>
                <w:szCs w:val="24"/>
                <w:highlight w:val="none"/>
              </w:rPr>
              <w:t>全套投标文件应无涂改或行间插字和增删。如确需修改，</w:t>
            </w:r>
            <w:r>
              <w:rPr>
                <w:rFonts w:hint="eastAsia" w:ascii="仿宋" w:hAnsi="仿宋" w:eastAsia="仿宋" w:cs="仿宋"/>
                <w:b/>
                <w:bCs/>
                <w:color w:val="auto"/>
                <w:szCs w:val="24"/>
                <w:highlight w:val="none"/>
                <w:lang w:val="en-US" w:eastAsia="zh-CN"/>
              </w:rPr>
              <w:t>必须由投标供应商加盖公章或由投标文件签字人签字后才有效。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17</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投标文件</w:t>
            </w:r>
          </w:p>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递交时间</w:t>
            </w:r>
          </w:p>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及地点</w:t>
            </w:r>
          </w:p>
        </w:tc>
        <w:tc>
          <w:tcPr>
            <w:tcW w:w="7288" w:type="dxa"/>
            <w:vAlign w:val="center"/>
          </w:tcPr>
          <w:p>
            <w:pPr>
              <w:pStyle w:val="10"/>
              <w:spacing w:line="400" w:lineRule="exact"/>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投标文件递交截止时间:</w:t>
            </w:r>
            <w:r>
              <w:rPr>
                <w:rFonts w:hint="eastAsia" w:ascii="仿宋" w:hAnsi="仿宋" w:eastAsia="仿宋" w:cs="仿宋"/>
                <w:b/>
                <w:bCs/>
                <w:color w:val="auto"/>
                <w:szCs w:val="24"/>
                <w:highlight w:val="none"/>
                <w:u w:val="single"/>
              </w:rPr>
              <w:t>2022年</w:t>
            </w:r>
            <w:r>
              <w:rPr>
                <w:rFonts w:hint="eastAsia" w:ascii="仿宋" w:hAnsi="仿宋" w:eastAsia="仿宋" w:cs="仿宋"/>
                <w:b/>
                <w:bCs/>
                <w:color w:val="auto"/>
                <w:szCs w:val="24"/>
                <w:highlight w:val="none"/>
                <w:u w:val="single"/>
                <w:lang w:val="en-US" w:eastAsia="zh-CN"/>
              </w:rPr>
              <w:t>08</w:t>
            </w:r>
            <w:r>
              <w:rPr>
                <w:rFonts w:hint="eastAsia" w:ascii="仿宋" w:hAnsi="仿宋" w:eastAsia="仿宋" w:cs="仿宋"/>
                <w:b/>
                <w:bCs/>
                <w:color w:val="auto"/>
                <w:szCs w:val="24"/>
                <w:highlight w:val="none"/>
                <w:u w:val="single"/>
              </w:rPr>
              <w:t>月</w:t>
            </w:r>
            <w:r>
              <w:rPr>
                <w:rFonts w:hint="eastAsia" w:ascii="仿宋" w:hAnsi="仿宋" w:eastAsia="仿宋" w:cs="仿宋"/>
                <w:b/>
                <w:bCs/>
                <w:color w:val="auto"/>
                <w:szCs w:val="24"/>
                <w:highlight w:val="none"/>
                <w:u w:val="single"/>
                <w:lang w:val="en-US" w:eastAsia="zh-CN"/>
              </w:rPr>
              <w:t>26</w:t>
            </w:r>
            <w:r>
              <w:rPr>
                <w:rFonts w:hint="eastAsia" w:ascii="仿宋" w:hAnsi="仿宋" w:eastAsia="仿宋" w:cs="仿宋"/>
                <w:b/>
                <w:bCs/>
                <w:color w:val="auto"/>
                <w:szCs w:val="24"/>
                <w:highlight w:val="none"/>
                <w:u w:val="single"/>
              </w:rPr>
              <w:t>日</w:t>
            </w:r>
            <w:r>
              <w:rPr>
                <w:rFonts w:hint="eastAsia" w:ascii="仿宋" w:hAnsi="仿宋" w:eastAsia="仿宋" w:cs="仿宋"/>
                <w:b/>
                <w:bCs/>
                <w:color w:val="auto"/>
                <w:szCs w:val="24"/>
                <w:highlight w:val="none"/>
                <w:u w:val="single"/>
                <w:lang w:val="en-US" w:eastAsia="zh-CN"/>
              </w:rPr>
              <w:t>14</w:t>
            </w:r>
            <w:r>
              <w:rPr>
                <w:rFonts w:hint="eastAsia" w:ascii="仿宋" w:hAnsi="仿宋" w:eastAsia="仿宋" w:cs="仿宋"/>
                <w:b/>
                <w:bCs/>
                <w:color w:val="auto"/>
                <w:szCs w:val="24"/>
                <w:highlight w:val="none"/>
                <w:u w:val="single"/>
              </w:rPr>
              <w:t>时</w:t>
            </w:r>
            <w:r>
              <w:rPr>
                <w:rFonts w:hint="eastAsia" w:ascii="仿宋" w:hAnsi="仿宋" w:eastAsia="仿宋" w:cs="仿宋"/>
                <w:b/>
                <w:bCs/>
                <w:color w:val="auto"/>
                <w:szCs w:val="24"/>
                <w:highlight w:val="none"/>
                <w:u w:val="single"/>
                <w:lang w:val="en-US" w:eastAsia="zh-CN"/>
              </w:rPr>
              <w:t>00</w:t>
            </w:r>
            <w:r>
              <w:rPr>
                <w:rFonts w:hint="eastAsia" w:ascii="仿宋" w:hAnsi="仿宋" w:eastAsia="仿宋" w:cs="仿宋"/>
                <w:b/>
                <w:bCs/>
                <w:color w:val="auto"/>
                <w:szCs w:val="24"/>
                <w:highlight w:val="none"/>
                <w:u w:val="single"/>
              </w:rPr>
              <w:t>分前</w:t>
            </w:r>
            <w:r>
              <w:rPr>
                <w:rFonts w:hint="eastAsia" w:ascii="仿宋" w:hAnsi="仿宋" w:eastAsia="仿宋" w:cs="仿宋"/>
                <w:b/>
                <w:bCs/>
                <w:color w:val="auto"/>
                <w:szCs w:val="24"/>
                <w:highlight w:val="none"/>
              </w:rPr>
              <w:t>。</w:t>
            </w:r>
          </w:p>
          <w:p>
            <w:pPr>
              <w:pStyle w:val="10"/>
              <w:spacing w:line="400" w:lineRule="exact"/>
              <w:rPr>
                <w:rFonts w:ascii="仿宋" w:hAnsi="仿宋" w:eastAsia="仿宋" w:cs="仿宋"/>
                <w:b/>
                <w:bCs/>
                <w:color w:val="auto"/>
                <w:szCs w:val="24"/>
                <w:highlight w:val="none"/>
              </w:rPr>
            </w:pPr>
            <w:r>
              <w:rPr>
                <w:rFonts w:hint="eastAsia" w:ascii="仿宋" w:hAnsi="仿宋" w:eastAsia="仿宋" w:cs="仿宋"/>
                <w:b/>
                <w:bCs/>
                <w:color w:val="auto"/>
                <w:szCs w:val="24"/>
                <w:highlight w:val="none"/>
              </w:rPr>
              <w:t>递交平台：</w:t>
            </w:r>
            <w:r>
              <w:rPr>
                <w:rFonts w:hint="eastAsia" w:ascii="仿宋" w:hAnsi="仿宋" w:eastAsia="仿宋" w:cs="仿宋"/>
                <w:b/>
                <w:bCs/>
                <w:color w:val="auto"/>
                <w:szCs w:val="24"/>
                <w:highlight w:val="none"/>
                <w:u w:val="single"/>
              </w:rPr>
              <w:t>全国公共资源交易平台（陕西省安康市）</w:t>
            </w:r>
            <w:r>
              <w:rPr>
                <w:rFonts w:hint="eastAsia" w:ascii="仿宋" w:hAnsi="仿宋" w:eastAsia="仿宋" w:cs="仿宋"/>
                <w:b/>
                <w:bCs/>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18</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开标时间</w:t>
            </w:r>
          </w:p>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及地点</w:t>
            </w:r>
          </w:p>
        </w:tc>
        <w:tc>
          <w:tcPr>
            <w:tcW w:w="7288" w:type="dxa"/>
            <w:vAlign w:val="center"/>
          </w:tcPr>
          <w:p>
            <w:pPr>
              <w:pStyle w:val="10"/>
              <w:widowControl/>
              <w:spacing w:line="400" w:lineRule="exact"/>
              <w:rPr>
                <w:rFonts w:ascii="仿宋" w:hAnsi="仿宋" w:eastAsia="仿宋" w:cs="仿宋"/>
                <w:b/>
                <w:bCs/>
                <w:color w:val="auto"/>
                <w:szCs w:val="24"/>
                <w:highlight w:val="none"/>
              </w:rPr>
            </w:pPr>
            <w:r>
              <w:rPr>
                <w:rFonts w:hint="eastAsia" w:ascii="仿宋" w:hAnsi="仿宋" w:eastAsia="仿宋" w:cs="仿宋"/>
                <w:b/>
                <w:bCs/>
                <w:color w:val="auto"/>
                <w:szCs w:val="24"/>
                <w:highlight w:val="none"/>
              </w:rPr>
              <w:t>开标时间:</w:t>
            </w:r>
            <w:r>
              <w:rPr>
                <w:rFonts w:hint="eastAsia" w:ascii="仿宋" w:hAnsi="仿宋" w:eastAsia="仿宋" w:cs="仿宋"/>
                <w:b/>
                <w:bCs/>
                <w:color w:val="auto"/>
                <w:szCs w:val="24"/>
                <w:highlight w:val="none"/>
                <w:u w:val="single"/>
              </w:rPr>
              <w:t>2022年</w:t>
            </w:r>
            <w:r>
              <w:rPr>
                <w:rFonts w:hint="eastAsia" w:ascii="仿宋" w:hAnsi="仿宋" w:eastAsia="仿宋" w:cs="仿宋"/>
                <w:b/>
                <w:bCs/>
                <w:color w:val="auto"/>
                <w:szCs w:val="24"/>
                <w:highlight w:val="none"/>
                <w:u w:val="single"/>
                <w:lang w:val="en-US" w:eastAsia="zh-CN"/>
              </w:rPr>
              <w:t>08</w:t>
            </w:r>
            <w:r>
              <w:rPr>
                <w:rFonts w:hint="eastAsia" w:ascii="仿宋" w:hAnsi="仿宋" w:eastAsia="仿宋" w:cs="仿宋"/>
                <w:b/>
                <w:bCs/>
                <w:color w:val="auto"/>
                <w:szCs w:val="24"/>
                <w:highlight w:val="none"/>
                <w:u w:val="single"/>
              </w:rPr>
              <w:t>月</w:t>
            </w:r>
            <w:r>
              <w:rPr>
                <w:rFonts w:hint="eastAsia" w:ascii="仿宋" w:hAnsi="仿宋" w:eastAsia="仿宋" w:cs="仿宋"/>
                <w:b/>
                <w:bCs/>
                <w:color w:val="auto"/>
                <w:szCs w:val="24"/>
                <w:highlight w:val="none"/>
                <w:u w:val="single"/>
                <w:lang w:val="en-US" w:eastAsia="zh-CN"/>
              </w:rPr>
              <w:t>26</w:t>
            </w:r>
            <w:r>
              <w:rPr>
                <w:rFonts w:hint="eastAsia" w:ascii="仿宋" w:hAnsi="仿宋" w:eastAsia="仿宋" w:cs="仿宋"/>
                <w:b/>
                <w:bCs/>
                <w:color w:val="auto"/>
                <w:szCs w:val="24"/>
                <w:highlight w:val="none"/>
                <w:u w:val="single"/>
              </w:rPr>
              <w:t>日</w:t>
            </w:r>
            <w:r>
              <w:rPr>
                <w:rFonts w:hint="eastAsia" w:ascii="仿宋" w:hAnsi="仿宋" w:eastAsia="仿宋" w:cs="仿宋"/>
                <w:b/>
                <w:bCs/>
                <w:color w:val="auto"/>
                <w:szCs w:val="24"/>
                <w:highlight w:val="none"/>
                <w:u w:val="single"/>
                <w:lang w:val="en-US" w:eastAsia="zh-CN"/>
              </w:rPr>
              <w:t>14</w:t>
            </w:r>
            <w:r>
              <w:rPr>
                <w:rFonts w:hint="eastAsia" w:ascii="仿宋" w:hAnsi="仿宋" w:eastAsia="仿宋" w:cs="仿宋"/>
                <w:b/>
                <w:bCs/>
                <w:color w:val="auto"/>
                <w:szCs w:val="24"/>
                <w:highlight w:val="none"/>
                <w:u w:val="single"/>
              </w:rPr>
              <w:t>时</w:t>
            </w:r>
            <w:r>
              <w:rPr>
                <w:rFonts w:hint="eastAsia" w:ascii="仿宋" w:hAnsi="仿宋" w:eastAsia="仿宋" w:cs="仿宋"/>
                <w:b/>
                <w:bCs/>
                <w:color w:val="auto"/>
                <w:szCs w:val="24"/>
                <w:highlight w:val="none"/>
                <w:u w:val="single"/>
                <w:lang w:val="en-US" w:eastAsia="zh-CN"/>
              </w:rPr>
              <w:t>00</w:t>
            </w:r>
            <w:r>
              <w:rPr>
                <w:rFonts w:hint="eastAsia" w:ascii="仿宋" w:hAnsi="仿宋" w:eastAsia="仿宋" w:cs="仿宋"/>
                <w:b/>
                <w:bCs/>
                <w:color w:val="auto"/>
                <w:szCs w:val="24"/>
                <w:highlight w:val="none"/>
                <w:u w:val="single"/>
              </w:rPr>
              <w:t>分</w:t>
            </w:r>
            <w:r>
              <w:rPr>
                <w:rFonts w:hint="eastAsia" w:ascii="仿宋" w:hAnsi="仿宋" w:eastAsia="仿宋" w:cs="仿宋"/>
                <w:b/>
                <w:bCs/>
                <w:color w:val="auto"/>
                <w:szCs w:val="24"/>
                <w:highlight w:val="none"/>
              </w:rPr>
              <w:t>。</w:t>
            </w:r>
          </w:p>
          <w:p>
            <w:pPr>
              <w:pStyle w:val="10"/>
              <w:widowControl/>
              <w:spacing w:line="400" w:lineRule="exact"/>
              <w:rPr>
                <w:rFonts w:ascii="仿宋" w:hAnsi="仿宋" w:eastAsia="仿宋" w:cs="仿宋"/>
                <w:b/>
                <w:bCs/>
                <w:color w:val="auto"/>
                <w:szCs w:val="24"/>
                <w:highlight w:val="none"/>
              </w:rPr>
            </w:pPr>
            <w:r>
              <w:rPr>
                <w:rFonts w:hint="eastAsia" w:ascii="仿宋" w:hAnsi="仿宋" w:eastAsia="仿宋" w:cs="仿宋"/>
                <w:b/>
                <w:bCs/>
                <w:color w:val="auto"/>
                <w:szCs w:val="24"/>
                <w:highlight w:val="none"/>
              </w:rPr>
              <w:t>开标地点：安康市公共资源交易中心</w:t>
            </w:r>
            <w:r>
              <w:rPr>
                <w:rFonts w:hint="eastAsia" w:ascii="仿宋" w:hAnsi="仿宋" w:eastAsia="仿宋" w:cs="仿宋"/>
                <w:b/>
                <w:bCs/>
                <w:color w:val="auto"/>
                <w:szCs w:val="24"/>
                <w:highlight w:val="none"/>
                <w:lang w:val="en-US" w:eastAsia="zh-CN"/>
              </w:rPr>
              <w:t>307第五</w:t>
            </w:r>
            <w:r>
              <w:rPr>
                <w:rFonts w:hint="eastAsia" w:ascii="仿宋" w:hAnsi="仿宋" w:eastAsia="仿宋" w:cs="仿宋"/>
                <w:b/>
                <w:bCs/>
                <w:color w:val="auto"/>
                <w:szCs w:val="24"/>
                <w:highlight w:val="non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19</w:t>
            </w:r>
          </w:p>
        </w:tc>
        <w:tc>
          <w:tcPr>
            <w:tcW w:w="1586" w:type="dxa"/>
            <w:vAlign w:val="center"/>
          </w:tcPr>
          <w:p>
            <w:pP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参加投标会议须携带的资料</w:t>
            </w:r>
          </w:p>
        </w:tc>
        <w:tc>
          <w:tcPr>
            <w:tcW w:w="7288" w:type="dxa"/>
            <w:vAlign w:val="center"/>
          </w:tcPr>
          <w:p>
            <w:pPr>
              <w:pStyle w:val="10"/>
              <w:widowControl/>
              <w:numPr>
                <w:ilvl w:val="0"/>
                <w:numId w:val="4"/>
              </w:numPr>
              <w:adjustRightInd/>
              <w:spacing w:line="40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各</w:t>
            </w:r>
            <w:r>
              <w:rPr>
                <w:rFonts w:hint="eastAsia" w:ascii="仿宋" w:hAnsi="仿宋" w:eastAsia="仿宋" w:cs="仿宋"/>
                <w:color w:val="auto"/>
                <w:szCs w:val="24"/>
                <w:highlight w:val="none"/>
                <w:lang w:eastAsia="zh-CN"/>
              </w:rPr>
              <w:t>投标供应商</w:t>
            </w:r>
            <w:r>
              <w:rPr>
                <w:rFonts w:hint="eastAsia" w:ascii="仿宋" w:hAnsi="仿宋" w:eastAsia="仿宋" w:cs="仿宋"/>
                <w:color w:val="auto"/>
                <w:szCs w:val="24"/>
                <w:highlight w:val="none"/>
              </w:rPr>
              <w:t>参与开标的应携带陕西省公共资源交易中心（CA锁），持上传投标文件的CA锁进行投标文件解密</w:t>
            </w:r>
            <w:r>
              <w:rPr>
                <w:rFonts w:hint="eastAsia" w:ascii="仿宋" w:hAnsi="仿宋" w:eastAsia="仿宋" w:cs="仿宋"/>
                <w:color w:val="auto"/>
                <w:szCs w:val="24"/>
                <w:highlight w:val="none"/>
                <w:lang w:eastAsia="zh-CN"/>
              </w:rPr>
              <w:t>；</w:t>
            </w:r>
          </w:p>
          <w:p>
            <w:pPr>
              <w:pStyle w:val="10"/>
              <w:widowControl/>
              <w:numPr>
                <w:ilvl w:val="0"/>
                <w:numId w:val="4"/>
              </w:numPr>
              <w:adjustRightInd/>
              <w:spacing w:line="40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法定代表人授权书（附法定代表人及被授权人身份证复印件），法定代表人参加</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lang w:eastAsia="zh-CN"/>
              </w:rPr>
              <w:t>只需提供本人身份证。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20</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评标方法</w:t>
            </w:r>
          </w:p>
        </w:tc>
        <w:tc>
          <w:tcPr>
            <w:tcW w:w="7288" w:type="dxa"/>
            <w:vAlign w:val="center"/>
          </w:tcPr>
          <w:p>
            <w:pPr>
              <w:pStyle w:val="10"/>
              <w:widowControl/>
              <w:adjustRightInd/>
              <w:spacing w:line="400" w:lineRule="exact"/>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本项目采用“</w:t>
            </w:r>
            <w:r>
              <w:rPr>
                <w:rFonts w:hint="eastAsia" w:ascii="仿宋" w:hAnsi="仿宋" w:eastAsia="仿宋" w:cs="仿宋"/>
                <w:color w:val="auto"/>
                <w:szCs w:val="24"/>
                <w:highlight w:val="none"/>
              </w:rPr>
              <w:t>综合评分法</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21</w:t>
            </w:r>
          </w:p>
        </w:tc>
        <w:tc>
          <w:tcPr>
            <w:tcW w:w="1586" w:type="dxa"/>
            <w:vAlign w:val="center"/>
          </w:tcPr>
          <w:p>
            <w:pPr>
              <w:adjustRightInd w:val="0"/>
              <w:snapToGrid w:val="0"/>
              <w:spacing w:line="44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评标委员会构成</w:t>
            </w:r>
          </w:p>
        </w:tc>
        <w:tc>
          <w:tcPr>
            <w:tcW w:w="7288" w:type="dxa"/>
            <w:vAlign w:val="center"/>
          </w:tcPr>
          <w:p>
            <w:pPr>
              <w:adjustRightInd w:val="0"/>
              <w:snapToGrid w:val="0"/>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根据《中华人民共和国政府采购法》、《中华人民共和国政府采购法实施条例》等有关法律规定组建评标委员会。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22</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投标保证金</w:t>
            </w:r>
          </w:p>
        </w:tc>
        <w:tc>
          <w:tcPr>
            <w:tcW w:w="7288" w:type="dxa"/>
          </w:tcPr>
          <w:p>
            <w:pPr>
              <w:pStyle w:val="10"/>
              <w:widowControl/>
              <w:adjustRightInd/>
              <w:spacing w:line="360" w:lineRule="exact"/>
              <w:rPr>
                <w:rFonts w:hint="eastAsia" w:ascii="仿宋" w:hAnsi="仿宋" w:eastAsia="仿宋" w:cs="仿宋"/>
                <w:color w:val="auto"/>
                <w:kern w:val="2"/>
                <w:szCs w:val="24"/>
                <w:highlight w:val="none"/>
                <w:lang w:eastAsia="zh-CN"/>
              </w:rPr>
            </w:pPr>
            <w:r>
              <w:rPr>
                <w:rFonts w:hint="eastAsia" w:ascii="仿宋" w:hAnsi="仿宋" w:eastAsia="仿宋" w:cs="仿宋"/>
                <w:color w:val="auto"/>
                <w:kern w:val="2"/>
                <w:szCs w:val="24"/>
                <w:highlight w:val="none"/>
                <w:lang w:eastAsia="zh-CN"/>
              </w:rPr>
              <w:t>按照安财采管【2022】4 号文件规定，本项目不要求投标供应商递交保证金。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23</w:t>
            </w:r>
          </w:p>
        </w:tc>
        <w:tc>
          <w:tcPr>
            <w:tcW w:w="1586" w:type="dxa"/>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付款方式</w:t>
            </w:r>
          </w:p>
        </w:tc>
        <w:tc>
          <w:tcPr>
            <w:tcW w:w="7288" w:type="dxa"/>
            <w:vAlign w:val="center"/>
          </w:tcPr>
          <w:p>
            <w:pPr>
              <w:pStyle w:val="10"/>
              <w:widowControl/>
              <w:adjustRightInd/>
              <w:spacing w:line="3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详见合同主要条款。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24</w:t>
            </w:r>
          </w:p>
        </w:tc>
        <w:tc>
          <w:tcPr>
            <w:tcW w:w="15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招标代理</w:t>
            </w:r>
          </w:p>
          <w:p>
            <w:pPr>
              <w:spacing w:line="32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费用</w:t>
            </w:r>
          </w:p>
        </w:tc>
        <w:tc>
          <w:tcPr>
            <w:tcW w:w="7288" w:type="dxa"/>
            <w:tcBorders>
              <w:top w:val="single" w:color="auto" w:sz="4" w:space="0"/>
              <w:left w:val="single" w:color="auto" w:sz="4" w:space="0"/>
              <w:bottom w:val="single" w:color="auto" w:sz="4" w:space="0"/>
              <w:right w:val="single" w:color="auto" w:sz="4" w:space="0"/>
            </w:tcBorders>
            <w:vAlign w:val="center"/>
          </w:tcPr>
          <w:p>
            <w:pPr>
              <w:pStyle w:val="10"/>
              <w:widowControl/>
              <w:spacing w:line="360" w:lineRule="exact"/>
              <w:rPr>
                <w:rFonts w:ascii="仿宋" w:hAnsi="仿宋" w:eastAsia="仿宋" w:cs="仿宋"/>
                <w:color w:val="auto"/>
                <w:szCs w:val="24"/>
                <w:highlight w:val="none"/>
              </w:rPr>
            </w:pPr>
            <w:r>
              <w:rPr>
                <w:rFonts w:hint="eastAsia" w:ascii="仿宋" w:hAnsi="仿宋" w:eastAsia="仿宋" w:cs="仿宋"/>
                <w:color w:val="auto"/>
                <w:szCs w:val="24"/>
                <w:highlight w:val="none"/>
              </w:rPr>
              <w:t>招标代理服务费/中标服务费由</w:t>
            </w:r>
            <w:r>
              <w:rPr>
                <w:rFonts w:hint="eastAsia" w:ascii="仿宋" w:hAnsi="仿宋" w:eastAsia="仿宋" w:cs="仿宋"/>
                <w:color w:val="auto"/>
                <w:szCs w:val="24"/>
                <w:highlight w:val="none"/>
                <w:lang w:val="en-US" w:eastAsia="zh-CN"/>
              </w:rPr>
              <w:t>中标供应商</w:t>
            </w:r>
            <w:r>
              <w:rPr>
                <w:rFonts w:hint="eastAsia" w:ascii="仿宋" w:hAnsi="仿宋" w:eastAsia="仿宋" w:cs="仿宋"/>
                <w:color w:val="auto"/>
                <w:szCs w:val="24"/>
                <w:highlight w:val="none"/>
              </w:rPr>
              <w:t>支付，收费标准</w:t>
            </w:r>
            <w:r>
              <w:rPr>
                <w:rFonts w:hint="eastAsia" w:ascii="仿宋" w:hAnsi="仿宋" w:eastAsia="仿宋" w:cs="仿宋"/>
                <w:color w:val="auto"/>
                <w:szCs w:val="24"/>
                <w:highlight w:val="none"/>
                <w:lang w:eastAsia="zh-CN"/>
              </w:rPr>
              <w:t>参照</w:t>
            </w:r>
            <w:r>
              <w:rPr>
                <w:rFonts w:hint="eastAsia" w:ascii="仿宋" w:hAnsi="仿宋" w:eastAsia="仿宋" w:cs="仿宋"/>
                <w:color w:val="auto"/>
                <w:szCs w:val="24"/>
                <w:highlight w:val="none"/>
              </w:rPr>
              <w:t>国家计委关于印发《招标代理服务收费管理暂行办法》的通知（计价格〔2002〕1980号）、《国家发展和改革委员会办公厅关于招标代理服务收费有关问题的通知》（发改办价格〔2003〕857号）文件。</w:t>
            </w:r>
            <w:r>
              <w:rPr>
                <w:rFonts w:hint="eastAsia" w:ascii="仿宋" w:hAnsi="仿宋" w:eastAsia="仿宋" w:cs="仿宋"/>
                <w:color w:val="auto"/>
                <w:szCs w:val="24"/>
                <w:highlight w:val="none"/>
                <w:lang w:eastAsia="zh-CN"/>
              </w:rPr>
              <w:t>中标</w:t>
            </w:r>
            <w:r>
              <w:rPr>
                <w:rFonts w:hint="eastAsia" w:ascii="仿宋" w:hAnsi="仿宋" w:eastAsia="仿宋" w:cs="仿宋"/>
                <w:color w:val="auto"/>
                <w:szCs w:val="24"/>
                <w:highlight w:val="none"/>
                <w:lang w:val="en-US" w:eastAsia="zh-CN"/>
              </w:rPr>
              <w:t>投标供应商</w:t>
            </w:r>
            <w:r>
              <w:rPr>
                <w:rFonts w:hint="eastAsia" w:ascii="仿宋" w:hAnsi="仿宋" w:eastAsia="仿宋" w:cs="仿宋"/>
                <w:color w:val="auto"/>
                <w:szCs w:val="24"/>
                <w:highlight w:val="none"/>
              </w:rPr>
              <w:t>在领取中标通知书时向招标代理机构一次性付清中标服务费。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cs="仿宋"/>
                <w:b/>
                <w:bCs/>
                <w:color w:val="auto"/>
                <w:sz w:val="24"/>
                <w:highlight w:val="none"/>
                <w:lang w:val="en-US" w:eastAsia="zh-CN"/>
              </w:rPr>
            </w:pPr>
            <w:bookmarkStart w:id="38" w:name="_Toc19161"/>
            <w:bookmarkStart w:id="39" w:name="_Toc16662"/>
            <w:r>
              <w:rPr>
                <w:rFonts w:hint="eastAsia" w:ascii="仿宋" w:hAnsi="仿宋" w:eastAsia="仿宋" w:cs="仿宋"/>
                <w:b/>
                <w:bCs/>
                <w:color w:val="auto"/>
                <w:sz w:val="24"/>
                <w:highlight w:val="none"/>
                <w:lang w:val="en-US" w:eastAsia="zh-CN"/>
              </w:rPr>
              <w:t>25</w:t>
            </w:r>
          </w:p>
        </w:tc>
        <w:tc>
          <w:tcPr>
            <w:tcW w:w="8874" w:type="dxa"/>
            <w:gridSpan w:val="2"/>
            <w:tcBorders>
              <w:top w:val="single" w:color="auto" w:sz="4" w:space="0"/>
              <w:left w:val="single" w:color="auto" w:sz="4" w:space="0"/>
              <w:bottom w:val="single" w:color="auto" w:sz="4" w:space="0"/>
              <w:right w:val="single" w:color="auto" w:sz="4" w:space="0"/>
            </w:tcBorders>
            <w:vAlign w:val="center"/>
          </w:tcPr>
          <w:p>
            <w:pPr>
              <w:pStyle w:val="10"/>
              <w:widowControl/>
              <w:spacing w:line="3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 w:val="24"/>
                <w:szCs w:val="24"/>
                <w:lang w:val="en-US" w:eastAsia="zh-CN"/>
              </w:rPr>
              <w:t>本项目专门面向中小企业采购，投标供应商应为中型企业、小型企业、微型企业或监狱企业或残疾人福利性单位。投标供应商为中小企业的，提供《中小企业声明函》；投标供应商为监狱企业的，应提供监狱企业的证明文件；投标供应商为残疾人福利性单位的，应提供《残疾人福利性单位声明函》（监狱企业或残疾人福利性单位视同小型、微型企业）；若声明与实际不符须承担相应责任。</w:t>
            </w:r>
          </w:p>
        </w:tc>
      </w:tr>
    </w:tbl>
    <w:p>
      <w:pPr>
        <w:spacing w:line="480" w:lineRule="exact"/>
        <w:jc w:val="center"/>
        <w:outlineLvl w:val="9"/>
        <w:rPr>
          <w:rFonts w:hint="eastAsia" w:ascii="仿宋" w:hAnsi="仿宋" w:eastAsia="仿宋" w:cs="仿宋"/>
          <w:b/>
          <w:color w:val="auto"/>
          <w:sz w:val="32"/>
          <w:szCs w:val="32"/>
          <w:highlight w:val="none"/>
        </w:rPr>
      </w:pPr>
    </w:p>
    <w:p>
      <w:pPr>
        <w:pageBreakBefore w:val="0"/>
        <w:kinsoku/>
        <w:wordWrap/>
        <w:overflowPunct/>
        <w:topLinePunct w:val="0"/>
        <w:bidi w:val="0"/>
        <w:adjustRightInd/>
        <w:snapToGrid/>
        <w:spacing w:line="460" w:lineRule="exact"/>
        <w:jc w:val="center"/>
        <w:outlineLvl w:val="9"/>
        <w:rPr>
          <w:rFonts w:hint="eastAsia" w:ascii="仿宋" w:hAnsi="仿宋" w:eastAsia="仿宋" w:cs="仿宋"/>
          <w:b/>
          <w:color w:val="auto"/>
          <w:sz w:val="32"/>
          <w:szCs w:val="32"/>
          <w:highlight w:val="none"/>
        </w:rPr>
      </w:pPr>
    </w:p>
    <w:p>
      <w:pPr>
        <w:pageBreakBefore w:val="0"/>
        <w:kinsoku/>
        <w:wordWrap/>
        <w:overflowPunct/>
        <w:topLinePunct w:val="0"/>
        <w:bidi w:val="0"/>
        <w:adjustRightInd/>
        <w:snapToGrid/>
        <w:spacing w:line="460" w:lineRule="exact"/>
        <w:jc w:val="center"/>
        <w:outlineLvl w:val="9"/>
        <w:rPr>
          <w:rFonts w:hint="eastAsia" w:ascii="仿宋" w:hAnsi="仿宋" w:eastAsia="仿宋" w:cs="仿宋"/>
          <w:b/>
          <w:color w:val="auto"/>
          <w:sz w:val="32"/>
          <w:szCs w:val="32"/>
          <w:highlight w:val="none"/>
        </w:rPr>
      </w:pPr>
    </w:p>
    <w:p>
      <w:pPr>
        <w:pageBreakBefore w:val="0"/>
        <w:kinsoku/>
        <w:wordWrap/>
        <w:overflowPunct/>
        <w:topLinePunct w:val="0"/>
        <w:bidi w:val="0"/>
        <w:adjustRightInd/>
        <w:snapToGrid/>
        <w:spacing w:line="460" w:lineRule="exact"/>
        <w:jc w:val="center"/>
        <w:outlineLvl w:val="0"/>
        <w:rPr>
          <w:rFonts w:ascii="仿宋" w:hAnsi="仿宋" w:eastAsia="仿宋" w:cs="仿宋"/>
          <w:b/>
          <w:color w:val="auto"/>
          <w:sz w:val="32"/>
          <w:szCs w:val="32"/>
          <w:highlight w:val="none"/>
        </w:rPr>
      </w:pPr>
      <w:bookmarkStart w:id="40" w:name="_Toc28860"/>
      <w:r>
        <w:rPr>
          <w:rFonts w:hint="eastAsia" w:ascii="仿宋" w:hAnsi="仿宋" w:eastAsia="仿宋" w:cs="仿宋"/>
          <w:b/>
          <w:color w:val="auto"/>
          <w:sz w:val="32"/>
          <w:szCs w:val="32"/>
          <w:highlight w:val="none"/>
        </w:rPr>
        <w:t>第三章  投标须知</w:t>
      </w:r>
      <w:bookmarkEnd w:id="38"/>
      <w:bookmarkEnd w:id="39"/>
      <w:bookmarkEnd w:id="40"/>
    </w:p>
    <w:p>
      <w:pPr>
        <w:pageBreakBefore w:val="0"/>
        <w:kinsoku/>
        <w:wordWrap/>
        <w:overflowPunct/>
        <w:topLinePunct w:val="0"/>
        <w:bidi w:val="0"/>
        <w:adjustRightInd/>
        <w:snapToGrid/>
        <w:spacing w:line="460" w:lineRule="exact"/>
        <w:jc w:val="center"/>
        <w:outlineLvl w:val="1"/>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一、总  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snapToGrid w:val="0"/>
          <w:color w:val="auto"/>
          <w:sz w:val="24"/>
          <w:highlight w:val="none"/>
        </w:rPr>
        <w:t>本次招标依据《中华人民共和国政府采购法》、《中华人民共和国政府采购法实施条例</w:t>
      </w:r>
      <w:r>
        <w:rPr>
          <w:rFonts w:hint="eastAsia" w:ascii="仿宋" w:hAnsi="仿宋" w:eastAsia="仿宋" w:cs="仿宋"/>
          <w:color w:val="auto"/>
          <w:sz w:val="24"/>
          <w:highlight w:val="none"/>
        </w:rPr>
        <w:t>》、</w:t>
      </w:r>
      <w:r>
        <w:rPr>
          <w:rFonts w:hint="eastAsia" w:ascii="仿宋" w:hAnsi="仿宋" w:eastAsia="仿宋" w:cs="仿宋"/>
          <w:snapToGrid w:val="0"/>
          <w:color w:val="auto"/>
          <w:sz w:val="24"/>
          <w:highlight w:val="none"/>
        </w:rPr>
        <w:t>《政府采购货物和</w:t>
      </w:r>
      <w:r>
        <w:rPr>
          <w:rFonts w:hint="eastAsia" w:ascii="仿宋" w:hAnsi="仿宋" w:eastAsia="仿宋" w:cs="仿宋"/>
          <w:color w:val="auto"/>
          <w:sz w:val="24"/>
          <w:highlight w:val="none"/>
        </w:rPr>
        <w:t>服务招标投标管理办法》（财政部第87号令）</w:t>
      </w:r>
      <w:r>
        <w:rPr>
          <w:rFonts w:hint="eastAsia" w:ascii="仿宋" w:hAnsi="仿宋" w:eastAsia="仿宋" w:cs="仿宋"/>
          <w:snapToGrid w:val="0"/>
          <w:color w:val="auto"/>
          <w:sz w:val="24"/>
          <w:highlight w:val="none"/>
        </w:rPr>
        <w:t>及国家现行有关法律法规执行。</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rPr>
        <w:t>名词解释</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采购人：</w:t>
      </w:r>
      <w:r>
        <w:rPr>
          <w:rFonts w:hint="eastAsia" w:ascii="仿宋" w:hAnsi="仿宋" w:eastAsia="仿宋" w:cs="仿宋"/>
          <w:color w:val="auto"/>
          <w:sz w:val="24"/>
          <w:highlight w:val="none"/>
          <w:lang w:val="en-US" w:eastAsia="zh-CN"/>
        </w:rPr>
        <w:t>平利县文化和旅游广电局</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1</w:t>
      </w:r>
      <w:r>
        <w:rPr>
          <w:rFonts w:hint="eastAsia" w:ascii="仿宋" w:hAnsi="仿宋" w:eastAsia="仿宋" w:cs="仿宋"/>
          <w:b w:val="0"/>
          <w:bCs/>
          <w:color w:val="auto"/>
          <w:sz w:val="24"/>
          <w:highlight w:val="none"/>
        </w:rPr>
        <w:t>.1“采购人”是指依法进行政府采购的国家机关、事业单位、团体组织。本次政府采购的采购人名称、地址、电话见</w:t>
      </w:r>
      <w:r>
        <w:rPr>
          <w:rFonts w:hint="eastAsia" w:ascii="仿宋" w:hAnsi="仿宋" w:eastAsia="仿宋" w:cs="仿宋"/>
          <w:b w:val="0"/>
          <w:bCs/>
          <w:color w:val="auto"/>
          <w:sz w:val="24"/>
          <w:highlight w:val="none"/>
          <w:lang w:eastAsia="zh-CN"/>
        </w:rPr>
        <w:t>投标供应商须知前附表</w:t>
      </w:r>
      <w:r>
        <w:rPr>
          <w:rFonts w:hint="eastAsia" w:ascii="仿宋" w:hAnsi="仿宋" w:eastAsia="仿宋" w:cs="仿宋"/>
          <w:b w:val="0"/>
          <w:bCs/>
          <w:color w:val="auto"/>
          <w:sz w:val="24"/>
          <w:highlight w:val="none"/>
        </w:rPr>
        <w:t>。</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圣弘建设股份有限公司</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2.1</w:t>
      </w:r>
      <w:r>
        <w:rPr>
          <w:rFonts w:hint="eastAsia" w:ascii="仿宋" w:hAnsi="仿宋" w:eastAsia="仿宋" w:cs="仿宋"/>
          <w:b w:val="0"/>
          <w:bCs/>
          <w:color w:val="auto"/>
          <w:sz w:val="24"/>
          <w:highlight w:val="none"/>
        </w:rPr>
        <w:t>“采购代理机构”是指接受采购人委托，代理采购项目的集中采购机构和其他采购代理机构。本次政府采购的采购代理机构名称、地址、电话、联系人见</w:t>
      </w:r>
      <w:r>
        <w:rPr>
          <w:rFonts w:hint="eastAsia" w:ascii="仿宋" w:hAnsi="仿宋" w:eastAsia="仿宋" w:cs="仿宋"/>
          <w:b w:val="0"/>
          <w:bCs/>
          <w:color w:val="auto"/>
          <w:sz w:val="24"/>
          <w:highlight w:val="none"/>
          <w:lang w:eastAsia="zh-CN"/>
        </w:rPr>
        <w:t>投标供应商须知前附表</w:t>
      </w:r>
      <w:r>
        <w:rPr>
          <w:rFonts w:hint="eastAsia" w:ascii="仿宋" w:hAnsi="仿宋" w:eastAsia="仿宋" w:cs="仿宋"/>
          <w:b w:val="0"/>
          <w:bCs/>
          <w:color w:val="auto"/>
          <w:sz w:val="24"/>
          <w:highlight w:val="none"/>
        </w:rPr>
        <w:t>。</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eastAsia="zh-CN"/>
        </w:rPr>
        <w:t>投标供应商</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是</w:t>
      </w:r>
      <w:r>
        <w:rPr>
          <w:rFonts w:hint="eastAsia" w:ascii="仿宋" w:hAnsi="仿宋" w:eastAsia="仿宋" w:cs="仿宋"/>
          <w:b w:val="0"/>
          <w:bCs/>
          <w:color w:val="auto"/>
          <w:sz w:val="24"/>
          <w:highlight w:val="none"/>
        </w:rPr>
        <w:t>指响应采购人要求，向采购人提交投标文件的单位。</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监督管理机构：</w:t>
      </w:r>
      <w:r>
        <w:rPr>
          <w:rFonts w:hint="eastAsia" w:ascii="仿宋" w:hAnsi="仿宋" w:eastAsia="仿宋" w:cs="仿宋"/>
          <w:b w:val="0"/>
          <w:bCs/>
          <w:color w:val="auto"/>
          <w:sz w:val="24"/>
          <w:highlight w:val="none"/>
          <w:lang w:eastAsia="zh-CN"/>
        </w:rPr>
        <w:t>平利县财政局</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2．合格的</w:t>
      </w:r>
      <w:r>
        <w:rPr>
          <w:rFonts w:hint="eastAsia" w:ascii="仿宋" w:hAnsi="仿宋" w:eastAsia="仿宋" w:cs="仿宋"/>
          <w:b/>
          <w:color w:val="auto"/>
          <w:sz w:val="24"/>
          <w:highlight w:val="none"/>
          <w:lang w:eastAsia="zh-CN"/>
        </w:rPr>
        <w:t>投标供应商</w:t>
      </w:r>
      <w:r>
        <w:rPr>
          <w:rFonts w:hint="eastAsia" w:ascii="仿宋" w:hAnsi="仿宋" w:eastAsia="仿宋" w:cs="仿宋"/>
          <w:b/>
          <w:color w:val="auto"/>
          <w:sz w:val="24"/>
          <w:highlight w:val="none"/>
        </w:rPr>
        <w:t>、合格的货物与服务</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2.1 合格的</w:t>
      </w:r>
      <w:r>
        <w:rPr>
          <w:rFonts w:hint="eastAsia" w:ascii="仿宋" w:hAnsi="仿宋" w:eastAsia="仿宋" w:cs="仿宋"/>
          <w:b/>
          <w:color w:val="auto"/>
          <w:sz w:val="24"/>
          <w:highlight w:val="none"/>
          <w:lang w:eastAsia="zh-CN"/>
        </w:rPr>
        <w:t>投标供应商</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2.1.1 资格要求：</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符合《中华人民共和国政府采购法》第二十二条的规定；</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bCs/>
          <w:snapToGrid w:val="0"/>
          <w:color w:val="auto"/>
          <w:sz w:val="24"/>
          <w:highlight w:val="none"/>
        </w:rPr>
      </w:pPr>
      <w:r>
        <w:rPr>
          <w:rFonts w:hint="eastAsia" w:ascii="仿宋" w:hAnsi="仿宋" w:eastAsia="仿宋" w:cs="仿宋"/>
          <w:b/>
          <w:bCs/>
          <w:snapToGrid w:val="0"/>
          <w:color w:val="auto"/>
          <w:sz w:val="24"/>
          <w:highlight w:val="none"/>
        </w:rPr>
        <w:t>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（1）具有独立承担民事责任能力的法人、其他组织或自然人，提供合法有效的营业执照/事业单位法人证书/专业服务机构执业许可证/民办非供应商单位登记证书等相关证明，自然人参与的提供其身份证明；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（2）法定代表人参加投标时，须提供本人身份证复印件；授权代表参加投标时，须提供法定代表人授权委托书、法定代表人和被授权人身份证复印件；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（3）财务状况</w:t>
      </w:r>
      <w:r>
        <w:rPr>
          <w:rFonts w:hint="eastAsia" w:ascii="仿宋" w:hAnsi="仿宋" w:eastAsia="仿宋" w:cs="仿宋"/>
          <w:b w:val="0"/>
          <w:bCs w:val="0"/>
          <w:color w:val="auto"/>
          <w:sz w:val="24"/>
          <w:szCs w:val="24"/>
          <w:highlight w:val="none"/>
          <w:lang w:val="en-US" w:eastAsia="zh-CN"/>
        </w:rPr>
        <w:t>报告：须提供具有财务审计资质单位出具的2021年度财务审计报告（新成立的投标供应商不足一年的可提供成立后任意时段的资产负债表）；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（4）具有履行合同所必需的设备和专业技术能力的证明材料（须提供自述材料）；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（5）税收缴纳证明：须提供自2022年1月1日至2022年8月1日内已缴纳的至少3个月的纳税证明或完税证明（任意税种），依法免税或新成立的投标供应商须应提供相关文件证明；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社会保障资金缴纳证明：须提供自2022年1月1日至2022年8月1日内已缴存至少3个月的社会保障资金缴存单据或社保机构开具的社会保险参保缴费情况证明，依法不需要缴纳社会保障资金或新成立的投标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（7）参加本次政府采购活动近三年内在经营活动中没有重大违纪，以及未被列入失信被执行人、重大税收违法案件当事人名单、政府采购严重违法失信行为记录名单的书面声明；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（8）投标供应商通过“信用中国”网站(www.creditchina.gov.cn )和中国政府采购网(www.ccgp.gov.cn)等渠道查询相关主体信用记录，对列入失信被执行人、重大税收违法案件当事人名单、政府采购严重违法失信行为记录名单的投标供应商，将拒绝其参与政府采购活动；</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要保证在投标文件中有上述资格证明文件加盖红色印章的复印件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缺少其中任何一项或有一项达不到要求、包括证件的有效性、是否进行年检、是否在有效期内等，经审查，不合格的</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按无效投标处理。</w:t>
      </w:r>
    </w:p>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2.1.2 单位负责人为同一人或者存在直接控股、管理关系的不同</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，不得同时参加本项目的投标。</w:t>
      </w:r>
    </w:p>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2.1.3 根据《陕西省财政厅关于政府采购</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注册登记有关事项的通知》的要求，参加本项目投标且符合《政府采购法》第二十二条规定的合格</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须通过陕西省政府采购网（http://www.ccgp-shaanxi.gov.cn/）注册登记加入陕西省政府采购</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库，以便中标后能顺利录入中标单位信息，若未办理入库手续，造成不能发布中标公告，责任自负；</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本项目不接受联合体投标。</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2.1.5</w:t>
      </w:r>
      <w:r>
        <w:rPr>
          <w:rFonts w:hint="eastAsia" w:ascii="仿宋" w:hAnsi="仿宋" w:eastAsia="仿宋" w:cs="仿宋"/>
          <w:color w:val="auto"/>
          <w:sz w:val="24"/>
          <w:highlight w:val="none"/>
          <w:lang w:val="zh-CN"/>
        </w:rPr>
        <w:t>采购人或采购代理机构在任何时候发现投标供应商提交的投标文件内容有下列情形之一时，其投标文件按无效处理，并依法追究该投标供应商的责任：</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（1）提供虚假材料或虚假信息的；</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（2）在实质性方面失实；</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（3）政府采购当事人之间相互串通投标；</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（4）违反国家、陕西省和安康市有关的法律、法规和条例；</w:t>
      </w:r>
    </w:p>
    <w:p>
      <w:pPr>
        <w:pStyle w:val="2"/>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（5）违反招标文件和法律、行政法规规定的其他条件。</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2.2 合格的货物与服务</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2.2.1 投标所</w:t>
      </w:r>
      <w:r>
        <w:rPr>
          <w:rFonts w:hint="eastAsia" w:ascii="仿宋" w:hAnsi="仿宋" w:eastAsia="仿宋" w:cs="仿宋"/>
          <w:color w:val="auto"/>
          <w:sz w:val="24"/>
          <w:highlight w:val="none"/>
          <w:lang w:eastAsia="zh-CN"/>
        </w:rPr>
        <w:t>提供的有关货物、</w:t>
      </w:r>
      <w:r>
        <w:rPr>
          <w:rFonts w:hint="eastAsia" w:ascii="仿宋" w:hAnsi="仿宋" w:eastAsia="仿宋" w:cs="仿宋"/>
          <w:color w:val="auto"/>
          <w:sz w:val="24"/>
          <w:highlight w:val="none"/>
        </w:rPr>
        <w:t>服务，均应来自上述2.1条款所规定的合格</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服务系指招标文件规定的，投标供应商须承担的所有相关服务、售后服务以及其他类似的义务。</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w:t>
      </w:r>
      <w:r>
        <w:rPr>
          <w:rFonts w:hint="default" w:ascii="仿宋" w:hAnsi="仿宋" w:eastAsia="仿宋" w:cs="仿宋"/>
          <w:b/>
          <w:bCs/>
          <w:color w:val="auto"/>
          <w:sz w:val="24"/>
          <w:highlight w:val="none"/>
          <w:lang w:val="en-US" w:eastAsia="zh-CN"/>
        </w:rPr>
        <w:t xml:space="preserve"> 知识产权</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 xml:space="preserve">.1 </w:t>
      </w:r>
      <w:r>
        <w:rPr>
          <w:rFonts w:hint="eastAsia" w:ascii="仿宋" w:hAnsi="仿宋" w:eastAsia="仿宋" w:cs="仿宋"/>
          <w:color w:val="auto"/>
          <w:sz w:val="24"/>
          <w:highlight w:val="none"/>
          <w:lang w:val="en-US" w:eastAsia="zh-CN"/>
        </w:rPr>
        <w:t>投标供应商</w:t>
      </w:r>
      <w:r>
        <w:rPr>
          <w:rFonts w:hint="default" w:ascii="仿宋" w:hAnsi="仿宋" w:eastAsia="仿宋" w:cs="仿宋"/>
          <w:color w:val="auto"/>
          <w:sz w:val="24"/>
          <w:highlight w:val="none"/>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highlight w:val="none"/>
          <w:lang w:val="en-US" w:eastAsia="zh-CN"/>
        </w:rPr>
        <w:t>投标供应商</w:t>
      </w:r>
      <w:r>
        <w:rPr>
          <w:rFonts w:hint="default" w:ascii="仿宋" w:hAnsi="仿宋" w:eastAsia="仿宋" w:cs="仿宋"/>
          <w:color w:val="auto"/>
          <w:sz w:val="24"/>
          <w:highlight w:val="none"/>
          <w:lang w:val="en-US" w:eastAsia="zh-CN"/>
        </w:rPr>
        <w:t>承担所有责任。</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.2 采购人享有本项目实施过程中产生的知识成果及知识产权。</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lang w:val="en-US" w:eastAsia="zh-CN"/>
        </w:rPr>
        <w:t>投标供应商</w:t>
      </w:r>
      <w:r>
        <w:rPr>
          <w:rFonts w:hint="default" w:ascii="仿宋" w:hAnsi="仿宋" w:eastAsia="仿宋" w:cs="仿宋"/>
          <w:color w:val="auto"/>
          <w:sz w:val="24"/>
          <w:highlight w:val="none"/>
          <w:lang w:val="en-US" w:eastAsia="zh-CN"/>
        </w:rPr>
        <w:t>如欲在项目实施过程中采用自有知识成果，需在投标文件中声明，并提供相关知识产权证明文件。使用该知识成果后，</w:t>
      </w:r>
      <w:r>
        <w:rPr>
          <w:rFonts w:hint="eastAsia" w:ascii="仿宋" w:hAnsi="仿宋" w:eastAsia="仿宋" w:cs="仿宋"/>
          <w:color w:val="auto"/>
          <w:sz w:val="24"/>
          <w:highlight w:val="none"/>
          <w:lang w:val="en-US" w:eastAsia="zh-CN"/>
        </w:rPr>
        <w:t>投标供应商</w:t>
      </w:r>
      <w:r>
        <w:rPr>
          <w:rFonts w:hint="default" w:ascii="仿宋" w:hAnsi="仿宋" w:eastAsia="仿宋" w:cs="仿宋"/>
          <w:color w:val="auto"/>
          <w:sz w:val="24"/>
          <w:highlight w:val="none"/>
          <w:lang w:val="en-US" w:eastAsia="zh-CN"/>
        </w:rPr>
        <w:t>需提供开发接口、源代码和开发手册等技术文件，并承诺提供无限期技术支持，采购人享有永久使用权。</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.4 如采用</w:t>
      </w:r>
      <w:r>
        <w:rPr>
          <w:rFonts w:hint="eastAsia" w:ascii="仿宋" w:hAnsi="仿宋" w:eastAsia="仿宋" w:cs="仿宋"/>
          <w:color w:val="auto"/>
          <w:sz w:val="24"/>
          <w:highlight w:val="none"/>
          <w:lang w:val="en-US" w:eastAsia="zh-CN"/>
        </w:rPr>
        <w:t>投标供应商</w:t>
      </w:r>
      <w:r>
        <w:rPr>
          <w:rFonts w:hint="default" w:ascii="仿宋" w:hAnsi="仿宋" w:eastAsia="仿宋" w:cs="仿宋"/>
          <w:color w:val="auto"/>
          <w:sz w:val="24"/>
          <w:highlight w:val="none"/>
          <w:lang w:val="en-US" w:eastAsia="zh-CN"/>
        </w:rPr>
        <w:t xml:space="preserve">所不拥有的知识产权，则在投标报价中必须包括合法获取该知识产权的相关费用。 </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仿宋" w:hAnsi="仿宋" w:eastAsia="仿宋" w:cs="仿宋"/>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．投标费用</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zh-CN" w:eastAsia="zh-CN"/>
        </w:rPr>
      </w:pPr>
      <w:bookmarkStart w:id="41" w:name="_Toc167591479"/>
      <w:bookmarkStart w:id="42" w:name="_Toc170980441"/>
      <w:bookmarkStart w:id="43" w:name="_Toc169846763"/>
      <w:bookmarkStart w:id="44" w:name="_Toc167849347"/>
      <w:bookmarkStart w:id="45" w:name="_Toc167591030"/>
      <w:bookmarkStart w:id="46" w:name="_Toc173549965"/>
      <w:bookmarkStart w:id="47" w:name="_Toc244623578"/>
      <w:bookmarkStart w:id="48" w:name="_Toc167591317"/>
      <w:bookmarkStart w:id="49" w:name="_Toc154482466"/>
      <w:bookmarkStart w:id="50" w:name="_Toc169838519"/>
      <w:bookmarkStart w:id="51" w:name="_Toc207897903"/>
      <w:bookmarkStart w:id="52" w:name="_Toc245658521"/>
      <w:bookmarkStart w:id="53" w:name="_Toc169846860"/>
      <w:bookmarkStart w:id="54" w:name="_Toc175032424"/>
      <w:bookmarkStart w:id="55" w:name="_Toc170980539"/>
      <w:bookmarkStart w:id="56" w:name="_Toc208337151"/>
      <w:bookmarkStart w:id="57" w:name="_Toc245176652"/>
      <w:bookmarkStart w:id="58" w:name="_Toc167590762"/>
      <w:bookmarkStart w:id="59" w:name="_Toc245657540"/>
      <w:bookmarkStart w:id="60" w:name="_Toc167591131"/>
      <w:bookmarkStart w:id="61" w:name="_Toc175033579"/>
      <w:r>
        <w:rPr>
          <w:rFonts w:hint="eastAsia" w:ascii="仿宋" w:hAnsi="仿宋" w:eastAsia="仿宋" w:cs="仿宋"/>
          <w:color w:val="auto"/>
          <w:sz w:val="24"/>
          <w:highlight w:val="none"/>
          <w:lang w:val="zh-CN" w:eastAsia="zh-CN"/>
        </w:rPr>
        <w:t>不论投标结果如何，投标供应商应自行承担所有与准备和参加投标相关的全部费用。</w:t>
      </w:r>
      <w:r>
        <w:rPr>
          <w:rFonts w:hint="default" w:ascii="仿宋" w:hAnsi="仿宋" w:eastAsia="仿宋" w:cs="仿宋"/>
          <w:color w:val="auto"/>
          <w:sz w:val="24"/>
          <w:highlight w:val="none"/>
          <w:lang w:val="zh-CN" w:eastAsia="zh-CN"/>
        </w:rPr>
        <w:t>采购代理机构</w:t>
      </w:r>
      <w:r>
        <w:rPr>
          <w:rFonts w:hint="eastAsia" w:ascii="仿宋" w:hAnsi="仿宋" w:eastAsia="仿宋" w:cs="仿宋"/>
          <w:color w:val="auto"/>
          <w:sz w:val="24"/>
          <w:highlight w:val="none"/>
          <w:lang w:val="zh-CN" w:eastAsia="zh-CN"/>
        </w:rPr>
        <w:t>及采购人在任何情况下</w:t>
      </w:r>
      <w:r>
        <w:rPr>
          <w:rFonts w:hint="default" w:ascii="仿宋" w:hAnsi="仿宋" w:eastAsia="仿宋" w:cs="仿宋"/>
          <w:color w:val="auto"/>
          <w:sz w:val="24"/>
          <w:highlight w:val="none"/>
          <w:lang w:val="zh-CN" w:eastAsia="zh-CN"/>
        </w:rPr>
        <w:t>对上述费用不负任何责任</w:t>
      </w:r>
      <w:r>
        <w:rPr>
          <w:rFonts w:hint="eastAsia" w:ascii="仿宋" w:hAnsi="仿宋" w:eastAsia="仿宋" w:cs="仿宋"/>
          <w:color w:val="auto"/>
          <w:sz w:val="24"/>
          <w:highlight w:val="none"/>
          <w:lang w:val="zh-CN" w:eastAsia="zh-CN"/>
        </w:rPr>
        <w:t>，同时也不作任何经济补偿。</w:t>
      </w:r>
    </w:p>
    <w:p>
      <w:pPr>
        <w:pageBreakBefore w:val="0"/>
        <w:kinsoku/>
        <w:wordWrap/>
        <w:overflowPunct/>
        <w:topLinePunct w:val="0"/>
        <w:bidi w:val="0"/>
        <w:adjustRightInd/>
        <w:snapToGrid/>
        <w:spacing w:line="460" w:lineRule="exact"/>
        <w:jc w:val="center"/>
        <w:outlineLvl w:val="1"/>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二、招标文件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ageBreakBefore w:val="0"/>
        <w:kinsoku/>
        <w:wordWrap/>
        <w:overflowPunct/>
        <w:topLinePunct w:val="0"/>
        <w:bidi w:val="0"/>
        <w:adjustRightInd/>
        <w:snapToGrid/>
        <w:spacing w:line="460" w:lineRule="exact"/>
        <w:ind w:firstLine="482"/>
        <w:rPr>
          <w:rFonts w:ascii="仿宋" w:hAnsi="仿宋" w:eastAsia="仿宋" w:cs="仿宋"/>
          <w:b/>
          <w:color w:val="auto"/>
          <w:kern w:val="1"/>
          <w:sz w:val="24"/>
          <w:highlight w:val="none"/>
        </w:rPr>
      </w:pPr>
      <w:bookmarkStart w:id="62" w:name="_Toc169846861"/>
      <w:bookmarkStart w:id="63" w:name="_Toc167849348"/>
      <w:bookmarkStart w:id="64" w:name="_Toc167590763"/>
      <w:bookmarkStart w:id="65" w:name="_Toc167591132"/>
      <w:bookmarkStart w:id="66" w:name="_Toc154482467"/>
      <w:bookmarkStart w:id="67" w:name="_Toc169838520"/>
      <w:bookmarkStart w:id="68" w:name="_Toc245176653"/>
      <w:bookmarkStart w:id="69" w:name="_Toc207897904"/>
      <w:bookmarkStart w:id="70" w:name="_Toc170980442"/>
      <w:bookmarkStart w:id="71" w:name="_Toc175033580"/>
      <w:bookmarkStart w:id="72" w:name="_Toc175032425"/>
      <w:bookmarkStart w:id="73" w:name="_Toc169846764"/>
      <w:bookmarkStart w:id="74" w:name="_Toc244623579"/>
      <w:bookmarkStart w:id="75" w:name="_Toc170980540"/>
      <w:bookmarkStart w:id="76" w:name="_Toc208337152"/>
      <w:bookmarkStart w:id="77" w:name="_Toc167591318"/>
      <w:bookmarkStart w:id="78" w:name="_Toc245657541"/>
      <w:bookmarkStart w:id="79" w:name="_Toc245658522"/>
      <w:bookmarkStart w:id="80" w:name="_Toc173549966"/>
      <w:bookmarkStart w:id="81" w:name="_Toc167591031"/>
      <w:bookmarkStart w:id="82" w:name="_Toc167591480"/>
      <w:r>
        <w:rPr>
          <w:rFonts w:hint="eastAsia" w:ascii="仿宋" w:hAnsi="仿宋" w:eastAsia="仿宋" w:cs="仿宋"/>
          <w:b/>
          <w:color w:val="auto"/>
          <w:kern w:val="1"/>
          <w:sz w:val="24"/>
          <w:highlight w:val="none"/>
          <w:lang w:val="en-US" w:eastAsia="zh-CN"/>
        </w:rPr>
        <w:t>5</w:t>
      </w:r>
      <w:r>
        <w:rPr>
          <w:rFonts w:hint="eastAsia" w:ascii="仿宋" w:hAnsi="仿宋" w:eastAsia="仿宋" w:cs="仿宋"/>
          <w:b/>
          <w:color w:val="auto"/>
          <w:kern w:val="1"/>
          <w:sz w:val="24"/>
          <w:highlight w:val="none"/>
        </w:rPr>
        <w:t>．招标文件构成</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5.1招标文件包括下列内容：</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第一章  招标公告</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第二章  投标须知前附表</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第三章  投标须知</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第四章  采购内容及要求</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第五章  商务要求</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第六章  合同主要条款</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第七章  投标文件基本格式</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5.2投标供应商须知前附表规定的提交投标文件截止时间前，对招标文件进行澄清或者修改的内容，为招标文件的组成部分。</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5.3投标供应商根据与投标情况可能实质性变动的内容，包括采购需求以及合同草案条款，对投标文件作出的实质性变动是投标文件的有效组成部分。</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5.4投标供应商应仔细阅读招标文件的全部内容，按照招标文件要求的内容编制投标文件。任何对招标文件的忽略或误解不能作为投标文件存在缺陷或瑕疵的理由，其风险由投标供应商承担。</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6．招标文件的澄清和修改</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 采购人对已发出的招标文件进行必要澄清或者修改的，在招标文件要求提交投标文件截止时间十五日前，在政府采购网上发布更正公告并以书面形式通知所有招标文件收受人，该澄清或者修改的内容为招标文件的组成部分。投标供应商在收到后应立即以书面形式（电子邮件）予以确认。</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 投标供应商对招标文件若有疑点要求澄清，应在投标截止期五日前，按招标公告中的通讯地址，以书面形式通知采购代理机构</w:t>
      </w:r>
      <w:r>
        <w:rPr>
          <w:rFonts w:hint="eastAsia" w:ascii="仿宋" w:hAnsi="仿宋" w:eastAsia="仿宋" w:cs="仿宋"/>
          <w:b/>
          <w:bCs/>
          <w:color w:val="auto"/>
          <w:sz w:val="24"/>
          <w:highlight w:val="none"/>
          <w:lang w:val="en-US" w:eastAsia="zh-CN"/>
        </w:rPr>
        <w:t>（邮箱772565405@qq.com）</w:t>
      </w:r>
      <w:r>
        <w:rPr>
          <w:rFonts w:hint="eastAsia" w:ascii="仿宋" w:hAnsi="仿宋" w:eastAsia="仿宋" w:cs="仿宋"/>
          <w:color w:val="auto"/>
          <w:sz w:val="24"/>
          <w:highlight w:val="none"/>
          <w:lang w:val="en-US" w:eastAsia="zh-CN"/>
        </w:rPr>
        <w:t>。采购代理机构对投标供应商的澄清要求均以书面形式予以答复，并将根据澄清要求涉及的范围把书面答复送达给相关的每一个购买招标文件的投标供应商。投标供应商在收到后应立即以书面形式（电子邮件）予以确认，投标供应商在规定的时间内未要求对招标文件澄清或提出疑问的，将视其为无异议。</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 采购人可以视采购具体情况，延长投标截止时间和开标时间。在招标文件要求提交投标文件的截止时间三日前，将变更时间书面通知所有投标供应商，并在发布招标公告的媒体或网站上发布变更公告。</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6.4澄清或者修改内容为招标文件的组成部分，对所有接收了招标文件的投标供应商均具有约束力。</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6.5招标文件的解释权归采购人和采购代理机构。</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7.偏离</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7.1本条所称偏离为投标文件对招标文件的偏离，即不满足或不响应招标文件的要求。</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7.2除政府采购法律法规相关规定外，招标文件中用“拒绝”“不接受”“无效”“不得”“必须”等文字规定条款为实质性要求条款(即重要条款)，对其中任何一条的负偏离，在评审时将其视为无效响应。</w:t>
      </w:r>
    </w:p>
    <w:p>
      <w:pPr>
        <w:pageBreakBefore w:val="0"/>
        <w:kinsoku/>
        <w:wordWrap/>
        <w:overflowPunct/>
        <w:topLinePunct w:val="0"/>
        <w:bidi w:val="0"/>
        <w:adjustRightInd/>
        <w:snapToGrid/>
        <w:spacing w:line="460" w:lineRule="exact"/>
        <w:jc w:val="center"/>
        <w:outlineLvl w:val="1"/>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三、投标文件的编制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8．编制要求</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8.1 投标供应商应认真阅读招标文件的所有内容，严格按照招标文件的要求编制和提供投标文件，并保证所提供的全部资料的真实性，使投标文件对招标文件作出实质性响应。如果投标供应商在投标文件中没有按照招标文件要求提交全部资料或者投标文件没有对招标文件在各方面都做出实质性响应，其投标将被拒绝。</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8.2 投标供应商提交的投标文件（包括产品的技术资料）以及投标供应商与采购代理机构有关投标的所有来往函电均应以中文书写。</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8.3投标供应商</w:t>
      </w:r>
      <w:r>
        <w:rPr>
          <w:rFonts w:hint="eastAsia" w:ascii="仿宋" w:hAnsi="仿宋" w:eastAsia="仿宋" w:cs="仿宋"/>
          <w:color w:val="auto"/>
          <w:sz w:val="24"/>
          <w:highlight w:val="none"/>
          <w:lang w:val="zh-CN" w:eastAsia="zh-CN"/>
        </w:rPr>
        <w:t>应保证所提供的投标文件和所有资料的真实性、准确性和完整性。</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8.4投标供应商</w:t>
      </w:r>
      <w:r>
        <w:rPr>
          <w:rFonts w:hint="eastAsia" w:ascii="仿宋" w:hAnsi="仿宋" w:eastAsia="仿宋" w:cs="仿宋"/>
          <w:color w:val="auto"/>
          <w:sz w:val="24"/>
          <w:highlight w:val="none"/>
          <w:lang w:val="zh-CN" w:eastAsia="zh-CN"/>
        </w:rPr>
        <w:t>在政府采购过程中提供不真实的材料，无论其材料是否重要，采购人均有权拒绝，并取消其投标资格，投标供应商需承担相应的后果及法律责任。</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9．投标文件构成和格式</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9.1 投标供应商编写的投标文件应包括，但不限于下列部分，请按招标文件提供的相应格式并依照下列顺序编写：</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一、投标函</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二、开标一览表</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三、商务响应说明</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四、技术响应偏差表</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五、投标供应商资格证明文件</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六、投标供应商参加政府采购活动承诺书</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七、投标供应商概况</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八、供应商投标方案</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九、售后服务及承诺</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十、招标文件确认书</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十一、投标供应商认为有必要说明的其他问题</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9.2 投标供应商应按照本须知第9.1条的内容及第六章提供的格式编写投标文件，不得缺少招标文件要求填写的表格或提交的资料。</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9.3 投标供应商应将投标文件按本须知第9.1条规定的顺序编排并应编制目录，逐页标注连续页码。</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10．投标报价</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10.1 投标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10.2 本投标报价包括为完成本项目所包含的全部内容。参加投标的供应商，可根据本单位的成本、管理水平，并充分考虑项目实施期间可能会遇到的市场风险等因素，在确保服务期、质量的前提下，进行自由竞争报价。</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10.3 投标供应商所填写的报价在合同实施期间不因市场变化因素和政府性变化因素而变动，投标供应商在计算报价时自行考虑风险系数，报价过程中不允许任一投标供应商对同一招标项目提出两个或两个以上不同的投标报价。投标供应商所报的投标报价在合同执行过程中是固定不变的，不得以任何理由予以变更。任何包含价格调整要求的投标，将被认为是非响应性投标而予以拒绝。</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10.4 投标供应商的投标报价不得超过预算金额，否则按无效报价处理。</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10.5 最低报价不是中标的唯一依据。</w:t>
      </w:r>
    </w:p>
    <w:p>
      <w:pPr>
        <w:keepNext w:val="0"/>
        <w:keepLines w:val="0"/>
        <w:pageBreakBefore w:val="0"/>
        <w:kinsoku/>
        <w:wordWrap/>
        <w:overflowPunct/>
        <w:topLinePunct w:val="0"/>
        <w:autoSpaceDE/>
        <w:autoSpaceDN/>
        <w:bidi w:val="0"/>
        <w:adjustRightInd/>
        <w:snapToGrid/>
        <w:spacing w:line="460" w:lineRule="exact"/>
        <w:ind w:firstLine="470" w:firstLineChars="19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10.6 投标供应商不得以高出所处行业市场报价参与投标。当评标委员会认为某个投标供应商的投标报价明显不合理，可要求该投标供应商在规定的期限内提供书面文件予以解释说明，并提交相关证明材料；否则，评标委员会认定该投标供应商恶意竞标，其投标应作废标处理。</w:t>
      </w:r>
    </w:p>
    <w:p>
      <w:pPr>
        <w:pageBreakBefore w:val="0"/>
        <w:kinsoku/>
        <w:wordWrap/>
        <w:overflowPunct/>
        <w:topLinePunct w:val="0"/>
        <w:bidi w:val="0"/>
        <w:adjustRightInd/>
        <w:snapToGrid/>
        <w:spacing w:line="4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kern w:val="1"/>
          <w:sz w:val="24"/>
          <w:highlight w:val="none"/>
          <w:lang w:val="en-US" w:eastAsia="zh-CN"/>
        </w:rPr>
        <w:t>10</w:t>
      </w:r>
      <w:r>
        <w:rPr>
          <w:rFonts w:hint="eastAsia" w:ascii="仿宋" w:hAnsi="仿宋" w:eastAsia="仿宋" w:cs="仿宋"/>
          <w:bCs/>
          <w:color w:val="auto"/>
          <w:kern w:val="1"/>
          <w:sz w:val="24"/>
          <w:highlight w:val="none"/>
        </w:rPr>
        <w:t>.</w:t>
      </w:r>
      <w:r>
        <w:rPr>
          <w:rFonts w:hint="eastAsia" w:ascii="仿宋" w:hAnsi="仿宋" w:eastAsia="仿宋" w:cs="仿宋"/>
          <w:bCs/>
          <w:color w:val="auto"/>
          <w:kern w:val="1"/>
          <w:sz w:val="24"/>
          <w:highlight w:val="none"/>
          <w:lang w:val="en-US" w:eastAsia="zh-CN"/>
        </w:rPr>
        <w:t>7</w:t>
      </w:r>
      <w:r>
        <w:rPr>
          <w:rFonts w:hint="eastAsia" w:ascii="仿宋" w:hAnsi="仿宋" w:eastAsia="仿宋" w:cs="仿宋"/>
          <w:bCs/>
          <w:color w:val="auto"/>
          <w:kern w:val="1"/>
          <w:sz w:val="24"/>
          <w:highlight w:val="none"/>
        </w:rPr>
        <w:t xml:space="preserve"> </w:t>
      </w:r>
      <w:r>
        <w:rPr>
          <w:rFonts w:hint="eastAsia" w:ascii="仿宋" w:hAnsi="仿宋" w:eastAsia="仿宋" w:cs="仿宋"/>
          <w:bCs/>
          <w:color w:val="auto"/>
          <w:kern w:val="1"/>
          <w:sz w:val="24"/>
          <w:highlight w:val="none"/>
          <w:lang w:eastAsia="zh-CN"/>
        </w:rPr>
        <w:t>投标供应商</w:t>
      </w:r>
      <w:r>
        <w:rPr>
          <w:rFonts w:hint="eastAsia" w:ascii="仿宋" w:hAnsi="仿宋" w:eastAsia="仿宋" w:cs="仿宋"/>
          <w:bCs/>
          <w:color w:val="auto"/>
          <w:kern w:val="1"/>
          <w:sz w:val="24"/>
          <w:highlight w:val="none"/>
        </w:rPr>
        <w:t>不得以低于成本的报价参加投标，</w:t>
      </w:r>
      <w:r>
        <w:rPr>
          <w:rFonts w:hint="eastAsia" w:ascii="仿宋" w:hAnsi="仿宋" w:eastAsia="仿宋" w:cs="仿宋"/>
          <w:bCs/>
          <w:color w:val="auto"/>
          <w:kern w:val="1"/>
          <w:sz w:val="24"/>
          <w:highlight w:val="none"/>
          <w:lang w:eastAsia="zh-CN"/>
        </w:rPr>
        <w:t>投标供应商</w:t>
      </w:r>
      <w:r>
        <w:rPr>
          <w:rFonts w:hint="eastAsia" w:ascii="仿宋" w:hAnsi="仿宋" w:eastAsia="仿宋" w:cs="仿宋"/>
          <w:bCs/>
          <w:color w:val="auto"/>
          <w:kern w:val="1"/>
          <w:sz w:val="24"/>
          <w:highlight w:val="none"/>
        </w:rPr>
        <w:t>的投标报价明显低于其他</w:t>
      </w:r>
      <w:r>
        <w:rPr>
          <w:rFonts w:hint="eastAsia" w:ascii="仿宋" w:hAnsi="仿宋" w:eastAsia="仿宋" w:cs="仿宋"/>
          <w:bCs/>
          <w:color w:val="auto"/>
          <w:kern w:val="1"/>
          <w:sz w:val="24"/>
          <w:highlight w:val="none"/>
          <w:lang w:eastAsia="zh-CN"/>
        </w:rPr>
        <w:t>投标供应商</w:t>
      </w:r>
      <w:r>
        <w:rPr>
          <w:rFonts w:hint="eastAsia" w:ascii="仿宋" w:hAnsi="仿宋" w:eastAsia="仿宋" w:cs="仿宋"/>
          <w:bCs/>
          <w:color w:val="auto"/>
          <w:kern w:val="1"/>
          <w:sz w:val="24"/>
          <w:highlight w:val="none"/>
        </w:rPr>
        <w:t>的报价，经评标委员会质询后不能在规定时间内说明理由，或说明理由经评标委员会认为不成立，则按无效标处理。</w:t>
      </w:r>
    </w:p>
    <w:p>
      <w:pPr>
        <w:pageBreakBefore w:val="0"/>
        <w:kinsoku/>
        <w:wordWrap/>
        <w:overflowPunct/>
        <w:topLinePunct w:val="0"/>
        <w:bidi w:val="0"/>
        <w:adjustRightInd/>
        <w:snapToGrid/>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．投标货币</w:t>
      </w:r>
    </w:p>
    <w:p>
      <w:pPr>
        <w:pageBreakBefore w:val="0"/>
        <w:kinsoku/>
        <w:wordWrap/>
        <w:overflowPunct/>
        <w:topLinePunct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提供的货物和服务一律以人民币报价。单位：元（精确到小数点后两位）。</w:t>
      </w:r>
    </w:p>
    <w:p>
      <w:pPr>
        <w:pageBreakBefore w:val="0"/>
        <w:kinsoku/>
        <w:wordWrap/>
        <w:overflowPunct/>
        <w:topLinePunct w:val="0"/>
        <w:bidi w:val="0"/>
        <w:adjustRightInd/>
        <w:snapToGrid/>
        <w:spacing w:line="460" w:lineRule="exact"/>
        <w:ind w:firstLine="482" w:firstLineChars="200"/>
        <w:rPr>
          <w:rFonts w:hint="eastAsia" w:eastAsia="仿宋"/>
          <w:b w:val="0"/>
          <w:bCs/>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．投标保证金</w:t>
      </w:r>
      <w:r>
        <w:rPr>
          <w:rFonts w:hint="eastAsia" w:ascii="仿宋" w:hAnsi="仿宋" w:eastAsia="仿宋" w:cs="仿宋"/>
          <w:b/>
          <w:color w:val="auto"/>
          <w:sz w:val="24"/>
          <w:highlight w:val="none"/>
          <w:lang w:eastAsia="zh-CN"/>
        </w:rPr>
        <w:t>：</w:t>
      </w:r>
      <w:r>
        <w:rPr>
          <w:rFonts w:hint="eastAsia" w:ascii="仿宋" w:hAnsi="仿宋" w:eastAsia="仿宋" w:cs="仿宋"/>
          <w:b w:val="0"/>
          <w:bCs/>
          <w:color w:val="auto"/>
          <w:sz w:val="24"/>
          <w:highlight w:val="none"/>
          <w:lang w:eastAsia="zh-CN"/>
        </w:rPr>
        <w:t>按照安财采管【2022】4 号文件规定，本项目不要求投标供应商递交保证金。</w:t>
      </w:r>
    </w:p>
    <w:p>
      <w:pPr>
        <w:pageBreakBefore w:val="0"/>
        <w:kinsoku/>
        <w:wordWrap/>
        <w:overflowPunct/>
        <w:topLinePunct w:val="0"/>
        <w:autoSpaceDE w:val="0"/>
        <w:autoSpaceDN w:val="0"/>
        <w:bidi w:val="0"/>
        <w:adjustRightInd/>
        <w:snapToGrid/>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．投标有效期</w:t>
      </w:r>
    </w:p>
    <w:p>
      <w:pPr>
        <w:pageBreakBefore w:val="0"/>
        <w:kinsoku/>
        <w:wordWrap/>
        <w:overflowPunct/>
        <w:topLinePunct w:val="0"/>
        <w:autoSpaceDE w:val="0"/>
        <w:autoSpaceDN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 投标有效期为开标之日起九十（90）个日历日。</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的投标有效期比招标文件规定短的将被视为非响应性投标而予以拒绝。</w:t>
      </w:r>
    </w:p>
    <w:p>
      <w:pPr>
        <w:pageBreakBefore w:val="0"/>
        <w:kinsoku/>
        <w:wordWrap/>
        <w:overflowPunct/>
        <w:topLinePunct w:val="0"/>
        <w:autoSpaceDE w:val="0"/>
        <w:autoSpaceDN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 在特殊情况下，在原投标有效期满之前，采购人可征得</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同意延长投标有效期。这种要求与答复均应为书面形式提交。</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仿宋" w:hAnsi="仿宋" w:eastAsia="仿宋" w:cs="仿宋"/>
          <w:b/>
          <w:color w:val="auto"/>
          <w:kern w:val="1"/>
          <w:sz w:val="24"/>
          <w:highlight w:val="none"/>
        </w:rPr>
      </w:pPr>
      <w:bookmarkStart w:id="83" w:name="_Toc245176654"/>
      <w:bookmarkStart w:id="84" w:name="_Toc208337153"/>
      <w:bookmarkStart w:id="85" w:name="_Toc175032426"/>
      <w:bookmarkStart w:id="86" w:name="_Toc245658523"/>
      <w:bookmarkStart w:id="87" w:name="_Toc169838521"/>
      <w:bookmarkStart w:id="88" w:name="_Toc169846765"/>
      <w:bookmarkStart w:id="89" w:name="_Toc207897905"/>
      <w:bookmarkStart w:id="90" w:name="_Toc244623580"/>
      <w:bookmarkStart w:id="91" w:name="_Toc173549967"/>
      <w:bookmarkStart w:id="92" w:name="_Toc170980443"/>
      <w:bookmarkStart w:id="93" w:name="_Toc169846862"/>
      <w:bookmarkStart w:id="94" w:name="_Toc167591481"/>
      <w:bookmarkStart w:id="95" w:name="_Toc170980541"/>
      <w:bookmarkStart w:id="96" w:name="_Toc167591032"/>
      <w:bookmarkStart w:id="97" w:name="_Toc175033581"/>
      <w:bookmarkStart w:id="98" w:name="_Toc167591133"/>
      <w:bookmarkStart w:id="99" w:name="_Toc167590764"/>
      <w:bookmarkStart w:id="100" w:name="_Toc245657542"/>
      <w:bookmarkStart w:id="101" w:name="_Toc154482468"/>
      <w:bookmarkStart w:id="102" w:name="_Toc167849349"/>
      <w:bookmarkStart w:id="103" w:name="_Toc167591319"/>
      <w:r>
        <w:rPr>
          <w:rFonts w:hint="eastAsia" w:ascii="仿宋" w:hAnsi="仿宋" w:eastAsia="仿宋" w:cs="仿宋"/>
          <w:b/>
          <w:color w:val="auto"/>
          <w:kern w:val="1"/>
          <w:sz w:val="24"/>
          <w:highlight w:val="none"/>
        </w:rPr>
        <w:t>1</w:t>
      </w:r>
      <w:r>
        <w:rPr>
          <w:rFonts w:hint="eastAsia" w:ascii="仿宋" w:hAnsi="仿宋" w:eastAsia="仿宋" w:cs="仿宋"/>
          <w:b/>
          <w:color w:val="auto"/>
          <w:kern w:val="1"/>
          <w:sz w:val="24"/>
          <w:highlight w:val="none"/>
          <w:lang w:val="en-US" w:eastAsia="zh-CN"/>
        </w:rPr>
        <w:t>4</w:t>
      </w:r>
      <w:r>
        <w:rPr>
          <w:rFonts w:hint="eastAsia" w:ascii="仿宋" w:hAnsi="仿宋" w:eastAsia="仿宋" w:cs="仿宋"/>
          <w:b/>
          <w:color w:val="auto"/>
          <w:kern w:val="1"/>
          <w:sz w:val="24"/>
          <w:highlight w:val="none"/>
        </w:rPr>
        <w:t>．投标文件的制作和签署</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 xml:space="preserve">.1 </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应提交电子投标文件1份（*.SXSTF），并应确保电子投标文件（*.SXSTF）内容字迹清晰、易于辨认、避免涂改、行间插字或增删。如有修改错漏之处，必须由</w:t>
      </w:r>
      <w:r>
        <w:rPr>
          <w:rFonts w:hint="eastAsia" w:ascii="仿宋" w:hAnsi="仿宋" w:eastAsia="仿宋" w:cs="仿宋"/>
          <w:b/>
          <w:bCs/>
          <w:color w:val="auto"/>
          <w:sz w:val="24"/>
          <w:highlight w:val="none"/>
          <w:lang w:val="en-US" w:eastAsia="zh-CN"/>
        </w:rPr>
        <w:t>投标供应商加盖公章或由投标文件签字人签字后才有效</w:t>
      </w:r>
      <w:r>
        <w:rPr>
          <w:rFonts w:hint="eastAsia" w:ascii="仿宋" w:hAnsi="仿宋" w:eastAsia="仿宋" w:cs="仿宋"/>
          <w:b/>
          <w:bCs/>
          <w:color w:val="auto"/>
          <w:sz w:val="24"/>
          <w:highlight w:val="none"/>
        </w:rPr>
        <w:t>。项目</w:t>
      </w:r>
      <w:r>
        <w:rPr>
          <w:rFonts w:hint="eastAsia" w:ascii="仿宋" w:hAnsi="仿宋" w:eastAsia="仿宋" w:cs="仿宋"/>
          <w:b/>
          <w:bCs/>
          <w:color w:val="auto"/>
          <w:sz w:val="24"/>
          <w:highlight w:val="none"/>
          <w:lang w:eastAsia="zh-CN"/>
        </w:rPr>
        <w:t>中标</w:t>
      </w:r>
      <w:r>
        <w:rPr>
          <w:rFonts w:hint="eastAsia" w:ascii="仿宋" w:hAnsi="仿宋" w:eastAsia="仿宋" w:cs="仿宋"/>
          <w:b/>
          <w:bCs/>
          <w:color w:val="auto"/>
          <w:sz w:val="24"/>
          <w:highlight w:val="none"/>
        </w:rPr>
        <w:t>后</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由</w:t>
      </w:r>
      <w:r>
        <w:rPr>
          <w:rFonts w:hint="eastAsia" w:ascii="仿宋" w:hAnsi="仿宋" w:eastAsia="仿宋" w:cs="仿宋"/>
          <w:b/>
          <w:bCs/>
          <w:color w:val="auto"/>
          <w:sz w:val="24"/>
          <w:highlight w:val="none"/>
          <w:lang w:eastAsia="zh-CN"/>
        </w:rPr>
        <w:t>中标投标供应商</w:t>
      </w:r>
      <w:r>
        <w:rPr>
          <w:rFonts w:hint="eastAsia" w:ascii="仿宋" w:hAnsi="仿宋" w:eastAsia="仿宋" w:cs="仿宋"/>
          <w:b/>
          <w:bCs/>
          <w:color w:val="auto"/>
          <w:sz w:val="24"/>
          <w:highlight w:val="none"/>
        </w:rPr>
        <w:t>在领取中标通知书时提供一正两副纸质版投标文件用于备案。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b/>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编制电子响应文件时，应使用最新发布的电子投标文件及专用制作工具进行编制。并使用数字认证证书（CA）对响应文件进行签署、加密、递交及开标时解密等相关操作。响应文件中需要加盖法定代表人私章的地方，请使用“法人CA”进行签章；需要加盖</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公章的地方，请使用“CA主锁”进行盖章。</w:t>
      </w:r>
      <w:r>
        <w:rPr>
          <w:rFonts w:hint="eastAsia" w:ascii="仿宋" w:hAnsi="仿宋" w:eastAsia="仿宋" w:cs="仿宋"/>
          <w:b/>
          <w:bCs/>
          <w:color w:val="auto"/>
          <w:sz w:val="24"/>
          <w:highlight w:val="none"/>
        </w:rPr>
        <w:t>文件中需要签字的地方必须按要求手写签名，否则不予认可。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b/>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 响应文件因表述不清所引起的后果由</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（1）电子采购文件下载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eastAsia="zh-CN"/>
        </w:rPr>
        <w:t>投标供应商</w:t>
      </w:r>
      <w:r>
        <w:rPr>
          <w:rFonts w:hint="eastAsia" w:ascii="仿宋" w:hAnsi="仿宋" w:eastAsia="仿宋" w:cs="仿宋"/>
          <w:snapToGrid w:val="0"/>
          <w:color w:val="auto"/>
          <w:sz w:val="24"/>
          <w:highlight w:val="none"/>
        </w:rPr>
        <w:t>登录全国公共资源交易平台（陕西省）网站[电子交易平台-</w:t>
      </w:r>
      <w:r>
        <w:rPr>
          <w:rFonts w:hint="eastAsia" w:ascii="仿宋" w:hAnsi="仿宋" w:eastAsia="仿宋" w:cs="仿宋"/>
          <w:snapToGrid w:val="0"/>
          <w:color w:val="auto"/>
          <w:sz w:val="24"/>
          <w:highlight w:val="none"/>
          <w:lang w:eastAsia="zh-CN"/>
        </w:rPr>
        <w:t>供应商</w:t>
      </w:r>
      <w:r>
        <w:rPr>
          <w:rFonts w:hint="eastAsia" w:ascii="仿宋" w:hAnsi="仿宋" w:eastAsia="仿宋" w:cs="仿宋"/>
          <w:snapToGrid w:val="0"/>
          <w:color w:val="auto"/>
          <w:sz w:val="24"/>
          <w:highlight w:val="none"/>
        </w:rPr>
        <w:t>端]后，在[我的项目]中点击“项目流程-交易文件下载”下载电子采购文件（*.SXSZF）；</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注意：该项目如有变更文件，则应点击“项目流程&gt;答疑文件下载”下载更新后的电子采购文件（*.SXSCF），使用旧版电子采购文件制作的电子响应文件，系统将拒绝接收。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（2）电子投标文件需要使用专用软件打开、浏览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eastAsia="zh-CN"/>
        </w:rPr>
        <w:t>投标供应商</w:t>
      </w:r>
      <w:r>
        <w:rPr>
          <w:rFonts w:hint="eastAsia" w:ascii="仿宋" w:hAnsi="仿宋" w:eastAsia="仿宋" w:cs="仿宋"/>
          <w:snapToGrid w:val="0"/>
          <w:color w:val="auto"/>
          <w:sz w:val="24"/>
          <w:highlight w:val="none"/>
        </w:rPr>
        <w:t>登录全国公共资源交易平台（陕西省）网站[服务指南-下载专区]免费下载《陕西省公共资源交易平台政府采购电子标书制作工具(V8.0.0.2)》，并升级至最新版本，使用该客户端可以打开电子投标文件。软件操作手册详见全国公共资源交易平台（陕西省）网站[服务指南-下载专区]中的《陕西省公共资源交易（政府采购类）投标文件制作软件操作手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（3）制作电子响应文件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s="仿宋"/>
          <w:b/>
          <w:color w:val="auto"/>
          <w:sz w:val="28"/>
          <w:szCs w:val="28"/>
          <w:highlight w:val="none"/>
        </w:rPr>
      </w:pPr>
      <w:r>
        <w:rPr>
          <w:rFonts w:hint="eastAsia" w:ascii="仿宋" w:hAnsi="仿宋" w:eastAsia="仿宋" w:cs="仿宋"/>
          <w:snapToGrid w:val="0"/>
          <w:color w:val="auto"/>
          <w:sz w:val="24"/>
          <w:highlight w:val="none"/>
        </w:rPr>
        <w:t xml:space="preserve">注： 陕西省公共资源交易平台政府采购电子标书制作工具（V8.0.0.2） 下 载 地址： </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rPr>
        <w:t>http://www.sxggzyjy.cn/fwzn/004003/20180827/c8c8fb15-a7cc-4011-a244-806289d7cf3b.html电子响应文件同样需要使用上述软件进行编制。在编制过程中，如有技术性问题，请先翻阅操作手册或致电软件开发商，技术支持热线：4009280095、4009980000；</w:t>
      </w:r>
    </w:p>
    <w:p>
      <w:pPr>
        <w:pStyle w:val="92"/>
        <w:pageBreakBefore w:val="0"/>
        <w:widowControl/>
        <w:kinsoku/>
        <w:wordWrap/>
        <w:overflowPunct/>
        <w:topLinePunct w:val="0"/>
        <w:bidi w:val="0"/>
        <w:adjustRightInd/>
        <w:snapToGrid/>
        <w:spacing w:before="0" w:after="0" w:line="460" w:lineRule="exact"/>
        <w:jc w:val="center"/>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四、投标文件的递交、开启与解密</w:t>
      </w:r>
    </w:p>
    <w:p>
      <w:pPr>
        <w:keepLines/>
        <w:pageBreakBefore w:val="0"/>
        <w:kinsoku/>
        <w:wordWrap/>
        <w:overflowPunct/>
        <w:topLinePunct w:val="0"/>
        <w:bidi w:val="0"/>
        <w:adjustRightInd/>
        <w:snapToGrid/>
        <w:spacing w:line="460" w:lineRule="exact"/>
        <w:ind w:firstLine="482" w:firstLineChars="200"/>
        <w:textAlignment w:val="baseline"/>
        <w:rPr>
          <w:rStyle w:val="52"/>
          <w:rFonts w:ascii="仿宋" w:hAnsi="仿宋" w:eastAsia="仿宋" w:cs="仿宋"/>
          <w:b/>
          <w:bCs/>
          <w:color w:val="auto"/>
          <w:sz w:val="24"/>
          <w:szCs w:val="28"/>
          <w:highlight w:val="none"/>
        </w:rPr>
      </w:pPr>
      <w:r>
        <w:rPr>
          <w:rStyle w:val="52"/>
          <w:rFonts w:hint="eastAsia" w:ascii="仿宋" w:hAnsi="仿宋" w:eastAsia="仿宋" w:cs="仿宋"/>
          <w:b/>
          <w:bCs/>
          <w:color w:val="auto"/>
          <w:sz w:val="24"/>
          <w:szCs w:val="28"/>
          <w:highlight w:val="none"/>
        </w:rPr>
        <w:t>1</w:t>
      </w:r>
      <w:r>
        <w:rPr>
          <w:rStyle w:val="52"/>
          <w:rFonts w:hint="eastAsia" w:ascii="仿宋" w:hAnsi="仿宋" w:eastAsia="仿宋" w:cs="仿宋"/>
          <w:b/>
          <w:bCs/>
          <w:color w:val="auto"/>
          <w:sz w:val="24"/>
          <w:szCs w:val="28"/>
          <w:highlight w:val="none"/>
          <w:lang w:val="en-US"/>
        </w:rPr>
        <w:t>5</w:t>
      </w:r>
      <w:r>
        <w:rPr>
          <w:rStyle w:val="52"/>
          <w:rFonts w:hint="eastAsia" w:ascii="仿宋" w:hAnsi="仿宋" w:eastAsia="仿宋" w:cs="仿宋"/>
          <w:b/>
          <w:bCs/>
          <w:color w:val="auto"/>
          <w:sz w:val="24"/>
          <w:szCs w:val="28"/>
          <w:highlight w:val="none"/>
        </w:rPr>
        <w:t>、投标文件递交</w:t>
      </w:r>
    </w:p>
    <w:p>
      <w:pPr>
        <w:pageBreakBefore w:val="0"/>
        <w:kinsoku/>
        <w:wordWrap/>
        <w:overflowPunct/>
        <w:topLinePunct w:val="0"/>
        <w:bidi w:val="0"/>
        <w:adjustRightInd/>
        <w:snapToGrid/>
        <w:spacing w:line="460" w:lineRule="exact"/>
        <w:ind w:firstLine="482" w:firstLineChars="200"/>
        <w:textAlignment w:val="baseline"/>
        <w:rPr>
          <w:rStyle w:val="52"/>
          <w:rFonts w:ascii="仿宋" w:hAnsi="仿宋" w:eastAsia="仿宋" w:cs="仿宋"/>
          <w:b/>
          <w:bCs w:val="0"/>
          <w:color w:val="auto"/>
          <w:kern w:val="0"/>
          <w:sz w:val="24"/>
          <w:highlight w:val="none"/>
        </w:rPr>
      </w:pPr>
      <w:r>
        <w:rPr>
          <w:rStyle w:val="52"/>
          <w:rFonts w:hint="eastAsia" w:ascii="仿宋" w:hAnsi="仿宋" w:eastAsia="仿宋" w:cs="仿宋"/>
          <w:b/>
          <w:bCs w:val="0"/>
          <w:color w:val="auto"/>
          <w:kern w:val="0"/>
          <w:sz w:val="24"/>
          <w:highlight w:val="none"/>
        </w:rPr>
        <w:t>1</w:t>
      </w:r>
      <w:r>
        <w:rPr>
          <w:rStyle w:val="52"/>
          <w:rFonts w:hint="eastAsia" w:ascii="仿宋" w:hAnsi="仿宋" w:eastAsia="仿宋" w:cs="仿宋"/>
          <w:b/>
          <w:bCs w:val="0"/>
          <w:color w:val="auto"/>
          <w:kern w:val="0"/>
          <w:sz w:val="24"/>
          <w:highlight w:val="none"/>
          <w:lang w:val="en-US"/>
        </w:rPr>
        <w:t>5</w:t>
      </w:r>
      <w:r>
        <w:rPr>
          <w:rStyle w:val="52"/>
          <w:rFonts w:hint="eastAsia" w:ascii="仿宋" w:hAnsi="仿宋" w:eastAsia="仿宋" w:cs="仿宋"/>
          <w:b/>
          <w:bCs w:val="0"/>
          <w:color w:val="auto"/>
          <w:kern w:val="0"/>
          <w:sz w:val="24"/>
          <w:highlight w:val="none"/>
        </w:rPr>
        <w:t>.1电子投标文件递交：</w:t>
      </w:r>
    </w:p>
    <w:p>
      <w:pPr>
        <w:pageBreakBefore w:val="0"/>
        <w:kinsoku/>
        <w:wordWrap/>
        <w:overflowPunct/>
        <w:topLinePunct w:val="0"/>
        <w:bidi w:val="0"/>
        <w:adjustRightInd/>
        <w:snapToGrid/>
        <w:spacing w:line="460" w:lineRule="exact"/>
        <w:ind w:firstLine="480" w:firstLineChars="200"/>
        <w:textAlignment w:val="baseline"/>
        <w:rPr>
          <w:rStyle w:val="52"/>
          <w:rFonts w:hint="eastAsia" w:ascii="仿宋" w:hAnsi="仿宋" w:eastAsia="仿宋" w:cs="仿宋"/>
          <w:color w:val="auto"/>
          <w:kern w:val="0"/>
          <w:sz w:val="24"/>
          <w:highlight w:val="none"/>
        </w:rPr>
      </w:pPr>
      <w:r>
        <w:rPr>
          <w:rStyle w:val="52"/>
          <w:rFonts w:hint="eastAsia" w:ascii="仿宋" w:hAnsi="仿宋" w:eastAsia="仿宋" w:cs="仿宋"/>
          <w:color w:val="auto"/>
          <w:kern w:val="0"/>
          <w:sz w:val="24"/>
          <w:highlight w:val="none"/>
        </w:rPr>
        <w:t>电子投标文件可于提交投标文件截止时间前任意时段登录全国公共资源交易平台（陕西省）网站[电子交易平台-供应商端]进行提交，逾期系统将拒绝接收。提交时，投标供应商应登录全国公共资源交易中心平台（陕西省），选择[“首页&gt;电子交易平台&gt;供应商端&gt;我的项目”，点击[项目流程]，在打开的[项目管理]对话框中选择[上传响应文件]，上传加密的电子投标文件（*.SXSTF），上传成功后，电子化平台将予以记录。</w:t>
      </w:r>
    </w:p>
    <w:p>
      <w:pPr>
        <w:pageBreakBefore w:val="0"/>
        <w:kinsoku/>
        <w:wordWrap/>
        <w:overflowPunct/>
        <w:topLinePunct w:val="0"/>
        <w:bidi w:val="0"/>
        <w:adjustRightInd/>
        <w:snapToGrid/>
        <w:spacing w:line="460" w:lineRule="exact"/>
        <w:ind w:firstLine="482" w:firstLineChars="200"/>
        <w:textAlignment w:val="baseline"/>
        <w:rPr>
          <w:rStyle w:val="52"/>
          <w:rFonts w:hint="eastAsia" w:ascii="仿宋" w:hAnsi="仿宋" w:eastAsia="仿宋" w:cs="仿宋"/>
          <w:b/>
          <w:bCs/>
          <w:color w:val="auto"/>
          <w:kern w:val="0"/>
          <w:sz w:val="24"/>
          <w:highlight w:val="none"/>
        </w:rPr>
      </w:pPr>
      <w:r>
        <w:rPr>
          <w:rStyle w:val="52"/>
          <w:rFonts w:hint="eastAsia" w:ascii="仿宋" w:hAnsi="仿宋" w:eastAsia="仿宋" w:cs="仿宋"/>
          <w:b/>
          <w:bCs/>
          <w:color w:val="auto"/>
          <w:kern w:val="0"/>
          <w:sz w:val="24"/>
          <w:highlight w:val="none"/>
        </w:rPr>
        <w:t>1</w:t>
      </w:r>
      <w:r>
        <w:rPr>
          <w:rStyle w:val="52"/>
          <w:rFonts w:hint="eastAsia" w:ascii="仿宋" w:hAnsi="仿宋" w:eastAsia="仿宋" w:cs="仿宋"/>
          <w:b/>
          <w:bCs/>
          <w:color w:val="auto"/>
          <w:kern w:val="0"/>
          <w:sz w:val="24"/>
          <w:highlight w:val="none"/>
          <w:lang w:val="en-US"/>
        </w:rPr>
        <w:t>5</w:t>
      </w:r>
      <w:r>
        <w:rPr>
          <w:rStyle w:val="52"/>
          <w:rFonts w:hint="eastAsia" w:ascii="仿宋" w:hAnsi="仿宋" w:eastAsia="仿宋" w:cs="仿宋"/>
          <w:b/>
          <w:bCs/>
          <w:color w:val="auto"/>
          <w:kern w:val="0"/>
          <w:sz w:val="24"/>
          <w:highlight w:val="none"/>
        </w:rPr>
        <w:t>.</w:t>
      </w:r>
      <w:r>
        <w:rPr>
          <w:rStyle w:val="52"/>
          <w:rFonts w:hint="eastAsia" w:ascii="仿宋" w:hAnsi="仿宋" w:eastAsia="仿宋" w:cs="仿宋"/>
          <w:b/>
          <w:bCs/>
          <w:color w:val="auto"/>
          <w:kern w:val="0"/>
          <w:sz w:val="24"/>
          <w:highlight w:val="none"/>
          <w:lang w:val="en-US"/>
        </w:rPr>
        <w:t>2</w:t>
      </w:r>
      <w:r>
        <w:rPr>
          <w:rStyle w:val="52"/>
          <w:rFonts w:hint="eastAsia" w:ascii="仿宋" w:hAnsi="仿宋" w:eastAsia="仿宋" w:cs="仿宋"/>
          <w:b/>
          <w:bCs/>
          <w:color w:val="auto"/>
          <w:kern w:val="0"/>
          <w:sz w:val="24"/>
          <w:highlight w:val="none"/>
        </w:rPr>
        <w:t>文件解密：</w:t>
      </w:r>
    </w:p>
    <w:p>
      <w:pPr>
        <w:pageBreakBefore w:val="0"/>
        <w:kinsoku/>
        <w:wordWrap/>
        <w:overflowPunct/>
        <w:topLinePunct w:val="0"/>
        <w:bidi w:val="0"/>
        <w:adjustRightInd/>
        <w:snapToGrid/>
        <w:spacing w:line="460" w:lineRule="exact"/>
        <w:ind w:firstLine="480" w:firstLineChars="200"/>
        <w:textAlignment w:val="baseline"/>
        <w:rPr>
          <w:rStyle w:val="52"/>
          <w:rFonts w:hint="eastAsia" w:ascii="仿宋" w:hAnsi="仿宋" w:eastAsia="仿宋" w:cs="仿宋"/>
          <w:color w:val="auto"/>
          <w:kern w:val="0"/>
          <w:sz w:val="24"/>
          <w:highlight w:val="none"/>
        </w:rPr>
      </w:pPr>
      <w:r>
        <w:rPr>
          <w:rStyle w:val="52"/>
          <w:rFonts w:hint="eastAsia" w:ascii="仿宋" w:hAnsi="仿宋" w:eastAsia="仿宋" w:cs="仿宋"/>
          <w:color w:val="auto"/>
          <w:kern w:val="0"/>
          <w:sz w:val="24"/>
          <w:highlight w:val="none"/>
        </w:rPr>
        <w:t>(1) 开标时，投标供应商须使用电子投标文件加密时所用的数字认证证书 (CA 锁) 在开标室的解密机上自行解密电子投标文件。</w:t>
      </w:r>
    </w:p>
    <w:p>
      <w:pPr>
        <w:pageBreakBefore w:val="0"/>
        <w:kinsoku/>
        <w:wordWrap/>
        <w:overflowPunct/>
        <w:topLinePunct w:val="0"/>
        <w:bidi w:val="0"/>
        <w:adjustRightInd/>
        <w:snapToGrid/>
        <w:spacing w:line="460" w:lineRule="exact"/>
        <w:ind w:firstLine="480" w:firstLineChars="200"/>
        <w:textAlignment w:val="baseline"/>
        <w:rPr>
          <w:rFonts w:hint="eastAsia"/>
        </w:rPr>
      </w:pPr>
      <w:r>
        <w:rPr>
          <w:rStyle w:val="52"/>
          <w:rFonts w:hint="eastAsia" w:ascii="仿宋" w:hAnsi="仿宋" w:eastAsia="仿宋" w:cs="仿宋"/>
          <w:color w:val="auto"/>
          <w:kern w:val="0"/>
          <w:sz w:val="24"/>
          <w:highlight w:val="none"/>
        </w:rPr>
        <w:t>(2) 采购代理机构将在开标会议现场做开标记录。</w:t>
      </w:r>
    </w:p>
    <w:p>
      <w:pPr>
        <w:pageBreakBefore w:val="0"/>
        <w:kinsoku/>
        <w:wordWrap/>
        <w:overflowPunct/>
        <w:topLinePunct w:val="0"/>
        <w:bidi w:val="0"/>
        <w:adjustRightInd/>
        <w:snapToGrid/>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．投标截止日期</w:t>
      </w:r>
    </w:p>
    <w:p>
      <w:pPr>
        <w:pageBreakBefore w:val="0"/>
        <w:kinsoku/>
        <w:wordWrap/>
        <w:overflowPunct/>
        <w:topLinePunct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应在不迟于招标文件中规定的投标截止时间将电子投标文件上传至电子化平台。</w:t>
      </w:r>
    </w:p>
    <w:p>
      <w:pPr>
        <w:pageBreakBefore w:val="0"/>
        <w:kinsoku/>
        <w:wordWrap/>
        <w:overflowPunct/>
        <w:topLinePunct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 采购代理机构可以按本须知</w:t>
      </w:r>
      <w:r>
        <w:rPr>
          <w:rFonts w:hint="eastAsia" w:ascii="仿宋" w:hAnsi="仿宋" w:eastAsia="仿宋" w:cs="仿宋"/>
          <w:snapToGrid w:val="0"/>
          <w:color w:val="auto"/>
          <w:kern w:val="24"/>
          <w:sz w:val="24"/>
          <w:highlight w:val="none"/>
        </w:rPr>
        <w:t>第5.3条</w:t>
      </w:r>
      <w:r>
        <w:rPr>
          <w:rFonts w:hint="eastAsia" w:ascii="仿宋" w:hAnsi="仿宋" w:eastAsia="仿宋" w:cs="仿宋"/>
          <w:snapToGrid w:val="0"/>
          <w:color w:val="auto"/>
          <w:sz w:val="24"/>
          <w:highlight w:val="none"/>
        </w:rPr>
        <w:t>规</w:t>
      </w:r>
      <w:r>
        <w:rPr>
          <w:rFonts w:hint="eastAsia" w:ascii="仿宋" w:hAnsi="仿宋" w:eastAsia="仿宋" w:cs="仿宋"/>
          <w:color w:val="auto"/>
          <w:sz w:val="24"/>
          <w:highlight w:val="none"/>
        </w:rPr>
        <w:t>定，通知因修改招标文件而适当延长投标截止期。在此情况下，采购人和</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受投标截止期制约的所有权利和义务均应延长至新的截止期。</w:t>
      </w:r>
    </w:p>
    <w:p>
      <w:pPr>
        <w:pageBreakBefore w:val="0"/>
        <w:kinsoku/>
        <w:wordWrap/>
        <w:overflowPunct/>
        <w:topLinePunct w:val="0"/>
        <w:bidi w:val="0"/>
        <w:adjustRightInd/>
        <w:snapToGrid/>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．迟交的投标文件</w:t>
      </w:r>
    </w:p>
    <w:p>
      <w:pPr>
        <w:pageBreakBefore w:val="0"/>
        <w:kinsoku/>
        <w:wordWrap/>
        <w:overflowPunct/>
        <w:topLinePunct w:val="0"/>
        <w:bidi w:val="0"/>
        <w:adjustRightInd/>
        <w:snapToGrid/>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.1采购人、采购代理机构及评标委员会将拒绝接收投标截止期后送达的任何投标文件。</w:t>
      </w:r>
    </w:p>
    <w:p>
      <w:pPr>
        <w:pageBreakBefore w:val="0"/>
        <w:kinsoku/>
        <w:wordWrap/>
        <w:overflowPunct/>
        <w:topLinePunct w:val="0"/>
        <w:bidi w:val="0"/>
        <w:adjustRightInd/>
        <w:snapToGrid/>
        <w:spacing w:line="460" w:lineRule="exact"/>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．投标文件的修改和撤回</w:t>
      </w:r>
    </w:p>
    <w:p>
      <w:pPr>
        <w:pageBreakBefore w:val="0"/>
        <w:kinsoku/>
        <w:wordWrap/>
        <w:overflowPunct/>
        <w:topLinePunct w:val="0"/>
        <w:bidi w:val="0"/>
        <w:adjustRightInd/>
        <w:snapToGrid/>
        <w:spacing w:line="4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在递交投标文件后，投标截止时间前，可以修改或撤回其投标文件。但</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必须在规定的投标截止期之前将修改或撤回的书面通知递交到采购代理机构。</w:t>
      </w:r>
    </w:p>
    <w:p>
      <w:pPr>
        <w:pageBreakBefore w:val="0"/>
        <w:kinsoku/>
        <w:wordWrap/>
        <w:overflowPunct/>
        <w:topLinePunct w:val="0"/>
        <w:bidi w:val="0"/>
        <w:adjustRightInd/>
        <w:snapToGrid/>
        <w:spacing w:line="4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 在投标截止日期之后，</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不得对其投标文件做任何修改。</w:t>
      </w:r>
    </w:p>
    <w:p>
      <w:pPr>
        <w:pageBreakBefore w:val="0"/>
        <w:kinsoku/>
        <w:wordWrap/>
        <w:overflowPunct/>
        <w:topLinePunct w:val="0"/>
        <w:bidi w:val="0"/>
        <w:adjustRightInd/>
        <w:snapToGrid/>
        <w:spacing w:line="46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 从投标截止期始至招标文件确定的投标有效期满这段时间内，</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不得撤回其投标。</w:t>
      </w:r>
    </w:p>
    <w:p>
      <w:pPr>
        <w:pageBreakBefore w:val="0"/>
        <w:kinsoku/>
        <w:wordWrap/>
        <w:overflowPunct/>
        <w:topLinePunct w:val="0"/>
        <w:bidi w:val="0"/>
        <w:adjustRightInd/>
        <w:snapToGrid/>
        <w:spacing w:line="460" w:lineRule="exact"/>
        <w:ind w:firstLine="480"/>
        <w:rPr>
          <w:rFonts w:hint="eastAsia" w:ascii="仿宋" w:hAnsi="仿宋" w:eastAsia="仿宋" w:cs="仿宋"/>
          <w:b/>
          <w:bCs/>
          <w:color w:val="auto"/>
          <w:sz w:val="24"/>
          <w:highlight w:val="none"/>
          <w:lang w:val="zh-CN"/>
        </w:rPr>
      </w:pPr>
      <w:r>
        <w:rPr>
          <w:rFonts w:hint="eastAsia"/>
          <w:b/>
          <w:bCs/>
          <w:lang w:val="en-US" w:eastAsia="zh-CN"/>
        </w:rPr>
        <w:t xml:space="preserve">19. </w:t>
      </w:r>
      <w:r>
        <w:rPr>
          <w:rFonts w:hint="eastAsia" w:ascii="仿宋" w:hAnsi="仿宋" w:eastAsia="仿宋" w:cs="仿宋"/>
          <w:b/>
          <w:bCs/>
          <w:color w:val="auto"/>
          <w:sz w:val="24"/>
          <w:highlight w:val="none"/>
          <w:lang w:val="zh-CN"/>
        </w:rPr>
        <w:t>投标纪律要求</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lang w:val="zh-CN"/>
        </w:rPr>
        <w:t>.1投标供应商参加投标不得有下列情形之一：</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（1）提供虚假材料谋取中标；</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（2）采取不正当手段诋毁、排挤其他投标供应商；</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（3）与采购人、采购代理机构、其他投标供应商串通；</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（4）向采购人、采购代理机构、评标委员会成员行贿或者提供其他不正当利益；</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（5）在招标过程中与采购人进行协商谈判；</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（6）拒绝有关部门的监督检查或者向监督检查部门提供虚假情况；</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（7）拒绝按照评标委员会要求进行澄清、说明的；</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（8）以他人名义投标或者以其他方式弄虚作假的；</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（9）投标供应商影响或干预、扰乱开标、评标活动的。</w:t>
      </w:r>
    </w:p>
    <w:p>
      <w:pPr>
        <w:pageBreakBefore w:val="0"/>
        <w:kinsoku/>
        <w:wordWrap/>
        <w:overflowPunct/>
        <w:topLinePunct w:val="0"/>
        <w:bidi w:val="0"/>
        <w:adjustRightInd/>
        <w:snapToGrid/>
        <w:spacing w:line="460" w:lineRule="exact"/>
        <w:ind w:firstLine="1024" w:firstLineChars="427"/>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有上述情形之一的，其投标或中标资格将被取消。</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lang w:val="zh-CN"/>
        </w:rPr>
        <w:t>.2</w:t>
      </w:r>
      <w:r>
        <w:rPr>
          <w:rFonts w:ascii="仿宋" w:hAnsi="仿宋" w:eastAsia="仿宋" w:cs="仿宋"/>
          <w:color w:val="auto"/>
          <w:sz w:val="24"/>
          <w:highlight w:val="none"/>
          <w:lang w:val="zh-CN"/>
        </w:rPr>
        <w:t>有下列情形之一的，视为</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相互恶意串通投标：</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1</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的投标文件由同一单位或者个人编制；</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2</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委托同一单位或者个人办理投标事宜；</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3</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的投标文件载明的项目管理成员为同一人；</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4</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的投标文件异常一致或者投标报价呈规律性差异；</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5</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的投标文件相互混装；</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r>
        <w:rPr>
          <w:rFonts w:hint="eastAsia" w:ascii="仿宋" w:hAnsi="仿宋" w:eastAsia="仿宋" w:cs="仿宋"/>
          <w:color w:val="auto"/>
          <w:sz w:val="24"/>
          <w:highlight w:val="none"/>
          <w:lang w:val="zh-CN"/>
        </w:rPr>
        <w:t>6</w:t>
      </w:r>
      <w:r>
        <w:rPr>
          <w:rFonts w:ascii="仿宋" w:hAnsi="仿宋" w:eastAsia="仿宋" w:cs="仿宋"/>
          <w:color w:val="auto"/>
          <w:sz w:val="24"/>
          <w:highlight w:val="none"/>
          <w:lang w:val="zh-CN"/>
        </w:rPr>
        <w:t>）不同</w:t>
      </w:r>
      <w:r>
        <w:rPr>
          <w:rFonts w:hint="eastAsia" w:ascii="仿宋" w:hAnsi="仿宋" w:eastAsia="仿宋" w:cs="仿宋"/>
          <w:color w:val="auto"/>
          <w:sz w:val="24"/>
          <w:highlight w:val="none"/>
          <w:lang w:val="zh-CN"/>
        </w:rPr>
        <w:t>投标供应商</w:t>
      </w:r>
      <w:r>
        <w:rPr>
          <w:rFonts w:ascii="仿宋" w:hAnsi="仿宋" w:eastAsia="仿宋" w:cs="仿宋"/>
          <w:color w:val="auto"/>
          <w:sz w:val="24"/>
          <w:highlight w:val="none"/>
          <w:lang w:val="zh-CN"/>
        </w:rPr>
        <w:t>的投标保证金从同一单位或者个人的账户转出</w:t>
      </w:r>
      <w:r>
        <w:rPr>
          <w:rFonts w:hint="eastAsia" w:ascii="仿宋" w:hAnsi="仿宋" w:eastAsia="仿宋" w:cs="仿宋"/>
          <w:color w:val="auto"/>
          <w:sz w:val="24"/>
          <w:highlight w:val="none"/>
          <w:lang w:val="zh-CN"/>
        </w:rPr>
        <w:t>；</w:t>
      </w:r>
    </w:p>
    <w:p>
      <w:pPr>
        <w:pageBreakBefore w:val="0"/>
        <w:kinsoku/>
        <w:wordWrap/>
        <w:overflowPunct/>
        <w:topLinePunct w:val="0"/>
        <w:bidi w:val="0"/>
        <w:adjustRightInd/>
        <w:snapToGrid/>
        <w:spacing w:line="460" w:lineRule="exact"/>
        <w:ind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（7）经评标委员会认定的其他情形；</w:t>
      </w:r>
    </w:p>
    <w:p>
      <w:pPr>
        <w:pageBreakBefore w:val="0"/>
        <w:kinsoku/>
        <w:wordWrap/>
        <w:overflowPunct/>
        <w:topLinePunct w:val="0"/>
        <w:autoSpaceDE/>
        <w:autoSpaceDN/>
        <w:bidi w:val="0"/>
        <w:adjustRightInd/>
        <w:snapToGrid/>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zh-CN"/>
        </w:rPr>
        <w:t>（8）相关法律法规或政府相关文件规定的情形。</w:t>
      </w:r>
    </w:p>
    <w:p>
      <w:pPr>
        <w:pStyle w:val="92"/>
        <w:pageBreakBefore w:val="0"/>
        <w:widowControl/>
        <w:kinsoku/>
        <w:wordWrap/>
        <w:overflowPunct/>
        <w:topLinePunct w:val="0"/>
        <w:autoSpaceDE/>
        <w:autoSpaceDN/>
        <w:bidi w:val="0"/>
        <w:adjustRightInd/>
        <w:snapToGrid/>
        <w:spacing w:before="0" w:after="0" w:line="500" w:lineRule="exact"/>
        <w:jc w:val="center"/>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五、开标、评标、定标</w:t>
      </w:r>
    </w:p>
    <w:p>
      <w:pPr>
        <w:pageBreakBefore w:val="0"/>
        <w:kinsoku/>
        <w:wordWrap/>
        <w:overflowPunct/>
        <w:topLinePunct w:val="0"/>
        <w:autoSpaceDE/>
        <w:autoSpaceDN/>
        <w:bidi w:val="0"/>
        <w:adjustRightInd/>
        <w:snapToGrid/>
        <w:spacing w:line="50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．开标</w:t>
      </w:r>
    </w:p>
    <w:p>
      <w:pPr>
        <w:pageBreakBefore w:val="0"/>
        <w:kinsoku/>
        <w:wordWrap/>
        <w:overflowPunct/>
        <w:topLinePunct w:val="0"/>
        <w:autoSpaceDE/>
        <w:autoSpaceDN/>
        <w:bidi w:val="0"/>
        <w:adjustRightInd/>
        <w:snapToGrid/>
        <w:spacing w:line="500" w:lineRule="exact"/>
        <w:ind w:firstLine="480" w:firstLineChars="200"/>
        <w:rPr>
          <w:rFonts w:ascii="仿宋" w:hAnsi="仿宋" w:eastAsia="仿宋" w:cs="仿宋"/>
          <w:b/>
          <w:bCs/>
          <w:snapToGrid w:val="0"/>
          <w:color w:val="auto"/>
          <w:sz w:val="24"/>
          <w:highlight w:val="none"/>
        </w:rPr>
      </w:pP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.1 采购代理机构将在招标公告规定的时间和地点组织公开开标会议。参与会议的所有</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均应</w:t>
      </w:r>
      <w:r>
        <w:rPr>
          <w:rFonts w:hint="eastAsia" w:ascii="仿宋" w:hAnsi="仿宋" w:eastAsia="仿宋" w:cs="仿宋"/>
          <w:color w:val="auto"/>
          <w:sz w:val="24"/>
          <w:highlight w:val="none"/>
          <w:lang w:eastAsia="zh-CN"/>
        </w:rPr>
        <w:t>委</w:t>
      </w:r>
      <w:r>
        <w:rPr>
          <w:rFonts w:hint="eastAsia" w:ascii="仿宋" w:hAnsi="仿宋" w:eastAsia="仿宋" w:cs="仿宋"/>
          <w:color w:val="auto"/>
          <w:sz w:val="24"/>
          <w:highlight w:val="none"/>
        </w:rPr>
        <w:t>派代表参加</w:t>
      </w:r>
      <w:r>
        <w:rPr>
          <w:rFonts w:hint="eastAsia" w:ascii="仿宋" w:hAnsi="仿宋" w:eastAsia="仿宋" w:cs="仿宋"/>
          <w:color w:val="auto"/>
          <w:sz w:val="24"/>
          <w:highlight w:val="none"/>
          <w:lang w:eastAsia="zh-CN"/>
        </w:rPr>
        <w:t>，委派的代表人须携带授权委托书和身份证参加并签名报到以证明其出席。</w:t>
      </w:r>
    </w:p>
    <w:p>
      <w:pPr>
        <w:pageBreakBefore w:val="0"/>
        <w:kinsoku/>
        <w:wordWrap/>
        <w:overflowPunct/>
        <w:topLinePunct w:val="0"/>
        <w:autoSpaceDE/>
        <w:autoSpaceDN/>
        <w:bidi w:val="0"/>
        <w:adjustRightInd/>
        <w:snapToGrid/>
        <w:spacing w:line="500" w:lineRule="exact"/>
        <w:ind w:firstLine="482" w:firstLineChars="200"/>
        <w:textAlignment w:val="baseline"/>
        <w:rPr>
          <w:rFonts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20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2 </w:t>
      </w:r>
      <w:r>
        <w:rPr>
          <w:rFonts w:hint="eastAsia" w:ascii="仿宋" w:hAnsi="仿宋" w:eastAsia="仿宋" w:cs="仿宋"/>
          <w:b/>
          <w:bCs/>
          <w:color w:val="auto"/>
          <w:sz w:val="24"/>
          <w:highlight w:val="none"/>
        </w:rPr>
        <w:t>开标时</w:t>
      </w:r>
      <w:r>
        <w:rPr>
          <w:rFonts w:hint="eastAsia" w:ascii="仿宋" w:hAnsi="仿宋" w:eastAsia="仿宋" w:cs="仿宋"/>
          <w:b/>
          <w:bCs/>
          <w:color w:val="auto"/>
          <w:kern w:val="0"/>
          <w:sz w:val="24"/>
          <w:highlight w:val="none"/>
          <w:lang w:eastAsia="zh-CN"/>
        </w:rPr>
        <w:t>投标供应商</w:t>
      </w:r>
      <w:r>
        <w:rPr>
          <w:rFonts w:hint="eastAsia" w:ascii="仿宋" w:hAnsi="仿宋" w:eastAsia="仿宋" w:cs="仿宋"/>
          <w:b/>
          <w:bCs/>
          <w:color w:val="auto"/>
          <w:kern w:val="0"/>
          <w:sz w:val="24"/>
          <w:highlight w:val="none"/>
        </w:rPr>
        <w:t>须使用电子投标文件加密时所用的数字认证证书（CA锁）在解密时间内，输入密码，进行解密；解密时间已到不可解密；如果在解密时间内解密失败，可再次解密。</w:t>
      </w:r>
      <w:r>
        <w:rPr>
          <w:rStyle w:val="52"/>
          <w:rFonts w:hint="eastAsia" w:ascii="仿宋" w:hAnsi="仿宋" w:eastAsia="仿宋" w:cs="仿宋"/>
          <w:b/>
          <w:color w:val="auto"/>
          <w:kern w:val="0"/>
          <w:sz w:val="24"/>
          <w:highlight w:val="none"/>
        </w:rPr>
        <w:t>所有投标供应商解密完成后由开标人员将电子投标文件导入开评标系统，由电子交易系统进行自动唱标。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采购代理机构将在开标会议现场做开标记录。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在开标环节出现下列情况之一的，其电子投标文件视为无效文件：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拒绝对电子投标文件进行解密的；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（2）因</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自身原因（如未带CA锁、或所带CA锁与制作电子投标文件使用的CA锁不一致、或沿用旧版招标文件编制投标文件等情形），导致在规定时间内无法解密投标文件的；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（3）上传的电子投标文件无法打开的；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（4）政府采购法律法规规定的其他无效情形。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特殊情形下的应急处置</w:t>
      </w:r>
      <w:r>
        <w:rPr>
          <w:rFonts w:hint="eastAsia" w:ascii="仿宋" w:hAnsi="仿宋" w:eastAsia="仿宋" w:cs="仿宋"/>
          <w:b w:val="0"/>
          <w:bCs w:val="0"/>
          <w:color w:val="auto"/>
          <w:sz w:val="24"/>
          <w:highlight w:val="none"/>
          <w:lang w:eastAsia="zh-CN"/>
        </w:rPr>
        <w:t>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在开标、评审过程中，如因停电、断网、 电子化系统故障等特殊原因导致电 子化开、评标无法正常进行时，将以电子版投标文件为准继续开展后续采购活动。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20</w:t>
      </w:r>
      <w:r>
        <w:rPr>
          <w:rStyle w:val="52"/>
          <w:rFonts w:hint="eastAsia" w:ascii="仿宋" w:hAnsi="仿宋" w:eastAsia="仿宋" w:cs="仿宋"/>
          <w:color w:val="auto"/>
          <w:sz w:val="24"/>
          <w:highlight w:val="none"/>
        </w:rPr>
        <w:t>.</w:t>
      </w:r>
      <w:r>
        <w:rPr>
          <w:rStyle w:val="52"/>
          <w:rFonts w:hint="eastAsia" w:ascii="仿宋" w:hAnsi="仿宋" w:eastAsia="仿宋" w:cs="仿宋"/>
          <w:color w:val="auto"/>
          <w:sz w:val="24"/>
          <w:highlight w:val="none"/>
          <w:lang w:val="en-US"/>
        </w:rPr>
        <w:t>5</w:t>
      </w:r>
      <w:r>
        <w:rPr>
          <w:rStyle w:val="52"/>
          <w:rFonts w:hint="eastAsia" w:ascii="仿宋" w:hAnsi="仿宋" w:eastAsia="仿宋" w:cs="仿宋"/>
          <w:color w:val="auto"/>
          <w:sz w:val="24"/>
          <w:highlight w:val="none"/>
        </w:rPr>
        <w:t>开标结束后，由采购人、资格审查小组，对投标文件中的投标供应商资格证明文件及信用记录进行审查。出现下列情形的，投标文件将被视为无效：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（1）不具备招标文件中规定的资格要求的；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（2）未按招标文件要求签字或加盖公章的；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lang w:val="en-US"/>
        </w:rPr>
        <w:t>20.6</w:t>
      </w:r>
      <w:r>
        <w:rPr>
          <w:rStyle w:val="52"/>
          <w:rFonts w:hint="eastAsia" w:ascii="仿宋" w:hAnsi="仿宋" w:eastAsia="仿宋" w:cs="仿宋"/>
          <w:color w:val="auto"/>
          <w:sz w:val="24"/>
          <w:highlight w:val="none"/>
        </w:rPr>
        <w:t>资格审查结束后，资格审查小组成员应当对审查结果进行签字确认，并告知无效投标投标供应商资格审查未通过的原因。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lang w:val="en-US"/>
        </w:rPr>
        <w:t>20.7</w:t>
      </w:r>
      <w:r>
        <w:rPr>
          <w:rStyle w:val="52"/>
          <w:rFonts w:hint="eastAsia" w:ascii="仿宋" w:hAnsi="仿宋" w:eastAsia="仿宋" w:cs="仿宋"/>
          <w:color w:val="auto"/>
          <w:sz w:val="24"/>
          <w:highlight w:val="none"/>
        </w:rPr>
        <w:t>合格投标供应商不足3家的，不得评标。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52"/>
          <w:rFonts w:hint="eastAsia" w:ascii="仿宋" w:hAnsi="仿宋" w:eastAsia="仿宋" w:cs="仿宋"/>
          <w:b/>
          <w:bCs/>
          <w:color w:val="auto"/>
          <w:sz w:val="24"/>
          <w:highlight w:val="none"/>
        </w:rPr>
      </w:pPr>
      <w:r>
        <w:rPr>
          <w:rStyle w:val="52"/>
          <w:rFonts w:hint="eastAsia" w:ascii="仿宋" w:hAnsi="仿宋" w:eastAsia="仿宋" w:cs="仿宋"/>
          <w:b/>
          <w:bCs/>
          <w:color w:val="auto"/>
          <w:sz w:val="24"/>
          <w:highlight w:val="none"/>
          <w:lang w:val="en-US"/>
        </w:rPr>
        <w:t>21</w:t>
      </w:r>
      <w:r>
        <w:rPr>
          <w:rStyle w:val="52"/>
          <w:rFonts w:hint="eastAsia" w:ascii="仿宋" w:hAnsi="仿宋" w:eastAsia="仿宋" w:cs="仿宋"/>
          <w:b/>
          <w:bCs/>
          <w:color w:val="auto"/>
          <w:sz w:val="24"/>
          <w:highlight w:val="none"/>
        </w:rPr>
        <w:t>、采购人或采购代理机构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.1核对评审委员会身份和采购人代表授权函，对评审委员会在政府采购活动中的职责履行情况予以记录，并及时将有关违法违规行为向财政部门报告；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.2宣布评标纪律；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.3公布投标供应商名单，告知评审委员会应当回避的情形；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.4组织评审委员会推选评审组长，采购人代表不得担任组长；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.5根据评标委员会的要求介绍政府采购相关政策法规、招标文件；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.6依法对投标供应商的资格进行审查；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.7依法维护评标秩序，监督评标委员会依照招标文件规定的评标程序、方法和标准进行独立评审，及时制止和纠正采购人代表、评审委员会的倾向性言论或者违法违规行为；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8核对评标结果，有分值汇总计算错误的、分项评分超出评分标准范围的、评标委员会成员对客观评审因素评分不一致的、经评标委员会认定评分畸高、畸低的，要求评标委员会复核或者书面说明理由。评标委员会拒绝的，应予记录并向本级财政部门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rPr>
        <w:t>21</w:t>
      </w:r>
      <w:r>
        <w:rPr>
          <w:rStyle w:val="52"/>
          <w:rFonts w:hint="eastAsia" w:ascii="仿宋" w:hAnsi="仿宋" w:eastAsia="仿宋" w:cs="仿宋"/>
          <w:color w:val="auto"/>
          <w:sz w:val="24"/>
          <w:highlight w:val="none"/>
        </w:rPr>
        <w:t>.9与评标有关的其他事项。</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b/>
          <w:color w:val="auto"/>
          <w:sz w:val="24"/>
          <w:highlight w:val="none"/>
          <w:lang w:val="en-US"/>
        </w:rPr>
        <w:t>22</w:t>
      </w:r>
      <w:r>
        <w:rPr>
          <w:rStyle w:val="52"/>
          <w:rFonts w:hint="eastAsia" w:ascii="仿宋" w:hAnsi="仿宋" w:eastAsia="仿宋" w:cs="仿宋"/>
          <w:b/>
          <w:color w:val="auto"/>
          <w:sz w:val="24"/>
          <w:highlight w:val="none"/>
        </w:rPr>
        <w:t>、评标委员会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.1 采购人将根据本次招标项目的特点，参照《中华人民共和国政府采购法》等有关规定组建评标委员会；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.2 评标委员会成员由采购人及评审专家组成，负责评标活动。专家人选在专家库中随机抽取，其中评审委员会不得少于成员总数的三分之二；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.3评审委员会从省级以上财政部门设立的政府采购评审委员会库中，通过随机方式抽取评审委员会；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.4 评标委员会成员对各投标供应商投标文件进行审查、评价投标文件是否符合招标文件的商务、技术等实质性要求；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.5要求投标供应商对投标文件有关事项作出澄清或者说明；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.6对投标文件进行比较和评价；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.7确定中标候选人名单，或根据采购人委托直接确定中标人；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.8向采购人、采购代理机构或者有关部门报告评标中发现的违法行为（如果有）；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2</w:t>
      </w:r>
      <w:r>
        <w:rPr>
          <w:rStyle w:val="52"/>
          <w:rFonts w:hint="eastAsia" w:ascii="仿宋" w:hAnsi="仿宋" w:eastAsia="仿宋" w:cs="仿宋"/>
          <w:color w:val="auto"/>
          <w:sz w:val="24"/>
          <w:highlight w:val="none"/>
        </w:rPr>
        <w:t>.9评标委员会有权对整个招标过程中出现的一切问题，根据《中华人民共和国政府采购法》和《政府采购货物和服务招标管理办法》的规定，本着公开、公平、公正的原则，进行处理。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baseline"/>
        <w:rPr>
          <w:rStyle w:val="52"/>
          <w:rFonts w:hint="eastAsia" w:ascii="仿宋" w:hAnsi="仿宋" w:eastAsia="仿宋" w:cs="仿宋"/>
          <w:b/>
          <w:bCs/>
          <w:color w:val="auto"/>
          <w:sz w:val="24"/>
          <w:highlight w:val="none"/>
        </w:rPr>
      </w:pPr>
      <w:r>
        <w:rPr>
          <w:rStyle w:val="52"/>
          <w:rFonts w:hint="eastAsia" w:ascii="仿宋" w:hAnsi="仿宋" w:eastAsia="仿宋" w:cs="仿宋"/>
          <w:b/>
          <w:bCs/>
          <w:color w:val="auto"/>
          <w:sz w:val="24"/>
          <w:highlight w:val="none"/>
        </w:rPr>
        <w:t>2</w:t>
      </w:r>
      <w:r>
        <w:rPr>
          <w:rStyle w:val="52"/>
          <w:rFonts w:hint="eastAsia" w:ascii="仿宋" w:hAnsi="仿宋" w:eastAsia="仿宋" w:cs="仿宋"/>
          <w:b/>
          <w:bCs/>
          <w:color w:val="auto"/>
          <w:sz w:val="24"/>
          <w:highlight w:val="none"/>
          <w:lang w:val="en-US"/>
        </w:rPr>
        <w:t>3</w:t>
      </w:r>
      <w:r>
        <w:rPr>
          <w:rStyle w:val="52"/>
          <w:rFonts w:hint="eastAsia" w:ascii="仿宋" w:hAnsi="仿宋" w:eastAsia="仿宋" w:cs="仿宋"/>
          <w:b/>
          <w:bCs/>
          <w:color w:val="auto"/>
          <w:sz w:val="24"/>
          <w:highlight w:val="none"/>
        </w:rPr>
        <w:t>．投标文件的初审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baseline"/>
        <w:rPr>
          <w:rFonts w:hint="eastAsia"/>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3</w:t>
      </w:r>
      <w:r>
        <w:rPr>
          <w:rStyle w:val="52"/>
          <w:rFonts w:hint="eastAsia" w:ascii="仿宋" w:hAnsi="仿宋" w:eastAsia="仿宋" w:cs="仿宋"/>
          <w:color w:val="auto"/>
          <w:sz w:val="24"/>
          <w:highlight w:val="none"/>
        </w:rPr>
        <w:t>.1 投标文件的资格性审查：依据法律法规和招标文件的规定，采购人对投标供应商按照招标文件中资格要求进行资格审查，以确保投标供应商是否具备相应的投标资格，任意一条不符合要求的，按无效投标处理。</w:t>
      </w:r>
    </w:p>
    <w:p>
      <w:pPr>
        <w:snapToGrid w:val="0"/>
        <w:spacing w:line="360" w:lineRule="auto"/>
        <w:jc w:val="center"/>
        <w:textAlignment w:val="baseline"/>
        <w:rPr>
          <w:rFonts w:ascii="仿宋" w:hAnsi="仿宋" w:eastAsia="仿宋" w:cs="仿宋"/>
          <w:b/>
          <w:bCs/>
          <w:color w:val="auto"/>
          <w:sz w:val="24"/>
          <w:highlight w:val="none"/>
        </w:rPr>
      </w:pPr>
      <w:r>
        <w:rPr>
          <w:rStyle w:val="52"/>
          <w:rFonts w:hint="eastAsia" w:ascii="仿宋" w:hAnsi="仿宋" w:eastAsia="仿宋" w:cs="仿宋"/>
          <w:b/>
          <w:bCs/>
          <w:color w:val="auto"/>
          <w:sz w:val="24"/>
          <w:highlight w:val="none"/>
        </w:rPr>
        <w:t>资格性审查表</w:t>
      </w:r>
    </w:p>
    <w:tbl>
      <w:tblPr>
        <w:tblStyle w:val="2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71"/>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300" w:lineRule="exact"/>
              <w:ind w:firstLine="0"/>
              <w:jc w:val="center"/>
              <w:textAlignment w:val="auto"/>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序号</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300" w:lineRule="exact"/>
              <w:ind w:firstLine="221"/>
              <w:jc w:val="center"/>
              <w:textAlignment w:val="auto"/>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评审因素</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300" w:lineRule="exact"/>
              <w:ind w:firstLine="221"/>
              <w:jc w:val="center"/>
              <w:textAlignment w:val="auto"/>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有效的主体</w:t>
            </w:r>
          </w:p>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资格证明</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具有独立承担民事责任能力的法人、其他组织或自然人，提供合法有效的营业执照/事业单位法人证书/专业服务机构执业许可证/民办非供应商单位登记证书等相关证明，自然人参与的提供其身份证明；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法定代表人参加投标时，须提供本人身份证复印件；授权代表参加投标时，须提供法定代表人授权委托书、法定代表人和被授权人身份证复印件；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财务状况报告</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须提供2021年度经审计的财务报告（新公司成立时间不足一年的可提供成立后任意时段的资产负债表）；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证明材料</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FF0000"/>
                <w:sz w:val="24"/>
                <w:highlight w:val="none"/>
              </w:rPr>
            </w:pPr>
            <w:r>
              <w:rPr>
                <w:rFonts w:hint="eastAsia" w:ascii="仿宋" w:hAnsi="仿宋" w:eastAsia="仿宋" w:cs="仿宋"/>
                <w:color w:val="auto"/>
                <w:sz w:val="24"/>
                <w:highlight w:val="none"/>
                <w:lang w:val="en-US" w:eastAsia="zh-CN"/>
              </w:rPr>
              <w:t>具有履行合同所必需的设备和专业技术能力的证明材料（须提供自述材料）；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税收缴纳证明</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须提供自2022年1月1日至2022年8月1日</w:t>
            </w:r>
            <w:r>
              <w:rPr>
                <w:rFonts w:hint="eastAsia" w:ascii="仿宋" w:hAnsi="仿宋" w:eastAsia="仿宋" w:cs="仿宋"/>
                <w:b w:val="0"/>
                <w:bCs w:val="0"/>
                <w:color w:val="auto"/>
                <w:sz w:val="24"/>
                <w:szCs w:val="24"/>
                <w:lang w:val="en-US" w:eastAsia="zh-CN"/>
              </w:rPr>
              <w:t>内</w:t>
            </w:r>
            <w:r>
              <w:rPr>
                <w:rFonts w:hint="eastAsia" w:ascii="仿宋" w:hAnsi="仿宋" w:eastAsia="仿宋" w:cs="仿宋"/>
                <w:color w:val="auto"/>
                <w:sz w:val="24"/>
                <w:highlight w:val="none"/>
                <w:lang w:val="en-US" w:eastAsia="zh-CN"/>
              </w:rPr>
              <w:t>已缴纳的至少3个月的纳税证明或完税证明，依法免税或新成立的供应商应提供相关文件证明；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社会保障资金</w:t>
            </w:r>
          </w:p>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缴纳证明</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须提供自2022年1月1日至2022年8月1日</w:t>
            </w:r>
            <w:r>
              <w:rPr>
                <w:rFonts w:hint="eastAsia" w:ascii="仿宋" w:hAnsi="仿宋" w:eastAsia="仿宋" w:cs="仿宋"/>
                <w:b w:val="0"/>
                <w:bCs w:val="0"/>
                <w:color w:val="auto"/>
                <w:sz w:val="24"/>
                <w:szCs w:val="24"/>
                <w:lang w:val="en-US" w:eastAsia="zh-CN"/>
              </w:rPr>
              <w:t>内</w:t>
            </w:r>
            <w:r>
              <w:rPr>
                <w:rFonts w:hint="eastAsia" w:ascii="仿宋" w:hAnsi="仿宋" w:eastAsia="仿宋" w:cs="仿宋"/>
                <w:color w:val="auto"/>
                <w:sz w:val="24"/>
                <w:highlight w:val="none"/>
                <w:lang w:val="en-US" w:eastAsia="zh-CN"/>
              </w:rPr>
              <w:t>已缴存的至少3个月的社会保障资金缴存单据或社保机构开具的社会保险参保缴费情况证明，依法不需要缴纳社会保障资金或新成立的供应商应提供相关文件证明；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近3年内无重大</w:t>
            </w:r>
          </w:p>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违法记录</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参加本次政府采购活动近三年内在经营活动中没有重大违纪，以及未被列入失信被执行人、重大税收违法案件当事人名单、政府采购严重违法失信行为记录名单的书面声明；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53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2171"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21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主体信用记录</w:t>
            </w:r>
          </w:p>
        </w:tc>
        <w:tc>
          <w:tcPr>
            <w:tcW w:w="6613"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8" w:type="dxa"/>
            <w:gridSpan w:val="3"/>
            <w:vAlign w:val="center"/>
          </w:tcPr>
          <w:p>
            <w:pPr>
              <w:keepNext w:val="0"/>
              <w:keepLines w:val="0"/>
              <w:pageBreakBefore w:val="0"/>
              <w:widowControl w:val="0"/>
              <w:tabs>
                <w:tab w:val="left" w:pos="0"/>
              </w:tabs>
              <w:kinsoku/>
              <w:wordWrap/>
              <w:overflowPunct/>
              <w:topLinePunct w:val="0"/>
              <w:bidi w:val="0"/>
              <w:adjustRightInd/>
              <w:snapToGrid/>
              <w:spacing w:line="400" w:lineRule="exact"/>
              <w:ind w:firstLine="482" w:firstLineChars="200"/>
              <w:jc w:val="left"/>
              <w:textAlignment w:val="auto"/>
              <w:rPr>
                <w:rFonts w:ascii="仿宋" w:hAnsi="仿宋" w:eastAsia="仿宋" w:cs="仿宋"/>
                <w:color w:val="auto"/>
                <w:sz w:val="22"/>
                <w:szCs w:val="22"/>
                <w:highlight w:val="none"/>
              </w:rPr>
            </w:pPr>
            <w:r>
              <w:rPr>
                <w:rFonts w:hint="eastAsia" w:ascii="仿宋" w:hAnsi="仿宋" w:eastAsia="仿宋" w:cs="仿宋"/>
                <w:b/>
                <w:bCs/>
                <w:color w:val="auto"/>
                <w:sz w:val="24"/>
                <w:szCs w:val="24"/>
                <w:highlight w:val="none"/>
              </w:rPr>
              <w:t>备注：如果</w:t>
            </w:r>
            <w:r>
              <w:rPr>
                <w:rFonts w:hint="eastAsia" w:ascii="仿宋" w:hAnsi="仿宋" w:eastAsia="仿宋" w:cs="仿宋"/>
                <w:b/>
                <w:bCs/>
                <w:color w:val="auto"/>
                <w:sz w:val="24"/>
                <w:szCs w:val="24"/>
                <w:highlight w:val="none"/>
                <w:lang w:eastAsia="zh-CN"/>
              </w:rPr>
              <w:t>投标供应商</w:t>
            </w:r>
            <w:r>
              <w:rPr>
                <w:rFonts w:hint="eastAsia" w:ascii="仿宋" w:hAnsi="仿宋" w:eastAsia="仿宋" w:cs="仿宋"/>
                <w:b/>
                <w:bCs/>
                <w:color w:val="auto"/>
                <w:sz w:val="24"/>
                <w:szCs w:val="24"/>
                <w:highlight w:val="none"/>
              </w:rPr>
              <w:t>不具备相应资格、不满足招标文件所规定的资格标准或提供资格证明文件不全，缺项或者符合性、有效性、合法性审核不合格的，将被视为未实质性响应招标文件，按无效投标处理。</w:t>
            </w:r>
          </w:p>
        </w:tc>
      </w:tr>
    </w:tbl>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供货范围、质量和性能；或者实质上与招标文件不一致，而且限制了采购人的权利或</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的义务。纠正这些偏离或保留将会对其他实质上响应要求的</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的竞争地位产生不公正的影响。对于投标文件中不构成实质性偏差的不正规、不一致或不规则，采购人可以接受，但这种接受将影响</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的综合得分。评标委员会只根据投标文件本身的内容确定投标文件的响应性，而不寻求外部的证据。</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ascii="仿宋" w:hAnsi="仿宋" w:eastAsia="仿宋" w:cs="仿宋"/>
          <w:color w:val="auto"/>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.3符合性审查。评标委员会按下表要求对从投标文件进行符合性评审。有一项不符合评审标准的，将被视为未实质性响应招标文件，其投标文件将按无效投标处理。符合性审查按下表进行：</w:t>
      </w:r>
    </w:p>
    <w:tbl>
      <w:tblPr>
        <w:tblStyle w:val="26"/>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60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604"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221"/>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评审因素</w:t>
            </w:r>
          </w:p>
        </w:tc>
        <w:tc>
          <w:tcPr>
            <w:tcW w:w="5908"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221"/>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2604" w:type="dxa"/>
            <w:vAlign w:val="center"/>
          </w:tcPr>
          <w:p>
            <w:pPr>
              <w:keepNext w:val="0"/>
              <w:keepLines w:val="0"/>
              <w:pageBreakBefore w:val="0"/>
              <w:widowControl w:val="0"/>
              <w:kinsoku/>
              <w:wordWrap/>
              <w:overflowPunct/>
              <w:topLinePunct w:val="0"/>
              <w:bidi w:val="0"/>
              <w:adjustRightInd/>
              <w:snapToGrid/>
              <w:spacing w:line="460" w:lineRule="exact"/>
              <w:ind w:right="0"/>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投标文件项目名称、</w:t>
            </w:r>
          </w:p>
          <w:p>
            <w:pPr>
              <w:keepNext w:val="0"/>
              <w:keepLines w:val="0"/>
              <w:pageBreakBefore w:val="0"/>
              <w:widowControl w:val="0"/>
              <w:kinsoku/>
              <w:wordWrap/>
              <w:overflowPunct/>
              <w:topLinePunct w:val="0"/>
              <w:bidi w:val="0"/>
              <w:adjustRightInd/>
              <w:snapToGrid/>
              <w:spacing w:line="460" w:lineRule="exact"/>
              <w:ind w:right="0"/>
              <w:jc w:val="center"/>
              <w:rPr>
                <w:rFonts w:ascii="仿宋" w:hAnsi="仿宋" w:eastAsia="仿宋" w:cs="仿宋"/>
                <w:b/>
                <w:color w:val="auto"/>
                <w:sz w:val="24"/>
                <w:highlight w:val="none"/>
              </w:rPr>
            </w:pPr>
            <w:r>
              <w:rPr>
                <w:rFonts w:hint="eastAsia" w:ascii="仿宋" w:hAnsi="仿宋" w:eastAsia="仿宋" w:cs="仿宋"/>
                <w:color w:val="auto"/>
                <w:sz w:val="24"/>
                <w:highlight w:val="none"/>
              </w:rPr>
              <w:t>项目编号</w:t>
            </w:r>
          </w:p>
        </w:tc>
        <w:tc>
          <w:tcPr>
            <w:tcW w:w="5908" w:type="dxa"/>
            <w:vAlign w:val="center"/>
          </w:tcPr>
          <w:p>
            <w:pPr>
              <w:keepNext w:val="0"/>
              <w:keepLines w:val="0"/>
              <w:pageBreakBefore w:val="0"/>
              <w:widowControl w:val="0"/>
              <w:kinsoku/>
              <w:wordWrap/>
              <w:overflowPunct/>
              <w:topLinePunct w:val="0"/>
              <w:bidi w:val="0"/>
              <w:adjustRightInd/>
              <w:snapToGrid/>
              <w:spacing w:line="460" w:lineRule="exact"/>
              <w:ind w:right="0"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投标文件的项目名称、项目编号与本项目完全一致且无遗漏：封面、投标函、法定代表人授权委托书</w:t>
            </w:r>
            <w:r>
              <w:rPr>
                <w:rFonts w:hint="eastAsia" w:ascii="仿宋" w:hAnsi="仿宋" w:eastAsia="仿宋" w:cs="仿宋"/>
                <w:color w:val="auto"/>
                <w:sz w:val="24"/>
                <w:highlight w:val="none"/>
                <w:lang w:eastAsia="zh-CN"/>
              </w:rPr>
              <w:t>及招标文件其他要求处；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2604" w:type="dxa"/>
            <w:vAlign w:val="center"/>
          </w:tcPr>
          <w:p>
            <w:pPr>
              <w:keepNext w:val="0"/>
              <w:keepLines w:val="0"/>
              <w:pageBreakBefore w:val="0"/>
              <w:widowControl w:val="0"/>
              <w:tabs>
                <w:tab w:val="left" w:pos="0"/>
              </w:tabs>
              <w:kinsoku/>
              <w:wordWrap/>
              <w:overflowPunct/>
              <w:topLinePunct w:val="0"/>
              <w:bidi w:val="0"/>
              <w:adjustRightInd/>
              <w:snapToGrid/>
              <w:spacing w:line="460" w:lineRule="exact"/>
              <w:ind w:right="0"/>
              <w:jc w:val="center"/>
              <w:rPr>
                <w:rFonts w:ascii="仿宋" w:hAnsi="仿宋" w:eastAsia="仿宋" w:cs="仿宋"/>
                <w:color w:val="auto"/>
                <w:sz w:val="24"/>
                <w:highlight w:val="none"/>
              </w:rPr>
            </w:pPr>
            <w:r>
              <w:rPr>
                <w:rFonts w:hint="eastAsia" w:ascii="仿宋" w:hAnsi="仿宋" w:eastAsia="仿宋" w:cs="仿宋"/>
                <w:bCs/>
                <w:color w:val="auto"/>
                <w:sz w:val="24"/>
                <w:highlight w:val="none"/>
              </w:rPr>
              <w:t>投标文件格式</w:t>
            </w:r>
          </w:p>
        </w:tc>
        <w:tc>
          <w:tcPr>
            <w:tcW w:w="5908" w:type="dxa"/>
            <w:vAlign w:val="center"/>
          </w:tcPr>
          <w:p>
            <w:pPr>
              <w:keepNext w:val="0"/>
              <w:keepLines w:val="0"/>
              <w:pageBreakBefore w:val="0"/>
              <w:widowControl w:val="0"/>
              <w:tabs>
                <w:tab w:val="left" w:pos="0"/>
              </w:tabs>
              <w:kinsoku/>
              <w:wordWrap/>
              <w:overflowPunct/>
              <w:topLinePunct w:val="0"/>
              <w:bidi w:val="0"/>
              <w:adjustRightInd/>
              <w:snapToGrid/>
              <w:spacing w:line="460" w:lineRule="exact"/>
              <w:ind w:right="0" w:firstLine="480" w:firstLineChars="200"/>
              <w:jc w:val="left"/>
              <w:rPr>
                <w:rFonts w:ascii="仿宋" w:hAnsi="仿宋" w:eastAsia="仿宋" w:cs="仿宋"/>
                <w:color w:val="auto"/>
                <w:sz w:val="24"/>
                <w:highlight w:val="none"/>
              </w:rPr>
            </w:pPr>
            <w:r>
              <w:rPr>
                <w:rFonts w:hint="eastAsia" w:ascii="仿宋" w:hAnsi="仿宋" w:eastAsia="仿宋" w:cs="仿宋"/>
                <w:bCs/>
                <w:color w:val="auto"/>
                <w:sz w:val="24"/>
                <w:highlight w:val="none"/>
              </w:rPr>
              <w:t>符合招标文件中“投标文件基本格式”要求；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2604"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jc w:val="center"/>
              <w:textAlignment w:val="baseline"/>
              <w:rPr>
                <w:rFonts w:ascii="仿宋" w:hAnsi="仿宋" w:eastAsia="仿宋" w:cs="仿宋"/>
                <w:b/>
                <w:color w:val="auto"/>
                <w:sz w:val="24"/>
                <w:highlight w:val="none"/>
              </w:rPr>
            </w:pPr>
            <w:r>
              <w:rPr>
                <w:rFonts w:hint="eastAsia" w:ascii="仿宋" w:hAnsi="仿宋" w:eastAsia="仿宋" w:cs="仿宋"/>
                <w:color w:val="auto"/>
                <w:sz w:val="24"/>
                <w:highlight w:val="none"/>
              </w:rPr>
              <w:t>投标文件签署及盖章</w:t>
            </w:r>
          </w:p>
        </w:tc>
        <w:tc>
          <w:tcPr>
            <w:tcW w:w="5908"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firstLine="480" w:firstLineChars="200"/>
              <w:jc w:val="left"/>
              <w:textAlignment w:val="baseline"/>
              <w:rPr>
                <w:rFonts w:ascii="仿宋" w:hAnsi="仿宋" w:eastAsia="仿宋" w:cs="仿宋"/>
                <w:b/>
                <w:color w:val="auto"/>
                <w:sz w:val="24"/>
                <w:highlight w:val="none"/>
              </w:rPr>
            </w:pPr>
            <w:r>
              <w:rPr>
                <w:rFonts w:hint="eastAsia" w:ascii="仿宋" w:hAnsi="仿宋" w:eastAsia="仿宋" w:cs="仿宋"/>
                <w:color w:val="auto"/>
                <w:sz w:val="24"/>
                <w:highlight w:val="none"/>
              </w:rPr>
              <w:t>符合招标文件要求</w:t>
            </w:r>
            <w:r>
              <w:rPr>
                <w:rFonts w:hint="eastAsia" w:ascii="仿宋" w:hAnsi="仿宋" w:eastAsia="仿宋" w:cs="仿宋"/>
                <w:color w:val="auto"/>
                <w:sz w:val="24"/>
                <w:highlight w:val="none"/>
                <w:lang w:eastAsia="zh-CN"/>
              </w:rPr>
              <w:t>且无遗漏</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2604" w:type="dxa"/>
            <w:vAlign w:val="center"/>
          </w:tcPr>
          <w:p>
            <w:pPr>
              <w:keepNext w:val="0"/>
              <w:keepLines w:val="0"/>
              <w:pageBreakBefore w:val="0"/>
              <w:widowControl w:val="0"/>
              <w:kinsoku/>
              <w:wordWrap/>
              <w:overflowPunct/>
              <w:topLinePunct w:val="0"/>
              <w:bidi w:val="0"/>
              <w:adjustRightInd/>
              <w:snapToGrid/>
              <w:spacing w:line="460" w:lineRule="exact"/>
              <w:ind w:right="0"/>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5908" w:type="dxa"/>
            <w:vAlign w:val="center"/>
          </w:tcPr>
          <w:p>
            <w:pPr>
              <w:keepNext w:val="0"/>
              <w:keepLines w:val="0"/>
              <w:pageBreakBefore w:val="0"/>
              <w:widowControl w:val="0"/>
              <w:kinsoku/>
              <w:wordWrap/>
              <w:overflowPunct/>
              <w:topLinePunct w:val="0"/>
              <w:bidi w:val="0"/>
              <w:adjustRightInd/>
              <w:snapToGrid/>
              <w:spacing w:line="460" w:lineRule="exact"/>
              <w:ind w:right="0"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同时满足以下条款：投标报价符合唯一性要求；开标一览表填写符合要求；报价货币符合招标文件要求；未超出采购预算或招标文件规定的最高限价；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5</w:t>
            </w:r>
          </w:p>
        </w:tc>
        <w:tc>
          <w:tcPr>
            <w:tcW w:w="2604"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jc w:val="center"/>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交货安装期、质保期</w:t>
            </w:r>
          </w:p>
        </w:tc>
        <w:tc>
          <w:tcPr>
            <w:tcW w:w="5908"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firstLine="480" w:firstLineChars="200"/>
              <w:jc w:val="left"/>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6</w:t>
            </w:r>
          </w:p>
        </w:tc>
        <w:tc>
          <w:tcPr>
            <w:tcW w:w="2604"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jc w:val="center"/>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5908"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firstLine="480" w:firstLineChars="200"/>
              <w:jc w:val="left"/>
              <w:textAlignment w:val="baseline"/>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rPr>
              <w:t>符合招标文件要求</w:t>
            </w:r>
            <w:r>
              <w:rPr>
                <w:rFonts w:hint="eastAsia" w:ascii="仿宋" w:hAnsi="仿宋" w:eastAsia="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7</w:t>
            </w:r>
          </w:p>
        </w:tc>
        <w:tc>
          <w:tcPr>
            <w:tcW w:w="2604"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w:t>
            </w:r>
          </w:p>
        </w:tc>
        <w:tc>
          <w:tcPr>
            <w:tcW w:w="5908" w:type="dxa"/>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firstLine="480" w:firstLineChars="200"/>
              <w:jc w:val="both"/>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符合招标文件的要求</w:t>
            </w:r>
            <w:r>
              <w:rPr>
                <w:rFonts w:hint="eastAsia" w:ascii="仿宋" w:hAnsi="仿宋" w:eastAsia="仿宋" w:cs="仿宋"/>
                <w:color w:val="auto"/>
                <w:sz w:val="24"/>
                <w:highlight w:val="none"/>
                <w:lang w:eastAsia="zh-CN"/>
              </w:rPr>
              <w:t>（包括但不限于技术响应不出现负偏离）</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87" w:type="dxa"/>
            <w:vAlign w:val="center"/>
          </w:tcPr>
          <w:p>
            <w:pPr>
              <w:pStyle w:val="3"/>
              <w:keepNext w:val="0"/>
              <w:keepLines w:val="0"/>
              <w:pageBreakBefore w:val="0"/>
              <w:widowControl w:val="0"/>
              <w:kinsoku/>
              <w:wordWrap/>
              <w:overflowPunct/>
              <w:topLinePunct w:val="0"/>
              <w:autoSpaceDE w:val="0"/>
              <w:autoSpaceDN w:val="0"/>
              <w:bidi w:val="0"/>
              <w:adjustRightInd/>
              <w:snapToGrid/>
              <w:spacing w:after="0" w:line="460" w:lineRule="exact"/>
              <w:ind w:right="0" w:firstLine="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8</w:t>
            </w:r>
          </w:p>
        </w:tc>
        <w:tc>
          <w:tcPr>
            <w:tcW w:w="2604" w:type="dxa"/>
            <w:vAlign w:val="center"/>
          </w:tcPr>
          <w:p>
            <w:pPr>
              <w:keepNext w:val="0"/>
              <w:keepLines w:val="0"/>
              <w:pageBreakBefore w:val="0"/>
              <w:widowControl w:val="0"/>
              <w:kinsoku/>
              <w:wordWrap/>
              <w:overflowPunct/>
              <w:topLinePunct w:val="0"/>
              <w:bidi w:val="0"/>
              <w:adjustRightInd/>
              <w:snapToGrid/>
              <w:spacing w:line="460" w:lineRule="exact"/>
              <w:ind w:right="0"/>
              <w:jc w:val="center"/>
              <w:rPr>
                <w:rFonts w:ascii="仿宋" w:hAnsi="仿宋" w:eastAsia="仿宋" w:cs="仿宋"/>
                <w:b/>
                <w:bCs/>
                <w:color w:val="auto"/>
                <w:sz w:val="24"/>
                <w:highlight w:val="none"/>
              </w:rPr>
            </w:pPr>
            <w:r>
              <w:rPr>
                <w:rFonts w:hint="eastAsia" w:ascii="仿宋" w:hAnsi="仿宋" w:eastAsia="仿宋" w:cs="仿宋"/>
                <w:color w:val="auto"/>
                <w:sz w:val="24"/>
                <w:highlight w:val="none"/>
              </w:rPr>
              <w:t>其他</w:t>
            </w:r>
          </w:p>
        </w:tc>
        <w:tc>
          <w:tcPr>
            <w:tcW w:w="5908" w:type="dxa"/>
            <w:vAlign w:val="center"/>
          </w:tcPr>
          <w:p>
            <w:pPr>
              <w:keepNext w:val="0"/>
              <w:keepLines w:val="0"/>
              <w:pageBreakBefore w:val="0"/>
              <w:widowControl w:val="0"/>
              <w:kinsoku/>
              <w:wordWrap/>
              <w:overflowPunct/>
              <w:topLinePunct w:val="0"/>
              <w:bidi w:val="0"/>
              <w:adjustRightInd/>
              <w:snapToGrid/>
              <w:spacing w:line="460" w:lineRule="exact"/>
              <w:ind w:right="0" w:firstLine="480" w:firstLineChars="200"/>
              <w:jc w:val="left"/>
              <w:rPr>
                <w:rFonts w:ascii="仿宋" w:hAnsi="仿宋" w:eastAsia="仿宋" w:cs="仿宋"/>
                <w:bCs/>
                <w:color w:val="auto"/>
                <w:sz w:val="24"/>
                <w:highlight w:val="none"/>
              </w:rPr>
            </w:pPr>
            <w:r>
              <w:rPr>
                <w:rFonts w:hint="eastAsia" w:ascii="仿宋" w:hAnsi="仿宋" w:eastAsia="仿宋" w:cs="仿宋"/>
                <w:color w:val="auto"/>
                <w:sz w:val="24"/>
                <w:highlight w:val="none"/>
              </w:rPr>
              <w:t>完全理解并接受法律法规和招标文件对</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的各项须知、规约要求和责任义务，未对招标文件做出实质性响应的，视为无效投标。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299" w:type="dxa"/>
            <w:gridSpan w:val="3"/>
            <w:vAlign w:val="center"/>
          </w:tcPr>
          <w:p>
            <w:pPr>
              <w:keepNext w:val="0"/>
              <w:keepLines w:val="0"/>
              <w:pageBreakBefore w:val="0"/>
              <w:widowControl w:val="0"/>
              <w:tabs>
                <w:tab w:val="left" w:pos="1260"/>
                <w:tab w:val="left" w:pos="1620"/>
              </w:tabs>
              <w:kinsoku/>
              <w:wordWrap/>
              <w:overflowPunct/>
              <w:topLinePunct w:val="0"/>
              <w:bidi w:val="0"/>
              <w:adjustRightInd/>
              <w:snapToGrid/>
              <w:spacing w:line="460" w:lineRule="exact"/>
              <w:ind w:right="0"/>
              <w:textAlignment w:val="baseline"/>
              <w:rPr>
                <w:rFonts w:ascii="仿宋" w:hAnsi="仿宋" w:eastAsia="仿宋" w:cs="仿宋"/>
                <w:color w:val="auto"/>
                <w:sz w:val="22"/>
                <w:szCs w:val="22"/>
                <w:highlight w:val="none"/>
              </w:rPr>
            </w:pPr>
            <w:r>
              <w:rPr>
                <w:rFonts w:hint="eastAsia" w:ascii="仿宋" w:hAnsi="仿宋" w:eastAsia="仿宋" w:cs="仿宋"/>
                <w:b/>
                <w:bCs/>
                <w:color w:val="auto"/>
                <w:sz w:val="24"/>
                <w:szCs w:val="24"/>
                <w:highlight w:val="none"/>
              </w:rPr>
              <w:t>备注：以上</w:t>
            </w:r>
            <w:r>
              <w:rPr>
                <w:rFonts w:hint="eastAsia" w:ascii="仿宋" w:hAnsi="仿宋" w:eastAsia="仿宋" w:cs="仿宋"/>
                <w:b/>
                <w:bCs/>
                <w:color w:val="auto"/>
                <w:sz w:val="24"/>
                <w:szCs w:val="24"/>
                <w:highlight w:val="none"/>
                <w:lang w:eastAsia="zh-CN"/>
              </w:rPr>
              <w:t>如</w:t>
            </w:r>
            <w:r>
              <w:rPr>
                <w:rFonts w:hint="eastAsia" w:ascii="仿宋" w:hAnsi="仿宋" w:eastAsia="仿宋" w:cs="仿宋"/>
                <w:b/>
                <w:bCs/>
                <w:color w:val="auto"/>
                <w:sz w:val="24"/>
                <w:szCs w:val="24"/>
                <w:highlight w:val="none"/>
              </w:rPr>
              <w:t>有</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项不合格，评审不予通过，作为未实质性响应招标文件。</w:t>
            </w:r>
          </w:p>
        </w:tc>
      </w:tr>
    </w:tbl>
    <w:p>
      <w:pPr>
        <w:keepNext w:val="0"/>
        <w:keepLines w:val="0"/>
        <w:pageBreakBefore w:val="0"/>
        <w:kinsoku/>
        <w:wordWrap/>
        <w:overflowPunct/>
        <w:topLinePunct w:val="0"/>
        <w:autoSpaceDE/>
        <w:autoSpaceDN/>
        <w:bidi w:val="0"/>
        <w:adjustRightInd/>
        <w:snapToGrid/>
        <w:spacing w:line="480" w:lineRule="exact"/>
        <w:ind w:right="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.4在资格性、符合性审查未通过的，不得进入后续评审环节。</w:t>
      </w:r>
    </w:p>
    <w:p>
      <w:pPr>
        <w:keepNext w:val="0"/>
        <w:keepLines w:val="0"/>
        <w:pageBreakBefore w:val="0"/>
        <w:kinsoku/>
        <w:wordWrap/>
        <w:overflowPunct/>
        <w:topLinePunct w:val="0"/>
        <w:autoSpaceDE/>
        <w:autoSpaceDN/>
        <w:bidi w:val="0"/>
        <w:adjustRightInd/>
        <w:snapToGrid/>
        <w:spacing w:line="480" w:lineRule="exact"/>
        <w:ind w:right="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.5 如果投标文件实质上没有响应招标文件的要求，评标委员会将予以拒绝，</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不得通过修正或撤销不合要求的偏离从而使其投标成为实质上响应的投标。</w:t>
      </w:r>
    </w:p>
    <w:p>
      <w:pPr>
        <w:keepNext w:val="0"/>
        <w:keepLines w:val="0"/>
        <w:pageBreakBefore w:val="0"/>
        <w:kinsoku/>
        <w:wordWrap/>
        <w:overflowPunct/>
        <w:topLinePunct w:val="0"/>
        <w:autoSpaceDE/>
        <w:autoSpaceDN/>
        <w:bidi w:val="0"/>
        <w:adjustRightInd/>
        <w:snapToGrid/>
        <w:spacing w:line="480" w:lineRule="exact"/>
        <w:ind w:right="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.6 评标委员会只对确定为实质上响应的投标进行审核，看其是否有计算上和累加上的算术错误，修正错误的原则如下：</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（1）投标文件中开标一览表内容与投标文件中明细内容不一致的，以开标一览表为准；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（3）单价金额小数点或者百分比有明显错位的，以开标一览表的总价为准，并修改单价；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 xml:space="preserve">（4）总价金额与按单价汇总金额不一致的，以单价金额计算结果为准； </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（5）多处内容交叉不符时，以评标小组评审结果为准；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（6）文字与图表不符的，以文字为准。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同时出现两种以上不一致的，按照前款规定的顺序修正。按上述修正错误的原则及方法调整或修正投标文件的报价和内容，投标供应商同意后，调整后的报价和内容对投标供应商起约束作用。如果投标供应商不接受修正后的报价和内容，则其投标文件无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lang w:val="en-US" w:eastAsia="zh-CN"/>
        </w:rPr>
        <w:t>23.7评标委员会认为投标供应商的报价明显低于其他通过符合性审查投标供应商的报价，有可能影响服务质量或者不能诚信履约的，应当要求其在评审现场合理的时间内提供书面说明，必要时提交相关证明材料；投标供应商不能证明其报价合理性的，评标委员会应当将其作为无效投标处理。</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textAlignment w:val="baseline"/>
        <w:rPr>
          <w:rStyle w:val="52"/>
          <w:rFonts w:ascii="仿宋" w:hAnsi="仿宋" w:eastAsia="仿宋" w:cs="仿宋"/>
          <w:b/>
          <w:bCs/>
          <w:color w:val="auto"/>
          <w:sz w:val="24"/>
          <w:highlight w:val="none"/>
        </w:rPr>
      </w:pPr>
      <w:r>
        <w:rPr>
          <w:rStyle w:val="52"/>
          <w:rFonts w:hint="eastAsia" w:ascii="仿宋" w:hAnsi="仿宋" w:eastAsia="仿宋" w:cs="仿宋"/>
          <w:b/>
          <w:bCs/>
          <w:color w:val="auto"/>
          <w:sz w:val="24"/>
          <w:highlight w:val="none"/>
        </w:rPr>
        <w:t>2</w:t>
      </w:r>
      <w:r>
        <w:rPr>
          <w:rStyle w:val="52"/>
          <w:rFonts w:hint="eastAsia" w:ascii="仿宋" w:hAnsi="仿宋" w:eastAsia="仿宋" w:cs="仿宋"/>
          <w:b/>
          <w:bCs/>
          <w:color w:val="auto"/>
          <w:sz w:val="24"/>
          <w:highlight w:val="none"/>
          <w:lang w:val="en-US"/>
        </w:rPr>
        <w:t>4</w:t>
      </w:r>
      <w:r>
        <w:rPr>
          <w:rStyle w:val="52"/>
          <w:rFonts w:hint="eastAsia" w:ascii="仿宋" w:hAnsi="仿宋" w:eastAsia="仿宋" w:cs="仿宋"/>
          <w:b/>
          <w:bCs/>
          <w:color w:val="auto"/>
          <w:sz w:val="24"/>
          <w:highlight w:val="none"/>
        </w:rPr>
        <w:t>、投标文件的澄清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4</w:t>
      </w:r>
      <w:r>
        <w:rPr>
          <w:rStyle w:val="52"/>
          <w:rFonts w:hint="eastAsia" w:ascii="仿宋" w:hAnsi="仿宋" w:eastAsia="仿宋" w:cs="仿宋"/>
          <w:color w:val="auto"/>
          <w:sz w:val="24"/>
          <w:highlight w:val="none"/>
        </w:rPr>
        <w:t>.1对于投标文件中含义不明确、同类问题表述不一致或者有明显文字和计算错误的内容，评标委员会要求投标供应商作出必要的澄清、说明或者补正。</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4</w:t>
      </w:r>
      <w:r>
        <w:rPr>
          <w:rStyle w:val="52"/>
          <w:rFonts w:hint="eastAsia" w:ascii="仿宋" w:hAnsi="仿宋" w:eastAsia="仿宋" w:cs="仿宋"/>
          <w:color w:val="auto"/>
          <w:sz w:val="24"/>
          <w:highlight w:val="none"/>
        </w:rPr>
        <w:t>.2投标供应商的澄清、说明或者补正应当采用书面形式，由法定代表人或其授权的代表签字。投标供应商的澄清、说明或者补正不得超出投标文件的范围或者改变投标文件的实质性内容。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textAlignment w:val="baseline"/>
        <w:rPr>
          <w:rStyle w:val="52"/>
          <w:rFonts w:ascii="仿宋" w:hAnsi="仿宋" w:eastAsia="仿宋" w:cs="仿宋"/>
          <w:b/>
          <w:color w:val="auto"/>
          <w:sz w:val="24"/>
          <w:highlight w:val="none"/>
        </w:rPr>
      </w:pPr>
      <w:r>
        <w:rPr>
          <w:rStyle w:val="52"/>
          <w:rFonts w:hint="eastAsia" w:ascii="仿宋" w:hAnsi="仿宋" w:eastAsia="仿宋" w:cs="仿宋"/>
          <w:b/>
          <w:color w:val="auto"/>
          <w:sz w:val="24"/>
          <w:highlight w:val="none"/>
        </w:rPr>
        <w:t>2</w:t>
      </w:r>
      <w:r>
        <w:rPr>
          <w:rStyle w:val="52"/>
          <w:rFonts w:hint="eastAsia" w:ascii="仿宋" w:hAnsi="仿宋" w:eastAsia="仿宋" w:cs="仿宋"/>
          <w:b/>
          <w:color w:val="auto"/>
          <w:sz w:val="24"/>
          <w:highlight w:val="none"/>
          <w:lang w:val="en-US"/>
        </w:rPr>
        <w:t>5</w:t>
      </w:r>
      <w:r>
        <w:rPr>
          <w:rStyle w:val="52"/>
          <w:rFonts w:hint="eastAsia" w:ascii="仿宋" w:hAnsi="仿宋" w:eastAsia="仿宋" w:cs="仿宋"/>
          <w:b/>
          <w:color w:val="auto"/>
          <w:sz w:val="24"/>
          <w:highlight w:val="none"/>
        </w:rPr>
        <w:t>、评标原则及主要方法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5</w:t>
      </w:r>
      <w:r>
        <w:rPr>
          <w:rStyle w:val="52"/>
          <w:rFonts w:hint="eastAsia" w:ascii="仿宋" w:hAnsi="仿宋" w:eastAsia="仿宋" w:cs="仿宋"/>
          <w:color w:val="auto"/>
          <w:sz w:val="24"/>
          <w:highlight w:val="none"/>
        </w:rPr>
        <w:t>.1评标委员会将遵循公平、公正和择优的原则，对所有投标供应商的投标文件评审，采用相同的程序和标准；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baseline"/>
        <w:rPr>
          <w:rStyle w:val="52"/>
          <w:rFonts w:ascii="仿宋" w:hAnsi="仿宋" w:eastAsia="仿宋" w:cs="仿宋"/>
          <w:color w:val="auto"/>
          <w:sz w:val="24"/>
          <w:highlight w:val="none"/>
        </w:rPr>
      </w:pPr>
      <w:r>
        <w:rPr>
          <w:rStyle w:val="52"/>
          <w:rFonts w:hint="eastAsia" w:ascii="仿宋" w:hAnsi="仿宋" w:eastAsia="仿宋" w:cs="仿宋"/>
          <w:color w:val="auto"/>
          <w:sz w:val="24"/>
          <w:highlight w:val="none"/>
        </w:rPr>
        <w:t>2</w:t>
      </w:r>
      <w:r>
        <w:rPr>
          <w:rStyle w:val="52"/>
          <w:rFonts w:hint="eastAsia" w:ascii="仿宋" w:hAnsi="仿宋" w:eastAsia="仿宋" w:cs="仿宋"/>
          <w:color w:val="auto"/>
          <w:sz w:val="24"/>
          <w:highlight w:val="none"/>
          <w:lang w:val="en-US"/>
        </w:rPr>
        <w:t>5</w:t>
      </w:r>
      <w:r>
        <w:rPr>
          <w:rStyle w:val="52"/>
          <w:rFonts w:hint="eastAsia" w:ascii="仿宋" w:hAnsi="仿宋" w:eastAsia="仿宋" w:cs="仿宋"/>
          <w:color w:val="auto"/>
          <w:sz w:val="24"/>
          <w:highlight w:val="none"/>
        </w:rPr>
        <w:t>.2评审过程的保密：在投标文件的评审、比较、中标候选人推荐以及授予合同的过程中，投标供应商向采购人和评标委员会施加影响的任何行为，都将会导致其报价被拒绝；</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textAlignment w:val="baseline"/>
        <w:rPr>
          <w:rStyle w:val="52"/>
          <w:rFonts w:ascii="仿宋" w:hAnsi="仿宋" w:eastAsia="仿宋" w:cs="仿宋"/>
          <w:b/>
          <w:bCs/>
          <w:color w:val="auto"/>
          <w:sz w:val="24"/>
          <w:highlight w:val="none"/>
        </w:rPr>
      </w:pPr>
      <w:r>
        <w:rPr>
          <w:rStyle w:val="52"/>
          <w:rFonts w:hint="eastAsia" w:ascii="仿宋" w:hAnsi="仿宋" w:eastAsia="仿宋" w:cs="仿宋"/>
          <w:b/>
          <w:bCs/>
          <w:color w:val="auto"/>
          <w:sz w:val="24"/>
          <w:highlight w:val="none"/>
        </w:rPr>
        <w:t>2</w:t>
      </w:r>
      <w:r>
        <w:rPr>
          <w:rStyle w:val="52"/>
          <w:rFonts w:hint="eastAsia" w:ascii="仿宋" w:hAnsi="仿宋" w:eastAsia="仿宋" w:cs="仿宋"/>
          <w:b/>
          <w:bCs/>
          <w:color w:val="auto"/>
          <w:sz w:val="24"/>
          <w:highlight w:val="none"/>
          <w:lang w:val="en-US"/>
        </w:rPr>
        <w:t>5</w:t>
      </w:r>
      <w:r>
        <w:rPr>
          <w:rStyle w:val="52"/>
          <w:rFonts w:hint="eastAsia" w:ascii="仿宋" w:hAnsi="仿宋" w:eastAsia="仿宋" w:cs="仿宋"/>
          <w:b/>
          <w:bCs/>
          <w:color w:val="auto"/>
          <w:sz w:val="24"/>
          <w:highlight w:val="none"/>
        </w:rPr>
        <w:t>.3评标原则和办法：</w:t>
      </w:r>
    </w:p>
    <w:p>
      <w:pPr>
        <w:keepNext w:val="0"/>
        <w:keepLines w:val="0"/>
        <w:pageBreakBefore w:val="0"/>
        <w:shd w:val="clear" w:color="auto" w:fill="auto"/>
        <w:kinsoku/>
        <w:wordWrap/>
        <w:overflowPunct/>
        <w:topLinePunct w:val="0"/>
        <w:autoSpaceDE/>
        <w:autoSpaceDN/>
        <w:bidi w:val="0"/>
        <w:adjustRightInd/>
        <w:snapToGrid/>
        <w:spacing w:line="480" w:lineRule="exact"/>
        <w:ind w:right="0" w:firstLine="480" w:firstLineChars="200"/>
        <w:textAlignment w:val="auto"/>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综合评分法：是指投标文件满足招标文件全部实质性要求，且按照评审因素的量化指标评审得分最高的投标供应商为中标候选人的评标方法。</w:t>
      </w:r>
    </w:p>
    <w:p>
      <w:pPr>
        <w:keepNext w:val="0"/>
        <w:keepLines w:val="0"/>
        <w:pageBreakBefore w:val="0"/>
        <w:shd w:val="clear" w:color="auto" w:fill="auto"/>
        <w:kinsoku/>
        <w:wordWrap/>
        <w:overflowPunct/>
        <w:topLinePunct w:val="0"/>
        <w:autoSpaceDE/>
        <w:autoSpaceDN/>
        <w:bidi w:val="0"/>
        <w:adjustRightInd/>
        <w:snapToGrid/>
        <w:spacing w:line="480" w:lineRule="exact"/>
        <w:ind w:right="0" w:firstLine="480" w:firstLineChars="200"/>
        <w:textAlignment w:val="auto"/>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评价和比较以响应文件为依据，对所有实质上响应的投标分别从“投标报价”</w:t>
      </w:r>
      <w:r>
        <w:rPr>
          <w:rStyle w:val="52"/>
          <w:rFonts w:hint="eastAsia" w:ascii="仿宋" w:hAnsi="仿宋" w:eastAsia="仿宋" w:cs="仿宋"/>
          <w:color w:val="auto"/>
          <w:sz w:val="24"/>
          <w:highlight w:val="none"/>
          <w:lang w:eastAsia="zh-CN"/>
        </w:rPr>
        <w:t>、</w:t>
      </w:r>
      <w:r>
        <w:rPr>
          <w:rStyle w:val="52"/>
          <w:rFonts w:hint="eastAsia" w:ascii="仿宋" w:hAnsi="仿宋" w:eastAsia="仿宋" w:cs="仿宋"/>
          <w:color w:val="auto"/>
          <w:sz w:val="24"/>
          <w:highlight w:val="none"/>
        </w:rPr>
        <w:t>“商务</w:t>
      </w:r>
      <w:r>
        <w:rPr>
          <w:rStyle w:val="52"/>
          <w:rFonts w:hint="eastAsia" w:ascii="仿宋" w:hAnsi="仿宋" w:eastAsia="仿宋" w:cs="仿宋"/>
          <w:color w:val="auto"/>
          <w:sz w:val="24"/>
          <w:highlight w:val="none"/>
          <w:lang w:eastAsia="zh-CN"/>
        </w:rPr>
        <w:t>响应</w:t>
      </w:r>
      <w:r>
        <w:rPr>
          <w:rStyle w:val="52"/>
          <w:rFonts w:hint="eastAsia" w:ascii="仿宋" w:hAnsi="仿宋" w:eastAsia="仿宋" w:cs="仿宋"/>
          <w:color w:val="auto"/>
          <w:sz w:val="24"/>
          <w:highlight w:val="none"/>
        </w:rPr>
        <w:t>”、“</w:t>
      </w:r>
      <w:r>
        <w:rPr>
          <w:rStyle w:val="52"/>
          <w:rFonts w:hint="eastAsia" w:ascii="仿宋" w:hAnsi="仿宋" w:eastAsia="仿宋" w:cs="仿宋"/>
          <w:color w:val="auto"/>
          <w:sz w:val="24"/>
          <w:highlight w:val="none"/>
          <w:lang w:eastAsia="zh-CN"/>
        </w:rPr>
        <w:t>供应商实力</w:t>
      </w:r>
      <w:r>
        <w:rPr>
          <w:rStyle w:val="52"/>
          <w:rFonts w:hint="eastAsia" w:ascii="仿宋" w:hAnsi="仿宋" w:eastAsia="仿宋" w:cs="仿宋"/>
          <w:color w:val="auto"/>
          <w:sz w:val="24"/>
          <w:highlight w:val="none"/>
        </w:rPr>
        <w:t>”、“</w:t>
      </w:r>
      <w:r>
        <w:rPr>
          <w:rStyle w:val="52"/>
          <w:rFonts w:hint="eastAsia" w:ascii="仿宋" w:hAnsi="仿宋" w:eastAsia="仿宋" w:cs="仿宋"/>
          <w:color w:val="auto"/>
          <w:sz w:val="24"/>
          <w:highlight w:val="none"/>
          <w:lang w:eastAsia="zh-CN"/>
        </w:rPr>
        <w:t>技术响应</w:t>
      </w:r>
      <w:r>
        <w:rPr>
          <w:rStyle w:val="52"/>
          <w:rFonts w:hint="eastAsia" w:ascii="仿宋" w:hAnsi="仿宋" w:eastAsia="仿宋" w:cs="仿宋"/>
          <w:color w:val="auto"/>
          <w:sz w:val="24"/>
          <w:highlight w:val="none"/>
        </w:rPr>
        <w:t xml:space="preserve"> ”</w:t>
      </w:r>
      <w:r>
        <w:rPr>
          <w:rStyle w:val="52"/>
          <w:rFonts w:hint="eastAsia" w:ascii="仿宋" w:hAnsi="仿宋" w:eastAsia="仿宋" w:cs="仿宋"/>
          <w:color w:val="auto"/>
          <w:sz w:val="24"/>
          <w:highlight w:val="none"/>
          <w:lang w:eastAsia="zh-CN"/>
        </w:rPr>
        <w:t>、“售后服务及承诺”</w:t>
      </w:r>
      <w:r>
        <w:rPr>
          <w:rStyle w:val="52"/>
          <w:rFonts w:hint="eastAsia" w:ascii="仿宋" w:hAnsi="仿宋" w:eastAsia="仿宋" w:cs="仿宋"/>
          <w:color w:val="auto"/>
          <w:sz w:val="24"/>
          <w:highlight w:val="none"/>
        </w:rPr>
        <w:t>等方面进行评审赋分。具体评审因素量化指标和分值如下：</w:t>
      </w:r>
    </w:p>
    <w:p>
      <w:pPr>
        <w:keepNext w:val="0"/>
        <w:keepLines w:val="0"/>
        <w:pageBreakBefore w:val="0"/>
        <w:shd w:val="clear" w:color="auto" w:fill="auto"/>
        <w:kinsoku/>
        <w:wordWrap/>
        <w:overflowPunct/>
        <w:topLinePunct w:val="0"/>
        <w:autoSpaceDE/>
        <w:autoSpaceDN/>
        <w:bidi w:val="0"/>
        <w:adjustRightInd/>
        <w:snapToGrid/>
        <w:spacing w:line="460" w:lineRule="exact"/>
        <w:ind w:right="0"/>
        <w:jc w:val="center"/>
        <w:textAlignment w:val="auto"/>
        <w:rPr>
          <w:rFonts w:hint="default" w:eastAsia="宋体"/>
          <w:b/>
          <w:bCs/>
          <w:color w:val="auto"/>
          <w:sz w:val="32"/>
          <w:szCs w:val="32"/>
          <w:highlight w:val="none"/>
          <w:lang w:val="en-US" w:eastAsia="zh-CN"/>
        </w:rPr>
      </w:pPr>
      <w:r>
        <w:rPr>
          <w:rStyle w:val="52"/>
          <w:rFonts w:hint="eastAsia" w:ascii="仿宋" w:hAnsi="仿宋" w:eastAsia="仿宋" w:cs="仿宋"/>
          <w:b/>
          <w:bCs/>
          <w:color w:val="auto"/>
          <w:sz w:val="32"/>
          <w:szCs w:val="32"/>
          <w:highlight w:val="none"/>
          <w:lang w:val="en-US" w:eastAsia="zh-CN"/>
        </w:rPr>
        <w:t>详细评审标准</w:t>
      </w:r>
    </w:p>
    <w:tbl>
      <w:tblPr>
        <w:tblStyle w:val="26"/>
        <w:tblW w:w="10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010"/>
        <w:gridCol w:w="1183"/>
        <w:gridCol w:w="822"/>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08"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right="0" w:firstLine="482" w:firstLineChars="20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bCs w:val="0"/>
                <w:color w:val="auto"/>
                <w:sz w:val="24"/>
                <w:highlight w:val="none"/>
              </w:rPr>
              <w:t>分值组成（满分100分）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74" w:type="dxa"/>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right="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序号</w:t>
            </w:r>
          </w:p>
        </w:tc>
        <w:tc>
          <w:tcPr>
            <w:tcW w:w="219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right="0" w:firstLine="480" w:firstLineChars="20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评分因素</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right="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分值</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right="0" w:firstLine="480" w:firstLineChars="20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374"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w:t>
            </w:r>
          </w:p>
        </w:tc>
        <w:tc>
          <w:tcPr>
            <w:tcW w:w="219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投标报价</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eastAsia="仿宋"/>
                <w:lang w:val="en-US" w:eastAsia="zh-CN"/>
              </w:rPr>
            </w:pPr>
            <w:r>
              <w:rPr>
                <w:rFonts w:hint="eastAsia" w:ascii="仿宋" w:hAnsi="仿宋" w:eastAsia="仿宋" w:cs="仿宋"/>
                <w:b w:val="0"/>
                <w:bCs/>
                <w:color w:val="auto"/>
                <w:sz w:val="24"/>
                <w:highlight w:val="none"/>
                <w:lang w:val="en-US" w:eastAsia="zh-CN"/>
              </w:rPr>
              <w:t>30分</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30分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按照财政部《政府采购货物和服务招标投标管理办法》（财政部令第87号）的有关规定，</w:t>
            </w:r>
            <w:r>
              <w:rPr>
                <w:rFonts w:hint="eastAsia" w:ascii="仿宋" w:hAnsi="仿宋" w:eastAsia="仿宋" w:cs="仿宋"/>
                <w:b w:val="0"/>
                <w:bCs/>
                <w:color w:val="auto"/>
                <w:sz w:val="24"/>
                <w:highlight w:val="none"/>
              </w:rPr>
              <w:t>价格分采用低价优先法计算，即满足招标文件要求且投标报价最低的投标报价为评标基准价，其价格分为满分。其他</w:t>
            </w:r>
            <w:r>
              <w:rPr>
                <w:rFonts w:hint="eastAsia" w:ascii="仿宋" w:hAnsi="仿宋" w:eastAsia="仿宋" w:cs="仿宋"/>
                <w:b w:val="0"/>
                <w:bCs/>
                <w:color w:val="auto"/>
                <w:sz w:val="24"/>
                <w:highlight w:val="none"/>
                <w:lang w:eastAsia="zh-CN"/>
              </w:rPr>
              <w:t>投标供应商</w:t>
            </w:r>
            <w:r>
              <w:rPr>
                <w:rFonts w:hint="eastAsia" w:ascii="仿宋" w:hAnsi="仿宋" w:eastAsia="仿宋" w:cs="仿宋"/>
                <w:b w:val="0"/>
                <w:bCs/>
                <w:color w:val="auto"/>
                <w:sz w:val="24"/>
                <w:highlight w:val="none"/>
              </w:rPr>
              <w:t>的价格分统一按照下列公式计算：投标报价得分=（评标基准价/投标报价）×</w:t>
            </w:r>
            <w:r>
              <w:rPr>
                <w:rFonts w:hint="eastAsia" w:ascii="仿宋" w:hAnsi="仿宋" w:eastAsia="仿宋" w:cs="仿宋"/>
                <w:b w:val="0"/>
                <w:bCs/>
                <w:color w:val="auto"/>
                <w:sz w:val="24"/>
                <w:highlight w:val="none"/>
                <w:lang w:val="en-US" w:eastAsia="zh-CN"/>
              </w:rPr>
              <w:t xml:space="preserve">30%×100。 </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Style w:val="52"/>
                <w:rFonts w:hint="eastAsia" w:ascii="仿宋" w:hAnsi="仿宋" w:eastAsia="仿宋" w:cs="仿宋"/>
                <w:color w:val="auto"/>
                <w:sz w:val="24"/>
                <w:highlight w:val="none"/>
              </w:rPr>
            </w:pPr>
            <w:r>
              <w:rPr>
                <w:rStyle w:val="52"/>
                <w:rFonts w:hint="eastAsia" w:ascii="仿宋" w:hAnsi="仿宋" w:eastAsia="仿宋" w:cs="仿宋"/>
                <w:color w:val="auto"/>
                <w:sz w:val="24"/>
                <w:highlight w:val="none"/>
              </w:rPr>
              <w:t>投标报价不完整的，不进入评标基准价的计算，本项得0分。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rPr>
              <w:t>注：计算分数时四舍五入，取小数点后两位；因落实政府采购政策进行价格调整的，以调整后的价格计算评标基准价和投标报价。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374"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w:t>
            </w:r>
          </w:p>
        </w:tc>
        <w:tc>
          <w:tcPr>
            <w:tcW w:w="219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商务响应 </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5分</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5分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经过有效性和符合性审核合格的投标供应商，对付款、交货、安装、验收、售后服务及承诺等方面进行响应，完全响应且逐项详细说明的计5分；未做详细响应的，按付款、交货、安装、验收、售后服务及承诺的响应程度计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37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w:t>
            </w:r>
          </w:p>
        </w:tc>
        <w:tc>
          <w:tcPr>
            <w:tcW w:w="101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供应商</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eastAsia="zh-CN"/>
              </w:rPr>
              <w:t>实力</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14分</w:t>
            </w: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同类</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业绩</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投标供应商须提供（2019年1月1日至2022年8月1日）同类的业绩证明文件。每提供一份得2分，最高得8分。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评审依据：根据投标供应商在投标文件中所附的合同协议书为准。（合同协议书以合同签订日期为准，其中合同至少应包含合同首页、项目概况、合同金额所在页、签字盖章页，否则不予认可。）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37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jc w:val="center"/>
              <w:textAlignment w:val="auto"/>
              <w:rPr>
                <w:rFonts w:hint="eastAsia" w:ascii="仿宋" w:hAnsi="仿宋" w:eastAsia="仿宋" w:cs="仿宋"/>
                <w:b w:val="0"/>
                <w:bCs/>
                <w:color w:val="auto"/>
                <w:sz w:val="24"/>
                <w:highlight w:val="none"/>
              </w:rPr>
            </w:pPr>
          </w:p>
        </w:tc>
        <w:tc>
          <w:tcPr>
            <w:tcW w:w="101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480" w:firstLineChars="20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人员</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配备</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投标供应商针对本项目，有具体的人员组织安排，分工合理、责任明确，评审小组根据响应程度综合评审。</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人员配备满足本项目需求（其中应包含焊工专业2人以上和电工专业1人以上）。每提供1人且证件齐全计1分，最高得3分。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default"/>
                <w:color w:val="auto"/>
                <w:lang w:val="en-US" w:eastAsia="zh-CN"/>
              </w:rPr>
            </w:pPr>
            <w:r>
              <w:rPr>
                <w:rFonts w:hint="eastAsia" w:ascii="仿宋" w:hAnsi="仿宋" w:eastAsia="仿宋" w:cs="仿宋"/>
                <w:b w:val="0"/>
                <w:bCs/>
                <w:color w:val="auto"/>
                <w:sz w:val="24"/>
                <w:highlight w:val="none"/>
                <w:lang w:val="en-US" w:eastAsia="zh-CN"/>
              </w:rPr>
              <w:t>评审依据：根据投标供应商在投标文件中所附配备人员的上岗证和身份证加盖公章的复印件为准。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7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both"/>
              <w:textAlignment w:val="auto"/>
              <w:rPr>
                <w:rFonts w:hint="eastAsia" w:ascii="仿宋" w:hAnsi="仿宋" w:eastAsia="仿宋" w:cs="仿宋"/>
                <w:b w:val="0"/>
                <w:bCs/>
                <w:color w:val="auto"/>
                <w:sz w:val="24"/>
                <w:highlight w:val="none"/>
                <w:lang w:val="en-US" w:eastAsia="zh-CN"/>
              </w:rPr>
            </w:pPr>
          </w:p>
        </w:tc>
        <w:tc>
          <w:tcPr>
            <w:tcW w:w="101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机械设备</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投入</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拟投入施工机械设备满足本项目施工需求的，按其响应程度计1</w:t>
            </w:r>
            <w:r>
              <w:rPr>
                <w:rFonts w:hint="eastAsia" w:ascii="仿宋" w:hAnsi="仿宋" w:eastAsia="仿宋" w:cs="仿宋"/>
                <w:b w:val="0"/>
                <w:bCs/>
                <w:color w:val="auto"/>
                <w:sz w:val="24"/>
                <w:highlight w:val="none"/>
                <w:lang w:val="zh-CN" w:eastAsia="zh-CN"/>
              </w:rPr>
              <w:t>～</w:t>
            </w:r>
            <w:r>
              <w:rPr>
                <w:rFonts w:hint="eastAsia" w:ascii="仿宋" w:hAnsi="仿宋" w:eastAsia="仿宋" w:cs="仿宋"/>
                <w:b w:val="0"/>
                <w:bCs/>
                <w:color w:val="auto"/>
                <w:sz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37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both"/>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w:t>
            </w:r>
          </w:p>
        </w:tc>
        <w:tc>
          <w:tcPr>
            <w:tcW w:w="101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技术</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响应</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45分</w:t>
            </w: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设计方案</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9分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投标供应商针对本项目提供设计方案，评审小组根据响应程度综合评审：</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投标供应商是否按照招标文件中的采购人需求进行编制，按其响应程度计1</w:t>
            </w:r>
            <w:r>
              <w:rPr>
                <w:rFonts w:hint="eastAsia" w:ascii="仿宋" w:hAnsi="仿宋" w:eastAsia="仿宋" w:cs="仿宋"/>
                <w:b w:val="0"/>
                <w:bCs/>
                <w:color w:val="auto"/>
                <w:sz w:val="24"/>
                <w:highlight w:val="none"/>
                <w:lang w:val="zh-CN" w:eastAsia="zh-CN"/>
              </w:rPr>
              <w:t>～</w:t>
            </w:r>
            <w:r>
              <w:rPr>
                <w:rFonts w:hint="eastAsia" w:ascii="仿宋" w:hAnsi="仿宋" w:eastAsia="仿宋" w:cs="仿宋"/>
                <w:b w:val="0"/>
                <w:bCs/>
                <w:color w:val="auto"/>
                <w:sz w:val="24"/>
                <w:highlight w:val="none"/>
                <w:lang w:val="en-US" w:eastAsia="zh-CN"/>
              </w:rPr>
              <w:t>5分；按其形象设计是否符合国家规定，是否突出当地文化元素，</w:t>
            </w:r>
            <w:r>
              <w:rPr>
                <w:rFonts w:hint="eastAsia" w:ascii="仿宋" w:hAnsi="仿宋" w:eastAsia="仿宋" w:cs="仿宋"/>
                <w:b w:val="0"/>
                <w:bCs/>
                <w:color w:val="auto"/>
                <w:sz w:val="24"/>
                <w:highlight w:val="none"/>
                <w:lang w:val="zh-CN" w:eastAsia="zh-CN"/>
              </w:rPr>
              <w:t>按其</w:t>
            </w:r>
            <w:r>
              <w:rPr>
                <w:rFonts w:hint="eastAsia" w:ascii="仿宋" w:hAnsi="仿宋" w:eastAsia="仿宋" w:cs="仿宋"/>
                <w:b w:val="0"/>
                <w:bCs/>
                <w:color w:val="auto"/>
                <w:sz w:val="24"/>
                <w:highlight w:val="none"/>
                <w:lang w:val="en-US" w:eastAsia="zh-CN"/>
              </w:rPr>
              <w:t>完善</w:t>
            </w:r>
            <w:r>
              <w:rPr>
                <w:rFonts w:hint="eastAsia" w:ascii="仿宋" w:hAnsi="仿宋" w:eastAsia="仿宋" w:cs="仿宋"/>
                <w:b w:val="0"/>
                <w:bCs/>
                <w:color w:val="auto"/>
                <w:sz w:val="24"/>
                <w:highlight w:val="none"/>
                <w:lang w:val="zh-CN" w:eastAsia="zh-CN"/>
              </w:rPr>
              <w:t>程度计</w:t>
            </w:r>
            <w:r>
              <w:rPr>
                <w:rFonts w:hint="eastAsia" w:ascii="仿宋" w:hAnsi="仿宋" w:eastAsia="仿宋" w:cs="仿宋"/>
                <w:b w:val="0"/>
                <w:bCs/>
                <w:color w:val="auto"/>
                <w:sz w:val="24"/>
                <w:highlight w:val="none"/>
                <w:lang w:val="en-US" w:eastAsia="zh-CN"/>
              </w:rPr>
              <w:t>1</w:t>
            </w:r>
            <w:r>
              <w:rPr>
                <w:rFonts w:hint="eastAsia" w:ascii="仿宋" w:hAnsi="仿宋" w:eastAsia="仿宋" w:cs="仿宋"/>
                <w:b w:val="0"/>
                <w:bCs/>
                <w:color w:val="auto"/>
                <w:sz w:val="24"/>
                <w:highlight w:val="none"/>
                <w:lang w:val="zh-CN" w:eastAsia="zh-CN"/>
              </w:rPr>
              <w:t>～</w:t>
            </w: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37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both"/>
              <w:textAlignment w:val="auto"/>
              <w:rPr>
                <w:rFonts w:hint="eastAsia" w:ascii="仿宋" w:hAnsi="仿宋" w:eastAsia="仿宋" w:cs="仿宋"/>
                <w:b w:val="0"/>
                <w:bCs/>
                <w:color w:val="auto"/>
                <w:sz w:val="24"/>
                <w:highlight w:val="none"/>
                <w:lang w:val="en-US" w:eastAsia="zh-CN"/>
              </w:rPr>
            </w:pPr>
          </w:p>
        </w:tc>
        <w:tc>
          <w:tcPr>
            <w:tcW w:w="101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产品规格及来源</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14分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产品选型合理、规格描述详细，附有详细的产品技术资料，其响应技术规格和要求完全满足招标文件要求，计8分。每有一项不满足扣1分，扣完为止（提供相关证明资料包括但不限于检测报告、质量证明书、产品技术说明书等，未提供不得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lang w:val="en-US" w:eastAsia="zh-CN"/>
              </w:rPr>
            </w:pPr>
            <w:r>
              <w:rPr>
                <w:rFonts w:hint="eastAsia" w:ascii="仿宋" w:hAnsi="仿宋" w:eastAsia="仿宋" w:cs="仿宋"/>
                <w:b w:val="0"/>
                <w:bCs/>
                <w:color w:val="auto"/>
                <w:sz w:val="24"/>
                <w:highlight w:val="none"/>
                <w:lang w:val="en-US" w:eastAsia="zh-CN"/>
              </w:rPr>
              <w:t>2.产品供货渠道正规（包括但不限于销售协议、代理协议、原厂授权等），产品来源质量有保证，检验手续完善、合法有效，无产权纠纷，按其响应程度计1～6分。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7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rPr>
            </w:pPr>
          </w:p>
        </w:tc>
        <w:tc>
          <w:tcPr>
            <w:tcW w:w="101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rPr>
            </w:pP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both"/>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加工工艺</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7分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1.加工设备、制作水平，制作工艺流程，按其响应程度计1～4分。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2.加工过程质量控制措施，按其合理可行性计1～3分。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37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rPr>
            </w:pPr>
          </w:p>
        </w:tc>
        <w:tc>
          <w:tcPr>
            <w:tcW w:w="101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480" w:firstLineChars="200"/>
              <w:textAlignment w:val="auto"/>
              <w:rPr>
                <w:rFonts w:hint="eastAsia" w:ascii="仿宋" w:hAnsi="仿宋" w:eastAsia="仿宋" w:cs="仿宋"/>
                <w:b w:val="0"/>
                <w:bCs/>
                <w:color w:val="auto"/>
                <w:sz w:val="24"/>
                <w:highlight w:val="none"/>
              </w:rPr>
            </w:pPr>
          </w:p>
        </w:tc>
        <w:tc>
          <w:tcPr>
            <w:tcW w:w="118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eastAsia="zh-CN"/>
              </w:rPr>
              <w:t>施工</w:t>
            </w:r>
            <w:r>
              <w:rPr>
                <w:rFonts w:hint="eastAsia" w:ascii="仿宋" w:hAnsi="仿宋" w:eastAsia="仿宋" w:cs="仿宋"/>
                <w:b w:val="0"/>
                <w:bCs/>
                <w:color w:val="auto"/>
                <w:sz w:val="24"/>
                <w:highlight w:val="none"/>
              </w:rPr>
              <w:t>方案</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15</w:t>
            </w:r>
            <w:r>
              <w:rPr>
                <w:rFonts w:hint="eastAsia" w:ascii="仿宋" w:hAnsi="仿宋" w:eastAsia="仿宋" w:cs="仿宋"/>
                <w:b w:val="0"/>
                <w:bCs/>
                <w:color w:val="auto"/>
                <w:sz w:val="24"/>
                <w:highlight w:val="none"/>
                <w:lang w:eastAsia="zh-CN"/>
              </w:rPr>
              <w:t>分</w:t>
            </w:r>
          </w:p>
        </w:tc>
        <w:tc>
          <w:tcPr>
            <w:tcW w:w="6719"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zh-CN" w:eastAsia="zh-CN"/>
              </w:rPr>
            </w:pPr>
            <w:r>
              <w:rPr>
                <w:rFonts w:hint="eastAsia" w:ascii="仿宋" w:hAnsi="仿宋" w:eastAsia="仿宋" w:cs="仿宋"/>
                <w:b w:val="0"/>
                <w:bCs/>
                <w:color w:val="auto"/>
                <w:sz w:val="24"/>
                <w:highlight w:val="none"/>
                <w:lang w:val="zh-CN" w:eastAsia="zh-CN"/>
              </w:rPr>
              <w:t>1）项目安装组织机构，按其响应程度计1～</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zh-CN" w:eastAsia="zh-CN"/>
              </w:rPr>
            </w:pPr>
            <w:r>
              <w:rPr>
                <w:rFonts w:hint="eastAsia" w:ascii="仿宋" w:hAnsi="仿宋" w:eastAsia="仿宋" w:cs="仿宋"/>
                <w:b w:val="0"/>
                <w:bCs/>
                <w:color w:val="auto"/>
                <w:sz w:val="24"/>
                <w:highlight w:val="none"/>
                <w:lang w:val="zh-CN" w:eastAsia="zh-CN"/>
              </w:rPr>
              <w:t>2）安装施工方法及安全技术保障措施，按其响应程度计1～</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zh-CN" w:eastAsia="zh-CN"/>
              </w:rPr>
            </w:pPr>
            <w:r>
              <w:rPr>
                <w:rFonts w:hint="eastAsia" w:ascii="仿宋" w:hAnsi="仿宋" w:eastAsia="仿宋" w:cs="仿宋"/>
                <w:b w:val="0"/>
                <w:bCs/>
                <w:color w:val="auto"/>
                <w:sz w:val="24"/>
                <w:highlight w:val="none"/>
                <w:lang w:val="zh-CN" w:eastAsia="zh-CN"/>
              </w:rPr>
              <w:t>3）安装进度计划及工期保证措施，按其响应程度计1～</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zh-CN" w:eastAsia="zh-CN"/>
              </w:rPr>
            </w:pPr>
            <w:r>
              <w:rPr>
                <w:rFonts w:hint="eastAsia" w:ascii="仿宋" w:hAnsi="仿宋" w:eastAsia="仿宋" w:cs="仿宋"/>
                <w:b w:val="0"/>
                <w:bCs/>
                <w:color w:val="auto"/>
                <w:sz w:val="24"/>
                <w:highlight w:val="none"/>
                <w:lang w:val="zh-CN" w:eastAsia="zh-CN"/>
              </w:rPr>
              <w:t>4）文明、环保措施，按其响应程度计1～</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240" w:firstLineChars="1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5）施工安全应急预案，</w:t>
            </w:r>
            <w:r>
              <w:rPr>
                <w:rFonts w:hint="eastAsia" w:ascii="仿宋" w:hAnsi="仿宋" w:eastAsia="仿宋" w:cs="仿宋"/>
                <w:b w:val="0"/>
                <w:bCs/>
                <w:color w:val="auto"/>
                <w:sz w:val="24"/>
                <w:highlight w:val="none"/>
                <w:lang w:val="zh-CN" w:eastAsia="zh-CN"/>
              </w:rPr>
              <w:t>按其响应程度计1～</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374"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textAlignment w:val="auto"/>
              <w:rPr>
                <w:rFonts w:hint="eastAsia" w:ascii="仿宋" w:hAnsi="仿宋" w:eastAsia="仿宋" w:cs="仿宋"/>
                <w:b w:val="0"/>
                <w:bCs/>
                <w:color w:val="auto"/>
                <w:sz w:val="24"/>
                <w:highlight w:val="none"/>
                <w:lang w:val="en-US" w:eastAsia="zh-CN"/>
              </w:rPr>
            </w:pPr>
          </w:p>
        </w:tc>
        <w:tc>
          <w:tcPr>
            <w:tcW w:w="219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售后服务</w:t>
            </w:r>
          </w:p>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及承诺</w:t>
            </w:r>
          </w:p>
        </w:tc>
        <w:tc>
          <w:tcPr>
            <w:tcW w:w="822"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ind w:right="0"/>
              <w:jc w:val="center"/>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6分</w:t>
            </w:r>
          </w:p>
        </w:tc>
        <w:tc>
          <w:tcPr>
            <w:tcW w:w="6719"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lang w:val="en-US" w:eastAsia="zh-CN"/>
              </w:rPr>
              <w:t>1、</w:t>
            </w:r>
            <w:r>
              <w:rPr>
                <w:rFonts w:hint="eastAsia" w:ascii="仿宋" w:hAnsi="仿宋" w:eastAsia="仿宋" w:cs="仿宋"/>
                <w:snapToGrid w:val="0"/>
                <w:color w:val="auto"/>
                <w:kern w:val="2"/>
                <w:sz w:val="24"/>
                <w:szCs w:val="24"/>
                <w:highlight w:val="none"/>
                <w:lang w:val="en-US"/>
              </w:rPr>
              <w:t>针对本项目及</w:t>
            </w:r>
            <w:r>
              <w:rPr>
                <w:rFonts w:hint="eastAsia" w:ascii="仿宋" w:hAnsi="仿宋" w:eastAsia="仿宋" w:cs="仿宋"/>
                <w:snapToGrid w:val="0"/>
                <w:color w:val="auto"/>
                <w:kern w:val="2"/>
                <w:sz w:val="24"/>
                <w:szCs w:val="24"/>
                <w:highlight w:val="none"/>
                <w:lang w:val="en-US" w:eastAsia="zh-CN"/>
              </w:rPr>
              <w:t>采购人</w:t>
            </w:r>
            <w:r>
              <w:rPr>
                <w:rFonts w:hint="eastAsia" w:ascii="仿宋" w:hAnsi="仿宋" w:eastAsia="仿宋" w:cs="仿宋"/>
                <w:snapToGrid w:val="0"/>
                <w:color w:val="auto"/>
                <w:kern w:val="2"/>
                <w:sz w:val="24"/>
                <w:szCs w:val="24"/>
                <w:highlight w:val="none"/>
                <w:lang w:val="en-US"/>
              </w:rPr>
              <w:t>实际需求提供</w:t>
            </w:r>
            <w:r>
              <w:rPr>
                <w:rFonts w:hint="eastAsia" w:ascii="仿宋" w:hAnsi="仿宋" w:eastAsia="仿宋" w:cs="仿宋"/>
                <w:snapToGrid w:val="0"/>
                <w:color w:val="auto"/>
                <w:kern w:val="2"/>
                <w:sz w:val="24"/>
                <w:szCs w:val="24"/>
                <w:highlight w:val="none"/>
              </w:rPr>
              <w:t>全面可行的售后服务方案</w:t>
            </w:r>
            <w:r>
              <w:rPr>
                <w:rFonts w:hint="eastAsia" w:ascii="仿宋" w:hAnsi="仿宋" w:eastAsia="仿宋" w:cs="仿宋"/>
                <w:snapToGrid w:val="0"/>
                <w:color w:val="auto"/>
                <w:kern w:val="2"/>
                <w:sz w:val="24"/>
                <w:szCs w:val="24"/>
                <w:highlight w:val="none"/>
                <w:lang w:eastAsia="zh-CN"/>
              </w:rPr>
              <w:t>，</w:t>
            </w:r>
            <w:r>
              <w:rPr>
                <w:rFonts w:hint="eastAsia" w:ascii="仿宋" w:hAnsi="仿宋" w:eastAsia="仿宋" w:cs="仿宋"/>
                <w:snapToGrid w:val="0"/>
                <w:color w:val="auto"/>
                <w:kern w:val="2"/>
                <w:sz w:val="24"/>
                <w:szCs w:val="24"/>
                <w:highlight w:val="none"/>
              </w:rPr>
              <w:t>根据响应</w:t>
            </w:r>
            <w:r>
              <w:rPr>
                <w:rFonts w:hint="eastAsia" w:ascii="仿宋" w:hAnsi="仿宋" w:eastAsia="仿宋" w:cs="仿宋"/>
                <w:snapToGrid w:val="0"/>
                <w:color w:val="auto"/>
                <w:kern w:val="2"/>
                <w:sz w:val="24"/>
                <w:szCs w:val="24"/>
                <w:highlight w:val="none"/>
                <w:lang w:val="en-US" w:eastAsia="zh-CN"/>
              </w:rPr>
              <w:t>程度</w:t>
            </w:r>
            <w:r>
              <w:rPr>
                <w:rFonts w:hint="eastAsia" w:ascii="仿宋" w:hAnsi="仿宋" w:eastAsia="仿宋" w:cs="仿宋"/>
                <w:snapToGrid w:val="0"/>
                <w:color w:val="auto"/>
                <w:kern w:val="2"/>
                <w:sz w:val="24"/>
                <w:szCs w:val="24"/>
                <w:highlight w:val="none"/>
              </w:rPr>
              <w:t>计</w:t>
            </w:r>
            <w:r>
              <w:rPr>
                <w:rFonts w:hint="eastAsia" w:ascii="仿宋" w:hAnsi="仿宋" w:eastAsia="仿宋" w:cs="仿宋"/>
                <w:snapToGrid w:val="0"/>
                <w:color w:val="auto"/>
                <w:kern w:val="2"/>
                <w:sz w:val="24"/>
                <w:szCs w:val="24"/>
                <w:highlight w:val="none"/>
                <w:lang w:val="en-US" w:eastAsia="zh-CN"/>
              </w:rPr>
              <w:t>1</w:t>
            </w:r>
            <w:r>
              <w:rPr>
                <w:rFonts w:hint="eastAsia" w:ascii="仿宋" w:hAnsi="仿宋" w:eastAsia="仿宋" w:cs="仿宋"/>
                <w:b w:val="0"/>
                <w:bCs/>
                <w:color w:val="auto"/>
                <w:sz w:val="24"/>
                <w:highlight w:val="none"/>
                <w:lang w:val="zh-CN" w:eastAsia="zh-CN"/>
              </w:rPr>
              <w:t>～</w:t>
            </w:r>
            <w:r>
              <w:rPr>
                <w:rFonts w:hint="eastAsia" w:ascii="仿宋" w:hAnsi="仿宋" w:eastAsia="仿宋" w:cs="仿宋"/>
                <w:snapToGrid w:val="0"/>
                <w:color w:val="auto"/>
                <w:kern w:val="2"/>
                <w:sz w:val="24"/>
                <w:szCs w:val="24"/>
                <w:highlight w:val="none"/>
                <w:lang w:val="en-US" w:eastAsia="zh-CN"/>
              </w:rPr>
              <w:t>3</w:t>
            </w:r>
            <w:r>
              <w:rPr>
                <w:rFonts w:hint="eastAsia" w:ascii="仿宋" w:hAnsi="仿宋" w:eastAsia="仿宋" w:cs="仿宋"/>
                <w:snapToGrid w:val="0"/>
                <w:color w:val="auto"/>
                <w:kern w:val="2"/>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b w:val="0"/>
                <w:bCs/>
                <w:color w:val="FF0000"/>
                <w:sz w:val="24"/>
                <w:highlight w:val="none"/>
                <w:lang w:val="en-US" w:eastAsia="zh-CN"/>
              </w:rPr>
            </w:pPr>
            <w:r>
              <w:rPr>
                <w:rFonts w:hint="eastAsia" w:ascii="仿宋" w:hAnsi="仿宋" w:eastAsia="仿宋" w:cs="仿宋"/>
                <w:snapToGrid w:val="0"/>
                <w:color w:val="auto"/>
                <w:kern w:val="2"/>
                <w:sz w:val="24"/>
                <w:szCs w:val="24"/>
                <w:highlight w:val="none"/>
                <w:lang w:val="en-US" w:eastAsia="zh-CN"/>
              </w:rPr>
              <w:t>2、详细说明售后服务的内容、形式，包括免费维修时间、解决质量或操作问题的响应时间、解决问题时间、维修单位名称、地点、联系人、联系方式等，按其响应程度计1～3分。</w:t>
            </w:r>
          </w:p>
        </w:tc>
      </w:tr>
    </w:tbl>
    <w:p>
      <w:pPr>
        <w:keepNext w:val="0"/>
        <w:keepLines w:val="0"/>
        <w:pageBreakBefore w:val="0"/>
        <w:widowControl w:val="0"/>
        <w:kinsoku/>
        <w:wordWrap/>
        <w:overflowPunct/>
        <w:topLinePunct w:val="0"/>
        <w:autoSpaceDE w:val="0"/>
        <w:autoSpaceDN w:val="0"/>
        <w:bidi w:val="0"/>
        <w:adjustRightInd/>
        <w:snapToGrid/>
        <w:spacing w:line="480" w:lineRule="exact"/>
        <w:ind w:right="0" w:firstLine="482" w:firstLineChars="200"/>
        <w:textAlignment w:val="auto"/>
        <w:rPr>
          <w:rFonts w:ascii="仿宋" w:hAnsi="仿宋" w:eastAsia="仿宋" w:cs="仿宋"/>
          <w:b/>
          <w:color w:val="auto"/>
          <w:sz w:val="24"/>
          <w:highlight w:val="none"/>
          <w:lang w:val="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lang w:val="zh-CN"/>
        </w:rPr>
        <w:t>.本项目落实政府采购政策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26.1落实政府采购信用融资有关政策要求</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落实政府采购信用融资有关政策要求执行陕西省财政厅关于印发《陕西省中小</w:t>
      </w:r>
      <w:r>
        <w:rPr>
          <w:rFonts w:hint="eastAsia" w:ascii="仿宋" w:hAnsi="仿宋" w:eastAsia="仿宋" w:cs="仿宋"/>
          <w:sz w:val="24"/>
          <w:szCs w:val="24"/>
          <w:lang w:val="en-US" w:eastAsia="zh-CN"/>
        </w:rPr>
        <w:t>企业</w:t>
      </w:r>
      <w:r>
        <w:rPr>
          <w:rFonts w:hint="default" w:ascii="仿宋" w:hAnsi="仿宋" w:eastAsia="仿宋" w:cs="仿宋"/>
          <w:sz w:val="24"/>
          <w:szCs w:val="24"/>
          <w:lang w:val="en-US" w:eastAsia="zh-CN"/>
        </w:rPr>
        <w:t>政府采购信用融资办法》(陕财办采〔2018〕23 号)文件规定</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26.2</w:t>
      </w:r>
      <w:r>
        <w:rPr>
          <w:rFonts w:hint="eastAsia" w:ascii="仿宋" w:hAnsi="仿宋" w:eastAsia="仿宋" w:cs="仿宋"/>
          <w:b/>
          <w:bCs/>
          <w:sz w:val="24"/>
          <w:szCs w:val="24"/>
        </w:rPr>
        <w:t>中小</w:t>
      </w:r>
      <w:r>
        <w:rPr>
          <w:rFonts w:hint="eastAsia" w:ascii="仿宋" w:hAnsi="仿宋" w:eastAsia="仿宋" w:cs="仿宋"/>
          <w:b/>
          <w:bCs/>
          <w:sz w:val="24"/>
          <w:szCs w:val="24"/>
          <w:lang w:eastAsia="zh-CN"/>
        </w:rPr>
        <w:t>企业</w:t>
      </w:r>
      <w:r>
        <w:rPr>
          <w:rFonts w:hint="eastAsia" w:ascii="仿宋" w:hAnsi="仿宋" w:eastAsia="仿宋" w:cs="仿宋"/>
          <w:b/>
          <w:bCs/>
          <w:sz w:val="24"/>
          <w:szCs w:val="24"/>
        </w:rPr>
        <w:t>落实政府采购政策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rPr>
        <w:t>①中小</w:t>
      </w:r>
      <w:r>
        <w:rPr>
          <w:rFonts w:hint="eastAsia" w:ascii="仿宋" w:hAnsi="仿宋" w:eastAsia="仿宋" w:cs="仿宋"/>
          <w:sz w:val="24"/>
          <w:szCs w:val="24"/>
          <w:lang w:eastAsia="zh-CN"/>
        </w:rPr>
        <w:t>企业</w:t>
      </w:r>
      <w:r>
        <w:rPr>
          <w:rFonts w:hint="eastAsia" w:ascii="仿宋" w:hAnsi="仿宋" w:eastAsia="仿宋" w:cs="仿宋"/>
          <w:sz w:val="24"/>
          <w:szCs w:val="24"/>
        </w:rPr>
        <w:t>应符合工信部联</w:t>
      </w:r>
      <w:r>
        <w:rPr>
          <w:rFonts w:hint="eastAsia" w:ascii="仿宋" w:hAnsi="仿宋" w:eastAsia="仿宋" w:cs="仿宋"/>
          <w:sz w:val="24"/>
          <w:szCs w:val="24"/>
          <w:lang w:eastAsia="zh-CN"/>
        </w:rPr>
        <w:t>企业</w:t>
      </w:r>
      <w:r>
        <w:rPr>
          <w:rFonts w:hint="eastAsia" w:ascii="仿宋" w:hAnsi="仿宋" w:eastAsia="仿宋" w:cs="仿宋"/>
          <w:sz w:val="24"/>
          <w:szCs w:val="24"/>
        </w:rPr>
        <w:t>[2011]300号文件规定，采购活动执行</w:t>
      </w:r>
      <w:r>
        <w:rPr>
          <w:rFonts w:hint="eastAsia" w:ascii="仿宋" w:hAnsi="仿宋" w:eastAsia="仿宋" w:cs="仿宋"/>
          <w:color w:val="000000"/>
          <w:sz w:val="24"/>
          <w:szCs w:val="24"/>
          <w:shd w:val="clear" w:color="auto" w:fill="FFFFFF"/>
        </w:rPr>
        <w:t>《政府采购促进中小</w:t>
      </w:r>
      <w:r>
        <w:rPr>
          <w:rFonts w:hint="eastAsia" w:ascii="仿宋" w:hAnsi="仿宋" w:eastAsia="仿宋" w:cs="仿宋"/>
          <w:color w:val="000000"/>
          <w:sz w:val="24"/>
          <w:szCs w:val="24"/>
          <w:shd w:val="clear" w:color="auto" w:fill="FFFFFF"/>
          <w:lang w:eastAsia="zh-CN"/>
        </w:rPr>
        <w:t>企业</w:t>
      </w:r>
      <w:r>
        <w:rPr>
          <w:rFonts w:hint="eastAsia" w:ascii="仿宋" w:hAnsi="仿宋" w:eastAsia="仿宋" w:cs="仿宋"/>
          <w:color w:val="000000"/>
          <w:sz w:val="24"/>
          <w:szCs w:val="24"/>
          <w:shd w:val="clear" w:color="auto" w:fill="FFFFFF"/>
        </w:rPr>
        <w:t>发展管理办法》（财库〔2020〕46号）</w:t>
      </w:r>
      <w:r>
        <w:rPr>
          <w:rFonts w:hint="eastAsia" w:ascii="仿宋" w:hAnsi="仿宋" w:eastAsia="仿宋" w:cs="仿宋"/>
          <w:sz w:val="24"/>
          <w:szCs w:val="24"/>
        </w:rPr>
        <w:t>的规定。提供本</w:t>
      </w:r>
      <w:r>
        <w:rPr>
          <w:rFonts w:hint="eastAsia" w:ascii="仿宋" w:hAnsi="仿宋" w:eastAsia="仿宋" w:cs="仿宋"/>
          <w:sz w:val="24"/>
          <w:szCs w:val="24"/>
          <w:lang w:eastAsia="zh-CN"/>
        </w:rPr>
        <w:t>企业</w:t>
      </w:r>
      <w:r>
        <w:rPr>
          <w:rFonts w:hint="eastAsia" w:ascii="仿宋" w:hAnsi="仿宋" w:eastAsia="仿宋" w:cs="仿宋"/>
          <w:sz w:val="24"/>
          <w:szCs w:val="24"/>
        </w:rPr>
        <w:t>制造的货物、承担的工程或者服务，或者提供其他中小</w:t>
      </w:r>
      <w:r>
        <w:rPr>
          <w:rFonts w:hint="eastAsia" w:ascii="仿宋" w:hAnsi="仿宋" w:eastAsia="仿宋" w:cs="仿宋"/>
          <w:sz w:val="24"/>
          <w:szCs w:val="24"/>
          <w:lang w:eastAsia="zh-CN"/>
        </w:rPr>
        <w:t>企业</w:t>
      </w:r>
      <w:r>
        <w:rPr>
          <w:rFonts w:hint="eastAsia" w:ascii="仿宋" w:hAnsi="仿宋" w:eastAsia="仿宋" w:cs="仿宋"/>
          <w:sz w:val="24"/>
          <w:szCs w:val="24"/>
        </w:rPr>
        <w:t>制造的货物。（本项所称货物不包括使用大型</w:t>
      </w:r>
      <w:r>
        <w:rPr>
          <w:rFonts w:hint="eastAsia" w:ascii="仿宋" w:hAnsi="仿宋" w:eastAsia="仿宋" w:cs="仿宋"/>
          <w:sz w:val="24"/>
          <w:szCs w:val="24"/>
          <w:lang w:eastAsia="zh-CN"/>
        </w:rPr>
        <w:t>企业</w:t>
      </w:r>
      <w:r>
        <w:rPr>
          <w:rFonts w:hint="eastAsia" w:ascii="仿宋" w:hAnsi="仿宋" w:eastAsia="仿宋" w:cs="仿宋"/>
          <w:sz w:val="24"/>
          <w:szCs w:val="24"/>
        </w:rPr>
        <w:t>注册商标的货物）。</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②投标供应商须提供中小企业管理部门开具的中小企业证明函，以此为依据享受政府采购政策。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eastAsia="zh-CN"/>
        </w:rPr>
        <w:t>③投标供应商应</w:t>
      </w:r>
      <w:r>
        <w:rPr>
          <w:rFonts w:hint="eastAsia" w:ascii="仿宋" w:hAnsi="仿宋" w:eastAsia="仿宋" w:cs="仿宋"/>
          <w:sz w:val="24"/>
          <w:szCs w:val="24"/>
        </w:rPr>
        <w:t>出具《中小</w:t>
      </w:r>
      <w:r>
        <w:rPr>
          <w:rFonts w:hint="eastAsia" w:ascii="仿宋" w:hAnsi="仿宋" w:eastAsia="仿宋" w:cs="仿宋"/>
          <w:sz w:val="24"/>
          <w:szCs w:val="24"/>
          <w:lang w:eastAsia="zh-CN"/>
        </w:rPr>
        <w:t>企业</w:t>
      </w:r>
      <w:r>
        <w:rPr>
          <w:rFonts w:hint="eastAsia" w:ascii="仿宋" w:hAnsi="仿宋" w:eastAsia="仿宋" w:cs="仿宋"/>
          <w:sz w:val="24"/>
          <w:szCs w:val="24"/>
        </w:rPr>
        <w:t>声明函》，由</w:t>
      </w:r>
      <w:r>
        <w:rPr>
          <w:rFonts w:hint="eastAsia" w:ascii="仿宋" w:hAnsi="仿宋" w:eastAsia="仿宋" w:cs="仿宋"/>
          <w:sz w:val="24"/>
          <w:szCs w:val="24"/>
          <w:lang w:eastAsia="zh-CN"/>
        </w:rPr>
        <w:t>评审小组</w:t>
      </w:r>
      <w:r>
        <w:rPr>
          <w:rFonts w:hint="eastAsia" w:ascii="仿宋" w:hAnsi="仿宋" w:eastAsia="仿宋" w:cs="仿宋"/>
          <w:sz w:val="24"/>
          <w:szCs w:val="24"/>
        </w:rPr>
        <w:t>审定，符合条件的</w:t>
      </w:r>
      <w:r>
        <w:rPr>
          <w:rFonts w:hint="eastAsia" w:ascii="仿宋" w:hAnsi="仿宋" w:eastAsia="仿宋" w:cs="仿宋"/>
          <w:sz w:val="24"/>
          <w:szCs w:val="24"/>
          <w:lang w:eastAsia="zh-CN"/>
        </w:rPr>
        <w:t>供应商</w:t>
      </w:r>
      <w:r>
        <w:rPr>
          <w:rFonts w:hint="eastAsia" w:ascii="仿宋" w:hAnsi="仿宋" w:eastAsia="仿宋" w:cs="仿宋"/>
          <w:sz w:val="24"/>
          <w:szCs w:val="24"/>
        </w:rPr>
        <w:t>享受政府采购政策。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监狱和戒毒供应商</w:t>
      </w:r>
      <w:r>
        <w:rPr>
          <w:rFonts w:hint="eastAsia" w:ascii="仿宋" w:hAnsi="仿宋" w:eastAsia="仿宋" w:cs="仿宋"/>
          <w:sz w:val="24"/>
          <w:szCs w:val="24"/>
        </w:rPr>
        <w:t>落实政府采购政策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CN"/>
        </w:rPr>
        <w:t>监狱和戒毒供应商应符合《财政部</w:t>
      </w:r>
      <w:r>
        <w:rPr>
          <w:rFonts w:hint="eastAsia" w:ascii="仿宋" w:hAnsi="仿宋" w:eastAsia="仿宋" w:cs="仿宋"/>
          <w:sz w:val="24"/>
          <w:szCs w:val="24"/>
        </w:rPr>
        <w:t>、司法部关于政府采购支持监狱</w:t>
      </w:r>
      <w:r>
        <w:rPr>
          <w:rFonts w:hint="eastAsia" w:ascii="仿宋" w:hAnsi="仿宋" w:eastAsia="仿宋" w:cs="仿宋"/>
          <w:sz w:val="24"/>
          <w:szCs w:val="24"/>
          <w:lang w:eastAsia="zh-CN"/>
        </w:rPr>
        <w:t>企业</w:t>
      </w:r>
      <w:r>
        <w:rPr>
          <w:rFonts w:hint="eastAsia" w:ascii="仿宋" w:hAnsi="仿宋" w:eastAsia="仿宋" w:cs="仿宋"/>
          <w:sz w:val="24"/>
          <w:szCs w:val="24"/>
        </w:rPr>
        <w:t>发展有关问题的通知》--财库[2014]68号</w:t>
      </w:r>
      <w:r>
        <w:rPr>
          <w:rFonts w:hint="eastAsia" w:ascii="仿宋" w:hAnsi="仿宋" w:eastAsia="仿宋" w:cs="仿宋"/>
          <w:sz w:val="24"/>
          <w:szCs w:val="24"/>
          <w:lang w:val="zh-CN"/>
        </w:rPr>
        <w:t>，并提供由省级以上监狱管理局、戒毒管理局(含新疆生产建设兵团)出具的属于监狱企业的证明，</w:t>
      </w:r>
      <w:r>
        <w:rPr>
          <w:rFonts w:hint="eastAsia" w:ascii="仿宋" w:hAnsi="仿宋" w:eastAsia="仿宋" w:cs="仿宋"/>
          <w:sz w:val="24"/>
          <w:szCs w:val="24"/>
        </w:rPr>
        <w:t>开标时提供原件</w:t>
      </w:r>
      <w:r>
        <w:rPr>
          <w:rFonts w:hint="eastAsia" w:ascii="仿宋" w:hAnsi="仿宋" w:eastAsia="仿宋" w:cs="仿宋"/>
          <w:sz w:val="24"/>
          <w:szCs w:val="24"/>
          <w:lang w:eastAsia="zh-CN"/>
        </w:rPr>
        <w:t>扫描件</w:t>
      </w:r>
      <w:r>
        <w:rPr>
          <w:rFonts w:hint="eastAsia" w:ascii="仿宋" w:hAnsi="仿宋" w:eastAsia="仿宋" w:cs="仿宋"/>
          <w:sz w:val="24"/>
          <w:szCs w:val="24"/>
        </w:rPr>
        <w:t>备查。</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（3）残疾人福利性单位落实政府采购政策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①投标供应商</w:t>
      </w:r>
      <w:r>
        <w:rPr>
          <w:rFonts w:hint="eastAsia" w:ascii="仿宋" w:hAnsi="仿宋" w:eastAsia="仿宋" w:cs="仿宋"/>
          <w:sz w:val="24"/>
          <w:szCs w:val="24"/>
        </w:rPr>
        <w:t>须按照财库〔201</w:t>
      </w:r>
      <w:r>
        <w:rPr>
          <w:rFonts w:hint="eastAsia" w:ascii="仿宋" w:hAnsi="仿宋" w:eastAsia="仿宋" w:cs="仿宋"/>
          <w:sz w:val="24"/>
          <w:szCs w:val="24"/>
          <w:lang w:val="en-US" w:eastAsia="zh-CN"/>
        </w:rPr>
        <w:t>7</w:t>
      </w:r>
      <w:r>
        <w:rPr>
          <w:rFonts w:hint="eastAsia" w:ascii="仿宋" w:hAnsi="仿宋" w:eastAsia="仿宋" w:cs="仿宋"/>
          <w:sz w:val="24"/>
          <w:szCs w:val="24"/>
        </w:rPr>
        <w:t>〕141号规定，提供《残疾人福利性单位声明函》，并对声明的真实性负责。以此为依据享受政府采购政策。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②</w:t>
      </w:r>
      <w:r>
        <w:rPr>
          <w:rFonts w:hint="eastAsia" w:ascii="仿宋" w:hAnsi="仿宋" w:eastAsia="仿宋" w:cs="仿宋"/>
          <w:sz w:val="24"/>
          <w:szCs w:val="24"/>
        </w:rPr>
        <w:t>中标、成交</w:t>
      </w:r>
      <w:r>
        <w:rPr>
          <w:rFonts w:hint="eastAsia" w:ascii="仿宋" w:hAnsi="仿宋" w:eastAsia="仿宋" w:cs="仿宋"/>
          <w:sz w:val="24"/>
          <w:szCs w:val="24"/>
          <w:lang w:eastAsia="zh-CN"/>
        </w:rPr>
        <w:t>投标供应商</w:t>
      </w:r>
      <w:r>
        <w:rPr>
          <w:rFonts w:hint="eastAsia" w:ascii="仿宋" w:hAnsi="仿宋" w:eastAsia="仿宋" w:cs="仿宋"/>
          <w:sz w:val="24"/>
          <w:szCs w:val="24"/>
        </w:rPr>
        <w:t>为残疾人福利性单位的，采购人或者其委托的采购代理机构应当随中标、成交结果同时公告其《残疾人福利性单位声明函》，接受社会监督。</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eastAsia="zh-CN"/>
        </w:rPr>
        <w:t>投标供应商</w:t>
      </w:r>
      <w:r>
        <w:rPr>
          <w:rFonts w:hint="eastAsia" w:ascii="仿宋" w:hAnsi="仿宋" w:eastAsia="仿宋" w:cs="仿宋"/>
          <w:bCs/>
          <w:sz w:val="24"/>
          <w:szCs w:val="24"/>
        </w:rPr>
        <w:t>应如实提供以上证明文件，如存在虚假应标，将取消其投标资格。</w:t>
      </w:r>
    </w:p>
    <w:p>
      <w:pPr>
        <w:keepNext w:val="0"/>
        <w:keepLines w:val="0"/>
        <w:pageBreakBefore w:val="0"/>
        <w:widowControl w:val="0"/>
        <w:kinsoku/>
        <w:wordWrap/>
        <w:overflowPunct/>
        <w:topLinePunct w:val="0"/>
        <w:autoSpaceDE w:val="0"/>
        <w:autoSpaceDN w:val="0"/>
        <w:bidi w:val="0"/>
        <w:adjustRightInd/>
        <w:snapToGrid/>
        <w:spacing w:line="480" w:lineRule="exact"/>
        <w:ind w:firstLine="472" w:firstLineChars="196"/>
        <w:textAlignment w:val="auto"/>
        <w:rPr>
          <w:rFonts w:hint="eastAsia" w:ascii="仿宋" w:hAnsi="仿宋" w:eastAsia="仿宋" w:cs="仿宋"/>
          <w:b/>
          <w:sz w:val="24"/>
          <w:szCs w:val="24"/>
          <w:lang w:val="zh-CN"/>
        </w:rPr>
      </w:pPr>
      <w:r>
        <w:rPr>
          <w:rFonts w:hint="eastAsia" w:ascii="仿宋" w:hAnsi="仿宋" w:eastAsia="仿宋" w:cs="仿宋"/>
          <w:b/>
          <w:sz w:val="24"/>
          <w:szCs w:val="24"/>
          <w:lang w:val="en-US" w:eastAsia="zh-CN"/>
        </w:rPr>
        <w:t>26.3</w:t>
      </w:r>
      <w:r>
        <w:rPr>
          <w:rFonts w:hint="eastAsia" w:ascii="仿宋" w:hAnsi="仿宋" w:eastAsia="仿宋" w:cs="仿宋"/>
          <w:b/>
          <w:sz w:val="24"/>
          <w:szCs w:val="24"/>
          <w:lang w:val="zh-CN"/>
        </w:rPr>
        <w:t>投标产品政府采购政策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（1）节能产品</w:t>
      </w:r>
      <w:r>
        <w:rPr>
          <w:rFonts w:hint="eastAsia" w:ascii="仿宋" w:hAnsi="仿宋" w:eastAsia="仿宋" w:cs="仿宋"/>
          <w:sz w:val="24"/>
          <w:szCs w:val="24"/>
          <w:lang w:val="zh-CN"/>
        </w:rPr>
        <w:t>根据《国务院办公厅关于建立政府强制采购节能产品制度的通知》</w:t>
      </w:r>
      <w:r>
        <w:rPr>
          <w:rFonts w:hint="eastAsia" w:ascii="仿宋" w:hAnsi="仿宋" w:eastAsia="仿宋" w:cs="仿宋"/>
          <w:sz w:val="24"/>
          <w:szCs w:val="24"/>
        </w:rPr>
        <w:t>（</w:t>
      </w:r>
      <w:r>
        <w:rPr>
          <w:rFonts w:hint="eastAsia" w:ascii="仿宋" w:hAnsi="仿宋" w:eastAsia="仿宋" w:cs="仿宋"/>
          <w:sz w:val="24"/>
          <w:szCs w:val="24"/>
          <w:lang w:val="zh-CN"/>
        </w:rPr>
        <w:t>国办发[2007]51号</w:t>
      </w:r>
      <w:r>
        <w:rPr>
          <w:rFonts w:hint="eastAsia" w:ascii="仿宋" w:hAnsi="仿宋" w:eastAsia="仿宋" w:cs="仿宋"/>
          <w:sz w:val="24"/>
          <w:szCs w:val="24"/>
        </w:rPr>
        <w:t>）</w:t>
      </w:r>
      <w:r>
        <w:rPr>
          <w:rFonts w:hint="eastAsia" w:ascii="仿宋" w:hAnsi="仿宋" w:eastAsia="仿宋" w:cs="仿宋"/>
          <w:sz w:val="24"/>
          <w:szCs w:val="24"/>
          <w:lang w:val="zh-CN"/>
        </w:rPr>
        <w:t>的规定</w:t>
      </w:r>
      <w:r>
        <w:rPr>
          <w:rFonts w:hint="eastAsia" w:ascii="仿宋" w:hAnsi="仿宋" w:eastAsia="仿宋" w:cs="仿宋"/>
          <w:sz w:val="24"/>
          <w:szCs w:val="24"/>
        </w:rPr>
        <w:t>，</w:t>
      </w:r>
      <w:r>
        <w:rPr>
          <w:rFonts w:hint="eastAsia" w:ascii="仿宋" w:hAnsi="仿宋" w:eastAsia="仿宋" w:cs="仿宋"/>
          <w:sz w:val="24"/>
          <w:szCs w:val="24"/>
          <w:lang w:val="zh-CN"/>
        </w:rPr>
        <w:t>以中国政府采购网</w:t>
      </w:r>
      <w:r>
        <w:rPr>
          <w:rFonts w:hint="eastAsia" w:ascii="仿宋" w:hAnsi="仿宋" w:eastAsia="仿宋" w:cs="仿宋"/>
          <w:sz w:val="24"/>
          <w:szCs w:val="24"/>
        </w:rPr>
        <w:t>（</w:t>
      </w:r>
      <w:r>
        <w:rPr>
          <w:rFonts w:hint="eastAsia" w:ascii="仿宋" w:hAnsi="仿宋" w:eastAsia="仿宋" w:cs="仿宋"/>
          <w:sz w:val="24"/>
          <w:szCs w:val="24"/>
          <w:lang w:val="zh-CN"/>
        </w:rPr>
        <w:t>http://www.ccgp.gov.cn/</w:t>
      </w:r>
      <w:r>
        <w:rPr>
          <w:rFonts w:hint="eastAsia" w:ascii="仿宋" w:hAnsi="仿宋" w:eastAsia="仿宋" w:cs="仿宋"/>
          <w:sz w:val="24"/>
          <w:szCs w:val="24"/>
        </w:rPr>
        <w:t>）</w:t>
      </w:r>
      <w:r>
        <w:rPr>
          <w:rFonts w:hint="eastAsia" w:ascii="仿宋" w:hAnsi="仿宋" w:eastAsia="仿宋" w:cs="仿宋"/>
          <w:sz w:val="24"/>
          <w:szCs w:val="24"/>
          <w:lang w:val="zh-CN"/>
        </w:rPr>
        <w:t>公布的最新一期节能产品政府采购清单为准。</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（2）环境标志产品</w:t>
      </w:r>
      <w:r>
        <w:rPr>
          <w:rFonts w:hint="eastAsia" w:ascii="仿宋" w:hAnsi="仿宋" w:eastAsia="仿宋" w:cs="仿宋"/>
          <w:sz w:val="24"/>
          <w:szCs w:val="24"/>
          <w:lang w:val="zh-CN"/>
        </w:rPr>
        <w:t>根据《环境标志产品政府采购实施的意见》</w:t>
      </w:r>
      <w:r>
        <w:rPr>
          <w:rFonts w:hint="eastAsia" w:ascii="仿宋" w:hAnsi="仿宋" w:eastAsia="仿宋" w:cs="仿宋"/>
          <w:sz w:val="24"/>
          <w:szCs w:val="24"/>
        </w:rPr>
        <w:t>（</w:t>
      </w:r>
      <w:r>
        <w:rPr>
          <w:rFonts w:hint="eastAsia" w:ascii="仿宋" w:hAnsi="仿宋" w:eastAsia="仿宋" w:cs="仿宋"/>
          <w:sz w:val="24"/>
          <w:szCs w:val="24"/>
          <w:lang w:val="zh-CN"/>
        </w:rPr>
        <w:t>财库</w:t>
      </w:r>
      <w:r>
        <w:rPr>
          <w:rFonts w:hint="eastAsia" w:ascii="仿宋" w:hAnsi="仿宋" w:eastAsia="仿宋" w:cs="仿宋"/>
          <w:sz w:val="24"/>
          <w:szCs w:val="24"/>
        </w:rPr>
        <w:t>[2006]90</w:t>
      </w:r>
      <w:r>
        <w:rPr>
          <w:rFonts w:hint="eastAsia" w:ascii="仿宋" w:hAnsi="仿宋" w:eastAsia="仿宋" w:cs="仿宋"/>
          <w:sz w:val="24"/>
          <w:szCs w:val="24"/>
          <w:lang w:val="zh-CN"/>
        </w:rPr>
        <w:t>号</w:t>
      </w:r>
      <w:r>
        <w:rPr>
          <w:rFonts w:hint="eastAsia" w:ascii="仿宋" w:hAnsi="仿宋" w:eastAsia="仿宋" w:cs="仿宋"/>
          <w:sz w:val="24"/>
          <w:szCs w:val="24"/>
        </w:rPr>
        <w:t>）</w:t>
      </w:r>
      <w:r>
        <w:rPr>
          <w:rFonts w:hint="eastAsia" w:ascii="仿宋" w:hAnsi="仿宋" w:eastAsia="仿宋" w:cs="仿宋"/>
          <w:sz w:val="24"/>
          <w:szCs w:val="24"/>
          <w:lang w:val="zh-CN"/>
        </w:rPr>
        <w:t>的规定</w:t>
      </w:r>
      <w:r>
        <w:rPr>
          <w:rFonts w:hint="eastAsia" w:ascii="仿宋" w:hAnsi="仿宋" w:eastAsia="仿宋" w:cs="仿宋"/>
          <w:sz w:val="24"/>
          <w:szCs w:val="24"/>
        </w:rPr>
        <w:t>，</w:t>
      </w:r>
      <w:r>
        <w:rPr>
          <w:rFonts w:hint="eastAsia" w:ascii="仿宋" w:hAnsi="仿宋" w:eastAsia="仿宋" w:cs="仿宋"/>
          <w:sz w:val="24"/>
          <w:szCs w:val="24"/>
          <w:lang w:val="zh-CN"/>
        </w:rPr>
        <w:t>以中国政府采购网</w:t>
      </w:r>
      <w:r>
        <w:rPr>
          <w:rFonts w:hint="eastAsia" w:ascii="仿宋" w:hAnsi="仿宋" w:eastAsia="仿宋" w:cs="仿宋"/>
          <w:sz w:val="24"/>
          <w:szCs w:val="24"/>
        </w:rPr>
        <w:t>（http://www.ccgp.gov.cn/）</w:t>
      </w:r>
      <w:r>
        <w:rPr>
          <w:rFonts w:hint="eastAsia" w:ascii="仿宋" w:hAnsi="仿宋" w:eastAsia="仿宋" w:cs="仿宋"/>
          <w:sz w:val="24"/>
          <w:szCs w:val="24"/>
          <w:lang w:val="zh-CN"/>
        </w:rPr>
        <w:t>公布的最新一期环境标志产品政府采购清单为准。</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若节能、环保、环境标志清单内的产品仅是构成投标产品的部件、组件或零件的，则该投标产品不享受鼓励优惠政策。</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同一标段的节能、环保、环境标志产品部分优惠只对属于清单内的非强制类产品进行优惠，强制类产品不给予优惠。</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节能、环保、环境标志产品不重复优惠；同时列入国家级清单和省级清单的产品不重复优惠。</w:t>
      </w:r>
    </w:p>
    <w:p>
      <w:pPr>
        <w:keepNext w:val="0"/>
        <w:keepLines w:val="0"/>
        <w:pageBreakBefore w:val="0"/>
        <w:widowControl w:val="0"/>
        <w:kinsoku/>
        <w:wordWrap/>
        <w:overflowPunct/>
        <w:topLinePunct w:val="0"/>
        <w:autoSpaceDE w:val="0"/>
        <w:autoSpaceDN w:val="0"/>
        <w:bidi w:val="0"/>
        <w:adjustRightInd/>
        <w:snapToGrid/>
        <w:spacing w:line="480" w:lineRule="exact"/>
        <w:ind w:firstLine="470" w:firstLineChars="196"/>
        <w:textAlignment w:val="auto"/>
        <w:rPr>
          <w:rFonts w:hint="eastAsia" w:ascii="仿宋" w:hAnsi="仿宋" w:eastAsia="仿宋" w:cs="仿宋"/>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获得上述认证的产品在投标时应提供有效证明材料。以上所有证明文件复印件须加盖投标供应商公章并注明“与原件一致”，否则不予优惠。</w:t>
      </w:r>
    </w:p>
    <w:p>
      <w:pPr>
        <w:pStyle w:val="2"/>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8</w:t>
      </w:r>
      <w:r>
        <w:rPr>
          <w:rFonts w:hint="eastAsia" w:ascii="仿宋" w:hAnsi="仿宋" w:eastAsia="仿宋" w:cs="仿宋"/>
          <w:kern w:val="2"/>
          <w:sz w:val="24"/>
          <w:szCs w:val="24"/>
          <w:lang w:val="zh-CN" w:eastAsia="zh-CN" w:bidi="ar-SA"/>
        </w:rPr>
        <w:t>）投标供应商如若能达到采购人需求提供节能产品的，采购人可优先采购。</w:t>
      </w:r>
    </w:p>
    <w:p>
      <w:pPr>
        <w:keepNext w:val="0"/>
        <w:keepLines w:val="0"/>
        <w:pageBreakBefore w:val="0"/>
        <w:widowControl w:val="0"/>
        <w:kinsoku/>
        <w:wordWrap/>
        <w:overflowPunct/>
        <w:topLinePunct w:val="0"/>
        <w:bidi w:val="0"/>
        <w:adjustRightInd/>
        <w:snapToGrid/>
        <w:spacing w:line="480" w:lineRule="exact"/>
        <w:ind w:firstLine="472" w:firstLineChars="196"/>
        <w:textAlignment w:val="auto"/>
        <w:rPr>
          <w:rFonts w:hint="eastAsia" w:ascii="仿宋" w:hAnsi="仿宋" w:eastAsia="仿宋" w:cs="仿宋"/>
          <w:b/>
          <w:sz w:val="24"/>
          <w:szCs w:val="24"/>
          <w:lang w:val="zh-CN"/>
        </w:rPr>
      </w:pPr>
      <w:r>
        <w:rPr>
          <w:rFonts w:hint="eastAsia" w:ascii="仿宋" w:hAnsi="仿宋" w:eastAsia="仿宋" w:cs="仿宋"/>
          <w:b/>
          <w:sz w:val="24"/>
          <w:szCs w:val="24"/>
          <w:lang w:val="en-US" w:eastAsia="zh-CN"/>
        </w:rPr>
        <w:t>26.4</w:t>
      </w:r>
      <w:r>
        <w:rPr>
          <w:rFonts w:hint="eastAsia" w:ascii="仿宋" w:hAnsi="仿宋" w:eastAsia="仿宋" w:cs="仿宋"/>
          <w:b/>
          <w:sz w:val="24"/>
          <w:szCs w:val="24"/>
          <w:lang w:val="zh-CN"/>
        </w:rPr>
        <w:t>投标供应商优惠比例</w:t>
      </w:r>
    </w:p>
    <w:p>
      <w:pPr>
        <w:keepNext w:val="0"/>
        <w:keepLines w:val="0"/>
        <w:pageBreakBefore w:val="0"/>
        <w:widowControl w:val="0"/>
        <w:kinsoku/>
        <w:wordWrap/>
        <w:overflowPunct/>
        <w:topLinePunct w:val="0"/>
        <w:bidi w:val="0"/>
        <w:adjustRightInd/>
        <w:snapToGrid/>
        <w:spacing w:line="480" w:lineRule="exact"/>
        <w:ind w:firstLine="470" w:firstLineChars="196"/>
        <w:textAlignment w:val="auto"/>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因本项目专门面向中小企业，符合</w:t>
      </w:r>
      <w:r>
        <w:rPr>
          <w:rFonts w:hint="eastAsia" w:ascii="仿宋" w:hAnsi="仿宋" w:eastAsia="仿宋" w:cs="仿宋"/>
          <w:b w:val="0"/>
          <w:bCs/>
          <w:color w:val="auto"/>
          <w:sz w:val="24"/>
          <w:szCs w:val="24"/>
          <w:lang w:val="zh-CN" w:eastAsia="zh-CN"/>
        </w:rPr>
        <w:t>招标</w:t>
      </w:r>
      <w:r>
        <w:rPr>
          <w:rFonts w:hint="eastAsia" w:ascii="仿宋" w:hAnsi="仿宋" w:eastAsia="仿宋" w:cs="仿宋"/>
          <w:b w:val="0"/>
          <w:bCs/>
          <w:color w:val="auto"/>
          <w:sz w:val="24"/>
          <w:szCs w:val="24"/>
          <w:lang w:val="zh-CN"/>
        </w:rPr>
        <w:t>文件规定的中小微企业、监狱企业或</w:t>
      </w:r>
      <w:r>
        <w:rPr>
          <w:rFonts w:hint="eastAsia" w:ascii="仿宋" w:hAnsi="仿宋" w:eastAsia="仿宋" w:cs="仿宋"/>
          <w:b w:val="0"/>
          <w:bCs/>
          <w:color w:val="auto"/>
          <w:sz w:val="24"/>
          <w:szCs w:val="24"/>
        </w:rPr>
        <w:t>残疾人福利性单位</w:t>
      </w:r>
      <w:r>
        <w:rPr>
          <w:rFonts w:hint="eastAsia" w:ascii="仿宋" w:hAnsi="仿宋" w:eastAsia="仿宋" w:cs="仿宋"/>
          <w:b w:val="0"/>
          <w:bCs/>
          <w:color w:val="auto"/>
          <w:sz w:val="24"/>
          <w:szCs w:val="24"/>
          <w:lang w:val="zh-CN"/>
        </w:rPr>
        <w:t>优惠条件的供应商，不再执行价格扣除政策。</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lang w:val="en-US" w:eastAsia="zh-CN"/>
        </w:rPr>
        <w:t>26.5</w:t>
      </w:r>
      <w:r>
        <w:rPr>
          <w:rFonts w:hint="eastAsia" w:ascii="仿宋" w:hAnsi="仿宋" w:eastAsia="仿宋" w:cs="仿宋"/>
          <w:color w:val="auto"/>
          <w:kern w:val="1"/>
          <w:sz w:val="24"/>
          <w:highlight w:val="none"/>
        </w:rPr>
        <w:t>.评标委员会对进入详细评审的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进行综合评分，根据得分由高到低，推荐出一个以上三个以下中标候选单位。如果综合评分出现两个</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得分相同的情况，按下列顺序排列：</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 投标价格低的；</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 技术评估得分高的；</w:t>
      </w:r>
    </w:p>
    <w:p>
      <w:pPr>
        <w:keepNext w:val="0"/>
        <w:keepLines w:val="0"/>
        <w:pageBreakBefore w:val="0"/>
        <w:widowControl w:val="0"/>
        <w:kinsoku/>
        <w:wordWrap/>
        <w:overflowPunct/>
        <w:topLinePunct w:val="0"/>
        <w:bidi w:val="0"/>
        <w:adjustRightInd/>
        <w:snapToGrid/>
        <w:spacing w:line="480" w:lineRule="exact"/>
        <w:ind w:firstLine="48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 售后服务</w:t>
      </w:r>
      <w:r>
        <w:rPr>
          <w:rFonts w:hint="eastAsia" w:ascii="仿宋" w:hAnsi="仿宋" w:eastAsia="仿宋" w:cs="仿宋"/>
          <w:color w:val="auto"/>
          <w:kern w:val="1"/>
          <w:sz w:val="24"/>
          <w:highlight w:val="none"/>
          <w:lang w:eastAsia="zh-CN"/>
        </w:rPr>
        <w:t>及</w:t>
      </w:r>
      <w:r>
        <w:rPr>
          <w:rFonts w:hint="eastAsia" w:ascii="仿宋" w:hAnsi="仿宋" w:eastAsia="仿宋" w:cs="仿宋"/>
          <w:color w:val="auto"/>
          <w:kern w:val="1"/>
          <w:sz w:val="24"/>
          <w:highlight w:val="none"/>
        </w:rPr>
        <w:t>承诺优的。</w:t>
      </w:r>
    </w:p>
    <w:p>
      <w:pPr>
        <w:keepNext w:val="0"/>
        <w:keepLines w:val="0"/>
        <w:pageBreakBefore w:val="0"/>
        <w:widowControl w:val="0"/>
        <w:kinsoku/>
        <w:wordWrap/>
        <w:overflowPunct/>
        <w:topLinePunct w:val="0"/>
        <w:bidi w:val="0"/>
        <w:adjustRightInd/>
        <w:snapToGrid/>
        <w:spacing w:line="480" w:lineRule="exact"/>
        <w:ind w:firstLine="480"/>
        <w:textAlignment w:val="auto"/>
        <w:rPr>
          <w:rFonts w:hint="eastAsia" w:ascii="仿宋" w:hAnsi="仿宋" w:eastAsia="仿宋" w:cs="仿宋"/>
          <w:b/>
          <w:bCs/>
          <w:color w:val="auto"/>
          <w:kern w:val="1"/>
          <w:sz w:val="24"/>
          <w:highlight w:val="none"/>
          <w:lang w:val="zh-CN"/>
        </w:rPr>
      </w:pPr>
      <w:r>
        <w:rPr>
          <w:rFonts w:hint="eastAsia" w:ascii="仿宋" w:hAnsi="仿宋" w:eastAsia="仿宋" w:cs="仿宋"/>
          <w:b/>
          <w:bCs/>
          <w:color w:val="auto"/>
          <w:kern w:val="1"/>
          <w:sz w:val="24"/>
          <w:highlight w:val="none"/>
          <w:lang w:val="en-US" w:eastAsia="zh-CN"/>
        </w:rPr>
        <w:t>27.</w:t>
      </w:r>
      <w:r>
        <w:rPr>
          <w:rFonts w:hint="eastAsia" w:ascii="仿宋" w:hAnsi="仿宋" w:eastAsia="仿宋" w:cs="仿宋"/>
          <w:b/>
          <w:bCs/>
          <w:color w:val="auto"/>
          <w:kern w:val="1"/>
          <w:sz w:val="24"/>
          <w:highlight w:val="none"/>
          <w:lang w:val="zh-CN"/>
        </w:rPr>
        <w:t>详细评审</w:t>
      </w:r>
    </w:p>
    <w:p>
      <w:pPr>
        <w:keepNext w:val="0"/>
        <w:keepLines w:val="0"/>
        <w:pageBreakBefore w:val="0"/>
        <w:widowControl w:val="0"/>
        <w:kinsoku/>
        <w:wordWrap/>
        <w:overflowPunct/>
        <w:topLinePunct w:val="0"/>
        <w:bidi w:val="0"/>
        <w:adjustRightInd/>
        <w:snapToGrid/>
        <w:spacing w:line="480" w:lineRule="exact"/>
        <w:ind w:firstLine="480"/>
        <w:textAlignment w:val="auto"/>
        <w:rPr>
          <w:rFonts w:hint="eastAsia" w:ascii="仿宋" w:hAnsi="仿宋" w:eastAsia="仿宋" w:cs="仿宋"/>
          <w:color w:val="auto"/>
          <w:kern w:val="1"/>
          <w:sz w:val="24"/>
          <w:highlight w:val="none"/>
          <w:lang w:val="zh-CN"/>
        </w:rPr>
      </w:pPr>
      <w:r>
        <w:rPr>
          <w:rFonts w:hint="eastAsia" w:ascii="仿宋" w:hAnsi="仿宋" w:eastAsia="仿宋" w:cs="仿宋"/>
          <w:color w:val="auto"/>
          <w:kern w:val="1"/>
          <w:sz w:val="24"/>
          <w:highlight w:val="none"/>
          <w:lang w:val="zh-CN"/>
        </w:rPr>
        <w:t>2</w:t>
      </w:r>
      <w:r>
        <w:rPr>
          <w:rFonts w:hint="eastAsia" w:ascii="仿宋" w:hAnsi="仿宋" w:eastAsia="仿宋" w:cs="仿宋"/>
          <w:color w:val="auto"/>
          <w:kern w:val="1"/>
          <w:sz w:val="24"/>
          <w:highlight w:val="none"/>
          <w:lang w:val="en-US" w:eastAsia="zh-CN"/>
        </w:rPr>
        <w:t>7</w:t>
      </w:r>
      <w:r>
        <w:rPr>
          <w:rFonts w:hint="eastAsia" w:ascii="仿宋" w:hAnsi="仿宋" w:eastAsia="仿宋" w:cs="仿宋"/>
          <w:color w:val="auto"/>
          <w:kern w:val="1"/>
          <w:sz w:val="24"/>
          <w:highlight w:val="none"/>
          <w:lang w:val="zh-CN"/>
        </w:rPr>
        <w:t>.1由</w:t>
      </w:r>
      <w:r>
        <w:rPr>
          <w:rFonts w:hint="eastAsia" w:ascii="仿宋" w:hAnsi="仿宋" w:eastAsia="仿宋" w:cs="仿宋"/>
          <w:color w:val="auto"/>
          <w:kern w:val="1"/>
          <w:sz w:val="24"/>
          <w:highlight w:val="none"/>
          <w:lang w:val="en-US" w:eastAsia="zh-CN"/>
        </w:rPr>
        <w:t>评标委员会</w:t>
      </w:r>
      <w:r>
        <w:rPr>
          <w:rFonts w:hint="eastAsia" w:ascii="仿宋" w:hAnsi="仿宋" w:eastAsia="仿宋" w:cs="仿宋"/>
          <w:color w:val="auto"/>
          <w:kern w:val="1"/>
          <w:sz w:val="24"/>
          <w:highlight w:val="none"/>
          <w:lang w:val="zh-CN"/>
        </w:rPr>
        <w:t>采用综合评分法对</w:t>
      </w:r>
      <w:r>
        <w:rPr>
          <w:rFonts w:hint="eastAsia" w:ascii="仿宋" w:hAnsi="仿宋" w:eastAsia="仿宋" w:cs="仿宋"/>
          <w:color w:val="auto"/>
          <w:kern w:val="1"/>
          <w:sz w:val="24"/>
          <w:highlight w:val="none"/>
          <w:lang w:val="zh-CN" w:eastAsia="zh-CN"/>
        </w:rPr>
        <w:t>投标供应商</w:t>
      </w:r>
      <w:r>
        <w:rPr>
          <w:rFonts w:hint="eastAsia" w:ascii="仿宋" w:hAnsi="仿宋" w:eastAsia="仿宋" w:cs="仿宋"/>
          <w:color w:val="auto"/>
          <w:kern w:val="1"/>
          <w:sz w:val="24"/>
          <w:highlight w:val="none"/>
          <w:lang w:val="zh-CN"/>
        </w:rPr>
        <w:t>的</w:t>
      </w:r>
      <w:r>
        <w:rPr>
          <w:rFonts w:hint="eastAsia" w:ascii="仿宋" w:hAnsi="仿宋" w:eastAsia="仿宋" w:cs="仿宋"/>
          <w:color w:val="auto"/>
          <w:kern w:val="1"/>
          <w:sz w:val="24"/>
          <w:highlight w:val="none"/>
          <w:lang w:val="en-US" w:eastAsia="zh-CN"/>
        </w:rPr>
        <w:t>投标</w:t>
      </w:r>
      <w:r>
        <w:rPr>
          <w:rFonts w:hint="eastAsia" w:ascii="仿宋" w:hAnsi="仿宋" w:eastAsia="仿宋" w:cs="仿宋"/>
          <w:color w:val="auto"/>
          <w:kern w:val="1"/>
          <w:sz w:val="24"/>
          <w:highlight w:val="none"/>
          <w:lang w:val="zh-CN"/>
        </w:rPr>
        <w:t>文件和</w:t>
      </w:r>
      <w:r>
        <w:rPr>
          <w:rFonts w:hint="eastAsia" w:ascii="仿宋" w:hAnsi="仿宋" w:eastAsia="仿宋" w:cs="仿宋"/>
          <w:color w:val="auto"/>
          <w:kern w:val="1"/>
          <w:sz w:val="24"/>
          <w:highlight w:val="none"/>
          <w:lang w:val="en-US" w:eastAsia="zh-CN"/>
        </w:rPr>
        <w:t>投标</w:t>
      </w:r>
      <w:r>
        <w:rPr>
          <w:rFonts w:hint="eastAsia" w:ascii="仿宋" w:hAnsi="仿宋" w:eastAsia="仿宋" w:cs="仿宋"/>
          <w:color w:val="auto"/>
          <w:kern w:val="1"/>
          <w:sz w:val="24"/>
          <w:highlight w:val="none"/>
          <w:lang w:val="zh-CN"/>
        </w:rPr>
        <w:t>报价进行综合评分。</w:t>
      </w:r>
    </w:p>
    <w:p>
      <w:pPr>
        <w:keepNext w:val="0"/>
        <w:keepLines w:val="0"/>
        <w:pageBreakBefore w:val="0"/>
        <w:widowControl w:val="0"/>
        <w:kinsoku/>
        <w:wordWrap/>
        <w:overflowPunct/>
        <w:topLinePunct w:val="0"/>
        <w:bidi w:val="0"/>
        <w:adjustRightInd/>
        <w:snapToGrid/>
        <w:spacing w:line="480" w:lineRule="exact"/>
        <w:ind w:firstLine="480"/>
        <w:textAlignment w:val="auto"/>
        <w:rPr>
          <w:rFonts w:hint="eastAsia" w:ascii="仿宋" w:hAnsi="仿宋" w:eastAsia="仿宋" w:cs="仿宋"/>
          <w:color w:val="auto"/>
          <w:kern w:val="1"/>
          <w:sz w:val="24"/>
          <w:highlight w:val="none"/>
          <w:lang w:val="zh-CN"/>
        </w:rPr>
      </w:pPr>
      <w:r>
        <w:rPr>
          <w:rFonts w:hint="eastAsia" w:ascii="仿宋" w:hAnsi="仿宋" w:eastAsia="仿宋" w:cs="仿宋"/>
          <w:color w:val="auto"/>
          <w:kern w:val="1"/>
          <w:sz w:val="24"/>
          <w:highlight w:val="none"/>
          <w:lang w:val="zh-CN"/>
        </w:rPr>
        <w:t>2</w:t>
      </w:r>
      <w:r>
        <w:rPr>
          <w:rFonts w:hint="eastAsia" w:ascii="仿宋" w:hAnsi="仿宋" w:eastAsia="仿宋" w:cs="仿宋"/>
          <w:color w:val="auto"/>
          <w:kern w:val="1"/>
          <w:sz w:val="24"/>
          <w:highlight w:val="none"/>
          <w:lang w:val="en-US" w:eastAsia="zh-CN"/>
        </w:rPr>
        <w:t>7</w:t>
      </w:r>
      <w:r>
        <w:rPr>
          <w:rFonts w:hint="eastAsia" w:ascii="仿宋" w:hAnsi="仿宋" w:eastAsia="仿宋" w:cs="仿宋"/>
          <w:color w:val="auto"/>
          <w:kern w:val="1"/>
          <w:sz w:val="24"/>
          <w:highlight w:val="none"/>
          <w:lang w:val="zh-CN"/>
        </w:rPr>
        <w:t>.2评审办法及标准见（第三章投标人须知）第</w:t>
      </w:r>
      <w:r>
        <w:rPr>
          <w:rFonts w:hint="eastAsia" w:ascii="仿宋" w:hAnsi="仿宋" w:eastAsia="仿宋" w:cs="仿宋"/>
          <w:color w:val="auto"/>
          <w:kern w:val="1"/>
          <w:sz w:val="24"/>
          <w:highlight w:val="none"/>
          <w:lang w:val="en-US" w:eastAsia="zh-CN"/>
        </w:rPr>
        <w:t>25.3项“评标原则和办法”</w:t>
      </w:r>
      <w:r>
        <w:rPr>
          <w:rFonts w:hint="eastAsia" w:ascii="仿宋" w:hAnsi="仿宋" w:eastAsia="仿宋" w:cs="仿宋"/>
          <w:color w:val="auto"/>
          <w:kern w:val="1"/>
          <w:sz w:val="24"/>
          <w:highlight w:val="none"/>
          <w:lang w:val="zh-CN"/>
        </w:rPr>
        <w:t>。</w:t>
      </w:r>
    </w:p>
    <w:p>
      <w:pPr>
        <w:keepNext w:val="0"/>
        <w:keepLines w:val="0"/>
        <w:pageBreakBefore w:val="0"/>
        <w:widowControl w:val="0"/>
        <w:kinsoku/>
        <w:wordWrap/>
        <w:overflowPunct/>
        <w:topLinePunct w:val="0"/>
        <w:bidi w:val="0"/>
        <w:adjustRightInd/>
        <w:snapToGrid/>
        <w:spacing w:line="480" w:lineRule="exact"/>
        <w:ind w:firstLine="480"/>
        <w:textAlignment w:val="auto"/>
      </w:pPr>
      <w:r>
        <w:rPr>
          <w:rFonts w:hint="eastAsia" w:ascii="仿宋" w:hAnsi="仿宋" w:eastAsia="仿宋" w:cs="仿宋"/>
          <w:color w:val="auto"/>
          <w:kern w:val="1"/>
          <w:sz w:val="24"/>
          <w:highlight w:val="none"/>
          <w:lang w:val="zh-CN"/>
        </w:rPr>
        <w:t>2</w:t>
      </w:r>
      <w:r>
        <w:rPr>
          <w:rFonts w:hint="eastAsia" w:ascii="仿宋" w:hAnsi="仿宋" w:eastAsia="仿宋" w:cs="仿宋"/>
          <w:color w:val="auto"/>
          <w:kern w:val="1"/>
          <w:sz w:val="24"/>
          <w:highlight w:val="none"/>
          <w:lang w:val="en-US" w:eastAsia="zh-CN"/>
        </w:rPr>
        <w:t>7</w:t>
      </w:r>
      <w:r>
        <w:rPr>
          <w:rFonts w:hint="eastAsia" w:ascii="仿宋" w:hAnsi="仿宋" w:eastAsia="仿宋" w:cs="仿宋"/>
          <w:color w:val="auto"/>
          <w:kern w:val="1"/>
          <w:sz w:val="24"/>
          <w:highlight w:val="none"/>
          <w:lang w:val="zh-CN"/>
        </w:rPr>
        <w:t>.3评审时，评标委员会应当独立对每个有效</w:t>
      </w:r>
      <w:r>
        <w:rPr>
          <w:rFonts w:hint="eastAsia" w:ascii="仿宋" w:hAnsi="仿宋" w:eastAsia="仿宋" w:cs="仿宋"/>
          <w:color w:val="auto"/>
          <w:kern w:val="1"/>
          <w:sz w:val="24"/>
          <w:highlight w:val="none"/>
          <w:lang w:val="en-US" w:eastAsia="zh-CN"/>
        </w:rPr>
        <w:t>投标</w:t>
      </w:r>
      <w:r>
        <w:rPr>
          <w:rFonts w:hint="eastAsia" w:ascii="仿宋" w:hAnsi="仿宋" w:eastAsia="仿宋" w:cs="仿宋"/>
          <w:color w:val="auto"/>
          <w:kern w:val="1"/>
          <w:sz w:val="24"/>
          <w:highlight w:val="none"/>
          <w:lang w:val="zh-CN"/>
        </w:rPr>
        <w:t>文件进行评价、打分，然后汇总每个</w:t>
      </w:r>
      <w:r>
        <w:rPr>
          <w:rFonts w:hint="eastAsia" w:ascii="仿宋" w:hAnsi="仿宋" w:eastAsia="仿宋" w:cs="仿宋"/>
          <w:color w:val="auto"/>
          <w:kern w:val="1"/>
          <w:sz w:val="24"/>
          <w:highlight w:val="none"/>
          <w:lang w:val="zh-CN" w:eastAsia="zh-CN"/>
        </w:rPr>
        <w:t>投标供应商</w:t>
      </w:r>
      <w:r>
        <w:rPr>
          <w:rFonts w:hint="eastAsia" w:ascii="仿宋" w:hAnsi="仿宋" w:eastAsia="仿宋" w:cs="仿宋"/>
          <w:color w:val="auto"/>
          <w:kern w:val="1"/>
          <w:sz w:val="24"/>
          <w:highlight w:val="none"/>
          <w:lang w:val="zh-CN"/>
        </w:rPr>
        <w:t>每项评分因素的得分。</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lang w:eastAsia="zh-CN"/>
        </w:rPr>
      </w:pPr>
      <w:r>
        <w:rPr>
          <w:rFonts w:hint="eastAsia" w:ascii="仿宋" w:hAnsi="仿宋" w:eastAsia="仿宋" w:cs="仿宋"/>
          <w:b/>
          <w:bCs/>
          <w:color w:val="auto"/>
          <w:kern w:val="1"/>
          <w:sz w:val="24"/>
          <w:highlight w:val="none"/>
          <w:lang w:val="en-US" w:eastAsia="zh-CN"/>
        </w:rPr>
        <w:t>28</w:t>
      </w:r>
      <w:r>
        <w:rPr>
          <w:rFonts w:hint="eastAsia" w:ascii="仿宋" w:hAnsi="仿宋" w:eastAsia="仿宋" w:cs="仿宋"/>
          <w:b/>
          <w:bCs/>
          <w:color w:val="auto"/>
          <w:kern w:val="1"/>
          <w:sz w:val="24"/>
          <w:highlight w:val="none"/>
        </w:rPr>
        <w:t>.提出</w:t>
      </w:r>
      <w:r>
        <w:rPr>
          <w:rFonts w:hint="eastAsia" w:ascii="仿宋" w:hAnsi="仿宋" w:eastAsia="仿宋" w:cs="仿宋"/>
          <w:b/>
          <w:bCs/>
          <w:color w:val="auto"/>
          <w:kern w:val="1"/>
          <w:sz w:val="24"/>
          <w:highlight w:val="none"/>
          <w:lang w:val="en-US" w:eastAsia="zh-CN"/>
        </w:rPr>
        <w:t>中标候选</w:t>
      </w:r>
      <w:r>
        <w:rPr>
          <w:rFonts w:hint="eastAsia" w:ascii="仿宋" w:hAnsi="仿宋" w:eastAsia="仿宋" w:cs="仿宋"/>
          <w:b/>
          <w:bCs/>
          <w:color w:val="auto"/>
          <w:kern w:val="1"/>
          <w:sz w:val="24"/>
          <w:highlight w:val="none"/>
          <w:lang w:eastAsia="zh-CN"/>
        </w:rPr>
        <w:t>人</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28</w:t>
      </w: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lang w:val="en-US" w:eastAsia="zh-CN"/>
        </w:rPr>
        <w:t>评标委员会</w:t>
      </w:r>
      <w:r>
        <w:rPr>
          <w:rFonts w:hint="eastAsia" w:ascii="仿宋" w:hAnsi="仿宋" w:eastAsia="仿宋" w:cs="仿宋"/>
          <w:color w:val="auto"/>
          <w:kern w:val="1"/>
          <w:sz w:val="24"/>
          <w:highlight w:val="none"/>
        </w:rPr>
        <w:t>应当按照综合评分由高到低的顺序</w:t>
      </w:r>
      <w:r>
        <w:rPr>
          <w:rFonts w:hint="eastAsia" w:ascii="仿宋" w:hAnsi="仿宋" w:eastAsia="仿宋" w:cs="仿宋"/>
          <w:color w:val="auto"/>
          <w:kern w:val="1"/>
          <w:sz w:val="24"/>
          <w:highlight w:val="none"/>
          <w:lang w:val="en-US" w:eastAsia="zh-CN"/>
        </w:rPr>
        <w:t>推荐</w:t>
      </w: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名中标</w:t>
      </w:r>
      <w:r>
        <w:rPr>
          <w:rFonts w:hint="eastAsia" w:ascii="仿宋" w:hAnsi="仿宋" w:eastAsia="仿宋" w:cs="仿宋"/>
          <w:color w:val="auto"/>
          <w:kern w:val="1"/>
          <w:sz w:val="24"/>
          <w:highlight w:val="none"/>
        </w:rPr>
        <w:t>候选</w:t>
      </w:r>
      <w:r>
        <w:rPr>
          <w:rFonts w:hint="eastAsia" w:ascii="仿宋" w:hAnsi="仿宋" w:eastAsia="仿宋" w:cs="仿宋"/>
          <w:color w:val="auto"/>
          <w:kern w:val="1"/>
          <w:sz w:val="24"/>
          <w:highlight w:val="none"/>
          <w:lang w:eastAsia="zh-CN"/>
        </w:rPr>
        <w:t>人</w:t>
      </w:r>
      <w:r>
        <w:rPr>
          <w:rFonts w:hint="eastAsia" w:ascii="仿宋" w:hAnsi="仿宋" w:eastAsia="仿宋" w:cs="仿宋"/>
          <w:color w:val="auto"/>
          <w:kern w:val="1"/>
          <w:sz w:val="24"/>
          <w:highlight w:val="none"/>
        </w:rPr>
        <w:t>，并编写</w:t>
      </w:r>
      <w:r>
        <w:rPr>
          <w:rFonts w:hint="eastAsia" w:ascii="仿宋" w:hAnsi="仿宋" w:eastAsia="仿宋" w:cs="仿宋"/>
          <w:color w:val="auto"/>
          <w:kern w:val="1"/>
          <w:sz w:val="24"/>
          <w:highlight w:val="none"/>
          <w:lang w:val="en-US" w:eastAsia="zh-CN"/>
        </w:rPr>
        <w:t>评标</w:t>
      </w:r>
      <w:r>
        <w:rPr>
          <w:rFonts w:hint="eastAsia" w:ascii="仿宋" w:hAnsi="仿宋" w:eastAsia="仿宋" w:cs="仿宋"/>
          <w:color w:val="auto"/>
          <w:kern w:val="1"/>
          <w:sz w:val="24"/>
          <w:highlight w:val="none"/>
        </w:rPr>
        <w:t>报告。</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28</w:t>
      </w:r>
      <w:r>
        <w:rPr>
          <w:rFonts w:hint="eastAsia" w:ascii="仿宋" w:hAnsi="仿宋" w:eastAsia="仿宋" w:cs="仿宋"/>
          <w:color w:val="auto"/>
          <w:kern w:val="1"/>
          <w:sz w:val="24"/>
          <w:highlight w:val="none"/>
        </w:rPr>
        <w:t>.2评审得分相同的，按照</w:t>
      </w:r>
      <w:r>
        <w:rPr>
          <w:rFonts w:hint="eastAsia" w:ascii="仿宋" w:hAnsi="仿宋" w:eastAsia="仿宋" w:cs="仿宋"/>
          <w:color w:val="auto"/>
          <w:kern w:val="1"/>
          <w:sz w:val="24"/>
          <w:highlight w:val="none"/>
          <w:lang w:val="en-US" w:eastAsia="zh-CN"/>
        </w:rPr>
        <w:t>投标</w:t>
      </w:r>
      <w:r>
        <w:rPr>
          <w:rFonts w:hint="eastAsia" w:ascii="仿宋" w:hAnsi="仿宋" w:eastAsia="仿宋" w:cs="仿宋"/>
          <w:color w:val="auto"/>
          <w:kern w:val="1"/>
          <w:sz w:val="24"/>
          <w:highlight w:val="none"/>
        </w:rPr>
        <w:t>报价由低到高的顺序推荐。评审得分且报价相同的，按照</w:t>
      </w:r>
      <w:r>
        <w:rPr>
          <w:rFonts w:hint="eastAsia" w:ascii="仿宋" w:hAnsi="仿宋" w:eastAsia="仿宋" w:cs="仿宋"/>
          <w:color w:val="auto"/>
          <w:kern w:val="1"/>
          <w:sz w:val="24"/>
          <w:highlight w:val="none"/>
          <w:lang w:val="en-US" w:eastAsia="zh-CN"/>
        </w:rPr>
        <w:t>供货</w:t>
      </w:r>
      <w:r>
        <w:rPr>
          <w:rFonts w:hint="eastAsia" w:ascii="仿宋" w:hAnsi="仿宋" w:eastAsia="仿宋" w:cs="仿宋"/>
          <w:color w:val="auto"/>
          <w:kern w:val="1"/>
          <w:sz w:val="24"/>
          <w:highlight w:val="none"/>
        </w:rPr>
        <w:t>方案得分由高到低顺序推荐。评审得分且最后报价且服务方案得分均相同的，由</w:t>
      </w:r>
      <w:r>
        <w:rPr>
          <w:rFonts w:hint="eastAsia" w:ascii="仿宋" w:hAnsi="仿宋" w:eastAsia="仿宋" w:cs="仿宋"/>
          <w:color w:val="auto"/>
          <w:kern w:val="1"/>
          <w:sz w:val="24"/>
          <w:highlight w:val="none"/>
          <w:lang w:val="en-US" w:eastAsia="zh-CN"/>
        </w:rPr>
        <w:t>评标委员会投票</w:t>
      </w:r>
      <w:r>
        <w:rPr>
          <w:rFonts w:hint="eastAsia" w:ascii="仿宋" w:hAnsi="仿宋" w:eastAsia="仿宋" w:cs="仿宋"/>
          <w:color w:val="auto"/>
          <w:kern w:val="1"/>
          <w:sz w:val="24"/>
          <w:highlight w:val="none"/>
        </w:rPr>
        <w:t>确定排序。</w:t>
      </w:r>
      <w:r>
        <w:rPr>
          <w:rFonts w:hint="eastAsia" w:ascii="仿宋" w:hAnsi="仿宋" w:eastAsia="仿宋" w:cs="仿宋"/>
          <w:color w:val="auto"/>
          <w:kern w:val="1"/>
          <w:sz w:val="24"/>
          <w:highlight w:val="none"/>
          <w:lang w:val="en-US" w:eastAsia="zh-CN"/>
        </w:rPr>
        <w:t>投标</w:t>
      </w:r>
      <w:r>
        <w:rPr>
          <w:rFonts w:hint="eastAsia" w:ascii="仿宋" w:hAnsi="仿宋" w:eastAsia="仿宋" w:cs="仿宋"/>
          <w:color w:val="auto"/>
          <w:kern w:val="1"/>
          <w:sz w:val="24"/>
          <w:highlight w:val="none"/>
        </w:rPr>
        <w:t>文件满足</w:t>
      </w:r>
      <w:r>
        <w:rPr>
          <w:rFonts w:hint="eastAsia" w:ascii="仿宋" w:hAnsi="仿宋" w:eastAsia="仿宋" w:cs="仿宋"/>
          <w:color w:val="auto"/>
          <w:kern w:val="1"/>
          <w:sz w:val="24"/>
          <w:highlight w:val="none"/>
          <w:lang w:val="en-US" w:eastAsia="zh-CN"/>
        </w:rPr>
        <w:t>招标</w:t>
      </w:r>
      <w:r>
        <w:rPr>
          <w:rFonts w:hint="eastAsia" w:ascii="仿宋" w:hAnsi="仿宋" w:eastAsia="仿宋" w:cs="仿宋"/>
          <w:color w:val="auto"/>
          <w:kern w:val="1"/>
          <w:sz w:val="24"/>
          <w:highlight w:val="none"/>
        </w:rPr>
        <w:t>文件全部实质性要求，且按照评审因素的量化指标评审得分最高的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为排名第一的</w:t>
      </w:r>
      <w:r>
        <w:rPr>
          <w:rFonts w:hint="eastAsia" w:ascii="仿宋" w:hAnsi="仿宋" w:eastAsia="仿宋" w:cs="仿宋"/>
          <w:color w:val="auto"/>
          <w:kern w:val="1"/>
          <w:sz w:val="24"/>
          <w:highlight w:val="none"/>
          <w:lang w:val="en-US" w:eastAsia="zh-CN"/>
        </w:rPr>
        <w:t>中标</w:t>
      </w:r>
      <w:r>
        <w:rPr>
          <w:rFonts w:hint="eastAsia" w:ascii="仿宋" w:hAnsi="仿宋" w:eastAsia="仿宋" w:cs="仿宋"/>
          <w:color w:val="auto"/>
          <w:kern w:val="1"/>
          <w:sz w:val="24"/>
          <w:highlight w:val="none"/>
        </w:rPr>
        <w:t>候选人。</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lang w:eastAsia="zh-CN"/>
        </w:rPr>
      </w:pPr>
      <w:r>
        <w:rPr>
          <w:rFonts w:hint="eastAsia" w:ascii="仿宋" w:hAnsi="仿宋" w:eastAsia="仿宋" w:cs="仿宋"/>
          <w:b/>
          <w:bCs/>
          <w:color w:val="auto"/>
          <w:kern w:val="1"/>
          <w:sz w:val="24"/>
          <w:highlight w:val="none"/>
          <w:lang w:val="en-US" w:eastAsia="zh-CN"/>
        </w:rPr>
        <w:t>29</w:t>
      </w:r>
      <w:r>
        <w:rPr>
          <w:rFonts w:hint="eastAsia" w:ascii="仿宋" w:hAnsi="仿宋" w:eastAsia="仿宋" w:cs="仿宋"/>
          <w:b/>
          <w:bCs/>
          <w:color w:val="auto"/>
          <w:kern w:val="1"/>
          <w:sz w:val="24"/>
          <w:highlight w:val="none"/>
        </w:rPr>
        <w:t>.确定中标</w:t>
      </w:r>
      <w:r>
        <w:rPr>
          <w:rFonts w:hint="eastAsia" w:ascii="仿宋" w:hAnsi="仿宋" w:eastAsia="仿宋" w:cs="仿宋"/>
          <w:b/>
          <w:bCs/>
          <w:color w:val="auto"/>
          <w:kern w:val="1"/>
          <w:sz w:val="24"/>
          <w:highlight w:val="none"/>
          <w:lang w:eastAsia="zh-CN"/>
        </w:rPr>
        <w:t>投标供应商</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29</w:t>
      </w:r>
      <w:r>
        <w:rPr>
          <w:rFonts w:hint="eastAsia" w:ascii="仿宋" w:hAnsi="仿宋" w:eastAsia="仿宋" w:cs="仿宋"/>
          <w:color w:val="auto"/>
          <w:kern w:val="1"/>
          <w:sz w:val="24"/>
          <w:highlight w:val="none"/>
        </w:rPr>
        <w:t>.1采购代理机构应当在评审结束之日起2个工作日内将评</w:t>
      </w:r>
      <w:r>
        <w:rPr>
          <w:rFonts w:hint="eastAsia" w:ascii="仿宋" w:hAnsi="仿宋" w:eastAsia="仿宋" w:cs="仿宋"/>
          <w:color w:val="auto"/>
          <w:kern w:val="1"/>
          <w:sz w:val="24"/>
          <w:highlight w:val="none"/>
          <w:lang w:val="en-US" w:eastAsia="zh-CN"/>
        </w:rPr>
        <w:t>标</w:t>
      </w:r>
      <w:r>
        <w:rPr>
          <w:rFonts w:hint="eastAsia" w:ascii="仿宋" w:hAnsi="仿宋" w:eastAsia="仿宋" w:cs="仿宋"/>
          <w:color w:val="auto"/>
          <w:kern w:val="1"/>
          <w:sz w:val="24"/>
          <w:highlight w:val="none"/>
        </w:rPr>
        <w:t>报告送采购人确认。</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29</w:t>
      </w:r>
      <w:r>
        <w:rPr>
          <w:rFonts w:hint="eastAsia" w:ascii="仿宋" w:hAnsi="仿宋" w:eastAsia="仿宋" w:cs="仿宋"/>
          <w:color w:val="auto"/>
          <w:kern w:val="1"/>
          <w:sz w:val="24"/>
          <w:highlight w:val="none"/>
        </w:rPr>
        <w:t>.2采购人应当在收到</w:t>
      </w:r>
      <w:r>
        <w:rPr>
          <w:rFonts w:hint="eastAsia" w:ascii="仿宋" w:hAnsi="仿宋" w:eastAsia="仿宋" w:cs="仿宋"/>
          <w:color w:val="auto"/>
          <w:kern w:val="1"/>
          <w:sz w:val="24"/>
          <w:highlight w:val="none"/>
          <w:lang w:val="en-US" w:eastAsia="zh-CN"/>
        </w:rPr>
        <w:t>评标</w:t>
      </w:r>
      <w:r>
        <w:rPr>
          <w:rFonts w:hint="eastAsia" w:ascii="仿宋" w:hAnsi="仿宋" w:eastAsia="仿宋" w:cs="仿宋"/>
          <w:color w:val="auto"/>
          <w:kern w:val="1"/>
          <w:sz w:val="24"/>
          <w:highlight w:val="none"/>
        </w:rPr>
        <w:t>报告之日起5个工作日内，从评审报告提出的</w:t>
      </w:r>
      <w:r>
        <w:rPr>
          <w:rFonts w:hint="eastAsia" w:ascii="仿宋" w:hAnsi="仿宋" w:eastAsia="仿宋" w:cs="仿宋"/>
          <w:color w:val="auto"/>
          <w:kern w:val="1"/>
          <w:sz w:val="24"/>
          <w:highlight w:val="none"/>
          <w:lang w:val="en-US" w:eastAsia="zh-CN"/>
        </w:rPr>
        <w:t>中标</w:t>
      </w:r>
      <w:r>
        <w:rPr>
          <w:rFonts w:hint="eastAsia" w:ascii="仿宋" w:hAnsi="仿宋" w:eastAsia="仿宋" w:cs="仿宋"/>
          <w:color w:val="auto"/>
          <w:kern w:val="1"/>
          <w:sz w:val="24"/>
          <w:highlight w:val="none"/>
        </w:rPr>
        <w:t>候选</w:t>
      </w:r>
      <w:r>
        <w:rPr>
          <w:rFonts w:hint="eastAsia" w:ascii="仿宋" w:hAnsi="仿宋" w:eastAsia="仿宋" w:cs="仿宋"/>
          <w:color w:val="auto"/>
          <w:kern w:val="1"/>
          <w:sz w:val="24"/>
          <w:highlight w:val="none"/>
          <w:lang w:eastAsia="zh-CN"/>
        </w:rPr>
        <w:t>人</w:t>
      </w:r>
      <w:r>
        <w:rPr>
          <w:rFonts w:hint="eastAsia" w:ascii="仿宋" w:hAnsi="仿宋" w:eastAsia="仿宋" w:cs="仿宋"/>
          <w:color w:val="auto"/>
          <w:kern w:val="1"/>
          <w:sz w:val="24"/>
          <w:highlight w:val="none"/>
        </w:rPr>
        <w:t>中，按照排序由高到低的原则确定中标</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29</w:t>
      </w:r>
      <w:r>
        <w:rPr>
          <w:rFonts w:hint="eastAsia" w:ascii="仿宋" w:hAnsi="仿宋" w:eastAsia="仿宋" w:cs="仿宋"/>
          <w:color w:val="auto"/>
          <w:kern w:val="1"/>
          <w:sz w:val="24"/>
          <w:highlight w:val="none"/>
        </w:rPr>
        <w:t>.3采购人自行组织</w:t>
      </w:r>
      <w:r>
        <w:rPr>
          <w:rFonts w:hint="eastAsia" w:ascii="仿宋" w:hAnsi="仿宋" w:eastAsia="仿宋" w:cs="仿宋"/>
          <w:color w:val="auto"/>
          <w:kern w:val="1"/>
          <w:sz w:val="24"/>
          <w:highlight w:val="none"/>
          <w:lang w:val="en-US" w:eastAsia="zh-CN"/>
        </w:rPr>
        <w:t>开标</w:t>
      </w:r>
      <w:r>
        <w:rPr>
          <w:rFonts w:hint="eastAsia" w:ascii="仿宋" w:hAnsi="仿宋" w:eastAsia="仿宋" w:cs="仿宋"/>
          <w:color w:val="auto"/>
          <w:kern w:val="1"/>
          <w:sz w:val="24"/>
          <w:highlight w:val="none"/>
        </w:rPr>
        <w:t>的，应当在评审结束之日起5个工作日内确定</w:t>
      </w:r>
      <w:r>
        <w:rPr>
          <w:rFonts w:hint="eastAsia" w:ascii="仿宋" w:hAnsi="仿宋" w:eastAsia="仿宋" w:cs="仿宋"/>
          <w:color w:val="auto"/>
          <w:kern w:val="1"/>
          <w:sz w:val="24"/>
          <w:highlight w:val="none"/>
          <w:lang w:val="en-US" w:eastAsia="zh-CN"/>
        </w:rPr>
        <w:t>中标投标供应商</w:t>
      </w:r>
      <w:r>
        <w:rPr>
          <w:rFonts w:hint="eastAsia" w:ascii="仿宋" w:hAnsi="仿宋" w:eastAsia="仿宋" w:cs="仿宋"/>
          <w:color w:val="auto"/>
          <w:kern w:val="1"/>
          <w:sz w:val="24"/>
          <w:highlight w:val="none"/>
        </w:rPr>
        <w:t>。</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3</w:t>
      </w:r>
      <w:r>
        <w:rPr>
          <w:rFonts w:hint="eastAsia" w:ascii="仿宋" w:hAnsi="仿宋" w:eastAsia="仿宋" w:cs="仿宋"/>
          <w:b/>
          <w:bCs/>
          <w:color w:val="auto"/>
          <w:kern w:val="1"/>
          <w:sz w:val="24"/>
          <w:highlight w:val="none"/>
          <w:lang w:val="en-US" w:eastAsia="zh-CN"/>
        </w:rPr>
        <w:t>0</w:t>
      </w:r>
      <w:r>
        <w:rPr>
          <w:rFonts w:hint="eastAsia" w:ascii="仿宋" w:hAnsi="仿宋" w:eastAsia="仿宋" w:cs="仿宋"/>
          <w:b/>
          <w:bCs/>
          <w:color w:val="auto"/>
          <w:kern w:val="1"/>
          <w:sz w:val="24"/>
          <w:highlight w:val="none"/>
        </w:rPr>
        <w:t>.</w:t>
      </w:r>
      <w:r>
        <w:rPr>
          <w:rFonts w:hint="eastAsia" w:ascii="仿宋" w:hAnsi="仿宋" w:eastAsia="仿宋" w:cs="仿宋"/>
          <w:b/>
          <w:bCs/>
          <w:color w:val="auto"/>
          <w:kern w:val="1"/>
          <w:sz w:val="24"/>
          <w:highlight w:val="none"/>
          <w:lang w:val="en-US" w:eastAsia="zh-CN"/>
        </w:rPr>
        <w:t>评标</w:t>
      </w:r>
      <w:r>
        <w:rPr>
          <w:rFonts w:hint="eastAsia" w:ascii="仿宋" w:hAnsi="仿宋" w:eastAsia="仿宋" w:cs="仿宋"/>
          <w:b/>
          <w:bCs/>
          <w:color w:val="auto"/>
          <w:kern w:val="1"/>
          <w:sz w:val="24"/>
          <w:highlight w:val="none"/>
        </w:rPr>
        <w:t>终止</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0</w:t>
      </w:r>
      <w:r>
        <w:rPr>
          <w:rFonts w:hint="eastAsia" w:ascii="仿宋" w:hAnsi="仿宋" w:eastAsia="仿宋" w:cs="仿宋"/>
          <w:color w:val="auto"/>
          <w:kern w:val="1"/>
          <w:sz w:val="24"/>
          <w:highlight w:val="none"/>
        </w:rPr>
        <w:t>.1出现下列情形之一的，应当终止</w:t>
      </w:r>
      <w:r>
        <w:rPr>
          <w:rFonts w:hint="eastAsia" w:ascii="仿宋" w:hAnsi="仿宋" w:eastAsia="仿宋" w:cs="仿宋"/>
          <w:color w:val="auto"/>
          <w:kern w:val="1"/>
          <w:sz w:val="24"/>
          <w:highlight w:val="none"/>
          <w:lang w:val="en-US" w:eastAsia="zh-CN"/>
        </w:rPr>
        <w:t>评标</w:t>
      </w:r>
      <w:r>
        <w:rPr>
          <w:rFonts w:hint="eastAsia" w:ascii="仿宋" w:hAnsi="仿宋" w:eastAsia="仿宋" w:cs="仿宋"/>
          <w:color w:val="auto"/>
          <w:kern w:val="1"/>
          <w:sz w:val="24"/>
          <w:highlight w:val="none"/>
        </w:rPr>
        <w:t>活动，在财政部指定的媒体上发布项目终止公告并说明原因，重新开展采购活动：</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(1)因情况变化，不再符合规定的</w:t>
      </w:r>
      <w:r>
        <w:rPr>
          <w:rFonts w:hint="eastAsia" w:ascii="仿宋" w:hAnsi="仿宋" w:eastAsia="仿宋" w:cs="仿宋"/>
          <w:color w:val="auto"/>
          <w:kern w:val="1"/>
          <w:sz w:val="24"/>
          <w:highlight w:val="none"/>
          <w:lang w:val="en-US" w:eastAsia="zh-CN"/>
        </w:rPr>
        <w:t>公开招标</w:t>
      </w:r>
      <w:r>
        <w:rPr>
          <w:rFonts w:hint="eastAsia" w:ascii="仿宋" w:hAnsi="仿宋" w:eastAsia="仿宋" w:cs="仿宋"/>
          <w:color w:val="auto"/>
          <w:kern w:val="1"/>
          <w:sz w:val="24"/>
          <w:highlight w:val="none"/>
        </w:rPr>
        <w:t>采购方式适用情形的；</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(2)出现影响采购公正的违法、违规行为的；</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lang w:eastAsia="zh-CN"/>
        </w:rPr>
      </w:pPr>
      <w:r>
        <w:rPr>
          <w:rFonts w:hint="eastAsia" w:ascii="仿宋" w:hAnsi="仿宋" w:eastAsia="仿宋" w:cs="仿宋"/>
          <w:color w:val="auto"/>
          <w:kern w:val="1"/>
          <w:sz w:val="24"/>
          <w:highlight w:val="none"/>
        </w:rPr>
        <w:t>(3)除市场竞争不充分的科研项目、需要扶持的科技成果转化项目，以及政府购买服务项目外，在采购过程中符合</w:t>
      </w:r>
      <w:r>
        <w:rPr>
          <w:rFonts w:hint="eastAsia" w:ascii="仿宋" w:hAnsi="仿宋" w:eastAsia="仿宋" w:cs="仿宋"/>
          <w:color w:val="auto"/>
          <w:kern w:val="1"/>
          <w:sz w:val="24"/>
          <w:highlight w:val="none"/>
          <w:lang w:val="en-US" w:eastAsia="zh-CN"/>
        </w:rPr>
        <w:t>招标</w:t>
      </w:r>
      <w:r>
        <w:rPr>
          <w:rFonts w:hint="eastAsia" w:ascii="仿宋" w:hAnsi="仿宋" w:eastAsia="仿宋" w:cs="仿宋"/>
          <w:color w:val="auto"/>
          <w:kern w:val="1"/>
          <w:sz w:val="24"/>
          <w:highlight w:val="none"/>
        </w:rPr>
        <w:t>要求的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或者报价未超过采购预算的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不足3家的</w:t>
      </w:r>
      <w:r>
        <w:rPr>
          <w:rFonts w:hint="eastAsia" w:ascii="仿宋" w:hAnsi="仿宋" w:eastAsia="仿宋" w:cs="仿宋"/>
          <w:color w:val="auto"/>
          <w:kern w:val="1"/>
          <w:sz w:val="24"/>
          <w:highlight w:val="none"/>
          <w:lang w:eastAsia="zh-CN"/>
        </w:rPr>
        <w:t>；</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(4)因重大变故，采购任务取消的。</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3</w:t>
      </w:r>
      <w:r>
        <w:rPr>
          <w:rFonts w:hint="eastAsia" w:ascii="仿宋" w:hAnsi="仿宋" w:eastAsia="仿宋" w:cs="仿宋"/>
          <w:b/>
          <w:bCs/>
          <w:color w:val="auto"/>
          <w:kern w:val="1"/>
          <w:sz w:val="24"/>
          <w:highlight w:val="none"/>
          <w:lang w:val="en-US" w:eastAsia="zh-CN"/>
        </w:rPr>
        <w:t>1</w:t>
      </w:r>
      <w:r>
        <w:rPr>
          <w:rFonts w:hint="eastAsia" w:ascii="仿宋" w:hAnsi="仿宋" w:eastAsia="仿宋" w:cs="仿宋"/>
          <w:b/>
          <w:bCs/>
          <w:color w:val="auto"/>
          <w:kern w:val="1"/>
          <w:sz w:val="24"/>
          <w:highlight w:val="none"/>
        </w:rPr>
        <w:t>.重新评审</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1</w:t>
      </w:r>
      <w:r>
        <w:rPr>
          <w:rFonts w:hint="eastAsia" w:ascii="仿宋" w:hAnsi="仿宋" w:eastAsia="仿宋" w:cs="仿宋"/>
          <w:color w:val="auto"/>
          <w:kern w:val="1"/>
          <w:sz w:val="24"/>
          <w:highlight w:val="none"/>
        </w:rPr>
        <w:t>.1除资格性检查认定错误、分值汇总计算错误、分项评分超出评分标准范围、客观分评分不一致、经</w:t>
      </w:r>
      <w:r>
        <w:rPr>
          <w:rFonts w:hint="eastAsia" w:ascii="仿宋" w:hAnsi="仿宋" w:eastAsia="仿宋" w:cs="仿宋"/>
          <w:color w:val="auto"/>
          <w:kern w:val="1"/>
          <w:sz w:val="24"/>
          <w:highlight w:val="none"/>
          <w:lang w:val="en-US" w:eastAsia="zh-CN"/>
        </w:rPr>
        <w:t>评标委员会</w:t>
      </w:r>
      <w:r>
        <w:rPr>
          <w:rFonts w:hint="eastAsia" w:ascii="仿宋" w:hAnsi="仿宋" w:eastAsia="仿宋" w:cs="仿宋"/>
          <w:color w:val="auto"/>
          <w:kern w:val="1"/>
          <w:sz w:val="24"/>
          <w:highlight w:val="none"/>
        </w:rPr>
        <w:t>一致认定评分畸高、畸低的情形外，采购人或者采购代理机构不得以任何理由组织重新评审。</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3</w:t>
      </w:r>
      <w:r>
        <w:rPr>
          <w:rFonts w:hint="eastAsia" w:ascii="仿宋" w:hAnsi="仿宋" w:eastAsia="仿宋" w:cs="仿宋"/>
          <w:b/>
          <w:bCs/>
          <w:color w:val="auto"/>
          <w:kern w:val="1"/>
          <w:sz w:val="24"/>
          <w:highlight w:val="none"/>
          <w:lang w:val="en-US" w:eastAsia="zh-CN"/>
        </w:rPr>
        <w:t>2</w:t>
      </w:r>
      <w:r>
        <w:rPr>
          <w:rFonts w:hint="eastAsia" w:ascii="仿宋" w:hAnsi="仿宋" w:eastAsia="仿宋" w:cs="仿宋"/>
          <w:b/>
          <w:bCs/>
          <w:color w:val="auto"/>
          <w:kern w:val="1"/>
          <w:sz w:val="24"/>
          <w:highlight w:val="none"/>
        </w:rPr>
        <w:t>.保密</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2</w:t>
      </w: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lang w:val="en-US" w:eastAsia="zh-CN"/>
        </w:rPr>
        <w:t>评标委员会</w:t>
      </w:r>
      <w:r>
        <w:rPr>
          <w:rFonts w:hint="eastAsia" w:ascii="仿宋" w:hAnsi="仿宋" w:eastAsia="仿宋" w:cs="仿宋"/>
          <w:color w:val="auto"/>
          <w:kern w:val="1"/>
          <w:sz w:val="24"/>
          <w:highlight w:val="none"/>
        </w:rPr>
        <w:t>成员以及与评审工作有关的人员不得泄露评审情况以及评审过程中获悉的国家秘密、商业秘密。</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3</w:t>
      </w:r>
      <w:r>
        <w:rPr>
          <w:rFonts w:hint="eastAsia" w:ascii="仿宋" w:hAnsi="仿宋" w:eastAsia="仿宋" w:cs="仿宋"/>
          <w:b/>
          <w:bCs/>
          <w:color w:val="auto"/>
          <w:kern w:val="1"/>
          <w:sz w:val="24"/>
          <w:highlight w:val="none"/>
          <w:lang w:val="en-US" w:eastAsia="zh-CN"/>
        </w:rPr>
        <w:t>3</w:t>
      </w:r>
      <w:r>
        <w:rPr>
          <w:rFonts w:hint="eastAsia" w:ascii="仿宋" w:hAnsi="仿宋" w:eastAsia="仿宋" w:cs="仿宋"/>
          <w:b/>
          <w:bCs/>
          <w:color w:val="auto"/>
          <w:kern w:val="1"/>
          <w:sz w:val="24"/>
          <w:highlight w:val="none"/>
        </w:rPr>
        <w:t>.禁止行为</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3</w:t>
      </w: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不得与采购人、采购代理机构、其他</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恶意串通；不得向采购人、采购代理机构或者评标委员会成员行贿或者提供其他不正当利益；不得提供虚假材料谋取</w:t>
      </w:r>
      <w:r>
        <w:rPr>
          <w:rFonts w:hint="eastAsia" w:ascii="仿宋" w:hAnsi="仿宋" w:eastAsia="仿宋" w:cs="仿宋"/>
          <w:color w:val="auto"/>
          <w:kern w:val="1"/>
          <w:sz w:val="24"/>
          <w:highlight w:val="none"/>
          <w:lang w:val="en-US" w:eastAsia="zh-CN"/>
        </w:rPr>
        <w:t>中标</w:t>
      </w:r>
      <w:r>
        <w:rPr>
          <w:rFonts w:hint="eastAsia" w:ascii="仿宋" w:hAnsi="仿宋" w:eastAsia="仿宋" w:cs="仿宋"/>
          <w:color w:val="auto"/>
          <w:kern w:val="1"/>
          <w:sz w:val="24"/>
          <w:highlight w:val="none"/>
        </w:rPr>
        <w:t>；不得以任何方式干扰、影响采购工作。</w:t>
      </w:r>
    </w:p>
    <w:p>
      <w:pPr>
        <w:keepNext w:val="0"/>
        <w:keepLines w:val="0"/>
        <w:pageBreakBefore w:val="0"/>
        <w:widowControl w:val="0"/>
        <w:kinsoku/>
        <w:wordWrap/>
        <w:overflowPunct/>
        <w:topLinePunct w:val="0"/>
        <w:bidi w:val="0"/>
        <w:adjustRightInd/>
        <w:snapToGrid/>
        <w:spacing w:line="480" w:lineRule="exact"/>
        <w:jc w:val="center"/>
        <w:textAlignment w:val="auto"/>
        <w:outlineLvl w:val="1"/>
        <w:rPr>
          <w:rFonts w:ascii="仿宋" w:hAnsi="仿宋" w:eastAsia="仿宋" w:cs="仿宋"/>
          <w:b/>
          <w:color w:val="auto"/>
          <w:sz w:val="30"/>
          <w:szCs w:val="30"/>
          <w:highlight w:val="none"/>
        </w:rPr>
      </w:pPr>
      <w:bookmarkStart w:id="104" w:name="_Toc245658525"/>
      <w:bookmarkStart w:id="105" w:name="_Toc169846767"/>
      <w:bookmarkStart w:id="106" w:name="_Toc245176656"/>
      <w:bookmarkStart w:id="107" w:name="_Toc167849351"/>
      <w:bookmarkStart w:id="108" w:name="_Toc167591034"/>
      <w:bookmarkStart w:id="109" w:name="_Toc169838523"/>
      <w:bookmarkStart w:id="110" w:name="_Toc170980445"/>
      <w:bookmarkStart w:id="111" w:name="_Toc244623582"/>
      <w:bookmarkStart w:id="112" w:name="_Toc170980543"/>
      <w:bookmarkStart w:id="113" w:name="_Toc208337155"/>
      <w:bookmarkStart w:id="114" w:name="_Toc245657544"/>
      <w:bookmarkStart w:id="115" w:name="_Toc207897907"/>
      <w:bookmarkStart w:id="116" w:name="_Toc154482470"/>
      <w:bookmarkStart w:id="117" w:name="_Toc167591321"/>
      <w:bookmarkStart w:id="118" w:name="_Toc175032428"/>
      <w:bookmarkStart w:id="119" w:name="_Toc169846864"/>
      <w:bookmarkStart w:id="120" w:name="_Toc167591483"/>
      <w:bookmarkStart w:id="121" w:name="_Toc173549969"/>
      <w:bookmarkStart w:id="122" w:name="_Toc167591135"/>
      <w:bookmarkStart w:id="123" w:name="_Toc167590766"/>
      <w:bookmarkStart w:id="124" w:name="_Toc175033583"/>
      <w:r>
        <w:rPr>
          <w:rFonts w:hint="eastAsia" w:ascii="仿宋" w:hAnsi="仿宋" w:eastAsia="仿宋" w:cs="仿宋"/>
          <w:b/>
          <w:color w:val="auto"/>
          <w:sz w:val="30"/>
          <w:szCs w:val="30"/>
          <w:highlight w:val="none"/>
        </w:rPr>
        <w:t>六、授予合同</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34</w:t>
      </w:r>
      <w:r>
        <w:rPr>
          <w:rFonts w:hint="eastAsia" w:ascii="仿宋" w:hAnsi="仿宋" w:eastAsia="仿宋" w:cs="仿宋"/>
          <w:b/>
          <w:color w:val="auto"/>
          <w:sz w:val="24"/>
          <w:highlight w:val="none"/>
        </w:rPr>
        <w:t>．中标通知书</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.1采购代理机构在收到采购人的中标复函后，将在陕西省政府采购网和安康市公共资源交易网上发布中标公告，并在规定时间向中标人发出中标通知书。</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.2 中标通知书是合同的组成部分。</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35</w:t>
      </w:r>
      <w:r>
        <w:rPr>
          <w:rFonts w:hint="eastAsia" w:ascii="仿宋" w:hAnsi="仿宋" w:eastAsia="仿宋" w:cs="仿宋"/>
          <w:b/>
          <w:color w:val="auto"/>
          <w:sz w:val="24"/>
          <w:highlight w:val="none"/>
        </w:rPr>
        <w:t>．中标服务费</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35</w:t>
      </w:r>
      <w:r>
        <w:rPr>
          <w:rFonts w:hint="eastAsia" w:ascii="仿宋" w:hAnsi="仿宋" w:eastAsia="仿宋" w:cs="仿宋"/>
          <w:bCs/>
          <w:color w:val="auto"/>
          <w:sz w:val="24"/>
          <w:highlight w:val="none"/>
        </w:rPr>
        <w:t>.1采购代理服务费/中标服务费的数额及缴纳方式：</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35</w:t>
      </w:r>
      <w:r>
        <w:rPr>
          <w:rFonts w:hint="eastAsia" w:ascii="仿宋" w:hAnsi="仿宋" w:eastAsia="仿宋" w:cs="仿宋"/>
          <w:bCs/>
          <w:color w:val="auto"/>
          <w:sz w:val="24"/>
          <w:highlight w:val="none"/>
        </w:rPr>
        <w:t>.2中标人在领取《中标通知书》之前，应向</w:t>
      </w:r>
      <w:r>
        <w:rPr>
          <w:rFonts w:hint="eastAsia" w:ascii="仿宋" w:hAnsi="仿宋" w:eastAsia="仿宋" w:cs="仿宋"/>
          <w:bCs/>
          <w:color w:val="auto"/>
          <w:sz w:val="24"/>
          <w:highlight w:val="none"/>
          <w:u w:val="single"/>
          <w:lang w:eastAsia="zh-CN"/>
        </w:rPr>
        <w:t>圣弘建设股份有限公司</w:t>
      </w:r>
      <w:r>
        <w:rPr>
          <w:rFonts w:hint="eastAsia" w:ascii="仿宋" w:hAnsi="仿宋" w:eastAsia="仿宋" w:cs="仿宋"/>
          <w:bCs/>
          <w:color w:val="auto"/>
          <w:sz w:val="24"/>
          <w:highlight w:val="none"/>
        </w:rPr>
        <w:t>一次性缴纳采购代理服务费/中标服务费。</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35</w:t>
      </w:r>
      <w:r>
        <w:rPr>
          <w:rFonts w:hint="eastAsia" w:ascii="仿宋" w:hAnsi="仿宋" w:eastAsia="仿宋" w:cs="仿宋"/>
          <w:bCs/>
          <w:color w:val="auto"/>
          <w:sz w:val="24"/>
          <w:highlight w:val="none"/>
        </w:rPr>
        <w:t>.3收费标准</w:t>
      </w:r>
      <w:r>
        <w:rPr>
          <w:rFonts w:hint="eastAsia" w:ascii="仿宋" w:hAnsi="仿宋" w:eastAsia="仿宋" w:cs="仿宋"/>
          <w:bCs/>
          <w:color w:val="auto"/>
          <w:sz w:val="24"/>
          <w:highlight w:val="none"/>
          <w:lang w:eastAsia="zh-CN"/>
        </w:rPr>
        <w:t>参照</w:t>
      </w:r>
      <w:r>
        <w:rPr>
          <w:rFonts w:hint="eastAsia" w:ascii="仿宋" w:hAnsi="仿宋" w:eastAsia="仿宋" w:cs="仿宋"/>
          <w:bCs/>
          <w:color w:val="auto"/>
          <w:sz w:val="24"/>
          <w:highlight w:val="none"/>
        </w:rPr>
        <w:t>国家计委关于印发《招标代理服务收费管理暂行办法》的通知（计价格〔2002〕1980号）、《国家发展和改革委员会办公厅关于招标代理服务收费有关问题的通知》（发改办价格〔2003〕857号）文件。</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35</w:t>
      </w:r>
      <w:r>
        <w:rPr>
          <w:rFonts w:hint="eastAsia" w:ascii="仿宋" w:hAnsi="仿宋" w:eastAsia="仿宋" w:cs="仿宋"/>
          <w:bCs/>
          <w:color w:val="auto"/>
          <w:sz w:val="24"/>
          <w:highlight w:val="none"/>
        </w:rPr>
        <w:t>.4采购代理服务费/中标服务费，可以采取现金、银行汇票、电汇、网银等方式缴纳。</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36</w:t>
      </w:r>
      <w:r>
        <w:rPr>
          <w:rFonts w:hint="eastAsia" w:ascii="仿宋" w:hAnsi="仿宋" w:eastAsia="仿宋" w:cs="仿宋"/>
          <w:b/>
          <w:color w:val="auto"/>
          <w:sz w:val="24"/>
          <w:highlight w:val="none"/>
        </w:rPr>
        <w:t>．签订合同</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36</w:t>
      </w:r>
      <w:r>
        <w:rPr>
          <w:rFonts w:hint="eastAsia" w:ascii="仿宋" w:hAnsi="仿宋" w:eastAsia="仿宋" w:cs="仿宋"/>
          <w:b/>
          <w:bCs/>
          <w:color w:val="auto"/>
          <w:sz w:val="24"/>
          <w:highlight w:val="none"/>
        </w:rPr>
        <w:t>.1中标人在收到中标通知书后30日内，与采购人签订合同。</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.2 如果中标人没有按照上述第29.2条或第30.1条规定执行，采购人将有充分理由取消该中标决定，并没收其投标保证金。在此情况下，采购人可将合同授予综合得分排序名列下一个的</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，或重新招标。</w:t>
      </w:r>
    </w:p>
    <w:p>
      <w:pPr>
        <w:keepNext w:val="0"/>
        <w:keepLines w:val="0"/>
        <w:pageBreakBefore w:val="0"/>
        <w:widowControl w:val="0"/>
        <w:kinsoku/>
        <w:wordWrap/>
        <w:overflowPunct/>
        <w:topLinePunct w:val="0"/>
        <w:bidi w:val="0"/>
        <w:adjustRightInd/>
        <w:snapToGrid/>
        <w:spacing w:line="48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．其他</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 拒绝商业贿赂</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须填写一份《拒绝政府采购领域商业贿赂承诺书》（格式见第六章）编制在投标文件中。</w:t>
      </w:r>
    </w:p>
    <w:p>
      <w:pPr>
        <w:keepNext w:val="0"/>
        <w:keepLines w:val="0"/>
        <w:pageBreakBefore w:val="0"/>
        <w:widowControl w:val="0"/>
        <w:kinsoku/>
        <w:wordWrap/>
        <w:overflowPunct/>
        <w:topLinePunct w:val="0"/>
        <w:bidi w:val="0"/>
        <w:adjustRightInd/>
        <w:snapToGrid/>
        <w:spacing w:line="480" w:lineRule="exact"/>
        <w:ind w:firstLine="482"/>
        <w:textAlignment w:val="auto"/>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3</w:t>
      </w:r>
      <w:r>
        <w:rPr>
          <w:rFonts w:hint="eastAsia" w:ascii="仿宋" w:hAnsi="仿宋" w:eastAsia="仿宋" w:cs="仿宋"/>
          <w:b/>
          <w:color w:val="auto"/>
          <w:kern w:val="1"/>
          <w:sz w:val="24"/>
          <w:highlight w:val="none"/>
          <w:lang w:val="en-US" w:eastAsia="zh-CN"/>
        </w:rPr>
        <w:t>8</w:t>
      </w:r>
      <w:r>
        <w:rPr>
          <w:rFonts w:hint="eastAsia" w:ascii="仿宋" w:hAnsi="仿宋" w:eastAsia="仿宋" w:cs="仿宋"/>
          <w:b/>
          <w:color w:val="auto"/>
          <w:kern w:val="1"/>
          <w:sz w:val="24"/>
          <w:highlight w:val="none"/>
        </w:rPr>
        <w:t>、公开招标拟转为竞争性谈判程序</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招标过程中提交投标文件或者经评审实质性响应招标文件要求的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只有两家时，采购人、采购代理机构依据《政府采购非招标采购方式管理办法》（财政部令第74号）第二十七条第二款规定并</w:t>
      </w:r>
      <w:r>
        <w:rPr>
          <w:rFonts w:hint="eastAsia" w:ascii="仿宋" w:hAnsi="仿宋" w:eastAsia="仿宋" w:cs="仿宋"/>
          <w:color w:val="auto"/>
          <w:sz w:val="24"/>
          <w:highlight w:val="none"/>
        </w:rPr>
        <w:t>经本级财政部门批准后可以与该两家</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进行竞争性谈判采购，具体程序如下：</w:t>
      </w:r>
    </w:p>
    <w:p>
      <w:pPr>
        <w:keepNext w:val="0"/>
        <w:keepLines w:val="0"/>
        <w:pageBreakBefore w:val="0"/>
        <w:widowControl w:val="0"/>
        <w:kinsoku/>
        <w:wordWrap/>
        <w:overflowPunct/>
        <w:topLinePunct w:val="0"/>
        <w:bidi w:val="0"/>
        <w:adjustRightInd/>
        <w:snapToGrid/>
        <w:spacing w:line="480" w:lineRule="exact"/>
        <w:ind w:firstLine="482"/>
        <w:textAlignment w:val="auto"/>
        <w:rPr>
          <w:rFonts w:ascii="仿宋" w:hAnsi="仿宋" w:eastAsia="仿宋" w:cs="仿宋"/>
          <w:b/>
          <w:color w:val="auto"/>
          <w:sz w:val="24"/>
          <w:highlight w:val="none"/>
        </w:rPr>
      </w:pPr>
      <w:r>
        <w:rPr>
          <w:rFonts w:hint="eastAsia" w:ascii="仿宋" w:hAnsi="仿宋" w:eastAsia="仿宋" w:cs="仿宋"/>
          <w:b/>
          <w:color w:val="auto"/>
          <w:kern w:val="1"/>
          <w:sz w:val="24"/>
          <w:highlight w:val="none"/>
        </w:rPr>
        <w:t>3</w:t>
      </w:r>
      <w:r>
        <w:rPr>
          <w:rFonts w:hint="eastAsia" w:ascii="仿宋" w:hAnsi="仿宋" w:eastAsia="仿宋" w:cs="仿宋"/>
          <w:b/>
          <w:color w:val="auto"/>
          <w:kern w:val="1"/>
          <w:sz w:val="24"/>
          <w:highlight w:val="none"/>
          <w:lang w:val="en-US" w:eastAsia="zh-CN"/>
        </w:rPr>
        <w:t>8</w:t>
      </w:r>
      <w:r>
        <w:rPr>
          <w:rFonts w:hint="eastAsia" w:ascii="仿宋" w:hAnsi="仿宋" w:eastAsia="仿宋" w:cs="仿宋"/>
          <w:b/>
          <w:color w:val="auto"/>
          <w:kern w:val="1"/>
          <w:sz w:val="24"/>
          <w:highlight w:val="none"/>
        </w:rPr>
        <w:t>.1 谈判小组</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kern w:val="1"/>
          <w:sz w:val="24"/>
          <w:highlight w:val="none"/>
        </w:rPr>
        <w:t>（1）原公开招标组建的评标委员会现转为谈判小组</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（2）谈判小组负责谈判工作，对谈判投标文件进行审查和评估，并向采购人提交书面提交评审报告，推荐成交候选人。</w:t>
      </w:r>
    </w:p>
    <w:p>
      <w:pPr>
        <w:keepNext w:val="0"/>
        <w:keepLines w:val="0"/>
        <w:pageBreakBefore w:val="0"/>
        <w:widowControl w:val="0"/>
        <w:kinsoku/>
        <w:wordWrap/>
        <w:overflowPunct/>
        <w:topLinePunct w:val="0"/>
        <w:bidi w:val="0"/>
        <w:adjustRightInd/>
        <w:snapToGrid/>
        <w:spacing w:line="480" w:lineRule="exact"/>
        <w:ind w:firstLine="482"/>
        <w:textAlignment w:val="auto"/>
        <w:rPr>
          <w:rFonts w:ascii="仿宋" w:hAnsi="仿宋" w:eastAsia="仿宋" w:cs="仿宋"/>
          <w:color w:val="auto"/>
          <w:kern w:val="1"/>
          <w:sz w:val="24"/>
          <w:highlight w:val="none"/>
        </w:rPr>
      </w:pPr>
      <w:r>
        <w:rPr>
          <w:rFonts w:hint="eastAsia" w:ascii="仿宋" w:hAnsi="仿宋" w:eastAsia="仿宋" w:cs="仿宋"/>
          <w:b/>
          <w:color w:val="auto"/>
          <w:kern w:val="1"/>
          <w:sz w:val="24"/>
          <w:highlight w:val="none"/>
        </w:rPr>
        <w:t>3</w:t>
      </w:r>
      <w:r>
        <w:rPr>
          <w:rFonts w:hint="eastAsia" w:ascii="仿宋" w:hAnsi="仿宋" w:eastAsia="仿宋" w:cs="仿宋"/>
          <w:b/>
          <w:color w:val="auto"/>
          <w:kern w:val="1"/>
          <w:sz w:val="24"/>
          <w:highlight w:val="none"/>
          <w:lang w:val="en-US" w:eastAsia="zh-CN"/>
        </w:rPr>
        <w:t>8</w:t>
      </w:r>
      <w:r>
        <w:rPr>
          <w:rFonts w:hint="eastAsia" w:ascii="仿宋" w:hAnsi="仿宋" w:eastAsia="仿宋" w:cs="仿宋"/>
          <w:b/>
          <w:color w:val="auto"/>
          <w:kern w:val="1"/>
          <w:sz w:val="24"/>
          <w:highlight w:val="none"/>
        </w:rPr>
        <w:t>.</w:t>
      </w:r>
      <w:r>
        <w:rPr>
          <w:rFonts w:hint="eastAsia" w:ascii="仿宋" w:hAnsi="仿宋" w:eastAsia="仿宋" w:cs="仿宋"/>
          <w:b/>
          <w:bCs/>
          <w:color w:val="auto"/>
          <w:kern w:val="1"/>
          <w:sz w:val="24"/>
          <w:highlight w:val="none"/>
        </w:rPr>
        <w:t xml:space="preserve">2 </w:t>
      </w:r>
      <w:r>
        <w:rPr>
          <w:rFonts w:hint="eastAsia" w:ascii="仿宋" w:hAnsi="仿宋" w:eastAsia="仿宋" w:cs="仿宋"/>
          <w:b/>
          <w:color w:val="auto"/>
          <w:kern w:val="1"/>
          <w:sz w:val="24"/>
          <w:highlight w:val="none"/>
        </w:rPr>
        <w:t>谈判</w:t>
      </w:r>
      <w:r>
        <w:rPr>
          <w:rFonts w:hint="eastAsia" w:ascii="仿宋" w:hAnsi="仿宋" w:eastAsia="仿宋" w:cs="仿宋"/>
          <w:b/>
          <w:bCs/>
          <w:color w:val="auto"/>
          <w:kern w:val="1"/>
          <w:sz w:val="24"/>
          <w:highlight w:val="none"/>
        </w:rPr>
        <w:t>程序</w:t>
      </w:r>
      <w:r>
        <w:rPr>
          <w:rFonts w:hint="eastAsia" w:ascii="仿宋" w:hAnsi="仿宋" w:eastAsia="仿宋" w:cs="仿宋"/>
          <w:bCs/>
          <w:color w:val="auto"/>
          <w:kern w:val="1"/>
          <w:sz w:val="24"/>
          <w:highlight w:val="none"/>
        </w:rPr>
        <w:t>：</w:t>
      </w:r>
      <w:r>
        <w:rPr>
          <w:rFonts w:hint="eastAsia" w:ascii="仿宋" w:hAnsi="仿宋" w:eastAsia="仿宋" w:cs="仿宋"/>
          <w:color w:val="auto"/>
          <w:kern w:val="1"/>
          <w:sz w:val="24"/>
          <w:highlight w:val="none"/>
        </w:rPr>
        <w:t xml:space="preserve"> </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谈判的全过程分为第一次谈判报价（原参加公开招标的投标</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的投标报价作为第一次谈判报价）、资质审查、谈判过程、第二次谈判报价、最终评审等阶段，最终报价采取集中报价形式。</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通过资质审查合格的各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，只有在谈判投标文件（原参加公开招标的投标</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的投标文件作为谈判投标文件）及谈判承诺符合谈判文件要求和满足技术、商务需要的才有最终报价和评审的机会。谈判小组按其最终承诺和报价内容，推荐成交候选单位排序。</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（1）第一次报价：原参加公开招标的投标</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的投标报价作为第一次谈判报价</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（2）符合性评审：主要对各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资格以及谈判投标文件进行商务和技术符合性的审定。</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bCs/>
          <w:color w:val="auto"/>
          <w:kern w:val="1"/>
          <w:sz w:val="24"/>
          <w:highlight w:val="none"/>
        </w:rPr>
        <w:t>谈判过程</w:t>
      </w:r>
      <w:r>
        <w:rPr>
          <w:rFonts w:hint="eastAsia" w:ascii="仿宋" w:hAnsi="仿宋" w:eastAsia="仿宋" w:cs="仿宋"/>
          <w:color w:val="auto"/>
          <w:kern w:val="1"/>
          <w:sz w:val="24"/>
          <w:highlight w:val="none"/>
        </w:rPr>
        <w:t>：谈判小组应在符合性评审的基础上对各</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的谈判投标文件认真阅读，并对采购内容等有关要求进行谈判</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 谈判方案（原投标方案）</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 售后服务措施</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 综合评定，推荐候选成交单位。</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 谈判澄清：采购代理机构有权就谈判投标文件中有疑义之处或前后表述不一致的问题，向</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提出询问或澄清。</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必须在谈判文件规定的时间内派技术和商务人员进行澄清，有关澄清的内容应以书面形式（包括电传、传真）提交，并由</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法定代表人或被授权人签名确认。</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（4）第二次谈判报价</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通过资质审查合格，</w:t>
      </w:r>
      <w:r>
        <w:rPr>
          <w:rFonts w:hint="eastAsia" w:ascii="仿宋" w:hAnsi="仿宋" w:eastAsia="仿宋" w:cs="仿宋"/>
          <w:color w:val="auto"/>
          <w:kern w:val="1"/>
          <w:sz w:val="24"/>
          <w:highlight w:val="none"/>
          <w:lang w:eastAsia="zh-CN"/>
        </w:rPr>
        <w:t>投标供应商</w:t>
      </w:r>
      <w:r>
        <w:rPr>
          <w:rFonts w:hint="eastAsia" w:ascii="仿宋" w:hAnsi="仿宋" w:eastAsia="仿宋" w:cs="仿宋"/>
          <w:color w:val="auto"/>
          <w:kern w:val="1"/>
          <w:sz w:val="24"/>
          <w:highlight w:val="none"/>
        </w:rPr>
        <w:t>的谈判投标文件及谈判承诺符合谈判文件要求和满足技术、商务需要的，在规定的时间内报出第二次谈判报价。</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（5）最终评审</w:t>
      </w:r>
    </w:p>
    <w:p>
      <w:pPr>
        <w:keepNext w:val="0"/>
        <w:keepLines w:val="0"/>
        <w:pageBreakBefore w:val="0"/>
        <w:widowControl w:val="0"/>
        <w:kinsoku/>
        <w:wordWrap/>
        <w:overflowPunct/>
        <w:topLinePunct w:val="0"/>
        <w:bidi w:val="0"/>
        <w:adjustRightInd/>
        <w:snapToGrid/>
        <w:spacing w:line="480" w:lineRule="exact"/>
        <w:ind w:firstLine="48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lang w:val="en-US" w:eastAsia="zh-CN"/>
        </w:rPr>
        <w:t>8</w:t>
      </w:r>
      <w:r>
        <w:rPr>
          <w:rFonts w:hint="eastAsia" w:ascii="仿宋" w:hAnsi="仿宋" w:eastAsia="仿宋" w:cs="仿宋"/>
          <w:color w:val="auto"/>
          <w:kern w:val="1"/>
          <w:sz w:val="24"/>
          <w:highlight w:val="none"/>
        </w:rPr>
        <w:t>.3谈判小组根据</w:t>
      </w:r>
      <w:r>
        <w:rPr>
          <w:rFonts w:hint="eastAsia" w:ascii="仿宋" w:hAnsi="仿宋" w:eastAsia="仿宋" w:cs="仿宋"/>
          <w:color w:val="auto"/>
          <w:sz w:val="24"/>
          <w:highlight w:val="none"/>
        </w:rPr>
        <w:t>原始谈判记录和谈判结果编写</w:t>
      </w:r>
      <w:r>
        <w:rPr>
          <w:rFonts w:hint="eastAsia" w:ascii="仿宋" w:hAnsi="仿宋" w:eastAsia="仿宋" w:cs="仿宋"/>
          <w:color w:val="auto"/>
          <w:kern w:val="1"/>
          <w:sz w:val="24"/>
          <w:highlight w:val="none"/>
        </w:rPr>
        <w:t>谈判</w:t>
      </w:r>
      <w:r>
        <w:rPr>
          <w:rFonts w:hint="eastAsia" w:ascii="仿宋" w:hAnsi="仿宋" w:eastAsia="仿宋" w:cs="仿宋"/>
          <w:color w:val="auto"/>
          <w:sz w:val="24"/>
          <w:highlight w:val="none"/>
        </w:rPr>
        <w:t>结果</w:t>
      </w:r>
      <w:r>
        <w:rPr>
          <w:rFonts w:hint="eastAsia" w:ascii="仿宋" w:hAnsi="仿宋" w:eastAsia="仿宋" w:cs="仿宋"/>
          <w:color w:val="auto"/>
          <w:kern w:val="1"/>
          <w:sz w:val="24"/>
          <w:highlight w:val="none"/>
        </w:rPr>
        <w:t>报告，报采购人。</w:t>
      </w:r>
    </w:p>
    <w:p>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color w:val="auto"/>
          <w:sz w:val="24"/>
          <w:highlight w:val="none"/>
        </w:rPr>
      </w:pPr>
      <w:r>
        <w:rPr>
          <w:rFonts w:hint="eastAsia" w:ascii="仿宋" w:hAnsi="仿宋" w:eastAsia="仿宋" w:cs="仿宋"/>
          <w:b/>
          <w:color w:val="auto"/>
          <w:sz w:val="30"/>
          <w:szCs w:val="30"/>
          <w:highlight w:val="none"/>
        </w:rPr>
        <w:t>七、质疑与投诉</w:t>
      </w:r>
    </w:p>
    <w:p>
      <w:pPr>
        <w:keepNext w:val="0"/>
        <w:keepLines w:val="0"/>
        <w:pageBreakBefore w:val="0"/>
        <w:kinsoku/>
        <w:wordWrap/>
        <w:overflowPunct/>
        <w:topLinePunct w:val="0"/>
        <w:bidi w:val="0"/>
        <w:adjustRightInd/>
        <w:snapToGrid/>
        <w:spacing w:line="480" w:lineRule="exact"/>
        <w:ind w:firstLine="472" w:firstLineChars="196"/>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、质疑及投诉</w:t>
      </w:r>
    </w:p>
    <w:p>
      <w:pPr>
        <w:keepNext w:val="0"/>
        <w:keepLines w:val="0"/>
        <w:pageBreakBefore w:val="0"/>
        <w:kinsoku/>
        <w:wordWrap/>
        <w:overflowPunct/>
        <w:topLinePunct w:val="0"/>
        <w:bidi w:val="0"/>
        <w:adjustRightInd/>
        <w:snapToGrid/>
        <w:spacing w:line="480" w:lineRule="exact"/>
        <w:ind w:firstLine="472" w:firstLineChars="196"/>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.1 质疑</w:t>
      </w:r>
    </w:p>
    <w:p>
      <w:pPr>
        <w:keepNext w:val="0"/>
        <w:keepLines w:val="0"/>
        <w:pageBreakBefore w:val="0"/>
        <w:kinsoku/>
        <w:wordWrap/>
        <w:overflowPunct/>
        <w:topLinePunct w:val="0"/>
        <w:bidi w:val="0"/>
        <w:adjustRightInd/>
        <w:snapToGrid/>
        <w:spacing w:line="480" w:lineRule="exact"/>
        <w:ind w:firstLine="470" w:firstLineChars="196"/>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keepNext w:val="0"/>
        <w:keepLines w:val="0"/>
        <w:pageBreakBefore w:val="0"/>
        <w:kinsoku/>
        <w:wordWrap/>
        <w:overflowPunct/>
        <w:topLinePunct w:val="0"/>
        <w:bidi w:val="0"/>
        <w:adjustRightInd/>
        <w:snapToGrid/>
        <w:spacing w:line="480" w:lineRule="exact"/>
        <w:ind w:firstLine="470" w:firstLineChars="196"/>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（2）提出质疑的</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应当是参与本项目采购活动的</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（3）潜在</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已依法获取其可质疑的采购文件的，可以对该文件提出质疑。对采购文件提出质疑的，应当在获取采购文件（以</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填写报名登记表的时间为准）起7个工作日内提出。</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提出质疑应当提交质疑函和必要的证明材料，质疑函应包括下列内容：</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① </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的姓名或者名称、地址、邮编、联系人及联系电话；</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② 质疑项目的名称、编号；</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③ 具体、明确的质疑事项和与质疑事项相关的请求；</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④ 事实依据；</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⑤ 必要的法律依据；</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⑥ 提出质疑的日期。</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为自然人的，应当由本人签字；</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为法人或者其他组织的，应当由法定代表人、主要负责人，或者其授权代表签字或者盖章并加盖公章。</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可以委托代理人进行质疑和投诉。其授权委托书应当载明代理人的姓名或者名称、代理事项、具体权限、期限和相关事项。</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为自然人的，应当由本人签字；</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为法人或者其他组织的，应当由法定代表人、主要负责人签字或者盖章并加盖公章。</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（7）采购人负责</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质疑答复。采购人委托采购代理机构采购的，采购代理机构在委托授权范围内作出答复。</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（8）接收质疑函的方式和联系方式：</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① 接收质疑函的方式：书面递交质疑函纸质版（当面递交）或PDF格式扫描件（发至电子邮箱）</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② 联系方式</w:t>
      </w:r>
    </w:p>
    <w:p>
      <w:pPr>
        <w:keepNext w:val="0"/>
        <w:keepLines w:val="0"/>
        <w:pageBreakBefore w:val="0"/>
        <w:widowControl/>
        <w:kinsoku/>
        <w:wordWrap/>
        <w:overflowPunct/>
        <w:topLinePunct w:val="0"/>
        <w:bidi w:val="0"/>
        <w:adjustRightInd/>
        <w:snapToGrid/>
        <w:spacing w:line="480" w:lineRule="exact"/>
        <w:ind w:firstLine="480" w:firstLineChars="200"/>
        <w:jc w:val="left"/>
        <w:textAlignment w:val="auto"/>
        <w:outlineLvl w:val="0"/>
        <w:rPr>
          <w:rFonts w:ascii="仿宋" w:hAnsi="仿宋" w:eastAsia="仿宋" w:cs="仿宋"/>
          <w:color w:val="auto"/>
          <w:sz w:val="24"/>
          <w:highlight w:val="none"/>
        </w:rPr>
      </w:pPr>
      <w:bookmarkStart w:id="125" w:name="_Toc11960"/>
      <w:bookmarkStart w:id="126" w:name="_Toc11692"/>
      <w:bookmarkStart w:id="127" w:name="_Toc27022"/>
      <w:r>
        <w:rPr>
          <w:rFonts w:hint="eastAsia" w:ascii="仿宋" w:hAnsi="仿宋" w:eastAsia="仿宋" w:cs="仿宋"/>
          <w:color w:val="auto"/>
          <w:sz w:val="24"/>
          <w:highlight w:val="none"/>
        </w:rPr>
        <w:t>采购人名称：</w:t>
      </w:r>
      <w:bookmarkEnd w:id="125"/>
      <w:r>
        <w:rPr>
          <w:rFonts w:hint="eastAsia" w:ascii="仿宋" w:hAnsi="仿宋" w:eastAsia="仿宋" w:cs="仿宋"/>
          <w:color w:val="auto"/>
          <w:sz w:val="24"/>
          <w:highlight w:val="none"/>
          <w:lang w:val="en-US" w:eastAsia="zh-CN"/>
        </w:rPr>
        <w:t>平利县文化和旅游广电局</w:t>
      </w:r>
      <w:bookmarkEnd w:id="126"/>
      <w:bookmarkEnd w:id="127"/>
    </w:p>
    <w:p>
      <w:pPr>
        <w:keepNext w:val="0"/>
        <w:keepLines w:val="0"/>
        <w:pageBreakBefore w:val="0"/>
        <w:kinsoku/>
        <w:wordWrap/>
        <w:overflowPunct/>
        <w:topLinePunct w:val="0"/>
        <w:bidi w:val="0"/>
        <w:adjustRightInd/>
        <w:snapToGrid/>
        <w:spacing w:line="480" w:lineRule="exact"/>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平利县城关镇月湖南路</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联系人：蔡工</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13669153208</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圣弘建设股份有限公司</w:t>
      </w:r>
    </w:p>
    <w:p>
      <w:pPr>
        <w:keepNext w:val="0"/>
        <w:keepLines w:val="0"/>
        <w:pageBreakBefore w:val="0"/>
        <w:widowControl/>
        <w:kinsoku/>
        <w:wordWrap/>
        <w:overflowPunct/>
        <w:topLinePunct w:val="0"/>
        <w:bidi w:val="0"/>
        <w:adjustRightInd/>
        <w:snapToGrid/>
        <w:spacing w:line="48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安康市汉滨区南环东路明江嘉园泰子府6栋2单元303室</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联系人：朱工</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13922860752</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邮    箱：</w:t>
      </w:r>
      <w:r>
        <w:rPr>
          <w:rFonts w:hint="eastAsia" w:ascii="仿宋" w:hAnsi="仿宋" w:eastAsia="仿宋" w:cs="仿宋"/>
          <w:color w:val="auto"/>
          <w:sz w:val="24"/>
          <w:highlight w:val="none"/>
          <w:lang w:val="en-US" w:eastAsia="zh-CN"/>
        </w:rPr>
        <w:t>772565405@QQ.com</w:t>
      </w:r>
    </w:p>
    <w:p>
      <w:pPr>
        <w:pStyle w:val="2"/>
        <w:keepNext w:val="0"/>
        <w:keepLines w:val="0"/>
        <w:pageBreakBefore w:val="0"/>
        <w:kinsoku/>
        <w:wordWrap/>
        <w:overflowPunct/>
        <w:topLinePunct w:val="0"/>
        <w:bidi w:val="0"/>
        <w:adjustRightInd/>
        <w:snapToGrid/>
        <w:spacing w:after="0" w:line="480" w:lineRule="exact"/>
        <w:ind w:firstLine="48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.2 投诉</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（1）质疑</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对采购人、采购代理机构的答复不满意，或者采购人、采购代理机构未在规定时间内作出答复的，可以在答复期满后15个工作日内向同级财政部门提起投诉。</w:t>
      </w:r>
    </w:p>
    <w:p>
      <w:pPr>
        <w:keepNext w:val="0"/>
        <w:keepLines w:val="0"/>
        <w:pageBreakBefore w:val="0"/>
        <w:kinsoku/>
        <w:wordWrap/>
        <w:overflowPunct/>
        <w:topLinePunct w:val="0"/>
        <w:bidi w:val="0"/>
        <w:adjustRightInd/>
        <w:snapToGrid/>
        <w:spacing w:line="48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（2）投诉人投诉时,应当提交投诉书和必要的证明材料，并按照被投诉采购人、采购代理机构（以下简称被投诉人）和与投诉事项有关的</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数量提供投诉书的副本。投诉书应当包括下列内容：</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① 投诉人和被投诉人的姓名或者名称、通讯地址、邮编、联系人及联系电话；</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② 质疑和质疑答复情况说明及相关证明材料；</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③ 具体、明确的投诉事项和与投诉事项相关的投诉请求；</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④ 事实依据；</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⑤ 法律依据；</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⑥ 提起投诉的日期。</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（3）投诉人为自然人的，应当由本人签字；投诉人为法人或者其他组织的，应当由法定代表人、主要负责人，或者其授权代表签字或者盖章，并加盖公章。</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（4）投诉人提起投诉应当符合下列条件：</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① 提起投诉前已依法进行质疑；</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② 投诉书内容符合《政府采购质疑和投诉办法》（财政部令第94号令）的规定；</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③ 在投诉有效期限内提起投诉；</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④ 同一投诉事项未经财政部门投诉处理；</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⑤ 财政部规定的其他条件。</w:t>
      </w:r>
    </w:p>
    <w:p>
      <w:pPr>
        <w:keepNext w:val="0"/>
        <w:keepLines w:val="0"/>
        <w:pageBreakBefore w:val="0"/>
        <w:widowControl/>
        <w:shd w:val="clear" w:color="auto" w:fill="FFFFFF"/>
        <w:kinsoku/>
        <w:wordWrap/>
        <w:overflowPunct/>
        <w:topLinePunct w:val="0"/>
        <w:bidi w:val="0"/>
        <w:adjustRightInd/>
        <w:snapToGrid/>
        <w:spacing w:line="480" w:lineRule="exact"/>
        <w:ind w:firstLine="48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投诉的事项不得超出已质疑事项的范围，但基于质疑答复内容提出的投诉事项除外。</w:t>
      </w:r>
      <w:bookmarkStart w:id="128" w:name="_Toc208337157"/>
      <w:bookmarkStart w:id="129" w:name="_Toc245176658"/>
      <w:bookmarkStart w:id="130" w:name="_Toc245657546"/>
      <w:bookmarkStart w:id="131" w:name="_Toc207897909"/>
      <w:bookmarkStart w:id="132" w:name="_Toc245658527"/>
      <w:bookmarkStart w:id="133" w:name="_Toc244623584"/>
    </w:p>
    <w:p>
      <w:pPr>
        <w:keepNext w:val="0"/>
        <w:keepLines w:val="0"/>
        <w:pageBreakBefore w:val="0"/>
        <w:widowControl/>
        <w:shd w:val="clear" w:color="auto" w:fill="FFFFFF"/>
        <w:kinsoku/>
        <w:wordWrap/>
        <w:overflowPunct/>
        <w:topLinePunct w:val="0"/>
        <w:bidi w:val="0"/>
        <w:adjustRightInd/>
        <w:snapToGrid/>
        <w:spacing w:line="480" w:lineRule="exact"/>
        <w:jc w:val="left"/>
        <w:textAlignment w:val="auto"/>
        <w:rPr>
          <w:rFonts w:ascii="仿宋" w:hAnsi="仿宋" w:eastAsia="仿宋" w:cs="仿宋"/>
          <w:color w:val="auto"/>
          <w:sz w:val="24"/>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bookmarkStart w:id="134" w:name="_Toc7334"/>
      <w:bookmarkStart w:id="135" w:name="_Toc8463"/>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shd w:val="clear" w:color="auto" w:fill="FFFFFF"/>
        <w:kinsoku/>
        <w:wordWrap/>
        <w:overflowPunct/>
        <w:topLinePunct w:val="0"/>
        <w:bidi w:val="0"/>
        <w:adjustRightInd/>
        <w:snapToGrid/>
        <w:spacing w:line="480" w:lineRule="exact"/>
        <w:jc w:val="center"/>
        <w:textAlignment w:val="auto"/>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pStyle w:val="3"/>
        <w:rPr>
          <w:rFonts w:hint="eastAsia" w:ascii="仿宋" w:hAnsi="仿宋" w:eastAsia="仿宋" w:cs="仿宋"/>
          <w:b/>
          <w:bCs/>
          <w:color w:val="auto"/>
          <w:sz w:val="32"/>
          <w:szCs w:val="32"/>
          <w:highlight w:val="none"/>
        </w:rPr>
      </w:pPr>
    </w:p>
    <w:p>
      <w:pPr>
        <w:pStyle w:val="12"/>
        <w:rPr>
          <w:rFonts w:hint="eastAsia"/>
        </w:rPr>
      </w:pPr>
    </w:p>
    <w:p>
      <w:pPr>
        <w:widowControl/>
        <w:shd w:val="clear" w:color="auto" w:fill="FFFFFF"/>
        <w:spacing w:line="440" w:lineRule="exact"/>
        <w:jc w:val="center"/>
        <w:outlineLvl w:val="9"/>
        <w:rPr>
          <w:rFonts w:hint="eastAsia" w:ascii="仿宋" w:hAnsi="仿宋" w:eastAsia="仿宋" w:cs="仿宋"/>
          <w:b/>
          <w:bCs/>
          <w:color w:val="auto"/>
          <w:sz w:val="32"/>
          <w:szCs w:val="32"/>
          <w:highlight w:val="none"/>
        </w:rPr>
      </w:pPr>
    </w:p>
    <w:p>
      <w:pPr>
        <w:widowControl/>
        <w:shd w:val="clear" w:color="auto" w:fill="FFFFFF"/>
        <w:spacing w:line="440" w:lineRule="exact"/>
        <w:jc w:val="center"/>
        <w:outlineLvl w:val="0"/>
        <w:rPr>
          <w:rFonts w:hint="eastAsia" w:ascii="仿宋" w:hAnsi="仿宋" w:eastAsia="仿宋" w:cs="仿宋"/>
          <w:b/>
          <w:bCs/>
          <w:color w:val="auto"/>
          <w:sz w:val="32"/>
          <w:szCs w:val="32"/>
          <w:highlight w:val="none"/>
        </w:rPr>
      </w:pPr>
      <w:bookmarkStart w:id="136" w:name="_Toc8005"/>
    </w:p>
    <w:p>
      <w:pPr>
        <w:widowControl/>
        <w:shd w:val="clear" w:color="auto" w:fill="FFFFFF"/>
        <w:spacing w:line="440" w:lineRule="exact"/>
        <w:jc w:val="center"/>
        <w:outlineLvl w:val="0"/>
        <w:rPr>
          <w:rFonts w:ascii="仿宋" w:hAnsi="仿宋" w:eastAsia="仿宋" w:cs="仿宋"/>
          <w:b/>
          <w:bCs/>
          <w:color w:val="auto"/>
          <w:kern w:val="0"/>
          <w:sz w:val="32"/>
          <w:szCs w:val="40"/>
          <w:highlight w:val="none"/>
        </w:rPr>
      </w:pPr>
      <w:r>
        <w:rPr>
          <w:rFonts w:hint="eastAsia" w:ascii="仿宋" w:hAnsi="仿宋" w:eastAsia="仿宋" w:cs="仿宋"/>
          <w:b/>
          <w:bCs/>
          <w:color w:val="auto"/>
          <w:sz w:val="32"/>
          <w:szCs w:val="32"/>
          <w:highlight w:val="none"/>
        </w:rPr>
        <w:t>第四章  采购内容</w:t>
      </w:r>
      <w:r>
        <w:rPr>
          <w:rFonts w:hint="eastAsia" w:ascii="仿宋" w:hAnsi="仿宋" w:eastAsia="仿宋" w:cs="仿宋"/>
          <w:b/>
          <w:bCs/>
          <w:color w:val="auto"/>
          <w:sz w:val="32"/>
          <w:szCs w:val="32"/>
          <w:highlight w:val="none"/>
          <w:lang w:eastAsia="zh-CN"/>
        </w:rPr>
        <w:t>及</w:t>
      </w:r>
      <w:r>
        <w:rPr>
          <w:rFonts w:hint="eastAsia" w:ascii="仿宋" w:hAnsi="仿宋" w:eastAsia="仿宋" w:cs="仿宋"/>
          <w:b/>
          <w:bCs/>
          <w:color w:val="auto"/>
          <w:sz w:val="32"/>
          <w:szCs w:val="32"/>
          <w:highlight w:val="none"/>
        </w:rPr>
        <w:t>要求</w:t>
      </w:r>
      <w:bookmarkEnd w:id="35"/>
      <w:bookmarkEnd w:id="36"/>
      <w:bookmarkEnd w:id="128"/>
      <w:bookmarkEnd w:id="129"/>
      <w:bookmarkEnd w:id="130"/>
      <w:bookmarkEnd w:id="131"/>
      <w:bookmarkEnd w:id="132"/>
      <w:bookmarkEnd w:id="133"/>
      <w:bookmarkEnd w:id="134"/>
      <w:bookmarkEnd w:id="135"/>
      <w:bookmarkEnd w:id="136"/>
    </w:p>
    <w:p>
      <w:pPr>
        <w:widowControl/>
        <w:shd w:val="clear" w:color="auto" w:fill="FFFFFF"/>
        <w:spacing w:line="48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一、采购内容</w:t>
      </w:r>
      <w:r>
        <w:rPr>
          <w:rFonts w:hint="eastAsia" w:ascii="仿宋" w:hAnsi="仿宋" w:eastAsia="仿宋" w:cs="仿宋"/>
          <w:b/>
          <w:bCs/>
          <w:color w:val="auto"/>
          <w:sz w:val="24"/>
          <w:szCs w:val="24"/>
          <w:highlight w:val="none"/>
          <w:lang w:eastAsia="zh-CN"/>
        </w:rPr>
        <w:t>：</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1.项目名称：</w:t>
      </w:r>
      <w:r>
        <w:rPr>
          <w:rFonts w:hint="eastAsia" w:ascii="仿宋" w:hAnsi="仿宋" w:eastAsia="仿宋" w:cs="仿宋"/>
          <w:color w:val="auto"/>
          <w:sz w:val="24"/>
          <w:highlight w:val="none"/>
          <w:lang w:val="en-US" w:eastAsia="zh-CN"/>
        </w:rPr>
        <w:t>平利县全域旅游标识体系建设项目</w:t>
      </w:r>
    </w:p>
    <w:p>
      <w:pPr>
        <w:widowControl/>
        <w:shd w:val="clear" w:color="auto" w:fill="FFFFFF"/>
        <w:spacing w:line="480" w:lineRule="auto"/>
        <w:ind w:firstLine="48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项目预算</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lang w:val="en-US" w:eastAsia="zh-CN"/>
        </w:rPr>
        <w:t>3550000.00</w:t>
      </w:r>
      <w:r>
        <w:rPr>
          <w:rFonts w:hint="eastAsia" w:ascii="仿宋" w:hAnsi="仿宋" w:eastAsia="仿宋" w:cs="仿宋"/>
          <w:color w:val="auto"/>
          <w:sz w:val="24"/>
          <w:highlight w:val="none"/>
        </w:rPr>
        <w:t>元</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3.项目概况：</w:t>
      </w:r>
      <w:r>
        <w:rPr>
          <w:rFonts w:hint="eastAsia" w:ascii="仿宋" w:hAnsi="仿宋" w:eastAsia="仿宋" w:cs="仿宋"/>
          <w:color w:val="auto"/>
          <w:sz w:val="24"/>
          <w:highlight w:val="none"/>
          <w:lang w:val="en-US" w:eastAsia="zh-CN"/>
        </w:rPr>
        <w:t>平利县全域旅游标识体系建设项目，是创建省级全域旅游示范区考核检查的核心内容之一，也是提升全域旅游文化品位、彰显平利特色的重要载体，在引导游客交通自驾、参观游览等方面发挥重要作用。平利县全域旅游标识体系建设项目主要内容如下：</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1.在安平、平镇过境高速公路上设置旅游标识牌2块，主要推介显示平利重点旅游景区；</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2.在安平高速平利西、平利东出口各设置1块一级旅游标识牌（精神堡垒），共2块，主要用于展示平利旅游宣传语和人文内涵，是游客进入平利的第一视觉感受；</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3.在重要交通道口设置旅游交通牌（F牌）20块，主要用于指示游客乘坐交通工具前往各重点景区；</w:t>
      </w:r>
    </w:p>
    <w:p>
      <w:pPr>
        <w:widowControl/>
        <w:shd w:val="clear" w:color="auto" w:fill="FFFFFF"/>
        <w:spacing w:line="480" w:lineRule="auto"/>
        <w:ind w:firstLine="48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4.在重要景区和游客聚集场所设置全域全景图23块，主要介绍平利全县总体旅游景点分布；</w:t>
      </w:r>
    </w:p>
    <w:p>
      <w:pPr>
        <w:widowControl/>
        <w:shd w:val="clear" w:color="auto" w:fill="FFFFFF"/>
        <w:spacing w:line="480" w:lineRule="auto"/>
        <w:ind w:firstLine="48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5.标识标牌外观形象须符合国家规定，并体现平利当地文化元素。</w:t>
      </w:r>
    </w:p>
    <w:p>
      <w:pPr>
        <w:widowControl/>
        <w:shd w:val="clear" w:color="auto" w:fill="FFFFFF"/>
        <w:spacing w:line="48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二、全域旅游标识及新建旅游交通牌（</w:t>
      </w:r>
      <w:r>
        <w:rPr>
          <w:rFonts w:hint="eastAsia" w:ascii="仿宋" w:hAnsi="仿宋" w:eastAsia="仿宋" w:cs="仿宋"/>
          <w:b/>
          <w:bCs/>
          <w:color w:val="auto"/>
          <w:sz w:val="24"/>
          <w:highlight w:val="none"/>
          <w:lang w:val="en-US" w:eastAsia="zh-CN"/>
        </w:rPr>
        <w:t>F牌</w:t>
      </w:r>
      <w:r>
        <w:rPr>
          <w:rFonts w:hint="eastAsia" w:ascii="仿宋" w:hAnsi="仿宋" w:eastAsia="仿宋" w:cs="仿宋"/>
          <w:b/>
          <w:bCs/>
          <w:color w:val="auto"/>
          <w:sz w:val="24"/>
          <w:highlight w:val="none"/>
          <w:lang w:eastAsia="zh-CN"/>
        </w:rPr>
        <w:t>）一览表：</w:t>
      </w:r>
    </w:p>
    <w:p>
      <w:pPr>
        <w:pStyle w:val="2"/>
        <w:ind w:firstLine="720" w:firstLineChars="3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（详见后附表1、附表2）</w:t>
      </w:r>
    </w:p>
    <w:p>
      <w:pPr>
        <w:pStyle w:val="2"/>
        <w:rPr>
          <w:rFonts w:hint="eastAsia"/>
          <w:lang w:eastAsia="zh-CN"/>
        </w:rPr>
      </w:pPr>
    </w:p>
    <w:p>
      <w:pPr>
        <w:widowControl/>
        <w:shd w:val="clear" w:color="auto" w:fill="FFFFFF"/>
        <w:spacing w:line="480" w:lineRule="auto"/>
        <w:ind w:firstLine="480"/>
        <w:jc w:val="left"/>
        <w:rPr>
          <w:rFonts w:hint="eastAsia" w:ascii="仿宋" w:hAnsi="仿宋" w:eastAsia="仿宋" w:cs="仿宋"/>
          <w:b/>
          <w:bCs/>
          <w:color w:val="FF0000"/>
          <w:sz w:val="24"/>
          <w:highlight w:val="none"/>
          <w:lang w:eastAsia="zh-CN"/>
        </w:rPr>
      </w:pPr>
    </w:p>
    <w:p>
      <w:pPr>
        <w:widowControl/>
        <w:shd w:val="clear" w:color="auto" w:fill="FFFFFF"/>
        <w:spacing w:line="480" w:lineRule="auto"/>
        <w:ind w:firstLine="480"/>
        <w:jc w:val="left"/>
        <w:rPr>
          <w:rFonts w:hint="eastAsia" w:ascii="仿宋" w:hAnsi="仿宋" w:eastAsia="仿宋" w:cs="仿宋"/>
          <w:b/>
          <w:bCs/>
          <w:color w:val="FF0000"/>
          <w:sz w:val="24"/>
          <w:highlight w:val="none"/>
          <w:lang w:eastAsia="zh-CN"/>
        </w:rPr>
        <w:sectPr>
          <w:footerReference r:id="rId4" w:type="default"/>
          <w:pgSz w:w="11905" w:h="16838"/>
          <w:pgMar w:top="1474" w:right="1587" w:bottom="1474" w:left="1587" w:header="567" w:footer="964" w:gutter="0"/>
          <w:pgNumType w:fmt="decimal" w:start="1"/>
          <w:cols w:space="0" w:num="1"/>
          <w:rtlGutter w:val="0"/>
          <w:docGrid w:linePitch="0" w:charSpace="0"/>
        </w:sectPr>
      </w:pPr>
    </w:p>
    <w:p>
      <w:pPr>
        <w:spacing w:line="600" w:lineRule="exact"/>
        <w:jc w:val="left"/>
        <w:rPr>
          <w:rFonts w:hint="eastAsia" w:ascii="仿宋" w:hAnsi="仿宋" w:eastAsia="仿宋"/>
          <w:b/>
          <w:sz w:val="32"/>
          <w:szCs w:val="32"/>
          <w:lang w:eastAsia="zh-CN"/>
        </w:rPr>
      </w:pPr>
      <w:r>
        <w:rPr>
          <w:rFonts w:hint="eastAsia" w:ascii="仿宋" w:hAnsi="仿宋" w:eastAsia="仿宋"/>
          <w:b/>
          <w:sz w:val="24"/>
          <w:szCs w:val="24"/>
          <w:lang w:eastAsia="zh-CN"/>
        </w:rPr>
        <w:t>附表</w:t>
      </w:r>
      <w:r>
        <w:rPr>
          <w:rFonts w:hint="eastAsia" w:ascii="仿宋" w:hAnsi="仿宋" w:eastAsia="仿宋"/>
          <w:b/>
          <w:sz w:val="24"/>
          <w:szCs w:val="24"/>
          <w:lang w:val="en-US" w:eastAsia="zh-CN"/>
        </w:rPr>
        <w:t>1、</w:t>
      </w:r>
      <w:r>
        <w:rPr>
          <w:rFonts w:hint="eastAsia" w:ascii="仿宋" w:hAnsi="仿宋" w:eastAsia="仿宋"/>
          <w:b/>
          <w:sz w:val="32"/>
          <w:szCs w:val="32"/>
          <w:lang w:val="en-US" w:eastAsia="zh-CN"/>
        </w:rPr>
        <w:t xml:space="preserve">                             </w:t>
      </w:r>
      <w:r>
        <w:rPr>
          <w:rFonts w:hint="eastAsia" w:ascii="仿宋" w:hAnsi="仿宋" w:eastAsia="仿宋"/>
          <w:b/>
          <w:sz w:val="28"/>
          <w:szCs w:val="28"/>
          <w:lang w:val="en-US" w:eastAsia="zh-CN"/>
        </w:rPr>
        <w:t xml:space="preserve"> </w:t>
      </w:r>
      <w:r>
        <w:rPr>
          <w:rFonts w:hint="eastAsia" w:ascii="仿宋" w:hAnsi="仿宋" w:eastAsia="仿宋"/>
          <w:b/>
          <w:sz w:val="28"/>
          <w:szCs w:val="28"/>
          <w:lang w:eastAsia="zh-CN"/>
        </w:rPr>
        <w:t>全</w:t>
      </w:r>
      <w:r>
        <w:rPr>
          <w:rFonts w:hint="eastAsia" w:ascii="仿宋" w:hAnsi="仿宋" w:eastAsia="仿宋"/>
          <w:b/>
          <w:sz w:val="28"/>
          <w:szCs w:val="28"/>
        </w:rPr>
        <w:t>域旅游标识</w:t>
      </w:r>
      <w:r>
        <w:rPr>
          <w:rFonts w:hint="eastAsia" w:ascii="仿宋" w:hAnsi="仿宋" w:eastAsia="仿宋"/>
          <w:b/>
          <w:sz w:val="28"/>
          <w:szCs w:val="28"/>
          <w:lang w:eastAsia="zh-CN"/>
        </w:rPr>
        <w:t>标牌</w:t>
      </w:r>
      <w:r>
        <w:rPr>
          <w:rFonts w:hint="eastAsia" w:ascii="仿宋" w:hAnsi="仿宋" w:eastAsia="仿宋" w:cs="仿宋"/>
          <w:b/>
          <w:bCs/>
          <w:color w:val="auto"/>
          <w:sz w:val="28"/>
          <w:szCs w:val="28"/>
          <w:highlight w:val="none"/>
          <w:lang w:eastAsia="zh-CN"/>
        </w:rPr>
        <w:t>一览表</w:t>
      </w:r>
    </w:p>
    <w:tbl>
      <w:tblPr>
        <w:tblStyle w:val="26"/>
        <w:tblW w:w="14018" w:type="dxa"/>
        <w:jc w:val="center"/>
        <w:tblLayout w:type="fixed"/>
        <w:tblCellMar>
          <w:top w:w="0" w:type="dxa"/>
          <w:left w:w="108" w:type="dxa"/>
          <w:bottom w:w="0" w:type="dxa"/>
          <w:right w:w="108" w:type="dxa"/>
        </w:tblCellMar>
      </w:tblPr>
      <w:tblGrid>
        <w:gridCol w:w="1728"/>
        <w:gridCol w:w="4322"/>
        <w:gridCol w:w="3984"/>
        <w:gridCol w:w="3984"/>
      </w:tblGrid>
      <w:tr>
        <w:tblPrEx>
          <w:tblCellMar>
            <w:top w:w="0" w:type="dxa"/>
            <w:left w:w="108" w:type="dxa"/>
            <w:bottom w:w="0" w:type="dxa"/>
            <w:right w:w="108" w:type="dxa"/>
          </w:tblCellMar>
        </w:tblPrEx>
        <w:trPr>
          <w:trHeight w:val="9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4322" w:type="dxa"/>
            <w:tcBorders>
              <w:top w:val="single" w:color="auto" w:sz="4" w:space="0"/>
              <w:left w:val="nil"/>
              <w:bottom w:val="single" w:color="auto" w:sz="4" w:space="0"/>
              <w:right w:val="single" w:color="auto" w:sz="4" w:space="0"/>
              <w:tl2br w:val="single" w:color="auto" w:sz="4" w:space="0"/>
            </w:tcBorders>
            <w:noWrap w:val="0"/>
            <w:vAlign w:val="center"/>
          </w:tcPr>
          <w:p>
            <w:pPr>
              <w:widowControl/>
              <w:ind w:left="3520" w:hanging="3520" w:hangingChars="1600"/>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xml:space="preserve">  类型</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建设地点</w:t>
            </w:r>
          </w:p>
        </w:tc>
        <w:tc>
          <w:tcPr>
            <w:tcW w:w="39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全域全景图</w:t>
            </w:r>
          </w:p>
        </w:tc>
        <w:tc>
          <w:tcPr>
            <w:tcW w:w="398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单位</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天书峡</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桃花溪</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马盘山</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勺药谷</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龙头村</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长安女娲茶镇</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蒋家坪</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08"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正阳草原</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西河民宿</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旅游集散中心</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高速出口</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服务区</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437"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城区</w:t>
            </w:r>
          </w:p>
        </w:tc>
        <w:tc>
          <w:tcPr>
            <w:tcW w:w="398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块</w:t>
            </w:r>
          </w:p>
        </w:tc>
      </w:tr>
      <w:tr>
        <w:tblPrEx>
          <w:tblCellMar>
            <w:top w:w="0" w:type="dxa"/>
            <w:left w:w="108" w:type="dxa"/>
            <w:bottom w:w="0" w:type="dxa"/>
            <w:right w:w="108" w:type="dxa"/>
          </w:tblCellMar>
        </w:tblPrEx>
        <w:trPr>
          <w:trHeight w:val="770" w:hRule="atLeast"/>
          <w:jc w:val="center"/>
        </w:trPr>
        <w:tc>
          <w:tcPr>
            <w:tcW w:w="172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14</w:t>
            </w:r>
          </w:p>
        </w:tc>
        <w:tc>
          <w:tcPr>
            <w:tcW w:w="4322" w:type="dxa"/>
            <w:tcBorders>
              <w:top w:val="nil"/>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合计</w:t>
            </w:r>
          </w:p>
        </w:tc>
        <w:tc>
          <w:tcPr>
            <w:tcW w:w="398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rPr>
              <w:t>23</w:t>
            </w:r>
          </w:p>
        </w:tc>
        <w:tc>
          <w:tcPr>
            <w:tcW w:w="3984"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lang w:eastAsia="zh-CN"/>
              </w:rPr>
              <w:t>块</w:t>
            </w:r>
          </w:p>
        </w:tc>
      </w:tr>
    </w:tbl>
    <w:p>
      <w:pPr>
        <w:spacing w:line="600" w:lineRule="exact"/>
        <w:jc w:val="both"/>
        <w:rPr>
          <w:rFonts w:hint="eastAsia" w:ascii="仿宋" w:hAnsi="仿宋" w:eastAsia="仿宋"/>
          <w:b/>
          <w:sz w:val="32"/>
          <w:szCs w:val="32"/>
        </w:rPr>
        <w:sectPr>
          <w:pgSz w:w="16838" w:h="11905" w:orient="landscape"/>
          <w:pgMar w:top="1587" w:right="1474" w:bottom="1587" w:left="1474" w:header="567" w:footer="964" w:gutter="0"/>
          <w:pgNumType w:fmt="decimal"/>
          <w:cols w:space="0" w:num="1"/>
          <w:rtlGutter w:val="0"/>
          <w:docGrid w:linePitch="0" w:charSpace="0"/>
        </w:sectPr>
      </w:pPr>
    </w:p>
    <w:p>
      <w:pPr>
        <w:jc w:val="both"/>
        <w:rPr>
          <w:rFonts w:hint="eastAsia" w:ascii="仿宋" w:hAnsi="仿宋" w:eastAsia="仿宋"/>
          <w:b/>
          <w:sz w:val="28"/>
          <w:szCs w:val="28"/>
        </w:rPr>
      </w:pPr>
      <w:r>
        <w:rPr>
          <w:rFonts w:hint="eastAsia" w:ascii="仿宋" w:hAnsi="仿宋" w:eastAsia="仿宋"/>
          <w:b/>
          <w:sz w:val="28"/>
          <w:szCs w:val="28"/>
          <w:lang w:eastAsia="zh-CN"/>
        </w:rPr>
        <w:t>附表</w:t>
      </w:r>
      <w:r>
        <w:rPr>
          <w:rFonts w:hint="eastAsia" w:ascii="仿宋" w:hAnsi="仿宋" w:eastAsia="仿宋"/>
          <w:b/>
          <w:sz w:val="28"/>
          <w:szCs w:val="28"/>
          <w:lang w:val="en-US" w:eastAsia="zh-CN"/>
        </w:rPr>
        <w:t xml:space="preserve">2、                               </w:t>
      </w:r>
      <w:r>
        <w:rPr>
          <w:rFonts w:hint="eastAsia" w:ascii="仿宋" w:hAnsi="仿宋" w:eastAsia="仿宋"/>
          <w:b/>
          <w:sz w:val="28"/>
          <w:szCs w:val="28"/>
        </w:rPr>
        <w:t>新建旅游交通牌（F牌）一览表</w:t>
      </w:r>
    </w:p>
    <w:tbl>
      <w:tblPr>
        <w:tblStyle w:val="27"/>
        <w:tblW w:w="1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4184"/>
        <w:gridCol w:w="7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49" w:type="dxa"/>
            <w:noWrap w:val="0"/>
            <w:vAlign w:val="center"/>
          </w:tcPr>
          <w:p>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4184" w:type="dxa"/>
            <w:noWrap w:val="0"/>
            <w:vAlign w:val="center"/>
          </w:tcPr>
          <w:p>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类别</w:t>
            </w:r>
          </w:p>
        </w:tc>
        <w:tc>
          <w:tcPr>
            <w:tcW w:w="7946" w:type="dxa"/>
            <w:noWrap w:val="0"/>
            <w:vAlign w:val="center"/>
          </w:tcPr>
          <w:p>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184"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高速出口</w:t>
            </w: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安平高速平利西出口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安平高速平利东出口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安平高速老县出口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49"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安平高速广佛出口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4184"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省市县界</w:t>
            </w: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关垭古长城湖北至陕西入口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正阳草甸重庆至陕西入口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平旬路旬阳至平利入口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4184"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通景公路</w:t>
            </w: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白果社区西侧大桥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彩虹桥北侧旅游服务中心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彩虹桥南侧马盘居食府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猫儿沟桥北侧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猫儿沟桥南侧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南大桥旅游集散中心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长安镇双阳大桥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广佛镇高速引线大桥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大贵镇后湾村入口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洛河镇至八仙镇清水河桥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平旬路兴隆镇入口大桥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G346芍药谷景区入口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4184" w:type="dxa"/>
            <w:vMerge w:val="continue"/>
            <w:noWrap w:val="0"/>
            <w:vAlign w:val="center"/>
          </w:tcPr>
          <w:p>
            <w:pPr>
              <w:jc w:val="center"/>
              <w:rPr>
                <w:rFonts w:hint="eastAsia" w:ascii="仿宋" w:hAnsi="仿宋" w:eastAsia="仿宋" w:cs="仿宋"/>
                <w:sz w:val="24"/>
                <w:szCs w:val="24"/>
              </w:rPr>
            </w:pPr>
          </w:p>
        </w:tc>
        <w:tc>
          <w:tcPr>
            <w:tcW w:w="79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平旬路段家河民宿入口</w:t>
            </w:r>
          </w:p>
        </w:tc>
      </w:tr>
    </w:tbl>
    <w:p>
      <w:pPr>
        <w:widowControl/>
        <w:shd w:val="clear" w:color="auto" w:fill="FFFFFF"/>
        <w:spacing w:line="480" w:lineRule="auto"/>
        <w:jc w:val="left"/>
        <w:rPr>
          <w:rFonts w:hint="eastAsia" w:ascii="仿宋" w:hAnsi="仿宋" w:eastAsia="仿宋" w:cs="仿宋"/>
          <w:b/>
          <w:bCs/>
          <w:color w:val="auto"/>
          <w:sz w:val="24"/>
          <w:highlight w:val="none"/>
          <w:lang w:eastAsia="zh-CN"/>
        </w:rPr>
        <w:sectPr>
          <w:pgSz w:w="16838" w:h="11905" w:orient="landscape"/>
          <w:pgMar w:top="1587" w:right="1474" w:bottom="1587" w:left="1474" w:header="567" w:footer="964" w:gutter="0"/>
          <w:pgNumType w:fmt="decimal"/>
          <w:cols w:space="0" w:num="1"/>
          <w:rtlGutter w:val="0"/>
          <w:docGrid w:linePitch="0" w:charSpace="0"/>
        </w:sectPr>
      </w:pPr>
    </w:p>
    <w:p>
      <w:pPr>
        <w:widowControl/>
        <w:shd w:val="clear" w:color="auto" w:fill="FFFFFF"/>
        <w:spacing w:line="48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lang w:val="en-US" w:eastAsia="zh-CN"/>
        </w:rPr>
        <w:t>全域旅游标识体系建设项目清单</w:t>
      </w:r>
      <w:r>
        <w:rPr>
          <w:rFonts w:hint="eastAsia" w:ascii="仿宋" w:hAnsi="仿宋" w:eastAsia="仿宋" w:cs="仿宋"/>
          <w:b/>
          <w:bCs/>
          <w:color w:val="auto"/>
          <w:sz w:val="24"/>
          <w:highlight w:val="none"/>
          <w:lang w:eastAsia="zh-CN"/>
        </w:rPr>
        <w:t>：</w:t>
      </w:r>
    </w:p>
    <w:tbl>
      <w:tblPr>
        <w:tblStyle w:val="26"/>
        <w:tblW w:w="14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656"/>
        <w:gridCol w:w="1320"/>
        <w:gridCol w:w="866"/>
        <w:gridCol w:w="644"/>
        <w:gridCol w:w="9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4596" w:type="dxa"/>
            <w:gridSpan w:val="6"/>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平利县全域旅游标识体系建设项目清单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1656"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132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标识名称</w:t>
            </w:r>
          </w:p>
        </w:tc>
        <w:tc>
          <w:tcPr>
            <w:tcW w:w="866"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数量（块）</w:t>
            </w:r>
          </w:p>
        </w:tc>
        <w:tc>
          <w:tcPr>
            <w:tcW w:w="64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9396"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外部交通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引导I标识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高速F杆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1、标志牌长5000*高3500*厚3铝板；Ⅴ类反光膜；80铝槽；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2、立柱：Φ325*厚12*高8500；热镀锌；横臂:Φ165*厚6*高6000*2根；横梁法兰：Φ400*厚20；底法兰:长700*宽900*厚20;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3、预埋件12-M30*1500 面板:长700*宽900*厚6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4、基础长1800*宽1800*深2200；C25砼；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高速H杆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116"/>
                <w:rFonts w:hint="eastAsia" w:ascii="仿宋" w:hAnsi="仿宋" w:eastAsia="仿宋" w:cs="仿宋"/>
                <w:sz w:val="24"/>
                <w:szCs w:val="24"/>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1、标志牌长5000*高3500*厚3铝板；Ⅴ类反光膜；80铝槽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2、立柱：φ273*厚10*高7000*2根热镀锌；底法兰:长600*宽600*厚20*2块；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3、预埋件8-M30*1500 面板：长600*宽600*厚6*两套；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4、基础长1800*宽1800*深2200*2个；C25砼；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通景F杆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116"/>
                <w:rFonts w:hint="eastAsia" w:ascii="仿宋" w:hAnsi="仿宋" w:eastAsia="仿宋" w:cs="仿宋"/>
                <w:sz w:val="24"/>
                <w:szCs w:val="24"/>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1、标志牌长4500*高2400*厚3铝板（双面内容）；Ⅳ类反光膜，平板直接铆在框架两面；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2、立柱：长300*宽300*厚10*高8000；杆体热镀锌后喷塑、顶部造型采用1.5厚镀锌板折弯焊接喷塑；横杆：长250*宽150*厚6*</w:t>
            </w:r>
            <w:r>
              <w:rPr>
                <w:rStyle w:val="117"/>
                <w:rFonts w:hint="eastAsia" w:ascii="仿宋" w:hAnsi="仿宋" w:eastAsia="仿宋" w:cs="仿宋"/>
                <w:sz w:val="24"/>
                <w:szCs w:val="24"/>
                <w:lang w:val="en-US" w:eastAsia="zh-CN" w:bidi="ar"/>
              </w:rPr>
              <w:t>高5000</w:t>
            </w:r>
            <w:r>
              <w:rPr>
                <w:rFonts w:hint="eastAsia" w:ascii="仿宋" w:hAnsi="仿宋" w:eastAsia="仿宋" w:cs="仿宋"/>
                <w:i w:val="0"/>
                <w:iCs w:val="0"/>
                <w:color w:val="000000"/>
                <w:kern w:val="0"/>
                <w:sz w:val="24"/>
                <w:szCs w:val="24"/>
                <w:u w:val="none"/>
                <w:lang w:val="en-US" w:eastAsia="zh-CN" w:bidi="ar"/>
              </w:rPr>
              <w:t>；框架：长80*宽80*厚3（长4500*宽2400）横杆法兰：长600*宽280*厚20； 底法兰：长700*宽700*厚20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3、预埋件12-M30*1500 面板:长700*宽700*厚6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4、基础长1800*宽1800*深2200；C25砼；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全域旅游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景点部分标识</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精神堡垒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（平利东）</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1、长16800*高7000*宽1750；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2、长80*宽80*厚5镀锌龙骨焊接；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3、厚1.5镀锌板激光切割；折弯焊接；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4、三遍底漆、三遍原子灰找平、打磨平整光滑、面饰汽车氟碳漆三遍、渐变色采用汽车氟碳漆手绘。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5、反光膜；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6、不锈钢背发光LED立体字；假山造型暗藏防水LED灯条；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7、基础长17000*宽2000*深1500；16#圆钢50双向；C25砼；底座采用青石板装饰（尺寸根据现场实际情况待定）；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精神堡垒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（平利西）</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1、长15000*高7000*宽1750；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2、长80*宽80*厚5镀锌龙骨焊接、长100*宽50*厚5铝型材；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3、厚1.5镀锌板激光切割；折弯焊接；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4、三遍底漆、三遍原子灰找平、打磨平整光滑、面饰汽车氟碳漆三遍、渐变色采用汽车氟碳漆手绘。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5、不锈钢背发光LED立体字；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6、基础长15400*宽2000*深1500；16#圆钢50双向；C25砼；底座采用青石板装饰（尺寸根据现场实际情况待定）。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全域全景图标识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w:t>
            </w:r>
          </w:p>
        </w:tc>
        <w:tc>
          <w:tcPr>
            <w:tcW w:w="9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1、长5000*高3000*厚250；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2、长80*宽80*厚5镀锌龙骨焊接；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3、厚1.5不锈钢板激光切割；折弯焊接；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4、三遍底漆、三遍原子灰找平、打磨平整光滑、面饰汽车氟碳漆三遍；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5、画面UV打印、不锈钢立体字；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6、基础长6400*宽1000*深1000；C25砼；底座采用清石板装饰（尺寸根据现场实际情况待定）。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8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安装与运输</w:t>
            </w:r>
          </w:p>
        </w:tc>
      </w:tr>
    </w:tbl>
    <w:p>
      <w:pPr>
        <w:rPr>
          <w:rFonts w:hint="eastAsia" w:eastAsia="宋体"/>
          <w:lang w:eastAsia="zh-CN"/>
        </w:rPr>
      </w:pPr>
    </w:p>
    <w:p>
      <w:pPr>
        <w:rPr>
          <w:rFonts w:hint="eastAsia"/>
        </w:rPr>
      </w:pPr>
    </w:p>
    <w:p>
      <w:pPr>
        <w:pStyle w:val="2"/>
        <w:rPr>
          <w:rFonts w:hint="eastAsia" w:ascii="仿宋" w:hAnsi="仿宋" w:eastAsia="仿宋" w:cs="仿宋"/>
          <w:sz w:val="24"/>
          <w:szCs w:val="24"/>
        </w:rPr>
        <w:sectPr>
          <w:pgSz w:w="16838" w:h="11905" w:orient="landscape"/>
          <w:pgMar w:top="1247" w:right="1474" w:bottom="1247" w:left="1474" w:header="567" w:footer="964" w:gutter="0"/>
          <w:pgNumType w:fmt="decimal"/>
          <w:cols w:space="0" w:num="1"/>
          <w:rtlGutter w:val="0"/>
          <w:docGrid w:linePitch="0"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仿宋"/>
          <w:color w:val="auto"/>
          <w:sz w:val="24"/>
          <w:szCs w:val="24"/>
        </w:rPr>
      </w:pPr>
      <w:bookmarkStart w:id="137" w:name="_Toc1805"/>
      <w:bookmarkStart w:id="138" w:name="_Toc18109"/>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eastAsia="zh-CN"/>
        </w:rPr>
        <w:t>五章</w:t>
      </w:r>
      <w:r>
        <w:rPr>
          <w:rFonts w:hint="eastAsia" w:ascii="仿宋" w:hAnsi="仿宋" w:eastAsia="仿宋" w:cs="仿宋"/>
          <w:b/>
          <w:bCs/>
          <w:color w:val="auto"/>
          <w:sz w:val="32"/>
          <w:szCs w:val="32"/>
          <w:highlight w:val="none"/>
        </w:rPr>
        <w:t xml:space="preserve">  商务要求</w:t>
      </w:r>
      <w:bookmarkEnd w:id="137"/>
      <w:bookmarkEnd w:id="138"/>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交货安装期</w:t>
      </w:r>
      <w:r>
        <w:rPr>
          <w:rFonts w:hint="eastAsia" w:ascii="仿宋" w:hAnsi="仿宋" w:eastAsia="仿宋" w:cs="仿宋"/>
          <w:color w:val="auto"/>
          <w:sz w:val="24"/>
          <w:szCs w:val="24"/>
        </w:rPr>
        <w:t>：自合同签订之日起</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日历天。</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交货安装</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采购人指定地点。</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、质保期：</w:t>
      </w:r>
      <w:r>
        <w:rPr>
          <w:rFonts w:hint="eastAsia" w:ascii="仿宋" w:hAnsi="仿宋" w:eastAsia="仿宋" w:cs="仿宋"/>
          <w:color w:val="auto"/>
          <w:sz w:val="24"/>
          <w:szCs w:val="24"/>
          <w:lang w:val="en-US" w:eastAsia="zh-CN"/>
        </w:rPr>
        <w:t>1年。</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四、质量要求：合格（符合国家、省、市及相关部门的质量标准要求）。</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、付款方式：</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合同签订后，</w:t>
      </w:r>
      <w:r>
        <w:rPr>
          <w:rFonts w:hint="eastAsia" w:ascii="仿宋" w:hAnsi="仿宋" w:eastAsia="仿宋" w:cs="仿宋"/>
          <w:color w:val="auto"/>
          <w:sz w:val="24"/>
          <w:szCs w:val="24"/>
          <w:lang w:eastAsia="zh-CN"/>
        </w:rPr>
        <w:t>投标供应商</w:t>
      </w:r>
      <w:r>
        <w:rPr>
          <w:rFonts w:hint="eastAsia" w:ascii="仿宋" w:hAnsi="仿宋" w:eastAsia="仿宋" w:cs="仿宋"/>
          <w:color w:val="auto"/>
          <w:sz w:val="24"/>
          <w:szCs w:val="24"/>
        </w:rPr>
        <w:t>在5日内为采购人提供实施方案，双方确认后，预付合同总价款的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工程竣工验收合格后</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个工作日内，支付</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rPr>
        <w:t>合同总价款的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5%；</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eastAsia="仿宋"/>
          <w:color w:val="auto"/>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工程竣工验收合格</w:t>
      </w:r>
      <w:r>
        <w:rPr>
          <w:rFonts w:hint="eastAsia" w:ascii="仿宋" w:hAnsi="仿宋" w:eastAsia="仿宋" w:cs="仿宋"/>
          <w:color w:val="auto"/>
          <w:sz w:val="24"/>
          <w:szCs w:val="24"/>
          <w:lang w:val="en-US" w:eastAsia="zh-CN"/>
        </w:rPr>
        <w:t>满一年后</w:t>
      </w:r>
      <w:r>
        <w:rPr>
          <w:rFonts w:hint="eastAsia" w:ascii="仿宋" w:hAnsi="仿宋" w:eastAsia="仿宋" w:cs="仿宋"/>
          <w:color w:val="auto"/>
          <w:sz w:val="24"/>
          <w:szCs w:val="24"/>
        </w:rPr>
        <w:t>，支付</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rPr>
        <w:t>合同总价款的5%</w:t>
      </w:r>
      <w:r>
        <w:rPr>
          <w:rFonts w:hint="eastAsia" w:ascii="仿宋" w:hAnsi="仿宋" w:eastAsia="仿宋" w:cs="仿宋"/>
          <w:color w:val="auto"/>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、包装和储运</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（1）包装：应采取防潮、防晒、防腐蚀、防震动及防止其它损坏的必要措施。</w:t>
      </w:r>
      <w:r>
        <w:rPr>
          <w:rFonts w:hint="eastAsia" w:ascii="仿宋" w:hAnsi="仿宋" w:eastAsia="仿宋" w:cs="仿宋"/>
          <w:sz w:val="24"/>
          <w:szCs w:val="24"/>
          <w:lang w:eastAsia="zh-CN"/>
        </w:rPr>
        <w:t>投标供应商</w:t>
      </w:r>
      <w:r>
        <w:rPr>
          <w:rFonts w:hint="eastAsia" w:ascii="仿宋" w:hAnsi="仿宋" w:eastAsia="仿宋" w:cs="仿宋"/>
          <w:sz w:val="24"/>
          <w:szCs w:val="24"/>
        </w:rPr>
        <w:t>应承担由于其包装或防护措施不妥而引起的材料锈蚀、损坏和丢失等任何损失造成的责任或费用。</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（2）运输由</w:t>
      </w:r>
      <w:r>
        <w:rPr>
          <w:rFonts w:hint="eastAsia" w:ascii="仿宋" w:hAnsi="仿宋" w:eastAsia="仿宋" w:cs="仿宋"/>
          <w:sz w:val="24"/>
          <w:szCs w:val="24"/>
          <w:lang w:eastAsia="zh-CN"/>
        </w:rPr>
        <w:t>投标供应商</w:t>
      </w:r>
      <w:r>
        <w:rPr>
          <w:rFonts w:hint="eastAsia" w:ascii="仿宋" w:hAnsi="仿宋" w:eastAsia="仿宋" w:cs="仿宋"/>
          <w:sz w:val="24"/>
          <w:szCs w:val="24"/>
        </w:rPr>
        <w:t>负责，运杂费已包含在合同总价内，选择运输风险小、运费低、距离短的运输路线，运杂费一次包死在总价内，包括人工费、材料费、运输费、安装费、缺陷修复费、利润、全部风险费及规费、税金等政策性文件规定的所有费用。</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（3）运输方式由</w:t>
      </w:r>
      <w:r>
        <w:rPr>
          <w:rFonts w:hint="eastAsia" w:ascii="仿宋" w:hAnsi="仿宋" w:eastAsia="仿宋" w:cs="仿宋"/>
          <w:sz w:val="24"/>
          <w:szCs w:val="24"/>
          <w:lang w:eastAsia="zh-CN"/>
        </w:rPr>
        <w:t>投标供应商</w:t>
      </w:r>
      <w:r>
        <w:rPr>
          <w:rFonts w:hint="eastAsia" w:ascii="仿宋" w:hAnsi="仿宋" w:eastAsia="仿宋" w:cs="仿宋"/>
          <w:sz w:val="24"/>
          <w:szCs w:val="24"/>
        </w:rPr>
        <w:t>自行选择，但必须保证按期交付，因运输产生的风险及质量问题由</w:t>
      </w:r>
      <w:r>
        <w:rPr>
          <w:rFonts w:hint="eastAsia" w:ascii="仿宋" w:hAnsi="仿宋" w:eastAsia="仿宋" w:cs="仿宋"/>
          <w:sz w:val="24"/>
          <w:szCs w:val="24"/>
          <w:lang w:eastAsia="zh-CN"/>
        </w:rPr>
        <w:t>投标供应商</w:t>
      </w:r>
      <w:r>
        <w:rPr>
          <w:rFonts w:hint="eastAsia" w:ascii="仿宋" w:hAnsi="仿宋" w:eastAsia="仿宋" w:cs="仿宋"/>
          <w:sz w:val="24"/>
          <w:szCs w:val="24"/>
        </w:rPr>
        <w:t>承担。</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eastAsia="zh-CN"/>
        </w:rPr>
        <w:t>货物</w:t>
      </w:r>
      <w:r>
        <w:rPr>
          <w:rFonts w:hint="eastAsia" w:ascii="仿宋" w:hAnsi="仿宋" w:eastAsia="仿宋" w:cs="仿宋"/>
          <w:sz w:val="24"/>
          <w:szCs w:val="24"/>
        </w:rPr>
        <w:t>及其备附件到达采购人指定地点后，</w:t>
      </w:r>
      <w:r>
        <w:rPr>
          <w:rFonts w:hint="eastAsia" w:ascii="仿宋" w:hAnsi="仿宋" w:eastAsia="仿宋" w:cs="仿宋"/>
          <w:sz w:val="24"/>
          <w:szCs w:val="24"/>
          <w:lang w:eastAsia="zh-CN"/>
        </w:rPr>
        <w:t>投标供应商</w:t>
      </w:r>
      <w:r>
        <w:rPr>
          <w:rFonts w:hint="eastAsia" w:ascii="仿宋" w:hAnsi="仿宋" w:eastAsia="仿宋" w:cs="仿宋"/>
          <w:sz w:val="24"/>
          <w:szCs w:val="24"/>
        </w:rPr>
        <w:t>应按有关技术规程和采购人要求进行安装</w:t>
      </w:r>
      <w:r>
        <w:rPr>
          <w:rFonts w:hint="eastAsia" w:ascii="仿宋" w:hAnsi="仿宋" w:eastAsia="仿宋" w:cs="仿宋"/>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七</w:t>
      </w:r>
      <w:r>
        <w:rPr>
          <w:rFonts w:hint="eastAsia" w:ascii="仿宋" w:hAnsi="仿宋" w:eastAsia="仿宋" w:cs="仿宋"/>
          <w:sz w:val="24"/>
          <w:szCs w:val="24"/>
          <w:lang w:eastAsia="zh-CN"/>
        </w:rPr>
        <w:t>、安装和验收</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（1）制作安装：制作、安装的工艺、材料及施工现场管理以投标文件为准。</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现场验收：安装使用后，采购人根据要求，在投标供应商和采购人同时在场的情况下，进行现场验收。投标供应商提前通知采购人验收，采购人应自接到通知三日内组织验收。如采购人在规定时间内不能组织验收须及时通知投标供应商，另定验收日期。如发现假冒伪劣、以次充好的产品，投标供应商应在3日内全部更换，承担更换费用，并按照更换货物货款的5%向采购人支付违约金。</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安装调试：采购人提出设计修改意见及增减工程项目时须提前与投标供应商联系，双方同意后，方能进行该项目的施工，以免影响竣工日期。投标供应商应配合采购人的工期要求，在施工过程中，负责所有成品工艺的安装、调试，直至验收合格。</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（4）最终验收：安装运行后，由采购人签字确认签收单，作为验收合格依据。</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（5）投标供应商应向采购人提交项目实施过程中的所有资料，以便采购人日后管理和维护。</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八</w:t>
      </w:r>
      <w:r>
        <w:rPr>
          <w:rFonts w:hint="eastAsia" w:ascii="仿宋" w:hAnsi="仿宋" w:eastAsia="仿宋" w:cs="仿宋"/>
          <w:sz w:val="24"/>
          <w:szCs w:val="24"/>
          <w:lang w:eastAsia="zh-CN"/>
        </w:rPr>
        <w:t>、售后服务</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质保期一年，质保期内，对于非人为原因引起的质量瑕疵或损坏，投标供应商服务响应时间不超过</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小时，解决问题时间不超过24小时，维修产生的费用由投标供应商承担。</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货物材质、规格及其他等与采购人要求不符，采购人有权拒收，投标供应商应进行修改或更换，直至达到采购人要求。</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九</w:t>
      </w:r>
      <w:r>
        <w:rPr>
          <w:rFonts w:hint="eastAsia" w:ascii="仿宋" w:hAnsi="仿宋" w:eastAsia="仿宋" w:cs="仿宋"/>
          <w:sz w:val="24"/>
          <w:szCs w:val="24"/>
          <w:lang w:eastAsia="zh-CN"/>
        </w:rPr>
        <w:t>、验收标准：</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成交的投标供应商与采购人应严格按照《中华人民共和国政府采购法》、《中华人民共和国政府采购法实施条例》等法律法规、标准以及合同、招标文件、投标响应文件等相关文件要求进行验收。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4"/>
          <w:szCs w:val="24"/>
          <w:lang w:eastAsia="zh-CN"/>
        </w:rPr>
      </w:pPr>
      <w:bookmarkStart w:id="139" w:name="_Toc22992"/>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p>
    <w:p>
      <w:pPr>
        <w:widowControl/>
        <w:numPr>
          <w:ilvl w:val="0"/>
          <w:numId w:val="0"/>
        </w:numPr>
        <w:spacing w:before="197" w:beforeLines="50" w:line="400" w:lineRule="exact"/>
        <w:jc w:val="center"/>
        <w:outlineLvl w:val="0"/>
        <w:rPr>
          <w:rFonts w:ascii="仿宋" w:hAnsi="仿宋" w:eastAsia="仿宋" w:cs="仿宋"/>
          <w:b/>
          <w:color w:val="auto"/>
          <w:sz w:val="32"/>
          <w:szCs w:val="32"/>
          <w:highlight w:val="none"/>
        </w:rPr>
      </w:pPr>
      <w:bookmarkStart w:id="140" w:name="_Toc14494"/>
      <w:bookmarkStart w:id="141" w:name="_Toc7139"/>
      <w:r>
        <w:rPr>
          <w:rFonts w:hint="eastAsia" w:ascii="仿宋" w:hAnsi="仿宋" w:eastAsia="仿宋" w:cs="仿宋"/>
          <w:b/>
          <w:color w:val="auto"/>
          <w:sz w:val="32"/>
          <w:szCs w:val="32"/>
          <w:highlight w:val="none"/>
          <w:lang w:eastAsia="zh-CN"/>
        </w:rPr>
        <w:t>第六章</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合同主要条款</w:t>
      </w:r>
      <w:bookmarkEnd w:id="139"/>
      <w:bookmarkEnd w:id="140"/>
      <w:bookmarkEnd w:id="141"/>
    </w:p>
    <w:p>
      <w:pPr>
        <w:pStyle w:val="19"/>
        <w:rPr>
          <w:rFonts w:ascii="仿宋" w:hAnsi="仿宋" w:eastAsia="仿宋" w:cs="仿宋"/>
          <w:color w:val="auto"/>
          <w:highlight w:val="none"/>
        </w:rPr>
      </w:pPr>
    </w:p>
    <w:p>
      <w:pPr>
        <w:pStyle w:val="14"/>
        <w:overflowPunct w:val="0"/>
        <w:topLinePunct/>
        <w:spacing w:line="440" w:lineRule="exact"/>
        <w:rPr>
          <w:rFonts w:ascii="仿宋" w:hAnsi="仿宋" w:eastAsia="仿宋" w:cs="仿宋"/>
          <w:color w:val="auto"/>
          <w:sz w:val="30"/>
          <w:szCs w:val="30"/>
          <w:highlight w:val="none"/>
        </w:rPr>
      </w:pPr>
    </w:p>
    <w:p>
      <w:pPr>
        <w:pStyle w:val="14"/>
        <w:overflowPunct w:val="0"/>
        <w:topLinePunct/>
        <w:spacing w:line="440" w:lineRule="exact"/>
        <w:rPr>
          <w:rStyle w:val="104"/>
          <w:rFonts w:hint="default"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rPr>
        <w:t>合同编号：</w:t>
      </w:r>
      <w:r>
        <w:rPr>
          <w:rFonts w:hint="eastAsia" w:ascii="仿宋" w:hAnsi="仿宋" w:eastAsia="仿宋" w:cs="仿宋"/>
          <w:b/>
          <w:bCs/>
          <w:color w:val="auto"/>
          <w:sz w:val="30"/>
          <w:szCs w:val="30"/>
          <w:highlight w:val="none"/>
          <w:u w:val="single"/>
          <w:lang w:val="en-US" w:eastAsia="zh-CN"/>
        </w:rPr>
        <w:t xml:space="preserve">                </w:t>
      </w:r>
    </w:p>
    <w:p>
      <w:pPr>
        <w:pStyle w:val="14"/>
        <w:overflowPunct w:val="0"/>
        <w:topLinePunct/>
        <w:spacing w:line="440" w:lineRule="exact"/>
        <w:ind w:firstLine="560" w:firstLineChars="200"/>
        <w:rPr>
          <w:rStyle w:val="104"/>
          <w:rFonts w:ascii="仿宋" w:hAnsi="仿宋" w:eastAsia="仿宋" w:cs="仿宋"/>
          <w:color w:val="auto"/>
          <w:highlight w:val="none"/>
        </w:rPr>
      </w:pPr>
    </w:p>
    <w:p>
      <w:pPr>
        <w:pStyle w:val="14"/>
        <w:overflowPunct w:val="0"/>
        <w:topLinePunct/>
        <w:spacing w:line="440" w:lineRule="exact"/>
        <w:ind w:firstLine="560" w:firstLineChars="200"/>
        <w:rPr>
          <w:rFonts w:ascii="仿宋" w:hAnsi="仿宋" w:eastAsia="仿宋" w:cs="仿宋"/>
          <w:color w:val="auto"/>
          <w:sz w:val="28"/>
          <w:szCs w:val="28"/>
          <w:highlight w:val="none"/>
        </w:rPr>
      </w:pPr>
    </w:p>
    <w:p>
      <w:pPr>
        <w:pStyle w:val="14"/>
        <w:overflowPunct w:val="0"/>
        <w:topLinePunct/>
        <w:spacing w:line="440" w:lineRule="exact"/>
        <w:ind w:firstLine="560" w:firstLineChars="200"/>
        <w:rPr>
          <w:rFonts w:ascii="仿宋" w:hAnsi="仿宋" w:eastAsia="仿宋" w:cs="仿宋"/>
          <w:color w:val="auto"/>
          <w:sz w:val="28"/>
          <w:szCs w:val="28"/>
          <w:highlight w:val="none"/>
        </w:rPr>
      </w:pPr>
    </w:p>
    <w:p>
      <w:pPr>
        <w:pStyle w:val="14"/>
        <w:overflowPunct w:val="0"/>
        <w:topLinePunct/>
        <w:spacing w:line="440" w:lineRule="exact"/>
        <w:ind w:firstLine="560" w:firstLineChars="200"/>
        <w:rPr>
          <w:rFonts w:ascii="仿宋" w:hAnsi="仿宋" w:eastAsia="仿宋" w:cs="仿宋"/>
          <w:color w:val="auto"/>
          <w:sz w:val="28"/>
          <w:szCs w:val="28"/>
          <w:highlight w:val="none"/>
        </w:rPr>
      </w:pPr>
    </w:p>
    <w:p>
      <w:pPr>
        <w:pStyle w:val="14"/>
        <w:overflowPunct w:val="0"/>
        <w:topLinePunct/>
        <w:spacing w:line="440" w:lineRule="exact"/>
        <w:ind w:firstLine="560" w:firstLineChars="200"/>
        <w:rPr>
          <w:rFonts w:ascii="仿宋" w:hAnsi="仿宋" w:eastAsia="仿宋" w:cs="仿宋"/>
          <w:color w:val="auto"/>
          <w:sz w:val="28"/>
          <w:szCs w:val="28"/>
          <w:highlight w:val="none"/>
        </w:rPr>
      </w:pPr>
    </w:p>
    <w:p>
      <w:pPr>
        <w:pStyle w:val="14"/>
        <w:overflowPunct w:val="0"/>
        <w:topLinePunct/>
        <w:spacing w:line="700" w:lineRule="exact"/>
        <w:jc w:val="center"/>
        <w:rPr>
          <w:rFonts w:ascii="仿宋" w:hAnsi="仿宋" w:eastAsia="仿宋" w:cs="仿宋"/>
          <w:color w:val="auto"/>
          <w:sz w:val="28"/>
          <w:szCs w:val="28"/>
          <w:highlight w:val="none"/>
          <w:u w:val="single"/>
        </w:rPr>
      </w:pPr>
      <w:r>
        <w:rPr>
          <w:rFonts w:hint="eastAsia" w:ascii="仿宋" w:hAnsi="仿宋" w:eastAsia="仿宋" w:cs="仿宋"/>
          <w:b/>
          <w:color w:val="auto"/>
          <w:sz w:val="44"/>
          <w:szCs w:val="44"/>
          <w:highlight w:val="none"/>
          <w:lang w:val="en-US" w:eastAsia="zh-CN"/>
        </w:rPr>
        <w:t>平利县全域旅游标识体系建设项目</w:t>
      </w:r>
    </w:p>
    <w:p>
      <w:pPr>
        <w:pStyle w:val="14"/>
        <w:overflowPunct w:val="0"/>
        <w:topLinePunct/>
        <w:spacing w:line="440" w:lineRule="exact"/>
        <w:jc w:val="center"/>
        <w:rPr>
          <w:rFonts w:ascii="仿宋" w:hAnsi="仿宋" w:eastAsia="仿宋" w:cs="仿宋"/>
          <w:color w:val="auto"/>
          <w:sz w:val="28"/>
          <w:szCs w:val="28"/>
          <w:highlight w:val="none"/>
          <w:u w:val="single"/>
        </w:rPr>
      </w:pPr>
    </w:p>
    <w:p>
      <w:pPr>
        <w:overflowPunct w:val="0"/>
        <w:topLinePunct/>
        <w:snapToGrid w:val="0"/>
        <w:spacing w:line="600" w:lineRule="auto"/>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合 同 书</w:t>
      </w:r>
    </w:p>
    <w:p>
      <w:pPr>
        <w:overflowPunct w:val="0"/>
        <w:topLinePunct/>
        <w:snapToGrid w:val="0"/>
        <w:spacing w:line="440" w:lineRule="exact"/>
        <w:ind w:firstLine="562" w:firstLineChars="200"/>
        <w:jc w:val="center"/>
        <w:rPr>
          <w:rFonts w:hint="eastAsia" w:ascii="仿宋" w:hAnsi="仿宋" w:eastAsia="仿宋" w:cs="仿宋"/>
          <w:b/>
          <w:bCs/>
          <w:color w:val="auto"/>
          <w:sz w:val="28"/>
          <w:szCs w:val="36"/>
          <w:highlight w:val="none"/>
          <w:lang w:eastAsia="zh-CN"/>
        </w:rPr>
      </w:pPr>
      <w:r>
        <w:rPr>
          <w:rFonts w:hint="eastAsia" w:ascii="仿宋" w:hAnsi="仿宋" w:eastAsia="仿宋" w:cs="仿宋"/>
          <w:b/>
          <w:bCs/>
          <w:color w:val="auto"/>
          <w:sz w:val="28"/>
          <w:szCs w:val="36"/>
          <w:highlight w:val="none"/>
          <w:lang w:eastAsia="zh-CN"/>
        </w:rPr>
        <w:t>（仅供参考，以最终签订的合同为准）</w:t>
      </w:r>
    </w:p>
    <w:p>
      <w:pPr>
        <w:overflowPunct w:val="0"/>
        <w:topLinePunct/>
        <w:snapToGrid w:val="0"/>
        <w:spacing w:line="440" w:lineRule="exact"/>
        <w:ind w:firstLine="420" w:firstLineChars="200"/>
        <w:rPr>
          <w:rFonts w:ascii="仿宋" w:hAnsi="仿宋" w:eastAsia="仿宋" w:cs="仿宋"/>
          <w:color w:val="auto"/>
          <w:highlight w:val="none"/>
        </w:rPr>
      </w:pPr>
    </w:p>
    <w:p>
      <w:pPr>
        <w:rPr>
          <w:rFonts w:ascii="仿宋" w:hAnsi="仿宋" w:eastAsia="仿宋" w:cs="仿宋"/>
          <w:color w:val="auto"/>
          <w:highlight w:val="none"/>
        </w:rPr>
      </w:pPr>
    </w:p>
    <w:p>
      <w:pPr>
        <w:pStyle w:val="9"/>
        <w:ind w:firstLine="400"/>
        <w:rPr>
          <w:rFonts w:ascii="仿宋" w:hAnsi="仿宋" w:eastAsia="仿宋" w:cs="仿宋"/>
          <w:color w:val="auto"/>
          <w:highlight w:val="none"/>
        </w:rPr>
      </w:pPr>
    </w:p>
    <w:p>
      <w:pPr>
        <w:rPr>
          <w:rFonts w:ascii="仿宋" w:hAnsi="仿宋" w:eastAsia="仿宋" w:cs="仿宋"/>
          <w:color w:val="auto"/>
          <w:highlight w:val="none"/>
        </w:rPr>
      </w:pPr>
    </w:p>
    <w:p>
      <w:pPr>
        <w:overflowPunct w:val="0"/>
        <w:topLinePunct/>
        <w:snapToGrid w:val="0"/>
        <w:spacing w:line="440" w:lineRule="exact"/>
        <w:ind w:firstLine="420" w:firstLineChars="200"/>
        <w:rPr>
          <w:rFonts w:ascii="仿宋" w:hAnsi="仿宋" w:eastAsia="仿宋" w:cs="仿宋"/>
          <w:color w:val="auto"/>
          <w:highlight w:val="none"/>
        </w:rPr>
      </w:pPr>
    </w:p>
    <w:p>
      <w:pPr>
        <w:pStyle w:val="2"/>
        <w:rPr>
          <w:rFonts w:ascii="仿宋" w:hAnsi="仿宋" w:eastAsia="仿宋" w:cs="仿宋"/>
          <w:color w:val="auto"/>
          <w:highlight w:val="none"/>
        </w:rPr>
      </w:pPr>
    </w:p>
    <w:p>
      <w:pPr>
        <w:rPr>
          <w:rFonts w:ascii="仿宋" w:hAnsi="仿宋" w:eastAsia="仿宋" w:cs="仿宋"/>
          <w:color w:val="auto"/>
          <w:highlight w:val="none"/>
        </w:rPr>
      </w:pPr>
    </w:p>
    <w:p>
      <w:pPr>
        <w:pStyle w:val="2"/>
        <w:rPr>
          <w:rFonts w:ascii="仿宋" w:hAnsi="仿宋" w:eastAsia="仿宋" w:cs="仿宋"/>
          <w:color w:val="auto"/>
          <w:highlight w:val="none"/>
        </w:rPr>
      </w:pPr>
    </w:p>
    <w:p/>
    <w:p>
      <w:pPr>
        <w:overflowPunct w:val="0"/>
        <w:topLinePunct/>
        <w:snapToGrid w:val="0"/>
        <w:spacing w:line="440" w:lineRule="exact"/>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采 购 人：</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color w:val="auto"/>
          <w:sz w:val="30"/>
          <w:szCs w:val="30"/>
          <w:highlight w:val="none"/>
        </w:rPr>
        <w:t>（以下简称甲方）</w:t>
      </w:r>
    </w:p>
    <w:p>
      <w:pPr>
        <w:overflowPunct w:val="0"/>
        <w:topLinePunct/>
        <w:snapToGrid w:val="0"/>
        <w:spacing w:line="440" w:lineRule="exact"/>
        <w:jc w:val="both"/>
        <w:rPr>
          <w:rFonts w:ascii="仿宋" w:hAnsi="仿宋" w:eastAsia="仿宋" w:cs="仿宋"/>
          <w:color w:val="auto"/>
          <w:sz w:val="30"/>
          <w:szCs w:val="30"/>
          <w:highlight w:val="none"/>
          <w:u w:val="single"/>
        </w:rPr>
      </w:pPr>
    </w:p>
    <w:p>
      <w:pPr>
        <w:pStyle w:val="14"/>
        <w:overflowPunct w:val="0"/>
        <w:topLinePunct/>
        <w:spacing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 应 商：</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（以下简称乙方）</w:t>
      </w:r>
    </w:p>
    <w:p>
      <w:pPr>
        <w:pStyle w:val="14"/>
        <w:overflowPunct w:val="0"/>
        <w:topLinePunct/>
        <w:spacing w:line="440" w:lineRule="exact"/>
        <w:ind w:firstLine="1500" w:firstLineChars="500"/>
        <w:jc w:val="both"/>
        <w:rPr>
          <w:rFonts w:hint="eastAsia" w:ascii="仿宋" w:hAnsi="仿宋" w:eastAsia="仿宋" w:cs="仿宋"/>
          <w:color w:val="auto"/>
          <w:sz w:val="30"/>
          <w:szCs w:val="30"/>
          <w:highlight w:val="none"/>
        </w:rPr>
      </w:pPr>
    </w:p>
    <w:p>
      <w:pPr>
        <w:pStyle w:val="14"/>
        <w:overflowPunct w:val="0"/>
        <w:topLinePunct/>
        <w:spacing w:line="440" w:lineRule="exact"/>
        <w:ind w:firstLine="1200" w:firstLineChars="400"/>
        <w:jc w:val="both"/>
        <w:rPr>
          <w:rFonts w:hint="eastAsia" w:ascii="仿宋" w:hAnsi="仿宋" w:eastAsia="仿宋" w:cs="仿宋"/>
          <w:color w:val="auto"/>
          <w:sz w:val="32"/>
          <w:szCs w:val="32"/>
          <w:highlight w:val="none"/>
        </w:rPr>
      </w:pPr>
      <w:r>
        <w:rPr>
          <w:rFonts w:hint="eastAsia" w:ascii="仿宋" w:hAnsi="仿宋" w:eastAsia="仿宋" w:cs="仿宋"/>
          <w:color w:val="auto"/>
          <w:sz w:val="30"/>
          <w:szCs w:val="30"/>
          <w:highlight w:val="none"/>
        </w:rPr>
        <w:t xml:space="preserve">日    期： </w:t>
      </w:r>
      <w:r>
        <w:rPr>
          <w:rFonts w:hint="eastAsia" w:ascii="仿宋" w:hAnsi="仿宋" w:eastAsia="仿宋" w:cs="仿宋"/>
          <w:color w:val="auto"/>
          <w:sz w:val="32"/>
          <w:szCs w:val="32"/>
          <w:highlight w:val="none"/>
        </w:rPr>
        <w:t>二〇二二年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p>
    <w:p>
      <w:pPr>
        <w:pStyle w:val="14"/>
        <w:overflowPunct w:val="0"/>
        <w:topLinePunct/>
        <w:spacing w:line="440" w:lineRule="exact"/>
        <w:jc w:val="center"/>
        <w:rPr>
          <w:rFonts w:hint="eastAsia" w:ascii="仿宋" w:hAnsi="仿宋" w:eastAsia="仿宋" w:cs="仿宋"/>
          <w:color w:val="auto"/>
          <w:sz w:val="32"/>
          <w:szCs w:val="32"/>
          <w:highlight w:val="none"/>
        </w:rPr>
      </w:pPr>
    </w:p>
    <w:p>
      <w:pPr>
        <w:pStyle w:val="9"/>
        <w:ind w:firstLine="400"/>
        <w:rPr>
          <w:rFonts w:ascii="仿宋" w:hAnsi="仿宋" w:eastAsia="仿宋" w:cs="仿宋"/>
          <w:color w:val="auto"/>
          <w:highlight w:val="none"/>
        </w:rPr>
      </w:pPr>
    </w:p>
    <w:p>
      <w:pPr>
        <w:spacing w:before="136" w:line="244" w:lineRule="auto"/>
        <w:ind w:right="1021"/>
        <w:rPr>
          <w:rFonts w:ascii="宋体" w:hAnsi="宋体" w:eastAsia="宋体" w:cs="宋体"/>
          <w:spacing w:val="-12"/>
          <w:sz w:val="28"/>
          <w:szCs w:val="28"/>
        </w:rPr>
      </w:pPr>
    </w:p>
    <w:p>
      <w:pPr>
        <w:pStyle w:val="2"/>
        <w:rPr>
          <w:rFonts w:ascii="宋体" w:hAnsi="宋体" w:eastAsia="宋体" w:cs="宋体"/>
          <w:spacing w:val="-12"/>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发包人：</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承包人：</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根据《中华人民共和国民法典》及其他有关法律、法规之规定，遵循平等、自愿、公平和诚实信用原则，经双方协商一致，签订本合同，双方共同遵照执行。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第一条、项目概况</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1、项目名称：</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2、项目地址：</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3、开工时间：</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4、竣工时间：</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5、项目总工期：</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第二条 承包范围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1、承包方式：包工包料。</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2、承包范围：本工程项目制作安装的具体品目名称、规格、材料要求、单价、数量等见合同附件及报价明细表。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3、设计方案：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第三条 质量标准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质量标准：合格（符合国家、省、市及相关部门的质量标准要求）。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第四条 项目价款及支付方式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1、本项目总价款为￥(大写:)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2、本项目总承包价共分次支付：</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合同签订后，</w:t>
      </w:r>
      <w:r>
        <w:rPr>
          <w:rFonts w:hint="eastAsia" w:ascii="仿宋" w:hAnsi="仿宋" w:eastAsia="仿宋" w:cs="仿宋"/>
          <w:color w:val="auto"/>
          <w:sz w:val="24"/>
          <w:szCs w:val="24"/>
          <w:lang w:eastAsia="zh-CN"/>
        </w:rPr>
        <w:t>投标供应商</w:t>
      </w:r>
      <w:r>
        <w:rPr>
          <w:rFonts w:hint="eastAsia" w:ascii="仿宋" w:hAnsi="仿宋" w:eastAsia="仿宋" w:cs="仿宋"/>
          <w:color w:val="auto"/>
          <w:sz w:val="24"/>
          <w:szCs w:val="24"/>
        </w:rPr>
        <w:t>在5日内为采购人提供实施方案，双方确认后，预付合同总价款的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竣工验收合格后</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个工作日内，支付</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rPr>
        <w:t>合同总价款的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5%；</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仿宋" w:hAnsi="仿宋" w:eastAsia="仿宋" w:cs="仿宋"/>
          <w:color w:val="FF0000"/>
          <w:sz w:val="24"/>
          <w:highlight w:val="none"/>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竣工验收合格</w:t>
      </w:r>
      <w:r>
        <w:rPr>
          <w:rFonts w:hint="eastAsia" w:ascii="仿宋" w:hAnsi="仿宋" w:eastAsia="仿宋" w:cs="仿宋"/>
          <w:color w:val="auto"/>
          <w:sz w:val="24"/>
          <w:szCs w:val="24"/>
          <w:lang w:val="en-US" w:eastAsia="zh-CN"/>
        </w:rPr>
        <w:t>满一年后</w:t>
      </w:r>
      <w:r>
        <w:rPr>
          <w:rFonts w:hint="eastAsia" w:ascii="仿宋" w:hAnsi="仿宋" w:eastAsia="仿宋" w:cs="仿宋"/>
          <w:color w:val="auto"/>
          <w:sz w:val="24"/>
          <w:szCs w:val="24"/>
        </w:rPr>
        <w:t>，支付</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rPr>
        <w:t>合同总价款的5%</w:t>
      </w:r>
      <w:r>
        <w:rPr>
          <w:rFonts w:hint="eastAsia" w:ascii="仿宋" w:hAnsi="仿宋" w:eastAsia="仿宋" w:cs="仿宋"/>
          <w:color w:val="auto"/>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3、本项目施工中由于方案变更出现的报价明细以外的工程量，引起工程量项目和数量的增减，经双方现场签证后列入决算。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第五条  甲方的权利义务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1、甲方有权对乙方的制作方案提出修改意见，所有方案及内容须经甲方签字后方可制作，导视进场后经甲方验收确认后方可进行安装。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2、甲方于年月日前，将工程所需安装的数量、尺寸、工艺、文字信息内容等制作需要确认的事项向乙方提供确认文件。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3、甲方需协调处理施工场地建筑物、构筑物（包括文物保护建筑）的保护工作。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4、甲方应按照本合同约定的时间和金额向乙方支付本工程款项。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5、甲方指派作为甲方代表，负责与乙方沟通，甲方代表可全权代表甲方处理本项目实施过程中发生与本合同有关的一切问题。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第六条 乙方的权利义务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1、乙方须严格按照本合同约定的工期完成本项目所有工程。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2、乙方须严格按照甲方确认的材料及工艺进行制作安装，未经甲方同意，不得随意更换材料及工艺。</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3、乙方应对工程质量负责，在保修期内负责对工程主体问题免费维修。</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乙方在安装时，应当严格执行安全操作规程、防火安全规定及环境保护规定。安装过程中如因操作不当造成人身及财产损害，由乙方自行承担责任，若因此造成甲方承担责任的，乙方应承担由此给甲方造成的损失。</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5.乙方要按照有关规定做好施工场地建筑物、构筑物（含文物保护建筑）的保护工作，承当因施工管理不当造成对施工场地建筑物、构筑物（含文化保护建筑）损坏而发生的费用。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6、乙方应遵守施工现场管理的规定，文明施工。交工前清理完与本工程无关的任何多余物品及其他垃圾等，做到工完场清。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7、乙方指派作为乙方代表，负责与甲方沟通，乙方代表可全权代表乙方处理本项目实施过程中发生与本合同有关的一切问题。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第七条 安装与验收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1、乙方应按照本合同约定的开工时间、竣工时间组织各项工作。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2、双方约定，乙方将制作完成的导视运抵施工现场后，甲方代表应负责及时验收，及时填写验收单，并确保乙方顺利进场安装。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乙方完成本合同约定标识的制作、安装等全部工作，符合竣工验收条件后，乙方向甲方提出验收申请，甲方应于收到相关资料之日起3个工作日内组织有关人员按设计方案及有关标准、规范对工程进行验收，以保证甲方正常使用。工程验收合格后，双方签署验收合格证明；经验收不合格的，乙方应进行修改、返工，直至验收合格，由此产生的费用由乙方承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若甲方收到乙方的竣工验收资料后，如有特殊情况，无法在约定的期限内组织验收的，应以书面形式通知乙方，另定验收期限。如甲方既未在约定的期限内组织验收，亦未以书面形式通知乙方，则自验收期限届满之日，视为验收合格。</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第八条 质保期</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1.本项目质保期为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年；质量保修期自工程竣工验收合格之日起计算。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质保期间，乙方在接到甲方维修通知后，应在72小时内派人免费上门维修，并在甲方要求的时间内完成。如乙方未按合同约定履行保修义务，甲方有权委托他人维修，所需费用由乙方承担，甲方有权直接从质保金中予以扣除。质保期满后，经乙方提出书面申请经甲方审核无质量及其他问题的情况下，由甲方一次性将剩余质保金返还给乙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第九条 违约责任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1、甲方应按本合同约定时间及金额向乙方支付工程款，如逾期付款，每逾期一天，按照本项目工程承包款总额的1‰向乙方支付违约金；逾期超过30天，乙方有权终止合同，甲方须赔偿乙方的所有损失。</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乙方应按本合同约定时间竣工交付（除甲方责任及不可抗力因素外），如延迟完工，每延迟一天，乙方应按照本项目工程承包款总额的1‰向甲方支付违约金；逾期超过30天，甲方有权终止合同，乙方须赔偿甲方的所有损失。</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3、因甲方不能向乙方提供本项目所需的文字内容、设计方案、材料、工艺等确认文件而导致乙方制作上的困难和制作周期的延长，乙方可根据甲方提供的确认文件的时间将工期向后相应顺延。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因乙方完成的导视牌在规格、材质、质量等方面不符合要求，乙方应在甲方要求进行整改，工期予顺延，逾期整改、拒不整改，甲方有权解除合同，不再支付任何费用。因导视牌质量问题产生的一切人身、财产损失和法律责任由乙方自行承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第十条 争议处理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本合同执行期间若发生争议，双方应友好协商解决，协商不成的，双方均可向采购人所在地人民法院诉讼解决。</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第十一条 不可抗力</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1、由于不可抗力事件的影响下（如战争、水灾、地震等自然灾害）而导致本合同不能继续履行的，履行合同的期限应予以延长，其延长的期限应相当于事件所影响的时间。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乙方应在不可抗力事件发生后48小时内以电话、传真、邮件等方式通知对方，并于事件发生后7日内向甲方提供不可抗力的有关证明文件，不可抗力事件的影响持续120天以上，双方应友好协商达成进一步履行合同的协议或者协商解除合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第十二条 其他约定事项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1、本合同签订后，任何一方不得单方面修改或者解除本合同，否则对方可以要求继续履行合同，因一方违约给对方造成经济损失的，违约方应负责赔偿。</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2、本合同及其附件、补充协议、变更单、确认函等均为本合同的组成部分，与本合同具有同等法律效力。</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第十三条 合同生效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1、本合同一式伍份，甲方执</w:t>
      </w:r>
      <w:r>
        <w:rPr>
          <w:rFonts w:hint="eastAsia" w:ascii="仿宋" w:hAnsi="仿宋" w:eastAsia="仿宋" w:cs="仿宋"/>
          <w:color w:val="auto"/>
          <w:sz w:val="24"/>
          <w:highlight w:val="none"/>
          <w:u w:val="single"/>
          <w:lang w:val="en-US" w:eastAsia="zh-CN"/>
        </w:rPr>
        <w:t xml:space="preserve"> 叁 </w:t>
      </w:r>
      <w:r>
        <w:rPr>
          <w:rFonts w:hint="eastAsia" w:ascii="仿宋" w:hAnsi="仿宋" w:eastAsia="仿宋" w:cs="仿宋"/>
          <w:color w:val="auto"/>
          <w:sz w:val="24"/>
          <w:highlight w:val="none"/>
          <w:lang w:val="en-US" w:eastAsia="zh-CN"/>
        </w:rPr>
        <w:t>份，乙方执</w:t>
      </w:r>
      <w:r>
        <w:rPr>
          <w:rFonts w:hint="eastAsia" w:ascii="仿宋" w:hAnsi="仿宋" w:eastAsia="仿宋" w:cs="仿宋"/>
          <w:color w:val="auto"/>
          <w:sz w:val="24"/>
          <w:highlight w:val="none"/>
          <w:u w:val="single"/>
          <w:lang w:val="en-US" w:eastAsia="zh-CN"/>
        </w:rPr>
        <w:t xml:space="preserve"> 贰 </w:t>
      </w:r>
      <w:r>
        <w:rPr>
          <w:rFonts w:hint="eastAsia" w:ascii="仿宋" w:hAnsi="仿宋" w:eastAsia="仿宋" w:cs="仿宋"/>
          <w:color w:val="auto"/>
          <w:sz w:val="24"/>
          <w:highlight w:val="none"/>
          <w:lang w:val="en-US" w:eastAsia="zh-CN"/>
        </w:rPr>
        <w:t>份，自甲、乙双方授权代表签字或盖章后生效。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lang w:val="en-US" w:eastAsia="zh-CN"/>
        </w:rPr>
        <w:t>2、本合同未尽事宜，双方应协商解决并签署补充协议。</w:t>
      </w:r>
      <w:bookmarkStart w:id="142" w:name="_Toc7841"/>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szCs w:val="24"/>
          <w:highlight w:val="none"/>
        </w:rPr>
        <w:t>注：</w:t>
      </w:r>
      <w:bookmarkEnd w:id="142"/>
      <w:r>
        <w:rPr>
          <w:rFonts w:hint="eastAsia" w:ascii="仿宋" w:hAnsi="仿宋" w:eastAsia="仿宋" w:cs="仿宋"/>
          <w:b/>
          <w:bCs/>
          <w:color w:val="auto"/>
          <w:sz w:val="24"/>
          <w:szCs w:val="24"/>
          <w:highlight w:val="none"/>
          <w:lang w:eastAsia="zh-CN"/>
        </w:rPr>
        <w:t>本</w:t>
      </w:r>
      <w:r>
        <w:rPr>
          <w:rFonts w:hint="eastAsia" w:ascii="仿宋" w:hAnsi="仿宋" w:eastAsia="仿宋" w:cs="仿宋"/>
          <w:b/>
          <w:bCs/>
          <w:color w:val="auto"/>
          <w:sz w:val="24"/>
          <w:highlight w:val="none"/>
          <w:lang w:val="en-US" w:eastAsia="zh-CN"/>
        </w:rPr>
        <w:t>合同</w:t>
      </w:r>
      <w:r>
        <w:rPr>
          <w:rFonts w:hint="eastAsia" w:ascii="仿宋" w:hAnsi="仿宋" w:eastAsia="仿宋" w:cs="仿宋"/>
          <w:b/>
          <w:bCs/>
          <w:color w:val="auto"/>
          <w:sz w:val="24"/>
          <w:szCs w:val="24"/>
          <w:highlight w:val="none"/>
        </w:rPr>
        <w:t>具体</w:t>
      </w:r>
      <w:r>
        <w:rPr>
          <w:rFonts w:hint="eastAsia" w:ascii="仿宋" w:hAnsi="仿宋" w:eastAsia="仿宋" w:cs="仿宋"/>
          <w:b/>
          <w:bCs/>
          <w:color w:val="auto"/>
          <w:sz w:val="24"/>
          <w:szCs w:val="24"/>
          <w:highlight w:val="none"/>
          <w:lang w:eastAsia="zh-CN"/>
        </w:rPr>
        <w:t>内容仅参考，</w:t>
      </w:r>
      <w:r>
        <w:rPr>
          <w:rFonts w:hint="eastAsia" w:ascii="仿宋" w:hAnsi="仿宋" w:eastAsia="仿宋" w:cs="仿宋"/>
          <w:b/>
          <w:bCs/>
          <w:color w:val="auto"/>
          <w:sz w:val="24"/>
          <w:highlight w:val="none"/>
          <w:lang w:val="en-US" w:eastAsia="zh-CN"/>
        </w:rPr>
        <w:t>最终以甲乙双方协商签订的为准。</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shd w:val="clear" w:color="auto" w:fill="FFFFFF"/>
        <w:kinsoku/>
        <w:wordWrap/>
        <w:overflowPunct/>
        <w:topLinePunct w:val="0"/>
        <w:autoSpaceDE/>
        <w:autoSpaceDN/>
        <w:bidi w:val="0"/>
        <w:adjustRightInd/>
        <w:snapToGrid/>
        <w:spacing w:line="520" w:lineRule="exact"/>
        <w:ind w:firstLine="480" w:firstLineChars="2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                                 乙方：</w:t>
      </w:r>
    </w:p>
    <w:p>
      <w:pPr>
        <w:keepNext w:val="0"/>
        <w:keepLines w:val="0"/>
        <w:pageBreakBefore w:val="0"/>
        <w:shd w:val="clear" w:color="auto" w:fill="FFFFFF"/>
        <w:kinsoku/>
        <w:wordWrap/>
        <w:overflowPunct/>
        <w:topLinePunct w:val="0"/>
        <w:autoSpaceDE/>
        <w:autoSpaceDN/>
        <w:bidi w:val="0"/>
        <w:adjustRightInd/>
        <w:snapToGrid/>
        <w:spacing w:line="520" w:lineRule="exact"/>
        <w:ind w:firstLine="480" w:firstLineChars="2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单位名称(公章)：                       单位名称(公章)：</w:t>
      </w:r>
    </w:p>
    <w:p>
      <w:pPr>
        <w:keepNext w:val="0"/>
        <w:keepLines w:val="0"/>
        <w:pageBreakBefore w:val="0"/>
        <w:shd w:val="clear" w:color="auto" w:fill="FFFFFF"/>
        <w:kinsoku/>
        <w:wordWrap/>
        <w:overflowPunct/>
        <w:topLinePunct w:val="0"/>
        <w:autoSpaceDE/>
        <w:autoSpaceDN/>
        <w:bidi w:val="0"/>
        <w:adjustRightInd/>
        <w:snapToGrid/>
        <w:spacing w:line="520" w:lineRule="exact"/>
        <w:ind w:firstLine="480" w:firstLineChars="2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法定代表人或其授权代表（签字）：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法定代表人或其授权代表（签字）：</w:t>
      </w:r>
    </w:p>
    <w:p>
      <w:pPr>
        <w:keepNext w:val="0"/>
        <w:keepLines w:val="0"/>
        <w:pageBreakBefore w:val="0"/>
        <w:shd w:val="clear" w:color="auto" w:fill="FFFFFF"/>
        <w:kinsoku/>
        <w:wordWrap/>
        <w:overflowPunct/>
        <w:topLinePunct w:val="0"/>
        <w:autoSpaceDE/>
        <w:autoSpaceDN/>
        <w:bidi w:val="0"/>
        <w:adjustRightInd/>
        <w:snapToGrid/>
        <w:spacing w:line="520" w:lineRule="exact"/>
        <w:ind w:firstLine="480" w:firstLineChars="2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联系电话：                             联系电话：</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lang w:val="en-US" w:eastAsia="zh-CN"/>
        </w:rPr>
        <w:sectPr>
          <w:pgSz w:w="11905" w:h="16838"/>
          <w:pgMar w:top="1474" w:right="1587" w:bottom="1474" w:left="1587" w:header="567" w:footer="964" w:gutter="0"/>
          <w:pgNumType w:fmt="decimal"/>
          <w:cols w:space="0" w:num="1"/>
          <w:rtlGutter w:val="0"/>
          <w:docGrid w:linePitch="0" w:charSpace="0"/>
        </w:sectPr>
      </w:pPr>
      <w:r>
        <w:rPr>
          <w:rFonts w:hint="eastAsia" w:ascii="仿宋" w:hAnsi="仿宋" w:eastAsia="仿宋" w:cs="仿宋"/>
          <w:color w:val="auto"/>
          <w:sz w:val="24"/>
          <w:highlight w:val="none"/>
          <w:lang w:val="zh-CN"/>
        </w:rPr>
        <w:t xml:space="preserve">签订日期：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签订日</w:t>
      </w:r>
    </w:p>
    <w:p>
      <w:pPr>
        <w:autoSpaceDE w:val="0"/>
        <w:autoSpaceDN w:val="0"/>
        <w:snapToGrid w:val="0"/>
        <w:spacing w:line="360" w:lineRule="auto"/>
        <w:jc w:val="center"/>
        <w:outlineLvl w:val="0"/>
        <w:rPr>
          <w:rFonts w:ascii="仿宋" w:hAnsi="仿宋" w:eastAsia="仿宋" w:cs="仿宋"/>
          <w:b/>
          <w:bCs/>
          <w:color w:val="auto"/>
          <w:sz w:val="24"/>
          <w:highlight w:val="none"/>
        </w:rPr>
      </w:pPr>
      <w:bookmarkStart w:id="143" w:name="_Toc14546"/>
      <w:bookmarkStart w:id="144" w:name="_Toc19239"/>
      <w:bookmarkStart w:id="145" w:name="_Toc7713"/>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eastAsia="zh-CN"/>
        </w:rPr>
        <w:t>七</w:t>
      </w:r>
      <w:r>
        <w:rPr>
          <w:rFonts w:hint="eastAsia" w:ascii="仿宋" w:hAnsi="仿宋" w:eastAsia="仿宋" w:cs="仿宋"/>
          <w:b/>
          <w:bCs/>
          <w:color w:val="auto"/>
          <w:sz w:val="32"/>
          <w:szCs w:val="32"/>
          <w:highlight w:val="none"/>
        </w:rPr>
        <w:t xml:space="preserve">章  </w:t>
      </w:r>
      <w:r>
        <w:rPr>
          <w:rFonts w:hint="eastAsia" w:ascii="仿宋" w:hAnsi="仿宋" w:eastAsia="仿宋" w:cs="仿宋"/>
          <w:b/>
          <w:bCs/>
          <w:color w:val="auto"/>
          <w:sz w:val="32"/>
          <w:szCs w:val="32"/>
          <w:highlight w:val="none"/>
          <w:lang w:val="zh-CN"/>
        </w:rPr>
        <w:t>投标文件基本格式</w:t>
      </w:r>
      <w:bookmarkEnd w:id="143"/>
      <w:bookmarkEnd w:id="144"/>
      <w:bookmarkEnd w:id="145"/>
    </w:p>
    <w:p>
      <w:pPr>
        <w:spacing w:line="20" w:lineRule="atLeast"/>
        <w:jc w:val="left"/>
        <w:rPr>
          <w:rFonts w:hint="eastAsia" w:ascii="仿宋" w:hAnsi="仿宋" w:eastAsia="仿宋" w:cs="仿宋"/>
          <w:b/>
          <w:bCs/>
          <w:color w:val="auto"/>
          <w:sz w:val="28"/>
          <w:szCs w:val="28"/>
          <w:highlight w:val="none"/>
        </w:rPr>
      </w:pPr>
    </w:p>
    <w:p>
      <w:pPr>
        <w:pStyle w:val="2"/>
        <w:rPr>
          <w:rFonts w:hint="eastAsia"/>
        </w:rPr>
      </w:pPr>
    </w:p>
    <w:p>
      <w:pPr>
        <w:spacing w:line="20" w:lineRule="atLeast"/>
        <w:jc w:val="left"/>
        <w:outlineLvl w:val="0"/>
        <w:rPr>
          <w:rFonts w:hint="eastAsia" w:ascii="仿宋" w:hAnsi="仿宋" w:eastAsia="仿宋" w:cs="仿宋"/>
          <w:b/>
          <w:bCs/>
          <w:color w:val="auto"/>
          <w:sz w:val="28"/>
          <w:szCs w:val="28"/>
          <w:highlight w:val="none"/>
        </w:rPr>
      </w:pPr>
      <w:bookmarkStart w:id="146" w:name="_Toc914"/>
      <w:bookmarkStart w:id="147" w:name="_Toc13"/>
      <w:bookmarkStart w:id="148" w:name="_Toc8228"/>
      <w:r>
        <w:rPr>
          <w:rFonts w:hint="eastAsia" w:ascii="仿宋" w:hAnsi="仿宋" w:eastAsia="仿宋" w:cs="仿宋"/>
          <w:b/>
          <w:bCs/>
          <w:color w:val="auto"/>
          <w:sz w:val="28"/>
          <w:szCs w:val="28"/>
          <w:highlight w:val="none"/>
        </w:rPr>
        <w:t>项目编号：</w:t>
      </w:r>
      <w:bookmarkEnd w:id="146"/>
      <w:r>
        <w:rPr>
          <w:rFonts w:hint="eastAsia" w:ascii="仿宋" w:hAnsi="仿宋" w:eastAsia="仿宋" w:cs="仿宋"/>
          <w:b/>
          <w:bCs/>
          <w:color w:val="auto"/>
          <w:sz w:val="28"/>
          <w:szCs w:val="28"/>
          <w:highlight w:val="none"/>
          <w:lang w:val="en-US" w:eastAsia="zh-CN"/>
        </w:rPr>
        <w:t>SHCG2022-004</w:t>
      </w:r>
      <w:bookmarkEnd w:id="147"/>
      <w:bookmarkEnd w:id="148"/>
    </w:p>
    <w:p>
      <w:pPr>
        <w:pStyle w:val="2"/>
        <w:rPr>
          <w:rFonts w:hint="eastAsia" w:ascii="仿宋" w:hAnsi="仿宋" w:eastAsia="仿宋" w:cs="仿宋"/>
          <w:b/>
          <w:bCs/>
          <w:color w:val="auto"/>
          <w:sz w:val="28"/>
          <w:szCs w:val="28"/>
          <w:highlight w:val="none"/>
        </w:rPr>
      </w:pPr>
    </w:p>
    <w:p>
      <w:pPr>
        <w:jc w:val="center"/>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rPr>
          <w:rFonts w:hint="eastAsia"/>
        </w:rPr>
      </w:pPr>
    </w:p>
    <w:p>
      <w:pPr>
        <w:pStyle w:val="2"/>
        <w:rPr>
          <w:rFonts w:hint="eastAsia"/>
        </w:rPr>
      </w:pPr>
    </w:p>
    <w:p>
      <w:pPr>
        <w:pStyle w:val="2"/>
        <w:jc w:val="center"/>
        <w:rPr>
          <w:rFonts w:hint="eastAsia" w:ascii="仿宋" w:hAnsi="仿宋" w:eastAsia="仿宋" w:cs="仿宋"/>
          <w:b/>
          <w:bCs/>
          <w:color w:val="auto"/>
          <w:kern w:val="2"/>
          <w:sz w:val="56"/>
          <w:szCs w:val="56"/>
          <w:highlight w:val="none"/>
          <w:lang w:val="en-US" w:eastAsia="zh-CN" w:bidi="ar-SA"/>
        </w:rPr>
      </w:pPr>
      <w:r>
        <w:rPr>
          <w:rFonts w:hint="eastAsia" w:ascii="仿宋" w:hAnsi="仿宋" w:eastAsia="仿宋" w:cs="仿宋"/>
          <w:b/>
          <w:bCs/>
          <w:color w:val="auto"/>
          <w:kern w:val="2"/>
          <w:sz w:val="56"/>
          <w:szCs w:val="56"/>
          <w:highlight w:val="none"/>
          <w:lang w:val="en-US" w:eastAsia="zh-CN" w:bidi="ar-SA"/>
        </w:rPr>
        <w:t>平利县全域旅游标识体系建设项目</w:t>
      </w:r>
    </w:p>
    <w:p>
      <w:pPr>
        <w:spacing w:line="20" w:lineRule="atLeast"/>
        <w:jc w:val="both"/>
        <w:rPr>
          <w:rFonts w:ascii="仿宋" w:hAnsi="仿宋" w:eastAsia="仿宋" w:cs="仿宋"/>
          <w:color w:val="auto"/>
          <w:sz w:val="72"/>
          <w:szCs w:val="72"/>
          <w:highlight w:val="none"/>
        </w:rPr>
      </w:pPr>
    </w:p>
    <w:p>
      <w:pPr>
        <w:spacing w:line="20" w:lineRule="atLeast"/>
        <w:jc w:val="center"/>
        <w:rPr>
          <w:rFonts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投 标 文 件</w:t>
      </w:r>
    </w:p>
    <w:p>
      <w:pPr>
        <w:spacing w:line="20" w:lineRule="atLeast"/>
        <w:rPr>
          <w:rFonts w:ascii="仿宋" w:hAnsi="仿宋" w:eastAsia="仿宋" w:cs="仿宋"/>
          <w:b/>
          <w:color w:val="auto"/>
          <w:sz w:val="36"/>
          <w:highlight w:val="none"/>
        </w:rPr>
      </w:pPr>
    </w:p>
    <w:p>
      <w:pPr>
        <w:pStyle w:val="51"/>
        <w:rPr>
          <w:rFonts w:ascii="仿宋" w:hAnsi="仿宋" w:eastAsia="仿宋" w:cs="仿宋"/>
          <w:color w:val="auto"/>
          <w:highlight w:val="none"/>
        </w:rPr>
      </w:pPr>
    </w:p>
    <w:p>
      <w:pPr>
        <w:spacing w:line="20" w:lineRule="atLeast"/>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w:t>
      </w:r>
    </w:p>
    <w:p>
      <w:pPr>
        <w:pStyle w:val="2"/>
        <w:rPr>
          <w:rFonts w:hint="eastAsia"/>
        </w:rPr>
      </w:pPr>
    </w:p>
    <w:p>
      <w:pPr>
        <w:pStyle w:val="2"/>
        <w:rPr>
          <w:rFonts w:hint="eastAsia" w:ascii="仿宋" w:hAnsi="仿宋" w:eastAsia="仿宋" w:cs="仿宋"/>
          <w:b/>
          <w:color w:val="auto"/>
          <w:sz w:val="36"/>
          <w:highlight w:val="none"/>
        </w:rPr>
      </w:pPr>
    </w:p>
    <w:p/>
    <w:p>
      <w:pPr>
        <w:adjustRightInd w:val="0"/>
        <w:snapToGrid w:val="0"/>
        <w:spacing w:line="1000" w:lineRule="exact"/>
        <w:ind w:firstLine="964" w:firstLineChars="300"/>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lang w:eastAsia="zh-CN"/>
        </w:rPr>
        <w:t>投标供应商</w:t>
      </w:r>
      <w:r>
        <w:rPr>
          <w:rFonts w:hint="eastAsia" w:ascii="仿宋" w:hAnsi="仿宋" w:eastAsia="仿宋" w:cs="仿宋"/>
          <w:b/>
          <w:bCs/>
          <w:color w:val="auto"/>
          <w:sz w:val="32"/>
          <w:szCs w:val="32"/>
          <w:highlight w:val="none"/>
        </w:rPr>
        <w:t>名称</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u w:val="single"/>
        </w:rPr>
        <w:t>（公章）</w:t>
      </w:r>
      <w:r>
        <w:rPr>
          <w:rFonts w:hint="eastAsia" w:ascii="仿宋" w:hAnsi="仿宋" w:eastAsia="仿宋" w:cs="仿宋"/>
          <w:color w:val="auto"/>
          <w:sz w:val="32"/>
          <w:szCs w:val="32"/>
          <w:highlight w:val="none"/>
          <w:u w:val="single"/>
        </w:rPr>
        <w:t xml:space="preserve"> </w:t>
      </w:r>
    </w:p>
    <w:p>
      <w:pPr>
        <w:adjustRightInd w:val="0"/>
        <w:snapToGrid w:val="0"/>
        <w:spacing w:line="1000" w:lineRule="exact"/>
        <w:ind w:firstLine="964" w:firstLineChars="300"/>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址：</w:t>
      </w:r>
      <w:r>
        <w:rPr>
          <w:rFonts w:hint="eastAsia" w:ascii="仿宋" w:hAnsi="仿宋" w:eastAsia="仿宋" w:cs="仿宋"/>
          <w:b/>
          <w:bCs/>
          <w:color w:val="auto"/>
          <w:sz w:val="32"/>
          <w:szCs w:val="32"/>
          <w:highlight w:val="none"/>
          <w:u w:val="single"/>
          <w:lang w:val="en-US" w:eastAsia="zh-CN"/>
        </w:rPr>
        <w:t xml:space="preserve">                                 </w:t>
      </w:r>
    </w:p>
    <w:p>
      <w:pPr>
        <w:adjustRightInd w:val="0"/>
        <w:snapToGrid w:val="0"/>
        <w:spacing w:line="1000" w:lineRule="exact"/>
        <w:ind w:firstLine="964" w:firstLineChars="300"/>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法定代表人或委托代理人：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u w:val="single"/>
        </w:rPr>
        <w:t>（签字或盖章）</w:t>
      </w:r>
      <w:r>
        <w:rPr>
          <w:rFonts w:hint="eastAsia" w:ascii="仿宋" w:hAnsi="仿宋" w:eastAsia="仿宋" w:cs="仿宋"/>
          <w:color w:val="auto"/>
          <w:sz w:val="32"/>
          <w:szCs w:val="32"/>
          <w:highlight w:val="none"/>
          <w:u w:val="single"/>
        </w:rPr>
        <w:t xml:space="preserve"> </w:t>
      </w:r>
    </w:p>
    <w:p>
      <w:pPr>
        <w:adjustRightInd w:val="0"/>
        <w:snapToGrid w:val="0"/>
        <w:spacing w:line="1000" w:lineRule="exact"/>
        <w:ind w:firstLine="964" w:firstLineChars="300"/>
        <w:rPr>
          <w:rFonts w:ascii="仿宋" w:hAnsi="仿宋" w:eastAsia="仿宋" w:cs="仿宋"/>
          <w:b/>
          <w:color w:val="auto"/>
          <w:sz w:val="48"/>
          <w:szCs w:val="48"/>
          <w:highlight w:val="none"/>
        </w:rPr>
      </w:pPr>
      <w:r>
        <w:rPr>
          <w:rFonts w:hint="eastAsia" w:ascii="仿宋" w:hAnsi="仿宋" w:eastAsia="仿宋" w:cs="仿宋"/>
          <w:b/>
          <w:color w:val="auto"/>
          <w:sz w:val="32"/>
          <w:szCs w:val="32"/>
          <w:highlight w:val="none"/>
        </w:rPr>
        <w:t>日    期</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p>
    <w:p>
      <w:pPr>
        <w:pStyle w:val="9"/>
        <w:ind w:firstLine="0" w:firstLineChars="0"/>
        <w:rPr>
          <w:rFonts w:ascii="仿宋" w:hAnsi="仿宋" w:eastAsia="仿宋" w:cs="仿宋"/>
          <w:b/>
          <w:color w:val="auto"/>
          <w:sz w:val="48"/>
          <w:szCs w:val="48"/>
          <w:highlight w:val="none"/>
        </w:rPr>
      </w:pPr>
    </w:p>
    <w:p>
      <w:pPr>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pPr>
        <w:adjustRightInd w:val="0"/>
        <w:spacing w:line="480" w:lineRule="exact"/>
        <w:ind w:firstLine="1606" w:firstLineChars="500"/>
        <w:textAlignment w:val="baseline"/>
        <w:rPr>
          <w:rFonts w:ascii="仿宋" w:hAnsi="仿宋" w:eastAsia="仿宋" w:cs="仿宋"/>
          <w:b/>
          <w:color w:val="auto"/>
          <w:sz w:val="32"/>
          <w:szCs w:val="32"/>
          <w:highlight w:val="none"/>
        </w:rPr>
      </w:pPr>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49" w:name="_Toc14008"/>
      <w:bookmarkStart w:id="150" w:name="_Toc24622"/>
      <w:bookmarkStart w:id="151" w:name="_Toc24294"/>
      <w:r>
        <w:rPr>
          <w:rFonts w:hint="eastAsia" w:ascii="仿宋" w:hAnsi="仿宋" w:eastAsia="仿宋" w:cs="仿宋"/>
          <w:b/>
          <w:bCs/>
          <w:color w:val="auto"/>
          <w:sz w:val="24"/>
          <w:highlight w:val="none"/>
        </w:rPr>
        <w:t>一、投标函</w:t>
      </w:r>
      <w:bookmarkEnd w:id="149"/>
      <w:bookmarkEnd w:id="150"/>
      <w:bookmarkEnd w:id="151"/>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52" w:name="_Toc30514"/>
      <w:bookmarkStart w:id="153" w:name="_Toc31316"/>
      <w:bookmarkStart w:id="154" w:name="_Toc32495"/>
      <w:r>
        <w:rPr>
          <w:rFonts w:hint="eastAsia" w:ascii="仿宋" w:hAnsi="仿宋" w:eastAsia="仿宋" w:cs="仿宋"/>
          <w:b/>
          <w:bCs/>
          <w:color w:val="auto"/>
          <w:sz w:val="24"/>
          <w:highlight w:val="none"/>
          <w:lang w:eastAsia="zh-CN"/>
        </w:rPr>
        <w:t>二、</w:t>
      </w:r>
      <w:r>
        <w:rPr>
          <w:rFonts w:hint="eastAsia" w:ascii="仿宋" w:hAnsi="仿宋" w:eastAsia="仿宋" w:cs="仿宋"/>
          <w:b/>
          <w:bCs/>
          <w:color w:val="auto"/>
          <w:sz w:val="24"/>
          <w:highlight w:val="none"/>
        </w:rPr>
        <w:t>开标一览表</w:t>
      </w:r>
      <w:bookmarkEnd w:id="152"/>
      <w:bookmarkEnd w:id="153"/>
      <w:bookmarkEnd w:id="154"/>
    </w:p>
    <w:p>
      <w:pPr>
        <w:autoSpaceDE w:val="0"/>
        <w:autoSpaceDN w:val="0"/>
        <w:adjustRightInd w:val="0"/>
        <w:spacing w:line="360" w:lineRule="auto"/>
        <w:ind w:firstLine="482" w:firstLineChars="200"/>
        <w:outlineLvl w:val="0"/>
        <w:rPr>
          <w:rFonts w:hint="eastAsia" w:ascii="仿宋" w:hAnsi="仿宋" w:eastAsia="仿宋" w:cs="仿宋"/>
          <w:b/>
          <w:bCs/>
          <w:color w:val="auto"/>
          <w:sz w:val="24"/>
          <w:highlight w:val="none"/>
          <w:lang w:eastAsia="zh-CN"/>
        </w:rPr>
      </w:pPr>
      <w:bookmarkStart w:id="155" w:name="_Toc12363"/>
      <w:bookmarkStart w:id="156" w:name="_Toc4760"/>
      <w:bookmarkStart w:id="157" w:name="_Toc18901"/>
      <w:r>
        <w:rPr>
          <w:rFonts w:hint="eastAsia" w:ascii="仿宋" w:hAnsi="仿宋" w:eastAsia="仿宋" w:cs="仿宋"/>
          <w:b/>
          <w:bCs/>
          <w:color w:val="auto"/>
          <w:sz w:val="24"/>
          <w:highlight w:val="none"/>
          <w:lang w:eastAsia="zh-CN"/>
        </w:rPr>
        <w:t>三、商务响应说明</w:t>
      </w:r>
      <w:bookmarkEnd w:id="155"/>
      <w:bookmarkEnd w:id="156"/>
      <w:bookmarkEnd w:id="157"/>
    </w:p>
    <w:p>
      <w:pPr>
        <w:autoSpaceDE w:val="0"/>
        <w:autoSpaceDN w:val="0"/>
        <w:adjustRightInd w:val="0"/>
        <w:spacing w:line="360" w:lineRule="auto"/>
        <w:ind w:firstLine="482" w:firstLineChars="200"/>
        <w:outlineLvl w:val="0"/>
        <w:rPr>
          <w:rFonts w:hint="eastAsia" w:ascii="仿宋" w:hAnsi="仿宋" w:eastAsia="仿宋" w:cs="仿宋"/>
          <w:b/>
          <w:bCs/>
          <w:color w:val="auto"/>
          <w:sz w:val="24"/>
          <w:highlight w:val="none"/>
          <w:lang w:eastAsia="zh-CN"/>
        </w:rPr>
      </w:pPr>
      <w:bookmarkStart w:id="158" w:name="_Toc4790"/>
      <w:bookmarkStart w:id="159" w:name="_Toc26700"/>
      <w:bookmarkStart w:id="160" w:name="_Toc15491"/>
      <w:r>
        <w:rPr>
          <w:rFonts w:hint="eastAsia" w:ascii="仿宋" w:hAnsi="仿宋" w:eastAsia="仿宋" w:cs="仿宋"/>
          <w:b/>
          <w:bCs/>
          <w:color w:val="auto"/>
          <w:sz w:val="24"/>
          <w:highlight w:val="none"/>
          <w:lang w:eastAsia="zh-CN"/>
        </w:rPr>
        <w:t>四、</w:t>
      </w:r>
      <w:r>
        <w:rPr>
          <w:rFonts w:hint="eastAsia" w:ascii="仿宋" w:hAnsi="仿宋" w:eastAsia="仿宋" w:cs="仿宋"/>
          <w:b/>
          <w:bCs/>
          <w:color w:val="auto"/>
          <w:sz w:val="24"/>
          <w:highlight w:val="none"/>
          <w:lang w:val="en-US" w:eastAsia="zh-CN"/>
        </w:rPr>
        <w:t>技术响应偏差表</w:t>
      </w:r>
      <w:bookmarkEnd w:id="158"/>
      <w:bookmarkEnd w:id="159"/>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61" w:name="_Toc8458"/>
      <w:bookmarkStart w:id="162" w:name="_Toc20189"/>
      <w:r>
        <w:rPr>
          <w:rFonts w:hint="eastAsia" w:ascii="仿宋" w:hAnsi="仿宋" w:eastAsia="仿宋" w:cs="仿宋"/>
          <w:b/>
          <w:bCs/>
          <w:color w:val="auto"/>
          <w:sz w:val="24"/>
          <w:highlight w:val="none"/>
          <w:lang w:eastAsia="zh-CN"/>
        </w:rPr>
        <w:t>五</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资格证明文件</w:t>
      </w:r>
      <w:bookmarkEnd w:id="160"/>
      <w:bookmarkEnd w:id="161"/>
      <w:bookmarkEnd w:id="162"/>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63" w:name="_Toc19893"/>
      <w:bookmarkStart w:id="164" w:name="_Toc7037"/>
      <w:bookmarkStart w:id="165" w:name="_Toc22269"/>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参加政府采购活动承诺书</w:t>
      </w:r>
      <w:bookmarkEnd w:id="163"/>
      <w:bookmarkEnd w:id="164"/>
      <w:bookmarkEnd w:id="165"/>
    </w:p>
    <w:p>
      <w:pPr>
        <w:autoSpaceDE w:val="0"/>
        <w:autoSpaceDN w:val="0"/>
        <w:adjustRightInd w:val="0"/>
        <w:spacing w:line="360" w:lineRule="auto"/>
        <w:ind w:firstLine="482" w:firstLineChars="200"/>
        <w:outlineLvl w:val="0"/>
        <w:rPr>
          <w:rFonts w:hint="eastAsia" w:ascii="仿宋" w:hAnsi="仿宋" w:eastAsia="仿宋" w:cs="仿宋"/>
          <w:b/>
          <w:bCs/>
          <w:color w:val="auto"/>
          <w:sz w:val="24"/>
          <w:highlight w:val="none"/>
          <w:lang w:eastAsia="zh-CN"/>
        </w:rPr>
      </w:pPr>
      <w:bookmarkStart w:id="166" w:name="_Toc30123"/>
      <w:bookmarkStart w:id="167" w:name="_Toc13595"/>
      <w:bookmarkStart w:id="168" w:name="_Toc17941"/>
      <w:r>
        <w:rPr>
          <w:rFonts w:hint="eastAsia" w:ascii="仿宋" w:hAnsi="仿宋" w:eastAsia="仿宋" w:cs="仿宋"/>
          <w:b/>
          <w:bCs/>
          <w:color w:val="auto"/>
          <w:sz w:val="24"/>
          <w:highlight w:val="none"/>
          <w:lang w:eastAsia="zh-CN"/>
        </w:rPr>
        <w:t>七</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投标供应商概况</w:t>
      </w:r>
      <w:bookmarkEnd w:id="166"/>
      <w:bookmarkEnd w:id="167"/>
      <w:bookmarkEnd w:id="168"/>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69" w:name="_Toc16465"/>
      <w:bookmarkStart w:id="170" w:name="_Toc5399"/>
      <w:bookmarkStart w:id="171" w:name="_Toc29071"/>
      <w:r>
        <w:rPr>
          <w:rFonts w:hint="eastAsia" w:ascii="仿宋" w:hAnsi="仿宋" w:eastAsia="仿宋" w:cs="仿宋"/>
          <w:b/>
          <w:bCs/>
          <w:color w:val="auto"/>
          <w:sz w:val="24"/>
          <w:highlight w:val="none"/>
          <w:lang w:eastAsia="zh-CN"/>
        </w:rPr>
        <w:t>八</w:t>
      </w:r>
      <w:r>
        <w:rPr>
          <w:rFonts w:hint="eastAsia" w:ascii="仿宋" w:hAnsi="仿宋" w:eastAsia="仿宋" w:cs="仿宋"/>
          <w:b/>
          <w:bCs/>
          <w:color w:val="auto"/>
          <w:sz w:val="24"/>
          <w:highlight w:val="none"/>
        </w:rPr>
        <w:t>、</w:t>
      </w:r>
      <w:bookmarkEnd w:id="169"/>
      <w:r>
        <w:rPr>
          <w:rFonts w:hint="eastAsia" w:ascii="仿宋" w:hAnsi="仿宋" w:eastAsia="仿宋" w:cs="仿宋"/>
          <w:b/>
          <w:bCs/>
          <w:color w:val="auto"/>
          <w:sz w:val="24"/>
          <w:highlight w:val="none"/>
          <w:lang w:eastAsia="zh-CN"/>
        </w:rPr>
        <w:t>供应商投标</w:t>
      </w:r>
      <w:r>
        <w:rPr>
          <w:rFonts w:hint="eastAsia" w:ascii="仿宋" w:hAnsi="仿宋" w:eastAsia="仿宋" w:cs="仿宋"/>
          <w:b/>
          <w:bCs/>
          <w:color w:val="auto"/>
          <w:sz w:val="24"/>
          <w:highlight w:val="none"/>
        </w:rPr>
        <w:t>方案</w:t>
      </w:r>
      <w:bookmarkEnd w:id="170"/>
      <w:bookmarkEnd w:id="171"/>
    </w:p>
    <w:p>
      <w:pPr>
        <w:autoSpaceDE w:val="0"/>
        <w:autoSpaceDN w:val="0"/>
        <w:adjustRightInd w:val="0"/>
        <w:spacing w:line="360" w:lineRule="auto"/>
        <w:ind w:firstLine="482" w:firstLineChars="200"/>
        <w:outlineLvl w:val="0"/>
        <w:rPr>
          <w:rFonts w:hint="eastAsia" w:ascii="仿宋" w:hAnsi="仿宋" w:eastAsia="仿宋" w:cs="仿宋"/>
          <w:b/>
          <w:bCs/>
          <w:color w:val="auto"/>
          <w:sz w:val="24"/>
          <w:highlight w:val="none"/>
          <w:lang w:eastAsia="zh-CN"/>
        </w:rPr>
      </w:pPr>
      <w:bookmarkStart w:id="172" w:name="_Toc19805"/>
      <w:bookmarkStart w:id="173" w:name="_Toc5965"/>
      <w:bookmarkStart w:id="174" w:name="_Toc25458"/>
      <w:r>
        <w:rPr>
          <w:rFonts w:hint="eastAsia" w:ascii="仿宋" w:hAnsi="仿宋" w:eastAsia="仿宋" w:cs="仿宋"/>
          <w:b/>
          <w:bCs/>
          <w:color w:val="auto"/>
          <w:sz w:val="24"/>
          <w:highlight w:val="none"/>
          <w:lang w:eastAsia="zh-CN"/>
        </w:rPr>
        <w:t>九、</w:t>
      </w:r>
      <w:bookmarkEnd w:id="172"/>
      <w:r>
        <w:rPr>
          <w:rFonts w:hint="eastAsia" w:ascii="仿宋" w:hAnsi="仿宋" w:eastAsia="仿宋" w:cs="仿宋"/>
          <w:b/>
          <w:bCs/>
          <w:color w:val="auto"/>
          <w:sz w:val="24"/>
          <w:highlight w:val="none"/>
          <w:lang w:eastAsia="zh-CN"/>
        </w:rPr>
        <w:t>售后服务及承诺</w:t>
      </w:r>
      <w:bookmarkEnd w:id="173"/>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75" w:name="_Toc13891"/>
      <w:bookmarkStart w:id="176" w:name="_Toc2971"/>
      <w:r>
        <w:rPr>
          <w:rFonts w:hint="eastAsia" w:ascii="仿宋" w:hAnsi="仿宋" w:eastAsia="仿宋" w:cs="仿宋"/>
          <w:b/>
          <w:bCs/>
          <w:color w:val="auto"/>
          <w:sz w:val="24"/>
          <w:highlight w:val="none"/>
          <w:lang w:eastAsia="zh-CN"/>
        </w:rPr>
        <w:t>十</w:t>
      </w:r>
      <w:r>
        <w:rPr>
          <w:rFonts w:hint="eastAsia" w:ascii="仿宋" w:hAnsi="仿宋" w:eastAsia="仿宋" w:cs="仿宋"/>
          <w:b/>
          <w:bCs/>
          <w:color w:val="auto"/>
          <w:sz w:val="24"/>
          <w:highlight w:val="none"/>
        </w:rPr>
        <w:t>、招标文件确认书</w:t>
      </w:r>
      <w:bookmarkEnd w:id="174"/>
      <w:bookmarkEnd w:id="175"/>
      <w:bookmarkEnd w:id="176"/>
    </w:p>
    <w:p>
      <w:pPr>
        <w:autoSpaceDE w:val="0"/>
        <w:autoSpaceDN w:val="0"/>
        <w:adjustRightInd w:val="0"/>
        <w:spacing w:line="360" w:lineRule="auto"/>
        <w:ind w:firstLine="482" w:firstLineChars="200"/>
        <w:outlineLvl w:val="0"/>
        <w:rPr>
          <w:rFonts w:ascii="仿宋" w:hAnsi="仿宋" w:eastAsia="仿宋" w:cs="仿宋"/>
          <w:b/>
          <w:bCs/>
          <w:color w:val="auto"/>
          <w:sz w:val="24"/>
          <w:highlight w:val="none"/>
        </w:rPr>
      </w:pPr>
      <w:bookmarkStart w:id="177" w:name="_Toc1265"/>
      <w:bookmarkStart w:id="178" w:name="_Toc23458"/>
      <w:bookmarkStart w:id="179" w:name="_Toc20161"/>
      <w:r>
        <w:rPr>
          <w:rFonts w:hint="eastAsia" w:ascii="仿宋" w:hAnsi="仿宋" w:eastAsia="仿宋" w:cs="仿宋"/>
          <w:b/>
          <w:bCs/>
          <w:color w:val="auto"/>
          <w:sz w:val="24"/>
          <w:highlight w:val="none"/>
          <w:lang w:eastAsia="zh-CN"/>
        </w:rPr>
        <w:t>十一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投标供应商</w:t>
      </w:r>
      <w:r>
        <w:rPr>
          <w:rFonts w:hint="eastAsia" w:ascii="仿宋" w:hAnsi="仿宋" w:eastAsia="仿宋" w:cs="仿宋"/>
          <w:b/>
          <w:bCs/>
          <w:color w:val="auto"/>
          <w:sz w:val="24"/>
          <w:highlight w:val="none"/>
        </w:rPr>
        <w:t>认为有必要说明的其他问题</w:t>
      </w:r>
      <w:bookmarkEnd w:id="177"/>
      <w:bookmarkEnd w:id="178"/>
      <w:bookmarkEnd w:id="179"/>
    </w:p>
    <w:p>
      <w:pPr>
        <w:pStyle w:val="7"/>
        <w:jc w:val="both"/>
        <w:outlineLvl w:val="9"/>
        <w:rPr>
          <w:rFonts w:ascii="仿宋" w:hAnsi="仿宋" w:eastAsia="仿宋" w:cs="仿宋"/>
          <w:color w:val="auto"/>
          <w:highlight w:val="none"/>
        </w:rPr>
      </w:pPr>
    </w:p>
    <w:p>
      <w:pPr>
        <w:autoSpaceDE w:val="0"/>
        <w:autoSpaceDN w:val="0"/>
        <w:adjustRightInd w:val="0"/>
        <w:snapToGrid w:val="0"/>
        <w:spacing w:before="394" w:beforeLines="100" w:after="197" w:afterLines="50" w:line="480" w:lineRule="exact"/>
        <w:textAlignment w:val="baseline"/>
        <w:rPr>
          <w:rFonts w:ascii="仿宋" w:hAnsi="仿宋" w:eastAsia="仿宋" w:cs="仿宋"/>
          <w:b/>
          <w:bCs/>
          <w:color w:val="auto"/>
          <w:sz w:val="32"/>
          <w:szCs w:val="32"/>
          <w:highlight w:val="none"/>
        </w:rPr>
      </w:pPr>
    </w:p>
    <w:p>
      <w:pPr>
        <w:autoSpaceDE w:val="0"/>
        <w:autoSpaceDN w:val="0"/>
        <w:snapToGrid w:val="0"/>
        <w:spacing w:before="394" w:beforeLines="100" w:after="197" w:afterLines="50" w:line="600" w:lineRule="exact"/>
        <w:rPr>
          <w:rFonts w:ascii="仿宋" w:hAnsi="仿宋" w:eastAsia="仿宋" w:cs="仿宋"/>
          <w:b/>
          <w:color w:val="auto"/>
          <w:sz w:val="32"/>
          <w:szCs w:val="32"/>
          <w:highlight w:val="none"/>
        </w:rPr>
      </w:pPr>
    </w:p>
    <w:p>
      <w:pPr>
        <w:autoSpaceDE w:val="0"/>
        <w:autoSpaceDN w:val="0"/>
        <w:snapToGrid w:val="0"/>
        <w:spacing w:before="394" w:beforeLines="100" w:after="197" w:afterLines="50" w:line="600" w:lineRule="exact"/>
        <w:rPr>
          <w:rFonts w:ascii="仿宋" w:hAnsi="仿宋" w:eastAsia="仿宋" w:cs="仿宋"/>
          <w:b/>
          <w:color w:val="auto"/>
          <w:sz w:val="32"/>
          <w:szCs w:val="32"/>
          <w:highlight w:val="none"/>
        </w:rPr>
      </w:pPr>
    </w:p>
    <w:p>
      <w:pPr>
        <w:autoSpaceDE w:val="0"/>
        <w:autoSpaceDN w:val="0"/>
        <w:snapToGrid w:val="0"/>
        <w:spacing w:before="394" w:beforeLines="100" w:after="197" w:afterLines="50" w:line="600" w:lineRule="exact"/>
        <w:rPr>
          <w:rFonts w:ascii="仿宋" w:hAnsi="仿宋" w:eastAsia="仿宋" w:cs="仿宋"/>
          <w:b/>
          <w:color w:val="auto"/>
          <w:sz w:val="32"/>
          <w:szCs w:val="32"/>
          <w:highlight w:val="none"/>
        </w:rPr>
      </w:pPr>
    </w:p>
    <w:p>
      <w:pPr>
        <w:autoSpaceDE w:val="0"/>
        <w:autoSpaceDN w:val="0"/>
        <w:snapToGrid w:val="0"/>
        <w:spacing w:before="394" w:beforeLines="100" w:after="197" w:afterLines="50" w:line="600" w:lineRule="exact"/>
        <w:rPr>
          <w:rFonts w:ascii="仿宋" w:hAnsi="仿宋" w:eastAsia="仿宋" w:cs="仿宋"/>
          <w:b/>
          <w:color w:val="auto"/>
          <w:sz w:val="32"/>
          <w:szCs w:val="32"/>
          <w:highlight w:val="none"/>
        </w:rPr>
      </w:pPr>
    </w:p>
    <w:p>
      <w:pPr>
        <w:pStyle w:val="2"/>
        <w:rPr>
          <w:rFonts w:ascii="仿宋" w:hAnsi="仿宋" w:eastAsia="仿宋" w:cs="仿宋"/>
          <w:b/>
          <w:color w:val="auto"/>
          <w:sz w:val="32"/>
          <w:szCs w:val="32"/>
          <w:highlight w:val="none"/>
        </w:rPr>
      </w:pPr>
    </w:p>
    <w:p>
      <w:pPr>
        <w:rPr>
          <w:rFonts w:ascii="仿宋" w:hAnsi="仿宋" w:eastAsia="仿宋" w:cs="仿宋"/>
          <w:b/>
          <w:color w:val="auto"/>
          <w:sz w:val="32"/>
          <w:szCs w:val="32"/>
          <w:highlight w:val="none"/>
        </w:rPr>
      </w:pPr>
    </w:p>
    <w:p>
      <w:pPr>
        <w:pStyle w:val="2"/>
        <w:rPr>
          <w:rFonts w:ascii="仿宋" w:hAnsi="仿宋" w:eastAsia="仿宋" w:cs="仿宋"/>
          <w:b/>
          <w:color w:val="auto"/>
          <w:sz w:val="32"/>
          <w:szCs w:val="32"/>
          <w:highlight w:val="none"/>
        </w:rPr>
      </w:pPr>
    </w:p>
    <w:p>
      <w:pPr>
        <w:autoSpaceDE w:val="0"/>
        <w:autoSpaceDN w:val="0"/>
        <w:snapToGrid w:val="0"/>
        <w:spacing w:before="394" w:beforeLines="100" w:after="197" w:afterLines="50" w:line="600" w:lineRule="exact"/>
        <w:jc w:val="both"/>
        <w:rPr>
          <w:rFonts w:hint="eastAsia" w:ascii="仿宋" w:hAnsi="仿宋" w:eastAsia="仿宋" w:cs="仿宋"/>
          <w:b/>
          <w:color w:val="auto"/>
          <w:sz w:val="32"/>
          <w:szCs w:val="32"/>
          <w:highlight w:val="none"/>
        </w:rPr>
      </w:pPr>
    </w:p>
    <w:p>
      <w:pPr>
        <w:autoSpaceDE w:val="0"/>
        <w:autoSpaceDN w:val="0"/>
        <w:snapToGrid w:val="0"/>
        <w:spacing w:before="394" w:beforeLines="100" w:after="197" w:afterLines="50" w:line="600" w:lineRule="exact"/>
        <w:jc w:val="center"/>
        <w:outlineLvl w:val="0"/>
        <w:rPr>
          <w:rFonts w:ascii="仿宋" w:hAnsi="仿宋" w:eastAsia="仿宋" w:cs="仿宋"/>
          <w:b/>
          <w:color w:val="auto"/>
          <w:sz w:val="32"/>
          <w:szCs w:val="32"/>
          <w:highlight w:val="none"/>
        </w:rPr>
      </w:pPr>
      <w:bookmarkStart w:id="180" w:name="_Toc19318"/>
      <w:bookmarkStart w:id="181" w:name="_Toc13374"/>
      <w:bookmarkStart w:id="182" w:name="_Toc29533"/>
      <w:r>
        <w:rPr>
          <w:rFonts w:hint="eastAsia" w:ascii="仿宋" w:hAnsi="仿宋" w:eastAsia="仿宋" w:cs="仿宋"/>
          <w:b/>
          <w:color w:val="auto"/>
          <w:sz w:val="32"/>
          <w:szCs w:val="32"/>
          <w:highlight w:val="none"/>
        </w:rPr>
        <w:t>一、投标函</w:t>
      </w:r>
      <w:bookmarkEnd w:id="180"/>
      <w:bookmarkEnd w:id="181"/>
      <w:bookmarkEnd w:id="182"/>
    </w:p>
    <w:p>
      <w:pPr>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u w:val="single"/>
          <w:lang w:val="en-US" w:eastAsia="zh-CN"/>
        </w:rPr>
        <w:t>平利县文化和旅游广电局</w:t>
      </w:r>
    </w:p>
    <w:p>
      <w:pPr>
        <w:spacing w:line="360" w:lineRule="auto"/>
        <w:ind w:firstLine="437"/>
        <w:rPr>
          <w:rFonts w:ascii="仿宋" w:hAnsi="仿宋" w:eastAsia="仿宋" w:cs="仿宋"/>
          <w:color w:val="auto"/>
          <w:sz w:val="24"/>
          <w:highlight w:val="none"/>
        </w:rPr>
      </w:pPr>
      <w:r>
        <w:rPr>
          <w:rFonts w:hint="eastAsia" w:ascii="仿宋" w:hAnsi="仿宋" w:eastAsia="仿宋" w:cs="仿宋"/>
          <w:color w:val="auto"/>
          <w:sz w:val="24"/>
          <w:highlight w:val="none"/>
        </w:rPr>
        <w:t>根据贵方为</w:t>
      </w:r>
      <w:r>
        <w:rPr>
          <w:rFonts w:hint="eastAsia" w:ascii="仿宋" w:hAnsi="仿宋" w:eastAsia="仿宋" w:cs="仿宋"/>
          <w:color w:val="auto"/>
          <w:sz w:val="24"/>
          <w:highlight w:val="none"/>
          <w:u w:val="single"/>
        </w:rPr>
        <w:t>（项目名称 ）</w:t>
      </w:r>
      <w:r>
        <w:rPr>
          <w:rFonts w:hint="eastAsia" w:ascii="仿宋" w:hAnsi="仿宋" w:eastAsia="仿宋" w:cs="仿宋"/>
          <w:color w:val="auto"/>
          <w:sz w:val="24"/>
          <w:highlight w:val="none"/>
        </w:rPr>
        <w:t>招标采购货物及服务的招标公告</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投标供应商</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，提交电子响应文件（*.SXSTF）</w:t>
      </w:r>
      <w:r>
        <w:rPr>
          <w:rFonts w:hint="eastAsia" w:ascii="仿宋" w:hAnsi="仿宋" w:eastAsia="仿宋" w:cs="仿宋"/>
          <w:color w:val="auto"/>
          <w:sz w:val="24"/>
          <w:highlight w:val="none"/>
          <w:u w:val="single"/>
        </w:rPr>
        <w:t xml:space="preserve">  壹  </w:t>
      </w:r>
      <w:r>
        <w:rPr>
          <w:rFonts w:hint="eastAsia" w:ascii="仿宋" w:hAnsi="仿宋" w:eastAsia="仿宋" w:cs="仿宋"/>
          <w:color w:val="auto"/>
          <w:sz w:val="24"/>
          <w:highlight w:val="none"/>
        </w:rPr>
        <w:t>份。</w:t>
      </w:r>
    </w:p>
    <w:p>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在此，签字代表宣布同意如下：</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1．所附开标一览表中规定的应提交和交付的</w:t>
      </w:r>
      <w:r>
        <w:rPr>
          <w:rFonts w:hint="eastAsia" w:ascii="仿宋" w:hAnsi="仿宋" w:eastAsia="仿宋" w:cs="仿宋"/>
          <w:color w:val="auto"/>
          <w:sz w:val="24"/>
          <w:highlight w:val="none"/>
          <w:lang w:eastAsia="zh-CN"/>
        </w:rPr>
        <w:t>货物及服务</w:t>
      </w:r>
      <w:r>
        <w:rPr>
          <w:rFonts w:hint="eastAsia" w:ascii="仿宋" w:hAnsi="仿宋" w:eastAsia="仿宋" w:cs="仿宋"/>
          <w:color w:val="auto"/>
          <w:sz w:val="24"/>
          <w:highlight w:val="none"/>
        </w:rPr>
        <w:t>投标总价为</w:t>
      </w:r>
      <w:r>
        <w:rPr>
          <w:rFonts w:hint="eastAsia" w:ascii="仿宋" w:hAnsi="仿宋" w:eastAsia="仿宋" w:cs="仿宋"/>
          <w:color w:val="auto"/>
          <w:sz w:val="24"/>
          <w:highlight w:val="none"/>
          <w:u w:val="single"/>
        </w:rPr>
        <w:t>人民币金额数（同时用汉字大写和数字表示的投标总价）</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2．我方将按招标文件的规定履行合同责任和义务。</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3．我方已详细审查全部招标文件。我们完全理解并同意放弃对这方面有不明及误解的权力。</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4．本投标有效期为自开标日起个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日历日（中标人的投标文件有效期延长为与合同有效期一致）。</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5．我方完全理解并同意贵方在招标文件中的有关没收投标保证金和拒绝投标的条款。</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6．我方同意提供按照贵方可能要求的与其投标有关的一切数据或资料，完全理解贵方不一定接受最低投标报价的投标或收到的任何投标。</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7．若我方获得中标，我方保证按有关规定向贵方支付中标服务费。</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8．与本投标有关的一切正式往来信函请寄：</w:t>
      </w:r>
    </w:p>
    <w:p>
      <w:pPr>
        <w:spacing w:line="400" w:lineRule="exact"/>
        <w:ind w:firstLine="480" w:firstLineChars="200"/>
        <w:rPr>
          <w:rFonts w:ascii="仿宋" w:hAnsi="仿宋" w:eastAsia="仿宋" w:cs="仿宋"/>
          <w:color w:val="auto"/>
          <w:sz w:val="24"/>
          <w:highlight w:val="none"/>
        </w:rPr>
      </w:pPr>
    </w:p>
    <w:p>
      <w:pPr>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盖</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u w:val="single"/>
        </w:rPr>
        <w:t xml:space="preserve">                        </w:t>
      </w:r>
    </w:p>
    <w:p>
      <w:pPr>
        <w:pStyle w:val="19"/>
        <w:spacing w:line="480" w:lineRule="exact"/>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 xml:space="preserve">   （签字或盖章）   </w:t>
      </w:r>
    </w:p>
    <w:p>
      <w:pPr>
        <w:spacing w:line="48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详细地址：</w:t>
      </w:r>
      <w:r>
        <w:rPr>
          <w:rFonts w:hint="eastAsia" w:ascii="仿宋" w:hAnsi="仿宋" w:eastAsia="仿宋" w:cs="仿宋"/>
          <w:color w:val="auto"/>
          <w:sz w:val="24"/>
          <w:highlight w:val="none"/>
          <w:u w:val="single"/>
        </w:rPr>
        <w:t xml:space="preserve">                                  </w:t>
      </w:r>
    </w:p>
    <w:p>
      <w:pPr>
        <w:tabs>
          <w:tab w:val="left" w:pos="360"/>
        </w:tabs>
        <w:spacing w:line="48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w:t>
      </w:r>
    </w:p>
    <w:p>
      <w:pPr>
        <w:autoSpaceDE w:val="0"/>
        <w:autoSpaceDN w:val="0"/>
        <w:spacing w:line="480" w:lineRule="exact"/>
        <w:ind w:firstLine="480" w:firstLineChars="200"/>
        <w:rPr>
          <w:rFonts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u w:val="single"/>
        </w:rPr>
        <w:t xml:space="preserve">                                      </w:t>
      </w:r>
    </w:p>
    <w:p>
      <w:pPr>
        <w:autoSpaceDE w:val="0"/>
        <w:autoSpaceDN w:val="0"/>
        <w:spacing w:line="48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u w:val="single"/>
        </w:rPr>
        <w:t xml:space="preserve">                                      </w:t>
      </w:r>
    </w:p>
    <w:p>
      <w:pPr>
        <w:tabs>
          <w:tab w:val="left" w:pos="360"/>
        </w:tabs>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电子邮件地址：</w:t>
      </w:r>
      <w:r>
        <w:rPr>
          <w:rFonts w:hint="eastAsia" w:ascii="仿宋" w:hAnsi="仿宋" w:eastAsia="仿宋" w:cs="仿宋"/>
          <w:color w:val="auto"/>
          <w:sz w:val="24"/>
          <w:highlight w:val="none"/>
          <w:u w:val="single"/>
        </w:rPr>
        <w:t xml:space="preserve">                              </w:t>
      </w:r>
    </w:p>
    <w:p>
      <w:pPr>
        <w:autoSpaceDE w:val="0"/>
        <w:autoSpaceDN w:val="0"/>
        <w:spacing w:line="480" w:lineRule="exact"/>
        <w:ind w:firstLine="480" w:firstLineChars="200"/>
        <w:rPr>
          <w:rFonts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u w:val="single"/>
        </w:rPr>
        <w:t xml:space="preserve">                                  </w:t>
      </w:r>
    </w:p>
    <w:p>
      <w:pPr>
        <w:autoSpaceDE w:val="0"/>
        <w:autoSpaceDN w:val="0"/>
        <w:spacing w:line="48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帐号：</w:t>
      </w:r>
      <w:r>
        <w:rPr>
          <w:rFonts w:hint="eastAsia" w:ascii="仿宋" w:hAnsi="仿宋" w:eastAsia="仿宋" w:cs="仿宋"/>
          <w:color w:val="auto"/>
          <w:sz w:val="24"/>
          <w:highlight w:val="none"/>
          <w:u w:val="single"/>
        </w:rPr>
        <w:t xml:space="preserve">                                      </w:t>
      </w:r>
    </w:p>
    <w:p>
      <w:pPr>
        <w:autoSpaceDE w:val="0"/>
        <w:autoSpaceDN w:val="0"/>
        <w:spacing w:line="400" w:lineRule="exact"/>
        <w:ind w:right="48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     月     日</w:t>
      </w:r>
    </w:p>
    <w:p>
      <w:pPr>
        <w:autoSpaceDE w:val="0"/>
        <w:autoSpaceDN w:val="0"/>
        <w:spacing w:line="400" w:lineRule="exact"/>
        <w:ind w:right="480" w:firstLine="480" w:firstLineChars="200"/>
        <w:jc w:val="center"/>
        <w:rPr>
          <w:rFonts w:hint="eastAsia" w:ascii="仿宋" w:hAnsi="仿宋" w:eastAsia="仿宋" w:cs="仿宋"/>
          <w:color w:val="auto"/>
          <w:sz w:val="24"/>
          <w:highlight w:val="none"/>
        </w:rPr>
      </w:pPr>
    </w:p>
    <w:p>
      <w:pPr>
        <w:autoSpaceDE w:val="0"/>
        <w:autoSpaceDN w:val="0"/>
        <w:spacing w:line="400" w:lineRule="exact"/>
        <w:ind w:right="480" w:firstLine="643" w:firstLineChars="200"/>
        <w:jc w:val="center"/>
        <w:outlineLvl w:val="0"/>
        <w:rPr>
          <w:rFonts w:ascii="仿宋" w:hAnsi="仿宋" w:eastAsia="仿宋" w:cs="仿宋"/>
          <w:color w:val="auto"/>
          <w:highlight w:val="none"/>
        </w:rPr>
      </w:pPr>
      <w:bookmarkStart w:id="183" w:name="_Toc3500"/>
      <w:bookmarkStart w:id="184" w:name="_Toc7089"/>
      <w:bookmarkStart w:id="185" w:name="_Toc4275"/>
      <w:r>
        <w:rPr>
          <w:rFonts w:hint="eastAsia" w:ascii="仿宋" w:hAnsi="仿宋" w:eastAsia="仿宋" w:cs="仿宋"/>
          <w:b/>
          <w:color w:val="auto"/>
          <w:sz w:val="32"/>
          <w:szCs w:val="32"/>
          <w:highlight w:val="none"/>
          <w:lang w:eastAsia="zh-CN"/>
        </w:rPr>
        <w:t>二</w:t>
      </w:r>
      <w:r>
        <w:rPr>
          <w:rFonts w:hint="eastAsia" w:ascii="仿宋" w:hAnsi="仿宋" w:eastAsia="仿宋" w:cs="仿宋"/>
          <w:b/>
          <w:color w:val="auto"/>
          <w:sz w:val="32"/>
          <w:szCs w:val="32"/>
          <w:highlight w:val="none"/>
        </w:rPr>
        <w:t>、开标一览表</w:t>
      </w:r>
      <w:bookmarkEnd w:id="183"/>
      <w:bookmarkEnd w:id="184"/>
      <w:bookmarkEnd w:id="185"/>
    </w:p>
    <w:p>
      <w:pPr>
        <w:autoSpaceDE w:val="0"/>
        <w:autoSpaceDN w:val="0"/>
        <w:snapToGrid w:val="0"/>
        <w:spacing w:line="360" w:lineRule="auto"/>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lang w:val="en-US" w:eastAsia="zh-CN"/>
        </w:rPr>
        <w:t>SHCG2022-004</w:t>
      </w:r>
    </w:p>
    <w:tbl>
      <w:tblPr>
        <w:tblStyle w:val="2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456"/>
        <w:gridCol w:w="1672"/>
        <w:gridCol w:w="1097"/>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10"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项目名称</w:t>
            </w:r>
          </w:p>
          <w:p>
            <w:pPr>
              <w:rPr>
                <w:rFonts w:ascii="仿宋" w:hAnsi="仿宋" w:eastAsia="仿宋" w:cs="仿宋"/>
                <w:bCs/>
                <w:color w:val="auto"/>
                <w:sz w:val="24"/>
                <w:highlight w:val="none"/>
              </w:rPr>
            </w:pPr>
          </w:p>
        </w:tc>
        <w:tc>
          <w:tcPr>
            <w:tcW w:w="145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投标总报价（元）</w:t>
            </w:r>
          </w:p>
        </w:tc>
        <w:tc>
          <w:tcPr>
            <w:tcW w:w="167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lang w:eastAsia="zh-CN"/>
              </w:rPr>
              <w:t>交货安装期</w:t>
            </w:r>
            <w:r>
              <w:rPr>
                <w:rFonts w:hint="eastAsia" w:ascii="仿宋" w:hAnsi="仿宋" w:eastAsia="仿宋" w:cs="仿宋"/>
                <w:bCs/>
                <w:color w:val="auto"/>
                <w:sz w:val="24"/>
                <w:highlight w:val="none"/>
              </w:rPr>
              <w:t>（日历天）</w:t>
            </w:r>
          </w:p>
        </w:tc>
        <w:tc>
          <w:tcPr>
            <w:tcW w:w="1097" w:type="dxa"/>
            <w:vAlign w:val="center"/>
          </w:tcPr>
          <w:p>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质保期</w:t>
            </w:r>
          </w:p>
          <w:p>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（年）</w:t>
            </w:r>
          </w:p>
        </w:tc>
        <w:tc>
          <w:tcPr>
            <w:tcW w:w="1221" w:type="dxa"/>
            <w:vAlign w:val="center"/>
          </w:tcPr>
          <w:p>
            <w:pPr>
              <w:keepNext w:val="0"/>
              <w:keepLines w:val="0"/>
              <w:pageBreakBefore w:val="0"/>
              <w:shd w:val="clear" w:color="auto" w:fill="auto"/>
              <w:kinsoku/>
              <w:wordWrap/>
              <w:overflowPunct/>
              <w:topLinePunct w:val="0"/>
              <w:bidi w:val="0"/>
              <w:adjustRightInd/>
              <w:snapToGrid/>
              <w:spacing w:line="500" w:lineRule="exact"/>
              <w:jc w:val="center"/>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质量</w:t>
            </w:r>
          </w:p>
          <w:p>
            <w:pPr>
              <w:jc w:val="center"/>
              <w:rPr>
                <w:rFonts w:ascii="仿宋" w:hAnsi="仿宋" w:eastAsia="仿宋" w:cs="仿宋"/>
                <w:bCs/>
                <w:color w:val="auto"/>
                <w:sz w:val="24"/>
                <w:highlight w:val="none"/>
              </w:rPr>
            </w:pPr>
            <w:r>
              <w:rPr>
                <w:rFonts w:hint="eastAsia" w:ascii="仿宋" w:hAnsi="仿宋" w:eastAsia="仿宋" w:cs="仿宋"/>
                <w:bCs/>
                <w:color w:val="000000"/>
                <w:sz w:val="24"/>
                <w:lang w:eastAsia="zh-CN"/>
              </w:rPr>
              <w:t>要求</w:t>
            </w:r>
          </w:p>
        </w:tc>
        <w:tc>
          <w:tcPr>
            <w:tcW w:w="1221" w:type="dxa"/>
            <w:vAlign w:val="center"/>
          </w:tcPr>
          <w:p>
            <w:pPr>
              <w:jc w:val="center"/>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2810" w:type="dxa"/>
            <w:vAlign w:val="center"/>
          </w:tcPr>
          <w:p>
            <w:pPr>
              <w:spacing w:line="56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平利县全域旅游标识</w:t>
            </w:r>
          </w:p>
          <w:p>
            <w:pPr>
              <w:spacing w:line="5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体系建设项目</w:t>
            </w:r>
          </w:p>
        </w:tc>
        <w:tc>
          <w:tcPr>
            <w:tcW w:w="1456" w:type="dxa"/>
            <w:vAlign w:val="center"/>
          </w:tcPr>
          <w:p>
            <w:pPr>
              <w:spacing w:line="560" w:lineRule="exact"/>
              <w:jc w:val="center"/>
              <w:rPr>
                <w:rFonts w:ascii="仿宋" w:hAnsi="仿宋" w:eastAsia="仿宋" w:cs="仿宋"/>
                <w:bCs/>
                <w:color w:val="auto"/>
                <w:sz w:val="24"/>
                <w:highlight w:val="none"/>
              </w:rPr>
            </w:pPr>
          </w:p>
        </w:tc>
        <w:tc>
          <w:tcPr>
            <w:tcW w:w="1672" w:type="dxa"/>
            <w:vAlign w:val="center"/>
          </w:tcPr>
          <w:p>
            <w:pPr>
              <w:spacing w:line="560" w:lineRule="exact"/>
              <w:ind w:firstLine="240" w:firstLineChars="100"/>
              <w:rPr>
                <w:rFonts w:ascii="仿宋" w:hAnsi="仿宋" w:eastAsia="仿宋" w:cs="仿宋"/>
                <w:bCs/>
                <w:color w:val="auto"/>
                <w:sz w:val="24"/>
                <w:highlight w:val="none"/>
              </w:rPr>
            </w:pPr>
          </w:p>
        </w:tc>
        <w:tc>
          <w:tcPr>
            <w:tcW w:w="1097" w:type="dxa"/>
            <w:vAlign w:val="center"/>
          </w:tcPr>
          <w:p>
            <w:pPr>
              <w:spacing w:line="560" w:lineRule="exact"/>
              <w:jc w:val="center"/>
              <w:rPr>
                <w:rFonts w:ascii="仿宋" w:hAnsi="仿宋" w:eastAsia="仿宋" w:cs="仿宋"/>
                <w:bCs/>
                <w:color w:val="auto"/>
                <w:sz w:val="24"/>
                <w:highlight w:val="none"/>
              </w:rPr>
            </w:pPr>
          </w:p>
        </w:tc>
        <w:tc>
          <w:tcPr>
            <w:tcW w:w="1221" w:type="dxa"/>
            <w:vAlign w:val="center"/>
          </w:tcPr>
          <w:p>
            <w:pPr>
              <w:spacing w:line="560" w:lineRule="exact"/>
              <w:jc w:val="center"/>
              <w:rPr>
                <w:rFonts w:ascii="仿宋" w:hAnsi="仿宋" w:eastAsia="仿宋" w:cs="仿宋"/>
                <w:bCs/>
                <w:color w:val="auto"/>
                <w:sz w:val="24"/>
                <w:highlight w:val="none"/>
              </w:rPr>
            </w:pPr>
          </w:p>
        </w:tc>
        <w:tc>
          <w:tcPr>
            <w:tcW w:w="1221" w:type="dxa"/>
            <w:vAlign w:val="center"/>
          </w:tcPr>
          <w:p>
            <w:pPr>
              <w:spacing w:line="560" w:lineRule="exact"/>
              <w:jc w:val="center"/>
              <w:rPr>
                <w:rFonts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810" w:type="dxa"/>
            <w:vAlign w:val="center"/>
          </w:tcPr>
          <w:p>
            <w:pPr>
              <w:spacing w:line="5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投标总报价</w:t>
            </w:r>
          </w:p>
          <w:p>
            <w:pPr>
              <w:spacing w:line="5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（大写）</w:t>
            </w:r>
          </w:p>
        </w:tc>
        <w:tc>
          <w:tcPr>
            <w:tcW w:w="6667" w:type="dxa"/>
            <w:gridSpan w:val="5"/>
            <w:vAlign w:val="center"/>
          </w:tcPr>
          <w:p>
            <w:pPr>
              <w:spacing w:line="560" w:lineRule="exact"/>
              <w:rPr>
                <w:rFonts w:ascii="仿宋" w:hAnsi="仿宋" w:eastAsia="仿宋" w:cs="仿宋"/>
                <w:bCs/>
                <w:color w:val="auto"/>
                <w:sz w:val="24"/>
                <w:highlight w:val="none"/>
              </w:rPr>
            </w:pPr>
          </w:p>
        </w:tc>
      </w:tr>
    </w:tbl>
    <w:p>
      <w:pPr>
        <w:rPr>
          <w:rFonts w:ascii="仿宋" w:hAnsi="仿宋" w:eastAsia="仿宋" w:cs="仿宋"/>
          <w:color w:val="auto"/>
          <w:sz w:val="24"/>
          <w:highlight w:val="none"/>
        </w:rPr>
      </w:pPr>
    </w:p>
    <w:p>
      <w:pPr>
        <w:adjustRightInd w:val="0"/>
        <w:snapToGrid w:val="0"/>
        <w:spacing w:line="360" w:lineRule="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备注：1、投标报价为含税价，包括但不限于人工费、材料费、机械费、设备费、安装调试费、运输费、其他费用等本项目包含的全部费用。</w:t>
      </w:r>
    </w:p>
    <w:p>
      <w:pPr>
        <w:adjustRightInd w:val="0"/>
        <w:snapToGrid w:val="0"/>
        <w:spacing w:line="360" w:lineRule="auto"/>
        <w:ind w:firstLine="720" w:firstLineChars="3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2、严格按照表格格式报价，保留小数点后两位。</w:t>
      </w:r>
    </w:p>
    <w:p>
      <w:pPr>
        <w:ind w:firstLine="240" w:firstLineChars="100"/>
        <w:rPr>
          <w:rFonts w:ascii="仿宋" w:hAnsi="仿宋" w:eastAsia="仿宋" w:cs="仿宋"/>
          <w:color w:val="auto"/>
          <w:sz w:val="24"/>
          <w:highlight w:val="none"/>
        </w:rPr>
      </w:pPr>
    </w:p>
    <w:p>
      <w:pPr>
        <w:ind w:firstLine="240" w:firstLineChars="100"/>
        <w:rPr>
          <w:rFonts w:ascii="仿宋" w:hAnsi="仿宋" w:eastAsia="仿宋" w:cs="仿宋"/>
          <w:color w:val="auto"/>
          <w:sz w:val="24"/>
          <w:highlight w:val="none"/>
        </w:rPr>
      </w:pPr>
    </w:p>
    <w:p>
      <w:pPr>
        <w:kinsoku w:val="0"/>
        <w:spacing w:line="48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insoku w:val="0"/>
        <w:spacing w:line="48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（盖章）      </w:t>
      </w:r>
    </w:p>
    <w:p>
      <w:pPr>
        <w:kinsoku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（签字或盖章）</w:t>
      </w:r>
    </w:p>
    <w:p>
      <w:pPr>
        <w:kinsoku w:val="0"/>
        <w:spacing w:line="48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val="en-US" w:eastAsia="zh-CN"/>
        </w:rPr>
        <w:t xml:space="preserve">   年   月   日</w:t>
      </w:r>
    </w:p>
    <w:p>
      <w:pPr>
        <w:kinsoku w:val="0"/>
        <w:spacing w:line="360" w:lineRule="auto"/>
        <w:ind w:firstLine="602" w:firstLineChars="200"/>
        <w:rPr>
          <w:rFonts w:ascii="仿宋" w:hAnsi="仿宋" w:eastAsia="仿宋" w:cs="仿宋"/>
          <w:b/>
          <w:bCs/>
          <w:color w:val="auto"/>
          <w:sz w:val="32"/>
          <w:szCs w:val="32"/>
          <w:highlight w:val="none"/>
        </w:rPr>
      </w:pPr>
      <w:r>
        <w:rPr>
          <w:rFonts w:hint="eastAsia" w:ascii="仿宋" w:hAnsi="仿宋" w:eastAsia="仿宋" w:cs="仿宋"/>
          <w:b/>
          <w:color w:val="auto"/>
          <w:sz w:val="30"/>
          <w:szCs w:val="32"/>
          <w:highlight w:val="none"/>
        </w:rPr>
        <w:br w:type="page"/>
      </w:r>
    </w:p>
    <w:p>
      <w:pPr>
        <w:autoSpaceDE w:val="0"/>
        <w:autoSpaceDN w:val="0"/>
        <w:spacing w:line="400" w:lineRule="exact"/>
        <w:ind w:right="480" w:firstLine="643" w:firstLineChars="200"/>
        <w:jc w:val="center"/>
        <w:rPr>
          <w:rFonts w:hint="eastAsia" w:ascii="仿宋" w:hAnsi="仿宋" w:eastAsia="仿宋" w:cs="仿宋"/>
          <w:color w:val="auto"/>
          <w:sz w:val="24"/>
          <w:highlight w:val="none"/>
        </w:rPr>
      </w:pPr>
      <w:bookmarkStart w:id="186" w:name="_Toc18575"/>
      <w:bookmarkStart w:id="187" w:name="_Toc14444"/>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分项报价表</w:t>
      </w:r>
      <w:bookmarkEnd w:id="186"/>
      <w:bookmarkEnd w:id="187"/>
    </w:p>
    <w:p>
      <w:pPr>
        <w:spacing w:line="400" w:lineRule="exact"/>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 xml:space="preserve">                  </w:t>
      </w:r>
    </w:p>
    <w:p>
      <w:pPr>
        <w:spacing w:line="400" w:lineRule="exact"/>
        <w:ind w:firstLine="480" w:firstLineChars="200"/>
        <w:rPr>
          <w:rFonts w:ascii="宋体" w:hAnsi="宋体" w:cs="宋体"/>
          <w:sz w:val="28"/>
          <w:szCs w:val="28"/>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val="en-US" w:eastAsia="zh-CN"/>
        </w:rPr>
        <w:t xml:space="preserve">                  </w:t>
      </w:r>
      <w:r>
        <w:rPr>
          <w:rFonts w:hint="eastAsia" w:ascii="宋体" w:hAnsi="宋体" w:cs="宋体"/>
          <w:sz w:val="28"/>
          <w:szCs w:val="28"/>
          <w:highlight w:val="none"/>
        </w:rPr>
        <w:t xml:space="preserve">                                 </w:t>
      </w:r>
    </w:p>
    <w:tbl>
      <w:tblPr>
        <w:tblStyle w:val="2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02"/>
        <w:gridCol w:w="1302"/>
        <w:gridCol w:w="1302"/>
        <w:gridCol w:w="1302"/>
        <w:gridCol w:w="1302"/>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序号</w:t>
            </w:r>
          </w:p>
        </w:tc>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名称</w:t>
            </w:r>
          </w:p>
        </w:tc>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规格</w:t>
            </w:r>
          </w:p>
        </w:tc>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单位</w:t>
            </w:r>
          </w:p>
        </w:tc>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数量</w:t>
            </w:r>
          </w:p>
        </w:tc>
        <w:tc>
          <w:tcPr>
            <w:tcW w:w="1302"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单价（元）</w:t>
            </w:r>
          </w:p>
        </w:tc>
        <w:tc>
          <w:tcPr>
            <w:tcW w:w="1303" w:type="dxa"/>
            <w:vAlign w:val="center"/>
          </w:tcPr>
          <w:p>
            <w:pPr>
              <w:adjustRightInd w:val="0"/>
              <w:snapToGrid w:val="0"/>
              <w:spacing w:line="360" w:lineRule="auto"/>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c>
          <w:tcPr>
            <w:tcW w:w="1303" w:type="dxa"/>
            <w:vAlign w:val="center"/>
          </w:tcPr>
          <w:p>
            <w:pPr>
              <w:adjustRightInd w:val="0"/>
              <w:snapToGrid w:val="0"/>
              <w:spacing w:line="360" w:lineRule="auto"/>
              <w:jc w:val="center"/>
              <w:rPr>
                <w:rFonts w:hint="eastAsia" w:ascii="仿宋" w:hAnsi="仿宋" w:eastAsia="仿宋" w:cs="仿宋"/>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02" w:type="dxa"/>
            <w:vMerge w:val="restart"/>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合计</w:t>
            </w:r>
          </w:p>
        </w:tc>
        <w:tc>
          <w:tcPr>
            <w:tcW w:w="7813" w:type="dxa"/>
            <w:gridSpan w:val="6"/>
            <w:vAlign w:val="center"/>
          </w:tcPr>
          <w:p>
            <w:pPr>
              <w:adjustRightInd w:val="0"/>
              <w:snapToGrid w:val="0"/>
              <w:spacing w:line="360" w:lineRule="auto"/>
              <w:jc w:val="both"/>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02" w:type="dxa"/>
            <w:vMerge w:val="continue"/>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p>
        </w:tc>
        <w:tc>
          <w:tcPr>
            <w:tcW w:w="7813" w:type="dxa"/>
            <w:gridSpan w:val="6"/>
            <w:vAlign w:val="center"/>
          </w:tcPr>
          <w:p>
            <w:pPr>
              <w:adjustRightInd w:val="0"/>
              <w:snapToGrid w:val="0"/>
              <w:spacing w:line="360" w:lineRule="auto"/>
              <w:jc w:val="both"/>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2" w:type="dxa"/>
            <w:vAlign w:val="center"/>
          </w:tcPr>
          <w:p>
            <w:pPr>
              <w:adjustRightInd w:val="0"/>
              <w:snapToGrid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c>
          <w:tcPr>
            <w:tcW w:w="7813" w:type="dxa"/>
            <w:gridSpan w:val="6"/>
            <w:vAlign w:val="center"/>
          </w:tcPr>
          <w:p>
            <w:pPr>
              <w:adjustRightInd w:val="0"/>
              <w:snapToGrid w:val="0"/>
              <w:spacing w:line="360" w:lineRule="auto"/>
              <w:jc w:val="left"/>
              <w:rPr>
                <w:rFonts w:hint="eastAsia" w:ascii="仿宋" w:hAnsi="仿宋" w:eastAsia="仿宋" w:cs="仿宋"/>
                <w:sz w:val="24"/>
                <w:szCs w:val="24"/>
                <w:highlight w:val="none"/>
                <w:vertAlign w:val="baseline"/>
              </w:rPr>
            </w:pPr>
          </w:p>
        </w:tc>
      </w:tr>
    </w:tbl>
    <w:p>
      <w:pPr>
        <w:adjustRightInd w:val="0"/>
        <w:snapToGrid w:val="0"/>
        <w:spacing w:line="360" w:lineRule="auto"/>
        <w:rPr>
          <w:rFonts w:hint="eastAsia" w:ascii="仿宋" w:hAnsi="仿宋" w:eastAsia="仿宋" w:cs="仿宋"/>
          <w:b/>
          <w:bCs/>
          <w:sz w:val="24"/>
          <w:szCs w:val="24"/>
          <w:highlight w:val="none"/>
          <w:lang w:eastAsia="zh-CN"/>
        </w:rPr>
      </w:pPr>
    </w:p>
    <w:p>
      <w:pPr>
        <w:adjustRightInd w:val="0"/>
        <w:snapToGrid w:val="0"/>
        <w:spacing w:line="360" w:lineRule="auto"/>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eastAsia="zh-CN"/>
        </w:rPr>
        <w:t>备注：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本表仅供参考，投标供应商可根据项目情况自行编制分项报价明细表。</w:t>
      </w:r>
    </w:p>
    <w:p>
      <w:pPr>
        <w:adjustRightInd w:val="0"/>
        <w:snapToGrid w:val="0"/>
        <w:spacing w:line="360" w:lineRule="auto"/>
        <w:ind w:firstLine="720" w:firstLineChars="3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2.“分项报价表”各分项报价合计应当与“报价一览表”报价合计一致。</w:t>
      </w:r>
    </w:p>
    <w:p>
      <w:pPr>
        <w:adjustRightInd w:val="0"/>
        <w:snapToGrid w:val="0"/>
        <w:spacing w:line="360" w:lineRule="auto"/>
        <w:ind w:firstLine="720" w:firstLineChars="300"/>
        <w:rPr>
          <w:rFonts w:hint="eastAsia"/>
          <w:b w:val="0"/>
          <w:bCs w:val="0"/>
          <w:lang w:eastAsia="zh-CN"/>
        </w:rPr>
      </w:pPr>
      <w:r>
        <w:rPr>
          <w:rFonts w:hint="eastAsia" w:ascii="仿宋" w:hAnsi="仿宋" w:eastAsia="仿宋" w:cs="仿宋"/>
          <w:b w:val="0"/>
          <w:bCs w:val="0"/>
          <w:sz w:val="24"/>
          <w:szCs w:val="24"/>
          <w:highlight w:val="none"/>
          <w:lang w:val="en-US" w:eastAsia="zh-CN"/>
        </w:rPr>
        <w:t>3.投标供应商自行承担填写错误被视为无效投标文件的风险。</w:t>
      </w:r>
    </w:p>
    <w:p>
      <w:pPr>
        <w:pStyle w:val="5"/>
        <w:jc w:val="center"/>
        <w:outlineLvl w:val="9"/>
        <w:rPr>
          <w:rFonts w:hint="eastAsia" w:ascii="仿宋" w:hAnsi="仿宋" w:eastAsia="仿宋" w:cs="仿宋"/>
          <w:sz w:val="40"/>
          <w:szCs w:val="40"/>
          <w:highlight w:val="none"/>
        </w:rPr>
      </w:pPr>
    </w:p>
    <w:p>
      <w:pPr>
        <w:kinsoku w:val="0"/>
        <w:spacing w:line="48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（盖章）      </w:t>
      </w:r>
    </w:p>
    <w:p>
      <w:pPr>
        <w:kinsoku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（签字或盖章）</w:t>
      </w:r>
    </w:p>
    <w:p>
      <w:pPr>
        <w:kinsoku w:val="0"/>
        <w:spacing w:line="48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val="en-US" w:eastAsia="zh-CN"/>
        </w:rPr>
        <w:t xml:space="preserve">   年   月   日</w:t>
      </w:r>
    </w:p>
    <w:p>
      <w:pPr>
        <w:autoSpaceDE w:val="0"/>
        <w:autoSpaceDN w:val="0"/>
        <w:spacing w:line="400" w:lineRule="exact"/>
        <w:ind w:right="480" w:firstLine="800" w:firstLineChars="200"/>
        <w:jc w:val="center"/>
        <w:rPr>
          <w:rFonts w:hint="eastAsia" w:ascii="宋体" w:hAnsi="宋体"/>
          <w:sz w:val="40"/>
          <w:szCs w:val="40"/>
          <w:highlight w:val="none"/>
        </w:rPr>
      </w:pPr>
    </w:p>
    <w:p>
      <w:pPr>
        <w:autoSpaceDE w:val="0"/>
        <w:autoSpaceDN w:val="0"/>
        <w:spacing w:line="400" w:lineRule="exact"/>
        <w:ind w:right="480"/>
        <w:jc w:val="both"/>
        <w:rPr>
          <w:rFonts w:hint="eastAsia" w:ascii="宋体" w:hAnsi="宋体"/>
          <w:sz w:val="40"/>
          <w:szCs w:val="40"/>
          <w:highlight w:val="none"/>
        </w:rPr>
      </w:pPr>
    </w:p>
    <w:p>
      <w:pPr>
        <w:autoSpaceDE w:val="0"/>
        <w:autoSpaceDN w:val="0"/>
        <w:spacing w:line="400" w:lineRule="exact"/>
        <w:ind w:right="480"/>
        <w:jc w:val="center"/>
        <w:outlineLvl w:val="0"/>
        <w:rPr>
          <w:rFonts w:hint="eastAsia" w:ascii="仿宋" w:hAnsi="仿宋" w:eastAsia="仿宋" w:cs="仿宋"/>
          <w:b/>
          <w:color w:val="auto"/>
          <w:sz w:val="32"/>
          <w:szCs w:val="32"/>
          <w:highlight w:val="none"/>
          <w:lang w:eastAsia="zh-CN"/>
        </w:rPr>
      </w:pPr>
      <w:bookmarkStart w:id="188" w:name="_Toc19857"/>
      <w:bookmarkStart w:id="189" w:name="_Toc9042"/>
      <w:bookmarkStart w:id="190" w:name="_Toc22236"/>
      <w:r>
        <w:rPr>
          <w:rFonts w:hint="eastAsia" w:ascii="仿宋" w:hAnsi="仿宋" w:eastAsia="仿宋" w:cs="仿宋"/>
          <w:b/>
          <w:color w:val="auto"/>
          <w:sz w:val="32"/>
          <w:szCs w:val="32"/>
          <w:highlight w:val="none"/>
          <w:lang w:eastAsia="zh-CN"/>
        </w:rPr>
        <w:t>三</w:t>
      </w:r>
      <w:r>
        <w:rPr>
          <w:rFonts w:hint="eastAsia" w:ascii="仿宋" w:hAnsi="仿宋" w:eastAsia="仿宋" w:cs="仿宋"/>
          <w:b/>
          <w:color w:val="auto"/>
          <w:sz w:val="32"/>
          <w:szCs w:val="32"/>
          <w:highlight w:val="none"/>
        </w:rPr>
        <w:t>、商务响应</w:t>
      </w:r>
      <w:r>
        <w:rPr>
          <w:rFonts w:hint="eastAsia" w:ascii="仿宋" w:hAnsi="仿宋" w:eastAsia="仿宋" w:cs="仿宋"/>
          <w:b/>
          <w:color w:val="auto"/>
          <w:sz w:val="32"/>
          <w:szCs w:val="32"/>
          <w:highlight w:val="none"/>
          <w:lang w:eastAsia="zh-CN"/>
        </w:rPr>
        <w:t>说明</w:t>
      </w:r>
      <w:bookmarkEnd w:id="188"/>
      <w:bookmarkEnd w:id="189"/>
      <w:bookmarkEnd w:id="190"/>
    </w:p>
    <w:p>
      <w:pPr>
        <w:tabs>
          <w:tab w:val="left" w:pos="5518"/>
        </w:tabs>
        <w:spacing w:line="422" w:lineRule="auto"/>
        <w:rPr>
          <w:rFonts w:hint="eastAsia" w:ascii="仿宋" w:hAnsi="仿宋" w:eastAsia="仿宋" w:cs="仿宋"/>
          <w:b/>
          <w:bCs/>
          <w:sz w:val="24"/>
          <w:szCs w:val="32"/>
          <w:lang w:val="en-US" w:eastAsia="zh-CN"/>
        </w:rPr>
      </w:pPr>
    </w:p>
    <w:p>
      <w:pPr>
        <w:tabs>
          <w:tab w:val="left" w:pos="5518"/>
        </w:tabs>
        <w:spacing w:line="422"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投标供应商依据各自的格式自行编写响应说明，但应包含以下内容：</w:t>
      </w:r>
    </w:p>
    <w:p>
      <w:pPr>
        <w:spacing w:line="440" w:lineRule="exact"/>
        <w:ind w:firstLine="480" w:firstLineChars="200"/>
        <w:jc w:val="left"/>
        <w:outlineLvl w:val="9"/>
        <w:rPr>
          <w:rFonts w:hint="eastAsia" w:ascii="仿宋" w:hAnsi="仿宋" w:eastAsia="仿宋" w:cs="仿宋"/>
          <w:b/>
          <w:bCs/>
          <w:color w:val="auto"/>
          <w:sz w:val="32"/>
          <w:szCs w:val="32"/>
          <w:highlight w:val="none"/>
        </w:rPr>
      </w:pPr>
      <w:r>
        <w:rPr>
          <w:rFonts w:hint="eastAsia" w:ascii="仿宋" w:hAnsi="仿宋" w:eastAsia="仿宋" w:cs="仿宋"/>
          <w:b w:val="0"/>
          <w:bCs/>
          <w:color w:val="auto"/>
          <w:sz w:val="24"/>
          <w:highlight w:val="none"/>
          <w:lang w:val="en-US" w:eastAsia="zh-CN"/>
        </w:rPr>
        <w:t>1、投标供应商须对付款、交货、安装、验收、售后服务及承诺等方面进行逐项详细说明。</w:t>
      </w:r>
    </w:p>
    <w:p>
      <w:pPr>
        <w:kinsoku w:val="0"/>
        <w:spacing w:line="480" w:lineRule="auto"/>
        <w:ind w:firstLine="480" w:firstLineChars="200"/>
        <w:rPr>
          <w:rFonts w:hint="eastAsia" w:ascii="仿宋" w:hAnsi="仿宋" w:eastAsia="仿宋" w:cs="仿宋"/>
          <w:color w:val="auto"/>
          <w:sz w:val="24"/>
          <w:highlight w:val="none"/>
        </w:rPr>
      </w:pPr>
    </w:p>
    <w:p>
      <w:pPr>
        <w:kinsoku w:val="0"/>
        <w:spacing w:line="480" w:lineRule="auto"/>
        <w:ind w:firstLine="480" w:firstLineChars="200"/>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rPr>
      </w:pPr>
    </w:p>
    <w:p>
      <w:pPr>
        <w:kinsoku w:val="0"/>
        <w:spacing w:line="480" w:lineRule="auto"/>
        <w:ind w:firstLine="480" w:firstLineChars="200"/>
        <w:rPr>
          <w:rFonts w:hint="eastAsia" w:ascii="仿宋" w:hAnsi="仿宋" w:eastAsia="仿宋" w:cs="仿宋"/>
          <w:color w:val="auto"/>
          <w:sz w:val="24"/>
          <w:highlight w:val="none"/>
        </w:rPr>
      </w:pPr>
    </w:p>
    <w:p>
      <w:pPr>
        <w:kinsoku w:val="0"/>
        <w:spacing w:line="48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（盖章）      </w:t>
      </w:r>
    </w:p>
    <w:p>
      <w:pPr>
        <w:kinsoku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（签字或盖章）</w:t>
      </w:r>
    </w:p>
    <w:p>
      <w:pPr>
        <w:kinsoku w:val="0"/>
        <w:spacing w:line="480" w:lineRule="auto"/>
        <w:ind w:firstLine="480" w:firstLineChars="200"/>
        <w:rPr>
          <w:rFonts w:ascii="Calibri"/>
          <w:sz w:val="21"/>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val="en-US" w:eastAsia="zh-CN"/>
        </w:rPr>
        <w:t xml:space="preserve">   年   月   日</w:t>
      </w: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rPr>
          <w:rFonts w:hint="eastAsia" w:ascii="仿宋" w:hAnsi="仿宋" w:eastAsia="仿宋" w:cs="仿宋"/>
          <w:b/>
          <w:bCs/>
          <w:color w:val="auto"/>
          <w:sz w:val="32"/>
          <w:szCs w:val="32"/>
          <w:highlight w:val="none"/>
        </w:rPr>
      </w:pPr>
    </w:p>
    <w:p>
      <w:pPr>
        <w:pStyle w:val="2"/>
        <w:rPr>
          <w:rFonts w:hint="eastAsia" w:ascii="仿宋" w:hAnsi="仿宋" w:eastAsia="仿宋" w:cs="仿宋"/>
          <w:b/>
          <w:bCs/>
          <w:color w:val="auto"/>
          <w:sz w:val="32"/>
          <w:szCs w:val="32"/>
          <w:highlight w:val="none"/>
        </w:rPr>
      </w:pPr>
    </w:p>
    <w:p>
      <w:pPr>
        <w:pStyle w:val="2"/>
        <w:rPr>
          <w:rFonts w:hint="eastAsia"/>
        </w:rPr>
      </w:pPr>
    </w:p>
    <w:p>
      <w:pPr>
        <w:widowControl/>
        <w:adjustRightInd w:val="0"/>
        <w:snapToGrid w:val="0"/>
        <w:spacing w:line="520" w:lineRule="exact"/>
        <w:jc w:val="center"/>
        <w:rPr>
          <w:rFonts w:hint="eastAsia" w:ascii="仿宋" w:hAnsi="仿宋" w:eastAsia="仿宋" w:cs="仿宋"/>
          <w:b/>
          <w:bCs/>
          <w:color w:val="000000"/>
          <w:sz w:val="30"/>
          <w:szCs w:val="30"/>
          <w:lang w:val="en-US" w:eastAsia="zh-CN"/>
        </w:rPr>
      </w:pPr>
      <w:bookmarkStart w:id="191" w:name="_Toc13504"/>
      <w:r>
        <w:rPr>
          <w:rFonts w:hint="eastAsia" w:ascii="仿宋" w:hAnsi="仿宋" w:eastAsia="仿宋" w:cs="仿宋"/>
          <w:b/>
          <w:bCs/>
          <w:color w:val="000000"/>
          <w:sz w:val="30"/>
          <w:szCs w:val="30"/>
          <w:lang w:val="en-US" w:eastAsia="zh-CN"/>
        </w:rPr>
        <w:t>四、技术响应偏差表</w:t>
      </w:r>
    </w:p>
    <w:p>
      <w:pPr>
        <w:spacing w:line="360" w:lineRule="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 xml:space="preserve">                  </w:t>
      </w:r>
    </w:p>
    <w:p>
      <w:pPr>
        <w:pStyle w:val="2"/>
        <w:spacing w:line="360" w:lineRule="auto"/>
        <w:rPr>
          <w:rFonts w:hint="eastAsia"/>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val="en-US" w:eastAsia="zh-CN"/>
        </w:rPr>
        <w:t xml:space="preserve">                  </w:t>
      </w:r>
      <w:r>
        <w:rPr>
          <w:rFonts w:hint="eastAsia" w:ascii="宋体" w:hAnsi="宋体" w:cs="宋体"/>
          <w:sz w:val="28"/>
          <w:szCs w:val="28"/>
          <w:highlight w:val="none"/>
        </w:rPr>
        <w:t xml:space="preserve">  </w:t>
      </w:r>
    </w:p>
    <w:tbl>
      <w:tblPr>
        <w:tblStyle w:val="26"/>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11"/>
        <w:gridCol w:w="2697"/>
        <w:gridCol w:w="182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84" w:type="dxa"/>
            <w:vAlign w:val="center"/>
          </w:tcPr>
          <w:p>
            <w:pPr>
              <w:pStyle w:val="14"/>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2611" w:type="dxa"/>
            <w:vAlign w:val="center"/>
          </w:tcPr>
          <w:p>
            <w:pPr>
              <w:pStyle w:val="14"/>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招标文件要求</w:t>
            </w:r>
          </w:p>
        </w:tc>
        <w:tc>
          <w:tcPr>
            <w:tcW w:w="2697" w:type="dxa"/>
            <w:vAlign w:val="center"/>
          </w:tcPr>
          <w:p>
            <w:pPr>
              <w:pStyle w:val="14"/>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投标文件应答</w:t>
            </w:r>
          </w:p>
        </w:tc>
        <w:tc>
          <w:tcPr>
            <w:tcW w:w="1825" w:type="dxa"/>
            <w:vAlign w:val="center"/>
          </w:tcPr>
          <w:p>
            <w:pPr>
              <w:pStyle w:val="14"/>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w:t>
            </w:r>
          </w:p>
        </w:tc>
        <w:tc>
          <w:tcPr>
            <w:tcW w:w="1682" w:type="dxa"/>
            <w:vAlign w:val="center"/>
          </w:tcPr>
          <w:p>
            <w:pPr>
              <w:pStyle w:val="14"/>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center"/>
          </w:tcPr>
          <w:p>
            <w:pPr>
              <w:pStyle w:val="14"/>
              <w:spacing w:line="600" w:lineRule="exact"/>
              <w:rPr>
                <w:rFonts w:hint="eastAsia" w:hAnsi="宋体" w:cs="仿宋_GB2312"/>
                <w:color w:val="auto"/>
                <w:sz w:val="24"/>
                <w:szCs w:val="24"/>
                <w:lang w:val="en-US" w:eastAsia="zh-CN"/>
              </w:rPr>
            </w:pPr>
          </w:p>
        </w:tc>
        <w:tc>
          <w:tcPr>
            <w:tcW w:w="2697" w:type="dxa"/>
            <w:vAlign w:val="center"/>
          </w:tcPr>
          <w:p>
            <w:pPr>
              <w:pStyle w:val="14"/>
              <w:spacing w:line="600" w:lineRule="exact"/>
              <w:rPr>
                <w:rFonts w:hint="eastAsia" w:hAnsi="宋体" w:cs="仿宋_GB2312"/>
                <w:color w:val="auto"/>
                <w:sz w:val="24"/>
                <w:szCs w:val="24"/>
                <w:lang w:val="en-US" w:eastAsia="zh-CN"/>
              </w:rPr>
            </w:pPr>
          </w:p>
        </w:tc>
        <w:tc>
          <w:tcPr>
            <w:tcW w:w="1825" w:type="dxa"/>
            <w:vAlign w:val="center"/>
          </w:tcPr>
          <w:p>
            <w:pPr>
              <w:pStyle w:val="14"/>
              <w:spacing w:line="600" w:lineRule="exact"/>
              <w:rPr>
                <w:rFonts w:hint="eastAsia" w:hAnsi="宋体" w:cs="仿宋_GB2312"/>
                <w:color w:val="auto"/>
                <w:sz w:val="24"/>
                <w:szCs w:val="24"/>
                <w:lang w:val="en-US" w:eastAsia="zh-CN"/>
              </w:rPr>
            </w:pPr>
          </w:p>
        </w:tc>
        <w:tc>
          <w:tcPr>
            <w:tcW w:w="1682" w:type="dxa"/>
            <w:vAlign w:val="center"/>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4" w:type="dxa"/>
            <w:vAlign w:val="top"/>
          </w:tcPr>
          <w:p>
            <w:pPr>
              <w:pStyle w:val="14"/>
              <w:spacing w:line="600" w:lineRule="exact"/>
              <w:rPr>
                <w:rFonts w:hint="eastAsia" w:hAnsi="宋体" w:cs="仿宋_GB2312"/>
                <w:color w:val="auto"/>
                <w:sz w:val="24"/>
                <w:szCs w:val="24"/>
                <w:lang w:val="en-US" w:eastAsia="zh-CN"/>
              </w:rPr>
            </w:pPr>
          </w:p>
        </w:tc>
        <w:tc>
          <w:tcPr>
            <w:tcW w:w="2611" w:type="dxa"/>
            <w:vAlign w:val="top"/>
          </w:tcPr>
          <w:p>
            <w:pPr>
              <w:pStyle w:val="14"/>
              <w:spacing w:line="600" w:lineRule="exact"/>
              <w:rPr>
                <w:rFonts w:hint="eastAsia" w:hAnsi="宋体" w:cs="仿宋_GB2312"/>
                <w:color w:val="auto"/>
                <w:sz w:val="24"/>
                <w:szCs w:val="24"/>
                <w:lang w:val="en-US" w:eastAsia="zh-CN"/>
              </w:rPr>
            </w:pPr>
          </w:p>
        </w:tc>
        <w:tc>
          <w:tcPr>
            <w:tcW w:w="2697" w:type="dxa"/>
            <w:vAlign w:val="top"/>
          </w:tcPr>
          <w:p>
            <w:pPr>
              <w:pStyle w:val="14"/>
              <w:spacing w:line="600" w:lineRule="exact"/>
              <w:rPr>
                <w:rFonts w:hint="eastAsia" w:hAnsi="宋体" w:cs="仿宋_GB2312"/>
                <w:color w:val="auto"/>
                <w:sz w:val="24"/>
                <w:szCs w:val="24"/>
                <w:lang w:val="en-US" w:eastAsia="zh-CN"/>
              </w:rPr>
            </w:pPr>
          </w:p>
        </w:tc>
        <w:tc>
          <w:tcPr>
            <w:tcW w:w="1825" w:type="dxa"/>
            <w:vAlign w:val="top"/>
          </w:tcPr>
          <w:p>
            <w:pPr>
              <w:pStyle w:val="14"/>
              <w:spacing w:line="600" w:lineRule="exact"/>
              <w:rPr>
                <w:rFonts w:hint="eastAsia" w:hAnsi="宋体" w:cs="仿宋_GB2312"/>
                <w:color w:val="auto"/>
                <w:sz w:val="24"/>
                <w:szCs w:val="24"/>
                <w:lang w:val="en-US" w:eastAsia="zh-CN"/>
              </w:rPr>
            </w:pPr>
          </w:p>
        </w:tc>
        <w:tc>
          <w:tcPr>
            <w:tcW w:w="1682" w:type="dxa"/>
            <w:vAlign w:val="top"/>
          </w:tcPr>
          <w:p>
            <w:pPr>
              <w:pStyle w:val="14"/>
              <w:spacing w:line="600" w:lineRule="exact"/>
              <w:rPr>
                <w:rFonts w:hint="eastAsia" w:hAnsi="宋体" w:cs="仿宋_GB2312"/>
                <w:color w:val="auto"/>
                <w:sz w:val="24"/>
                <w:szCs w:val="24"/>
                <w:lang w:val="en-US" w:eastAsia="zh-CN"/>
              </w:rPr>
            </w:pPr>
          </w:p>
        </w:tc>
      </w:tr>
    </w:tbl>
    <w:p>
      <w:pPr>
        <w:spacing w:before="78" w:line="338" w:lineRule="auto"/>
        <w:ind w:right="387"/>
        <w:jc w:val="left"/>
        <w:rPr>
          <w:rFonts w:hint="eastAsia" w:ascii="仿宋" w:hAnsi="仿宋" w:eastAsia="仿宋" w:cs="仿宋"/>
          <w:b/>
          <w:bCs/>
          <w:spacing w:val="-2"/>
          <w:sz w:val="24"/>
          <w:szCs w:val="24"/>
        </w:rPr>
      </w:pPr>
      <w:r>
        <w:rPr>
          <w:rFonts w:hint="eastAsia" w:ascii="仿宋" w:hAnsi="仿宋" w:eastAsia="仿宋" w:cs="仿宋"/>
          <w:b/>
          <w:bCs/>
          <w:spacing w:val="-2"/>
          <w:sz w:val="24"/>
          <w:szCs w:val="24"/>
        </w:rPr>
        <w:t>注：</w:t>
      </w:r>
      <w:r>
        <w:rPr>
          <w:rFonts w:hint="eastAsia" w:ascii="仿宋" w:hAnsi="仿宋" w:eastAsia="仿宋" w:cs="仿宋"/>
          <w:b/>
          <w:bCs/>
          <w:spacing w:val="-2"/>
          <w:sz w:val="24"/>
          <w:szCs w:val="24"/>
          <w:lang w:val="en-US" w:eastAsia="zh-CN"/>
        </w:rPr>
        <w:t>1.</w:t>
      </w:r>
      <w:r>
        <w:rPr>
          <w:rFonts w:hint="eastAsia" w:ascii="仿宋" w:hAnsi="仿宋" w:eastAsia="仿宋" w:cs="仿宋"/>
          <w:b/>
          <w:bCs/>
          <w:spacing w:val="-2"/>
          <w:sz w:val="24"/>
          <w:szCs w:val="24"/>
        </w:rPr>
        <w:t>如有漏报、瞒报招标文件所要求</w:t>
      </w:r>
      <w:r>
        <w:rPr>
          <w:rFonts w:hint="eastAsia" w:ascii="仿宋" w:hAnsi="仿宋" w:eastAsia="仿宋" w:cs="仿宋"/>
          <w:b/>
          <w:bCs/>
          <w:spacing w:val="-2"/>
          <w:sz w:val="24"/>
          <w:szCs w:val="24"/>
          <w:lang w:eastAsia="zh-CN"/>
        </w:rPr>
        <w:t>的</w:t>
      </w:r>
      <w:r>
        <w:rPr>
          <w:rFonts w:hint="eastAsia" w:ascii="仿宋" w:hAnsi="仿宋" w:eastAsia="仿宋" w:cs="仿宋"/>
          <w:b/>
          <w:bCs/>
          <w:spacing w:val="-2"/>
          <w:sz w:val="24"/>
          <w:szCs w:val="24"/>
        </w:rPr>
        <w:t>指标等将视为没有实质性响应招标文件。表格内填写不完的可在表后添加附件。</w:t>
      </w:r>
    </w:p>
    <w:p>
      <w:pPr>
        <w:spacing w:before="78" w:line="338" w:lineRule="auto"/>
        <w:ind w:right="387" w:firstLine="474" w:firstLineChars="200"/>
        <w:jc w:val="left"/>
        <w:rPr>
          <w:rFonts w:hint="eastAsia" w:ascii="仿宋" w:hAnsi="仿宋" w:eastAsia="仿宋" w:cs="仿宋"/>
          <w:b/>
          <w:bCs/>
          <w:spacing w:val="-2"/>
          <w:sz w:val="24"/>
          <w:szCs w:val="24"/>
        </w:rPr>
      </w:pPr>
      <w:r>
        <w:rPr>
          <w:rFonts w:hint="eastAsia" w:ascii="仿宋" w:hAnsi="仿宋" w:eastAsia="仿宋" w:cs="仿宋"/>
          <w:b/>
          <w:bCs/>
          <w:spacing w:val="-2"/>
          <w:sz w:val="24"/>
          <w:szCs w:val="24"/>
          <w:lang w:val="en-US" w:eastAsia="zh-CN"/>
        </w:rPr>
        <w:t>2.技术参数响应偏离情况是投标供应商拟投货物技术参数与招标文件要求比对</w:t>
      </w:r>
      <w:r>
        <w:rPr>
          <w:rFonts w:hint="eastAsia" w:ascii="仿宋" w:hAnsi="仿宋" w:eastAsia="仿宋" w:cs="仿宋"/>
          <w:b/>
          <w:bCs/>
          <w:spacing w:val="-2"/>
          <w:sz w:val="24"/>
          <w:szCs w:val="24"/>
        </w:rPr>
        <w:t>响应说明填写：正偏、负偏、相同。</w:t>
      </w:r>
    </w:p>
    <w:p>
      <w:pPr>
        <w:kinsoku w:val="0"/>
        <w:spacing w:line="480" w:lineRule="auto"/>
        <w:ind w:firstLine="482" w:firstLineChars="200"/>
        <w:rPr>
          <w:rFonts w:hint="eastAsia" w:ascii="仿宋" w:hAnsi="仿宋" w:eastAsia="仿宋" w:cs="仿宋"/>
          <w:b/>
          <w:bCs/>
          <w:color w:val="auto"/>
          <w:sz w:val="24"/>
          <w:highlight w:val="none"/>
          <w:lang w:eastAsia="zh-CN"/>
        </w:rPr>
      </w:pPr>
    </w:p>
    <w:p>
      <w:pPr>
        <w:kinsoku w:val="0"/>
        <w:spacing w:line="48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（盖章）      </w:t>
      </w:r>
    </w:p>
    <w:p>
      <w:pPr>
        <w:kinsoku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（签字或盖章）</w:t>
      </w:r>
    </w:p>
    <w:p>
      <w:pPr>
        <w:kinsoku w:val="0"/>
        <w:spacing w:line="480" w:lineRule="auto"/>
        <w:ind w:firstLine="480" w:firstLineChars="200"/>
        <w:rPr>
          <w:rFonts w:ascii="Calibri"/>
          <w:sz w:val="21"/>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val="en-US" w:eastAsia="zh-CN"/>
        </w:rPr>
        <w:t xml:space="preserve">   年   月   日</w:t>
      </w:r>
    </w:p>
    <w:p>
      <w:pPr>
        <w:spacing w:line="440" w:lineRule="exact"/>
        <w:jc w:val="both"/>
        <w:outlineLvl w:val="9"/>
        <w:rPr>
          <w:rFonts w:hint="eastAsia" w:ascii="宋体" w:hAnsi="宋体" w:cs="仿宋_GB2312"/>
          <w:color w:val="auto"/>
          <w:sz w:val="24"/>
        </w:rPr>
      </w:pPr>
    </w:p>
    <w:p>
      <w:pPr>
        <w:spacing w:line="440" w:lineRule="exact"/>
        <w:jc w:val="center"/>
        <w:outlineLvl w:val="9"/>
        <w:rPr>
          <w:rFonts w:hint="eastAsia" w:ascii="仿宋" w:hAnsi="仿宋" w:eastAsia="仿宋" w:cs="仿宋"/>
          <w:b/>
          <w:bCs/>
          <w:color w:val="auto"/>
          <w:sz w:val="32"/>
          <w:szCs w:val="32"/>
          <w:highlight w:val="none"/>
          <w:lang w:eastAsia="zh-CN"/>
        </w:rPr>
      </w:pPr>
      <w:bookmarkStart w:id="192" w:name="_Toc2858"/>
    </w:p>
    <w:p>
      <w:pPr>
        <w:pStyle w:val="2"/>
        <w:rPr>
          <w:rFonts w:hint="eastAsia" w:ascii="仿宋" w:hAnsi="仿宋" w:eastAsia="仿宋" w:cs="仿宋"/>
          <w:b/>
          <w:bCs/>
          <w:color w:val="auto"/>
          <w:sz w:val="32"/>
          <w:szCs w:val="32"/>
          <w:highlight w:val="none"/>
          <w:lang w:eastAsia="zh-CN"/>
        </w:rPr>
      </w:pPr>
    </w:p>
    <w:p>
      <w:pPr>
        <w:pStyle w:val="3"/>
        <w:rPr>
          <w:rFonts w:hint="eastAsia"/>
          <w:lang w:eastAsia="zh-CN"/>
        </w:rPr>
      </w:pPr>
    </w:p>
    <w:p>
      <w:pPr>
        <w:spacing w:line="440" w:lineRule="exact"/>
        <w:jc w:val="center"/>
        <w:outlineLvl w:val="0"/>
        <w:rPr>
          <w:rFonts w:hint="eastAsia" w:ascii="仿宋" w:hAnsi="仿宋" w:eastAsia="仿宋" w:cs="仿宋"/>
          <w:color w:val="auto"/>
          <w:kern w:val="2"/>
          <w:sz w:val="24"/>
          <w:szCs w:val="24"/>
          <w:highlight w:val="none"/>
          <w:lang w:val="en-US" w:eastAsia="zh-CN" w:bidi="ar-SA"/>
        </w:rPr>
      </w:pPr>
      <w:bookmarkStart w:id="193" w:name="_Toc10959"/>
      <w:r>
        <w:rPr>
          <w:rFonts w:hint="eastAsia" w:ascii="仿宋" w:hAnsi="仿宋" w:eastAsia="仿宋" w:cs="仿宋"/>
          <w:b/>
          <w:bCs/>
          <w:color w:val="auto"/>
          <w:sz w:val="32"/>
          <w:szCs w:val="32"/>
          <w:highlight w:val="none"/>
          <w:lang w:eastAsia="zh-CN"/>
        </w:rPr>
        <w:t>五</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投标供应商</w:t>
      </w:r>
      <w:r>
        <w:rPr>
          <w:rFonts w:hint="eastAsia" w:ascii="仿宋" w:hAnsi="仿宋" w:eastAsia="仿宋" w:cs="仿宋"/>
          <w:b/>
          <w:bCs/>
          <w:color w:val="auto"/>
          <w:sz w:val="32"/>
          <w:szCs w:val="32"/>
          <w:highlight w:val="none"/>
        </w:rPr>
        <w:t>资格证明文件</w:t>
      </w:r>
      <w:bookmarkEnd w:id="191"/>
      <w:bookmarkEnd w:id="192"/>
      <w:bookmarkEnd w:id="193"/>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（1）具有独立承担民事责任能力的法人、其他组织或自然人，提供合法有效的营业执照/事业单位法人证书/专业服务机构执业许可证/民办非企业单位登记证书等相关证明，自然人参与的提供其身份证明；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（2）法定代表人参加投标时，须提供本人身份证复印件；授权代表参加投标时，须提供法定代表人授权委托书、法定代表人和被授权人身份证复印件；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（3）财务状况</w:t>
      </w:r>
      <w:r>
        <w:rPr>
          <w:rFonts w:hint="eastAsia" w:ascii="仿宋" w:hAnsi="仿宋" w:eastAsia="仿宋" w:cs="仿宋"/>
          <w:b w:val="0"/>
          <w:bCs w:val="0"/>
          <w:color w:val="auto"/>
          <w:sz w:val="24"/>
          <w:szCs w:val="24"/>
          <w:highlight w:val="none"/>
          <w:lang w:val="en-US" w:eastAsia="zh-CN"/>
        </w:rPr>
        <w:t>报告：须提供具有财务审计资质单位出具的2021年度财务审计报告（新成立的投标供应商不足一年的可提供成立后任意时段的资产负债表）；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（4）具有履行合同所必需的设备和专业技术能力的证明材料（须提供自述材料）；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（5）税收缴纳证明：须提供自2022年1月1日至2022年8月1日内已缴纳的至少3个月的纳税证明或完税证明（任意税种），依法免税或新成立的投标供应商须应提供相关文件证明；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社会保障资金缴纳证明：须提供自2022年1月1日至2022年8月1日内已缴存至少3个月的社会保障资金缴存单据或社保机构开具的社会保险参保缴费情况证明，依法不需要缴纳社会保障资金或新成立的投标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（7）参加本次政府采购活动近三年内在经营活动中没有重大违纪，以及未被列入失信被执行人、重大税收违法案件当事人名单、政府采购严重违法失信行为记录名单的书面声明；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（8）投标供应商通过“信用中国”网站(www.creditchina.gov.cn )和中国政府采购网(www.ccgp.gov.cn)等渠道查询相关主体信用记录，对列入失信被执行人、重大税收违法案件当事人名单、政府采购严重违法失信行为记录名单的投标供应商，将拒绝其参与政府采购活动；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ascii="仿宋" w:hAnsi="仿宋" w:eastAsia="仿宋" w:cs="仿宋"/>
          <w:b/>
          <w:color w:val="auto"/>
          <w:sz w:val="28"/>
          <w:szCs w:val="28"/>
          <w:highlight w:val="none"/>
        </w:rPr>
      </w:pPr>
      <w:r>
        <w:rPr>
          <w:rFonts w:hint="eastAsia" w:ascii="仿宋" w:hAnsi="仿宋" w:eastAsia="仿宋" w:cs="仿宋"/>
          <w:b/>
          <w:bCs/>
          <w:color w:val="auto"/>
          <w:sz w:val="24"/>
          <w:szCs w:val="24"/>
          <w:lang w:val="en-US" w:eastAsia="zh-CN"/>
        </w:rPr>
        <w:t>注：投标供应商要保证在投标文件中有上述资格证明文件加盖红色印章的复印件，缺少其中任何一项或有一项达不到要求、包括证件的有效性、是否进行年检、是否在有效期内等，经审查，不合格的投标供应商按无效投标处理。</w:t>
      </w:r>
    </w:p>
    <w:p>
      <w:pPr>
        <w:tabs>
          <w:tab w:val="left" w:pos="210"/>
        </w:tabs>
        <w:spacing w:line="320" w:lineRule="exact"/>
        <w:jc w:val="center"/>
        <w:rPr>
          <w:rFonts w:hint="eastAsia" w:ascii="仿宋" w:hAnsi="仿宋" w:eastAsia="仿宋" w:cs="仿宋"/>
          <w:b/>
          <w:color w:val="auto"/>
          <w:sz w:val="28"/>
          <w:szCs w:val="28"/>
          <w:highlight w:val="none"/>
        </w:rPr>
      </w:pPr>
    </w:p>
    <w:p>
      <w:pPr>
        <w:tabs>
          <w:tab w:val="left" w:pos="210"/>
        </w:tabs>
        <w:spacing w:line="320" w:lineRule="exact"/>
        <w:jc w:val="center"/>
        <w:rPr>
          <w:rFonts w:hint="eastAsia" w:ascii="仿宋" w:hAnsi="仿宋" w:eastAsia="仿宋" w:cs="仿宋"/>
          <w:b/>
          <w:color w:val="auto"/>
          <w:sz w:val="28"/>
          <w:szCs w:val="28"/>
          <w:highlight w:val="none"/>
        </w:rPr>
      </w:pPr>
    </w:p>
    <w:p>
      <w:pPr>
        <w:tabs>
          <w:tab w:val="left" w:pos="210"/>
        </w:tabs>
        <w:spacing w:line="320" w:lineRule="exact"/>
        <w:jc w:val="both"/>
        <w:rPr>
          <w:rFonts w:hint="eastAsia" w:ascii="仿宋" w:hAnsi="仿宋" w:eastAsia="仿宋" w:cs="仿宋"/>
          <w:b/>
          <w:color w:val="auto"/>
          <w:sz w:val="28"/>
          <w:szCs w:val="28"/>
          <w:highlight w:val="none"/>
        </w:rPr>
      </w:pPr>
    </w:p>
    <w:p>
      <w:pPr>
        <w:tabs>
          <w:tab w:val="left" w:pos="210"/>
        </w:tabs>
        <w:spacing w:line="320" w:lineRule="exact"/>
        <w:jc w:val="center"/>
        <w:rPr>
          <w:rFonts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（1）.法定代表人证明书</w:t>
      </w:r>
    </w:p>
    <w:p>
      <w:pPr>
        <w:tabs>
          <w:tab w:val="left" w:pos="210"/>
        </w:tabs>
        <w:spacing w:line="320" w:lineRule="exact"/>
        <w:jc w:val="center"/>
        <w:rPr>
          <w:rFonts w:ascii="仿宋" w:hAnsi="仿宋" w:eastAsia="仿宋" w:cs="仿宋"/>
          <w:b/>
          <w:color w:val="auto"/>
          <w:kern w:val="0"/>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60" w:type="dxa"/>
            <w:gridSpan w:val="6"/>
            <w:vAlign w:val="center"/>
          </w:tcPr>
          <w:p>
            <w:pPr>
              <w:tabs>
                <w:tab w:val="left" w:pos="210"/>
              </w:tabs>
              <w:spacing w:line="320" w:lineRule="exac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w:t>
            </w: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业</w:t>
            </w: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信</w:t>
            </w: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息</w:t>
            </w:r>
          </w:p>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名称</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法定地址</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工商登记机关</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信用代码证号</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w:t>
            </w:r>
          </w:p>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代表人</w:t>
            </w: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p>
        </w:tc>
        <w:tc>
          <w:tcPr>
            <w:tcW w:w="1892" w:type="dxa"/>
            <w:gridSpan w:val="2"/>
            <w:vAlign w:val="center"/>
          </w:tcPr>
          <w:p>
            <w:pPr>
              <w:tabs>
                <w:tab w:val="left" w:pos="210"/>
              </w:tabs>
              <w:spacing w:line="320" w:lineRule="exact"/>
              <w:jc w:val="center"/>
              <w:rPr>
                <w:rFonts w:ascii="仿宋" w:hAnsi="仿宋" w:eastAsia="仿宋" w:cs="仿宋"/>
                <w:color w:val="auto"/>
                <w:kern w:val="0"/>
                <w:sz w:val="24"/>
                <w:highlight w:val="none"/>
              </w:rPr>
            </w:pPr>
          </w:p>
        </w:tc>
        <w:tc>
          <w:tcPr>
            <w:tcW w:w="2077"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性别</w:t>
            </w:r>
          </w:p>
        </w:tc>
        <w:tc>
          <w:tcPr>
            <w:tcW w:w="2080" w:type="dxa"/>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职务</w:t>
            </w:r>
          </w:p>
        </w:tc>
        <w:tc>
          <w:tcPr>
            <w:tcW w:w="1892" w:type="dxa"/>
            <w:gridSpan w:val="2"/>
            <w:vAlign w:val="center"/>
          </w:tcPr>
          <w:p>
            <w:pPr>
              <w:tabs>
                <w:tab w:val="left" w:pos="210"/>
              </w:tabs>
              <w:spacing w:line="320" w:lineRule="exact"/>
              <w:jc w:val="center"/>
              <w:rPr>
                <w:rFonts w:ascii="仿宋" w:hAnsi="仿宋" w:eastAsia="仿宋" w:cs="仿宋"/>
                <w:color w:val="auto"/>
                <w:kern w:val="0"/>
                <w:sz w:val="24"/>
                <w:highlight w:val="none"/>
              </w:rPr>
            </w:pPr>
          </w:p>
        </w:tc>
        <w:tc>
          <w:tcPr>
            <w:tcW w:w="2077"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w:t>
            </w:r>
          </w:p>
        </w:tc>
        <w:tc>
          <w:tcPr>
            <w:tcW w:w="2080" w:type="dxa"/>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2118" w:type="dxa"/>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tc>
        <w:tc>
          <w:tcPr>
            <w:tcW w:w="6049" w:type="dxa"/>
            <w:gridSpan w:val="4"/>
            <w:vAlign w:val="center"/>
          </w:tcPr>
          <w:p>
            <w:pPr>
              <w:tabs>
                <w:tab w:val="left" w:pos="210"/>
              </w:tabs>
              <w:spacing w:line="320" w:lineRule="exact"/>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193" w:type="dxa"/>
            <w:vMerge w:val="restart"/>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法定代表人身份证正反复印件</w:t>
            </w:r>
          </w:p>
        </w:tc>
        <w:tc>
          <w:tcPr>
            <w:tcW w:w="3832" w:type="dxa"/>
            <w:gridSpan w:val="2"/>
            <w:vMerge w:val="restart"/>
            <w:vAlign w:val="center"/>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正、反面</w:t>
            </w:r>
            <w:r>
              <w:rPr>
                <w:rFonts w:hint="eastAsia" w:ascii="仿宋" w:hAnsi="仿宋" w:eastAsia="仿宋" w:cs="仿宋"/>
                <w:color w:val="auto"/>
                <w:kern w:val="0"/>
                <w:sz w:val="24"/>
                <w:highlight w:val="none"/>
              </w:rPr>
              <w:t>粘贴处）</w:t>
            </w:r>
          </w:p>
        </w:tc>
        <w:tc>
          <w:tcPr>
            <w:tcW w:w="4335" w:type="dxa"/>
            <w:gridSpan w:val="3"/>
            <w:vAlign w:val="center"/>
          </w:tcPr>
          <w:p>
            <w:pPr>
              <w:tabs>
                <w:tab w:val="left" w:pos="210"/>
              </w:tabs>
              <w:spacing w:line="32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3" w:type="dxa"/>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3832" w:type="dxa"/>
            <w:gridSpan w:val="2"/>
            <w:vMerge w:val="continue"/>
            <w:vAlign w:val="center"/>
          </w:tcPr>
          <w:p>
            <w:pPr>
              <w:tabs>
                <w:tab w:val="left" w:pos="210"/>
              </w:tabs>
              <w:spacing w:line="320" w:lineRule="exact"/>
              <w:jc w:val="center"/>
              <w:rPr>
                <w:rFonts w:ascii="仿宋" w:hAnsi="仿宋" w:eastAsia="仿宋" w:cs="仿宋"/>
                <w:color w:val="auto"/>
                <w:kern w:val="0"/>
                <w:sz w:val="24"/>
                <w:highlight w:val="none"/>
              </w:rPr>
            </w:pPr>
          </w:p>
        </w:tc>
        <w:tc>
          <w:tcPr>
            <w:tcW w:w="4335" w:type="dxa"/>
            <w:gridSpan w:val="3"/>
            <w:vAlign w:val="bottom"/>
          </w:tcPr>
          <w:p>
            <w:pPr>
              <w:tabs>
                <w:tab w:val="left" w:pos="210"/>
              </w:tabs>
              <w:spacing w:line="3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公</w:t>
            </w:r>
            <w:r>
              <w:rPr>
                <w:rFonts w:hint="eastAsia" w:ascii="仿宋" w:hAnsi="仿宋" w:eastAsia="仿宋" w:cs="仿宋"/>
                <w:color w:val="auto"/>
                <w:kern w:val="0"/>
                <w:sz w:val="24"/>
                <w:highlight w:val="none"/>
              </w:rPr>
              <w:t>章）</w:t>
            </w: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center"/>
              <w:rPr>
                <w:rFonts w:ascii="仿宋" w:hAnsi="仿宋" w:eastAsia="仿宋" w:cs="仿宋"/>
                <w:color w:val="auto"/>
                <w:kern w:val="0"/>
                <w:sz w:val="24"/>
                <w:highlight w:val="none"/>
              </w:rPr>
            </w:pPr>
          </w:p>
          <w:p>
            <w:pPr>
              <w:tabs>
                <w:tab w:val="left" w:pos="210"/>
              </w:tabs>
              <w:spacing w:line="320" w:lineRule="exact"/>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年     月    日 </w:t>
            </w:r>
          </w:p>
        </w:tc>
      </w:tr>
    </w:tbl>
    <w:p>
      <w:pPr>
        <w:jc w:val="center"/>
        <w:rPr>
          <w:rFonts w:ascii="仿宋" w:hAnsi="仿宋" w:eastAsia="仿宋" w:cs="仿宋"/>
          <w:b/>
          <w:bCs/>
          <w:color w:val="auto"/>
          <w:sz w:val="28"/>
          <w:szCs w:val="28"/>
          <w:highlight w:val="none"/>
        </w:rPr>
      </w:pP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注：法定代表人亲自参与投标时出具。</w:t>
      </w:r>
    </w:p>
    <w:p>
      <w:pPr>
        <w:jc w:val="center"/>
        <w:rPr>
          <w:rFonts w:ascii="仿宋" w:hAnsi="仿宋" w:eastAsia="仿宋" w:cs="仿宋"/>
          <w:b/>
          <w:bCs/>
          <w:color w:val="auto"/>
          <w:sz w:val="28"/>
          <w:szCs w:val="28"/>
          <w:highlight w:val="none"/>
        </w:rPr>
      </w:pPr>
    </w:p>
    <w:p>
      <w:pPr>
        <w:jc w:val="both"/>
        <w:rPr>
          <w:rFonts w:ascii="仿宋" w:hAnsi="仿宋" w:eastAsia="仿宋" w:cs="仿宋"/>
          <w:b/>
          <w:bCs/>
          <w:color w:val="auto"/>
          <w:sz w:val="28"/>
          <w:szCs w:val="28"/>
          <w:highlight w:val="none"/>
        </w:rPr>
      </w:pPr>
    </w:p>
    <w:p>
      <w:pPr>
        <w:jc w:val="center"/>
        <w:rPr>
          <w:rFonts w:hint="eastAsia" w:ascii="仿宋" w:hAnsi="仿宋" w:eastAsia="仿宋" w:cs="仿宋"/>
          <w:b/>
          <w:bCs/>
          <w:color w:val="auto"/>
          <w:sz w:val="28"/>
          <w:szCs w:val="28"/>
          <w:highlight w:val="none"/>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rPr>
        <w:t>（2）.法定代表人授权委托书</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本授权委托书声明：我 </w:t>
      </w:r>
      <w:r>
        <w:rPr>
          <w:rFonts w:hint="eastAsia" w:ascii="仿宋" w:hAnsi="仿宋" w:eastAsia="仿宋" w:cs="仿宋"/>
          <w:color w:val="auto"/>
          <w:kern w:val="0"/>
          <w:sz w:val="24"/>
          <w:highlight w:val="none"/>
          <w:u w:val="single"/>
        </w:rPr>
        <w:t xml:space="preserve">         (法定代表人姓名)</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投标供应商</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rPr>
        <w:t>的法定代表人，现授权委托</w:t>
      </w:r>
      <w:r>
        <w:rPr>
          <w:rFonts w:hint="eastAsia" w:ascii="仿宋" w:hAnsi="仿宋" w:eastAsia="仿宋" w:cs="仿宋"/>
          <w:color w:val="auto"/>
          <w:kern w:val="0"/>
          <w:sz w:val="24"/>
          <w:highlight w:val="none"/>
          <w:u w:val="single"/>
        </w:rPr>
        <w:t xml:space="preserve">         (委托人姓名)</w:t>
      </w:r>
      <w:r>
        <w:rPr>
          <w:rFonts w:hint="eastAsia" w:ascii="仿宋" w:hAnsi="仿宋" w:eastAsia="仿宋" w:cs="仿宋"/>
          <w:color w:val="auto"/>
          <w:kern w:val="0"/>
          <w:sz w:val="24"/>
          <w:highlight w:val="none"/>
        </w:rPr>
        <w:t>为我单位的合法代理人，以本公司的名义参加</w:t>
      </w:r>
      <w:r>
        <w:rPr>
          <w:rFonts w:hint="eastAsia" w:ascii="仿宋" w:hAnsi="仿宋" w:eastAsia="仿宋" w:cs="仿宋"/>
          <w:color w:val="auto"/>
          <w:kern w:val="0"/>
          <w:sz w:val="24"/>
          <w:highlight w:val="none"/>
          <w:u w:val="single"/>
        </w:rPr>
        <w:t xml:space="preserve">               (采购人名称)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（项目名称、项目编号）</w:t>
      </w:r>
      <w:r>
        <w:rPr>
          <w:rFonts w:hint="eastAsia" w:ascii="仿宋" w:hAnsi="仿宋" w:eastAsia="仿宋" w:cs="仿宋"/>
          <w:color w:val="auto"/>
          <w:kern w:val="0"/>
          <w:sz w:val="24"/>
          <w:highlight w:val="none"/>
        </w:rPr>
        <w:t>的投标活动。代理人所签署的一切文件和处理与之有关的一切事务，我均予承认。</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日签字生效，有效期为自开标之日起 </w:t>
      </w:r>
      <w:r>
        <w:rPr>
          <w:rFonts w:hint="eastAsia" w:ascii="仿宋" w:hAnsi="仿宋" w:eastAsia="仿宋" w:cs="仿宋"/>
          <w:color w:val="auto"/>
          <w:kern w:val="0"/>
          <w:sz w:val="24"/>
          <w:highlight w:val="none"/>
          <w:u w:val="single"/>
        </w:rPr>
        <w:t>90</w:t>
      </w:r>
      <w:r>
        <w:rPr>
          <w:rFonts w:hint="eastAsia" w:ascii="仿宋" w:hAnsi="仿宋" w:eastAsia="仿宋" w:cs="仿宋"/>
          <w:color w:val="auto"/>
          <w:kern w:val="0"/>
          <w:sz w:val="24"/>
          <w:highlight w:val="none"/>
        </w:rPr>
        <w:t>个日历日。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代理人无转委权，特此委托！</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附：法定代表人身份证复印件及授权委托人身份证复印件。</w:t>
      </w:r>
    </w:p>
    <w:tbl>
      <w:tblPr>
        <w:tblStyle w:val="2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75"/>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168" w:hRule="atLeast"/>
          <w:jc w:val="center"/>
        </w:trPr>
        <w:tc>
          <w:tcPr>
            <w:tcW w:w="4275" w:type="dxa"/>
            <w:shd w:val="clear" w:color="auto" w:fill="E0E0E0"/>
            <w:vAlign w:val="center"/>
          </w:tcPr>
          <w:p>
            <w:pPr>
              <w:widowControl/>
              <w:spacing w:line="520" w:lineRule="exact"/>
              <w:ind w:firstLine="480" w:firstLineChars="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法定代表人身份证正面复印件</w:t>
            </w:r>
          </w:p>
          <w:p>
            <w:pPr>
              <w:widowControl/>
              <w:spacing w:line="520" w:lineRule="exact"/>
              <w:ind w:firstLine="480" w:firstLineChars="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（粘贴处）</w:t>
            </w:r>
          </w:p>
        </w:tc>
        <w:tc>
          <w:tcPr>
            <w:tcW w:w="4504" w:type="dxa"/>
            <w:shd w:val="clear" w:color="auto" w:fill="E0E0E0"/>
            <w:vAlign w:val="center"/>
          </w:tcPr>
          <w:p>
            <w:pPr>
              <w:widowControl/>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授权委托人身份证正面复印件</w:t>
            </w:r>
          </w:p>
          <w:p>
            <w:pPr>
              <w:widowControl/>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9" w:hRule="atLeast"/>
          <w:jc w:val="center"/>
        </w:trPr>
        <w:tc>
          <w:tcPr>
            <w:tcW w:w="4275" w:type="dxa"/>
            <w:shd w:val="clear" w:color="auto" w:fill="E0E0E0"/>
            <w:vAlign w:val="center"/>
          </w:tcPr>
          <w:p>
            <w:pPr>
              <w:widowControl/>
              <w:spacing w:line="520" w:lineRule="exact"/>
              <w:ind w:firstLine="480" w:firstLineChars="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法定代表人身份证反面复印件</w:t>
            </w:r>
          </w:p>
          <w:p>
            <w:pPr>
              <w:widowControl/>
              <w:spacing w:line="520" w:lineRule="exact"/>
              <w:ind w:firstLine="480" w:firstLineChars="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（粘贴处）</w:t>
            </w:r>
          </w:p>
        </w:tc>
        <w:tc>
          <w:tcPr>
            <w:tcW w:w="4504" w:type="dxa"/>
            <w:shd w:val="clear" w:color="auto" w:fill="E0E0E0"/>
            <w:vAlign w:val="center"/>
          </w:tcPr>
          <w:p>
            <w:pPr>
              <w:widowControl/>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授权委托人身份证反面复印件</w:t>
            </w:r>
          </w:p>
          <w:p>
            <w:pPr>
              <w:widowControl/>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（粘贴处）</w:t>
            </w:r>
          </w:p>
        </w:tc>
      </w:tr>
    </w:tbl>
    <w:p>
      <w:pPr>
        <w:widowControl/>
        <w:spacing w:line="520" w:lineRule="exact"/>
        <w:ind w:firstLine="480" w:firstLineChars="200"/>
        <w:jc w:val="left"/>
        <w:rPr>
          <w:rFonts w:ascii="仿宋" w:hAnsi="仿宋" w:eastAsia="仿宋" w:cs="仿宋"/>
          <w:color w:val="auto"/>
          <w:kern w:val="0"/>
          <w:sz w:val="24"/>
          <w:highlight w:val="none"/>
        </w:rPr>
      </w:pPr>
    </w:p>
    <w:p>
      <w:pPr>
        <w:widowControl/>
        <w:spacing w:line="48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盖</w:t>
      </w:r>
      <w:r>
        <w:rPr>
          <w:rFonts w:hint="eastAsia" w:ascii="仿宋" w:hAnsi="仿宋" w:eastAsia="仿宋" w:cs="仿宋"/>
          <w:color w:val="auto"/>
          <w:kern w:val="0"/>
          <w:sz w:val="24"/>
          <w:highlight w:val="none"/>
          <w:u w:val="single"/>
        </w:rPr>
        <w:t xml:space="preserve">章）        </w:t>
      </w:r>
    </w:p>
    <w:p>
      <w:pPr>
        <w:widowControl/>
        <w:spacing w:line="480" w:lineRule="auto"/>
        <w:ind w:firstLine="480" w:firstLineChars="2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u w:val="single"/>
        </w:rPr>
        <w:t xml:space="preserve">        （签字或盖章）  </w:t>
      </w:r>
      <w:bookmarkStart w:id="194" w:name="_Toc8391"/>
      <w:bookmarkStart w:id="195" w:name="_Toc26594"/>
      <w:bookmarkStart w:id="196" w:name="_Toc30941"/>
    </w:p>
    <w:p>
      <w:pPr>
        <w:widowControl/>
        <w:spacing w:line="48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b w:val="0"/>
          <w:color w:val="auto"/>
          <w:sz w:val="24"/>
          <w:highlight w:val="none"/>
          <w:lang w:eastAsia="zh-CN"/>
        </w:rPr>
        <w:t>授权</w:t>
      </w:r>
      <w:r>
        <w:rPr>
          <w:rFonts w:hint="eastAsia" w:ascii="仿宋" w:hAnsi="仿宋" w:eastAsia="仿宋" w:cs="仿宋"/>
          <w:b w:val="0"/>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b w:val="0"/>
          <w:color w:val="auto"/>
          <w:sz w:val="24"/>
          <w:highlight w:val="none"/>
          <w:u w:val="single"/>
        </w:rPr>
        <w:t>（签字）</w:t>
      </w:r>
      <w:bookmarkEnd w:id="194"/>
      <w:bookmarkEnd w:id="195"/>
      <w:bookmarkEnd w:id="196"/>
      <w:r>
        <w:rPr>
          <w:rFonts w:hint="eastAsia" w:ascii="仿宋" w:hAnsi="仿宋" w:eastAsia="仿宋" w:cs="仿宋"/>
          <w:color w:val="auto"/>
          <w:sz w:val="24"/>
          <w:highlight w:val="none"/>
          <w:u w:val="single"/>
        </w:rPr>
        <w:t xml:space="preserve">      </w:t>
      </w:r>
    </w:p>
    <w:p>
      <w:pPr>
        <w:spacing w:line="48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pPr>
        <w:pStyle w:val="9"/>
        <w:spacing w:line="460" w:lineRule="exact"/>
        <w:ind w:firstLine="482"/>
        <w:rPr>
          <w:rFonts w:hint="eastAsia" w:ascii="仿宋" w:hAnsi="仿宋" w:eastAsia="仿宋" w:cs="仿宋"/>
          <w:b/>
          <w:bCs/>
          <w:color w:val="auto"/>
          <w:kern w:val="2"/>
          <w:sz w:val="24"/>
          <w:szCs w:val="24"/>
          <w:highlight w:val="none"/>
        </w:rPr>
      </w:pPr>
    </w:p>
    <w:p>
      <w:pPr>
        <w:pStyle w:val="9"/>
        <w:spacing w:line="460" w:lineRule="exact"/>
        <w:ind w:firstLine="482"/>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注：由被授权的委托代理人参加投标的必须按本格式规定办理授权委托书。</w:t>
      </w:r>
    </w:p>
    <w:p>
      <w:pPr>
        <w:rPr>
          <w:rFonts w:hint="eastAsia" w:ascii="仿宋" w:hAnsi="仿宋" w:eastAsia="仿宋" w:cs="仿宋"/>
          <w:b/>
          <w:bCs/>
          <w:color w:val="auto"/>
          <w:kern w:val="2"/>
          <w:sz w:val="24"/>
          <w:szCs w:val="24"/>
          <w:highlight w:val="none"/>
        </w:rPr>
      </w:pPr>
    </w:p>
    <w:p>
      <w:pPr>
        <w:pStyle w:val="2"/>
        <w:rPr>
          <w:rFonts w:hint="eastAsia" w:ascii="仿宋" w:hAnsi="仿宋" w:eastAsia="仿宋" w:cs="仿宋"/>
          <w:b/>
          <w:bCs/>
          <w:color w:val="auto"/>
          <w:kern w:val="2"/>
          <w:sz w:val="24"/>
          <w:szCs w:val="24"/>
          <w:highlight w:val="none"/>
        </w:rPr>
      </w:pPr>
    </w:p>
    <w:p>
      <w:pPr>
        <w:rPr>
          <w:rFonts w:hint="eastAsia" w:ascii="仿宋" w:hAnsi="仿宋" w:eastAsia="仿宋" w:cs="仿宋"/>
          <w:b/>
          <w:bCs/>
          <w:color w:val="auto"/>
          <w:kern w:val="2"/>
          <w:sz w:val="24"/>
          <w:szCs w:val="24"/>
          <w:highlight w:val="none"/>
        </w:rPr>
      </w:pPr>
    </w:p>
    <w:p>
      <w:pPr>
        <w:pStyle w:val="2"/>
        <w:rPr>
          <w:rFonts w:hint="eastAsia" w:ascii="仿宋" w:hAnsi="仿宋" w:eastAsia="仿宋" w:cs="仿宋"/>
          <w:b/>
          <w:bCs/>
          <w:color w:val="auto"/>
          <w:kern w:val="2"/>
          <w:sz w:val="24"/>
          <w:szCs w:val="24"/>
          <w:highlight w:val="none"/>
        </w:rPr>
      </w:pPr>
    </w:p>
    <w:p>
      <w:pPr>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无重大违法记录的书面声明</w:t>
      </w:r>
    </w:p>
    <w:p>
      <w:pPr>
        <w:widowControl/>
        <w:spacing w:line="520" w:lineRule="exact"/>
        <w:jc w:val="left"/>
        <w:rPr>
          <w:rFonts w:hint="eastAsia" w:ascii="仿宋" w:hAnsi="仿宋" w:eastAsia="仿宋" w:cs="仿宋"/>
          <w:color w:val="auto"/>
          <w:kern w:val="0"/>
          <w:sz w:val="24"/>
          <w:highlight w:val="none"/>
          <w:lang w:eastAsia="zh-CN"/>
        </w:rPr>
      </w:pPr>
    </w:p>
    <w:p>
      <w:pPr>
        <w:widowControl/>
        <w:spacing w:line="520" w:lineRule="exact"/>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eastAsia="zh-CN"/>
        </w:rPr>
        <w:t>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lang w:val="en-US" w:eastAsia="zh-CN"/>
        </w:rPr>
        <w:t xml:space="preserve">                                     </w:t>
      </w:r>
    </w:p>
    <w:p>
      <w:pPr>
        <w:widowControl/>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作</w:t>
      </w:r>
      <w:r>
        <w:rPr>
          <w:rFonts w:hint="eastAsia" w:ascii="仿宋" w:hAnsi="仿宋" w:eastAsia="仿宋" w:cs="仿宋"/>
          <w:color w:val="auto"/>
          <w:kern w:val="0"/>
          <w:sz w:val="24"/>
          <w:highlight w:val="none"/>
        </w:rPr>
        <w:t>为参加贵单位组织的</w:t>
      </w:r>
      <w:r>
        <w:rPr>
          <w:rFonts w:hint="eastAsia" w:ascii="仿宋" w:hAnsi="仿宋" w:eastAsia="仿宋" w:cs="仿宋"/>
          <w:color w:val="auto"/>
          <w:kern w:val="0"/>
          <w:sz w:val="24"/>
          <w:highlight w:val="none"/>
          <w:u w:val="single"/>
        </w:rPr>
        <w:t xml:space="preserve">          （项目名称</w:t>
      </w:r>
      <w:r>
        <w:rPr>
          <w:rFonts w:hint="eastAsia" w:ascii="仿宋" w:hAnsi="仿宋" w:eastAsia="仿宋" w:cs="仿宋"/>
          <w:color w:val="auto"/>
          <w:kern w:val="0"/>
          <w:sz w:val="24"/>
          <w:highlight w:val="none"/>
          <w:u w:val="single"/>
          <w:lang w:val="en-US" w:eastAsia="zh-CN"/>
        </w:rPr>
        <w:t>、项目编号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w:t>
      </w:r>
    </w:p>
    <w:p>
      <w:pPr>
        <w:widowControl/>
        <w:spacing w:line="520" w:lineRule="exact"/>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我公司</w:t>
      </w:r>
      <w:r>
        <w:rPr>
          <w:rFonts w:hint="eastAsia" w:ascii="仿宋" w:hAnsi="仿宋" w:eastAsia="仿宋" w:cs="仿宋"/>
          <w:color w:val="auto"/>
          <w:kern w:val="0"/>
          <w:sz w:val="24"/>
          <w:highlight w:val="none"/>
          <w:u w:val="single"/>
          <w:lang w:val="en-US" w:eastAsia="zh-CN"/>
        </w:rPr>
        <w:t xml:space="preserve"> （投标供应商名称）  </w:t>
      </w:r>
      <w:r>
        <w:rPr>
          <w:rFonts w:hint="eastAsia" w:ascii="仿宋" w:hAnsi="仿宋" w:eastAsia="仿宋" w:cs="仿宋"/>
          <w:color w:val="auto"/>
          <w:kern w:val="0"/>
          <w:sz w:val="24"/>
          <w:highlight w:val="none"/>
        </w:rPr>
        <w:t>为在中华人民共和国境内合法注册并经营的机构</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在此郑重声明</w:t>
      </w:r>
      <w:r>
        <w:rPr>
          <w:rFonts w:hint="eastAsia" w:ascii="仿宋" w:hAnsi="仿宋" w:eastAsia="仿宋" w:cs="仿宋"/>
          <w:color w:val="auto"/>
          <w:kern w:val="0"/>
          <w:sz w:val="24"/>
          <w:highlight w:val="none"/>
          <w:lang w:eastAsia="zh-CN"/>
        </w:rPr>
        <w:t>：</w:t>
      </w:r>
    </w:p>
    <w:p>
      <w:pPr>
        <w:widowControl/>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我</w:t>
      </w:r>
      <w:r>
        <w:rPr>
          <w:rFonts w:hint="eastAsia" w:ascii="仿宋" w:hAnsi="仿宋" w:eastAsia="仿宋" w:cs="仿宋"/>
          <w:color w:val="auto"/>
          <w:kern w:val="0"/>
          <w:sz w:val="24"/>
          <w:highlight w:val="none"/>
          <w:lang w:eastAsia="zh-CN"/>
        </w:rPr>
        <w:t>公司</w:t>
      </w:r>
      <w:r>
        <w:rPr>
          <w:rFonts w:hint="eastAsia" w:ascii="仿宋" w:hAnsi="仿宋" w:eastAsia="仿宋" w:cs="仿宋"/>
          <w:color w:val="auto"/>
          <w:kern w:val="0"/>
          <w:sz w:val="24"/>
          <w:highlight w:val="none"/>
        </w:rPr>
        <w:t>在参与本次政府采购活动</w:t>
      </w:r>
      <w:r>
        <w:rPr>
          <w:rFonts w:hint="eastAsia" w:ascii="仿宋" w:hAnsi="仿宋" w:eastAsia="仿宋" w:cs="仿宋"/>
          <w:color w:val="auto"/>
          <w:kern w:val="0"/>
          <w:sz w:val="24"/>
          <w:highlight w:val="none"/>
          <w:lang w:eastAsia="zh-CN"/>
        </w:rPr>
        <w:t>近</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年内在经营活动中没有重大违法记录，</w:t>
      </w:r>
      <w:r>
        <w:rPr>
          <w:rFonts w:hint="eastAsia" w:ascii="仿宋" w:hAnsi="仿宋" w:eastAsia="仿宋" w:cs="仿宋"/>
          <w:color w:val="auto"/>
          <w:kern w:val="0"/>
          <w:sz w:val="24"/>
          <w:highlight w:val="none"/>
          <w:lang w:val="en-US" w:eastAsia="zh-CN"/>
        </w:rPr>
        <w:t>以及未被列入“信用中国”网站（www.creditchina.gov.cn）失信被执行人、重大税收违法失信主体、中国政府采购网（www.ccgp.gov.cn）政府采购严重违法失信行为记录名单</w:t>
      </w:r>
      <w:r>
        <w:rPr>
          <w:rFonts w:hint="eastAsia" w:ascii="仿宋" w:hAnsi="仿宋" w:eastAsia="仿宋" w:cs="仿宋"/>
          <w:color w:val="auto"/>
          <w:kern w:val="0"/>
          <w:sz w:val="24"/>
          <w:highlight w:val="none"/>
        </w:rPr>
        <w:t>。</w:t>
      </w:r>
    </w:p>
    <w:p>
      <w:pPr>
        <w:widowControl/>
        <w:spacing w:line="520" w:lineRule="exact"/>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特此声明</w:t>
      </w:r>
      <w:r>
        <w:rPr>
          <w:rFonts w:hint="eastAsia" w:ascii="仿宋" w:hAnsi="仿宋" w:eastAsia="仿宋" w:cs="仿宋"/>
          <w:color w:val="auto"/>
          <w:kern w:val="0"/>
          <w:sz w:val="24"/>
          <w:highlight w:val="none"/>
          <w:lang w:eastAsia="zh-CN"/>
        </w:rPr>
        <w:t>！</w:t>
      </w:r>
    </w:p>
    <w:p>
      <w:pPr>
        <w:widowControl/>
        <w:spacing w:line="520" w:lineRule="exact"/>
        <w:ind w:firstLine="480" w:firstLineChars="200"/>
        <w:jc w:val="left"/>
        <w:rPr>
          <w:rFonts w:hint="eastAsia" w:ascii="仿宋" w:hAnsi="仿宋" w:eastAsia="仿宋" w:cs="仿宋"/>
          <w:color w:val="auto"/>
          <w:kern w:val="0"/>
          <w:sz w:val="24"/>
          <w:highlight w:val="none"/>
        </w:rPr>
      </w:pPr>
    </w:p>
    <w:p>
      <w:pPr>
        <w:pStyle w:val="2"/>
        <w:rPr>
          <w:rFonts w:hint="eastAsia" w:ascii="仿宋" w:hAnsi="仿宋" w:eastAsia="仿宋" w:cs="仿宋"/>
          <w:color w:val="auto"/>
          <w:kern w:val="0"/>
          <w:sz w:val="24"/>
          <w:highlight w:val="none"/>
        </w:rPr>
      </w:pPr>
    </w:p>
    <w:p>
      <w:pPr>
        <w:rPr>
          <w:rFonts w:hint="eastAsia" w:ascii="仿宋" w:hAnsi="仿宋" w:eastAsia="仿宋" w:cs="仿宋"/>
          <w:color w:val="auto"/>
          <w:kern w:val="0"/>
          <w:sz w:val="24"/>
          <w:highlight w:val="none"/>
        </w:rPr>
      </w:pPr>
    </w:p>
    <w:p>
      <w:pPr>
        <w:widowControl/>
        <w:spacing w:line="48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盖</w:t>
      </w:r>
      <w:r>
        <w:rPr>
          <w:rFonts w:hint="eastAsia" w:ascii="仿宋" w:hAnsi="仿宋" w:eastAsia="仿宋" w:cs="仿宋"/>
          <w:color w:val="auto"/>
          <w:kern w:val="0"/>
          <w:sz w:val="24"/>
          <w:highlight w:val="none"/>
          <w:u w:val="single"/>
        </w:rPr>
        <w:t xml:space="preserve">章）        </w:t>
      </w:r>
    </w:p>
    <w:p>
      <w:pPr>
        <w:widowControl/>
        <w:spacing w:line="480" w:lineRule="auto"/>
        <w:ind w:firstLine="480" w:firstLineChars="2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lang w:eastAsia="zh-CN"/>
        </w:rPr>
        <w:t>或委托代理人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（签字或盖章）  </w:t>
      </w:r>
    </w:p>
    <w:p>
      <w:pPr>
        <w:spacing w:line="48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pPr>
        <w:pStyle w:val="2"/>
        <w:rPr>
          <w:rFonts w:hint="eastAsia"/>
        </w:rPr>
        <w:sectPr>
          <w:headerReference r:id="rId5" w:type="default"/>
          <w:footerReference r:id="rId6" w:type="default"/>
          <w:pgSz w:w="11905" w:h="16838"/>
          <w:pgMar w:top="1474" w:right="1587" w:bottom="1474" w:left="1587" w:header="567" w:footer="964" w:gutter="0"/>
          <w:pgNumType w:fmt="decimal"/>
          <w:cols w:space="0" w:num="1"/>
          <w:rtlGutter w:val="0"/>
          <w:docGrid w:linePitch="318" w:charSpace="0"/>
        </w:sectPr>
      </w:pPr>
    </w:p>
    <w:p>
      <w:pPr>
        <w:widowControl/>
        <w:jc w:val="center"/>
        <w:outlineLvl w:val="0"/>
        <w:rPr>
          <w:rFonts w:ascii="仿宋" w:hAnsi="仿宋" w:eastAsia="仿宋" w:cs="仿宋"/>
          <w:b/>
          <w:bCs/>
          <w:color w:val="auto"/>
          <w:kern w:val="0"/>
          <w:sz w:val="30"/>
          <w:szCs w:val="30"/>
          <w:highlight w:val="none"/>
        </w:rPr>
      </w:pPr>
      <w:bookmarkStart w:id="197" w:name="_Toc851"/>
      <w:bookmarkStart w:id="198" w:name="_Toc7742"/>
      <w:bookmarkStart w:id="199" w:name="_Toc70"/>
      <w:r>
        <w:rPr>
          <w:rFonts w:hint="eastAsia" w:ascii="仿宋" w:hAnsi="仿宋" w:eastAsia="仿宋" w:cs="仿宋"/>
          <w:b/>
          <w:color w:val="auto"/>
          <w:sz w:val="30"/>
          <w:szCs w:val="30"/>
          <w:highlight w:val="none"/>
          <w:lang w:eastAsia="zh-CN"/>
        </w:rPr>
        <w:t>六</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投标供应商</w:t>
      </w:r>
      <w:r>
        <w:rPr>
          <w:rFonts w:hint="eastAsia" w:ascii="仿宋" w:hAnsi="仿宋" w:eastAsia="仿宋" w:cs="仿宋"/>
          <w:b/>
          <w:color w:val="auto"/>
          <w:sz w:val="30"/>
          <w:szCs w:val="30"/>
          <w:highlight w:val="none"/>
        </w:rPr>
        <w:t>参加政府采购活动承诺书</w:t>
      </w:r>
      <w:bookmarkEnd w:id="197"/>
      <w:bookmarkEnd w:id="198"/>
      <w:bookmarkEnd w:id="199"/>
    </w:p>
    <w:p>
      <w:pPr>
        <w:widowControl/>
        <w:spacing w:line="520" w:lineRule="exact"/>
        <w:ind w:firstLine="562" w:firstLineChars="200"/>
        <w:jc w:val="left"/>
        <w:outlineLvl w:val="0"/>
        <w:rPr>
          <w:rFonts w:hint="eastAsia" w:ascii="仿宋" w:hAnsi="仿宋" w:eastAsia="仿宋" w:cs="仿宋"/>
          <w:b/>
          <w:bCs/>
          <w:color w:val="auto"/>
          <w:sz w:val="28"/>
          <w:szCs w:val="28"/>
          <w:highlight w:val="none"/>
        </w:rPr>
      </w:pPr>
      <w:bookmarkStart w:id="200" w:name="_Toc20832"/>
      <w:bookmarkStart w:id="201" w:name="_Toc3215"/>
      <w:bookmarkStart w:id="202" w:name="_Toc18488"/>
      <w:r>
        <w:rPr>
          <w:rFonts w:hint="eastAsia" w:ascii="仿宋" w:hAnsi="仿宋" w:eastAsia="仿宋" w:cs="仿宋"/>
          <w:b/>
          <w:bCs/>
          <w:color w:val="auto"/>
          <w:sz w:val="28"/>
          <w:szCs w:val="28"/>
          <w:highlight w:val="none"/>
        </w:rPr>
        <w:t>陕西省政府采购</w:t>
      </w:r>
      <w:r>
        <w:rPr>
          <w:rFonts w:hint="eastAsia" w:ascii="仿宋" w:hAnsi="仿宋" w:eastAsia="仿宋" w:cs="仿宋"/>
          <w:b/>
          <w:bCs/>
          <w:color w:val="auto"/>
          <w:sz w:val="28"/>
          <w:szCs w:val="28"/>
          <w:highlight w:val="none"/>
          <w:lang w:eastAsia="zh-CN"/>
        </w:rPr>
        <w:t>投标供应商</w:t>
      </w:r>
      <w:r>
        <w:rPr>
          <w:rFonts w:hint="eastAsia" w:ascii="仿宋" w:hAnsi="仿宋" w:eastAsia="仿宋" w:cs="仿宋"/>
          <w:b/>
          <w:bCs/>
          <w:color w:val="auto"/>
          <w:sz w:val="28"/>
          <w:szCs w:val="28"/>
          <w:highlight w:val="none"/>
        </w:rPr>
        <w:t>拒绝政府采购领域商业贿赂承诺书Ⅰ</w:t>
      </w:r>
      <w:bookmarkEnd w:id="200"/>
      <w:bookmarkEnd w:id="201"/>
      <w:bookmarkEnd w:id="202"/>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为响应党中央、国务院关于治理政府采购领域商业贿赂行为的号召，我单位在此庄严承诺：</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1.在参与政府采购活动中遵纪守法、诚信经营、公平竞标。</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2.不向政府采购人、采购代理机构和政府采购</w:t>
      </w:r>
      <w:r>
        <w:rPr>
          <w:rFonts w:hint="eastAsia" w:ascii="仿宋" w:hAnsi="仿宋" w:eastAsia="仿宋" w:cs="仿宋"/>
          <w:color w:val="auto"/>
          <w:kern w:val="0"/>
          <w:sz w:val="24"/>
          <w:highlight w:val="none"/>
          <w:lang w:eastAsia="zh-CN"/>
        </w:rPr>
        <w:t>评审委员会</w:t>
      </w:r>
      <w:r>
        <w:rPr>
          <w:rFonts w:hint="eastAsia" w:ascii="仿宋" w:hAnsi="仿宋" w:eastAsia="仿宋" w:cs="仿宋"/>
          <w:color w:val="auto"/>
          <w:kern w:val="0"/>
          <w:sz w:val="24"/>
          <w:highlight w:val="none"/>
        </w:rPr>
        <w:t>进行任何形式的商业贿赂以谋取交易机会。</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3.不向政府采购代理机构和采购人提供虚假资质文件或采用虚假应标方式参与政府采购市场竞争并谋取中标、成交。</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4.不采取“围标、陪标”等商业欺诈手段获得政府采购定单。</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5.不采取不正当手段诋毁、排挤其他</w:t>
      </w: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6.不在提供商品和服务时“偷梁换柱、以次充好”损害采购人的合法权益。</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7.不与采购人、采购代理机构政府采购</w:t>
      </w:r>
      <w:r>
        <w:rPr>
          <w:rFonts w:hint="eastAsia" w:ascii="仿宋" w:hAnsi="仿宋" w:eastAsia="仿宋" w:cs="仿宋"/>
          <w:color w:val="auto"/>
          <w:kern w:val="0"/>
          <w:sz w:val="24"/>
          <w:highlight w:val="none"/>
          <w:lang w:eastAsia="zh-CN"/>
        </w:rPr>
        <w:t>评审委员会</w:t>
      </w:r>
      <w:r>
        <w:rPr>
          <w:rFonts w:hint="eastAsia" w:ascii="仿宋" w:hAnsi="仿宋" w:eastAsia="仿宋" w:cs="仿宋"/>
          <w:color w:val="auto"/>
          <w:kern w:val="0"/>
          <w:sz w:val="24"/>
          <w:highlight w:val="none"/>
        </w:rPr>
        <w:t>或其它</w:t>
      </w:r>
      <w:r>
        <w:rPr>
          <w:rFonts w:hint="eastAsia" w:ascii="仿宋" w:hAnsi="仿宋" w:eastAsia="仿宋" w:cs="仿宋"/>
          <w:color w:val="auto"/>
          <w:kern w:val="0"/>
          <w:sz w:val="24"/>
          <w:highlight w:val="none"/>
          <w:lang w:eastAsia="zh-CN"/>
        </w:rPr>
        <w:t>投标供应商</w:t>
      </w:r>
      <w:r>
        <w:rPr>
          <w:rFonts w:hint="eastAsia" w:ascii="仿宋" w:hAnsi="仿宋" w:eastAsia="仿宋" w:cs="仿宋"/>
          <w:color w:val="auto"/>
          <w:kern w:val="0"/>
          <w:sz w:val="24"/>
          <w:highlight w:val="none"/>
        </w:rPr>
        <w:t>恶意串通，进行质疑和投诉，维护政府采购市场秩序。</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8.尊重和接受政府采购监督管理部门的监督和政府采购代理机构招标采购要求，承担因违约行为给采购人造成的损失。</w:t>
      </w:r>
    </w:p>
    <w:p>
      <w:pPr>
        <w:widowControl/>
        <w:spacing w:line="5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9.不发生其他有悖于政府采购公开、公平、公正和诚信原则的行为。</w:t>
      </w:r>
    </w:p>
    <w:p>
      <w:pPr>
        <w:widowControl/>
        <w:spacing w:line="520" w:lineRule="exact"/>
        <w:ind w:firstLine="720" w:firstLineChars="300"/>
        <w:jc w:val="left"/>
        <w:rPr>
          <w:rFonts w:ascii="仿宋" w:hAnsi="仿宋" w:eastAsia="仿宋" w:cs="仿宋"/>
          <w:color w:val="auto"/>
          <w:kern w:val="0"/>
          <w:sz w:val="24"/>
          <w:highlight w:val="none"/>
        </w:rPr>
      </w:pPr>
    </w:p>
    <w:p>
      <w:pPr>
        <w:widowControl/>
        <w:spacing w:line="520" w:lineRule="exact"/>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承诺单位名称：</w:t>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（盖章）</w:t>
      </w:r>
    </w:p>
    <w:p>
      <w:pPr>
        <w:widowControl/>
        <w:spacing w:line="520" w:lineRule="exact"/>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法定代表人或委托代理人：</w:t>
      </w:r>
      <w:r>
        <w:rPr>
          <w:rFonts w:hint="eastAsia" w:ascii="仿宋" w:hAnsi="仿宋" w:eastAsia="仿宋" w:cs="仿宋"/>
          <w:color w:val="auto"/>
          <w:kern w:val="0"/>
          <w:sz w:val="24"/>
          <w:highlight w:val="none"/>
          <w:u w:val="single"/>
        </w:rPr>
        <w:t xml:space="preserve">      （签字或盖章）   </w:t>
      </w:r>
    </w:p>
    <w:p>
      <w:pPr>
        <w:widowControl/>
        <w:spacing w:line="520" w:lineRule="exact"/>
        <w:ind w:firstLine="720" w:firstLineChars="3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u w:val="single"/>
        </w:rPr>
        <w:t xml:space="preserve">                                     </w:t>
      </w:r>
    </w:p>
    <w:p>
      <w:pPr>
        <w:widowControl/>
        <w:spacing w:line="520" w:lineRule="exact"/>
        <w:ind w:firstLine="720" w:firstLineChars="3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邮    编：</w:t>
      </w:r>
      <w:r>
        <w:rPr>
          <w:rFonts w:hint="eastAsia" w:ascii="仿宋" w:hAnsi="仿宋" w:eastAsia="仿宋" w:cs="仿宋"/>
          <w:color w:val="auto"/>
          <w:kern w:val="0"/>
          <w:sz w:val="24"/>
          <w:highlight w:val="none"/>
          <w:u w:val="single"/>
        </w:rPr>
        <w:t xml:space="preserve">　　                            　　 </w:t>
      </w:r>
    </w:p>
    <w:p>
      <w:pPr>
        <w:widowControl/>
        <w:spacing w:line="520" w:lineRule="exact"/>
        <w:ind w:firstLine="720" w:firstLineChars="3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电    话：</w:t>
      </w:r>
      <w:r>
        <w:rPr>
          <w:rFonts w:hint="eastAsia" w:ascii="仿宋" w:hAnsi="仿宋" w:eastAsia="仿宋" w:cs="仿宋"/>
          <w:color w:val="auto"/>
          <w:kern w:val="0"/>
          <w:sz w:val="24"/>
          <w:highlight w:val="none"/>
          <w:u w:val="single"/>
        </w:rPr>
        <w:t>　　　                       　　　　</w:t>
      </w:r>
    </w:p>
    <w:p>
      <w:pPr>
        <w:widowControl/>
        <w:spacing w:line="520" w:lineRule="exact"/>
        <w:ind w:firstLine="720" w:firstLineChars="300"/>
        <w:jc w:val="left"/>
        <w:rPr>
          <w:rFonts w:ascii="仿宋" w:hAnsi="仿宋" w:eastAsia="仿宋" w:cs="仿宋"/>
          <w:color w:val="auto"/>
          <w:kern w:val="0"/>
          <w:sz w:val="24"/>
          <w:highlight w:val="none"/>
        </w:rPr>
      </w:pPr>
    </w:p>
    <w:p>
      <w:pPr>
        <w:spacing w:before="216"/>
        <w:ind w:right="493"/>
        <w:jc w:val="center"/>
        <w:rPr>
          <w:rFonts w:ascii="仿宋" w:hAnsi="仿宋" w:eastAsia="仿宋" w:cs="仿宋"/>
          <w:b/>
          <w:color w:val="auto"/>
          <w:sz w:val="32"/>
          <w:highlight w:val="none"/>
        </w:rPr>
      </w:pPr>
      <w:r>
        <w:rPr>
          <w:rFonts w:hint="eastAsia" w:ascii="仿宋" w:hAnsi="仿宋" w:eastAsia="仿宋" w:cs="仿宋"/>
          <w:color w:val="auto"/>
          <w:kern w:val="0"/>
          <w:sz w:val="24"/>
          <w:highlight w:val="none"/>
        </w:rPr>
        <w:t>年　　月　　日</w:t>
      </w:r>
      <w:r>
        <w:rPr>
          <w:rFonts w:hint="eastAsia" w:ascii="仿宋" w:hAnsi="仿宋" w:eastAsia="仿宋" w:cs="仿宋"/>
          <w:b/>
          <w:color w:val="auto"/>
          <w:sz w:val="32"/>
          <w:highlight w:val="none"/>
        </w:rPr>
        <w:t xml:space="preserve">  </w:t>
      </w:r>
    </w:p>
    <w:p>
      <w:pPr>
        <w:spacing w:before="216"/>
        <w:ind w:right="493"/>
        <w:jc w:val="center"/>
        <w:rPr>
          <w:rFonts w:ascii="仿宋" w:hAnsi="仿宋" w:eastAsia="仿宋" w:cs="仿宋"/>
          <w:b/>
          <w:color w:val="auto"/>
          <w:sz w:val="28"/>
          <w:szCs w:val="28"/>
          <w:highlight w:val="none"/>
        </w:rPr>
      </w:pPr>
    </w:p>
    <w:p>
      <w:pPr>
        <w:spacing w:before="216"/>
        <w:ind w:right="493"/>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承诺书Ⅱ</w:t>
      </w:r>
    </w:p>
    <w:tbl>
      <w:tblPr>
        <w:tblStyle w:val="26"/>
        <w:tblW w:w="9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5"/>
        <w:gridCol w:w="3610"/>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9765" w:type="dxa"/>
            <w:gridSpan w:val="3"/>
          </w:tcPr>
          <w:p>
            <w:pPr>
              <w:pStyle w:val="94"/>
              <w:spacing w:before="151"/>
              <w:ind w:left="107"/>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jc w:val="center"/>
        </w:trPr>
        <w:tc>
          <w:tcPr>
            <w:tcW w:w="9765" w:type="dxa"/>
            <w:gridSpan w:val="3"/>
          </w:tcPr>
          <w:p>
            <w:pPr>
              <w:pStyle w:val="94"/>
              <w:spacing w:before="1"/>
              <w:rPr>
                <w:rFonts w:ascii="仿宋" w:hAnsi="仿宋" w:eastAsia="仿宋" w:cs="仿宋"/>
                <w:b/>
                <w:color w:val="auto"/>
                <w:sz w:val="24"/>
                <w:highlight w:val="none"/>
              </w:rPr>
            </w:pPr>
          </w:p>
          <w:p>
            <w:pPr>
              <w:pStyle w:val="94"/>
              <w:spacing w:before="1" w:line="280" w:lineRule="auto"/>
              <w:ind w:left="107" w:right="98" w:firstLine="480"/>
              <w:rPr>
                <w:rFonts w:ascii="仿宋" w:hAnsi="仿宋" w:eastAsia="仿宋" w:cs="仿宋"/>
                <w:color w:val="auto"/>
                <w:sz w:val="24"/>
                <w:highlight w:val="none"/>
              </w:rPr>
            </w:pPr>
            <w:r>
              <w:rPr>
                <w:rFonts w:hint="eastAsia" w:ascii="仿宋" w:hAnsi="仿宋" w:eastAsia="仿宋" w:cs="仿宋"/>
                <w:color w:val="auto"/>
                <w:spacing w:val="-4"/>
                <w:sz w:val="24"/>
                <w:highlight w:val="none"/>
              </w:rPr>
              <w:t>作为参加贵公司组织的采购项目的响应</w:t>
            </w:r>
            <w:r>
              <w:rPr>
                <w:rFonts w:hint="eastAsia" w:ascii="仿宋" w:hAnsi="仿宋" w:eastAsia="仿宋" w:cs="仿宋"/>
                <w:color w:val="auto"/>
                <w:spacing w:val="-4"/>
                <w:sz w:val="24"/>
                <w:highlight w:val="none"/>
                <w:lang w:eastAsia="zh-CN"/>
              </w:rPr>
              <w:t>投标供应商</w:t>
            </w:r>
            <w:r>
              <w:rPr>
                <w:rFonts w:hint="eastAsia" w:ascii="仿宋" w:hAnsi="仿宋" w:eastAsia="仿宋" w:cs="仿宋"/>
                <w:color w:val="auto"/>
                <w:spacing w:val="-4"/>
                <w:sz w:val="24"/>
                <w:highlight w:val="none"/>
              </w:rPr>
              <w:t>，本公司承诺：在参加本项目投标</w:t>
            </w:r>
            <w:r>
              <w:rPr>
                <w:rFonts w:hint="eastAsia" w:ascii="仿宋" w:hAnsi="仿宋" w:eastAsia="仿宋" w:cs="仿宋"/>
                <w:color w:val="auto"/>
                <w:spacing w:val="-5"/>
                <w:sz w:val="24"/>
                <w:highlight w:val="none"/>
              </w:rPr>
              <w:t>之前不存在被依法禁止经营行为、财产被接管或冻结的情况，如有隐瞒实情，愿承担一切</w:t>
            </w:r>
            <w:r>
              <w:rPr>
                <w:rFonts w:hint="eastAsia" w:ascii="仿宋" w:hAnsi="仿宋" w:eastAsia="仿宋" w:cs="仿宋"/>
                <w:color w:val="auto"/>
                <w:sz w:val="24"/>
                <w:highlight w:val="none"/>
              </w:rPr>
              <w:t>责任及后果。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3705" w:type="dxa"/>
          </w:tcPr>
          <w:p>
            <w:pPr>
              <w:pStyle w:val="94"/>
              <w:spacing w:before="103"/>
              <w:ind w:right="883"/>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承诺单位</w:t>
            </w:r>
          </w:p>
        </w:tc>
        <w:tc>
          <w:tcPr>
            <w:tcW w:w="3610" w:type="dxa"/>
          </w:tcPr>
          <w:p>
            <w:pPr>
              <w:pStyle w:val="94"/>
              <w:spacing w:before="103"/>
              <w:ind w:right="578"/>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法定代表人或委托代理人</w:t>
            </w:r>
          </w:p>
        </w:tc>
        <w:tc>
          <w:tcPr>
            <w:tcW w:w="2450" w:type="dxa"/>
          </w:tcPr>
          <w:p>
            <w:pPr>
              <w:pStyle w:val="94"/>
              <w:spacing w:before="103"/>
              <w:ind w:right="53"/>
              <w:jc w:val="center"/>
              <w:rPr>
                <w:rFonts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jc w:val="center"/>
        </w:trPr>
        <w:tc>
          <w:tcPr>
            <w:tcW w:w="3705" w:type="dxa"/>
          </w:tcPr>
          <w:p>
            <w:pPr>
              <w:pStyle w:val="94"/>
              <w:rPr>
                <w:rFonts w:ascii="仿宋" w:hAnsi="仿宋" w:eastAsia="仿宋" w:cs="仿宋"/>
                <w:b/>
                <w:color w:val="auto"/>
                <w:sz w:val="24"/>
                <w:highlight w:val="none"/>
              </w:rPr>
            </w:pPr>
          </w:p>
          <w:p>
            <w:pPr>
              <w:pStyle w:val="94"/>
              <w:spacing w:before="194"/>
              <w:ind w:left="892" w:right="883"/>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w:t>
            </w:r>
          </w:p>
        </w:tc>
        <w:tc>
          <w:tcPr>
            <w:tcW w:w="3610" w:type="dxa"/>
          </w:tcPr>
          <w:p>
            <w:pPr>
              <w:pStyle w:val="94"/>
              <w:rPr>
                <w:rFonts w:ascii="仿宋" w:hAnsi="仿宋" w:eastAsia="仿宋" w:cs="仿宋"/>
                <w:b/>
                <w:color w:val="auto"/>
                <w:sz w:val="24"/>
                <w:highlight w:val="none"/>
              </w:rPr>
            </w:pPr>
          </w:p>
          <w:p>
            <w:pPr>
              <w:pStyle w:val="94"/>
              <w:spacing w:before="194"/>
              <w:ind w:left="587" w:right="578"/>
              <w:jc w:val="center"/>
              <w:rPr>
                <w:rFonts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450" w:type="dxa"/>
          </w:tcPr>
          <w:p>
            <w:pPr>
              <w:pStyle w:val="94"/>
              <w:rPr>
                <w:rFonts w:ascii="仿宋" w:hAnsi="仿宋" w:eastAsia="仿宋" w:cs="仿宋"/>
                <w:b/>
                <w:color w:val="auto"/>
                <w:sz w:val="24"/>
                <w:highlight w:val="none"/>
              </w:rPr>
            </w:pPr>
          </w:p>
          <w:p>
            <w:pPr>
              <w:pStyle w:val="94"/>
              <w:spacing w:before="194"/>
              <w:ind w:right="173"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日</w:t>
            </w:r>
          </w:p>
        </w:tc>
      </w:tr>
    </w:tbl>
    <w:p>
      <w:pPr>
        <w:rPr>
          <w:rFonts w:ascii="仿宋" w:hAnsi="仿宋" w:eastAsia="仿宋" w:cs="仿宋"/>
          <w:color w:val="auto"/>
          <w:sz w:val="24"/>
          <w:highlight w:val="none"/>
        </w:rPr>
      </w:pPr>
    </w:p>
    <w:p>
      <w:pPr>
        <w:spacing w:before="216"/>
        <w:ind w:right="493"/>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pPr>
        <w:spacing w:before="216"/>
        <w:ind w:right="493"/>
        <w:jc w:val="center"/>
        <w:rPr>
          <w:rFonts w:ascii="仿宋" w:hAnsi="仿宋" w:eastAsia="仿宋" w:cs="仿宋"/>
          <w:b/>
          <w:color w:val="auto"/>
          <w:sz w:val="24"/>
          <w:highlight w:val="none"/>
        </w:rPr>
      </w:pPr>
    </w:p>
    <w:p>
      <w:pPr>
        <w:spacing w:before="216"/>
        <w:ind w:right="493"/>
        <w:jc w:val="center"/>
        <w:rPr>
          <w:rFonts w:ascii="仿宋" w:hAnsi="仿宋" w:eastAsia="仿宋" w:cs="仿宋"/>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8"/>
          <w:szCs w:val="28"/>
          <w:highlight w:val="none"/>
        </w:rPr>
        <w:t>承诺书Ⅲ</w:t>
      </w:r>
    </w:p>
    <w:tbl>
      <w:tblPr>
        <w:tblStyle w:val="26"/>
        <w:tblW w:w="9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8"/>
        <w:gridCol w:w="3799"/>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9810" w:type="dxa"/>
            <w:gridSpan w:val="3"/>
          </w:tcPr>
          <w:p>
            <w:pPr>
              <w:pStyle w:val="94"/>
              <w:spacing w:before="52" w:line="289" w:lineRule="exact"/>
              <w:ind w:left="107"/>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jc w:val="center"/>
        </w:trPr>
        <w:tc>
          <w:tcPr>
            <w:tcW w:w="9810" w:type="dxa"/>
            <w:gridSpan w:val="3"/>
          </w:tcPr>
          <w:p>
            <w:pPr>
              <w:pStyle w:val="94"/>
              <w:spacing w:before="10"/>
              <w:rPr>
                <w:rFonts w:ascii="仿宋" w:hAnsi="仿宋" w:eastAsia="仿宋" w:cs="仿宋"/>
                <w:b/>
                <w:color w:val="auto"/>
                <w:sz w:val="24"/>
                <w:highlight w:val="none"/>
              </w:rPr>
            </w:pPr>
          </w:p>
          <w:p>
            <w:pPr>
              <w:pStyle w:val="94"/>
              <w:tabs>
                <w:tab w:val="left" w:pos="6075"/>
              </w:tabs>
              <w:spacing w:line="280" w:lineRule="auto"/>
              <w:ind w:left="107" w:right="-29" w:firstLine="480"/>
              <w:rPr>
                <w:rFonts w:ascii="仿宋" w:hAnsi="仿宋" w:eastAsia="仿宋" w:cs="仿宋"/>
                <w:color w:val="auto"/>
                <w:sz w:val="24"/>
                <w:highlight w:val="none"/>
              </w:rPr>
            </w:pPr>
            <w:r>
              <w:rPr>
                <w:rFonts w:hint="eastAsia" w:ascii="仿宋" w:hAnsi="仿宋" w:eastAsia="仿宋" w:cs="仿宋"/>
                <w:color w:val="auto"/>
                <w:sz w:val="24"/>
                <w:highlight w:val="none"/>
              </w:rPr>
              <w:t>作为参加贵公司组织的采购项目的</w:t>
            </w:r>
            <w:r>
              <w:rPr>
                <w:rFonts w:hint="eastAsia" w:ascii="仿宋" w:hAnsi="仿宋" w:eastAsia="仿宋" w:cs="仿宋"/>
                <w:color w:val="auto"/>
                <w:spacing w:val="-4"/>
                <w:sz w:val="24"/>
                <w:highlight w:val="none"/>
              </w:rPr>
              <w:t>响应</w:t>
            </w:r>
            <w:r>
              <w:rPr>
                <w:rFonts w:hint="eastAsia" w:ascii="仿宋" w:hAnsi="仿宋" w:eastAsia="仿宋" w:cs="仿宋"/>
                <w:color w:val="auto"/>
                <w:spacing w:val="-4"/>
                <w:sz w:val="24"/>
                <w:highlight w:val="none"/>
                <w:lang w:eastAsia="zh-CN"/>
              </w:rPr>
              <w:t>投标供应商</w:t>
            </w:r>
            <w:r>
              <w:rPr>
                <w:rFonts w:hint="eastAsia" w:ascii="仿宋" w:hAnsi="仿宋" w:eastAsia="仿宋" w:cs="仿宋"/>
                <w:color w:val="auto"/>
                <w:spacing w:val="-10"/>
                <w:sz w:val="24"/>
                <w:highlight w:val="none"/>
              </w:rPr>
              <w:t>，</w:t>
            </w:r>
            <w:r>
              <w:rPr>
                <w:rFonts w:hint="eastAsia" w:ascii="仿宋" w:hAnsi="仿宋" w:eastAsia="仿宋" w:cs="仿宋"/>
                <w:color w:val="auto"/>
                <w:sz w:val="24"/>
                <w:highlight w:val="none"/>
              </w:rPr>
              <w:t>本公司郑重申告并承诺</w:t>
            </w:r>
            <w:r>
              <w:rPr>
                <w:rFonts w:hint="eastAsia" w:ascii="仿宋" w:hAnsi="仿宋" w:eastAsia="仿宋" w:cs="仿宋"/>
                <w:color w:val="auto"/>
                <w:spacing w:val="-10"/>
                <w:sz w:val="24"/>
                <w:highlight w:val="none"/>
              </w:rPr>
              <w:t>：</w:t>
            </w:r>
            <w:r>
              <w:rPr>
                <w:rFonts w:hint="eastAsia" w:ascii="仿宋" w:hAnsi="仿宋" w:eastAsia="仿宋" w:cs="仿宋"/>
                <w:color w:val="auto"/>
                <w:sz w:val="24"/>
                <w:highlight w:val="none"/>
              </w:rPr>
              <w:t>近三年受到有关行政主管部门的行政处理</w:t>
            </w:r>
            <w:r>
              <w:rPr>
                <w:rFonts w:hint="eastAsia" w:ascii="仿宋" w:hAnsi="仿宋" w:eastAsia="仿宋" w:cs="仿宋"/>
                <w:color w:val="auto"/>
                <w:spacing w:val="-34"/>
                <w:sz w:val="24"/>
                <w:highlight w:val="none"/>
              </w:rPr>
              <w:t>、</w:t>
            </w:r>
            <w:r>
              <w:rPr>
                <w:rFonts w:hint="eastAsia" w:ascii="仿宋" w:hAnsi="仿宋" w:eastAsia="仿宋" w:cs="仿宋"/>
                <w:color w:val="auto"/>
                <w:sz w:val="24"/>
                <w:highlight w:val="none"/>
              </w:rPr>
              <w:t>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pacing w:val="-34"/>
                <w:sz w:val="24"/>
                <w:highlight w:val="none"/>
              </w:rPr>
              <w:t>次</w:t>
            </w:r>
            <w:r>
              <w:rPr>
                <w:rFonts w:hint="eastAsia" w:ascii="仿宋" w:hAnsi="仿宋" w:eastAsia="仿宋" w:cs="仿宋"/>
                <w:color w:val="auto"/>
                <w:sz w:val="24"/>
                <w:highlight w:val="none"/>
              </w:rPr>
              <w:t>（没有填零</w:t>
            </w:r>
            <w:r>
              <w:rPr>
                <w:rFonts w:hint="eastAsia" w:ascii="仿宋" w:hAnsi="仿宋" w:eastAsia="仿宋" w:cs="仿宋"/>
                <w:color w:val="auto"/>
                <w:spacing w:val="-34"/>
                <w:sz w:val="24"/>
                <w:highlight w:val="none"/>
              </w:rPr>
              <w:t>），</w:t>
            </w:r>
            <w:r>
              <w:rPr>
                <w:rFonts w:hint="eastAsia" w:ascii="仿宋" w:hAnsi="仿宋" w:eastAsia="仿宋" w:cs="仿宋"/>
                <w:color w:val="auto"/>
                <w:sz w:val="24"/>
                <w:highlight w:val="none"/>
              </w:rPr>
              <w:t>如有隐瞒实情</w:t>
            </w:r>
            <w:r>
              <w:rPr>
                <w:rFonts w:hint="eastAsia" w:ascii="仿宋" w:hAnsi="仿宋" w:eastAsia="仿宋" w:cs="仿宋"/>
                <w:color w:val="auto"/>
                <w:spacing w:val="-15"/>
                <w:sz w:val="24"/>
                <w:highlight w:val="none"/>
              </w:rPr>
              <w:t>，</w:t>
            </w:r>
            <w:r>
              <w:rPr>
                <w:rFonts w:hint="eastAsia" w:ascii="仿宋" w:hAnsi="仿宋" w:eastAsia="仿宋" w:cs="仿宋"/>
                <w:color w:val="auto"/>
                <w:sz w:val="24"/>
                <w:highlight w:val="none"/>
              </w:rPr>
              <w:t>愿承担一切责任及后果。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3888" w:type="dxa"/>
          </w:tcPr>
          <w:p>
            <w:pPr>
              <w:pStyle w:val="94"/>
              <w:spacing w:before="107"/>
              <w:ind w:right="950"/>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承诺单位</w:t>
            </w:r>
          </w:p>
        </w:tc>
        <w:tc>
          <w:tcPr>
            <w:tcW w:w="3799" w:type="dxa"/>
          </w:tcPr>
          <w:p>
            <w:pPr>
              <w:pStyle w:val="94"/>
              <w:spacing w:before="107"/>
              <w:ind w:right="668"/>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法定代表人或委托代理人</w:t>
            </w:r>
          </w:p>
        </w:tc>
        <w:tc>
          <w:tcPr>
            <w:tcW w:w="2123" w:type="dxa"/>
          </w:tcPr>
          <w:p>
            <w:pPr>
              <w:pStyle w:val="94"/>
              <w:spacing w:before="107"/>
              <w:ind w:right="51"/>
              <w:jc w:val="center"/>
              <w:rPr>
                <w:rFonts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3888" w:type="dxa"/>
          </w:tcPr>
          <w:p>
            <w:pPr>
              <w:pStyle w:val="94"/>
              <w:rPr>
                <w:rFonts w:ascii="仿宋" w:hAnsi="仿宋" w:eastAsia="仿宋" w:cs="仿宋"/>
                <w:b/>
                <w:color w:val="auto"/>
                <w:sz w:val="24"/>
                <w:highlight w:val="none"/>
              </w:rPr>
            </w:pPr>
          </w:p>
          <w:p>
            <w:pPr>
              <w:pStyle w:val="94"/>
              <w:rPr>
                <w:rFonts w:ascii="仿宋" w:hAnsi="仿宋" w:eastAsia="仿宋" w:cs="仿宋"/>
                <w:b/>
                <w:color w:val="auto"/>
                <w:sz w:val="24"/>
                <w:highlight w:val="none"/>
              </w:rPr>
            </w:pPr>
          </w:p>
          <w:p>
            <w:pPr>
              <w:pStyle w:val="94"/>
              <w:spacing w:before="6"/>
              <w:rPr>
                <w:rFonts w:ascii="仿宋" w:hAnsi="仿宋" w:eastAsia="仿宋" w:cs="仿宋"/>
                <w:b/>
                <w:color w:val="auto"/>
                <w:sz w:val="24"/>
                <w:highlight w:val="none"/>
              </w:rPr>
            </w:pPr>
          </w:p>
          <w:p>
            <w:pPr>
              <w:pStyle w:val="94"/>
              <w:ind w:left="959" w:right="95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w:t>
            </w:r>
          </w:p>
        </w:tc>
        <w:tc>
          <w:tcPr>
            <w:tcW w:w="3799" w:type="dxa"/>
          </w:tcPr>
          <w:p>
            <w:pPr>
              <w:pStyle w:val="94"/>
              <w:rPr>
                <w:rFonts w:ascii="仿宋" w:hAnsi="仿宋" w:eastAsia="仿宋" w:cs="仿宋"/>
                <w:b/>
                <w:color w:val="auto"/>
                <w:sz w:val="24"/>
                <w:highlight w:val="none"/>
              </w:rPr>
            </w:pPr>
          </w:p>
          <w:p>
            <w:pPr>
              <w:pStyle w:val="94"/>
              <w:rPr>
                <w:rFonts w:ascii="仿宋" w:hAnsi="仿宋" w:eastAsia="仿宋" w:cs="仿宋"/>
                <w:b/>
                <w:color w:val="auto"/>
                <w:sz w:val="24"/>
                <w:highlight w:val="none"/>
              </w:rPr>
            </w:pPr>
          </w:p>
          <w:p>
            <w:pPr>
              <w:pStyle w:val="94"/>
              <w:spacing w:before="6"/>
              <w:rPr>
                <w:rFonts w:ascii="仿宋" w:hAnsi="仿宋" w:eastAsia="仿宋" w:cs="仿宋"/>
                <w:b/>
                <w:color w:val="auto"/>
                <w:sz w:val="24"/>
                <w:highlight w:val="none"/>
              </w:rPr>
            </w:pPr>
          </w:p>
          <w:p>
            <w:pPr>
              <w:pStyle w:val="94"/>
              <w:ind w:left="681" w:right="668"/>
              <w:jc w:val="center"/>
              <w:rPr>
                <w:rFonts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123" w:type="dxa"/>
          </w:tcPr>
          <w:p>
            <w:pPr>
              <w:pStyle w:val="94"/>
              <w:rPr>
                <w:rFonts w:ascii="仿宋" w:hAnsi="仿宋" w:eastAsia="仿宋" w:cs="仿宋"/>
                <w:b/>
                <w:color w:val="auto"/>
                <w:sz w:val="24"/>
                <w:highlight w:val="none"/>
              </w:rPr>
            </w:pPr>
          </w:p>
          <w:p>
            <w:pPr>
              <w:pStyle w:val="94"/>
              <w:rPr>
                <w:rFonts w:ascii="仿宋" w:hAnsi="仿宋" w:eastAsia="仿宋" w:cs="仿宋"/>
                <w:b/>
                <w:color w:val="auto"/>
                <w:sz w:val="24"/>
                <w:highlight w:val="none"/>
              </w:rPr>
            </w:pPr>
          </w:p>
          <w:p>
            <w:pPr>
              <w:pStyle w:val="94"/>
              <w:spacing w:before="6"/>
              <w:rPr>
                <w:rFonts w:ascii="仿宋" w:hAnsi="仿宋" w:eastAsia="仿宋" w:cs="仿宋"/>
                <w:b/>
                <w:color w:val="auto"/>
                <w:sz w:val="24"/>
                <w:highlight w:val="none"/>
              </w:rPr>
            </w:pPr>
          </w:p>
          <w:p>
            <w:pPr>
              <w:pStyle w:val="94"/>
              <w:ind w:right="171"/>
              <w:jc w:val="center"/>
              <w:rPr>
                <w:rFonts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日</w:t>
            </w:r>
          </w:p>
        </w:tc>
      </w:tr>
    </w:tbl>
    <w:p>
      <w:pPr>
        <w:spacing w:before="94"/>
        <w:ind w:right="1247"/>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pPr>
        <w:spacing w:before="94"/>
        <w:ind w:right="1247"/>
        <w:jc w:val="center"/>
        <w:rPr>
          <w:rFonts w:ascii="仿宋" w:hAnsi="仿宋" w:eastAsia="仿宋" w:cs="仿宋"/>
          <w:b/>
          <w:color w:val="auto"/>
          <w:sz w:val="24"/>
          <w:highlight w:val="none"/>
        </w:rPr>
      </w:pPr>
    </w:p>
    <w:p>
      <w:pPr>
        <w:spacing w:before="94"/>
        <w:ind w:right="1247"/>
        <w:jc w:val="center"/>
        <w:rPr>
          <w:rFonts w:ascii="仿宋" w:hAnsi="仿宋" w:eastAsia="仿宋" w:cs="仿宋"/>
          <w:b/>
          <w:color w:val="auto"/>
          <w:sz w:val="24"/>
          <w:highlight w:val="none"/>
        </w:rPr>
      </w:pPr>
      <w:r>
        <w:rPr>
          <w:rFonts w:hint="eastAsia" w:ascii="仿宋" w:hAnsi="仿宋" w:eastAsia="仿宋" w:cs="仿宋"/>
          <w:b/>
          <w:color w:val="auto"/>
          <w:sz w:val="28"/>
          <w:szCs w:val="28"/>
          <w:highlight w:val="none"/>
        </w:rPr>
        <w:t>承诺书Ⅳ</w:t>
      </w:r>
    </w:p>
    <w:tbl>
      <w:tblPr>
        <w:tblStyle w:val="26"/>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9"/>
        <w:gridCol w:w="3725"/>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525" w:type="dxa"/>
            <w:gridSpan w:val="3"/>
          </w:tcPr>
          <w:p>
            <w:pPr>
              <w:pStyle w:val="94"/>
              <w:spacing w:before="160"/>
              <w:ind w:left="107"/>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jc w:val="center"/>
        </w:trPr>
        <w:tc>
          <w:tcPr>
            <w:tcW w:w="9525" w:type="dxa"/>
            <w:gridSpan w:val="3"/>
          </w:tcPr>
          <w:p>
            <w:pPr>
              <w:pStyle w:val="94"/>
              <w:spacing w:before="5"/>
              <w:rPr>
                <w:rFonts w:ascii="仿宋" w:hAnsi="仿宋" w:eastAsia="仿宋" w:cs="仿宋"/>
                <w:b/>
                <w:color w:val="auto"/>
                <w:sz w:val="24"/>
                <w:highlight w:val="none"/>
              </w:rPr>
            </w:pPr>
          </w:p>
          <w:p>
            <w:pPr>
              <w:pStyle w:val="94"/>
              <w:spacing w:line="280" w:lineRule="auto"/>
              <w:ind w:left="107" w:right="94" w:firstLine="480"/>
              <w:rPr>
                <w:rFonts w:ascii="仿宋" w:hAnsi="仿宋" w:eastAsia="仿宋" w:cs="仿宋"/>
                <w:color w:val="auto"/>
                <w:sz w:val="24"/>
                <w:highlight w:val="none"/>
              </w:rPr>
            </w:pPr>
            <w:r>
              <w:rPr>
                <w:rFonts w:hint="eastAsia" w:ascii="仿宋" w:hAnsi="仿宋" w:eastAsia="仿宋" w:cs="仿宋"/>
                <w:color w:val="auto"/>
                <w:spacing w:val="-4"/>
                <w:sz w:val="24"/>
                <w:highlight w:val="none"/>
              </w:rPr>
              <w:t>作为参加贵公司组织的采购项目的响应</w:t>
            </w:r>
            <w:r>
              <w:rPr>
                <w:rFonts w:hint="eastAsia" w:ascii="仿宋" w:hAnsi="仿宋" w:eastAsia="仿宋" w:cs="仿宋"/>
                <w:color w:val="auto"/>
                <w:spacing w:val="-4"/>
                <w:sz w:val="24"/>
                <w:highlight w:val="none"/>
                <w:lang w:eastAsia="zh-CN"/>
              </w:rPr>
              <w:t>投标供应商</w:t>
            </w:r>
            <w:r>
              <w:rPr>
                <w:rFonts w:hint="eastAsia" w:ascii="仿宋" w:hAnsi="仿宋" w:eastAsia="仿宋" w:cs="仿宋"/>
                <w:color w:val="auto"/>
                <w:spacing w:val="-4"/>
                <w:sz w:val="24"/>
                <w:highlight w:val="none"/>
              </w:rPr>
              <w:t>，本公司承诺：参加本次投标提交的所有资质证明文件及业绩证明文件是真实的、有效的，如有隐瞒实情，愿承担一切责任</w:t>
            </w:r>
            <w:r>
              <w:rPr>
                <w:rFonts w:hint="eastAsia" w:ascii="仿宋" w:hAnsi="仿宋" w:eastAsia="仿宋" w:cs="仿宋"/>
                <w:color w:val="auto"/>
                <w:sz w:val="24"/>
                <w:highlight w:val="none"/>
              </w:rPr>
              <w:t>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3669" w:type="dxa"/>
          </w:tcPr>
          <w:p>
            <w:pPr>
              <w:pStyle w:val="94"/>
              <w:spacing w:before="107"/>
              <w:ind w:right="957"/>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承诺单位</w:t>
            </w:r>
          </w:p>
        </w:tc>
        <w:tc>
          <w:tcPr>
            <w:tcW w:w="3725" w:type="dxa"/>
          </w:tcPr>
          <w:p>
            <w:pPr>
              <w:pStyle w:val="94"/>
              <w:spacing w:before="107"/>
              <w:ind w:right="632"/>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法定代表人或委托代理人</w:t>
            </w:r>
          </w:p>
        </w:tc>
        <w:tc>
          <w:tcPr>
            <w:tcW w:w="2131" w:type="dxa"/>
          </w:tcPr>
          <w:p>
            <w:pPr>
              <w:pStyle w:val="94"/>
              <w:spacing w:before="107"/>
              <w:ind w:right="84"/>
              <w:jc w:val="center"/>
              <w:rPr>
                <w:rFonts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3669" w:type="dxa"/>
          </w:tcPr>
          <w:p>
            <w:pPr>
              <w:pStyle w:val="94"/>
              <w:rPr>
                <w:rFonts w:ascii="仿宋" w:hAnsi="仿宋" w:eastAsia="仿宋" w:cs="仿宋"/>
                <w:b/>
                <w:color w:val="auto"/>
                <w:sz w:val="24"/>
                <w:highlight w:val="none"/>
              </w:rPr>
            </w:pPr>
          </w:p>
          <w:p>
            <w:pPr>
              <w:pStyle w:val="94"/>
              <w:spacing w:before="4"/>
              <w:rPr>
                <w:rFonts w:ascii="仿宋" w:hAnsi="仿宋" w:eastAsia="仿宋" w:cs="仿宋"/>
                <w:b/>
                <w:color w:val="auto"/>
                <w:sz w:val="24"/>
                <w:highlight w:val="none"/>
              </w:rPr>
            </w:pPr>
          </w:p>
          <w:p>
            <w:pPr>
              <w:pStyle w:val="94"/>
              <w:ind w:left="964" w:right="957"/>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w:t>
            </w:r>
          </w:p>
        </w:tc>
        <w:tc>
          <w:tcPr>
            <w:tcW w:w="3725" w:type="dxa"/>
          </w:tcPr>
          <w:p>
            <w:pPr>
              <w:pStyle w:val="94"/>
              <w:rPr>
                <w:rFonts w:ascii="仿宋" w:hAnsi="仿宋" w:eastAsia="仿宋" w:cs="仿宋"/>
                <w:b/>
                <w:color w:val="auto"/>
                <w:sz w:val="24"/>
                <w:highlight w:val="none"/>
              </w:rPr>
            </w:pPr>
          </w:p>
          <w:p>
            <w:pPr>
              <w:pStyle w:val="94"/>
              <w:spacing w:before="4"/>
              <w:rPr>
                <w:rFonts w:ascii="仿宋" w:hAnsi="仿宋" w:eastAsia="仿宋" w:cs="仿宋"/>
                <w:b/>
                <w:color w:val="auto"/>
                <w:sz w:val="24"/>
                <w:highlight w:val="none"/>
              </w:rPr>
            </w:pPr>
          </w:p>
          <w:p>
            <w:pPr>
              <w:pStyle w:val="94"/>
              <w:ind w:left="642" w:right="632"/>
              <w:jc w:val="center"/>
              <w:rPr>
                <w:rFonts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131" w:type="dxa"/>
          </w:tcPr>
          <w:p>
            <w:pPr>
              <w:pStyle w:val="94"/>
              <w:rPr>
                <w:rFonts w:ascii="仿宋" w:hAnsi="仿宋" w:eastAsia="仿宋" w:cs="仿宋"/>
                <w:b/>
                <w:color w:val="auto"/>
                <w:sz w:val="24"/>
                <w:highlight w:val="none"/>
              </w:rPr>
            </w:pPr>
          </w:p>
          <w:p>
            <w:pPr>
              <w:pStyle w:val="94"/>
              <w:spacing w:before="4"/>
              <w:rPr>
                <w:rFonts w:ascii="仿宋" w:hAnsi="仿宋" w:eastAsia="仿宋" w:cs="仿宋"/>
                <w:b/>
                <w:color w:val="auto"/>
                <w:sz w:val="24"/>
                <w:highlight w:val="none"/>
              </w:rPr>
            </w:pPr>
          </w:p>
          <w:p>
            <w:pPr>
              <w:pStyle w:val="94"/>
              <w:ind w:right="144"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日</w:t>
            </w:r>
          </w:p>
        </w:tc>
      </w:tr>
    </w:tbl>
    <w:p>
      <w:pPr>
        <w:spacing w:after="394" w:afterLines="100" w:line="520" w:lineRule="exact"/>
        <w:jc w:val="center"/>
        <w:rPr>
          <w:rFonts w:ascii="仿宋" w:hAnsi="仿宋" w:eastAsia="仿宋" w:cs="仿宋"/>
          <w:b/>
          <w:bCs/>
          <w:color w:val="auto"/>
          <w:sz w:val="32"/>
          <w:szCs w:val="32"/>
          <w:highlight w:val="none"/>
        </w:rPr>
      </w:pPr>
    </w:p>
    <w:p>
      <w:pPr>
        <w:spacing w:after="394" w:afterLines="100" w:line="520" w:lineRule="exact"/>
        <w:jc w:val="center"/>
        <w:rPr>
          <w:rFonts w:ascii="仿宋" w:hAnsi="仿宋" w:eastAsia="仿宋" w:cs="仿宋"/>
          <w:b/>
          <w:bCs/>
          <w:color w:val="auto"/>
          <w:sz w:val="32"/>
          <w:szCs w:val="32"/>
          <w:highlight w:val="none"/>
        </w:rPr>
      </w:pPr>
    </w:p>
    <w:p>
      <w:pPr>
        <w:spacing w:after="394" w:afterLines="100" w:line="520" w:lineRule="exact"/>
        <w:jc w:val="center"/>
        <w:rPr>
          <w:rFonts w:ascii="仿宋" w:hAnsi="仿宋" w:eastAsia="仿宋" w:cs="仿宋"/>
          <w:b/>
          <w:bCs/>
          <w:color w:val="auto"/>
          <w:sz w:val="32"/>
          <w:szCs w:val="32"/>
          <w:highlight w:val="none"/>
        </w:rPr>
      </w:pPr>
    </w:p>
    <w:p>
      <w:pPr>
        <w:spacing w:after="394" w:afterLines="100" w:line="520" w:lineRule="exact"/>
        <w:jc w:val="center"/>
        <w:rPr>
          <w:rFonts w:ascii="仿宋" w:hAnsi="仿宋" w:eastAsia="仿宋" w:cs="仿宋"/>
          <w:b/>
          <w:bCs/>
          <w:color w:val="auto"/>
          <w:sz w:val="32"/>
          <w:szCs w:val="32"/>
          <w:highlight w:val="none"/>
        </w:rPr>
      </w:pPr>
    </w:p>
    <w:p>
      <w:pPr>
        <w:spacing w:after="394" w:afterLines="100" w:line="520" w:lineRule="exact"/>
        <w:jc w:val="center"/>
        <w:rPr>
          <w:rFonts w:ascii="仿宋" w:hAnsi="仿宋" w:eastAsia="仿宋" w:cs="仿宋"/>
          <w:b/>
          <w:bCs/>
          <w:color w:val="auto"/>
          <w:sz w:val="32"/>
          <w:szCs w:val="32"/>
          <w:highlight w:val="none"/>
        </w:rPr>
      </w:pPr>
    </w:p>
    <w:p>
      <w:pPr>
        <w:spacing w:after="394" w:afterLines="100" w:line="520" w:lineRule="exact"/>
        <w:rPr>
          <w:rFonts w:ascii="仿宋" w:hAnsi="仿宋" w:eastAsia="仿宋" w:cs="仿宋"/>
          <w:b/>
          <w:bCs/>
          <w:color w:val="auto"/>
          <w:sz w:val="32"/>
          <w:szCs w:val="32"/>
          <w:highlight w:val="none"/>
        </w:rPr>
      </w:pPr>
    </w:p>
    <w:p>
      <w:pPr>
        <w:pStyle w:val="2"/>
        <w:rPr>
          <w:rFonts w:ascii="仿宋" w:hAnsi="仿宋" w:eastAsia="仿宋" w:cs="仿宋"/>
          <w:b/>
          <w:bCs/>
          <w:color w:val="auto"/>
          <w:sz w:val="32"/>
          <w:szCs w:val="32"/>
          <w:highlight w:val="none"/>
        </w:rPr>
      </w:pPr>
    </w:p>
    <w:p>
      <w:pPr>
        <w:rPr>
          <w:rFonts w:ascii="仿宋" w:hAnsi="仿宋" w:eastAsia="仿宋" w:cs="仿宋"/>
          <w:b/>
          <w:bCs/>
          <w:color w:val="auto"/>
          <w:sz w:val="32"/>
          <w:szCs w:val="32"/>
          <w:highlight w:val="none"/>
        </w:rPr>
      </w:pPr>
    </w:p>
    <w:p>
      <w:pPr>
        <w:pStyle w:val="2"/>
        <w:rPr>
          <w:rFonts w:ascii="仿宋" w:hAnsi="仿宋" w:eastAsia="仿宋" w:cs="仿宋"/>
          <w:b/>
          <w:bCs/>
          <w:color w:val="auto"/>
          <w:sz w:val="32"/>
          <w:szCs w:val="32"/>
          <w:highlight w:val="none"/>
        </w:rPr>
      </w:pPr>
    </w:p>
    <w:p>
      <w:pPr>
        <w:rPr>
          <w:rFonts w:ascii="仿宋" w:hAnsi="仿宋" w:eastAsia="仿宋" w:cs="仿宋"/>
          <w:b/>
          <w:bCs/>
          <w:color w:val="auto"/>
          <w:sz w:val="32"/>
          <w:szCs w:val="32"/>
          <w:highlight w:val="none"/>
        </w:rPr>
      </w:pPr>
    </w:p>
    <w:p>
      <w:pPr>
        <w:pStyle w:val="2"/>
        <w:rPr>
          <w:rFonts w:ascii="仿宋" w:hAnsi="仿宋" w:eastAsia="仿宋" w:cs="仿宋"/>
          <w:b/>
          <w:bCs/>
          <w:color w:val="auto"/>
          <w:sz w:val="32"/>
          <w:szCs w:val="32"/>
          <w:highlight w:val="none"/>
        </w:rPr>
      </w:pPr>
    </w:p>
    <w:p/>
    <w:p>
      <w:pPr>
        <w:pStyle w:val="2"/>
        <w:rPr>
          <w:rFonts w:ascii="仿宋" w:hAnsi="仿宋" w:eastAsia="仿宋" w:cs="仿宋"/>
          <w:b/>
          <w:bCs/>
          <w:color w:val="auto"/>
          <w:sz w:val="32"/>
          <w:szCs w:val="32"/>
          <w:highlight w:val="none"/>
        </w:rPr>
      </w:pPr>
    </w:p>
    <w:p>
      <w:pPr>
        <w:adjustRightInd w:val="0"/>
        <w:spacing w:line="400" w:lineRule="exact"/>
        <w:ind w:firstLine="367" w:firstLineChars="175"/>
        <w:jc w:val="left"/>
        <w:rPr>
          <w:rFonts w:ascii="仿宋" w:hAnsi="仿宋" w:eastAsia="仿宋" w:cs="仿宋"/>
          <w:bCs/>
          <w:color w:val="auto"/>
          <w:szCs w:val="21"/>
          <w:highlight w:val="none"/>
        </w:rPr>
      </w:pPr>
    </w:p>
    <w:p>
      <w:pPr>
        <w:widowControl/>
        <w:numPr>
          <w:ilvl w:val="0"/>
          <w:numId w:val="0"/>
        </w:numPr>
        <w:jc w:val="center"/>
        <w:outlineLvl w:val="0"/>
        <w:rPr>
          <w:rFonts w:hint="eastAsia" w:ascii="仿宋" w:hAnsi="仿宋" w:eastAsia="仿宋" w:cs="仿宋"/>
          <w:b/>
          <w:color w:val="auto"/>
          <w:sz w:val="30"/>
          <w:szCs w:val="30"/>
          <w:highlight w:val="none"/>
          <w:lang w:val="en-US" w:eastAsia="zh-CN"/>
        </w:rPr>
      </w:pPr>
      <w:bookmarkStart w:id="203" w:name="_Toc28175"/>
      <w:bookmarkStart w:id="204" w:name="_Toc7484"/>
      <w:bookmarkStart w:id="205" w:name="_Toc19356"/>
      <w:r>
        <w:rPr>
          <w:rFonts w:hint="eastAsia" w:ascii="仿宋" w:hAnsi="仿宋" w:eastAsia="仿宋" w:cs="仿宋"/>
          <w:b/>
          <w:color w:val="auto"/>
          <w:sz w:val="30"/>
          <w:szCs w:val="30"/>
          <w:highlight w:val="none"/>
          <w:lang w:val="en-US" w:eastAsia="zh-CN"/>
        </w:rPr>
        <w:t>七、投标供应商概况</w:t>
      </w:r>
      <w:bookmarkEnd w:id="203"/>
      <w:bookmarkEnd w:id="204"/>
      <w:bookmarkEnd w:id="205"/>
    </w:p>
    <w:p>
      <w:pPr>
        <w:pStyle w:val="2"/>
        <w:numPr>
          <w:ilvl w:val="0"/>
          <w:numId w:val="0"/>
        </w:numPr>
        <w:jc w:val="center"/>
        <w:rPr>
          <w:rFonts w:hint="eastAsia" w:ascii="仿宋" w:hAnsi="仿宋" w:eastAsia="仿宋" w:cs="仿宋"/>
          <w:b/>
          <w:bCs/>
          <w:sz w:val="24"/>
          <w:szCs w:val="24"/>
          <w:lang w:val="en-US" w:eastAsia="zh-CN"/>
        </w:rPr>
      </w:pPr>
    </w:p>
    <w:p>
      <w:pPr>
        <w:pStyle w:val="2"/>
        <w:numPr>
          <w:ilvl w:val="0"/>
          <w:numId w:val="5"/>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.投标供应商简介</w:t>
      </w: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jc w:val="center"/>
        <w:rPr>
          <w:rFonts w:hint="eastAsia"/>
          <w:b/>
          <w:bCs/>
          <w:sz w:val="28"/>
          <w:szCs w:val="36"/>
          <w:lang w:val="en-US" w:eastAsia="zh-CN"/>
        </w:rPr>
      </w:pPr>
      <w:r>
        <w:rPr>
          <w:rFonts w:hint="eastAsia"/>
          <w:b/>
          <w:bCs/>
          <w:sz w:val="28"/>
          <w:szCs w:val="36"/>
          <w:lang w:val="en-US" w:eastAsia="zh-CN"/>
        </w:rPr>
        <w:t>（格式自拟）</w:t>
      </w: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b/>
          <w:bCs/>
          <w:sz w:val="28"/>
          <w:szCs w:val="36"/>
          <w:lang w:val="en-US" w:eastAsia="zh-CN"/>
        </w:rPr>
      </w:pPr>
    </w:p>
    <w:p>
      <w:pPr>
        <w:pStyle w:val="2"/>
        <w:rPr>
          <w:rFonts w:hint="eastAsia"/>
          <w:b/>
          <w:bCs/>
          <w:sz w:val="28"/>
          <w:szCs w:val="36"/>
          <w:lang w:val="en-US" w:eastAsia="zh-CN"/>
        </w:rPr>
      </w:pPr>
    </w:p>
    <w:p>
      <w:pPr>
        <w:rPr>
          <w:rFonts w:hint="eastAsia"/>
          <w:lang w:val="en-US" w:eastAsia="zh-CN"/>
        </w:rPr>
      </w:pPr>
    </w:p>
    <w:p>
      <w:pPr>
        <w:pStyle w:val="2"/>
        <w:rPr>
          <w:rFonts w:hint="default"/>
          <w:lang w:val="en-US" w:eastAsia="zh-CN"/>
        </w:rPr>
      </w:pPr>
    </w:p>
    <w:p>
      <w:pPr>
        <w:pStyle w:val="2"/>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（2）.投标供应商基本情况</w:t>
      </w:r>
    </w:p>
    <w:tbl>
      <w:tblPr>
        <w:tblStyle w:val="26"/>
        <w:tblW w:w="93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96"/>
        <w:gridCol w:w="1254"/>
        <w:gridCol w:w="2121"/>
        <w:gridCol w:w="1096"/>
        <w:gridCol w:w="1298"/>
        <w:gridCol w:w="205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32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b/>
                <w:bCs/>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49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投标供应商</w:t>
            </w:r>
          </w:p>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全称</w:t>
            </w:r>
          </w:p>
        </w:tc>
        <w:tc>
          <w:tcPr>
            <w:tcW w:w="78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49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注册地址</w:t>
            </w:r>
          </w:p>
        </w:tc>
        <w:tc>
          <w:tcPr>
            <w:tcW w:w="78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49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登记证号</w:t>
            </w:r>
          </w:p>
        </w:tc>
        <w:tc>
          <w:tcPr>
            <w:tcW w:w="4471" w:type="dxa"/>
            <w:gridSpan w:val="3"/>
            <w:tcBorders>
              <w:top w:val="single" w:color="auto" w:sz="6"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val="en-US" w:eastAsia="zh-CN" w:bidi="ar-SA"/>
              </w:rPr>
            </w:pPr>
          </w:p>
        </w:tc>
        <w:tc>
          <w:tcPr>
            <w:tcW w:w="1298" w:type="dxa"/>
            <w:tcBorders>
              <w:top w:val="single" w:color="auto" w:sz="6" w:space="0"/>
              <w:left w:val="single" w:color="auto" w:sz="4"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055" w:type="dxa"/>
            <w:tcBorders>
              <w:top w:val="single" w:color="auto" w:sz="6" w:space="0"/>
              <w:left w:val="single" w:color="auto" w:sz="4"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496" w:type="dxa"/>
            <w:vMerge w:val="restart"/>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联系方式</w:t>
            </w:r>
          </w:p>
        </w:tc>
        <w:tc>
          <w:tcPr>
            <w:tcW w:w="1254" w:type="dxa"/>
            <w:tcBorders>
              <w:top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联系人</w:t>
            </w:r>
          </w:p>
        </w:tc>
        <w:tc>
          <w:tcPr>
            <w:tcW w:w="3217" w:type="dxa"/>
            <w:gridSpan w:val="2"/>
            <w:tcBorders>
              <w:top w:val="single" w:color="auto" w:sz="6"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c>
          <w:tcPr>
            <w:tcW w:w="1298" w:type="dxa"/>
            <w:tcBorders>
              <w:top w:val="single" w:color="auto" w:sz="6" w:space="0"/>
              <w:lef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电话</w:t>
            </w:r>
          </w:p>
        </w:tc>
        <w:tc>
          <w:tcPr>
            <w:tcW w:w="2055" w:type="dxa"/>
            <w:tcBorders>
              <w:top w:val="single" w:color="auto" w:sz="6" w:space="0"/>
              <w:bottom w:val="single" w:color="auto" w:sz="4"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496" w:type="dxa"/>
            <w:vMerge w:val="continue"/>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c>
          <w:tcPr>
            <w:tcW w:w="1254" w:type="dxa"/>
            <w:tcBorders>
              <w:top w:val="single" w:color="auto" w:sz="6"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传真</w:t>
            </w:r>
          </w:p>
        </w:tc>
        <w:tc>
          <w:tcPr>
            <w:tcW w:w="3217" w:type="dxa"/>
            <w:gridSpan w:val="2"/>
            <w:tcBorders>
              <w:top w:val="single" w:color="auto" w:sz="6"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c>
          <w:tcPr>
            <w:tcW w:w="1298" w:type="dxa"/>
            <w:tcBorders>
              <w:top w:val="single" w:color="auto" w:sz="6" w:space="0"/>
              <w:lef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邮箱</w:t>
            </w:r>
          </w:p>
        </w:tc>
        <w:tc>
          <w:tcPr>
            <w:tcW w:w="2055" w:type="dxa"/>
            <w:tcBorders>
              <w:top w:val="single" w:color="auto" w:sz="4"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49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单位性质</w:t>
            </w:r>
          </w:p>
        </w:tc>
        <w:tc>
          <w:tcPr>
            <w:tcW w:w="7824" w:type="dxa"/>
            <w:gridSpan w:val="5"/>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49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w:t>
            </w:r>
          </w:p>
        </w:tc>
        <w:tc>
          <w:tcPr>
            <w:tcW w:w="4471" w:type="dxa"/>
            <w:gridSpan w:val="3"/>
            <w:tcBorders>
              <w:top w:val="single" w:color="auto" w:sz="6"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p>
        </w:tc>
        <w:tc>
          <w:tcPr>
            <w:tcW w:w="1298" w:type="dxa"/>
            <w:tcBorders>
              <w:top w:val="single" w:color="auto" w:sz="6" w:space="0"/>
              <w:lef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职称</w:t>
            </w:r>
          </w:p>
        </w:tc>
        <w:tc>
          <w:tcPr>
            <w:tcW w:w="2055" w:type="dxa"/>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496"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注册资金</w:t>
            </w:r>
          </w:p>
        </w:tc>
        <w:tc>
          <w:tcPr>
            <w:tcW w:w="3375" w:type="dxa"/>
            <w:gridSpan w:val="2"/>
            <w:tcBorders>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万元</w:t>
            </w:r>
          </w:p>
        </w:tc>
        <w:tc>
          <w:tcPr>
            <w:tcW w:w="1096" w:type="dxa"/>
            <w:vMerge w:val="restart"/>
            <w:tcBorders>
              <w:left w:val="single" w:color="auto" w:sz="4"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固定</w:t>
            </w:r>
          </w:p>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资产</w:t>
            </w:r>
          </w:p>
        </w:tc>
        <w:tc>
          <w:tcPr>
            <w:tcW w:w="1298" w:type="dxa"/>
            <w:tcBorders>
              <w:lef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原值</w:t>
            </w:r>
          </w:p>
        </w:tc>
        <w:tc>
          <w:tcPr>
            <w:tcW w:w="2055" w:type="dxa"/>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1496"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流动资金（上年度）</w:t>
            </w:r>
          </w:p>
        </w:tc>
        <w:tc>
          <w:tcPr>
            <w:tcW w:w="3375" w:type="dxa"/>
            <w:gridSpan w:val="2"/>
            <w:tcBorders>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万元</w:t>
            </w:r>
          </w:p>
        </w:tc>
        <w:tc>
          <w:tcPr>
            <w:tcW w:w="1096"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p>
        </w:tc>
        <w:tc>
          <w:tcPr>
            <w:tcW w:w="1298" w:type="dxa"/>
            <w:tcBorders>
              <w:left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净值</w:t>
            </w:r>
          </w:p>
        </w:tc>
        <w:tc>
          <w:tcPr>
            <w:tcW w:w="2055" w:type="dxa"/>
            <w:tcBorders>
              <w:righ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496" w:type="dxa"/>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开户银行</w:t>
            </w:r>
          </w:p>
        </w:tc>
        <w:tc>
          <w:tcPr>
            <w:tcW w:w="3375" w:type="dxa"/>
            <w:gridSpan w:val="2"/>
            <w:tcBorders>
              <w:bottom w:val="single" w:color="auto" w:sz="4" w:space="0"/>
              <w:right w:val="single" w:color="auto" w:sz="4" w:space="0"/>
            </w:tcBorders>
            <w:vAlign w:val="center"/>
          </w:tcPr>
          <w:p>
            <w:pPr>
              <w:tabs>
                <w:tab w:val="left" w:pos="1970"/>
              </w:tabs>
              <w:autoSpaceDE w:val="0"/>
              <w:autoSpaceDN w:val="0"/>
              <w:adjustRightInd w:val="0"/>
              <w:spacing w:line="320" w:lineRule="exact"/>
              <w:ind w:firstLine="720" w:firstLineChars="300"/>
              <w:jc w:val="left"/>
              <w:rPr>
                <w:rFonts w:hint="eastAsia" w:ascii="仿宋" w:hAnsi="仿宋" w:eastAsia="仿宋" w:cs="仿宋"/>
                <w:kern w:val="0"/>
                <w:sz w:val="24"/>
                <w:szCs w:val="24"/>
                <w:lang w:eastAsia="zh-CN"/>
              </w:rPr>
            </w:pPr>
          </w:p>
        </w:tc>
        <w:tc>
          <w:tcPr>
            <w:tcW w:w="1096" w:type="dxa"/>
            <w:vMerge w:val="restart"/>
            <w:tcBorders>
              <w:left w:val="single" w:color="auto" w:sz="4" w:space="0"/>
              <w:right w:val="single" w:color="auto" w:sz="4" w:space="0"/>
            </w:tcBorders>
            <w:vAlign w:val="center"/>
          </w:tcPr>
          <w:p>
            <w:pPr>
              <w:tabs>
                <w:tab w:val="left" w:pos="1970"/>
              </w:tabs>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职工</w:t>
            </w:r>
          </w:p>
          <w:p>
            <w:pPr>
              <w:tabs>
                <w:tab w:val="left" w:pos="1970"/>
              </w:tabs>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人数</w:t>
            </w:r>
          </w:p>
        </w:tc>
        <w:tc>
          <w:tcPr>
            <w:tcW w:w="1298" w:type="dxa"/>
            <w:tcBorders>
              <w:left w:val="single" w:color="auto" w:sz="4" w:space="0"/>
              <w:bottom w:val="single" w:color="auto" w:sz="4" w:space="0"/>
              <w:right w:val="single" w:color="auto" w:sz="4" w:space="0"/>
            </w:tcBorders>
            <w:vAlign w:val="center"/>
          </w:tcPr>
          <w:p>
            <w:pPr>
              <w:tabs>
                <w:tab w:val="left" w:pos="1970"/>
              </w:tabs>
              <w:autoSpaceDE w:val="0"/>
              <w:autoSpaceDN w:val="0"/>
              <w:adjustRightInd w:val="0"/>
              <w:spacing w:line="32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技术人员</w:t>
            </w:r>
          </w:p>
        </w:tc>
        <w:tc>
          <w:tcPr>
            <w:tcW w:w="2055" w:type="dxa"/>
            <w:tcBorders>
              <w:left w:val="single" w:color="auto" w:sz="4" w:space="0"/>
              <w:bottom w:val="single" w:color="auto" w:sz="4" w:space="0"/>
              <w:right w:val="single" w:color="auto" w:sz="12" w:space="0"/>
            </w:tcBorders>
            <w:vAlign w:val="center"/>
          </w:tcPr>
          <w:p>
            <w:pPr>
              <w:tabs>
                <w:tab w:val="left" w:pos="1970"/>
              </w:tabs>
              <w:autoSpaceDE w:val="0"/>
              <w:autoSpaceDN w:val="0"/>
              <w:adjustRightInd w:val="0"/>
              <w:spacing w:line="320" w:lineRule="exact"/>
              <w:ind w:firstLine="720" w:firstLineChars="3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496" w:type="dxa"/>
            <w:tcBorders>
              <w:top w:val="single" w:color="auto" w:sz="4" w:space="0"/>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基本银行</w:t>
            </w:r>
          </w:p>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账户</w:t>
            </w:r>
          </w:p>
        </w:tc>
        <w:tc>
          <w:tcPr>
            <w:tcW w:w="3375" w:type="dxa"/>
            <w:gridSpan w:val="2"/>
            <w:tcBorders>
              <w:top w:val="single" w:color="auto" w:sz="4" w:space="0"/>
              <w:right w:val="single" w:color="auto" w:sz="4" w:space="0"/>
            </w:tcBorders>
            <w:vAlign w:val="center"/>
          </w:tcPr>
          <w:p>
            <w:pPr>
              <w:tabs>
                <w:tab w:val="left" w:pos="1970"/>
              </w:tabs>
              <w:autoSpaceDE w:val="0"/>
              <w:autoSpaceDN w:val="0"/>
              <w:adjustRightInd w:val="0"/>
              <w:spacing w:line="320" w:lineRule="exact"/>
              <w:ind w:firstLine="720" w:firstLineChars="300"/>
              <w:jc w:val="left"/>
              <w:rPr>
                <w:rFonts w:hint="eastAsia" w:ascii="仿宋" w:hAnsi="仿宋" w:eastAsia="仿宋" w:cs="仿宋"/>
                <w:kern w:val="0"/>
                <w:sz w:val="24"/>
                <w:szCs w:val="24"/>
                <w:lang w:eastAsia="zh-CN"/>
              </w:rPr>
            </w:pPr>
          </w:p>
        </w:tc>
        <w:tc>
          <w:tcPr>
            <w:tcW w:w="1096" w:type="dxa"/>
            <w:vMerge w:val="continue"/>
            <w:tcBorders>
              <w:left w:val="single" w:color="auto" w:sz="4" w:space="0"/>
              <w:right w:val="single" w:color="auto" w:sz="4" w:space="0"/>
            </w:tcBorders>
            <w:vAlign w:val="center"/>
          </w:tcPr>
          <w:p>
            <w:pPr>
              <w:tabs>
                <w:tab w:val="left" w:pos="1970"/>
              </w:tabs>
              <w:autoSpaceDE w:val="0"/>
              <w:autoSpaceDN w:val="0"/>
              <w:adjustRightInd w:val="0"/>
              <w:spacing w:line="320" w:lineRule="exact"/>
              <w:ind w:firstLine="720" w:firstLineChars="300"/>
              <w:jc w:val="left"/>
              <w:rPr>
                <w:rFonts w:hint="eastAsia" w:ascii="仿宋" w:hAnsi="仿宋" w:eastAsia="仿宋" w:cs="仿宋"/>
                <w:kern w:val="0"/>
                <w:sz w:val="24"/>
                <w:szCs w:val="24"/>
                <w:lang w:eastAsia="zh-CN"/>
              </w:rPr>
            </w:pPr>
          </w:p>
        </w:tc>
        <w:tc>
          <w:tcPr>
            <w:tcW w:w="1298" w:type="dxa"/>
            <w:tcBorders>
              <w:top w:val="single" w:color="auto" w:sz="4" w:space="0"/>
              <w:left w:val="single" w:color="auto" w:sz="4" w:space="0"/>
              <w:right w:val="single" w:color="auto" w:sz="4" w:space="0"/>
            </w:tcBorders>
            <w:vAlign w:val="center"/>
          </w:tcPr>
          <w:p>
            <w:pPr>
              <w:tabs>
                <w:tab w:val="left" w:pos="1970"/>
              </w:tabs>
              <w:autoSpaceDE w:val="0"/>
              <w:autoSpaceDN w:val="0"/>
              <w:adjustRightInd w:val="0"/>
              <w:spacing w:line="32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其他人员</w:t>
            </w:r>
          </w:p>
        </w:tc>
        <w:tc>
          <w:tcPr>
            <w:tcW w:w="2055" w:type="dxa"/>
            <w:tcBorders>
              <w:top w:val="single" w:color="auto" w:sz="4" w:space="0"/>
              <w:left w:val="single" w:color="auto" w:sz="4" w:space="0"/>
              <w:right w:val="single" w:color="auto" w:sz="12" w:space="0"/>
            </w:tcBorders>
            <w:vAlign w:val="center"/>
          </w:tcPr>
          <w:p>
            <w:pPr>
              <w:tabs>
                <w:tab w:val="left" w:pos="1970"/>
              </w:tabs>
              <w:autoSpaceDE w:val="0"/>
              <w:autoSpaceDN w:val="0"/>
              <w:adjustRightInd w:val="0"/>
              <w:spacing w:line="320" w:lineRule="exact"/>
              <w:ind w:firstLine="720" w:firstLineChars="3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1496"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spacing w:val="-5"/>
                <w:sz w:val="24"/>
                <w:szCs w:val="24"/>
              </w:rPr>
            </w:pPr>
            <w:r>
              <w:rPr>
                <w:rFonts w:hint="eastAsia" w:ascii="仿宋" w:hAnsi="仿宋" w:eastAsia="仿宋" w:cs="仿宋"/>
                <w:kern w:val="0"/>
                <w:sz w:val="24"/>
                <w:szCs w:val="24"/>
              </w:rPr>
              <w:t>经营范围</w:t>
            </w:r>
          </w:p>
        </w:tc>
        <w:tc>
          <w:tcPr>
            <w:tcW w:w="7824" w:type="dxa"/>
            <w:gridSpan w:val="5"/>
            <w:tcBorders>
              <w:right w:val="single" w:color="auto" w:sz="12" w:space="0"/>
            </w:tcBorders>
            <w:vAlign w:val="center"/>
          </w:tcPr>
          <w:p>
            <w:pPr>
              <w:tabs>
                <w:tab w:val="left" w:pos="1970"/>
              </w:tabs>
              <w:autoSpaceDE w:val="0"/>
              <w:autoSpaceDN w:val="0"/>
              <w:adjustRightInd w:val="0"/>
              <w:spacing w:line="320" w:lineRule="exact"/>
              <w:ind w:firstLine="720" w:firstLineChars="300"/>
              <w:jc w:val="left"/>
              <w:rPr>
                <w:rFonts w:hint="eastAsia" w:ascii="仿宋" w:hAnsi="仿宋" w:eastAsia="仿宋" w:cs="仿宋"/>
                <w:kern w:val="0"/>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1496" w:type="dxa"/>
            <w:tcBorders>
              <w:left w:val="single" w:color="auto" w:sz="12" w:space="0"/>
            </w:tcBorders>
            <w:vAlign w:val="center"/>
          </w:tcPr>
          <w:p>
            <w:pPr>
              <w:autoSpaceDE w:val="0"/>
              <w:autoSpaceDN w:val="0"/>
              <w:adjustRightInd w:val="0"/>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c>
          <w:tcPr>
            <w:tcW w:w="7824" w:type="dxa"/>
            <w:gridSpan w:val="5"/>
            <w:tcBorders>
              <w:right w:val="single" w:color="auto" w:sz="12" w:space="0"/>
            </w:tcBorders>
            <w:vAlign w:val="center"/>
          </w:tcPr>
          <w:p>
            <w:pPr>
              <w:tabs>
                <w:tab w:val="left" w:pos="1970"/>
              </w:tabs>
              <w:autoSpaceDE w:val="0"/>
              <w:autoSpaceDN w:val="0"/>
              <w:adjustRightInd w:val="0"/>
              <w:spacing w:line="320" w:lineRule="exact"/>
              <w:ind w:firstLine="720" w:firstLineChars="300"/>
              <w:jc w:val="left"/>
              <w:rPr>
                <w:rFonts w:hint="eastAsia" w:ascii="仿宋" w:hAnsi="仿宋" w:eastAsia="仿宋" w:cs="仿宋"/>
                <w:kern w:val="0"/>
                <w:sz w:val="24"/>
                <w:szCs w:val="24"/>
                <w:lang w:eastAsia="zh-CN"/>
              </w:rPr>
            </w:pPr>
          </w:p>
        </w:tc>
      </w:tr>
    </w:tbl>
    <w:p>
      <w:pPr>
        <w:pStyle w:val="24"/>
        <w:widowControl w:val="0"/>
        <w:numPr>
          <w:ilvl w:val="0"/>
          <w:numId w:val="0"/>
        </w:numPr>
        <w:jc w:val="both"/>
        <w:rPr>
          <w:rFonts w:hint="eastAsia" w:ascii="仿宋" w:hAnsi="仿宋" w:eastAsia="仿宋" w:cs="仿宋"/>
          <w:color w:val="auto"/>
          <w:highlight w:val="none"/>
        </w:rPr>
      </w:pPr>
    </w:p>
    <w:p>
      <w:pPr>
        <w:pStyle w:val="24"/>
        <w:widowControl w:val="0"/>
        <w:numPr>
          <w:ilvl w:val="0"/>
          <w:numId w:val="0"/>
        </w:numPr>
        <w:jc w:val="both"/>
        <w:rPr>
          <w:rFonts w:hint="eastAsia" w:ascii="仿宋" w:hAnsi="仿宋" w:eastAsia="仿宋" w:cs="仿宋"/>
          <w:color w:val="auto"/>
          <w:highlight w:val="none"/>
        </w:rPr>
      </w:pPr>
    </w:p>
    <w:p>
      <w:pPr>
        <w:pStyle w:val="24"/>
        <w:widowControl w:val="0"/>
        <w:numPr>
          <w:ilvl w:val="0"/>
          <w:numId w:val="0"/>
        </w:numPr>
        <w:jc w:val="both"/>
        <w:rPr>
          <w:rFonts w:ascii="仿宋" w:hAnsi="仿宋" w:eastAsia="仿宋" w:cs="仿宋"/>
          <w:color w:val="auto"/>
          <w:highlight w:val="none"/>
        </w:rPr>
      </w:pPr>
      <w:r>
        <w:rPr>
          <w:rFonts w:hint="eastAsia" w:ascii="仿宋" w:hAnsi="仿宋" w:eastAsia="仿宋" w:cs="仿宋"/>
          <w:color w:val="auto"/>
          <w:highlight w:val="none"/>
          <w:lang w:eastAsia="zh-CN"/>
        </w:rPr>
        <w:t>投标供应商</w:t>
      </w:r>
      <w:r>
        <w:rPr>
          <w:rFonts w:hint="eastAsia" w:ascii="仿宋" w:hAnsi="仿宋" w:eastAsia="仿宋" w:cs="仿宋"/>
          <w:color w:val="auto"/>
          <w:highlight w:val="none"/>
        </w:rPr>
        <w:t>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盖</w:t>
      </w:r>
      <w:r>
        <w:rPr>
          <w:rFonts w:hint="eastAsia" w:ascii="仿宋" w:hAnsi="仿宋" w:eastAsia="仿宋" w:cs="仿宋"/>
          <w:color w:val="auto"/>
          <w:highlight w:val="none"/>
        </w:rPr>
        <w:t>章）</w:t>
      </w:r>
    </w:p>
    <w:p>
      <w:pPr>
        <w:pStyle w:val="24"/>
        <w:widowControl w:val="0"/>
        <w:ind w:firstLine="480" w:firstLineChars="200"/>
        <w:jc w:val="center"/>
        <w:rPr>
          <w:rFonts w:ascii="仿宋" w:hAnsi="仿宋" w:eastAsia="仿宋" w:cs="仿宋"/>
          <w:color w:val="auto"/>
          <w:highlight w:val="none"/>
        </w:rPr>
      </w:pPr>
    </w:p>
    <w:p>
      <w:pPr>
        <w:spacing w:line="500" w:lineRule="exact"/>
        <w:jc w:val="left"/>
        <w:rPr>
          <w:rFonts w:ascii="仿宋" w:hAnsi="仿宋" w:eastAsia="仿宋" w:cs="仿宋"/>
          <w:color w:val="auto"/>
          <w:spacing w:val="4"/>
          <w:sz w:val="24"/>
          <w:szCs w:val="32"/>
          <w:highlight w:val="none"/>
        </w:rPr>
      </w:pPr>
      <w:r>
        <w:rPr>
          <w:rFonts w:hint="eastAsia" w:ascii="仿宋" w:hAnsi="仿宋" w:eastAsia="仿宋" w:cs="仿宋"/>
          <w:color w:val="auto"/>
          <w:spacing w:val="4"/>
          <w:sz w:val="24"/>
          <w:szCs w:val="32"/>
          <w:highlight w:val="none"/>
        </w:rPr>
        <w:t>法定代表人或</w:t>
      </w:r>
      <w:r>
        <w:rPr>
          <w:rFonts w:hint="eastAsia" w:ascii="仿宋" w:hAnsi="仿宋" w:eastAsia="仿宋" w:cs="仿宋"/>
          <w:color w:val="auto"/>
          <w:spacing w:val="4"/>
          <w:sz w:val="24"/>
          <w:szCs w:val="32"/>
          <w:highlight w:val="none"/>
          <w:lang w:eastAsia="zh-CN"/>
        </w:rPr>
        <w:t>委托代理人</w:t>
      </w:r>
      <w:r>
        <w:rPr>
          <w:rFonts w:hint="eastAsia" w:ascii="仿宋" w:hAnsi="仿宋" w:eastAsia="仿宋" w:cs="仿宋"/>
          <w:color w:val="auto"/>
          <w:spacing w:val="4"/>
          <w:sz w:val="24"/>
          <w:szCs w:val="32"/>
          <w:highlight w:val="none"/>
        </w:rPr>
        <w:t>：</w:t>
      </w:r>
      <w:r>
        <w:rPr>
          <w:rFonts w:hint="eastAsia" w:ascii="仿宋" w:hAnsi="仿宋" w:eastAsia="仿宋" w:cs="仿宋"/>
          <w:color w:val="auto"/>
          <w:spacing w:val="4"/>
          <w:sz w:val="24"/>
          <w:szCs w:val="32"/>
          <w:highlight w:val="none"/>
          <w:u w:val="single"/>
        </w:rPr>
        <w:t xml:space="preserve">  </w:t>
      </w:r>
      <w:r>
        <w:rPr>
          <w:rFonts w:hint="eastAsia" w:ascii="仿宋" w:hAnsi="仿宋" w:eastAsia="仿宋" w:cs="仿宋"/>
          <w:color w:val="auto"/>
          <w:spacing w:val="4"/>
          <w:sz w:val="24"/>
          <w:szCs w:val="32"/>
          <w:highlight w:val="none"/>
          <w:u w:val="single"/>
          <w:lang w:val="en-US" w:eastAsia="zh-CN"/>
        </w:rPr>
        <w:t xml:space="preserve">  </w:t>
      </w:r>
      <w:r>
        <w:rPr>
          <w:rFonts w:hint="eastAsia" w:ascii="仿宋" w:hAnsi="仿宋" w:eastAsia="仿宋" w:cs="仿宋"/>
          <w:color w:val="auto"/>
          <w:spacing w:val="4"/>
          <w:sz w:val="24"/>
          <w:szCs w:val="32"/>
          <w:highlight w:val="none"/>
          <w:u w:val="single"/>
        </w:rPr>
        <w:t xml:space="preserve">    </w:t>
      </w:r>
      <w:r>
        <w:rPr>
          <w:rFonts w:hint="eastAsia" w:ascii="仿宋" w:hAnsi="仿宋" w:eastAsia="仿宋" w:cs="仿宋"/>
          <w:color w:val="auto"/>
          <w:spacing w:val="4"/>
          <w:sz w:val="24"/>
          <w:szCs w:val="32"/>
          <w:highlight w:val="none"/>
        </w:rPr>
        <w:t>（签字或盖章）</w:t>
      </w:r>
    </w:p>
    <w:p>
      <w:pPr>
        <w:pStyle w:val="24"/>
        <w:widowControl w:val="0"/>
        <w:ind w:firstLine="480"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p>
    <w:p>
      <w:pPr>
        <w:spacing w:line="520" w:lineRule="exact"/>
        <w:rPr>
          <w:rFonts w:ascii="仿宋" w:hAnsi="仿宋" w:eastAsia="仿宋" w:cs="仿宋"/>
          <w:color w:val="auto"/>
          <w:sz w:val="24"/>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highlight w:val="none"/>
        </w:rPr>
        <w:t xml:space="preserve">     </w:t>
      </w:r>
      <w:r>
        <w:rPr>
          <w:rFonts w:hint="eastAsia" w:ascii="仿宋" w:hAnsi="仿宋" w:eastAsia="仿宋" w:cs="仿宋"/>
          <w:color w:val="auto"/>
          <w:sz w:val="24"/>
          <w:szCs w:val="32"/>
          <w:highlight w:val="none"/>
        </w:rPr>
        <w:t xml:space="preserve"> 年   月    日</w:t>
      </w:r>
    </w:p>
    <w:p>
      <w:pPr>
        <w:spacing w:before="197" w:beforeLines="50" w:line="50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（3）投标</w:t>
      </w:r>
      <w:r>
        <w:rPr>
          <w:rFonts w:hint="eastAsia" w:ascii="仿宋" w:hAnsi="仿宋" w:eastAsia="仿宋" w:cs="仿宋"/>
          <w:b/>
          <w:sz w:val="28"/>
          <w:szCs w:val="28"/>
          <w:lang w:eastAsia="zh-CN"/>
        </w:rPr>
        <w:t>供应商</w:t>
      </w:r>
      <w:r>
        <w:rPr>
          <w:rFonts w:hint="eastAsia" w:ascii="仿宋" w:hAnsi="仿宋" w:eastAsia="仿宋" w:cs="仿宋"/>
          <w:b/>
          <w:sz w:val="28"/>
          <w:szCs w:val="28"/>
        </w:rPr>
        <w:t>性质</w:t>
      </w:r>
    </w:p>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特别提醒：</w:t>
      </w:r>
      <w:r>
        <w:rPr>
          <w:rFonts w:hint="eastAsia" w:ascii="仿宋" w:hAnsi="仿宋" w:eastAsia="仿宋" w:cs="仿宋"/>
          <w:b/>
          <w:bCs/>
          <w:sz w:val="24"/>
          <w:szCs w:val="24"/>
          <w:lang w:eastAsia="zh-CN"/>
        </w:rPr>
        <w:t>投标供应商</w:t>
      </w:r>
      <w:r>
        <w:rPr>
          <w:rFonts w:hint="eastAsia" w:ascii="仿宋" w:hAnsi="仿宋" w:eastAsia="仿宋" w:cs="仿宋"/>
          <w:b/>
          <w:bCs/>
          <w:sz w:val="24"/>
          <w:szCs w:val="24"/>
        </w:rPr>
        <w:t>性质（声明函或证明文件）将随成交公告一同公布。</w:t>
      </w:r>
    </w:p>
    <w:p>
      <w:pPr>
        <w:widowControl/>
        <w:jc w:val="both"/>
        <w:rPr>
          <w:rFonts w:hint="eastAsia" w:ascii="仿宋" w:hAnsi="仿宋" w:eastAsia="仿宋" w:cs="仿宋"/>
          <w:b/>
          <w:bCs/>
          <w:kern w:val="0"/>
          <w:sz w:val="32"/>
          <w:szCs w:val="32"/>
          <w:shd w:val="clear" w:color="auto" w:fill="auto"/>
          <w:lang w:eastAsia="zh-CN"/>
        </w:rPr>
      </w:pPr>
    </w:p>
    <w:p>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中小企业声明函（货物）</w:t>
      </w:r>
    </w:p>
    <w:p>
      <w:pPr>
        <w:spacing w:line="360" w:lineRule="auto"/>
        <w:ind w:firstLine="480" w:firstLineChars="200"/>
        <w:rPr>
          <w:rFonts w:hint="eastAsia" w:ascii="仿宋" w:hAnsi="仿宋" w:eastAsia="仿宋" w:cs="仿宋"/>
          <w:sz w:val="24"/>
          <w:szCs w:val="24"/>
          <w:lang w:val="en-US" w:eastAsia="zh-CN"/>
        </w:rPr>
      </w:pP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本公司郑重声明，根据《政府采购促进中小企业发展管理办法》（财库﹝2020﹞46号）的规定，本公司参加</w:t>
      </w:r>
      <w:r>
        <w:rPr>
          <w:rFonts w:hint="eastAsia" w:ascii="仿宋" w:hAnsi="仿宋" w:eastAsia="仿宋" w:cs="仿宋"/>
          <w:sz w:val="24"/>
          <w:szCs w:val="24"/>
          <w:u w:val="single"/>
          <w:lang w:val="en-US" w:eastAsia="zh-CN"/>
        </w:rPr>
        <w:t>（单位名称）</w:t>
      </w:r>
      <w:r>
        <w:rPr>
          <w:rFonts w:hint="eastAsia" w:ascii="仿宋" w:hAnsi="仿宋" w:eastAsia="仿宋" w:cs="仿宋"/>
          <w:sz w:val="24"/>
          <w:szCs w:val="24"/>
          <w:lang w:val="en-US" w:eastAsia="zh-CN"/>
        </w:rPr>
        <w:t>的</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lang w:val="en-US" w:eastAsia="zh-CN"/>
        </w:rPr>
        <w:t>采购活动，提供的货物全部符合政策要求的中小企业制造。相关企业的具体情况如下：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w:t>
      </w:r>
      <w:r>
        <w:rPr>
          <w:rFonts w:hint="eastAsia" w:ascii="仿宋" w:hAnsi="仿宋" w:eastAsia="仿宋" w:cs="仿宋"/>
          <w:sz w:val="24"/>
          <w:u w:val="single"/>
          <w:lang w:eastAsia="zh-CN"/>
        </w:rPr>
        <w:t>工业</w:t>
      </w:r>
      <w:bookmarkStart w:id="218" w:name="_GoBack"/>
      <w:bookmarkEnd w:id="218"/>
      <w:r>
        <w:rPr>
          <w:rFonts w:hint="eastAsia" w:ascii="仿宋" w:hAnsi="仿宋" w:eastAsia="仿宋" w:cs="仿宋"/>
          <w:sz w:val="24"/>
          <w:u w:val="single"/>
        </w:rPr>
        <w:t>）</w:t>
      </w:r>
      <w:r>
        <w:rPr>
          <w:rFonts w:hint="eastAsia" w:ascii="仿宋" w:hAnsi="仿宋" w:eastAsia="仿宋" w:cs="仿宋"/>
          <w:sz w:val="24"/>
        </w:rPr>
        <w:t>行业;制造商为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bookmarkStart w:id="206" w:name="bookmark31"/>
      <w:bookmarkEnd w:id="206"/>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2"/>
        <w:rPr>
          <w:rFonts w:hint="eastAsia"/>
          <w:lang w:val="zh-CN"/>
        </w:rPr>
      </w:pP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企业名称：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（盖章）</w:t>
      </w:r>
    </w:p>
    <w:p>
      <w:pPr>
        <w:spacing w:line="360" w:lineRule="auto"/>
        <w:ind w:firstLine="480" w:firstLineChars="200"/>
        <w:rPr>
          <w:rFonts w:hint="default" w:ascii="仿宋" w:hAnsi="仿宋" w:eastAsia="仿宋" w:cs="仿宋"/>
          <w:b/>
          <w:bCs/>
          <w:sz w:val="24"/>
          <w:szCs w:val="24"/>
          <w:lang w:val="en-US"/>
        </w:rPr>
      </w:pPr>
      <w:r>
        <w:rPr>
          <w:rFonts w:hint="eastAsia" w:ascii="仿宋" w:hAnsi="仿宋" w:eastAsia="仿宋" w:cs="仿宋"/>
          <w:sz w:val="24"/>
          <w:szCs w:val="24"/>
          <w:lang w:val="en-US" w:eastAsia="zh-CN"/>
        </w:rPr>
        <w:t>日    期：   年  月  日</w:t>
      </w:r>
    </w:p>
    <w:p>
      <w:pPr>
        <w:spacing w:line="240" w:lineRule="auto"/>
        <w:ind w:firstLine="442" w:firstLineChars="200"/>
        <w:rPr>
          <w:rFonts w:hint="eastAsia" w:ascii="仿宋" w:hAnsi="仿宋" w:eastAsia="仿宋" w:cs="仿宋"/>
          <w:b/>
          <w:bCs/>
          <w:sz w:val="22"/>
          <w:szCs w:val="22"/>
        </w:rPr>
      </w:pPr>
    </w:p>
    <w:p>
      <w:pPr>
        <w:pStyle w:val="2"/>
        <w:rPr>
          <w:rFonts w:hint="eastAsia"/>
        </w:rPr>
      </w:pPr>
    </w:p>
    <w:p>
      <w:pPr>
        <w:pStyle w:val="3"/>
        <w:rPr>
          <w:rFonts w:hint="eastAsia"/>
        </w:rPr>
      </w:pPr>
    </w:p>
    <w:p>
      <w:pPr>
        <w:spacing w:line="360" w:lineRule="auto"/>
        <w:ind w:firstLine="442" w:firstLineChars="200"/>
        <w:rPr>
          <w:rFonts w:hint="eastAsia" w:ascii="仿宋" w:hAnsi="仿宋" w:eastAsia="仿宋" w:cs="仿宋"/>
          <w:b/>
          <w:bCs/>
          <w:sz w:val="22"/>
          <w:szCs w:val="22"/>
          <w:lang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1.</w:t>
      </w:r>
      <w:r>
        <w:rPr>
          <w:rFonts w:hint="eastAsia" w:ascii="仿宋" w:hAnsi="仿宋" w:eastAsia="仿宋" w:cs="仿宋"/>
          <w:b/>
          <w:bCs/>
          <w:sz w:val="22"/>
          <w:szCs w:val="22"/>
        </w:rPr>
        <w:t>从业人员、营业收入、资产总额填报上一年度数据，无上一年度数据的新成立</w:t>
      </w:r>
      <w:r>
        <w:rPr>
          <w:rFonts w:hint="eastAsia" w:ascii="仿宋" w:hAnsi="仿宋" w:eastAsia="仿宋" w:cs="仿宋"/>
          <w:b/>
          <w:bCs/>
          <w:sz w:val="22"/>
          <w:szCs w:val="22"/>
          <w:lang w:eastAsia="zh-CN"/>
        </w:rPr>
        <w:t>供应商</w:t>
      </w:r>
      <w:r>
        <w:rPr>
          <w:rFonts w:hint="eastAsia" w:ascii="仿宋" w:hAnsi="仿宋" w:eastAsia="仿宋" w:cs="仿宋"/>
          <w:b/>
          <w:bCs/>
          <w:sz w:val="22"/>
          <w:szCs w:val="22"/>
        </w:rPr>
        <w:t>可不填报</w:t>
      </w:r>
      <w:r>
        <w:rPr>
          <w:rFonts w:hint="eastAsia" w:ascii="仿宋" w:hAnsi="仿宋" w:eastAsia="仿宋" w:cs="仿宋"/>
          <w:b/>
          <w:bCs/>
          <w:sz w:val="22"/>
          <w:szCs w:val="22"/>
          <w:lang w:eastAsia="zh-CN"/>
        </w:rPr>
        <w:t>；</w:t>
      </w:r>
    </w:p>
    <w:p>
      <w:pPr>
        <w:numPr>
          <w:ilvl w:val="0"/>
          <w:numId w:val="0"/>
        </w:numPr>
        <w:spacing w:line="360" w:lineRule="auto"/>
        <w:ind w:firstLine="883" w:firstLineChars="400"/>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2.填写前请认真阅读《国民经济行业分类》（GB/T4754-2017）、《国家统计局关于印发&lt;统计上大中小微型企业划分办法（2017）&gt;的通知》国统字〔2017〕213号、工信部联企业〔2011〕300号文件自行划分，若声明与实际不符须承担相应责任。</w:t>
      </w:r>
    </w:p>
    <w:p>
      <w:pPr>
        <w:spacing w:line="360" w:lineRule="auto"/>
        <w:rPr>
          <w:rFonts w:hint="eastAsia" w:ascii="仿宋" w:hAnsi="仿宋" w:eastAsia="仿宋" w:cs="仿宋"/>
          <w:sz w:val="24"/>
          <w:szCs w:val="24"/>
        </w:rPr>
      </w:pPr>
    </w:p>
    <w:p>
      <w:pPr>
        <w:pStyle w:val="2"/>
        <w:rPr>
          <w:rFonts w:hint="eastAsia"/>
        </w:rPr>
      </w:pPr>
    </w:p>
    <w:p>
      <w:pPr>
        <w:spacing w:line="360" w:lineRule="auto"/>
        <w:jc w:val="both"/>
        <w:rPr>
          <w:rFonts w:hint="eastAsia" w:ascii="仿宋" w:hAnsi="仿宋" w:eastAsia="仿宋" w:cs="仿宋"/>
          <w:b/>
          <w:bCs/>
          <w:sz w:val="28"/>
          <w:szCs w:val="28"/>
          <w:lang w:val="zh-CN"/>
        </w:rPr>
      </w:pPr>
    </w:p>
    <w:p>
      <w:pPr>
        <w:pStyle w:val="2"/>
        <w:rPr>
          <w:rFonts w:hint="eastAsia"/>
          <w:lang w:val="zh-CN"/>
        </w:rPr>
      </w:pPr>
    </w:p>
    <w:p>
      <w:pPr>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zh-CN"/>
        </w:rPr>
        <w:t>残疾人福利性单位声明函</w:t>
      </w:r>
    </w:p>
    <w:p>
      <w:pPr>
        <w:spacing w:line="360" w:lineRule="auto"/>
        <w:ind w:firstLine="480" w:firstLineChars="200"/>
        <w:rPr>
          <w:rFonts w:hint="eastAsia" w:ascii="仿宋" w:hAnsi="仿宋" w:eastAsia="仿宋" w:cs="仿宋"/>
          <w:sz w:val="24"/>
          <w:szCs w:val="24"/>
          <w:lang w:val="zh-CN"/>
        </w:rPr>
      </w:pP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单位的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本单位对上述声明的真实性负责。如有虚假，将依法承担相应责任。</w:t>
      </w:r>
    </w:p>
    <w:p>
      <w:pPr>
        <w:spacing w:line="360" w:lineRule="auto"/>
        <w:rPr>
          <w:rFonts w:hint="eastAsia" w:ascii="仿宋" w:hAnsi="仿宋" w:eastAsia="仿宋" w:cs="仿宋"/>
          <w:sz w:val="24"/>
          <w:szCs w:val="24"/>
          <w:lang w:val="zh-CN"/>
        </w:rPr>
      </w:pPr>
    </w:p>
    <w:p>
      <w:pPr>
        <w:spacing w:line="48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lang w:val="zh-CN"/>
        </w:rPr>
        <w:t>单位名称（盖章）：</w:t>
      </w:r>
      <w:r>
        <w:rPr>
          <w:rFonts w:hint="eastAsia" w:ascii="仿宋" w:hAnsi="仿宋" w:eastAsia="仿宋" w:cs="仿宋"/>
          <w:sz w:val="24"/>
          <w:szCs w:val="24"/>
          <w:u w:val="single"/>
          <w:lang w:val="en-US" w:eastAsia="zh-CN"/>
        </w:rPr>
        <w:t xml:space="preserve">                 </w:t>
      </w:r>
    </w:p>
    <w:p>
      <w:p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zh-CN"/>
        </w:rPr>
        <w:t>日  期：</w:t>
      </w:r>
      <w:r>
        <w:rPr>
          <w:rFonts w:hint="eastAsia" w:ascii="仿宋" w:hAnsi="仿宋" w:eastAsia="仿宋" w:cs="仿宋"/>
          <w:sz w:val="24"/>
          <w:szCs w:val="24"/>
          <w:lang w:val="en-US" w:eastAsia="zh-CN"/>
        </w:rPr>
        <w:t xml:space="preserve">   年   月   日</w:t>
      </w:r>
    </w:p>
    <w:p>
      <w:pPr>
        <w:spacing w:line="360" w:lineRule="auto"/>
        <w:ind w:firstLine="480" w:firstLineChars="200"/>
        <w:rPr>
          <w:rFonts w:hint="eastAsia" w:ascii="仿宋" w:hAnsi="仿宋" w:eastAsia="仿宋" w:cs="仿宋"/>
          <w:sz w:val="24"/>
          <w:szCs w:val="24"/>
          <w:lang w:val="zh-CN"/>
        </w:rPr>
      </w:pPr>
    </w:p>
    <w:p>
      <w:pPr>
        <w:pStyle w:val="2"/>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注：投标供应商应仔细阅读《财政部 民政部 中国残疾人联合会关于促进残疾人就业政府采购政策的通知》，并如实填写本表，符合条件的投标供应商未按上述要求提供、填写的，评审时不予以考虑。</w:t>
      </w:r>
    </w:p>
    <w:p>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sz w:val="24"/>
          <w:szCs w:val="24"/>
          <w:highlight w:val="none"/>
          <w:lang w:val="en-US"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4"/>
          <w:szCs w:val="24"/>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highlight w:val="none"/>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highlight w:val="none"/>
          <w:lang w:eastAsia="zh-CN"/>
        </w:rPr>
      </w:pPr>
    </w:p>
    <w:p>
      <w:pPr>
        <w:rPr>
          <w:rFonts w:hint="eastAsia" w:ascii="仿宋" w:hAnsi="仿宋" w:eastAsia="仿宋" w:cs="仿宋"/>
          <w:b/>
          <w:bCs/>
          <w:sz w:val="28"/>
          <w:szCs w:val="28"/>
          <w:highlight w:val="none"/>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根据财政部、司法部《关于政府采购支持监狱</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发展有关问题的通知》（财库〔2014〕68号）的规定，监狱</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监狱</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参加政府采购活动时，应当提供由省级以上监狱管理局、戒毒管理局（含新疆生产建设兵团）出具的属于监狱</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的证明文件。</w:t>
      </w:r>
    </w:p>
    <w:p>
      <w:pPr>
        <w:spacing w:before="163" w:beforeLines="50" w:after="326" w:afterLines="100"/>
        <w:jc w:val="left"/>
        <w:rPr>
          <w:rFonts w:hint="eastAsia" w:ascii="仿宋" w:hAnsi="仿宋" w:eastAsia="仿宋" w:cs="仿宋"/>
          <w:b/>
          <w:bCs/>
          <w:sz w:val="24"/>
          <w:szCs w:val="24"/>
          <w:highlight w:val="none"/>
        </w:rPr>
      </w:pPr>
    </w:p>
    <w:p>
      <w:pPr>
        <w:spacing w:before="163" w:beforeLines="50" w:after="326" w:afterLines="100"/>
        <w:jc w:val="left"/>
        <w:rPr>
          <w:rFonts w:hint="eastAsia" w:ascii="仿宋" w:hAnsi="仿宋" w:eastAsia="仿宋" w:cs="仿宋"/>
          <w:b/>
          <w:bCs/>
          <w:sz w:val="24"/>
          <w:szCs w:val="24"/>
          <w:highlight w:val="none"/>
        </w:rPr>
      </w:pPr>
    </w:p>
    <w:p>
      <w:pPr>
        <w:spacing w:before="163" w:beforeLines="50" w:after="326" w:afterLines="100"/>
        <w:jc w:val="left"/>
        <w:rPr>
          <w:rFonts w:hint="eastAsia" w:ascii="仿宋" w:hAnsi="仿宋" w:eastAsia="仿宋" w:cs="仿宋"/>
          <w:b/>
          <w:bCs/>
          <w:sz w:val="24"/>
          <w:szCs w:val="24"/>
          <w:highlight w:val="none"/>
        </w:rPr>
      </w:pPr>
    </w:p>
    <w:p>
      <w:pPr>
        <w:shd w:val="clear" w:color="auto" w:fill="auto"/>
        <w:tabs>
          <w:tab w:val="left" w:pos="3435"/>
          <w:tab w:val="center" w:pos="4764"/>
        </w:tabs>
        <w:spacing w:line="440" w:lineRule="exact"/>
        <w:ind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注：投标供应商应仔细阅读《关于政府采购支持监狱企业发展有关问题的通知》，并如实提供证明文件，符合条件的投标供应商未按上述要求提供的，评审时不予以考虑。</w:t>
      </w: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shd w:val="clear" w:color="auto" w:fill="auto"/>
        <w:tabs>
          <w:tab w:val="left" w:pos="3435"/>
          <w:tab w:val="center" w:pos="4764"/>
        </w:tabs>
        <w:spacing w:line="440" w:lineRule="exact"/>
        <w:jc w:val="center"/>
        <w:rPr>
          <w:rFonts w:hint="eastAsia" w:ascii="仿宋" w:hAnsi="仿宋" w:eastAsia="仿宋" w:cs="仿宋"/>
          <w:b/>
          <w:bCs/>
          <w:color w:val="000000"/>
          <w:sz w:val="28"/>
          <w:szCs w:val="28"/>
          <w:lang w:eastAsia="zh-CN"/>
        </w:rPr>
      </w:pPr>
    </w:p>
    <w:p>
      <w:pPr>
        <w:pStyle w:val="12"/>
        <w:tabs>
          <w:tab w:val="left" w:pos="4900"/>
        </w:tabs>
        <w:rPr>
          <w:rFonts w:hint="eastAsia" w:ascii="仿宋" w:hAnsi="仿宋" w:eastAsia="仿宋" w:cs="仿宋"/>
          <w:b/>
          <w:bCs/>
          <w:color w:val="000000"/>
          <w:sz w:val="28"/>
          <w:szCs w:val="28"/>
          <w:lang w:eastAsia="zh-CN"/>
        </w:rPr>
      </w:pPr>
    </w:p>
    <w:p>
      <w:pPr>
        <w:pStyle w:val="12"/>
        <w:tabs>
          <w:tab w:val="left" w:pos="4900"/>
        </w:tabs>
        <w:rPr>
          <w:rFonts w:hint="eastAsia" w:ascii="仿宋" w:hAnsi="仿宋" w:eastAsia="仿宋" w:cs="仿宋"/>
          <w:b/>
          <w:bCs/>
          <w:color w:val="000000"/>
          <w:sz w:val="28"/>
          <w:szCs w:val="28"/>
          <w:lang w:eastAsia="zh-CN"/>
        </w:rPr>
      </w:pPr>
    </w:p>
    <w:p>
      <w:pPr>
        <w:pStyle w:val="12"/>
        <w:tabs>
          <w:tab w:val="left" w:pos="4900"/>
        </w:tabs>
        <w:rPr>
          <w:rFonts w:hint="eastAsia" w:ascii="仿宋" w:hAnsi="仿宋" w:eastAsia="仿宋" w:cs="仿宋"/>
          <w:b/>
          <w:bCs/>
          <w:color w:val="000000"/>
          <w:sz w:val="28"/>
          <w:szCs w:val="28"/>
          <w:lang w:eastAsia="zh-CN"/>
        </w:rPr>
      </w:pPr>
    </w:p>
    <w:p>
      <w:pPr>
        <w:pStyle w:val="12"/>
        <w:tabs>
          <w:tab w:val="left" w:pos="4900"/>
        </w:tabs>
        <w:rPr>
          <w:rFonts w:hint="eastAsia" w:ascii="仿宋" w:hAnsi="仿宋" w:eastAsia="仿宋" w:cs="仿宋"/>
          <w:b/>
          <w:bCs/>
          <w:color w:val="000000"/>
          <w:sz w:val="28"/>
          <w:szCs w:val="28"/>
          <w:lang w:eastAsia="zh-CN"/>
        </w:rPr>
      </w:pPr>
    </w:p>
    <w:p>
      <w:pPr>
        <w:pStyle w:val="12"/>
        <w:tabs>
          <w:tab w:val="left" w:pos="4900"/>
        </w:tabs>
        <w:rPr>
          <w:rFonts w:hint="eastAsia" w:ascii="仿宋" w:hAnsi="仿宋" w:eastAsia="仿宋" w:cs="仿宋"/>
          <w:b/>
          <w:bCs/>
          <w:color w:val="000000"/>
          <w:sz w:val="28"/>
          <w:szCs w:val="28"/>
          <w:lang w:eastAsia="zh-CN"/>
        </w:rPr>
      </w:pPr>
    </w:p>
    <w:p>
      <w:pPr>
        <w:pStyle w:val="12"/>
        <w:tabs>
          <w:tab w:val="left" w:pos="4900"/>
        </w:tabs>
        <w:ind w:left="0" w:leftChars="0" w:firstLine="0" w:firstLineChars="0"/>
        <w:rPr>
          <w:rFonts w:hint="eastAsia" w:ascii="仿宋" w:hAnsi="仿宋" w:eastAsia="仿宋" w:cs="仿宋"/>
          <w:b/>
          <w:bCs/>
          <w:color w:val="000000"/>
          <w:sz w:val="28"/>
          <w:szCs w:val="28"/>
          <w:lang w:eastAsia="zh-CN"/>
        </w:rPr>
      </w:pPr>
    </w:p>
    <w:p>
      <w:pPr>
        <w:pStyle w:val="98"/>
        <w:numPr>
          <w:ilvl w:val="0"/>
          <w:numId w:val="0"/>
        </w:numPr>
        <w:jc w:val="center"/>
        <w:outlineLvl w:val="0"/>
        <w:rPr>
          <w:rFonts w:hint="eastAsia" w:ascii="仿宋" w:hAnsi="仿宋" w:eastAsia="仿宋" w:cs="仿宋"/>
          <w:b/>
          <w:bCs/>
          <w:color w:val="auto"/>
          <w:highlight w:val="none"/>
          <w:lang w:eastAsia="zh-CN"/>
        </w:rPr>
      </w:pPr>
      <w:bookmarkStart w:id="207" w:name="_Toc20675"/>
      <w:r>
        <w:rPr>
          <w:rFonts w:hint="eastAsia" w:ascii="仿宋" w:hAnsi="仿宋" w:eastAsia="仿宋" w:cs="仿宋"/>
          <w:b/>
          <w:bCs/>
          <w:color w:val="auto"/>
          <w:highlight w:val="none"/>
          <w:lang w:eastAsia="zh-CN"/>
        </w:rPr>
        <w:t>八、供应商投标方案</w:t>
      </w:r>
      <w:bookmarkEnd w:id="207"/>
    </w:p>
    <w:p>
      <w:pPr>
        <w:pStyle w:val="98"/>
        <w:numPr>
          <w:ilvl w:val="0"/>
          <w:numId w:val="0"/>
        </w:numPr>
        <w:jc w:val="both"/>
        <w:outlineLvl w:val="9"/>
        <w:rPr>
          <w:rFonts w:hint="eastAsia" w:ascii="仿宋" w:hAnsi="仿宋" w:eastAsia="仿宋" w:cs="仿宋"/>
          <w:b w:val="0"/>
          <w:bCs w:val="0"/>
          <w:color w:val="auto"/>
          <w:highlight w:val="none"/>
          <w:lang w:eastAsia="zh-CN"/>
        </w:rPr>
      </w:pPr>
    </w:p>
    <w:p>
      <w:pPr>
        <w:pStyle w:val="97"/>
        <w:spacing w:line="480" w:lineRule="auto"/>
        <w:ind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供应商依照招标文件中第四章《采购内容及要求》及第三章《投标须知》第25.3项评标原则和办法中各项条款的要求，编制投标响应方案，格式自拟。凡因投标供应商对招标文件阅读不深、理解不透、误解、疏漏等导致扣分，由投标供应商自行承担。  </w:t>
      </w:r>
    </w:p>
    <w:p>
      <w:pPr>
        <w:rPr>
          <w:rFonts w:hint="eastAsia" w:ascii="仿宋" w:hAnsi="仿宋" w:eastAsia="仿宋" w:cs="仿宋"/>
          <w:b w:val="0"/>
          <w:bCs w:val="0"/>
          <w:color w:val="auto"/>
          <w:sz w:val="24"/>
          <w:szCs w:val="24"/>
          <w:highlight w:val="none"/>
          <w:lang w:val="en-US" w:eastAsia="zh-CN"/>
        </w:rPr>
      </w:pPr>
    </w:p>
    <w:p>
      <w:pPr>
        <w:pStyle w:val="2"/>
        <w:rPr>
          <w:rFonts w:hint="eastAsia" w:ascii="仿宋" w:hAnsi="仿宋" w:eastAsia="仿宋" w:cs="仿宋"/>
          <w:b w:val="0"/>
          <w:bCs w:val="0"/>
          <w:color w:val="auto"/>
          <w:sz w:val="24"/>
          <w:szCs w:val="24"/>
          <w:highlight w:val="none"/>
          <w:lang w:val="en-US" w:eastAsia="zh-CN"/>
        </w:rPr>
      </w:pPr>
    </w:p>
    <w:p>
      <w:pPr>
        <w:pStyle w:val="97"/>
        <w:spacing w:line="440" w:lineRule="exact"/>
        <w:ind w:firstLine="562" w:firstLineChars="200"/>
        <w:jc w:val="center"/>
        <w:rPr>
          <w:rFonts w:hint="eastAsia" w:ascii="仿宋" w:hAnsi="仿宋" w:eastAsia="仿宋" w:cs="仿宋"/>
          <w:b/>
          <w:bCs/>
          <w:color w:val="auto"/>
          <w:sz w:val="28"/>
          <w:szCs w:val="28"/>
          <w:highlight w:val="none"/>
          <w:lang w:eastAsia="zh-CN"/>
        </w:rPr>
      </w:pPr>
    </w:p>
    <w:p>
      <w:pPr>
        <w:pStyle w:val="97"/>
        <w:spacing w:line="440" w:lineRule="exact"/>
        <w:ind w:firstLine="562" w:firstLineChars="200"/>
        <w:jc w:val="center"/>
        <w:rPr>
          <w:rFonts w:hint="eastAsia" w:ascii="仿宋" w:hAnsi="仿宋" w:eastAsia="仿宋" w:cs="仿宋"/>
          <w:b/>
          <w:bCs/>
          <w:color w:val="auto"/>
          <w:sz w:val="28"/>
          <w:szCs w:val="28"/>
          <w:highlight w:val="none"/>
          <w:lang w:eastAsia="zh-CN"/>
        </w:rPr>
      </w:pPr>
    </w:p>
    <w:p>
      <w:pPr>
        <w:widowControl/>
        <w:spacing w:after="197" w:afterLines="50" w:line="400" w:lineRule="exact"/>
        <w:ind w:firstLine="482" w:firstLineChars="200"/>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pPr>
    </w:p>
    <w:p>
      <w:pPr>
        <w:rPr>
          <w:rFonts w:ascii="仿宋" w:hAnsi="仿宋" w:eastAsia="仿宋" w:cs="仿宋"/>
          <w:b/>
          <w:color w:val="auto"/>
          <w:sz w:val="24"/>
          <w:highlight w:val="none"/>
        </w:rPr>
      </w:pPr>
    </w:p>
    <w:p>
      <w:pPr>
        <w:pStyle w:val="2"/>
        <w:rPr>
          <w:rFonts w:ascii="仿宋" w:hAnsi="仿宋" w:eastAsia="仿宋" w:cs="仿宋"/>
          <w:b/>
          <w:color w:val="auto"/>
          <w:sz w:val="24"/>
          <w:highlight w:val="none"/>
        </w:rPr>
      </w:pPr>
    </w:p>
    <w:p>
      <w:pPr>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
      </w:pPr>
    </w:p>
    <w:p>
      <w:pPr>
        <w:pStyle w:val="2"/>
        <w:rPr>
          <w:rFonts w:hint="eastAsia" w:ascii="仿宋" w:hAnsi="仿宋" w:eastAsia="仿宋" w:cs="仿宋"/>
          <w:b/>
          <w:color w:val="auto"/>
          <w:sz w:val="24"/>
          <w:highlight w:val="none"/>
        </w:rPr>
      </w:pPr>
    </w:p>
    <w:p>
      <w:pPr>
        <w:pStyle w:val="3"/>
        <w:rPr>
          <w:rFonts w:hint="eastAsia" w:ascii="仿宋" w:hAnsi="仿宋" w:eastAsia="仿宋" w:cs="仿宋"/>
          <w:b/>
          <w:color w:val="auto"/>
          <w:sz w:val="24"/>
          <w:highlight w:val="none"/>
        </w:rPr>
      </w:pPr>
    </w:p>
    <w:p>
      <w:pPr>
        <w:pStyle w:val="2"/>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 xml:space="preserve">附表 </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、同类业绩情况表</w:t>
      </w:r>
    </w:p>
    <w:tbl>
      <w:tblPr>
        <w:tblStyle w:val="113"/>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880"/>
        <w:gridCol w:w="1836"/>
        <w:gridCol w:w="2794"/>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059" w:type="dxa"/>
            <w:tcBorders>
              <w:left w:val="single" w:color="000000" w:sz="10" w:space="0"/>
            </w:tcBorders>
            <w:vAlign w:val="top"/>
          </w:tcPr>
          <w:p>
            <w:pPr>
              <w:spacing w:before="256" w:line="229" w:lineRule="auto"/>
              <w:ind w:left="282"/>
              <w:rPr>
                <w:rFonts w:hint="eastAsia" w:ascii="仿宋" w:hAnsi="仿宋" w:eastAsia="仿宋" w:cs="仿宋"/>
                <w:sz w:val="23"/>
                <w:szCs w:val="23"/>
              </w:rPr>
            </w:pPr>
            <w:r>
              <w:rPr>
                <w:rFonts w:hint="eastAsia" w:ascii="仿宋" w:hAnsi="仿宋" w:eastAsia="仿宋" w:cs="仿宋"/>
                <w:spacing w:val="6"/>
                <w:sz w:val="23"/>
                <w:szCs w:val="23"/>
              </w:rPr>
              <w:t>序</w:t>
            </w:r>
            <w:r>
              <w:rPr>
                <w:rFonts w:hint="eastAsia" w:ascii="仿宋" w:hAnsi="仿宋" w:eastAsia="仿宋" w:cs="仿宋"/>
                <w:spacing w:val="5"/>
                <w:sz w:val="23"/>
                <w:szCs w:val="23"/>
              </w:rPr>
              <w:t>号</w:t>
            </w:r>
          </w:p>
        </w:tc>
        <w:tc>
          <w:tcPr>
            <w:tcW w:w="1880" w:type="dxa"/>
            <w:vAlign w:val="top"/>
          </w:tcPr>
          <w:p>
            <w:pPr>
              <w:spacing w:before="256" w:line="230" w:lineRule="auto"/>
              <w:ind w:left="221"/>
              <w:rPr>
                <w:rFonts w:hint="eastAsia" w:ascii="仿宋" w:hAnsi="仿宋" w:eastAsia="仿宋" w:cs="仿宋"/>
                <w:sz w:val="23"/>
                <w:szCs w:val="23"/>
              </w:rPr>
            </w:pPr>
            <w:r>
              <w:rPr>
                <w:rFonts w:hint="eastAsia" w:ascii="仿宋" w:hAnsi="仿宋" w:eastAsia="仿宋" w:cs="仿宋"/>
                <w:spacing w:val="9"/>
                <w:sz w:val="23"/>
                <w:szCs w:val="23"/>
              </w:rPr>
              <w:t>合</w:t>
            </w:r>
            <w:r>
              <w:rPr>
                <w:rFonts w:hint="eastAsia" w:ascii="仿宋" w:hAnsi="仿宋" w:eastAsia="仿宋" w:cs="仿宋"/>
                <w:spacing w:val="8"/>
                <w:sz w:val="23"/>
                <w:szCs w:val="23"/>
              </w:rPr>
              <w:t>同签订时间</w:t>
            </w:r>
          </w:p>
        </w:tc>
        <w:tc>
          <w:tcPr>
            <w:tcW w:w="1836" w:type="dxa"/>
            <w:vAlign w:val="top"/>
          </w:tcPr>
          <w:p>
            <w:pPr>
              <w:spacing w:before="256" w:line="224" w:lineRule="auto"/>
              <w:ind w:left="322"/>
              <w:rPr>
                <w:rFonts w:hint="eastAsia" w:ascii="仿宋" w:hAnsi="仿宋" w:eastAsia="仿宋" w:cs="仿宋"/>
                <w:sz w:val="23"/>
                <w:szCs w:val="23"/>
              </w:rPr>
            </w:pPr>
            <w:r>
              <w:rPr>
                <w:rFonts w:hint="eastAsia" w:ascii="仿宋" w:hAnsi="仿宋" w:eastAsia="仿宋" w:cs="仿宋"/>
                <w:spacing w:val="9"/>
                <w:sz w:val="23"/>
                <w:szCs w:val="23"/>
              </w:rPr>
              <w:t>委</w:t>
            </w:r>
            <w:r>
              <w:rPr>
                <w:rFonts w:hint="eastAsia" w:ascii="仿宋" w:hAnsi="仿宋" w:eastAsia="仿宋" w:cs="仿宋"/>
                <w:spacing w:val="8"/>
                <w:sz w:val="23"/>
                <w:szCs w:val="23"/>
              </w:rPr>
              <w:t>托人名称</w:t>
            </w:r>
          </w:p>
        </w:tc>
        <w:tc>
          <w:tcPr>
            <w:tcW w:w="2794" w:type="dxa"/>
            <w:vAlign w:val="top"/>
          </w:tcPr>
          <w:p>
            <w:pPr>
              <w:spacing w:before="257" w:line="227" w:lineRule="auto"/>
              <w:ind w:left="931"/>
              <w:rPr>
                <w:rFonts w:hint="eastAsia" w:ascii="仿宋" w:hAnsi="仿宋" w:eastAsia="仿宋" w:cs="仿宋"/>
                <w:spacing w:val="8"/>
                <w:sz w:val="23"/>
                <w:szCs w:val="23"/>
              </w:rPr>
            </w:pPr>
            <w:r>
              <w:rPr>
                <w:rFonts w:hint="eastAsia" w:ascii="仿宋" w:hAnsi="仿宋" w:eastAsia="仿宋" w:cs="仿宋"/>
                <w:spacing w:val="8"/>
                <w:sz w:val="23"/>
                <w:szCs w:val="23"/>
              </w:rPr>
              <w:t>项目名称</w:t>
            </w:r>
          </w:p>
        </w:tc>
        <w:tc>
          <w:tcPr>
            <w:tcW w:w="1720" w:type="dxa"/>
            <w:tcBorders>
              <w:right w:val="single" w:color="000000" w:sz="10" w:space="0"/>
            </w:tcBorders>
            <w:vAlign w:val="top"/>
          </w:tcPr>
          <w:p>
            <w:pPr>
              <w:spacing w:before="257" w:line="227" w:lineRule="auto"/>
              <w:jc w:val="cente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合同金额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1059" w:type="dxa"/>
            <w:tcBorders>
              <w:left w:val="single" w:color="000000" w:sz="10" w:space="0"/>
            </w:tcBorders>
            <w:vAlign w:val="top"/>
          </w:tcPr>
          <w:p>
            <w:pPr>
              <w:rPr>
                <w:rFonts w:ascii="Arial"/>
                <w:sz w:val="21"/>
              </w:rPr>
            </w:pPr>
          </w:p>
        </w:tc>
        <w:tc>
          <w:tcPr>
            <w:tcW w:w="1880" w:type="dxa"/>
            <w:vAlign w:val="top"/>
          </w:tcPr>
          <w:p>
            <w:pPr>
              <w:rPr>
                <w:rFonts w:ascii="Arial"/>
                <w:sz w:val="21"/>
              </w:rPr>
            </w:pPr>
          </w:p>
        </w:tc>
        <w:tc>
          <w:tcPr>
            <w:tcW w:w="1836" w:type="dxa"/>
            <w:vAlign w:val="top"/>
          </w:tcPr>
          <w:p>
            <w:pPr>
              <w:rPr>
                <w:rFonts w:ascii="Arial"/>
                <w:sz w:val="21"/>
              </w:rPr>
            </w:pPr>
          </w:p>
        </w:tc>
        <w:tc>
          <w:tcPr>
            <w:tcW w:w="2794" w:type="dxa"/>
            <w:vAlign w:val="top"/>
          </w:tcPr>
          <w:p>
            <w:pPr>
              <w:rPr>
                <w:rFonts w:ascii="Arial"/>
                <w:sz w:val="21"/>
              </w:rPr>
            </w:pPr>
          </w:p>
        </w:tc>
        <w:tc>
          <w:tcPr>
            <w:tcW w:w="1720" w:type="dxa"/>
            <w:tcBorders>
              <w:right w:val="single" w:color="000000" w:sz="10" w:space="0"/>
            </w:tcBorders>
            <w:vAlign w:val="top"/>
          </w:tcPr>
          <w:p>
            <w:pPr>
              <w:rPr>
                <w:rFonts w:ascii="Arial"/>
                <w:sz w:val="21"/>
              </w:rPr>
            </w:pPr>
          </w:p>
        </w:tc>
      </w:tr>
    </w:tbl>
    <w:p>
      <w:pPr>
        <w:spacing w:before="256" w:line="230" w:lineRule="auto"/>
        <w:ind w:left="221"/>
        <w:rPr>
          <w:rFonts w:hint="eastAsia" w:ascii="仿宋" w:hAnsi="仿宋" w:eastAsia="仿宋" w:cs="仿宋"/>
          <w:b/>
          <w:bCs/>
          <w:spacing w:val="8"/>
          <w:sz w:val="23"/>
          <w:szCs w:val="23"/>
        </w:rPr>
      </w:pPr>
      <w:r>
        <w:rPr>
          <w:rFonts w:hint="eastAsia" w:ascii="仿宋" w:hAnsi="仿宋" w:eastAsia="仿宋" w:cs="仿宋"/>
          <w:b/>
          <w:bCs/>
          <w:spacing w:val="8"/>
          <w:sz w:val="23"/>
          <w:szCs w:val="23"/>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textAlignment w:val="auto"/>
        <w:rPr>
          <w:rFonts w:hint="eastAsia" w:ascii="仿宋" w:hAnsi="仿宋" w:eastAsia="仿宋" w:cs="仿宋"/>
          <w:color w:val="auto"/>
          <w:sz w:val="23"/>
          <w:szCs w:val="23"/>
        </w:rPr>
      </w:pPr>
      <w:r>
        <w:rPr>
          <w:rFonts w:hint="eastAsia" w:ascii="仿宋" w:hAnsi="仿宋" w:eastAsia="仿宋" w:cs="仿宋"/>
          <w:color w:val="auto"/>
          <w:spacing w:val="5"/>
          <w:sz w:val="23"/>
          <w:szCs w:val="23"/>
          <w:lang w:val="en-US" w:eastAsia="zh-CN"/>
        </w:rPr>
        <w:t>1.投标供应商须提供（2019年1月1日至2022年8月1日）同类业绩的证明文件，以</w:t>
      </w:r>
      <w:r>
        <w:rPr>
          <w:rFonts w:hint="eastAsia" w:ascii="仿宋" w:hAnsi="仿宋" w:eastAsia="仿宋" w:cs="仿宋"/>
          <w:color w:val="auto"/>
          <w:spacing w:val="5"/>
          <w:sz w:val="23"/>
          <w:szCs w:val="23"/>
          <w:lang w:val="zh-CN" w:eastAsia="zh-CN"/>
        </w:rPr>
        <w:t>合同协议书为准。（合同协议书以签订日期为准，其中合同至少应包含合同首页、项目概况、合同金额所在页、签字盖章页，否则不予认可。）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00" w:firstLineChars="200"/>
        <w:textAlignment w:val="auto"/>
        <w:rPr>
          <w:rFonts w:hint="eastAsia" w:ascii="仿宋" w:hAnsi="仿宋" w:eastAsia="仿宋" w:cs="仿宋"/>
          <w:spacing w:val="5"/>
          <w:sz w:val="23"/>
          <w:szCs w:val="23"/>
        </w:rPr>
      </w:pPr>
      <w:r>
        <w:rPr>
          <w:rFonts w:hint="eastAsia" w:ascii="仿宋" w:hAnsi="仿宋" w:eastAsia="仿宋" w:cs="仿宋"/>
          <w:spacing w:val="10"/>
          <w:sz w:val="23"/>
          <w:szCs w:val="23"/>
        </w:rPr>
        <w:t>2.</w:t>
      </w:r>
      <w:r>
        <w:rPr>
          <w:rFonts w:hint="eastAsia" w:ascii="仿宋" w:hAnsi="仿宋" w:eastAsia="仿宋" w:cs="仿宋"/>
          <w:spacing w:val="10"/>
          <w:sz w:val="23"/>
          <w:szCs w:val="23"/>
          <w:lang w:eastAsia="zh-CN"/>
        </w:rPr>
        <w:t>投标供应商</w:t>
      </w:r>
      <w:r>
        <w:rPr>
          <w:rFonts w:hint="eastAsia" w:ascii="仿宋" w:hAnsi="仿宋" w:eastAsia="仿宋" w:cs="仿宋"/>
          <w:spacing w:val="5"/>
          <w:sz w:val="23"/>
          <w:szCs w:val="23"/>
        </w:rPr>
        <w:t>应如实列出以上情况，如有隐瞒，一经查实将导致其</w:t>
      </w:r>
      <w:r>
        <w:rPr>
          <w:rFonts w:hint="eastAsia" w:ascii="仿宋" w:hAnsi="仿宋" w:eastAsia="仿宋" w:cs="仿宋"/>
          <w:spacing w:val="5"/>
          <w:sz w:val="23"/>
          <w:szCs w:val="23"/>
          <w:lang w:eastAsia="zh-CN"/>
        </w:rPr>
        <w:t>投标</w:t>
      </w:r>
      <w:r>
        <w:rPr>
          <w:rFonts w:hint="eastAsia" w:ascii="仿宋" w:hAnsi="仿宋" w:eastAsia="仿宋" w:cs="仿宋"/>
          <w:spacing w:val="5"/>
          <w:sz w:val="23"/>
          <w:szCs w:val="23"/>
        </w:rPr>
        <w:t>响应文件被拒绝。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60" w:firstLineChars="200"/>
        <w:textAlignment w:val="auto"/>
        <w:rPr>
          <w:rFonts w:hint="eastAsia" w:ascii="仿宋" w:hAnsi="仿宋" w:eastAsia="仿宋" w:cs="仿宋"/>
          <w:sz w:val="23"/>
          <w:szCs w:val="23"/>
        </w:rPr>
      </w:pPr>
      <w:r>
        <w:rPr>
          <w:rFonts w:hint="eastAsia" w:ascii="仿宋" w:hAnsi="仿宋" w:eastAsia="仿宋" w:cs="仿宋"/>
          <w:sz w:val="23"/>
          <w:szCs w:val="23"/>
        </w:rPr>
        <w:t xml:space="preserve"> </w:t>
      </w:r>
      <w:r>
        <w:rPr>
          <w:rFonts w:hint="eastAsia" w:ascii="仿宋" w:hAnsi="仿宋" w:eastAsia="仿宋" w:cs="仿宋"/>
          <w:spacing w:val="9"/>
          <w:sz w:val="23"/>
          <w:szCs w:val="23"/>
        </w:rPr>
        <w:t>3.未按上述要求提供、填写的，评审时不予以考虑</w:t>
      </w:r>
      <w:r>
        <w:rPr>
          <w:rFonts w:hint="eastAsia" w:ascii="仿宋" w:hAnsi="仿宋" w:eastAsia="仿宋" w:cs="仿宋"/>
          <w:spacing w:val="5"/>
          <w:sz w:val="23"/>
          <w:szCs w:val="23"/>
        </w:rPr>
        <w:t>。</w:t>
      </w:r>
    </w:p>
    <w:p>
      <w:pPr>
        <w:pStyle w:val="24"/>
        <w:widowControl w:val="0"/>
        <w:numPr>
          <w:ilvl w:val="0"/>
          <w:numId w:val="0"/>
        </w:numPr>
        <w:jc w:val="both"/>
        <w:rPr>
          <w:rFonts w:hint="eastAsia" w:ascii="仿宋" w:hAnsi="仿宋" w:eastAsia="仿宋" w:cs="仿宋"/>
          <w:color w:val="auto"/>
          <w:highlight w:val="none"/>
          <w:lang w:eastAsia="zh-CN"/>
        </w:rPr>
      </w:pPr>
    </w:p>
    <w:p>
      <w:pPr>
        <w:pStyle w:val="24"/>
        <w:widowControl w:val="0"/>
        <w:numPr>
          <w:ilvl w:val="0"/>
          <w:numId w:val="0"/>
        </w:numPr>
        <w:jc w:val="both"/>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eastAsia="zh-CN"/>
        </w:rPr>
        <w:t>投标供应商</w:t>
      </w:r>
      <w:r>
        <w:rPr>
          <w:rFonts w:hint="eastAsia" w:ascii="仿宋" w:hAnsi="仿宋" w:eastAsia="仿宋" w:cs="仿宋"/>
          <w:spacing w:val="10"/>
          <w:sz w:val="24"/>
          <w:szCs w:val="24"/>
        </w:rPr>
        <w:t>名称：</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w:t>
      </w:r>
      <w:r>
        <w:rPr>
          <w:rFonts w:hint="eastAsia" w:ascii="仿宋" w:hAnsi="仿宋" w:eastAsia="仿宋" w:cs="仿宋"/>
          <w:spacing w:val="10"/>
          <w:sz w:val="24"/>
          <w:szCs w:val="24"/>
          <w:lang w:eastAsia="zh-CN"/>
        </w:rPr>
        <w:t>盖</w:t>
      </w:r>
      <w:r>
        <w:rPr>
          <w:rFonts w:hint="eastAsia" w:ascii="仿宋" w:hAnsi="仿宋" w:eastAsia="仿宋" w:cs="仿宋"/>
          <w:spacing w:val="10"/>
          <w:sz w:val="24"/>
          <w:szCs w:val="24"/>
        </w:rPr>
        <w:t>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法定代表人或</w:t>
      </w:r>
      <w:r>
        <w:rPr>
          <w:rFonts w:hint="eastAsia" w:ascii="仿宋" w:hAnsi="仿宋" w:eastAsia="仿宋" w:cs="仿宋"/>
          <w:spacing w:val="10"/>
          <w:sz w:val="24"/>
          <w:szCs w:val="24"/>
          <w:lang w:eastAsia="zh-CN"/>
        </w:rPr>
        <w:t>委托代理人</w:t>
      </w:r>
      <w:r>
        <w:rPr>
          <w:rFonts w:hint="eastAsia" w:ascii="仿宋" w:hAnsi="仿宋" w:eastAsia="仿宋" w:cs="仿宋"/>
          <w:spacing w:val="10"/>
          <w:sz w:val="24"/>
          <w:szCs w:val="24"/>
        </w:rPr>
        <w:t>：</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日      期：</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年</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月</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日</w:t>
      </w:r>
    </w:p>
    <w:p>
      <w:pPr>
        <w:widowControl/>
        <w:spacing w:after="197" w:afterLines="50" w:line="400" w:lineRule="exact"/>
        <w:ind w:firstLine="482" w:firstLineChars="200"/>
        <w:rPr>
          <w:rFonts w:hint="eastAsia" w:ascii="仿宋" w:hAnsi="仿宋" w:eastAsia="仿宋" w:cs="仿宋"/>
          <w:b/>
          <w:color w:val="auto"/>
          <w:sz w:val="24"/>
          <w:highlight w:val="none"/>
        </w:rPr>
      </w:pPr>
    </w:p>
    <w:p>
      <w:pPr>
        <w:widowControl/>
        <w:spacing w:after="197" w:afterLines="50" w:line="400" w:lineRule="exact"/>
        <w:ind w:firstLine="482" w:firstLineChars="200"/>
        <w:rPr>
          <w:rFonts w:hint="eastAsia" w:ascii="仿宋" w:hAnsi="仿宋" w:eastAsia="仿宋" w:cs="仿宋"/>
          <w:b/>
          <w:color w:val="auto"/>
          <w:sz w:val="24"/>
          <w:highlight w:val="none"/>
          <w:lang w:eastAsia="zh-CN"/>
        </w:rPr>
      </w:pPr>
    </w:p>
    <w:p>
      <w:pPr>
        <w:widowControl/>
        <w:spacing w:after="197" w:afterLines="50" w:line="400" w:lineRule="exact"/>
        <w:rPr>
          <w:rFonts w:hint="eastAsia" w:ascii="仿宋" w:hAnsi="仿宋" w:eastAsia="仿宋" w:cs="仿宋"/>
          <w:b/>
          <w:color w:val="auto"/>
          <w:sz w:val="24"/>
          <w:highlight w:val="none"/>
          <w:lang w:eastAsia="zh-CN"/>
        </w:rPr>
      </w:pPr>
    </w:p>
    <w:p>
      <w:pPr>
        <w:pStyle w:val="2"/>
        <w:rPr>
          <w:rFonts w:hint="eastAsia"/>
          <w:lang w:eastAsia="zh-CN"/>
        </w:rPr>
      </w:pPr>
    </w:p>
    <w:p>
      <w:pPr>
        <w:pStyle w:val="2"/>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附表</w:t>
      </w:r>
      <w:r>
        <w:rPr>
          <w:rFonts w:hint="eastAsia" w:ascii="仿宋" w:hAnsi="仿宋" w:eastAsia="仿宋" w:cs="仿宋"/>
          <w:b/>
          <w:color w:val="auto"/>
          <w:sz w:val="24"/>
          <w:highlight w:val="none"/>
          <w:lang w:val="en-US" w:eastAsia="zh-CN"/>
        </w:rPr>
        <w:t>2、拟投入本项目的人员配备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466"/>
        <w:gridCol w:w="1466"/>
        <w:gridCol w:w="1466"/>
        <w:gridCol w:w="1466"/>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6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46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任职</w:t>
            </w:r>
          </w:p>
        </w:tc>
        <w:tc>
          <w:tcPr>
            <w:tcW w:w="146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姓名</w:t>
            </w:r>
          </w:p>
        </w:tc>
        <w:tc>
          <w:tcPr>
            <w:tcW w:w="146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职称</w:t>
            </w:r>
          </w:p>
        </w:tc>
        <w:tc>
          <w:tcPr>
            <w:tcW w:w="1466"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w:t>
            </w:r>
          </w:p>
        </w:tc>
        <w:tc>
          <w:tcPr>
            <w:tcW w:w="1467" w:type="dxa"/>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66"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6" w:type="dxa"/>
            <w:vAlign w:val="center"/>
          </w:tcPr>
          <w:p>
            <w:pPr>
              <w:jc w:val="center"/>
              <w:rPr>
                <w:rFonts w:hint="eastAsia" w:ascii="仿宋" w:hAnsi="仿宋" w:eastAsia="仿宋" w:cs="仿宋"/>
                <w:b w:val="0"/>
                <w:bCs w:val="0"/>
                <w:sz w:val="24"/>
                <w:szCs w:val="24"/>
                <w:vertAlign w:val="baseline"/>
                <w:lang w:val="en-US" w:eastAsia="zh-CN"/>
              </w:rPr>
            </w:pPr>
          </w:p>
        </w:tc>
        <w:tc>
          <w:tcPr>
            <w:tcW w:w="1467" w:type="dxa"/>
            <w:vAlign w:val="center"/>
          </w:tcPr>
          <w:p>
            <w:pPr>
              <w:jc w:val="center"/>
              <w:rPr>
                <w:rFonts w:hint="eastAsia" w:ascii="仿宋" w:hAnsi="仿宋" w:eastAsia="仿宋" w:cs="仿宋"/>
                <w:b w:val="0"/>
                <w:bCs w:val="0"/>
                <w:sz w:val="24"/>
                <w:szCs w:val="24"/>
                <w:vertAlign w:val="baseline"/>
                <w:lang w:val="en-US" w:eastAsia="zh-CN"/>
              </w:rPr>
            </w:pPr>
          </w:p>
        </w:tc>
      </w:tr>
    </w:tbl>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注：（1）投标供应商应按招标文件要求，提供拟投入本项目所配备人员的上岗证以及身份证复印件并加盖公章，便于评审小组予以综合评定。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（2）参加投标的供应商自行承担因资料不齐而导致在评分时被扣分的风险。</w:t>
      </w:r>
    </w:p>
    <w:p>
      <w:pPr>
        <w:widowControl/>
        <w:spacing w:after="197" w:afterLines="50" w:line="400" w:lineRule="exact"/>
        <w:ind w:firstLine="482" w:firstLineChars="200"/>
        <w:rPr>
          <w:rFonts w:hint="eastAsia" w:ascii="仿宋" w:hAnsi="仿宋" w:eastAsia="仿宋" w:cs="仿宋"/>
          <w:b/>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eastAsia="zh-CN"/>
        </w:rPr>
        <w:t>投标供应商</w:t>
      </w:r>
      <w:r>
        <w:rPr>
          <w:rFonts w:hint="eastAsia" w:ascii="仿宋" w:hAnsi="仿宋" w:eastAsia="仿宋" w:cs="仿宋"/>
          <w:spacing w:val="10"/>
          <w:sz w:val="24"/>
          <w:szCs w:val="24"/>
        </w:rPr>
        <w:t>名称：</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w:t>
      </w:r>
      <w:r>
        <w:rPr>
          <w:rFonts w:hint="eastAsia" w:ascii="仿宋" w:hAnsi="仿宋" w:eastAsia="仿宋" w:cs="仿宋"/>
          <w:spacing w:val="10"/>
          <w:sz w:val="24"/>
          <w:szCs w:val="24"/>
          <w:lang w:eastAsia="zh-CN"/>
        </w:rPr>
        <w:t>盖</w:t>
      </w:r>
      <w:r>
        <w:rPr>
          <w:rFonts w:hint="eastAsia" w:ascii="仿宋" w:hAnsi="仿宋" w:eastAsia="仿宋" w:cs="仿宋"/>
          <w:spacing w:val="10"/>
          <w:sz w:val="24"/>
          <w:szCs w:val="24"/>
        </w:rPr>
        <w:t>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法定代表人或</w:t>
      </w:r>
      <w:r>
        <w:rPr>
          <w:rFonts w:hint="eastAsia" w:ascii="仿宋" w:hAnsi="仿宋" w:eastAsia="仿宋" w:cs="仿宋"/>
          <w:spacing w:val="10"/>
          <w:sz w:val="24"/>
          <w:szCs w:val="24"/>
          <w:lang w:eastAsia="zh-CN"/>
        </w:rPr>
        <w:t>委托代理人</w:t>
      </w:r>
      <w:r>
        <w:rPr>
          <w:rFonts w:hint="eastAsia" w:ascii="仿宋" w:hAnsi="仿宋" w:eastAsia="仿宋" w:cs="仿宋"/>
          <w:spacing w:val="10"/>
          <w:sz w:val="24"/>
          <w:szCs w:val="24"/>
        </w:rPr>
        <w:t>：</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2860" w:firstLineChars="1100"/>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日      期：</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年</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月</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日</w:t>
      </w: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附表</w:t>
      </w:r>
      <w:r>
        <w:rPr>
          <w:rFonts w:hint="eastAsia" w:ascii="仿宋" w:hAnsi="仿宋" w:eastAsia="仿宋" w:cs="仿宋"/>
          <w:b/>
          <w:color w:val="auto"/>
          <w:sz w:val="24"/>
          <w:highlight w:val="none"/>
          <w:lang w:val="en-US" w:eastAsia="zh-CN"/>
        </w:rPr>
        <w:t>3、拟投入本项目的主要施工设备表</w:t>
      </w:r>
    </w:p>
    <w:tbl>
      <w:tblPr>
        <w:tblStyle w:val="27"/>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24"/>
        <w:gridCol w:w="771"/>
        <w:gridCol w:w="1096"/>
        <w:gridCol w:w="894"/>
        <w:gridCol w:w="952"/>
        <w:gridCol w:w="1355"/>
        <w:gridCol w:w="1013"/>
        <w:gridCol w:w="1222"/>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序号</w:t>
            </w:r>
          </w:p>
        </w:tc>
        <w:tc>
          <w:tcPr>
            <w:tcW w:w="1424"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设备名称</w:t>
            </w:r>
          </w:p>
        </w:tc>
        <w:tc>
          <w:tcPr>
            <w:tcW w:w="771"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型号规格</w:t>
            </w:r>
          </w:p>
        </w:tc>
        <w:tc>
          <w:tcPr>
            <w:tcW w:w="10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数量</w:t>
            </w:r>
          </w:p>
        </w:tc>
        <w:tc>
          <w:tcPr>
            <w:tcW w:w="894"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国别产地</w:t>
            </w:r>
          </w:p>
        </w:tc>
        <w:tc>
          <w:tcPr>
            <w:tcW w:w="952" w:type="dxa"/>
            <w:vAlign w:val="center"/>
          </w:tcPr>
          <w:p>
            <w:pPr>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制造</w:t>
            </w:r>
          </w:p>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年份</w:t>
            </w:r>
          </w:p>
        </w:tc>
        <w:tc>
          <w:tcPr>
            <w:tcW w:w="1355"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额定功率</w:t>
            </w:r>
            <w:r>
              <w:rPr>
                <w:rFonts w:hint="eastAsia" w:ascii="仿宋" w:hAnsi="仿宋" w:eastAsia="仿宋" w:cs="仿宋"/>
                <w:b w:val="0"/>
                <w:bCs/>
                <w:color w:val="auto"/>
                <w:sz w:val="24"/>
                <w:highlight w:val="none"/>
                <w:vertAlign w:val="baseline"/>
                <w:lang w:val="en-US" w:eastAsia="zh-CN"/>
              </w:rPr>
              <w:br w:type="textWrapping"/>
            </w:r>
            <w:r>
              <w:rPr>
                <w:rFonts w:hint="eastAsia" w:ascii="仿宋" w:hAnsi="仿宋" w:eastAsia="仿宋" w:cs="仿宋"/>
                <w:b w:val="0"/>
                <w:bCs/>
                <w:color w:val="auto"/>
                <w:sz w:val="24"/>
                <w:highlight w:val="none"/>
                <w:vertAlign w:val="baseline"/>
                <w:lang w:val="en-US" w:eastAsia="zh-CN"/>
              </w:rPr>
              <w:t>(kw)</w:t>
            </w:r>
          </w:p>
        </w:tc>
        <w:tc>
          <w:tcPr>
            <w:tcW w:w="1013" w:type="dxa"/>
            <w:vAlign w:val="center"/>
          </w:tcPr>
          <w:p>
            <w:pPr>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生产</w:t>
            </w:r>
          </w:p>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能力</w:t>
            </w:r>
          </w:p>
        </w:tc>
        <w:tc>
          <w:tcPr>
            <w:tcW w:w="1222"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用于施工部位</w:t>
            </w:r>
          </w:p>
        </w:tc>
        <w:tc>
          <w:tcPr>
            <w:tcW w:w="611"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3</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4</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5</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6</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7</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8</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9</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10</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6" w:type="dxa"/>
            <w:vAlign w:val="center"/>
          </w:tcPr>
          <w:p>
            <w:pPr>
              <w:jc w:val="center"/>
              <w:rPr>
                <w:rFonts w:hint="default"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w:t>
            </w:r>
          </w:p>
        </w:tc>
        <w:tc>
          <w:tcPr>
            <w:tcW w:w="1424" w:type="dxa"/>
          </w:tcPr>
          <w:p>
            <w:pPr>
              <w:rPr>
                <w:rFonts w:hint="default" w:ascii="仿宋" w:hAnsi="仿宋" w:eastAsia="仿宋" w:cs="仿宋"/>
                <w:b w:val="0"/>
                <w:bCs/>
                <w:color w:val="auto"/>
                <w:sz w:val="24"/>
                <w:highlight w:val="none"/>
                <w:vertAlign w:val="baseline"/>
                <w:lang w:val="en-US" w:eastAsia="zh-CN"/>
              </w:rPr>
            </w:pPr>
          </w:p>
        </w:tc>
        <w:tc>
          <w:tcPr>
            <w:tcW w:w="771" w:type="dxa"/>
          </w:tcPr>
          <w:p>
            <w:pPr>
              <w:rPr>
                <w:rFonts w:hint="default" w:ascii="仿宋" w:hAnsi="仿宋" w:eastAsia="仿宋" w:cs="仿宋"/>
                <w:b w:val="0"/>
                <w:bCs/>
                <w:color w:val="auto"/>
                <w:sz w:val="24"/>
                <w:highlight w:val="none"/>
                <w:vertAlign w:val="baseline"/>
                <w:lang w:val="en-US" w:eastAsia="zh-CN"/>
              </w:rPr>
            </w:pPr>
          </w:p>
        </w:tc>
        <w:tc>
          <w:tcPr>
            <w:tcW w:w="1096" w:type="dxa"/>
          </w:tcPr>
          <w:p>
            <w:pPr>
              <w:rPr>
                <w:rFonts w:hint="default" w:ascii="仿宋" w:hAnsi="仿宋" w:eastAsia="仿宋" w:cs="仿宋"/>
                <w:b w:val="0"/>
                <w:bCs/>
                <w:color w:val="auto"/>
                <w:sz w:val="24"/>
                <w:highlight w:val="none"/>
                <w:vertAlign w:val="baseline"/>
                <w:lang w:val="en-US" w:eastAsia="zh-CN"/>
              </w:rPr>
            </w:pPr>
          </w:p>
        </w:tc>
        <w:tc>
          <w:tcPr>
            <w:tcW w:w="894" w:type="dxa"/>
          </w:tcPr>
          <w:p>
            <w:pPr>
              <w:rPr>
                <w:rFonts w:hint="default" w:ascii="仿宋" w:hAnsi="仿宋" w:eastAsia="仿宋" w:cs="仿宋"/>
                <w:b w:val="0"/>
                <w:bCs/>
                <w:color w:val="auto"/>
                <w:sz w:val="24"/>
                <w:highlight w:val="none"/>
                <w:vertAlign w:val="baseline"/>
                <w:lang w:val="en-US" w:eastAsia="zh-CN"/>
              </w:rPr>
            </w:pPr>
          </w:p>
        </w:tc>
        <w:tc>
          <w:tcPr>
            <w:tcW w:w="952" w:type="dxa"/>
          </w:tcPr>
          <w:p>
            <w:pPr>
              <w:rPr>
                <w:rFonts w:hint="default" w:ascii="仿宋" w:hAnsi="仿宋" w:eastAsia="仿宋" w:cs="仿宋"/>
                <w:b w:val="0"/>
                <w:bCs/>
                <w:color w:val="auto"/>
                <w:sz w:val="24"/>
                <w:highlight w:val="none"/>
                <w:vertAlign w:val="baseline"/>
                <w:lang w:val="en-US" w:eastAsia="zh-CN"/>
              </w:rPr>
            </w:pPr>
          </w:p>
        </w:tc>
        <w:tc>
          <w:tcPr>
            <w:tcW w:w="1355" w:type="dxa"/>
          </w:tcPr>
          <w:p>
            <w:pPr>
              <w:rPr>
                <w:rFonts w:hint="default" w:ascii="仿宋" w:hAnsi="仿宋" w:eastAsia="仿宋" w:cs="仿宋"/>
                <w:b w:val="0"/>
                <w:bCs/>
                <w:color w:val="auto"/>
                <w:sz w:val="24"/>
                <w:highlight w:val="none"/>
                <w:vertAlign w:val="baseline"/>
                <w:lang w:val="en-US" w:eastAsia="zh-CN"/>
              </w:rPr>
            </w:pPr>
          </w:p>
        </w:tc>
        <w:tc>
          <w:tcPr>
            <w:tcW w:w="1013" w:type="dxa"/>
          </w:tcPr>
          <w:p>
            <w:pPr>
              <w:rPr>
                <w:rFonts w:hint="default" w:ascii="仿宋" w:hAnsi="仿宋" w:eastAsia="仿宋" w:cs="仿宋"/>
                <w:b w:val="0"/>
                <w:bCs/>
                <w:color w:val="auto"/>
                <w:sz w:val="24"/>
                <w:highlight w:val="none"/>
                <w:vertAlign w:val="baseline"/>
                <w:lang w:val="en-US" w:eastAsia="zh-CN"/>
              </w:rPr>
            </w:pPr>
          </w:p>
        </w:tc>
        <w:tc>
          <w:tcPr>
            <w:tcW w:w="1222" w:type="dxa"/>
          </w:tcPr>
          <w:p>
            <w:pPr>
              <w:rPr>
                <w:rFonts w:hint="default" w:ascii="仿宋" w:hAnsi="仿宋" w:eastAsia="仿宋" w:cs="仿宋"/>
                <w:b w:val="0"/>
                <w:bCs/>
                <w:color w:val="auto"/>
                <w:sz w:val="24"/>
                <w:highlight w:val="none"/>
                <w:vertAlign w:val="baseline"/>
                <w:lang w:val="en-US" w:eastAsia="zh-CN"/>
              </w:rPr>
            </w:pPr>
          </w:p>
        </w:tc>
        <w:tc>
          <w:tcPr>
            <w:tcW w:w="611" w:type="dxa"/>
          </w:tcPr>
          <w:p>
            <w:pPr>
              <w:rPr>
                <w:rFonts w:hint="default" w:ascii="仿宋" w:hAnsi="仿宋" w:eastAsia="仿宋" w:cs="仿宋"/>
                <w:b w:val="0"/>
                <w:bCs/>
                <w:color w:val="auto"/>
                <w:sz w:val="24"/>
                <w:highlight w:val="none"/>
                <w:vertAlign w:val="baseline"/>
                <w:lang w:val="en-US" w:eastAsia="zh-CN"/>
              </w:rPr>
            </w:pPr>
          </w:p>
        </w:tc>
      </w:tr>
    </w:tbl>
    <w:p>
      <w:pPr>
        <w:rPr>
          <w:rFonts w:hint="default" w:ascii="仿宋" w:hAnsi="仿宋" w:eastAsia="仿宋" w:cs="仿宋"/>
          <w:b/>
          <w:color w:val="auto"/>
          <w:sz w:val="24"/>
          <w:highlight w:val="none"/>
          <w:lang w:val="en-US" w:eastAsia="zh-CN"/>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spacing w:after="197" w:afterLines="50" w:line="400" w:lineRule="exact"/>
        <w:ind w:firstLine="482" w:firstLineChars="200"/>
        <w:rPr>
          <w:rFonts w:hint="eastAsia" w:ascii="仿宋" w:hAnsi="仿宋" w:eastAsia="仿宋" w:cs="仿宋"/>
          <w:b/>
          <w:color w:val="auto"/>
          <w:sz w:val="24"/>
          <w:highlight w:val="none"/>
        </w:rPr>
      </w:pPr>
    </w:p>
    <w:p>
      <w:pPr>
        <w:spacing w:line="440" w:lineRule="exact"/>
        <w:jc w:val="center"/>
        <w:outlineLvl w:val="0"/>
        <w:rPr>
          <w:rFonts w:hint="eastAsia" w:ascii="仿宋" w:hAnsi="仿宋" w:eastAsia="仿宋" w:cs="仿宋"/>
          <w:b/>
          <w:bCs/>
          <w:color w:val="auto"/>
          <w:sz w:val="32"/>
          <w:szCs w:val="32"/>
          <w:highlight w:val="none"/>
          <w:lang w:eastAsia="zh-CN"/>
        </w:rPr>
      </w:pPr>
      <w:bookmarkStart w:id="208" w:name="_Toc5437"/>
      <w:bookmarkStart w:id="209" w:name="_Toc23588"/>
      <w:bookmarkStart w:id="210" w:name="_Toc17291"/>
      <w:r>
        <w:rPr>
          <w:rFonts w:hint="eastAsia" w:ascii="仿宋" w:hAnsi="仿宋" w:eastAsia="仿宋" w:cs="仿宋"/>
          <w:b/>
          <w:bCs/>
          <w:color w:val="auto"/>
          <w:sz w:val="32"/>
          <w:szCs w:val="32"/>
          <w:highlight w:val="none"/>
          <w:lang w:eastAsia="zh-CN"/>
        </w:rPr>
        <w:t>九</w:t>
      </w:r>
      <w:r>
        <w:rPr>
          <w:rFonts w:hint="eastAsia" w:ascii="仿宋" w:hAnsi="仿宋" w:eastAsia="仿宋" w:cs="仿宋"/>
          <w:b/>
          <w:bCs/>
          <w:color w:val="auto"/>
          <w:sz w:val="32"/>
          <w:szCs w:val="32"/>
          <w:highlight w:val="none"/>
        </w:rPr>
        <w:t>、</w:t>
      </w:r>
      <w:bookmarkEnd w:id="208"/>
      <w:r>
        <w:rPr>
          <w:rFonts w:hint="eastAsia" w:ascii="仿宋" w:hAnsi="仿宋" w:eastAsia="仿宋" w:cs="仿宋"/>
          <w:b/>
          <w:bCs/>
          <w:color w:val="auto"/>
          <w:sz w:val="32"/>
          <w:szCs w:val="32"/>
          <w:highlight w:val="none"/>
          <w:lang w:eastAsia="zh-CN"/>
        </w:rPr>
        <w:t>售后服务及承诺</w:t>
      </w:r>
      <w:bookmarkEnd w:id="209"/>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0"/>
        <w:rPr>
          <w:rFonts w:hint="eastAsia" w:ascii="仿宋" w:hAnsi="仿宋" w:eastAsia="仿宋" w:cs="仿宋"/>
          <w:b/>
          <w:bCs/>
          <w:color w:val="auto"/>
          <w:sz w:val="32"/>
          <w:szCs w:val="32"/>
          <w:highlight w:val="none"/>
        </w:rPr>
      </w:pPr>
      <w:bookmarkStart w:id="211" w:name="_Toc27262"/>
      <w:bookmarkStart w:id="212" w:name="_Toc20242"/>
      <w:r>
        <w:rPr>
          <w:rFonts w:hint="eastAsia" w:ascii="仿宋" w:hAnsi="仿宋" w:eastAsia="仿宋" w:cs="仿宋"/>
          <w:b/>
          <w:bCs/>
          <w:color w:val="auto"/>
          <w:sz w:val="32"/>
          <w:szCs w:val="32"/>
          <w:highlight w:val="none"/>
        </w:rPr>
        <w:t>（格式自拟）</w:t>
      </w:r>
      <w:bookmarkEnd w:id="211"/>
      <w:bookmarkEnd w:id="212"/>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9"/>
        <w:rPr>
          <w:rFonts w:hint="eastAsia" w:ascii="仿宋" w:hAnsi="仿宋" w:eastAsia="仿宋" w:cs="仿宋"/>
          <w:b/>
          <w:bCs/>
          <w:color w:val="auto"/>
          <w:sz w:val="32"/>
          <w:szCs w:val="32"/>
          <w:highlight w:val="none"/>
        </w:rPr>
      </w:pPr>
    </w:p>
    <w:p>
      <w:pPr>
        <w:spacing w:line="440" w:lineRule="exact"/>
        <w:jc w:val="center"/>
        <w:outlineLvl w:val="0"/>
        <w:rPr>
          <w:rFonts w:ascii="仿宋" w:hAnsi="仿宋" w:eastAsia="仿宋" w:cs="仿宋"/>
          <w:b/>
          <w:bCs/>
          <w:color w:val="auto"/>
          <w:sz w:val="32"/>
          <w:szCs w:val="32"/>
          <w:highlight w:val="none"/>
        </w:rPr>
      </w:pPr>
      <w:bookmarkStart w:id="213" w:name="_Toc2401"/>
      <w:bookmarkStart w:id="214" w:name="_Toc25158"/>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rPr>
        <w:t>、招标文件确认书</w:t>
      </w:r>
      <w:bookmarkEnd w:id="210"/>
      <w:bookmarkEnd w:id="213"/>
      <w:bookmarkEnd w:id="214"/>
    </w:p>
    <w:p>
      <w:pPr>
        <w:spacing w:line="480" w:lineRule="auto"/>
        <w:rPr>
          <w:rFonts w:ascii="仿宋" w:hAnsi="仿宋" w:eastAsia="仿宋" w:cs="仿宋"/>
          <w:b/>
          <w:color w:val="auto"/>
          <w:sz w:val="32"/>
          <w:szCs w:val="32"/>
          <w:highlight w:val="none"/>
        </w:rPr>
      </w:pPr>
    </w:p>
    <w:p>
      <w:pPr>
        <w:kinsoku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本单位对平利县全域旅游标识体系建设项目招标文件及相关的修正内容、答疑内容均无异议。</w:t>
      </w: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kinsoku w:val="0"/>
        <w:spacing w:line="480" w:lineRule="auto"/>
        <w:ind w:firstLine="360" w:firstLineChars="15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（盖章）      </w:t>
      </w:r>
    </w:p>
    <w:p>
      <w:pPr>
        <w:kinsoku w:val="0"/>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（签字或盖章）</w:t>
      </w:r>
    </w:p>
    <w:p>
      <w:pPr>
        <w:kinsoku w:val="0"/>
        <w:spacing w:line="48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val="en-US" w:eastAsia="zh-CN"/>
        </w:rPr>
        <w:t xml:space="preserve">    年   月   日  </w:t>
      </w: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kinsoku w:val="0"/>
        <w:spacing w:line="360" w:lineRule="auto"/>
        <w:ind w:firstLine="480" w:firstLineChars="200"/>
        <w:rPr>
          <w:rFonts w:ascii="仿宋" w:hAnsi="仿宋" w:eastAsia="仿宋" w:cs="仿宋"/>
          <w:color w:val="auto"/>
          <w:sz w:val="24"/>
          <w:highlight w:val="none"/>
        </w:rPr>
      </w:pPr>
    </w:p>
    <w:p>
      <w:pPr>
        <w:spacing w:line="480" w:lineRule="auto"/>
        <w:jc w:val="center"/>
        <w:rPr>
          <w:rFonts w:ascii="仿宋" w:hAnsi="仿宋" w:eastAsia="仿宋" w:cs="仿宋"/>
          <w:color w:val="auto"/>
          <w:sz w:val="24"/>
          <w:highlight w:val="none"/>
        </w:rPr>
      </w:pPr>
    </w:p>
    <w:p>
      <w:pPr>
        <w:spacing w:line="480" w:lineRule="auto"/>
        <w:jc w:val="center"/>
        <w:rPr>
          <w:rFonts w:ascii="仿宋" w:hAnsi="仿宋" w:eastAsia="仿宋" w:cs="仿宋"/>
          <w:color w:val="auto"/>
          <w:sz w:val="24"/>
          <w:highlight w:val="none"/>
        </w:rPr>
      </w:pPr>
    </w:p>
    <w:p>
      <w:pPr>
        <w:spacing w:line="480" w:lineRule="auto"/>
        <w:ind w:firstLine="2409" w:firstLineChars="1000"/>
        <w:rPr>
          <w:rFonts w:ascii="仿宋" w:hAnsi="仿宋" w:eastAsia="仿宋" w:cs="仿宋"/>
          <w:b/>
          <w:color w:val="auto"/>
          <w:sz w:val="24"/>
          <w:highlight w:val="none"/>
        </w:rPr>
      </w:pPr>
    </w:p>
    <w:p>
      <w:pPr>
        <w:spacing w:line="480" w:lineRule="auto"/>
        <w:ind w:firstLine="2409" w:firstLineChars="1000"/>
        <w:rPr>
          <w:rFonts w:ascii="仿宋" w:hAnsi="仿宋" w:eastAsia="仿宋" w:cs="仿宋"/>
          <w:b/>
          <w:color w:val="auto"/>
          <w:sz w:val="24"/>
          <w:highlight w:val="none"/>
        </w:rPr>
      </w:pPr>
    </w:p>
    <w:p>
      <w:pPr>
        <w:spacing w:line="440" w:lineRule="exact"/>
        <w:jc w:val="center"/>
        <w:outlineLvl w:val="9"/>
        <w:rPr>
          <w:rFonts w:ascii="仿宋" w:hAnsi="仿宋" w:eastAsia="仿宋" w:cs="仿宋"/>
          <w:b/>
          <w:bCs/>
          <w:color w:val="auto"/>
          <w:sz w:val="32"/>
          <w:szCs w:val="32"/>
          <w:highlight w:val="none"/>
        </w:rPr>
      </w:pPr>
    </w:p>
    <w:p>
      <w:pPr>
        <w:spacing w:line="440" w:lineRule="exact"/>
        <w:jc w:val="center"/>
        <w:outlineLvl w:val="9"/>
        <w:rPr>
          <w:rFonts w:ascii="仿宋" w:hAnsi="仿宋" w:eastAsia="仿宋" w:cs="仿宋"/>
          <w:b/>
          <w:bCs/>
          <w:color w:val="auto"/>
          <w:sz w:val="32"/>
          <w:szCs w:val="32"/>
          <w:highlight w:val="none"/>
        </w:rPr>
      </w:pPr>
    </w:p>
    <w:p>
      <w:pPr>
        <w:spacing w:line="440" w:lineRule="exact"/>
        <w:jc w:val="center"/>
        <w:outlineLvl w:val="9"/>
        <w:rPr>
          <w:rFonts w:ascii="仿宋" w:hAnsi="仿宋" w:eastAsia="仿宋" w:cs="仿宋"/>
          <w:b/>
          <w:bCs/>
          <w:color w:val="auto"/>
          <w:sz w:val="32"/>
          <w:szCs w:val="32"/>
          <w:highlight w:val="none"/>
        </w:rPr>
      </w:pPr>
    </w:p>
    <w:p>
      <w:pPr>
        <w:spacing w:line="440" w:lineRule="exact"/>
        <w:jc w:val="center"/>
        <w:outlineLvl w:val="9"/>
        <w:rPr>
          <w:rFonts w:ascii="仿宋" w:hAnsi="仿宋" w:eastAsia="仿宋" w:cs="仿宋"/>
          <w:b/>
          <w:bCs/>
          <w:color w:val="auto"/>
          <w:sz w:val="32"/>
          <w:szCs w:val="32"/>
          <w:highlight w:val="none"/>
        </w:rPr>
      </w:pPr>
    </w:p>
    <w:p>
      <w:pPr>
        <w:pStyle w:val="2"/>
        <w:rPr>
          <w:rFonts w:ascii="仿宋" w:hAnsi="仿宋" w:eastAsia="仿宋" w:cs="仿宋"/>
          <w:b/>
          <w:bCs/>
          <w:color w:val="auto"/>
          <w:sz w:val="32"/>
          <w:szCs w:val="32"/>
          <w:highlight w:val="none"/>
        </w:rPr>
      </w:pPr>
    </w:p>
    <w:p>
      <w:pPr>
        <w:rPr>
          <w:rFonts w:ascii="仿宋" w:hAnsi="仿宋" w:eastAsia="仿宋" w:cs="仿宋"/>
          <w:b/>
          <w:bCs/>
          <w:color w:val="auto"/>
          <w:sz w:val="32"/>
          <w:szCs w:val="32"/>
          <w:highlight w:val="none"/>
        </w:rPr>
      </w:pPr>
    </w:p>
    <w:p>
      <w:pPr>
        <w:pStyle w:val="2"/>
      </w:pPr>
    </w:p>
    <w:p>
      <w:pPr>
        <w:keepNext/>
        <w:numPr>
          <w:ilvl w:val="0"/>
          <w:numId w:val="0"/>
        </w:numPr>
        <w:spacing w:line="360" w:lineRule="auto"/>
        <w:jc w:val="center"/>
        <w:outlineLvl w:val="0"/>
        <w:rPr>
          <w:rFonts w:ascii="仿宋" w:hAnsi="仿宋" w:eastAsia="仿宋" w:cs="仿宋"/>
          <w:b/>
          <w:bCs/>
          <w:color w:val="auto"/>
          <w:sz w:val="32"/>
          <w:szCs w:val="32"/>
          <w:highlight w:val="none"/>
        </w:rPr>
      </w:pPr>
      <w:bookmarkStart w:id="215" w:name="_Toc24331"/>
      <w:bookmarkStart w:id="216" w:name="_Toc22834"/>
      <w:bookmarkStart w:id="217" w:name="_Toc8996"/>
      <w:r>
        <w:rPr>
          <w:rFonts w:hint="eastAsia" w:ascii="仿宋" w:hAnsi="仿宋" w:eastAsia="仿宋" w:cs="仿宋"/>
          <w:b/>
          <w:bCs/>
          <w:color w:val="auto"/>
          <w:sz w:val="32"/>
          <w:szCs w:val="32"/>
          <w:highlight w:val="none"/>
          <w:lang w:eastAsia="zh-CN"/>
        </w:rPr>
        <w:t>十一、投标供应商</w:t>
      </w:r>
      <w:r>
        <w:rPr>
          <w:rFonts w:hint="eastAsia" w:ascii="仿宋" w:hAnsi="仿宋" w:eastAsia="仿宋" w:cs="仿宋"/>
          <w:b/>
          <w:bCs/>
          <w:color w:val="auto"/>
          <w:sz w:val="32"/>
          <w:szCs w:val="32"/>
          <w:highlight w:val="none"/>
        </w:rPr>
        <w:t>认为有必要提供的其他材料</w:t>
      </w:r>
      <w:bookmarkEnd w:id="215"/>
      <w:bookmarkEnd w:id="216"/>
      <w:bookmarkEnd w:id="217"/>
    </w:p>
    <w:p>
      <w:pPr>
        <w:pStyle w:val="12"/>
        <w:ind w:left="840" w:leftChars="400" w:firstLine="0" w:firstLineChars="0"/>
        <w:rPr>
          <w:rFonts w:hint="eastAsia" w:eastAsia="宋体"/>
          <w:color w:val="auto"/>
          <w:highlight w:val="none"/>
          <w:lang w:eastAsia="zh-CN"/>
        </w:rPr>
      </w:pPr>
    </w:p>
    <w:p>
      <w:pPr>
        <w:keepNext/>
        <w:spacing w:line="360" w:lineRule="auto"/>
        <w:ind w:left="1260"/>
        <w:jc w:val="center"/>
        <w:rPr>
          <w:rFonts w:ascii="仿宋" w:hAnsi="仿宋" w:eastAsia="仿宋" w:cs="仿宋"/>
          <w:b/>
          <w:bCs/>
          <w:color w:val="auto"/>
          <w:sz w:val="32"/>
          <w:szCs w:val="32"/>
          <w:highlight w:val="none"/>
        </w:rPr>
      </w:pPr>
    </w:p>
    <w:p>
      <w:pPr>
        <w:pStyle w:val="2"/>
        <w:tabs>
          <w:tab w:val="left" w:pos="2160"/>
        </w:tabs>
        <w:spacing w:line="360" w:lineRule="auto"/>
        <w:ind w:left="1200"/>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
      <w:pPr>
        <w:rPr>
          <w:rFonts w:ascii="仿宋" w:hAnsi="仿宋" w:eastAsia="仿宋" w:cs="仿宋"/>
          <w:color w:val="auto"/>
          <w:sz w:val="24"/>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12"/>
        <w:ind w:firstLine="480"/>
        <w:rPr>
          <w:rFonts w:ascii="仿宋" w:hAnsi="仿宋" w:eastAsia="仿宋" w:cs="仿宋"/>
          <w:color w:val="auto"/>
          <w:highlight w:val="none"/>
        </w:rPr>
      </w:pPr>
    </w:p>
    <w:p>
      <w:pPr>
        <w:pStyle w:val="51"/>
        <w:rPr>
          <w:rFonts w:ascii="仿宋" w:hAnsi="仿宋" w:eastAsia="仿宋" w:cs="仿宋"/>
          <w:color w:val="auto"/>
          <w:sz w:val="24"/>
          <w:highlight w:val="none"/>
        </w:rPr>
      </w:pPr>
    </w:p>
    <w:sectPr>
      <w:headerReference r:id="rId7" w:type="default"/>
      <w:footerReference r:id="rId8" w:type="default"/>
      <w:pgSz w:w="11905" w:h="16838"/>
      <w:pgMar w:top="1474" w:right="1587" w:bottom="1474" w:left="1587" w:header="567" w:footer="964" w:gutter="0"/>
      <w:pgNumType w:fmt="decimal"/>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宋体w僝昀.">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宋体"/>
    <w:panose1 w:val="02010600040101010101"/>
    <w:charset w:val="86"/>
    <w:family w:val="auto"/>
    <w:pitch w:val="default"/>
    <w:sig w:usb0="00000000" w:usb1="00000000" w:usb2="00000010" w:usb3="00000000" w:csb0="0004009F"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4057"/>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70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70</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- 45 -</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- 45 -</w:t>
                    </w:r>
                    <w:r>
                      <w:fldChar w:fldCharType="end"/>
                    </w:r>
                    <w:r>
                      <w:t xml:space="preserve"> 页 共 </w:t>
                    </w:r>
                    <w:r>
                      <w:rPr>
                        <w:rFonts w:hint="eastAsia"/>
                        <w:lang w:val="en-US" w:eastAsia="zh-CN"/>
                      </w:rPr>
                      <w:t>70</w:t>
                    </w:r>
                    <w:r>
                      <w:t xml:space="preserve"> 页</w:t>
                    </w:r>
                  </w:p>
                </w:txbxContent>
              </v:textbox>
            </v:shape>
          </w:pict>
        </mc:Fallback>
      </mc:AlternateContent>
    </w:r>
    <w:r>
      <w:rPr>
        <w:rFonts w:hint="eastAsia"/>
        <w:b/>
        <w:bCs/>
        <w:i/>
        <w:i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- 56 -</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- 56 -</w:t>
                    </w:r>
                    <w:r>
                      <w:fldChar w:fldCharType="end"/>
                    </w:r>
                    <w:r>
                      <w:t xml:space="preserve"> 页 共 </w:t>
                    </w:r>
                    <w:r>
                      <w:rPr>
                        <w:rFonts w:hint="eastAsia"/>
                        <w:lang w:val="en-US" w:eastAsia="zh-CN"/>
                      </w:rPr>
                      <w:t>70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6350"/>
        <w:tab w:val="right" w:pos="9190"/>
        <w:tab w:val="clear" w:pos="4153"/>
        <w:tab w:val="clear" w:pos="8306"/>
      </w:tabs>
      <w:jc w:val="left"/>
    </w:pPr>
    <w:r>
      <w:rPr>
        <w:rFonts w:hint="eastAsia" w:ascii="宋体" w:hAnsi="宋体"/>
      </w:rPr>
      <w:tab/>
    </w:r>
    <w:r>
      <w:rPr>
        <w:rFonts w:hint="eastAsia" w:ascii="宋体" w:hAnsi="宋体"/>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right="-178" w:rightChars="-85"/>
      <w:jc w:val="both"/>
      <w:rPr>
        <w:sz w:val="21"/>
        <w:szCs w:val="21"/>
      </w:rPr>
    </w:pPr>
    <w:r>
      <w:rPr>
        <w:rFonts w:hint="eastAsia" w:ascii="宋体" w:hAnsi="宋体" w:cs="Helvetica"/>
        <w:color w:val="333333"/>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31B8"/>
    <w:multiLevelType w:val="singleLevel"/>
    <w:tmpl w:val="886731B8"/>
    <w:lvl w:ilvl="0" w:tentative="0">
      <w:start w:val="1"/>
      <w:numFmt w:val="chineseCounting"/>
      <w:suff w:val="nothing"/>
      <w:lvlText w:val="%1、"/>
      <w:lvlJc w:val="left"/>
      <w:rPr>
        <w:rFonts w:hint="eastAsia"/>
      </w:rPr>
    </w:lvl>
  </w:abstractNum>
  <w:abstractNum w:abstractNumId="1">
    <w:nsid w:val="0000000F"/>
    <w:multiLevelType w:val="multilevel"/>
    <w:tmpl w:val="0000000F"/>
    <w:lvl w:ilvl="0" w:tentative="0">
      <w:start w:val="1"/>
      <w:numFmt w:val="decimal"/>
      <w:pStyle w:val="5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FA0CE05"/>
    <w:multiLevelType w:val="singleLevel"/>
    <w:tmpl w:val="1FA0CE05"/>
    <w:lvl w:ilvl="0" w:tentative="0">
      <w:start w:val="1"/>
      <w:numFmt w:val="decimal"/>
      <w:suff w:val="nothing"/>
      <w:lvlText w:val="（%1）"/>
      <w:lvlJc w:val="left"/>
    </w:lvl>
  </w:abstractNum>
  <w:abstractNum w:abstractNumId="3">
    <w:nsid w:val="32A7C835"/>
    <w:multiLevelType w:val="singleLevel"/>
    <w:tmpl w:val="32A7C835"/>
    <w:lvl w:ilvl="0" w:tentative="0">
      <w:start w:val="1"/>
      <w:numFmt w:val="decimal"/>
      <w:lvlText w:val="%1."/>
      <w:lvlJc w:val="left"/>
      <w:pPr>
        <w:tabs>
          <w:tab w:val="left" w:pos="312"/>
        </w:tabs>
      </w:pPr>
    </w:lvl>
  </w:abstractNum>
  <w:abstractNum w:abstractNumId="4">
    <w:nsid w:val="43FAF6C4"/>
    <w:multiLevelType w:val="singleLevel"/>
    <w:tmpl w:val="43FAF6C4"/>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1YjhhY2VhMTE1NGFkYjJhZTc2NTcxMjQzNmI4YmEifQ=="/>
  </w:docVars>
  <w:rsids>
    <w:rsidRoot w:val="00000000"/>
    <w:rsid w:val="001A22B3"/>
    <w:rsid w:val="005A1467"/>
    <w:rsid w:val="0189664D"/>
    <w:rsid w:val="02FC52CB"/>
    <w:rsid w:val="030A301C"/>
    <w:rsid w:val="060D2627"/>
    <w:rsid w:val="06B14E4E"/>
    <w:rsid w:val="073569D3"/>
    <w:rsid w:val="07683B22"/>
    <w:rsid w:val="07B216D8"/>
    <w:rsid w:val="07EE38FD"/>
    <w:rsid w:val="08252C5C"/>
    <w:rsid w:val="082C3238"/>
    <w:rsid w:val="083611EA"/>
    <w:rsid w:val="083C5A90"/>
    <w:rsid w:val="09950B58"/>
    <w:rsid w:val="09D04097"/>
    <w:rsid w:val="0A495EFF"/>
    <w:rsid w:val="0A7964DD"/>
    <w:rsid w:val="0B1C6BE6"/>
    <w:rsid w:val="0DB64CC9"/>
    <w:rsid w:val="0E4920FD"/>
    <w:rsid w:val="10765B93"/>
    <w:rsid w:val="10E966F3"/>
    <w:rsid w:val="115D3400"/>
    <w:rsid w:val="124279A2"/>
    <w:rsid w:val="130059ED"/>
    <w:rsid w:val="141F59B6"/>
    <w:rsid w:val="14A8633C"/>
    <w:rsid w:val="14EB6480"/>
    <w:rsid w:val="1506417B"/>
    <w:rsid w:val="155D7127"/>
    <w:rsid w:val="15B60FA9"/>
    <w:rsid w:val="1621535C"/>
    <w:rsid w:val="16455E71"/>
    <w:rsid w:val="16785E95"/>
    <w:rsid w:val="16790340"/>
    <w:rsid w:val="17555BDC"/>
    <w:rsid w:val="17D94AE4"/>
    <w:rsid w:val="18501A8C"/>
    <w:rsid w:val="1871105F"/>
    <w:rsid w:val="18DF7E53"/>
    <w:rsid w:val="192855A3"/>
    <w:rsid w:val="1A872550"/>
    <w:rsid w:val="1A8D7935"/>
    <w:rsid w:val="1CAA6BEF"/>
    <w:rsid w:val="1CBF5FD1"/>
    <w:rsid w:val="1CE06648"/>
    <w:rsid w:val="1DC046F7"/>
    <w:rsid w:val="1EF22BFC"/>
    <w:rsid w:val="1FDE70B6"/>
    <w:rsid w:val="21A8001C"/>
    <w:rsid w:val="221C5C74"/>
    <w:rsid w:val="22A531AF"/>
    <w:rsid w:val="23013DC0"/>
    <w:rsid w:val="232C1EC0"/>
    <w:rsid w:val="24276EB2"/>
    <w:rsid w:val="24A23DA4"/>
    <w:rsid w:val="281A0EA7"/>
    <w:rsid w:val="2A214956"/>
    <w:rsid w:val="2AE13ED8"/>
    <w:rsid w:val="2B6C7218"/>
    <w:rsid w:val="2BAC3ED9"/>
    <w:rsid w:val="2BCE4C17"/>
    <w:rsid w:val="2C62569F"/>
    <w:rsid w:val="2D81430F"/>
    <w:rsid w:val="2ECF0417"/>
    <w:rsid w:val="2EFC344C"/>
    <w:rsid w:val="2FA15A0A"/>
    <w:rsid w:val="2FAF45CB"/>
    <w:rsid w:val="303134C3"/>
    <w:rsid w:val="306A2F4D"/>
    <w:rsid w:val="30A9726C"/>
    <w:rsid w:val="337376BE"/>
    <w:rsid w:val="34A43FD3"/>
    <w:rsid w:val="34BE71FF"/>
    <w:rsid w:val="351832F9"/>
    <w:rsid w:val="35680152"/>
    <w:rsid w:val="357F6745"/>
    <w:rsid w:val="35BE2345"/>
    <w:rsid w:val="35CA5D35"/>
    <w:rsid w:val="363C648D"/>
    <w:rsid w:val="388A0313"/>
    <w:rsid w:val="38DD5D05"/>
    <w:rsid w:val="397561FC"/>
    <w:rsid w:val="39B12CEE"/>
    <w:rsid w:val="39CD64F6"/>
    <w:rsid w:val="3AFE1F63"/>
    <w:rsid w:val="3B1A11BD"/>
    <w:rsid w:val="3B563B4D"/>
    <w:rsid w:val="3BC136BC"/>
    <w:rsid w:val="3BF03FA1"/>
    <w:rsid w:val="3BF63284"/>
    <w:rsid w:val="3CA562E6"/>
    <w:rsid w:val="3D1D3DA1"/>
    <w:rsid w:val="3DE956D1"/>
    <w:rsid w:val="3E0E6961"/>
    <w:rsid w:val="3E5C147A"/>
    <w:rsid w:val="3F1852F7"/>
    <w:rsid w:val="3F216D66"/>
    <w:rsid w:val="3F37690F"/>
    <w:rsid w:val="3F475FC5"/>
    <w:rsid w:val="3FFE7B01"/>
    <w:rsid w:val="40442116"/>
    <w:rsid w:val="40B75BE2"/>
    <w:rsid w:val="41095626"/>
    <w:rsid w:val="413929F1"/>
    <w:rsid w:val="42333340"/>
    <w:rsid w:val="430014D8"/>
    <w:rsid w:val="43234890"/>
    <w:rsid w:val="43FB7987"/>
    <w:rsid w:val="44E50C6D"/>
    <w:rsid w:val="44FF4179"/>
    <w:rsid w:val="45433394"/>
    <w:rsid w:val="45B7168C"/>
    <w:rsid w:val="4767037C"/>
    <w:rsid w:val="48256D81"/>
    <w:rsid w:val="48945CB4"/>
    <w:rsid w:val="48FA2BE3"/>
    <w:rsid w:val="4A110AB6"/>
    <w:rsid w:val="4A463EF1"/>
    <w:rsid w:val="4A5751EC"/>
    <w:rsid w:val="4C986A97"/>
    <w:rsid w:val="4CFB1D55"/>
    <w:rsid w:val="4D19111E"/>
    <w:rsid w:val="4DAE61CF"/>
    <w:rsid w:val="4EB3229B"/>
    <w:rsid w:val="4ED137BE"/>
    <w:rsid w:val="4ED6787C"/>
    <w:rsid w:val="4F2558B8"/>
    <w:rsid w:val="4F471CD3"/>
    <w:rsid w:val="4F622668"/>
    <w:rsid w:val="51AF31B4"/>
    <w:rsid w:val="51E33221"/>
    <w:rsid w:val="52CF5565"/>
    <w:rsid w:val="54EF3142"/>
    <w:rsid w:val="55825812"/>
    <w:rsid w:val="55CC4CE0"/>
    <w:rsid w:val="55F77A34"/>
    <w:rsid w:val="560E70A6"/>
    <w:rsid w:val="564C5E20"/>
    <w:rsid w:val="569B417F"/>
    <w:rsid w:val="58415545"/>
    <w:rsid w:val="58B1705B"/>
    <w:rsid w:val="596B7D3A"/>
    <w:rsid w:val="59A201B2"/>
    <w:rsid w:val="59EA2479"/>
    <w:rsid w:val="5AE5731D"/>
    <w:rsid w:val="5AE96D2A"/>
    <w:rsid w:val="5B070DB6"/>
    <w:rsid w:val="5B0F21C5"/>
    <w:rsid w:val="5B7025B1"/>
    <w:rsid w:val="5C076A71"/>
    <w:rsid w:val="5DD44FA2"/>
    <w:rsid w:val="5DEF4813"/>
    <w:rsid w:val="5E162F9C"/>
    <w:rsid w:val="5EE035AA"/>
    <w:rsid w:val="5F9B61C0"/>
    <w:rsid w:val="5F9F28FC"/>
    <w:rsid w:val="5FF437B1"/>
    <w:rsid w:val="5FFA60B8"/>
    <w:rsid w:val="616D55C9"/>
    <w:rsid w:val="61950F25"/>
    <w:rsid w:val="61B25974"/>
    <w:rsid w:val="61E2477F"/>
    <w:rsid w:val="628B7477"/>
    <w:rsid w:val="63021D41"/>
    <w:rsid w:val="6385170F"/>
    <w:rsid w:val="656E6AA4"/>
    <w:rsid w:val="666D6ABC"/>
    <w:rsid w:val="67310E46"/>
    <w:rsid w:val="683959C1"/>
    <w:rsid w:val="696C085C"/>
    <w:rsid w:val="6C1A3761"/>
    <w:rsid w:val="6C765D23"/>
    <w:rsid w:val="6C986875"/>
    <w:rsid w:val="6CBF6EF4"/>
    <w:rsid w:val="6CEC071F"/>
    <w:rsid w:val="6D475F5F"/>
    <w:rsid w:val="6D601781"/>
    <w:rsid w:val="6D8A5754"/>
    <w:rsid w:val="6F280D81"/>
    <w:rsid w:val="6F372F84"/>
    <w:rsid w:val="6F3A0A5C"/>
    <w:rsid w:val="6F7F796D"/>
    <w:rsid w:val="6F9D5638"/>
    <w:rsid w:val="700B3895"/>
    <w:rsid w:val="70700C31"/>
    <w:rsid w:val="71365918"/>
    <w:rsid w:val="715E44D2"/>
    <w:rsid w:val="720828CE"/>
    <w:rsid w:val="728C7C14"/>
    <w:rsid w:val="73240151"/>
    <w:rsid w:val="73506AF8"/>
    <w:rsid w:val="73E57241"/>
    <w:rsid w:val="748A31AB"/>
    <w:rsid w:val="755A1884"/>
    <w:rsid w:val="761107C1"/>
    <w:rsid w:val="76243DC1"/>
    <w:rsid w:val="762C2D3D"/>
    <w:rsid w:val="764F12E9"/>
    <w:rsid w:val="765D08A2"/>
    <w:rsid w:val="767200F6"/>
    <w:rsid w:val="77A2369A"/>
    <w:rsid w:val="789E26C9"/>
    <w:rsid w:val="78CD23C5"/>
    <w:rsid w:val="78DA7590"/>
    <w:rsid w:val="798112AA"/>
    <w:rsid w:val="7AA8546C"/>
    <w:rsid w:val="7BD5390A"/>
    <w:rsid w:val="7BEC7BB2"/>
    <w:rsid w:val="7D26150B"/>
    <w:rsid w:val="7D40373A"/>
    <w:rsid w:val="7DAC5273"/>
    <w:rsid w:val="7DD62052"/>
    <w:rsid w:val="7DE34235"/>
    <w:rsid w:val="7E5476C8"/>
    <w:rsid w:val="7ED14F91"/>
    <w:rsid w:val="7FB747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link w:val="115"/>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45"/>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44"/>
    <w:qFormat/>
    <w:uiPriority w:val="0"/>
    <w:pPr>
      <w:keepNext/>
      <w:spacing w:line="600" w:lineRule="exact"/>
      <w:jc w:val="center"/>
      <w:outlineLvl w:val="3"/>
    </w:pPr>
    <w:rPr>
      <w:rFonts w:ascii="楷体_GB2312" w:eastAsia="楷体_GB2312"/>
      <w:kern w:val="0"/>
      <w:sz w:val="32"/>
      <w:szCs w:val="20"/>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0"/>
    <w:pPr>
      <w:spacing w:after="120"/>
    </w:pPr>
    <w:rPr>
      <w:sz w:val="20"/>
    </w:rPr>
  </w:style>
  <w:style w:type="paragraph" w:styleId="3">
    <w:name w:val="Body Text First Indent"/>
    <w:basedOn w:val="2"/>
    <w:next w:val="1"/>
    <w:qFormat/>
    <w:uiPriority w:val="0"/>
    <w:pPr>
      <w:spacing w:line="312" w:lineRule="auto"/>
      <w:ind w:firstLine="420"/>
    </w:pPr>
  </w:style>
  <w:style w:type="paragraph" w:styleId="9">
    <w:name w:val="Normal Indent"/>
    <w:basedOn w:val="1"/>
    <w:next w:val="1"/>
    <w:link w:val="46"/>
    <w:qFormat/>
    <w:uiPriority w:val="0"/>
    <w:pPr>
      <w:ind w:firstLine="420" w:firstLineChars="200"/>
    </w:pPr>
    <w:rPr>
      <w:kern w:val="0"/>
      <w:sz w:val="20"/>
      <w:szCs w:val="20"/>
    </w:rPr>
  </w:style>
  <w:style w:type="paragraph" w:styleId="10">
    <w:name w:val="annotation text"/>
    <w:basedOn w:val="1"/>
    <w:qFormat/>
    <w:uiPriority w:val="99"/>
    <w:pPr>
      <w:adjustRightInd w:val="0"/>
      <w:spacing w:line="360" w:lineRule="atLeast"/>
      <w:jc w:val="left"/>
    </w:pPr>
    <w:rPr>
      <w:kern w:val="0"/>
      <w:sz w:val="24"/>
      <w:szCs w:val="20"/>
    </w:rPr>
  </w:style>
  <w:style w:type="paragraph" w:styleId="11">
    <w:name w:val="Body Text Indent"/>
    <w:basedOn w:val="1"/>
    <w:next w:val="12"/>
    <w:qFormat/>
    <w:uiPriority w:val="99"/>
    <w:pPr>
      <w:spacing w:after="120"/>
      <w:ind w:left="420" w:leftChars="200"/>
    </w:pPr>
    <w:rPr>
      <w:sz w:val="24"/>
    </w:rPr>
  </w:style>
  <w:style w:type="paragraph" w:styleId="12">
    <w:name w:val="Body Text First Indent 2"/>
    <w:basedOn w:val="11"/>
    <w:qFormat/>
    <w:uiPriority w:val="0"/>
    <w:pPr>
      <w:ind w:firstLine="420" w:firstLineChars="200"/>
    </w:pPr>
  </w:style>
  <w:style w:type="paragraph" w:styleId="13">
    <w:name w:val="toc 3"/>
    <w:basedOn w:val="1"/>
    <w:next w:val="1"/>
    <w:qFormat/>
    <w:uiPriority w:val="39"/>
    <w:pPr>
      <w:ind w:firstLine="400" w:firstLineChars="400"/>
    </w:pPr>
    <w:rPr>
      <w:rFonts w:cs="Calibri"/>
      <w:iCs/>
      <w:szCs w:val="20"/>
    </w:rPr>
  </w:style>
  <w:style w:type="paragraph" w:styleId="14">
    <w:name w:val="Plain Text"/>
    <w:basedOn w:val="1"/>
    <w:link w:val="48"/>
    <w:qFormat/>
    <w:uiPriority w:val="0"/>
    <w:rPr>
      <w:rFonts w:ascii="宋体" w:hAnsi="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sz w:val="28"/>
    </w:rPr>
  </w:style>
  <w:style w:type="paragraph" w:styleId="17">
    <w:name w:val="Body Text Indent 2"/>
    <w:basedOn w:val="1"/>
    <w:qFormat/>
    <w:uiPriority w:val="99"/>
    <w:pPr>
      <w:tabs>
        <w:tab w:val="left" w:pos="360"/>
      </w:tabs>
      <w:spacing w:line="360" w:lineRule="auto"/>
      <w:ind w:firstLine="480" w:firstLineChars="200"/>
    </w:pPr>
    <w:rPr>
      <w:sz w:val="24"/>
    </w:rPr>
  </w:style>
  <w:style w:type="paragraph" w:styleId="18">
    <w:name w:val="Balloon Text"/>
    <w:basedOn w:val="1"/>
    <w:link w:val="112"/>
    <w:unhideWhenUsed/>
    <w:qFormat/>
    <w:uiPriority w:val="99"/>
    <w:rPr>
      <w:sz w:val="18"/>
      <w:szCs w:val="18"/>
    </w:rPr>
  </w:style>
  <w:style w:type="paragraph" w:styleId="19">
    <w:name w:val="footer"/>
    <w:basedOn w:val="1"/>
    <w:next w:val="15"/>
    <w:link w:val="49"/>
    <w:unhideWhenUsed/>
    <w:qFormat/>
    <w:uiPriority w:val="99"/>
    <w:pPr>
      <w:tabs>
        <w:tab w:val="center" w:pos="4153"/>
        <w:tab w:val="right" w:pos="8306"/>
      </w:tabs>
      <w:snapToGrid w:val="0"/>
      <w:jc w:val="left"/>
    </w:pPr>
    <w:rPr>
      <w:kern w:val="0"/>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pPr>
      <w:tabs>
        <w:tab w:val="right" w:leader="dot" w:pos="8296"/>
      </w:tabs>
      <w:spacing w:before="120" w:after="120" w:line="360" w:lineRule="auto"/>
      <w:ind w:left="-426" w:leftChars="-152" w:firstLine="566" w:firstLineChars="202"/>
      <w:jc w:val="center"/>
    </w:pPr>
    <w:rPr>
      <w:sz w:val="24"/>
    </w:rPr>
  </w:style>
  <w:style w:type="paragraph" w:styleId="22">
    <w:name w:val="toc 2"/>
    <w:basedOn w:val="1"/>
    <w:next w:val="1"/>
    <w:qFormat/>
    <w:uiPriority w:val="39"/>
    <w:pPr>
      <w:ind w:firstLine="200"/>
    </w:pPr>
    <w:rPr>
      <w:rFonts w:cs="Calibri"/>
      <w:smallCaps/>
      <w:szCs w:val="20"/>
    </w:rPr>
  </w:style>
  <w:style w:type="paragraph" w:styleId="23">
    <w:name w:val="Body Text 2"/>
    <w:basedOn w:val="1"/>
    <w:qFormat/>
    <w:uiPriority w:val="0"/>
    <w:pPr>
      <w:spacing w:after="120" w:line="480" w:lineRule="auto"/>
    </w:pPr>
  </w:style>
  <w:style w:type="paragraph" w:styleId="24">
    <w:name w:val="Normal (Web)"/>
    <w:basedOn w:val="1"/>
    <w:unhideWhenUsed/>
    <w:qFormat/>
    <w:uiPriority w:val="99"/>
    <w:pPr>
      <w:widowControl/>
      <w:jc w:val="left"/>
    </w:pPr>
    <w:rPr>
      <w:rFonts w:ascii="宋体" w:hAnsi="宋体" w:cs="宋体"/>
      <w:kern w:val="0"/>
      <w:sz w:val="24"/>
    </w:rPr>
  </w:style>
  <w:style w:type="paragraph" w:styleId="25">
    <w:name w:val="Title"/>
    <w:basedOn w:val="6"/>
    <w:next w:val="1"/>
    <w:qFormat/>
    <w:uiPriority w:val="0"/>
    <w:pPr>
      <w:jc w:val="center"/>
      <w:outlineLvl w:val="0"/>
    </w:pPr>
    <w:rPr>
      <w:rFonts w:ascii="Cambria" w:hAnsi="Cambria"/>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style>
  <w:style w:type="character" w:styleId="31">
    <w:name w:val="FollowedHyperlink"/>
    <w:unhideWhenUsed/>
    <w:qFormat/>
    <w:uiPriority w:val="99"/>
    <w:rPr>
      <w:color w:val="333333"/>
      <w:u w:val="none"/>
    </w:rPr>
  </w:style>
  <w:style w:type="character" w:styleId="32">
    <w:name w:val="Emphasis"/>
    <w:qFormat/>
    <w:uiPriority w:val="20"/>
  </w:style>
  <w:style w:type="character" w:styleId="33">
    <w:name w:val="HTML Definition"/>
    <w:unhideWhenUsed/>
    <w:qFormat/>
    <w:uiPriority w:val="99"/>
    <w:rPr>
      <w:i/>
      <w:iCs/>
    </w:rPr>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basedOn w:val="28"/>
    <w:unhideWhenUsed/>
    <w:qFormat/>
    <w:uiPriority w:val="99"/>
  </w:style>
  <w:style w:type="character" w:styleId="36">
    <w:name w:val="HTML Variable"/>
    <w:unhideWhenUsed/>
    <w:qFormat/>
    <w:uiPriority w:val="99"/>
  </w:style>
  <w:style w:type="character" w:styleId="37">
    <w:name w:val="Hyperlink"/>
    <w:qFormat/>
    <w:uiPriority w:val="0"/>
    <w:rPr>
      <w:rFonts w:cs="Times New Roman"/>
      <w:color w:val="0000FF"/>
      <w:u w:val="single"/>
    </w:rPr>
  </w:style>
  <w:style w:type="character" w:styleId="38">
    <w:name w:val="HTML Code"/>
    <w:unhideWhenUsed/>
    <w:qFormat/>
    <w:uiPriority w:val="99"/>
    <w:rPr>
      <w:rFonts w:ascii="Consolas" w:hAnsi="Consolas" w:eastAsia="Consolas" w:cs="Consolas"/>
      <w:color w:val="C7254E"/>
      <w:sz w:val="21"/>
      <w:szCs w:val="21"/>
      <w:shd w:val="clear" w:color="auto" w:fill="F9F2F4"/>
    </w:rPr>
  </w:style>
  <w:style w:type="character" w:styleId="39">
    <w:name w:val="HTML Cite"/>
    <w:unhideWhenUsed/>
    <w:qFormat/>
    <w:uiPriority w:val="99"/>
  </w:style>
  <w:style w:type="character" w:styleId="40">
    <w:name w:val="HTML Keyboard"/>
    <w:unhideWhenUsed/>
    <w:qFormat/>
    <w:uiPriority w:val="99"/>
    <w:rPr>
      <w:rFonts w:hint="default" w:ascii="Consolas" w:hAnsi="Consolas" w:eastAsia="Consolas" w:cs="Consolas"/>
      <w:color w:val="FFFFFF"/>
      <w:sz w:val="21"/>
      <w:szCs w:val="21"/>
      <w:shd w:val="clear" w:color="auto" w:fill="333333"/>
    </w:rPr>
  </w:style>
  <w:style w:type="character" w:styleId="41">
    <w:name w:val="HTML Sample"/>
    <w:unhideWhenUsed/>
    <w:qFormat/>
    <w:uiPriority w:val="99"/>
    <w:rPr>
      <w:rFonts w:hint="default" w:ascii="Consolas" w:hAnsi="Consolas" w:eastAsia="Consolas" w:cs="Consolas"/>
      <w:sz w:val="21"/>
      <w:szCs w:val="21"/>
    </w:rPr>
  </w:style>
  <w:style w:type="paragraph" w:customStyle="1" w:styleId="42">
    <w:name w:val="正文缩进1"/>
    <w:basedOn w:val="1"/>
    <w:qFormat/>
    <w:uiPriority w:val="0"/>
    <w:pPr>
      <w:ind w:firstLine="420" w:firstLineChars="200"/>
    </w:pPr>
  </w:style>
  <w:style w:type="paragraph" w:customStyle="1" w:styleId="43">
    <w:name w:val="列出段落1"/>
    <w:basedOn w:val="1"/>
    <w:qFormat/>
    <w:uiPriority w:val="99"/>
    <w:pPr>
      <w:ind w:firstLine="420" w:firstLineChars="200"/>
    </w:pPr>
  </w:style>
  <w:style w:type="character" w:customStyle="1" w:styleId="44">
    <w:name w:val="标题 4 字符"/>
    <w:link w:val="7"/>
    <w:qFormat/>
    <w:uiPriority w:val="0"/>
    <w:rPr>
      <w:rFonts w:ascii="楷体_GB2312" w:hAnsi="Times New Roman" w:eastAsia="楷体_GB2312" w:cs="Times New Roman"/>
      <w:sz w:val="32"/>
      <w:szCs w:val="20"/>
    </w:rPr>
  </w:style>
  <w:style w:type="character" w:customStyle="1" w:styleId="45">
    <w:name w:val="标题 3 字符"/>
    <w:link w:val="6"/>
    <w:qFormat/>
    <w:uiPriority w:val="9"/>
    <w:rPr>
      <w:rFonts w:ascii="Times New Roman" w:hAnsi="Times New Roman" w:eastAsia="宋体" w:cs="Times New Roman"/>
      <w:b/>
      <w:bCs/>
      <w:sz w:val="32"/>
      <w:szCs w:val="32"/>
    </w:rPr>
  </w:style>
  <w:style w:type="character" w:customStyle="1" w:styleId="46">
    <w:name w:val="正文缩进 字符"/>
    <w:link w:val="9"/>
    <w:qFormat/>
    <w:uiPriority w:val="0"/>
    <w:rPr>
      <w:rFonts w:eastAsia="宋体"/>
    </w:rPr>
  </w:style>
  <w:style w:type="character" w:customStyle="1" w:styleId="47">
    <w:name w:val="正文文本 字符"/>
    <w:link w:val="2"/>
    <w:qFormat/>
    <w:uiPriority w:val="0"/>
    <w:rPr>
      <w:rFonts w:ascii="Times New Roman" w:hAnsi="Times New Roman" w:eastAsia="宋体" w:cs="Times New Roman"/>
      <w:szCs w:val="24"/>
    </w:rPr>
  </w:style>
  <w:style w:type="character" w:customStyle="1" w:styleId="48">
    <w:name w:val="纯文本 字符"/>
    <w:link w:val="14"/>
    <w:qFormat/>
    <w:uiPriority w:val="0"/>
    <w:rPr>
      <w:rFonts w:ascii="宋体" w:hAnsi="Courier New" w:cs="Courier New"/>
      <w:kern w:val="2"/>
      <w:sz w:val="21"/>
      <w:szCs w:val="21"/>
    </w:rPr>
  </w:style>
  <w:style w:type="character" w:customStyle="1" w:styleId="49">
    <w:name w:val="页脚 字符"/>
    <w:link w:val="19"/>
    <w:semiHidden/>
    <w:qFormat/>
    <w:uiPriority w:val="99"/>
    <w:rPr>
      <w:sz w:val="18"/>
      <w:szCs w:val="18"/>
    </w:rPr>
  </w:style>
  <w:style w:type="character" w:customStyle="1" w:styleId="50">
    <w:name w:val="页眉 字符"/>
    <w:link w:val="20"/>
    <w:semiHidden/>
    <w:qFormat/>
    <w:uiPriority w:val="99"/>
    <w:rPr>
      <w:sz w:val="18"/>
      <w:szCs w:val="18"/>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NormalCharacter"/>
    <w:semiHidden/>
    <w:qFormat/>
    <w:uiPriority w:val="0"/>
    <w:rPr>
      <w:kern w:val="2"/>
      <w:sz w:val="21"/>
      <w:szCs w:val="24"/>
      <w:lang w:val="en-US" w:eastAsia="zh-CN" w:bidi="ar-SA"/>
    </w:rPr>
  </w:style>
  <w:style w:type="character" w:customStyle="1" w:styleId="53">
    <w:name w:val="font21"/>
    <w:qFormat/>
    <w:uiPriority w:val="0"/>
    <w:rPr>
      <w:rFonts w:hint="default" w:ascii="Arial" w:hAnsi="Arial" w:cs="Arial"/>
      <w:color w:val="000000"/>
      <w:sz w:val="24"/>
      <w:szCs w:val="24"/>
      <w:u w:val="none"/>
    </w:rPr>
  </w:style>
  <w:style w:type="character" w:customStyle="1" w:styleId="54">
    <w:name w:val="纯文本 Char"/>
    <w:semiHidden/>
    <w:qFormat/>
    <w:uiPriority w:val="99"/>
    <w:rPr>
      <w:rFonts w:ascii="宋体" w:hAnsi="Courier New" w:cs="Courier New"/>
      <w:kern w:val="2"/>
      <w:sz w:val="21"/>
      <w:szCs w:val="21"/>
    </w:rPr>
  </w:style>
  <w:style w:type="paragraph" w:customStyle="1" w:styleId="55">
    <w:name w:val="TOC 标题1"/>
    <w:basedOn w:val="4"/>
    <w:next w:val="1"/>
    <w:qFormat/>
    <w:uiPriority w:val="0"/>
    <w:pPr>
      <w:spacing w:line="276" w:lineRule="auto"/>
      <w:outlineLvl w:val="9"/>
    </w:pPr>
    <w:rPr>
      <w:rFonts w:ascii="仿宋" w:hAnsi="仿宋" w:eastAsia="仿宋"/>
      <w:color w:val="000000"/>
      <w:kern w:val="0"/>
    </w:rPr>
  </w:style>
  <w:style w:type="paragraph" w:customStyle="1" w:styleId="56">
    <w:name w:val="List Paragraph"/>
    <w:basedOn w:val="1"/>
    <w:qFormat/>
    <w:uiPriority w:val="34"/>
    <w:pPr>
      <w:ind w:firstLine="420" w:firstLineChars="200"/>
    </w:pPr>
  </w:style>
  <w:style w:type="paragraph" w:customStyle="1" w:styleId="57">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8">
    <w:name w:val="样式1"/>
    <w:basedOn w:val="1"/>
    <w:qFormat/>
    <w:uiPriority w:val="99"/>
    <w:pPr>
      <w:numPr>
        <w:ilvl w:val="0"/>
        <w:numId w:val="1"/>
      </w:numPr>
      <w:adjustRightInd w:val="0"/>
      <w:textAlignment w:val="baseline"/>
    </w:pPr>
    <w:rPr>
      <w:rFonts w:ascii="宋体" w:hAnsi="宋体"/>
      <w:kern w:val="0"/>
      <w:szCs w:val="21"/>
    </w:rPr>
  </w:style>
  <w:style w:type="paragraph" w:customStyle="1" w:styleId="59">
    <w:name w:val="目录"/>
    <w:basedOn w:val="1"/>
    <w:qFormat/>
    <w:uiPriority w:val="0"/>
    <w:pPr>
      <w:widowControl/>
      <w:jc w:val="center"/>
    </w:pPr>
    <w:rPr>
      <w:rFonts w:ascii="宋体"/>
      <w:b/>
      <w:kern w:val="0"/>
      <w:sz w:val="36"/>
      <w:szCs w:val="20"/>
    </w:rPr>
  </w:style>
  <w:style w:type="paragraph" w:customStyle="1" w:styleId="60">
    <w:name w:val="title11"/>
    <w:basedOn w:val="1"/>
    <w:qFormat/>
    <w:uiPriority w:val="0"/>
    <w:pPr>
      <w:spacing w:before="150" w:line="450" w:lineRule="atLeast"/>
      <w:jc w:val="left"/>
    </w:pPr>
    <w:rPr>
      <w:b/>
      <w:kern w:val="0"/>
      <w:sz w:val="24"/>
    </w:rPr>
  </w:style>
  <w:style w:type="paragraph" w:customStyle="1" w:styleId="61">
    <w:name w:val="正文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2">
    <w:name w:val="Default"/>
    <w:qFormat/>
    <w:uiPriority w:val="0"/>
    <w:pPr>
      <w:widowControl w:val="0"/>
      <w:autoSpaceDE w:val="0"/>
      <w:autoSpaceDN w:val="0"/>
      <w:adjustRightInd w:val="0"/>
    </w:pPr>
    <w:rPr>
      <w:rFonts w:ascii="宋体w僝昀." w:hAnsi="Times New Roman" w:eastAsia="宋体w僝昀." w:cs="宋体w僝昀."/>
      <w:color w:val="000000"/>
      <w:sz w:val="24"/>
      <w:szCs w:val="24"/>
      <w:lang w:val="en-US" w:eastAsia="zh-CN" w:bidi="ar-SA"/>
    </w:rPr>
  </w:style>
  <w:style w:type="paragraph" w:customStyle="1" w:styleId="63">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rFonts w:ascii="宋体" w:hAnsi="宋体"/>
      <w:color w:val="000000"/>
      <w:kern w:val="0"/>
      <w:szCs w:val="21"/>
    </w:rPr>
  </w:style>
  <w:style w:type="paragraph" w:customStyle="1" w:styleId="64">
    <w:name w:val="title1"/>
    <w:basedOn w:val="1"/>
    <w:qFormat/>
    <w:uiPriority w:val="0"/>
    <w:pPr>
      <w:widowControl/>
      <w:jc w:val="left"/>
    </w:pPr>
    <w:rPr>
      <w:rFonts w:ascii="宋体" w:hAnsi="宋体" w:cs="宋体"/>
      <w:kern w:val="0"/>
      <w:sz w:val="24"/>
    </w:rPr>
  </w:style>
  <w:style w:type="paragraph" w:customStyle="1" w:styleId="65">
    <w:name w:val="title14"/>
    <w:basedOn w:val="1"/>
    <w:qFormat/>
    <w:uiPriority w:val="0"/>
    <w:pPr>
      <w:spacing w:before="150"/>
      <w:jc w:val="left"/>
    </w:pPr>
    <w:rPr>
      <w:b/>
      <w:bCs/>
      <w:kern w:val="0"/>
      <w:sz w:val="22"/>
      <w:szCs w:val="22"/>
    </w:rPr>
  </w:style>
  <w:style w:type="character" w:customStyle="1" w:styleId="66">
    <w:name w:val="indent"/>
    <w:qFormat/>
    <w:uiPriority w:val="0"/>
  </w:style>
  <w:style w:type="character" w:customStyle="1" w:styleId="67">
    <w:name w:val="tmpztreemove_arrow"/>
    <w:qFormat/>
    <w:uiPriority w:val="0"/>
    <w:rPr>
      <w:shd w:val="clear" w:color="auto" w:fill="FFFFFF"/>
    </w:rPr>
  </w:style>
  <w:style w:type="character" w:customStyle="1" w:styleId="68">
    <w:name w:val="old"/>
    <w:qFormat/>
    <w:uiPriority w:val="0"/>
    <w:rPr>
      <w:color w:val="999999"/>
    </w:rPr>
  </w:style>
  <w:style w:type="character" w:customStyle="1" w:styleId="69">
    <w:name w:val="hover3"/>
    <w:qFormat/>
    <w:uiPriority w:val="0"/>
    <w:rPr>
      <w:shd w:val="clear" w:color="auto" w:fill="EEEEEE"/>
    </w:rPr>
  </w:style>
  <w:style w:type="character" w:customStyle="1" w:styleId="70">
    <w:name w:val="glyphicon4"/>
    <w:qFormat/>
    <w:uiPriority w:val="0"/>
  </w:style>
  <w:style w:type="character" w:customStyle="1" w:styleId="71">
    <w:name w:val="hour_am"/>
    <w:qFormat/>
    <w:uiPriority w:val="0"/>
  </w:style>
  <w:style w:type="character" w:customStyle="1" w:styleId="72">
    <w:name w:val="hour_pm"/>
    <w:qFormat/>
    <w:uiPriority w:val="0"/>
  </w:style>
  <w:style w:type="character" w:customStyle="1" w:styleId="73">
    <w:name w:val="button"/>
    <w:qFormat/>
    <w:uiPriority w:val="0"/>
  </w:style>
  <w:style w:type="character" w:customStyle="1" w:styleId="74">
    <w:name w:val="active6"/>
    <w:qFormat/>
    <w:uiPriority w:val="0"/>
    <w:rPr>
      <w:color w:val="00FF00"/>
      <w:shd w:val="clear" w:color="auto" w:fill="000000"/>
    </w:rPr>
  </w:style>
  <w:style w:type="character" w:customStyle="1" w:styleId="75">
    <w:name w:val="phone"/>
    <w:qFormat/>
    <w:uiPriority w:val="0"/>
    <w:rPr>
      <w:color w:val="FF8833"/>
      <w:sz w:val="18"/>
      <w:szCs w:val="18"/>
    </w:rPr>
  </w:style>
  <w:style w:type="character" w:customStyle="1" w:styleId="76">
    <w:name w:val="number"/>
    <w:qFormat/>
    <w:uiPriority w:val="0"/>
    <w:rPr>
      <w:color w:val="FF8833"/>
      <w:sz w:val="18"/>
      <w:szCs w:val="18"/>
    </w:rPr>
  </w:style>
  <w:style w:type="character" w:customStyle="1" w:styleId="77">
    <w:name w:val="hilite"/>
    <w:qFormat/>
    <w:uiPriority w:val="0"/>
    <w:rPr>
      <w:color w:val="FFFFFF"/>
      <w:shd w:val="clear" w:color="auto" w:fill="666677"/>
    </w:rPr>
  </w:style>
  <w:style w:type="character" w:customStyle="1" w:styleId="78">
    <w:name w:val="span-long"/>
    <w:qFormat/>
    <w:uiPriority w:val="0"/>
  </w:style>
  <w:style w:type="character" w:customStyle="1" w:styleId="79">
    <w:name w:val="beforeinfotext"/>
    <w:qFormat/>
    <w:uiPriority w:val="0"/>
    <w:rPr>
      <w:color w:val="666666"/>
    </w:rPr>
  </w:style>
  <w:style w:type="character" w:customStyle="1" w:styleId="80">
    <w:name w:val="stclosebtn"/>
    <w:qFormat/>
    <w:uiPriority w:val="0"/>
  </w:style>
  <w:style w:type="character" w:customStyle="1" w:styleId="81">
    <w:name w:val="input-direction"/>
    <w:qFormat/>
    <w:uiPriority w:val="0"/>
    <w:rPr>
      <w:color w:val="FF6600"/>
    </w:rPr>
  </w:style>
  <w:style w:type="character" w:customStyle="1" w:styleId="82">
    <w:name w:val="proollist"/>
    <w:qFormat/>
    <w:uiPriority w:val="0"/>
  </w:style>
  <w:style w:type="character" w:customStyle="1" w:styleId="83">
    <w:name w:val="button2"/>
    <w:qFormat/>
    <w:uiPriority w:val="0"/>
  </w:style>
  <w:style w:type="character" w:customStyle="1" w:styleId="84">
    <w:name w:val="hilite6"/>
    <w:qFormat/>
    <w:uiPriority w:val="0"/>
    <w:rPr>
      <w:color w:val="FFFFFF"/>
      <w:shd w:val="clear" w:color="auto" w:fill="666677"/>
    </w:rPr>
  </w:style>
  <w:style w:type="character" w:customStyle="1" w:styleId="85">
    <w:name w:val="active"/>
    <w:qFormat/>
    <w:uiPriority w:val="0"/>
    <w:rPr>
      <w:color w:val="00FF00"/>
      <w:shd w:val="clear" w:color="auto" w:fill="000000"/>
    </w:rPr>
  </w:style>
  <w:style w:type="character" w:customStyle="1" w:styleId="86">
    <w:name w:val="active5"/>
    <w:qFormat/>
    <w:uiPriority w:val="0"/>
    <w:rPr>
      <w:color w:val="00FF00"/>
      <w:shd w:val="clear" w:color="auto" w:fill="000000"/>
    </w:rPr>
  </w:style>
  <w:style w:type="character" w:customStyle="1" w:styleId="87">
    <w:name w:val="hilite5"/>
    <w:qFormat/>
    <w:uiPriority w:val="0"/>
    <w:rPr>
      <w:color w:val="FFFFFF"/>
      <w:shd w:val="clear" w:color="auto" w:fill="666677"/>
    </w:rPr>
  </w:style>
  <w:style w:type="character" w:customStyle="1" w:styleId="88">
    <w:name w:val="active4"/>
    <w:qFormat/>
    <w:uiPriority w:val="0"/>
    <w:rPr>
      <w:color w:val="00FF00"/>
      <w:shd w:val="clear" w:color="auto" w:fill="000000"/>
    </w:rPr>
  </w:style>
  <w:style w:type="character" w:customStyle="1" w:styleId="89">
    <w:name w:val="glyphicon"/>
    <w:qFormat/>
    <w:uiPriority w:val="0"/>
  </w:style>
  <w:style w:type="character" w:customStyle="1" w:styleId="90">
    <w:name w:val="hover"/>
    <w:qFormat/>
    <w:uiPriority w:val="0"/>
    <w:rPr>
      <w:shd w:val="clear" w:color="auto" w:fill="EEEEEE"/>
    </w:rPr>
  </w:style>
  <w:style w:type="paragraph" w:customStyle="1" w:styleId="91">
    <w:name w:val="title13"/>
    <w:basedOn w:val="1"/>
    <w:qFormat/>
    <w:uiPriority w:val="0"/>
    <w:pPr>
      <w:spacing w:before="150"/>
      <w:jc w:val="left"/>
    </w:pPr>
    <w:rPr>
      <w:b/>
      <w:bCs/>
      <w:kern w:val="0"/>
      <w:sz w:val="22"/>
      <w:szCs w:val="22"/>
    </w:rPr>
  </w:style>
  <w:style w:type="paragraph" w:customStyle="1" w:styleId="92">
    <w:name w:val="Heading2"/>
    <w:basedOn w:val="1"/>
    <w:next w:val="1"/>
    <w:qFormat/>
    <w:uiPriority w:val="0"/>
    <w:pPr>
      <w:keepNext/>
      <w:keepLines/>
      <w:spacing w:before="260" w:after="260" w:line="413" w:lineRule="auto"/>
      <w:textAlignment w:val="baseline"/>
    </w:pPr>
    <w:rPr>
      <w:rFonts w:ascii="Arial" w:hAnsi="Arial" w:eastAsia="黑体"/>
      <w:b/>
      <w:bCs/>
      <w:sz w:val="32"/>
      <w:szCs w:val="32"/>
    </w:rPr>
  </w:style>
  <w:style w:type="paragraph" w:customStyle="1" w:styleId="93">
    <w:name w:val="BodyText"/>
    <w:basedOn w:val="1"/>
    <w:next w:val="1"/>
    <w:qFormat/>
    <w:uiPriority w:val="0"/>
    <w:pPr>
      <w:spacing w:after="120"/>
      <w:textAlignment w:val="baseline"/>
    </w:pPr>
  </w:style>
  <w:style w:type="paragraph" w:customStyle="1" w:styleId="94">
    <w:name w:val="Table Paragraph"/>
    <w:basedOn w:val="1"/>
    <w:qFormat/>
    <w:uiPriority w:val="1"/>
    <w:rPr>
      <w:rFonts w:ascii="宋体" w:hAnsi="宋体" w:cs="宋体"/>
      <w:lang w:val="zh-CN" w:bidi="zh-CN"/>
    </w:rPr>
  </w:style>
  <w:style w:type="paragraph" w:customStyle="1" w:styleId="95">
    <w:name w:val="UserStyle_5"/>
    <w:basedOn w:val="1"/>
    <w:qFormat/>
    <w:uiPriority w:val="0"/>
    <w:pPr>
      <w:ind w:firstLine="420" w:firstLineChars="200"/>
      <w:textAlignment w:val="baseline"/>
    </w:pPr>
    <w:rPr>
      <w:rFonts w:ascii="Calibri" w:hAnsi="Calibri"/>
    </w:rPr>
  </w:style>
  <w:style w:type="paragraph" w:customStyle="1" w:styleId="96">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98">
    <w:name w:val="※章节标题（第Z部分分项）"/>
    <w:basedOn w:val="99"/>
    <w:qFormat/>
    <w:uiPriority w:val="0"/>
    <w:pPr>
      <w:outlineLvl w:val="2"/>
    </w:pPr>
  </w:style>
  <w:style w:type="paragraph" w:customStyle="1" w:styleId="99">
    <w:name w:val="※章节标题（第Y部分）"/>
    <w:basedOn w:val="1"/>
    <w:next w:val="1"/>
    <w:qFormat/>
    <w:uiPriority w:val="0"/>
    <w:pPr>
      <w:widowControl/>
      <w:jc w:val="center"/>
      <w:outlineLvl w:val="1"/>
    </w:pPr>
    <w:rPr>
      <w:rFonts w:ascii="Calibri Light" w:hAnsi="Calibri Light" w:eastAsia="黑体"/>
      <w:color w:val="244061"/>
      <w:sz w:val="32"/>
      <w:szCs w:val="36"/>
    </w:rPr>
  </w:style>
  <w:style w:type="paragraph" w:customStyle="1" w:styleId="100">
    <w:name w:val="正文（缩进 2 字符）"/>
    <w:basedOn w:val="1"/>
    <w:qFormat/>
    <w:uiPriority w:val="0"/>
    <w:pPr>
      <w:ind w:firstLine="200" w:firstLineChars="200"/>
    </w:pPr>
  </w:style>
  <w:style w:type="character" w:customStyle="1" w:styleId="101">
    <w:name w:val="param-explain"/>
    <w:qFormat/>
    <w:uiPriority w:val="0"/>
  </w:style>
  <w:style w:type="paragraph" w:customStyle="1" w:styleId="10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列表段落1"/>
    <w:basedOn w:val="1"/>
    <w:qFormat/>
    <w:uiPriority w:val="34"/>
    <w:pPr>
      <w:ind w:firstLine="420" w:firstLineChars="200"/>
    </w:pPr>
    <w:rPr>
      <w:rFonts w:ascii="Calibri" w:hAnsi="Calibri"/>
    </w:rPr>
  </w:style>
  <w:style w:type="character" w:customStyle="1" w:styleId="104">
    <w:name w:val="Char Char6"/>
    <w:qFormat/>
    <w:uiPriority w:val="99"/>
    <w:rPr>
      <w:rFonts w:ascii="黑体" w:hAnsi="Copperplate Gothic Bold" w:eastAsia="黑体" w:cs="Times New Roman"/>
      <w:sz w:val="28"/>
      <w:szCs w:val="28"/>
      <w:lang w:val="en-US" w:eastAsia="zh-CN" w:bidi="ar-SA"/>
    </w:rPr>
  </w:style>
  <w:style w:type="paragraph" w:customStyle="1" w:styleId="105">
    <w:name w:val="1册标题1"/>
    <w:basedOn w:val="1"/>
    <w:next w:val="1"/>
    <w:qFormat/>
    <w:locked/>
    <w:uiPriority w:val="0"/>
    <w:pPr>
      <w:spacing w:beforeLines="50" w:afterLines="50" w:line="300" w:lineRule="auto"/>
      <w:jc w:val="center"/>
      <w:outlineLvl w:val="0"/>
    </w:pPr>
    <w:rPr>
      <w:rFonts w:ascii="Arial" w:hAnsi="Arial" w:eastAsia="黑体"/>
      <w:b/>
      <w:bCs/>
      <w:sz w:val="48"/>
      <w:szCs w:val="20"/>
    </w:rPr>
  </w:style>
  <w:style w:type="character" w:customStyle="1" w:styleId="106">
    <w:name w:val="mini-outputtext1"/>
    <w:basedOn w:val="28"/>
    <w:qFormat/>
    <w:uiPriority w:val="0"/>
  </w:style>
  <w:style w:type="paragraph" w:customStyle="1" w:styleId="1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2"/>
    <w:basedOn w:val="1"/>
    <w:qFormat/>
    <w:uiPriority w:val="0"/>
    <w:pPr>
      <w:spacing w:before="150"/>
      <w:jc w:val="left"/>
    </w:pPr>
    <w:rPr>
      <w:b/>
      <w:kern w:val="0"/>
      <w:sz w:val="22"/>
      <w:szCs w:val="22"/>
    </w:rPr>
  </w:style>
  <w:style w:type="paragraph" w:customStyle="1" w:styleId="109">
    <w:name w:val="1"/>
    <w:basedOn w:val="1"/>
    <w:qFormat/>
    <w:uiPriority w:val="0"/>
  </w:style>
  <w:style w:type="paragraph" w:customStyle="1" w:styleId="110">
    <w:name w:val="Indent Normal"/>
    <w:basedOn w:val="1"/>
    <w:qFormat/>
    <w:uiPriority w:val="0"/>
    <w:pPr>
      <w:ind w:firstLine="150" w:firstLineChars="150"/>
    </w:pPr>
    <w:rPr>
      <w:sz w:val="24"/>
    </w:rPr>
  </w:style>
  <w:style w:type="paragraph" w:customStyle="1" w:styleId="111">
    <w:name w:val="列表段落11"/>
    <w:basedOn w:val="1"/>
    <w:next w:val="103"/>
    <w:qFormat/>
    <w:uiPriority w:val="34"/>
    <w:pPr>
      <w:widowControl/>
      <w:ind w:firstLine="420" w:firstLineChars="200"/>
      <w:jc w:val="left"/>
    </w:pPr>
    <w:rPr>
      <w:rFonts w:ascii="Calibri" w:hAnsi="Calibri"/>
      <w:kern w:val="0"/>
      <w:szCs w:val="20"/>
    </w:rPr>
  </w:style>
  <w:style w:type="character" w:customStyle="1" w:styleId="112">
    <w:name w:val="批注框文本 字符"/>
    <w:basedOn w:val="28"/>
    <w:link w:val="18"/>
    <w:semiHidden/>
    <w:qFormat/>
    <w:uiPriority w:val="99"/>
    <w:rPr>
      <w:kern w:val="2"/>
      <w:sz w:val="18"/>
      <w:szCs w:val="18"/>
    </w:rPr>
  </w:style>
  <w:style w:type="table" w:customStyle="1" w:styleId="113">
    <w:name w:val="Table Normal"/>
    <w:unhideWhenUsed/>
    <w:qFormat/>
    <w:uiPriority w:val="0"/>
    <w:tblPr>
      <w:tblCellMar>
        <w:top w:w="0" w:type="dxa"/>
        <w:left w:w="0" w:type="dxa"/>
        <w:bottom w:w="0" w:type="dxa"/>
        <w:right w:w="0" w:type="dxa"/>
      </w:tblCellMar>
    </w:tbl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 w:type="character" w:customStyle="1" w:styleId="115">
    <w:name w:val="标题 2 Char"/>
    <w:link w:val="5"/>
    <w:qFormat/>
    <w:locked/>
    <w:uiPriority w:val="99"/>
    <w:rPr>
      <w:rFonts w:ascii="Arial" w:hAnsi="Arial"/>
      <w:b/>
      <w:bCs/>
      <w:sz w:val="28"/>
      <w:szCs w:val="32"/>
    </w:rPr>
  </w:style>
  <w:style w:type="character" w:customStyle="1" w:styleId="116">
    <w:name w:val="font31"/>
    <w:basedOn w:val="28"/>
    <w:uiPriority w:val="0"/>
    <w:rPr>
      <w:rFonts w:hint="eastAsia" w:ascii="宋体" w:hAnsi="宋体" w:eastAsia="宋体" w:cs="宋体"/>
      <w:color w:val="000000"/>
      <w:sz w:val="20"/>
      <w:szCs w:val="20"/>
      <w:u w:val="none"/>
    </w:rPr>
  </w:style>
  <w:style w:type="character" w:customStyle="1" w:styleId="117">
    <w:name w:val="font51"/>
    <w:basedOn w:val="2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32610</Words>
  <Characters>34709</Characters>
  <Lines>402</Lines>
  <Paragraphs>113</Paragraphs>
  <TotalTime>0</TotalTime>
  <ScaleCrop>false</ScaleCrop>
  <LinksUpToDate>false</LinksUpToDate>
  <CharactersWithSpaces>37519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2022-01-01T23:17:00Z</dcterms:created>
  <dc:creator>Administrator</dc:creator>
  <cp:lastModifiedBy>冯永波</cp:lastModifiedBy>
  <cp:lastPrinted>2022-08-22T04:21:00Z</cp:lastPrinted>
  <dcterms:modified xsi:type="dcterms:W3CDTF">2022-08-24T11:38:36Z</dcterms:modified>
  <dc:title>石泉县医院树脂散光、树脂单光及树脂定制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034F0306C0EF473FAA5BC65B4C2E4466</vt:lpwstr>
  </property>
</Properties>
</file>