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886200" cy="5321300"/>
            <wp:effectExtent l="0" t="0" r="0" b="0"/>
            <wp:docPr id="1" name="图片 1" descr="晨达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晨达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object>
          <v:shape id="_x0000_i1025" o:spt="75" type="#_x0000_t75" style="height:422pt;width:396.1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5">
            <o:LockedField>false</o:LockedField>
          </o:OLEObject>
        </w:object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549650" cy="4718050"/>
            <wp:effectExtent l="0" t="0" r="6350" b="6350"/>
            <wp:docPr id="2" name="图片 2" descr="晨达声明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晨达声明函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9650" cy="471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D72F8"/>
    <w:rsid w:val="44AD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2022-08-17T12:52:45Z</dcterms:created>
  <dc:creator>顶诚招标</dc:creator>
  <cp:lastModifiedBy>NTKO</cp:lastModifiedBy>
  <dcterms:modified xsi:type="dcterms:W3CDTF">2022-08-17T12:53:09Z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4852767FE7354A0683718C337F440733</vt:lpwstr>
  </property>
</Properties>
</file>