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hint="eastAsia" w:ascii="宋体" w:hAnsi="宋体" w:eastAsia="宋体" w:cs="宋体"/>
          <w:b/>
          <w:bCs/>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44"/>
          <w:szCs w:val="44"/>
          <w:shd w:val="clear" w:fill="FFFFFF"/>
          <w:lang w:val="en-US" w:eastAsia="zh-CN" w:bidi="ar"/>
          <w14:textFill>
            <w14:solidFill>
              <w14:schemeClr w14:val="tx1"/>
            </w14:solidFill>
          </w14:textFill>
        </w:rPr>
        <w:t>商洛市剧院提升改造项目舞台设备工程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hint="eastAsia" w:ascii="宋体" w:hAnsi="宋体" w:eastAsia="宋体" w:cs="宋体"/>
          <w:b/>
          <w:bCs/>
          <w:i w:val="0"/>
          <w:iCs w:val="0"/>
          <w:caps w:val="0"/>
          <w:color w:val="000000" w:themeColor="text1"/>
          <w:spacing w:val="0"/>
          <w:sz w:val="44"/>
          <w:szCs w:val="44"/>
          <w14:textFill>
            <w14:solidFill>
              <w14:schemeClr w14:val="tx1"/>
            </w14:solidFill>
          </w14:textFill>
        </w:rPr>
      </w:pPr>
      <w:r>
        <w:rPr>
          <w:rFonts w:hint="eastAsia" w:ascii="宋体" w:hAnsi="宋体" w:eastAsia="宋体" w:cs="宋体"/>
          <w:b/>
          <w:bCs/>
          <w:i w:val="0"/>
          <w:iCs w:val="0"/>
          <w:caps w:val="0"/>
          <w:color w:val="000000" w:themeColor="text1"/>
          <w:spacing w:val="0"/>
          <w:kern w:val="0"/>
          <w:sz w:val="44"/>
          <w:szCs w:val="44"/>
          <w:shd w:val="clear" w:fill="FFFFFF"/>
          <w:lang w:val="en-US" w:eastAsia="zh-CN" w:bidi="ar"/>
          <w14:textFill>
            <w14:solidFill>
              <w14:schemeClr w14:val="tx1"/>
            </w14:solidFill>
          </w14:textFill>
        </w:rPr>
        <w:t>招 标 公 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520" w:lineRule="exact"/>
        <w:ind w:left="0" w:right="0" w:firstLine="384"/>
        <w:jc w:val="both"/>
        <w:textAlignment w:val="auto"/>
        <w:rPr>
          <w:rFonts w:hint="eastAsia" w:ascii="宋体" w:hAnsi="宋体" w:eastAsia="宋体" w:cs="宋体"/>
          <w:i w:val="0"/>
          <w:iCs w:val="0"/>
          <w:caps w:val="0"/>
          <w:color w:val="000000" w:themeColor="text1"/>
          <w:spacing w:val="0"/>
          <w:sz w:val="18"/>
          <w:szCs w:val="18"/>
          <w:shd w:val="clear" w:fill="FFFFFF"/>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商洛市剧院提升改造项目舞台设备工程招标项目的潜在投标人应在商洛市商州区全兴紫苑4号楼2单元702室获取招标文件，并于 2022年11月21日 09时00分（北京时间）前递交投标文件。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right="0"/>
        <w:jc w:val="both"/>
        <w:textAlignment w:val="auto"/>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一、项目基本情况</w:t>
      </w:r>
      <w:r>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项目编号：ZCSP-商洛市-2022-00578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项目名称：商洛市剧院提升改造项目舞台设备工程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预算金额：3,388,010.75元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合同包1(商洛市剧院提升改造项目舞台设备工程):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合同包预算金额：3,388,010.75元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合同包最高限价：3,388,010.75元</w:t>
      </w:r>
    </w:p>
    <w:tbl>
      <w:tblPr>
        <w:tblStyle w:val="5"/>
        <w:tblW w:w="1158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5"/>
        <w:gridCol w:w="2664"/>
        <w:gridCol w:w="2616"/>
        <w:gridCol w:w="992"/>
        <w:gridCol w:w="1828"/>
        <w:gridCol w:w="1353"/>
        <w:gridCol w:w="13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梁、椽、屋顶支梁</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3388010.75</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3,388,010.75</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3,388,010.75</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合同履行期限：无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right="0"/>
        <w:jc w:val="both"/>
        <w:textAlignment w:val="auto"/>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合同包1(商洛市剧院提升改造项目舞台设备工程)落实政府采购政策需满足的资格要求如下: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发展改革委 生态环境部 市场监管总局关于调整优化节能产品环境标志产品政府采购执行机制的通知》（财库〔2019〕9号）；5）《政府采购促进中小企业发展暂行办法》（财库〔2011〕181号）；6）《财政部 司法部关于政府采购支持监狱企业发展有关问题的通知》（财库〔2014〕68号）；7）《三部门联合发布关于促进残疾人就业政府采购政策的通知》（财库〔2017〕141号）；8）其他需要落实的政府采购政策。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合同包1(商洛市剧院提升改造项目舞台设备工程)特定资格要求如下: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1、营业执照、安全生产许可证合法有效。 2、须具备建筑机电安装工程专业承包三级及以上资质。3、项目负责人具备机电工程二级及以上建造师资格和有效的安全考核合格证书，且未承担其他在建工程项目的项目负责人。4、提供法定代表人授权书及被委托人身份证（法定代表人直接参加可不提供，但须出示本人身份证）。5、财务状况报告：提供经审计上年度的财务报告证明材料；6、税收缴纳证明：提供上一年度至今已缴纳的至少一个月的纳税证明或完税证明，依法免税的单位应提供相关证明材料；7、社会保障资金缴纳证明：提供上一年度至今已缴存的至少一个月的社会保障资金缴存单据或社保机构开具的社会保险参保缴费情况证明，依法不需要缴纳社会保障资金的单位应提供相关证明材料；8、书面声明：参加本次政府采购活动前三年内在经营活动中没有重大违纪，以及未被列入失信被执行人、重大税收违法案件当事人名单、政府采购严重违法失信行为记录名单的书面声明； 9、提供近三年来同类或相似项目业绩证明文件（合同或验收报告）；10、供应商须通过“信用中国”网站www.creditchina.gov.cn）或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采购代理机构将拒绝其参与政府采购活动）；11、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right="0"/>
        <w:jc w:val="both"/>
        <w:textAlignment w:val="auto"/>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三、获取招标文件</w:t>
      </w:r>
      <w:r>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 2022年10月31日 至 2022年11月04日 ，每天上午 08:30:00 至 12:00:00 ，下午 14:00:00 至 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途径：商洛市商州区全兴紫苑4号楼2单元702室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 500元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right="0"/>
        <w:jc w:val="both"/>
        <w:textAlignment w:val="auto"/>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四、提交投标文件截止时间、开标时间和地点</w:t>
      </w:r>
      <w:r>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 2022年11月21日 09时00分00秒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提交投标文件地点：商洛市欣源酒店三楼会议室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开标地点：商洛市欣源酒店三楼会议室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right="0"/>
        <w:jc w:val="both"/>
        <w:textAlignment w:val="auto"/>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五、公告期限</w:t>
      </w:r>
      <w:r>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right="0"/>
        <w:jc w:val="both"/>
        <w:textAlignment w:val="auto"/>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六、其他补充事宜</w:t>
      </w:r>
      <w:r>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发售期内：上午8:30～12:00，下午14:00～18：00；2、购买招标文件（谢绝邮寄）请携带单位介绍信、法人授权委托书、被委托人身份证原件及特定资格要求中所有资料复印件加盖公章共2套（需胶装成册）。3、请供应商按照陕西省财政厅关于政府采购供应商注册登记有关事项的通知中的要求，通过陕西省政府采购网（http://www.ccgp-shaanxi.gov.cn/）注册登记加入陕西省政府采购供应商库。不符合公告要求和未注册登记的供应商不予以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right="0"/>
        <w:jc w:val="both"/>
        <w:textAlignment w:val="auto"/>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名称：商洛市地方戏曲研究院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地址：商洛市北新街92号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联系方式：0914-2312810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名称：陕西华信项目管理有限公司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地址：陕西省西安市雁塔区朱雀大街南段1号汇成天玺酒店C座28楼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联系方式：15891375968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项目联系人：全女士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电话：15891375968</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YTk3ODRlMGY5OTZhZjQ1NGQ1OWU4Mjg5ZGQ5YjcifQ=="/>
  </w:docVars>
  <w:rsids>
    <w:rsidRoot w:val="524E3362"/>
    <w:rsid w:val="1E8D3C5B"/>
    <w:rsid w:val="3E4B54BF"/>
    <w:rsid w:val="4C93126B"/>
    <w:rsid w:val="4CB22BAD"/>
    <w:rsid w:val="4F844E84"/>
    <w:rsid w:val="524E3362"/>
    <w:rsid w:val="574F6FB0"/>
    <w:rsid w:val="5A6C145A"/>
    <w:rsid w:val="61C3343B"/>
    <w:rsid w:val="68175FB3"/>
    <w:rsid w:val="7A74214C"/>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1855</Words>
  <Characters>2148</Characters>
  <Lines>0</Lines>
  <Paragraphs>0</Paragraphs>
  <TotalTime>0</TotalTime>
  <ScaleCrop>false</ScaleCrop>
  <LinksUpToDate>false</LinksUpToDate>
  <CharactersWithSpaces>2176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2022-10-30T06:31:00Z</dcterms:created>
  <dc:creator>123</dc:creator>
  <cp:lastModifiedBy>123</cp:lastModifiedBy>
  <dcterms:modified xsi:type="dcterms:W3CDTF">2022-10-30T12:30:57Z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16806FEC99694CC48776260E69E81F31</vt:lpwstr>
  </property>
</Properties>
</file>