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3" w:firstLineChars="200"/>
        <w:jc w:val="center"/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eastAsia="zh-CN"/>
        </w:rPr>
        <w:t>商洛市妇幼保健院网络安全等级保护建设项目</w:t>
      </w:r>
    </w:p>
    <w:p>
      <w:pPr>
        <w:spacing w:line="360" w:lineRule="auto"/>
        <w:jc w:val="center"/>
        <w:rPr>
          <w:rFonts w:hint="eastAsia" w:ascii="楷体" w:hAnsi="楷体" w:eastAsia="楷体" w:cs="楷体"/>
          <w:b/>
          <w:bCs/>
          <w:sz w:val="24"/>
          <w:szCs w:val="24"/>
          <w:highlight w:val="none"/>
        </w:rPr>
      </w:pPr>
    </w:p>
    <w:p>
      <w:pPr>
        <w:spacing w:line="360" w:lineRule="auto"/>
        <w:ind w:firstLine="480" w:firstLineChars="200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为贯彻落实国家信息安全等级保护制度，规范和指导全国卫生行业信息安全等级保护工作，按照公安部《关于开展信息安全等级保护安全建设整改工作的指导意见》（公信安〔2009〕1429号）要求，结合我院信息化业务系统网络安全现状，根据《卫生行业信息安全等级保护工作的指导意见》特采购本项目。</w:t>
      </w:r>
    </w:p>
    <w:p>
      <w:pPr>
        <w:spacing w:line="360" w:lineRule="auto"/>
        <w:ind w:firstLine="480" w:firstLineChars="200"/>
        <w:rPr>
          <w:rFonts w:hint="eastAsia" w:ascii="楷体" w:hAnsi="楷体" w:eastAsia="楷体" w:cs="楷体"/>
          <w:sz w:val="24"/>
          <w:szCs w:val="24"/>
          <w:highlight w:val="none"/>
          <w:lang w:val="zh-CN"/>
        </w:rPr>
      </w:pPr>
      <w:r>
        <w:rPr>
          <w:rFonts w:hint="eastAsia" w:ascii="楷体" w:hAnsi="楷体" w:eastAsia="楷体" w:cs="楷体"/>
          <w:sz w:val="24"/>
          <w:szCs w:val="24"/>
          <w:highlight w:val="none"/>
          <w:lang w:val="zh-CN"/>
        </w:rPr>
        <w:t>本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次</w:t>
      </w:r>
      <w:r>
        <w:rPr>
          <w:rFonts w:hint="eastAsia" w:ascii="楷体" w:hAnsi="楷体" w:eastAsia="楷体" w:cs="楷体"/>
          <w:sz w:val="24"/>
          <w:szCs w:val="24"/>
          <w:highlight w:val="none"/>
          <w:lang w:val="zh-CN"/>
        </w:rPr>
        <w:t>项目将根据国家网络安全等级保护相关要求，商洛市妇幼保健院业务系统的实际安全需求，结合其业务的实际特性，建立符合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医院信息</w:t>
      </w:r>
      <w:r>
        <w:rPr>
          <w:rFonts w:hint="eastAsia" w:ascii="楷体" w:hAnsi="楷体" w:eastAsia="楷体" w:cs="楷体"/>
          <w:sz w:val="24"/>
          <w:szCs w:val="24"/>
          <w:highlight w:val="none"/>
          <w:lang w:val="zh-CN"/>
        </w:rPr>
        <w:t>系统实际安全需求的网络安全保障体系框架，设计安全保障体系方案，综合提升医院网络系统的安全保障能力和防护水平，确保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医院</w:t>
      </w:r>
      <w:r>
        <w:rPr>
          <w:rFonts w:hint="eastAsia" w:ascii="楷体" w:hAnsi="楷体" w:eastAsia="楷体" w:cs="楷体"/>
          <w:sz w:val="24"/>
          <w:szCs w:val="24"/>
          <w:highlight w:val="none"/>
          <w:lang w:val="zh-CN"/>
        </w:rPr>
        <w:t>业务系统安全稳定运行。以等级保护建设为主线，以让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医院HIS、LIS、等</w:t>
      </w:r>
      <w:r>
        <w:rPr>
          <w:rFonts w:hint="eastAsia" w:ascii="楷体" w:hAnsi="楷体" w:eastAsia="楷体" w:cs="楷体"/>
          <w:sz w:val="24"/>
          <w:szCs w:val="24"/>
          <w:highlight w:val="none"/>
          <w:lang w:val="zh-CN"/>
        </w:rPr>
        <w:t>信息系统达到安全等级保护要求。借助网络产品、安全产品、安全服务、管理制度等手段，建立全网的安全防控管理服务体系，从而全面提高商洛市妇幼保健医院的安全防护能力。</w:t>
      </w:r>
    </w:p>
    <w:p>
      <w:pPr>
        <w:spacing w:line="360" w:lineRule="auto"/>
        <w:ind w:firstLine="480" w:firstLineChars="200"/>
        <w:rPr>
          <w:rFonts w:hint="eastAsia" w:ascii="楷体" w:hAnsi="楷体" w:eastAsia="楷体" w:cs="楷体"/>
          <w:sz w:val="24"/>
          <w:szCs w:val="24"/>
          <w:highlight w:val="none"/>
          <w:lang w:val="zh-CN"/>
        </w:rPr>
      </w:pPr>
      <w:r>
        <w:rPr>
          <w:rFonts w:hint="eastAsia" w:ascii="楷体" w:hAnsi="楷体" w:eastAsia="楷体" w:cs="楷体"/>
          <w:sz w:val="24"/>
          <w:szCs w:val="24"/>
          <w:highlight w:val="none"/>
          <w:lang w:val="zh-CN"/>
        </w:rPr>
        <w:t>医院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现状分为三个院区</w:t>
      </w:r>
      <w:r>
        <w:rPr>
          <w:rFonts w:hint="eastAsia" w:ascii="楷体" w:hAnsi="楷体" w:eastAsia="楷体" w:cs="楷体"/>
          <w:sz w:val="24"/>
          <w:szCs w:val="24"/>
          <w:highlight w:val="none"/>
          <w:lang w:val="zh-CN"/>
        </w:rPr>
        <w:t>，分别为妇幼保健院（老院区）、妇产医院（新院区）和口腔院区（新院区），各院区之间通过运营商裸光纤进行数据的访问。</w:t>
      </w:r>
    </w:p>
    <w:p>
      <w:pPr>
        <w:spacing w:line="360" w:lineRule="auto"/>
        <w:ind w:firstLine="480" w:firstLineChars="200"/>
        <w:rPr>
          <w:rFonts w:hint="eastAsia" w:ascii="楷体" w:hAnsi="楷体" w:eastAsia="楷体" w:cs="楷体"/>
          <w:sz w:val="24"/>
          <w:szCs w:val="24"/>
          <w:highlight w:val="none"/>
          <w:lang w:val="zh-CN" w:eastAsia="zh-CN"/>
        </w:rPr>
      </w:pPr>
      <w:r>
        <w:rPr>
          <w:rFonts w:hint="eastAsia" w:ascii="楷体" w:hAnsi="楷体" w:eastAsia="楷体" w:cs="楷体"/>
          <w:sz w:val="24"/>
          <w:szCs w:val="24"/>
          <w:highlight w:val="none"/>
          <w:lang w:val="zh-CN" w:eastAsia="zh-CN"/>
        </w:rPr>
        <w:t>采购内容:商洛市妇幼保健院网络安全等级保护建设项目。</w:t>
      </w:r>
    </w:p>
    <w:p>
      <w:pPr>
        <w:spacing w:line="360" w:lineRule="auto"/>
        <w:ind w:firstLine="480" w:firstLineChars="200"/>
        <w:rPr>
          <w:rFonts w:hint="eastAsia" w:ascii="楷体" w:hAnsi="楷体" w:eastAsia="楷体" w:cs="楷体"/>
          <w:sz w:val="24"/>
          <w:szCs w:val="24"/>
          <w:highlight w:val="none"/>
          <w:lang w:val="zh-CN" w:eastAsia="zh-CN"/>
        </w:rPr>
      </w:pPr>
      <w:r>
        <w:rPr>
          <w:rFonts w:hint="eastAsia" w:ascii="楷体" w:hAnsi="楷体" w:eastAsia="楷体" w:cs="楷体"/>
          <w:sz w:val="24"/>
          <w:szCs w:val="24"/>
          <w:highlight w:val="none"/>
          <w:lang w:val="zh-CN" w:eastAsia="zh-CN"/>
        </w:rPr>
        <w:t>采购数量:1项。</w:t>
      </w:r>
    </w:p>
    <w:p>
      <w:pPr>
        <w:spacing w:line="360" w:lineRule="auto"/>
        <w:ind w:firstLine="480" w:firstLineChars="200"/>
        <w:rPr>
          <w:rFonts w:hint="eastAsia" w:ascii="楷体" w:hAnsi="楷体" w:eastAsia="楷体" w:cs="楷体"/>
          <w:sz w:val="24"/>
          <w:szCs w:val="24"/>
          <w:highlight w:val="none"/>
          <w:lang w:val="zh-CN" w:eastAsia="zh-CN"/>
        </w:rPr>
      </w:pPr>
      <w:r>
        <w:rPr>
          <w:rFonts w:hint="eastAsia" w:ascii="楷体" w:hAnsi="楷体" w:eastAsia="楷体" w:cs="楷体"/>
          <w:sz w:val="24"/>
          <w:szCs w:val="24"/>
          <w:highlight w:val="none"/>
          <w:lang w:val="zh-CN" w:eastAsia="zh-CN"/>
        </w:rPr>
        <w:t>主要功能或目标:满足</w:t>
      </w: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医院网络等级评审要求和医院网络安全实际需求</w:t>
      </w:r>
      <w:r>
        <w:rPr>
          <w:rFonts w:hint="eastAsia" w:ascii="楷体" w:hAnsi="楷体" w:eastAsia="楷体" w:cs="楷体"/>
          <w:sz w:val="24"/>
          <w:szCs w:val="24"/>
          <w:highlight w:val="none"/>
          <w:lang w:val="zh-CN" w:eastAsia="zh-CN"/>
        </w:rPr>
        <w:t>的医院网络安全等级保护。</w:t>
      </w:r>
    </w:p>
    <w:p>
      <w:pPr>
        <w:rPr>
          <w:rFonts w:hint="eastAsia" w:ascii="楷体" w:hAnsi="楷体" w:eastAsia="楷体" w:cs="楷体"/>
          <w:sz w:val="24"/>
          <w:szCs w:val="24"/>
          <w:highlight w:val="none"/>
          <w:lang w:val="zh-CN" w:eastAsia="zh-CN"/>
        </w:rPr>
      </w:pPr>
      <w:r>
        <w:rPr>
          <w:rFonts w:hint="eastAsia" w:ascii="楷体" w:hAnsi="楷体" w:eastAsia="楷体" w:cs="楷体"/>
          <w:sz w:val="24"/>
          <w:szCs w:val="24"/>
          <w:highlight w:val="none"/>
          <w:lang w:val="zh-CN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after="100" w:line="240" w:lineRule="auto"/>
        <w:jc w:val="both"/>
        <w:textAlignment w:val="center"/>
        <w:rPr>
          <w:rFonts w:hint="eastAsia" w:ascii="楷体" w:hAnsi="楷体" w:eastAsia="楷体" w:cs="楷体"/>
          <w:b/>
          <w:bCs/>
          <w:color w:val="000000"/>
          <w:kern w:val="0"/>
          <w:sz w:val="24"/>
          <w:szCs w:val="24"/>
          <w:highlight w:val="none"/>
          <w:lang w:val="zh-CN" w:bidi="ar"/>
        </w:rPr>
      </w:pPr>
      <w:bookmarkStart w:id="0" w:name="_Toc9839"/>
      <w:bookmarkStart w:id="1" w:name="_Toc22834"/>
      <w:bookmarkStart w:id="2" w:name="_Toc18778"/>
      <w:r>
        <w:rPr>
          <w:rFonts w:hint="eastAsia" w:ascii="楷体" w:hAnsi="楷体" w:eastAsia="楷体" w:cs="楷体"/>
          <w:b/>
          <w:bCs/>
          <w:color w:val="000000"/>
          <w:kern w:val="0"/>
          <w:sz w:val="24"/>
          <w:szCs w:val="24"/>
          <w:highlight w:val="none"/>
          <w:lang w:bidi="ar"/>
        </w:rPr>
        <w:t>一</w:t>
      </w:r>
      <w:bookmarkEnd w:id="0"/>
      <w:bookmarkEnd w:id="1"/>
      <w:bookmarkEnd w:id="2"/>
      <w:r>
        <w:rPr>
          <w:rFonts w:hint="eastAsia" w:ascii="楷体" w:hAnsi="楷体" w:eastAsia="楷体" w:cs="楷体"/>
          <w:b/>
          <w:bCs/>
          <w:color w:val="000000"/>
          <w:kern w:val="0"/>
          <w:sz w:val="24"/>
          <w:szCs w:val="24"/>
          <w:highlight w:val="none"/>
          <w:lang w:eastAsia="zh-CN" w:bidi="ar"/>
        </w:rPr>
        <w:t>、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24"/>
          <w:szCs w:val="24"/>
          <w:highlight w:val="none"/>
          <w:lang w:bidi="ar"/>
        </w:rPr>
        <w:t>采购清单</w:t>
      </w:r>
    </w:p>
    <w:tbl>
      <w:tblPr>
        <w:tblStyle w:val="6"/>
        <w:tblpPr w:leftFromText="180" w:rightFromText="180" w:vertAnchor="text" w:horzAnchor="page" w:tblpX="2017" w:tblpY="549"/>
        <w:tblOverlap w:val="never"/>
        <w:tblW w:w="87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307"/>
        <w:gridCol w:w="1068"/>
        <w:gridCol w:w="960"/>
        <w:gridCol w:w="2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 w:line="24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 w:line="24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名称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 w:line="24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单位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 w:line="24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数量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 w:line="24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 w:line="240" w:lineRule="auto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 w:line="240" w:lineRule="auto"/>
              <w:jc w:val="left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外网出口防火墙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 w:line="240" w:lineRule="auto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台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 w:line="240" w:lineRule="auto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 w:line="240" w:lineRule="auto"/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 w:line="240" w:lineRule="auto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2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 w:line="240" w:lineRule="auto"/>
              <w:jc w:val="left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WEB应用安全网关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 w:line="240" w:lineRule="auto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台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 w:line="240" w:lineRule="auto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 w:line="240" w:lineRule="auto"/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 w:line="240" w:lineRule="auto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3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 w:line="240" w:lineRule="auto"/>
              <w:jc w:val="left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APT预警检测平台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 w:line="240" w:lineRule="auto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台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 w:line="240" w:lineRule="auto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 w:line="240" w:lineRule="auto"/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 w:line="240" w:lineRule="auto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4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 w:line="240" w:lineRule="auto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入侵检测(IDS)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 w:line="240" w:lineRule="auto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台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 w:line="240" w:lineRule="auto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 w:line="240" w:lineRule="auto"/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 w:line="240" w:lineRule="auto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5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 w:line="240" w:lineRule="auto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服务器防火墙(FW)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 w:line="240" w:lineRule="auto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台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 w:line="240" w:lineRule="auto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 w:line="240" w:lineRule="auto"/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 w:line="240" w:lineRule="auto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6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 w:line="240" w:lineRule="auto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数据库审计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 w:line="240" w:lineRule="auto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台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 w:line="240" w:lineRule="auto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 w:line="240" w:lineRule="auto"/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 w:line="240" w:lineRule="auto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7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 w:line="240" w:lineRule="auto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内网日志审计(SA)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 w:line="240" w:lineRule="auto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台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 w:line="240" w:lineRule="auto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 w:line="240" w:lineRule="auto"/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 w:line="240" w:lineRule="auto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8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 w:line="240" w:lineRule="auto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堡垒机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 w:line="240" w:lineRule="auto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台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 w:line="240" w:lineRule="auto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 w:line="240" w:lineRule="auto"/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 w:line="240" w:lineRule="auto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9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 w:line="240" w:lineRule="auto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漏洞扫描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 w:line="240" w:lineRule="auto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台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 w:line="240" w:lineRule="auto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 w:line="240" w:lineRule="auto"/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 w:line="240" w:lineRule="auto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10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 w:line="240" w:lineRule="auto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准入控制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 w:line="240" w:lineRule="auto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台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 w:line="240" w:lineRule="auto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2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 w:line="240" w:lineRule="auto"/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 w:line="240" w:lineRule="auto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11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 w:line="240" w:lineRule="auto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入侵分析中心/态势感知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 w:line="240" w:lineRule="auto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台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 w:line="240" w:lineRule="auto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 w:line="240" w:lineRule="auto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 w:line="240" w:lineRule="auto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12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 w:line="240" w:lineRule="auto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备份一体机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 w:line="240" w:lineRule="auto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台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 w:line="240" w:lineRule="auto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 w:line="240" w:lineRule="auto"/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 w:line="240" w:lineRule="auto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13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 w:line="240" w:lineRule="auto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显示大屏（其它辅材）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highlight w:val="none"/>
                <w:lang w:bidi="ar"/>
              </w:rPr>
              <w:br w:type="textWrapping"/>
            </w: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 w:line="240" w:lineRule="auto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套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 w:line="240" w:lineRule="auto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 w:line="240" w:lineRule="auto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中心机房网络设备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监测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、展示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 w:line="240" w:lineRule="auto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14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 w:line="240" w:lineRule="auto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现有设备维保升级服务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 w:line="240" w:lineRule="auto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台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 w:line="240" w:lineRule="auto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 w:line="240" w:lineRule="auto"/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val="en-US" w:eastAsia="zh-CN"/>
              </w:rPr>
              <w:t>详见功能参数表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 w:line="240" w:lineRule="auto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5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 w:line="240" w:lineRule="auto"/>
              <w:jc w:val="left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技术服务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 w:line="240" w:lineRule="auto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项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 w:line="240" w:lineRule="auto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 w:line="240" w:lineRule="auto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</w:rPr>
            </w:pPr>
          </w:p>
        </w:tc>
      </w:tr>
    </w:tbl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1ZjRkODM4MWYzZjcwMjFlODUwMjIxNDdkOGQ4NjcifQ=="/>
  </w:docVars>
  <w:rsids>
    <w:rsidRoot w:val="08D909E3"/>
    <w:rsid w:val="08D9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spacing w:line="312" w:lineRule="auto"/>
      <w:ind w:firstLine="420"/>
    </w:pPr>
  </w:style>
  <w:style w:type="paragraph" w:styleId="3">
    <w:name w:val="Body Text"/>
    <w:basedOn w:val="1"/>
    <w:next w:val="1"/>
    <w:qFormat/>
    <w:uiPriority w:val="0"/>
    <w:pPr>
      <w:spacing w:line="480" w:lineRule="auto"/>
    </w:pPr>
    <w:rPr>
      <w:color w:val="000000"/>
      <w:sz w:val="24"/>
    </w:rPr>
  </w:style>
  <w:style w:type="paragraph" w:styleId="4">
    <w:name w:val="Body Text First Indent 2"/>
    <w:basedOn w:val="5"/>
    <w:next w:val="1"/>
    <w:qFormat/>
    <w:uiPriority w:val="0"/>
    <w:pPr>
      <w:ind w:left="0"/>
    </w:pPr>
    <w:rPr>
      <w:rFonts w:ascii="仿宋" w:hAnsi="仿宋"/>
    </w:rPr>
  </w:style>
  <w:style w:type="paragraph" w:styleId="5">
    <w:name w:val="Body Text Indent"/>
    <w:basedOn w:val="1"/>
    <w:next w:val="4"/>
    <w:qFormat/>
    <w:uiPriority w:val="0"/>
    <w:pPr>
      <w:spacing w:line="400" w:lineRule="exact"/>
      <w:ind w:left="360"/>
    </w:pPr>
    <w:rPr>
      <w:rFonts w:ascii="华文中宋" w:hAnsi="华文中宋" w:eastAsia="华文中宋"/>
      <w:color w:val="FF66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2022-11-10T02:12:00Z</dcterms:created>
  <dc:creator>陕西德信招标有限公司</dc:creator>
  <cp:lastModifiedBy>陕西德信招标有限公司</cp:lastModifiedBy>
  <dcterms:modified xsi:type="dcterms:W3CDTF">2022-11-10T02:12:56Z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8807ED6C1ACD449E889F8FB1D7D8F7C3</vt:lpwstr>
  </property>
</Properties>
</file>